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BC99AD">
      <w:pPr>
        <w:ind w:firstLine="3654" w:firstLineChars="1300"/>
        <w:rPr>
          <w:rFonts w:ascii="宋体" w:hAnsi="宋体"/>
          <w:color w:val="FF0000"/>
          <w:szCs w:val="21"/>
        </w:rPr>
      </w:pPr>
      <w:r>
        <w:rPr>
          <w:rFonts w:hint="eastAsia" w:ascii="宋体" w:hAnsi="宋体" w:eastAsia="黑体"/>
          <w:b/>
          <w:bCs/>
          <w:color w:val="FF0000"/>
          <w:kern w:val="44"/>
          <w:sz w:val="28"/>
          <w:szCs w:val="44"/>
          <w:lang w:val="en-US" w:eastAsia="zh-CN"/>
        </w:rPr>
        <w:t>特别</w:t>
      </w:r>
      <w:r>
        <w:rPr>
          <w:rFonts w:hint="eastAsia" w:ascii="宋体" w:hAnsi="宋体" w:eastAsia="黑体"/>
          <w:b/>
          <w:bCs/>
          <w:color w:val="FF0000"/>
          <w:kern w:val="44"/>
          <w:sz w:val="28"/>
          <w:szCs w:val="44"/>
        </w:rPr>
        <w:t>警示条款</w:t>
      </w:r>
    </w:p>
    <w:p w14:paraId="3BE7DBC5">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313" w:afterLines="100" w:line="400" w:lineRule="exact"/>
        <w:ind w:firstLine="422" w:firstLineChars="200"/>
        <w:jc w:val="both"/>
        <w:textAlignment w:val="auto"/>
        <w:rPr>
          <w:rFonts w:hint="eastAsia" w:ascii="宋体" w:hAnsi="宋体" w:eastAsia="宋体" w:cs="宋体"/>
          <w:b/>
          <w:bCs/>
          <w:color w:val="FF0000"/>
          <w:sz w:val="21"/>
          <w:szCs w:val="21"/>
          <w:highlight w:val="yellow"/>
          <w:lang w:val="en-US" w:eastAsia="zh-CN"/>
        </w:rPr>
      </w:pPr>
      <w:r>
        <w:rPr>
          <w:rFonts w:hint="eastAsia" w:ascii="宋体" w:hAnsi="宋体" w:eastAsia="宋体" w:cs="宋体"/>
          <w:b/>
          <w:bCs/>
          <w:color w:val="FF0000"/>
          <w:sz w:val="21"/>
          <w:szCs w:val="21"/>
          <w:highlight w:val="yellow"/>
          <w:lang w:val="en-US" w:eastAsia="zh-CN"/>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7711"/>
      </w:tblGrid>
      <w:tr w14:paraId="16AD1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11" w:type="dxa"/>
            <w:tcBorders>
              <w:tl2br w:val="nil"/>
              <w:tr2bl w:val="nil"/>
            </w:tcBorders>
            <w:noWrap w:val="0"/>
            <w:vAlign w:val="center"/>
          </w:tcPr>
          <w:p w14:paraId="7744D358">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序号</w:t>
            </w:r>
          </w:p>
        </w:tc>
        <w:tc>
          <w:tcPr>
            <w:tcW w:w="7711" w:type="dxa"/>
            <w:tcBorders>
              <w:tl2br w:val="nil"/>
              <w:tr2bl w:val="nil"/>
            </w:tcBorders>
            <w:noWrap w:val="0"/>
            <w:vAlign w:val="center"/>
          </w:tcPr>
          <w:p w14:paraId="613B1C7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b/>
                <w:bCs/>
                <w:color w:val="FF0000"/>
                <w:sz w:val="21"/>
                <w:szCs w:val="21"/>
                <w:highlight w:val="none"/>
                <w:lang w:val="en-US" w:eastAsia="zh-CN"/>
              </w:rPr>
              <w:t>供应商参与投标禁止情形</w:t>
            </w:r>
          </w:p>
        </w:tc>
      </w:tr>
      <w:tr w14:paraId="7A4F9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noWrap w:val="0"/>
            <w:vAlign w:val="center"/>
          </w:tcPr>
          <w:p w14:paraId="542CF957">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1</w:t>
            </w:r>
          </w:p>
        </w:tc>
        <w:tc>
          <w:tcPr>
            <w:tcW w:w="7711" w:type="dxa"/>
            <w:tcBorders>
              <w:tl2br w:val="nil"/>
              <w:tr2bl w:val="nil"/>
            </w:tcBorders>
            <w:noWrap w:val="0"/>
            <w:vAlign w:val="center"/>
          </w:tcPr>
          <w:p w14:paraId="0AF0AC9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与其他投标供应商的法定代表人、主要经营负责人、投标授权代表人、项目负责人、主要技术人员为</w:t>
            </w:r>
            <w:r>
              <w:rPr>
                <w:rFonts w:hint="eastAsia" w:ascii="宋体" w:hAnsi="宋体" w:eastAsia="宋体" w:cs="宋体"/>
                <w:b/>
                <w:bCs/>
                <w:color w:val="FF0000"/>
                <w:sz w:val="21"/>
                <w:szCs w:val="21"/>
                <w:highlight w:val="none"/>
                <w:lang w:val="en-US" w:eastAsia="zh-CN"/>
              </w:rPr>
              <w:t>同一人、属同一单位或者在同一单位缴纳社会保险</w:t>
            </w:r>
            <w:r>
              <w:rPr>
                <w:rFonts w:hint="eastAsia" w:ascii="宋体" w:hAnsi="宋体" w:eastAsia="宋体" w:cs="宋体"/>
                <w:color w:val="FF0000"/>
                <w:sz w:val="21"/>
                <w:szCs w:val="21"/>
                <w:highlight w:val="none"/>
                <w:lang w:val="en-US" w:eastAsia="zh-CN"/>
              </w:rPr>
              <w:t>。</w:t>
            </w:r>
          </w:p>
        </w:tc>
      </w:tr>
      <w:tr w14:paraId="35639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1" w:type="dxa"/>
            <w:tcBorders>
              <w:tl2br w:val="nil"/>
              <w:tr2bl w:val="nil"/>
            </w:tcBorders>
            <w:noWrap w:val="0"/>
            <w:vAlign w:val="center"/>
          </w:tcPr>
          <w:p w14:paraId="7A916AA4">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2</w:t>
            </w:r>
          </w:p>
        </w:tc>
        <w:tc>
          <w:tcPr>
            <w:tcW w:w="7711" w:type="dxa"/>
            <w:tcBorders>
              <w:tl2br w:val="nil"/>
              <w:tr2bl w:val="nil"/>
            </w:tcBorders>
            <w:noWrap w:val="0"/>
            <w:vAlign w:val="center"/>
          </w:tcPr>
          <w:p w14:paraId="6C7742B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参与本项目政府采购活动时，与其他投标供应商存在单位负责人为</w:t>
            </w:r>
            <w:r>
              <w:rPr>
                <w:rFonts w:hint="eastAsia" w:ascii="宋体" w:hAnsi="宋体" w:eastAsia="宋体" w:cs="宋体"/>
                <w:b/>
                <w:bCs/>
                <w:color w:val="FF0000"/>
                <w:sz w:val="21"/>
                <w:szCs w:val="21"/>
                <w:highlight w:val="none"/>
                <w:lang w:val="en-US" w:eastAsia="zh-CN"/>
              </w:rPr>
              <w:t>同一人或直接控股、管理关系</w:t>
            </w:r>
            <w:r>
              <w:rPr>
                <w:rFonts w:hint="eastAsia" w:ascii="宋体" w:hAnsi="宋体" w:eastAsia="宋体" w:cs="宋体"/>
                <w:color w:val="FF0000"/>
                <w:sz w:val="21"/>
                <w:szCs w:val="21"/>
                <w:highlight w:val="none"/>
                <w:lang w:val="en-US" w:eastAsia="zh-CN"/>
              </w:rPr>
              <w:t>。</w:t>
            </w:r>
          </w:p>
        </w:tc>
      </w:tr>
      <w:tr w14:paraId="190FA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noWrap w:val="0"/>
            <w:vAlign w:val="center"/>
          </w:tcPr>
          <w:p w14:paraId="3EE2963E">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3</w:t>
            </w:r>
          </w:p>
        </w:tc>
        <w:tc>
          <w:tcPr>
            <w:tcW w:w="7711" w:type="dxa"/>
            <w:tcBorders>
              <w:tl2br w:val="nil"/>
              <w:tr2bl w:val="nil"/>
            </w:tcBorders>
            <w:noWrap w:val="0"/>
            <w:vAlign w:val="center"/>
          </w:tcPr>
          <w:p w14:paraId="6130386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与其他投标供应商的投标文件或部分投标文件</w:t>
            </w:r>
            <w:r>
              <w:rPr>
                <w:rFonts w:hint="eastAsia" w:ascii="宋体" w:hAnsi="宋体" w:eastAsia="宋体" w:cs="宋体"/>
                <w:b/>
                <w:bCs/>
                <w:color w:val="FF0000"/>
                <w:sz w:val="21"/>
                <w:szCs w:val="21"/>
                <w:highlight w:val="none"/>
                <w:lang w:val="en-US" w:eastAsia="zh-CN"/>
              </w:rPr>
              <w:t>相互混装或存在非正常一致</w:t>
            </w:r>
            <w:r>
              <w:rPr>
                <w:rFonts w:hint="eastAsia" w:ascii="宋体" w:hAnsi="宋体" w:eastAsia="宋体" w:cs="宋体"/>
                <w:color w:val="FF0000"/>
                <w:sz w:val="21"/>
                <w:szCs w:val="21"/>
                <w:highlight w:val="none"/>
                <w:lang w:val="en-US" w:eastAsia="zh-CN"/>
              </w:rPr>
              <w:t>。</w:t>
            </w:r>
          </w:p>
        </w:tc>
      </w:tr>
      <w:tr w14:paraId="18E1F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trPr>
        <w:tc>
          <w:tcPr>
            <w:tcW w:w="811" w:type="dxa"/>
            <w:tcBorders>
              <w:tl2br w:val="nil"/>
              <w:tr2bl w:val="nil"/>
            </w:tcBorders>
            <w:noWrap w:val="0"/>
            <w:vAlign w:val="center"/>
          </w:tcPr>
          <w:p w14:paraId="7351041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4</w:t>
            </w:r>
          </w:p>
        </w:tc>
        <w:tc>
          <w:tcPr>
            <w:tcW w:w="7711" w:type="dxa"/>
            <w:tcBorders>
              <w:tl2br w:val="nil"/>
              <w:tr2bl w:val="nil"/>
            </w:tcBorders>
            <w:noWrap w:val="0"/>
            <w:vAlign w:val="center"/>
          </w:tcPr>
          <w:p w14:paraId="0567FE6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kern w:val="2"/>
                <w:sz w:val="21"/>
                <w:szCs w:val="21"/>
                <w:highlight w:val="none"/>
                <w:lang w:val="en-US" w:eastAsia="zh-CN" w:bidi="ar-SA"/>
              </w:rPr>
            </w:pPr>
            <w:r>
              <w:rPr>
                <w:rFonts w:hint="eastAsia" w:ascii="宋体" w:hAnsi="宋体" w:eastAsia="宋体" w:cs="宋体"/>
                <w:color w:val="FF0000"/>
                <w:sz w:val="21"/>
                <w:szCs w:val="21"/>
                <w:highlight w:val="none"/>
                <w:lang w:val="en-US" w:eastAsia="zh-CN"/>
              </w:rPr>
              <w:t>与其他投标供应商的投标文件由</w:t>
            </w:r>
            <w:r>
              <w:rPr>
                <w:rFonts w:hint="eastAsia" w:ascii="宋体" w:hAnsi="宋体" w:eastAsia="宋体" w:cs="宋体"/>
                <w:b/>
                <w:bCs/>
                <w:color w:val="FF0000"/>
                <w:sz w:val="21"/>
                <w:szCs w:val="21"/>
                <w:highlight w:val="none"/>
                <w:lang w:val="en-US" w:eastAsia="zh-CN"/>
              </w:rPr>
              <w:t>同一单位或者同一人编制</w:t>
            </w:r>
            <w:r>
              <w:rPr>
                <w:rFonts w:hint="eastAsia" w:ascii="宋体" w:hAnsi="宋体" w:eastAsia="宋体" w:cs="宋体"/>
                <w:color w:val="FF0000"/>
                <w:sz w:val="21"/>
                <w:szCs w:val="21"/>
                <w:highlight w:val="none"/>
                <w:lang w:val="en-US" w:eastAsia="zh-CN"/>
              </w:rPr>
              <w:t>，或者使用</w:t>
            </w:r>
            <w:r>
              <w:rPr>
                <w:rFonts w:hint="eastAsia" w:ascii="宋体" w:hAnsi="宋体" w:eastAsia="宋体" w:cs="宋体"/>
                <w:b/>
                <w:bCs/>
                <w:color w:val="FF0000"/>
                <w:sz w:val="21"/>
                <w:szCs w:val="21"/>
                <w:highlight w:val="none"/>
                <w:lang w:val="en-US" w:eastAsia="zh-CN"/>
              </w:rPr>
              <w:t>同一设备编制</w:t>
            </w:r>
            <w:r>
              <w:rPr>
                <w:rFonts w:hint="eastAsia" w:ascii="宋体" w:hAnsi="宋体" w:eastAsia="宋体" w:cs="宋体"/>
                <w:color w:val="FF0000"/>
                <w:sz w:val="21"/>
                <w:szCs w:val="21"/>
                <w:highlight w:val="none"/>
                <w:lang w:val="en-US" w:eastAsia="zh-CN"/>
              </w:rPr>
              <w:t>（“文件制作机器码”“文件创建标识码”一致）。</w:t>
            </w:r>
          </w:p>
        </w:tc>
      </w:tr>
      <w:tr w14:paraId="576E4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811" w:type="dxa"/>
            <w:tcBorders>
              <w:tl2br w:val="nil"/>
              <w:tr2bl w:val="nil"/>
            </w:tcBorders>
            <w:noWrap w:val="0"/>
            <w:vAlign w:val="center"/>
          </w:tcPr>
          <w:p w14:paraId="61315CE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5</w:t>
            </w:r>
          </w:p>
        </w:tc>
        <w:tc>
          <w:tcPr>
            <w:tcW w:w="7711" w:type="dxa"/>
            <w:tcBorders>
              <w:tl2br w:val="nil"/>
              <w:tr2bl w:val="nil"/>
            </w:tcBorders>
            <w:noWrap w:val="0"/>
            <w:vAlign w:val="center"/>
          </w:tcPr>
          <w:p w14:paraId="4907141A">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提供</w:t>
            </w:r>
            <w:r>
              <w:rPr>
                <w:rFonts w:hint="eastAsia" w:ascii="宋体" w:hAnsi="宋体" w:eastAsia="宋体" w:cs="宋体"/>
                <w:b/>
                <w:bCs/>
                <w:color w:val="FF0000"/>
                <w:sz w:val="21"/>
                <w:szCs w:val="21"/>
                <w:highlight w:val="none"/>
                <w:lang w:val="en-US" w:eastAsia="zh-CN"/>
              </w:rPr>
              <w:t>未经出具机构核实</w:t>
            </w:r>
            <w:r>
              <w:rPr>
                <w:rFonts w:hint="eastAsia" w:ascii="宋体" w:hAnsi="宋体" w:eastAsia="宋体" w:cs="宋体"/>
                <w:color w:val="FF0000"/>
                <w:sz w:val="21"/>
                <w:szCs w:val="21"/>
                <w:highlight w:val="none"/>
                <w:lang w:val="en-US" w:eastAsia="zh-CN"/>
              </w:rPr>
              <w:t>的虚假的检验检测报告、业绩材料、社保缴纳证明、学历学位证书、职称认证证书等材料。</w:t>
            </w:r>
          </w:p>
        </w:tc>
      </w:tr>
      <w:tr w14:paraId="41ABE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11" w:type="dxa"/>
            <w:tcBorders>
              <w:tl2br w:val="nil"/>
              <w:tr2bl w:val="nil"/>
            </w:tcBorders>
            <w:noWrap w:val="0"/>
            <w:vAlign w:val="center"/>
          </w:tcPr>
          <w:p w14:paraId="467C34C1">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6</w:t>
            </w:r>
          </w:p>
        </w:tc>
        <w:tc>
          <w:tcPr>
            <w:tcW w:w="7711" w:type="dxa"/>
            <w:tcBorders>
              <w:tl2br w:val="nil"/>
              <w:tr2bl w:val="nil"/>
            </w:tcBorders>
            <w:noWrap w:val="0"/>
            <w:vAlign w:val="center"/>
          </w:tcPr>
          <w:p w14:paraId="293AE2D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kern w:val="2"/>
                <w:sz w:val="21"/>
                <w:szCs w:val="21"/>
                <w:highlight w:val="none"/>
                <w:lang w:val="en-US" w:eastAsia="zh-CN" w:bidi="ar-SA"/>
              </w:rPr>
            </w:pPr>
            <w:r>
              <w:rPr>
                <w:rFonts w:hint="eastAsia" w:ascii="宋体" w:hAnsi="宋体" w:eastAsia="宋体" w:cs="宋体"/>
                <w:color w:val="FF0000"/>
                <w:sz w:val="21"/>
                <w:szCs w:val="21"/>
                <w:highlight w:val="none"/>
                <w:lang w:val="en-US" w:eastAsia="zh-CN"/>
              </w:rPr>
              <w:t>擅自将投标密钥</w:t>
            </w:r>
            <w:r>
              <w:rPr>
                <w:rFonts w:hint="eastAsia" w:ascii="宋体" w:hAnsi="宋体" w:eastAsia="宋体" w:cs="宋体"/>
                <w:color w:val="FF0000"/>
                <w:sz w:val="21"/>
                <w:szCs w:val="21"/>
                <w:highlight w:val="none"/>
                <w:lang w:eastAsia="zh-CN"/>
              </w:rPr>
              <w:t>或</w:t>
            </w:r>
            <w:r>
              <w:rPr>
                <w:rFonts w:hint="eastAsia" w:ascii="宋体" w:hAnsi="宋体" w:eastAsia="宋体" w:cs="宋体"/>
                <w:color w:val="FF0000"/>
                <w:sz w:val="21"/>
                <w:szCs w:val="21"/>
                <w:highlight w:val="none"/>
                <w:lang w:val="en-US" w:eastAsia="zh-CN"/>
              </w:rPr>
              <w:t>电子营业执照出借他人使用或未妥善保管。</w:t>
            </w:r>
          </w:p>
        </w:tc>
      </w:tr>
    </w:tbl>
    <w:p w14:paraId="1A3D8A4C">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hint="eastAsia" w:ascii="宋体" w:hAnsi="宋体"/>
          <w:color w:val="FF0000"/>
          <w:sz w:val="20"/>
          <w:szCs w:val="20"/>
        </w:rPr>
      </w:pPr>
    </w:p>
    <w:p w14:paraId="05049EA8">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一、</w:t>
      </w:r>
      <w:r>
        <w:rPr>
          <w:rFonts w:hint="eastAsia" w:ascii="宋体" w:hAnsi="宋体"/>
          <w:b/>
          <w:bCs/>
          <w:color w:val="FF0000"/>
          <w:sz w:val="20"/>
          <w:szCs w:val="20"/>
        </w:rPr>
        <w:t>《深圳经济特区政府采购条例》第五十七条</w:t>
      </w:r>
      <w:r>
        <w:rPr>
          <w:rFonts w:hint="eastAsia" w:ascii="宋体" w:hAnsi="宋体"/>
          <w:color w:val="FF0000"/>
          <w:sz w:val="20"/>
          <w:szCs w:val="20"/>
        </w:rPr>
        <w:t xml:space="preserve"> 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14:paraId="52EE01AF">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（一）在采购活动中应当回避而未回避的；</w:t>
      </w:r>
    </w:p>
    <w:p w14:paraId="783D5CC5">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（二）未按本条例规定签订、履行采购合同，造成严重后果的；</w:t>
      </w:r>
    </w:p>
    <w:p w14:paraId="30A23C3A">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（三）隐瞒真实情况，提供虚假资料的；</w:t>
      </w:r>
    </w:p>
    <w:p w14:paraId="04E6C5C8">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（四）以非法手段排斥其他供应商参与竞争的；</w:t>
      </w:r>
    </w:p>
    <w:p w14:paraId="76A19F9E">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（五）与其他采购参加人串通投标的；</w:t>
      </w:r>
    </w:p>
    <w:p w14:paraId="606E179A">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（六）恶意投诉的；</w:t>
      </w:r>
    </w:p>
    <w:p w14:paraId="47FB4D60">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（七）向采购项目相关人行贿或者提供其他不当利益的；</w:t>
      </w:r>
    </w:p>
    <w:p w14:paraId="7A977BB2">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（八）阻碍、抗拒主管部门监督检查的；</w:t>
      </w:r>
    </w:p>
    <w:p w14:paraId="7651C4E4">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（九）其他违反本条例规定的行为。</w:t>
      </w:r>
    </w:p>
    <w:p w14:paraId="58279768">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2" w:firstLineChars="200"/>
        <w:textAlignment w:val="auto"/>
        <w:rPr>
          <w:rFonts w:ascii="宋体" w:hAnsi="宋体"/>
          <w:color w:val="FF0000"/>
          <w:sz w:val="20"/>
          <w:szCs w:val="20"/>
        </w:rPr>
      </w:pPr>
      <w:r>
        <w:rPr>
          <w:rFonts w:hint="eastAsia" w:ascii="宋体" w:hAnsi="宋体"/>
          <w:b/>
          <w:bCs/>
          <w:color w:val="FF0000"/>
          <w:sz w:val="20"/>
          <w:szCs w:val="20"/>
        </w:rPr>
        <w:t>二、《深圳经济特区政府采购条例实施细则》第七十五条</w:t>
      </w:r>
      <w:r>
        <w:rPr>
          <w:rFonts w:hint="eastAsia" w:ascii="宋体" w:hAnsi="宋体"/>
          <w:b/>
          <w:bCs/>
          <w:color w:val="FF0000"/>
          <w:sz w:val="20"/>
          <w:szCs w:val="20"/>
          <w:lang w:val="en-US" w:eastAsia="zh-CN"/>
        </w:rPr>
        <w:t xml:space="preserve"> </w:t>
      </w:r>
      <w:r>
        <w:rPr>
          <w:rFonts w:hint="eastAsia" w:ascii="宋体" w:hAnsi="宋体"/>
          <w:color w:val="FF0000"/>
          <w:sz w:val="20"/>
          <w:szCs w:val="20"/>
        </w:rPr>
        <w:t>供应商有下列情形</w:t>
      </w:r>
      <w:r>
        <w:rPr>
          <w:rFonts w:hint="eastAsia" w:ascii="宋体" w:hAnsi="宋体"/>
          <w:color w:val="FF0000"/>
          <w:sz w:val="20"/>
          <w:szCs w:val="20"/>
          <w:lang w:val="en-US" w:eastAsia="zh-CN"/>
        </w:rPr>
        <w:t>之一</w:t>
      </w:r>
      <w:r>
        <w:rPr>
          <w:rFonts w:hint="eastAsia" w:ascii="宋体" w:hAnsi="宋体"/>
          <w:color w:val="FF0000"/>
          <w:sz w:val="20"/>
          <w:szCs w:val="20"/>
        </w:rPr>
        <w:t>的，属于采购条例所称的串通投标行为，按照采购条例第五十七条有关规定处理：（一）投标供应商之间相互约定给予未中标的供应商利益补偿</w:t>
      </w:r>
      <w:r>
        <w:rPr>
          <w:rFonts w:hint="eastAsia" w:ascii="宋体" w:hAnsi="宋体"/>
          <w:color w:val="FF0000"/>
          <w:sz w:val="20"/>
          <w:szCs w:val="20"/>
          <w:lang w:eastAsia="zh-CN"/>
        </w:rPr>
        <w:t>。</w:t>
      </w:r>
      <w:r>
        <w:rPr>
          <w:rFonts w:hint="eastAsia" w:ascii="宋体" w:hAnsi="宋体"/>
          <w:color w:val="FF0000"/>
          <w:sz w:val="20"/>
          <w:szCs w:val="20"/>
        </w:rPr>
        <w:t>（二）不同投标供应商的法定代表人、主要经营负责人、项目投标授权代表人、项目负责人、主要技术人员为同一人、属同一单位或者在同一单位缴纳社会保险</w:t>
      </w:r>
      <w:r>
        <w:rPr>
          <w:rFonts w:hint="eastAsia" w:ascii="宋体" w:hAnsi="宋体"/>
          <w:color w:val="FF0000"/>
          <w:sz w:val="20"/>
          <w:szCs w:val="20"/>
          <w:lang w:eastAsia="zh-CN"/>
        </w:rPr>
        <w:t>。</w:t>
      </w:r>
      <w:r>
        <w:rPr>
          <w:rFonts w:hint="eastAsia" w:ascii="宋体" w:hAnsi="宋体"/>
          <w:color w:val="FF0000"/>
          <w:sz w:val="20"/>
          <w:szCs w:val="20"/>
        </w:rPr>
        <w:t>（三）不同投标供应商的投标文件由同一单位或者同一人编制，或者由同一人分阶段参与编制的</w:t>
      </w:r>
      <w:r>
        <w:rPr>
          <w:rFonts w:hint="eastAsia" w:ascii="宋体" w:hAnsi="宋体"/>
          <w:color w:val="FF0000"/>
          <w:sz w:val="20"/>
          <w:szCs w:val="20"/>
          <w:lang w:eastAsia="zh-CN"/>
        </w:rPr>
        <w:t>。</w:t>
      </w:r>
      <w:r>
        <w:rPr>
          <w:rFonts w:hint="eastAsia" w:ascii="宋体" w:hAnsi="宋体"/>
          <w:color w:val="FF0000"/>
          <w:sz w:val="20"/>
          <w:szCs w:val="20"/>
        </w:rPr>
        <w:t>（四）不同投标供应商的投标文件或部分投标文件相互混装</w:t>
      </w:r>
      <w:r>
        <w:rPr>
          <w:rFonts w:hint="eastAsia" w:ascii="宋体" w:hAnsi="宋体"/>
          <w:color w:val="FF0000"/>
          <w:sz w:val="20"/>
          <w:szCs w:val="20"/>
          <w:lang w:eastAsia="zh-CN"/>
        </w:rPr>
        <w:t>。</w:t>
      </w:r>
      <w:r>
        <w:rPr>
          <w:rFonts w:hint="eastAsia" w:ascii="宋体" w:hAnsi="宋体"/>
          <w:color w:val="FF0000"/>
          <w:sz w:val="20"/>
          <w:szCs w:val="20"/>
        </w:rPr>
        <w:t>（五）不同投标供应商的投标文件内容存在非正常一致</w:t>
      </w:r>
      <w:r>
        <w:rPr>
          <w:rFonts w:hint="eastAsia" w:ascii="宋体" w:hAnsi="宋体"/>
          <w:color w:val="FF0000"/>
          <w:sz w:val="20"/>
          <w:szCs w:val="20"/>
          <w:lang w:eastAsia="zh-CN"/>
        </w:rPr>
        <w:t>。</w:t>
      </w:r>
      <w:r>
        <w:rPr>
          <w:rFonts w:hint="eastAsia" w:ascii="宋体" w:hAnsi="宋体"/>
          <w:color w:val="FF0000"/>
          <w:sz w:val="20"/>
          <w:szCs w:val="20"/>
        </w:rPr>
        <w:t>（六）由同一单位工作人员为两家以上（含两家）供应商进行同一项投标活动的</w:t>
      </w:r>
      <w:r>
        <w:rPr>
          <w:rFonts w:hint="eastAsia" w:ascii="宋体" w:hAnsi="宋体"/>
          <w:color w:val="FF0000"/>
          <w:sz w:val="20"/>
          <w:szCs w:val="20"/>
          <w:lang w:eastAsia="zh-CN"/>
        </w:rPr>
        <w:t>。</w:t>
      </w:r>
      <w:r>
        <w:rPr>
          <w:rFonts w:hint="eastAsia" w:ascii="宋体" w:hAnsi="宋体"/>
          <w:color w:val="FF0000"/>
          <w:sz w:val="20"/>
          <w:szCs w:val="20"/>
        </w:rPr>
        <w:t>（七）主管部门依照法律、法规认定的其他情形。</w:t>
      </w:r>
    </w:p>
    <w:p w14:paraId="24C631E7">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2" w:firstLineChars="200"/>
        <w:textAlignment w:val="auto"/>
        <w:rPr>
          <w:rFonts w:ascii="宋体" w:hAnsi="宋体"/>
          <w:color w:val="FF0000"/>
          <w:sz w:val="20"/>
          <w:szCs w:val="20"/>
        </w:rPr>
      </w:pPr>
      <w:r>
        <w:rPr>
          <w:rFonts w:hint="eastAsia" w:ascii="宋体" w:hAnsi="宋体"/>
          <w:b/>
          <w:bCs/>
          <w:color w:val="FF0000"/>
          <w:sz w:val="20"/>
          <w:szCs w:val="20"/>
        </w:rPr>
        <w:t>三、《深圳经济特区政府采购条例实施细则》第七十七条</w:t>
      </w:r>
      <w:r>
        <w:rPr>
          <w:rFonts w:hint="eastAsia" w:ascii="宋体" w:hAnsi="宋体"/>
          <w:b/>
          <w:bCs/>
          <w:color w:val="FF0000"/>
          <w:sz w:val="20"/>
          <w:szCs w:val="20"/>
          <w:lang w:val="en-US" w:eastAsia="zh-CN"/>
        </w:rPr>
        <w:t xml:space="preserve"> </w:t>
      </w:r>
      <w:r>
        <w:rPr>
          <w:rFonts w:hint="eastAsia" w:ascii="宋体" w:hAnsi="宋体"/>
          <w:color w:val="FF0000"/>
          <w:sz w:val="20"/>
          <w:szCs w:val="20"/>
        </w:rPr>
        <w:t>供应商有下列情形之一的，属于隐瞒真实情况，提供虚假资料，按照采购条例第五十七</w:t>
      </w:r>
      <w:r>
        <w:rPr>
          <w:rFonts w:hint="eastAsia" w:ascii="宋体" w:hAnsi="宋体"/>
          <w:color w:val="FF0000"/>
          <w:sz w:val="20"/>
          <w:szCs w:val="20"/>
          <w:lang w:val="en-US" w:eastAsia="zh-CN"/>
        </w:rPr>
        <w:t>条</w:t>
      </w:r>
      <w:r>
        <w:rPr>
          <w:rFonts w:hint="eastAsia" w:ascii="宋体" w:hAnsi="宋体"/>
          <w:color w:val="FF0000"/>
          <w:sz w:val="20"/>
          <w:szCs w:val="20"/>
        </w:rPr>
        <w:t>的有关规定处理：（一）通过转让或者租借等方式从其他单位获取资格或者资质证书投标的</w:t>
      </w:r>
      <w:r>
        <w:rPr>
          <w:rFonts w:hint="eastAsia" w:ascii="宋体" w:hAnsi="宋体"/>
          <w:color w:val="FF0000"/>
          <w:sz w:val="20"/>
          <w:szCs w:val="20"/>
          <w:lang w:eastAsia="zh-CN"/>
        </w:rPr>
        <w:t>。</w:t>
      </w:r>
      <w:r>
        <w:rPr>
          <w:rFonts w:hint="eastAsia" w:ascii="宋体" w:hAnsi="宋体"/>
          <w:color w:val="FF0000"/>
          <w:sz w:val="20"/>
          <w:szCs w:val="20"/>
        </w:rPr>
        <w:t>（二）由其他单位或者其他单位负责人在投标供应商编制的投标文件上加盖印章或者签字的</w:t>
      </w:r>
      <w:r>
        <w:rPr>
          <w:rFonts w:hint="eastAsia" w:ascii="宋体" w:hAnsi="宋体"/>
          <w:color w:val="FF0000"/>
          <w:sz w:val="20"/>
          <w:szCs w:val="20"/>
          <w:lang w:eastAsia="zh-CN"/>
        </w:rPr>
        <w:t>。</w:t>
      </w:r>
      <w:r>
        <w:rPr>
          <w:rFonts w:hint="eastAsia" w:ascii="宋体" w:hAnsi="宋体"/>
          <w:color w:val="FF0000"/>
          <w:sz w:val="20"/>
          <w:szCs w:val="20"/>
        </w:rPr>
        <w:t>（三）项目负责人或者主要技术人员不是本单位人员的</w:t>
      </w:r>
      <w:r>
        <w:rPr>
          <w:rFonts w:hint="eastAsia" w:ascii="宋体" w:hAnsi="宋体"/>
          <w:color w:val="FF0000"/>
          <w:sz w:val="20"/>
          <w:szCs w:val="20"/>
          <w:lang w:eastAsia="zh-CN"/>
        </w:rPr>
        <w:t>。</w:t>
      </w:r>
      <w:r>
        <w:rPr>
          <w:rFonts w:hint="eastAsia" w:ascii="宋体" w:hAnsi="宋体"/>
          <w:color w:val="FF0000"/>
          <w:sz w:val="20"/>
          <w:szCs w:val="20"/>
        </w:rPr>
        <w:t>（四）投标保证金不是从投标供应商基本账户转出的</w:t>
      </w:r>
      <w:r>
        <w:rPr>
          <w:rFonts w:hint="eastAsia" w:ascii="宋体" w:hAnsi="宋体"/>
          <w:color w:val="FF0000"/>
          <w:sz w:val="20"/>
          <w:szCs w:val="20"/>
          <w:lang w:eastAsia="zh-CN"/>
        </w:rPr>
        <w:t>。</w:t>
      </w:r>
      <w:r>
        <w:rPr>
          <w:rFonts w:hint="eastAsia" w:ascii="宋体" w:hAnsi="宋体"/>
          <w:color w:val="FF0000"/>
          <w:sz w:val="20"/>
          <w:szCs w:val="20"/>
        </w:rPr>
        <w:t>（五）其他隐瞒真实情况、提供虚假资料的行为。</w:t>
      </w:r>
    </w:p>
    <w:p w14:paraId="54E052BF">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投标供应商不能提供项目负责人或者主要技术人员的劳动合同、社会保险等劳动关系证明材料的，视为存在前款第（三）项规定的情形。</w:t>
      </w:r>
    </w:p>
    <w:p w14:paraId="01846C9E">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hint="eastAsia"/>
          <w:b w:val="0"/>
          <w:bCs/>
          <w:color w:val="FF0000"/>
          <w:sz w:val="20"/>
          <w:szCs w:val="20"/>
          <w:lang w:val="en-US" w:eastAsia="zh-CN"/>
        </w:rPr>
      </w:pPr>
      <w:r>
        <w:rPr>
          <w:rFonts w:hint="eastAsia"/>
          <w:b w:val="0"/>
          <w:bCs/>
          <w:color w:val="FF0000"/>
          <w:sz w:val="20"/>
          <w:szCs w:val="20"/>
          <w:lang w:val="en-US" w:eastAsia="zh-CN"/>
        </w:rPr>
        <w:t>四</w:t>
      </w:r>
      <w:r>
        <w:rPr>
          <w:rFonts w:hint="eastAsia" w:ascii="Times New Roman" w:eastAsia="宋体"/>
          <w:b w:val="0"/>
          <w:bCs/>
          <w:color w:val="FF0000"/>
          <w:sz w:val="20"/>
          <w:szCs w:val="20"/>
          <w:lang w:val="en-US" w:eastAsia="zh-CN"/>
        </w:rPr>
        <w:t>、供应商在使用深圳政府采购智慧平台的投标文件制作工具创建投标文件时，该工具将自动在投标文件中记录文件创建标识码，同时提取投标文件制作电脑的网卡MAC地址、硬盘序列号、CPU序列号、主板序列号和工具标识号，经加密生成文件制作机器码并在投标文件中记录。文件制作机器码一致表明不同供应商使用了同一设备编制投标文件，文件创建标识码一致表明不同供应商的投标文件为同一份文件，IP地址一致表明上传投标文件时使用了相同的网络。</w:t>
      </w:r>
    </w:p>
    <w:p w14:paraId="17448B31">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hint="eastAsia"/>
          <w:b w:val="0"/>
          <w:bCs/>
          <w:color w:val="FF0000"/>
          <w:sz w:val="20"/>
          <w:szCs w:val="20"/>
          <w:lang w:val="en-US" w:eastAsia="zh-CN"/>
        </w:rPr>
      </w:pPr>
      <w:r>
        <w:rPr>
          <w:rFonts w:hint="eastAsia" w:ascii="Times New Roman" w:eastAsia="宋体"/>
          <w:b w:val="0"/>
          <w:bCs/>
          <w:color w:val="FF0000"/>
          <w:sz w:val="20"/>
          <w:szCs w:val="20"/>
          <w:lang w:val="en-US" w:eastAsia="zh-CN"/>
        </w:rPr>
        <w:t>为避免出现不同供应商投标文件的文件制作机器码、文件创建标识码、IP地址一致的异常情况，建议各供应商编制、上传投标文件时不要使用公共电脑设备或公共网络。</w:t>
      </w:r>
    </w:p>
    <w:p w14:paraId="4671DCBD">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hint="eastAsia" w:ascii="Times New Roman" w:eastAsia="宋体"/>
          <w:b w:val="0"/>
          <w:bCs/>
          <w:color w:val="FF0000"/>
          <w:sz w:val="20"/>
          <w:szCs w:val="20"/>
          <w:lang w:val="en-US" w:eastAsia="zh-CN"/>
        </w:rPr>
      </w:pPr>
      <w:r>
        <w:rPr>
          <w:rFonts w:hint="eastAsia" w:ascii="Times New Roman" w:eastAsia="宋体"/>
          <w:b w:val="0"/>
          <w:bCs/>
          <w:color w:val="FF0000"/>
          <w:sz w:val="20"/>
          <w:szCs w:val="20"/>
          <w:lang w:val="en-US" w:eastAsia="zh-CN"/>
        </w:rPr>
        <w:t>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w:t>
      </w:r>
      <w:r>
        <w:rPr>
          <w:rFonts w:hint="eastAsia" w:ascii="宋体" w:hAnsi="宋体"/>
          <w:color w:val="FF0000"/>
          <w:sz w:val="20"/>
          <w:szCs w:val="20"/>
        </w:rPr>
        <w:t>取消参与本市政府采购资格</w:t>
      </w:r>
      <w:r>
        <w:rPr>
          <w:rFonts w:hint="eastAsia" w:hAnsi="宋体"/>
          <w:color w:val="FF0000"/>
          <w:sz w:val="20"/>
          <w:szCs w:val="20"/>
          <w:lang w:eastAsia="zh-CN"/>
        </w:rPr>
        <w:t>、</w:t>
      </w:r>
      <w:r>
        <w:rPr>
          <w:rFonts w:hint="eastAsia" w:ascii="宋体" w:hAnsi="宋体"/>
          <w:color w:val="FF0000"/>
          <w:sz w:val="20"/>
          <w:szCs w:val="20"/>
        </w:rPr>
        <w:t>依法吊销其营业</w:t>
      </w:r>
      <w:r>
        <w:rPr>
          <w:rFonts w:hint="eastAsia" w:hAnsi="宋体"/>
          <w:color w:val="FF0000"/>
          <w:sz w:val="20"/>
          <w:szCs w:val="20"/>
          <w:lang w:val="en-US" w:eastAsia="zh-CN"/>
        </w:rPr>
        <w:t>执照等行政处罚，</w:t>
      </w:r>
      <w:r>
        <w:rPr>
          <w:rFonts w:hint="eastAsia" w:ascii="宋体" w:hAnsi="宋体"/>
          <w:color w:val="FF0000"/>
          <w:sz w:val="20"/>
          <w:szCs w:val="20"/>
        </w:rPr>
        <w:t>构成犯罪的，依法追究刑事责任</w:t>
      </w:r>
      <w:r>
        <w:rPr>
          <w:rFonts w:hint="eastAsia" w:ascii="Times New Roman" w:eastAsia="宋体"/>
          <w:b w:val="0"/>
          <w:bCs/>
          <w:color w:val="FF0000"/>
          <w:sz w:val="20"/>
          <w:szCs w:val="20"/>
          <w:lang w:val="en-US" w:eastAsia="zh-CN"/>
        </w:rPr>
        <w:t>，请各供应商独立编制、上传投标文件，妥善保管和使用电子秘钥。</w:t>
      </w:r>
    </w:p>
    <w:p w14:paraId="41AF4CF5">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22" w:firstLineChars="200"/>
        <w:textAlignment w:val="auto"/>
        <w:rPr>
          <w:rFonts w:hint="eastAsia"/>
          <w:lang w:val="en-US" w:eastAsia="zh-CN"/>
        </w:rPr>
      </w:pPr>
      <w:r>
        <w:rPr>
          <w:rFonts w:hint="eastAsia" w:ascii="Times New Roman" w:eastAsia="宋体"/>
          <w:b/>
          <w:color w:val="FF0000"/>
          <w:lang w:val="en-US" w:eastAsia="zh-CN"/>
        </w:rPr>
        <w:t>五</w:t>
      </w:r>
      <w:r>
        <w:rPr>
          <w:rFonts w:hint="eastAsia"/>
          <w:b/>
          <w:color w:val="FF0000"/>
        </w:rPr>
        <w:t>、请投标供应商阅读《政府采购违法行为风险知悉确认书》（内容详见“投标文件附件（信息不公开部分）”中节点“投标人认为需要加以说明的其他内容（格式自定）”），并经各投标供应商负责人签字并加盖单位公章后，扫描上传至投标文件一并提交。</w:t>
      </w:r>
    </w:p>
    <w:p w14:paraId="34410AB4">
      <w:pPr>
        <w:pStyle w:val="52"/>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textAlignment w:val="auto"/>
        <w:rPr>
          <w:rFonts w:hint="eastAsia"/>
          <w:b w:val="0"/>
          <w:bCs/>
          <w:color w:val="FF0000"/>
          <w:sz w:val="20"/>
          <w:szCs w:val="20"/>
          <w:lang w:val="en-US" w:eastAsia="zh-CN"/>
        </w:rPr>
      </w:pPr>
    </w:p>
    <w:p w14:paraId="7DC41BAE">
      <w:pPr>
        <w:pStyle w:val="14"/>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jc w:val="both"/>
        <w:textAlignment w:val="auto"/>
        <w:outlineLvl w:val="1"/>
        <w:rPr>
          <w:rFonts w:hint="eastAsia" w:ascii="黑体" w:hAnsi="宋体" w:eastAsia="黑体" w:cs="黑体"/>
          <w:kern w:val="0"/>
          <w:sz w:val="40"/>
          <w:szCs w:val="40"/>
        </w:rPr>
        <w:sectPr>
          <w:headerReference r:id="rId3" w:type="first"/>
          <w:footerReference r:id="rId4" w:type="default"/>
          <w:footerReference r:id="rId5" w:type="even"/>
          <w:pgSz w:w="11907" w:h="16840"/>
          <w:pgMar w:top="1440" w:right="1417" w:bottom="1440" w:left="1417" w:header="851" w:footer="992" w:gutter="0"/>
          <w:cols w:space="425" w:num="1"/>
          <w:titlePg/>
          <w:docGrid w:linePitch="462" w:charSpace="0"/>
        </w:sectPr>
      </w:pPr>
      <w:r>
        <w:rPr>
          <w:rFonts w:hint="eastAsia" w:ascii="Times New Roman" w:hAnsi="Times New Roman" w:eastAsia="宋体" w:cs="Times New Roman"/>
          <w:b/>
          <w:color w:val="FF0000"/>
          <w:kern w:val="2"/>
          <w:sz w:val="21"/>
          <w:szCs w:val="24"/>
          <w:lang w:val="en-US" w:eastAsia="zh-CN" w:bidi="ar-SA"/>
        </w:rPr>
        <w:t>注：“特别警示条款”和《政府采购违法行为风险知悉确认书》用于对供应商违法行为的提醒，不作为供应商资格性审查及符合性审查条件。</w:t>
      </w:r>
    </w:p>
    <w:p w14:paraId="3687DF53">
      <w:pPr>
        <w:widowControl/>
        <w:spacing w:beforeAutospacing="1" w:afterAutospacing="1"/>
        <w:jc w:val="center"/>
        <w:outlineLvl w:val="0"/>
        <w:rPr>
          <w:rFonts w:hint="eastAsia" w:ascii="黑体" w:hAnsi="宋体" w:eastAsia="黑体" w:cs="黑体"/>
          <w:kern w:val="0"/>
          <w:sz w:val="40"/>
          <w:szCs w:val="40"/>
        </w:rPr>
      </w:pPr>
      <w:r>
        <w:rPr>
          <w:rFonts w:hint="eastAsia" w:ascii="黑体" w:hAnsi="宋体" w:eastAsia="黑体" w:cs="黑体"/>
          <w:kern w:val="0"/>
          <w:sz w:val="40"/>
          <w:szCs w:val="40"/>
        </w:rPr>
        <w:t>招标文件信息</w:t>
      </w:r>
    </w:p>
    <w:tbl>
      <w:tblPr>
        <w:tblStyle w:val="17"/>
        <w:tblW w:w="4999" w:type="pct"/>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36" w:type="dxa"/>
          <w:left w:w="36" w:type="dxa"/>
          <w:bottom w:w="36" w:type="dxa"/>
          <w:right w:w="36" w:type="dxa"/>
        </w:tblCellMar>
      </w:tblPr>
      <w:tblGrid>
        <w:gridCol w:w="2879"/>
        <w:gridCol w:w="5517"/>
      </w:tblGrid>
      <w:tr w14:paraId="61226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737" w:hRule="atLeast"/>
          <w:tblCellSpacing w:w="0" w:type="dxa"/>
          <w:jc w:val="center"/>
        </w:trPr>
        <w:tc>
          <w:tcPr>
            <w:tcW w:w="1714" w:type="pct"/>
            <w:vAlign w:val="center"/>
          </w:tcPr>
          <w:p w14:paraId="7CDFC49F">
            <w:pPr>
              <w:spacing w:line="290" w:lineRule="exact"/>
              <w:jc w:val="center"/>
              <w:rPr>
                <w:rFonts w:ascii="宋体" w:hAnsi="宋体" w:eastAsia="宋体" w:cs="Times New Roman"/>
                <w:sz w:val="28"/>
                <w:szCs w:val="28"/>
              </w:rPr>
            </w:pPr>
            <w:r>
              <w:rPr>
                <w:rFonts w:ascii="宋体" w:hAnsi="宋体" w:eastAsia="宋体" w:cs="Times New Roman"/>
                <w:sz w:val="28"/>
                <w:szCs w:val="28"/>
              </w:rPr>
              <w:t>项目编号：</w:t>
            </w:r>
          </w:p>
        </w:tc>
        <w:tc>
          <w:tcPr>
            <w:tcW w:w="3285" w:type="pct"/>
            <w:vAlign w:val="center"/>
          </w:tcPr>
          <w:p w14:paraId="1B638E68">
            <w:pPr>
              <w:spacing w:line="290" w:lineRule="exact"/>
              <w:jc w:val="center"/>
              <w:rPr>
                <w:rFonts w:hint="default" w:ascii="宋体" w:hAnsi="宋体" w:eastAsia="宋体" w:cs="Times New Roman"/>
                <w:sz w:val="28"/>
                <w:szCs w:val="28"/>
                <w:lang w:val="en-US" w:eastAsia="zh-CN"/>
              </w:rPr>
            </w:pPr>
            <w:r>
              <w:rPr>
                <w:rFonts w:hint="default" w:ascii="宋体" w:hAnsi="宋体" w:eastAsia="宋体" w:cs="Times New Roman"/>
                <w:sz w:val="28"/>
                <w:szCs w:val="28"/>
                <w:lang w:val="en-US" w:eastAsia="zh-CN"/>
              </w:rPr>
              <w:t>LHAZXCG-2025-000</w:t>
            </w:r>
            <w:r>
              <w:rPr>
                <w:rFonts w:hint="eastAsia" w:ascii="宋体" w:hAnsi="宋体" w:eastAsia="宋体" w:cs="Times New Roman"/>
                <w:sz w:val="28"/>
                <w:szCs w:val="28"/>
                <w:lang w:val="en-US" w:eastAsia="zh-CN"/>
              </w:rPr>
              <w:t>48</w:t>
            </w:r>
          </w:p>
        </w:tc>
      </w:tr>
      <w:tr w14:paraId="203FA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737" w:hRule="atLeast"/>
          <w:tblCellSpacing w:w="0" w:type="dxa"/>
          <w:jc w:val="center"/>
        </w:trPr>
        <w:tc>
          <w:tcPr>
            <w:tcW w:w="1714" w:type="pct"/>
            <w:vAlign w:val="center"/>
          </w:tcPr>
          <w:p w14:paraId="6662D3F4">
            <w:pPr>
              <w:spacing w:line="290" w:lineRule="exact"/>
              <w:jc w:val="center"/>
              <w:rPr>
                <w:rFonts w:ascii="宋体" w:hAnsi="宋体" w:eastAsia="宋体" w:cs="Times New Roman"/>
                <w:sz w:val="28"/>
                <w:szCs w:val="28"/>
              </w:rPr>
            </w:pPr>
            <w:r>
              <w:rPr>
                <w:rFonts w:ascii="宋体" w:hAnsi="宋体" w:eastAsia="宋体" w:cs="Times New Roman"/>
                <w:sz w:val="28"/>
                <w:szCs w:val="28"/>
              </w:rPr>
              <w:t>项目名称：</w:t>
            </w:r>
          </w:p>
        </w:tc>
        <w:tc>
          <w:tcPr>
            <w:tcW w:w="3285" w:type="pct"/>
            <w:vAlign w:val="center"/>
          </w:tcPr>
          <w:p w14:paraId="1A0532B6">
            <w:pPr>
              <w:spacing w:line="290" w:lineRule="exact"/>
              <w:jc w:val="center"/>
              <w:rPr>
                <w:rFonts w:hint="default" w:ascii="宋体" w:hAnsi="宋体" w:eastAsia="宋体" w:cs="Times New Roman"/>
                <w:sz w:val="28"/>
                <w:szCs w:val="28"/>
                <w:lang w:val="en-US" w:eastAsia="zh-CN"/>
              </w:rPr>
            </w:pPr>
            <w:r>
              <w:rPr>
                <w:rFonts w:hint="default" w:ascii="宋体" w:hAnsi="宋体" w:eastAsia="宋体" w:cs="Times New Roman"/>
                <w:sz w:val="28"/>
                <w:szCs w:val="28"/>
                <w:lang w:val="en-US" w:eastAsia="zh-CN"/>
              </w:rPr>
              <w:t>儿童家私采购</w:t>
            </w:r>
          </w:p>
        </w:tc>
      </w:tr>
      <w:tr w14:paraId="35B82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737" w:hRule="atLeast"/>
          <w:tblCellSpacing w:w="0" w:type="dxa"/>
          <w:jc w:val="center"/>
        </w:trPr>
        <w:tc>
          <w:tcPr>
            <w:tcW w:w="1714" w:type="pct"/>
            <w:vAlign w:val="center"/>
          </w:tcPr>
          <w:p w14:paraId="713E387D">
            <w:pPr>
              <w:spacing w:line="290" w:lineRule="exact"/>
              <w:jc w:val="center"/>
              <w:rPr>
                <w:rFonts w:ascii="宋体" w:hAnsi="宋体" w:eastAsia="宋体" w:cs="Times New Roman"/>
                <w:sz w:val="28"/>
                <w:szCs w:val="28"/>
              </w:rPr>
            </w:pPr>
            <w:r>
              <w:rPr>
                <w:rFonts w:ascii="宋体" w:hAnsi="宋体" w:eastAsia="宋体" w:cs="Times New Roman"/>
                <w:sz w:val="28"/>
                <w:szCs w:val="28"/>
              </w:rPr>
              <w:t>包</w:t>
            </w:r>
            <w:r>
              <w:rPr>
                <w:rFonts w:hint="eastAsia" w:ascii="宋体" w:hAnsi="宋体" w:eastAsia="宋体" w:cs="Times New Roman"/>
                <w:sz w:val="28"/>
                <w:szCs w:val="28"/>
              </w:rPr>
              <w:t xml:space="preserve">    </w:t>
            </w:r>
            <w:r>
              <w:rPr>
                <w:rFonts w:ascii="宋体" w:hAnsi="宋体" w:eastAsia="宋体" w:cs="Times New Roman"/>
                <w:sz w:val="28"/>
                <w:szCs w:val="28"/>
              </w:rPr>
              <w:t>号：</w:t>
            </w:r>
          </w:p>
        </w:tc>
        <w:tc>
          <w:tcPr>
            <w:tcW w:w="3285" w:type="pct"/>
            <w:vAlign w:val="center"/>
          </w:tcPr>
          <w:p w14:paraId="4EEFA742">
            <w:pPr>
              <w:spacing w:line="290" w:lineRule="exact"/>
              <w:jc w:val="center"/>
              <w:rPr>
                <w:rFonts w:ascii="宋体" w:hAnsi="宋体" w:eastAsia="宋体" w:cs="Times New Roman"/>
                <w:sz w:val="28"/>
                <w:szCs w:val="28"/>
              </w:rPr>
            </w:pPr>
            <w:r>
              <w:rPr>
                <w:rFonts w:ascii="宋体" w:hAnsi="宋体" w:eastAsia="宋体" w:cs="Times New Roman"/>
                <w:sz w:val="28"/>
                <w:szCs w:val="28"/>
              </w:rPr>
              <w:t>A</w:t>
            </w:r>
          </w:p>
        </w:tc>
      </w:tr>
      <w:tr w14:paraId="401FA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737" w:hRule="atLeast"/>
          <w:tblCellSpacing w:w="0" w:type="dxa"/>
          <w:jc w:val="center"/>
        </w:trPr>
        <w:tc>
          <w:tcPr>
            <w:tcW w:w="1714" w:type="pct"/>
            <w:vAlign w:val="center"/>
          </w:tcPr>
          <w:p w14:paraId="2C6D7704">
            <w:pPr>
              <w:spacing w:line="290" w:lineRule="exact"/>
              <w:jc w:val="center"/>
              <w:rPr>
                <w:rFonts w:ascii="宋体" w:hAnsi="宋体" w:eastAsia="宋体" w:cs="Times New Roman"/>
                <w:sz w:val="28"/>
                <w:szCs w:val="28"/>
              </w:rPr>
            </w:pPr>
            <w:r>
              <w:rPr>
                <w:rFonts w:ascii="宋体" w:hAnsi="宋体" w:eastAsia="宋体" w:cs="Times New Roman"/>
                <w:sz w:val="28"/>
                <w:szCs w:val="28"/>
              </w:rPr>
              <w:t>项目类型：</w:t>
            </w:r>
          </w:p>
        </w:tc>
        <w:tc>
          <w:tcPr>
            <w:tcW w:w="3285" w:type="pct"/>
            <w:vAlign w:val="center"/>
          </w:tcPr>
          <w:p w14:paraId="7217C51D">
            <w:pPr>
              <w:spacing w:line="290" w:lineRule="exact"/>
              <w:jc w:val="center"/>
              <w:rPr>
                <w:rFonts w:ascii="宋体" w:hAnsi="宋体" w:eastAsia="宋体" w:cs="Times New Roman"/>
                <w:sz w:val="28"/>
                <w:szCs w:val="28"/>
              </w:rPr>
            </w:pPr>
            <w:r>
              <w:rPr>
                <w:rFonts w:hint="eastAsia" w:ascii="宋体" w:hAnsi="宋体" w:eastAsia="宋体" w:cs="Times New Roman"/>
                <w:sz w:val="28"/>
                <w:szCs w:val="28"/>
              </w:rPr>
              <w:t>货物</w:t>
            </w:r>
            <w:r>
              <w:rPr>
                <w:rFonts w:ascii="宋体" w:hAnsi="宋体" w:eastAsia="宋体" w:cs="Times New Roman"/>
                <w:sz w:val="28"/>
                <w:szCs w:val="28"/>
              </w:rPr>
              <w:t>类</w:t>
            </w:r>
          </w:p>
        </w:tc>
      </w:tr>
      <w:tr w14:paraId="2DE2C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737" w:hRule="atLeast"/>
          <w:tblCellSpacing w:w="0" w:type="dxa"/>
          <w:jc w:val="center"/>
        </w:trPr>
        <w:tc>
          <w:tcPr>
            <w:tcW w:w="1714" w:type="pct"/>
            <w:vAlign w:val="center"/>
          </w:tcPr>
          <w:p w14:paraId="7A410AE6">
            <w:pPr>
              <w:spacing w:line="290" w:lineRule="exact"/>
              <w:jc w:val="center"/>
              <w:rPr>
                <w:rFonts w:ascii="宋体" w:hAnsi="宋体" w:eastAsia="宋体" w:cs="Times New Roman"/>
                <w:sz w:val="28"/>
                <w:szCs w:val="28"/>
              </w:rPr>
            </w:pPr>
            <w:r>
              <w:rPr>
                <w:rFonts w:ascii="宋体" w:hAnsi="宋体" w:eastAsia="宋体" w:cs="Times New Roman"/>
                <w:sz w:val="28"/>
                <w:szCs w:val="28"/>
              </w:rPr>
              <w:t>采购方式：</w:t>
            </w:r>
          </w:p>
        </w:tc>
        <w:tc>
          <w:tcPr>
            <w:tcW w:w="3285" w:type="pct"/>
            <w:vAlign w:val="center"/>
          </w:tcPr>
          <w:p w14:paraId="48AAFC54">
            <w:pPr>
              <w:spacing w:line="290" w:lineRule="exact"/>
              <w:jc w:val="center"/>
              <w:rPr>
                <w:rFonts w:ascii="宋体" w:hAnsi="宋体" w:eastAsia="宋体" w:cs="Times New Roman"/>
                <w:sz w:val="28"/>
                <w:szCs w:val="28"/>
              </w:rPr>
            </w:pPr>
            <w:r>
              <w:rPr>
                <w:rFonts w:ascii="宋体" w:hAnsi="宋体" w:eastAsia="宋体" w:cs="Times New Roman"/>
                <w:sz w:val="28"/>
                <w:szCs w:val="28"/>
              </w:rPr>
              <w:t>公开招标</w:t>
            </w:r>
          </w:p>
        </w:tc>
      </w:tr>
      <w:tr w14:paraId="49B9B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737" w:hRule="atLeast"/>
          <w:tblCellSpacing w:w="0" w:type="dxa"/>
          <w:jc w:val="center"/>
        </w:trPr>
        <w:tc>
          <w:tcPr>
            <w:tcW w:w="1714" w:type="pct"/>
            <w:vAlign w:val="center"/>
          </w:tcPr>
          <w:p w14:paraId="03737476">
            <w:pPr>
              <w:spacing w:line="290" w:lineRule="exact"/>
              <w:jc w:val="center"/>
              <w:rPr>
                <w:rFonts w:ascii="宋体" w:hAnsi="宋体" w:eastAsia="宋体" w:cs="Times New Roman"/>
                <w:sz w:val="28"/>
                <w:szCs w:val="28"/>
              </w:rPr>
            </w:pPr>
            <w:r>
              <w:rPr>
                <w:rFonts w:ascii="宋体" w:hAnsi="宋体" w:eastAsia="宋体" w:cs="Times New Roman"/>
                <w:sz w:val="28"/>
                <w:szCs w:val="28"/>
              </w:rPr>
              <w:t>货币类型：</w:t>
            </w:r>
          </w:p>
        </w:tc>
        <w:tc>
          <w:tcPr>
            <w:tcW w:w="3285" w:type="pct"/>
            <w:vAlign w:val="center"/>
          </w:tcPr>
          <w:p w14:paraId="60C7BC60">
            <w:pPr>
              <w:spacing w:line="290" w:lineRule="exact"/>
              <w:jc w:val="center"/>
              <w:rPr>
                <w:rFonts w:ascii="宋体" w:hAnsi="宋体" w:eastAsia="宋体" w:cs="Times New Roman"/>
                <w:sz w:val="28"/>
                <w:szCs w:val="28"/>
              </w:rPr>
            </w:pPr>
            <w:r>
              <w:rPr>
                <w:rFonts w:ascii="宋体" w:hAnsi="宋体" w:eastAsia="宋体" w:cs="Times New Roman"/>
                <w:sz w:val="28"/>
                <w:szCs w:val="28"/>
              </w:rPr>
              <w:t>人民币</w:t>
            </w:r>
          </w:p>
        </w:tc>
      </w:tr>
      <w:tr w14:paraId="0DFD0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737" w:hRule="atLeast"/>
          <w:tblCellSpacing w:w="0" w:type="dxa"/>
          <w:jc w:val="center"/>
        </w:trPr>
        <w:tc>
          <w:tcPr>
            <w:tcW w:w="1714" w:type="pct"/>
            <w:vAlign w:val="center"/>
          </w:tcPr>
          <w:p w14:paraId="62CDB445">
            <w:pPr>
              <w:spacing w:line="290" w:lineRule="exact"/>
              <w:jc w:val="center"/>
              <w:rPr>
                <w:rFonts w:ascii="宋体" w:hAnsi="宋体" w:eastAsia="宋体" w:cs="Times New Roman"/>
                <w:sz w:val="28"/>
                <w:szCs w:val="28"/>
              </w:rPr>
            </w:pPr>
            <w:r>
              <w:rPr>
                <w:rFonts w:ascii="宋体" w:hAnsi="宋体" w:eastAsia="宋体" w:cs="Times New Roman"/>
                <w:sz w:val="28"/>
                <w:szCs w:val="28"/>
              </w:rPr>
              <w:t>评标方法：</w:t>
            </w:r>
          </w:p>
        </w:tc>
        <w:tc>
          <w:tcPr>
            <w:tcW w:w="3285" w:type="pct"/>
            <w:vAlign w:val="center"/>
          </w:tcPr>
          <w:p w14:paraId="58CCC6F2">
            <w:pPr>
              <w:spacing w:line="290" w:lineRule="exact"/>
              <w:jc w:val="center"/>
              <w:rPr>
                <w:rFonts w:ascii="宋体" w:hAnsi="宋体" w:eastAsia="宋体" w:cs="Times New Roman"/>
                <w:sz w:val="28"/>
                <w:szCs w:val="28"/>
              </w:rPr>
            </w:pPr>
            <w:r>
              <w:rPr>
                <w:rFonts w:ascii="宋体" w:hAnsi="宋体" w:eastAsia="宋体" w:cs="Times New Roman"/>
                <w:sz w:val="28"/>
                <w:szCs w:val="28"/>
              </w:rPr>
              <w:t>综合评分法</w:t>
            </w:r>
          </w:p>
        </w:tc>
      </w:tr>
    </w:tbl>
    <w:p w14:paraId="179A81E9">
      <w:pPr>
        <w:tabs>
          <w:tab w:val="left" w:pos="2790"/>
        </w:tabs>
        <w:snapToGrid w:val="0"/>
        <w:spacing w:line="440" w:lineRule="exact"/>
        <w:jc w:val="left"/>
        <w:rPr>
          <w:rFonts w:hint="eastAsia" w:asciiTheme="minorEastAsia" w:hAnsiTheme="minorEastAsia"/>
          <w:sz w:val="30"/>
          <w:szCs w:val="30"/>
        </w:rPr>
      </w:pPr>
    </w:p>
    <w:p w14:paraId="69ADEC91">
      <w:pPr>
        <w:tabs>
          <w:tab w:val="left" w:pos="2790"/>
        </w:tabs>
        <w:snapToGrid w:val="0"/>
        <w:jc w:val="center"/>
        <w:outlineLvl w:val="0"/>
        <w:rPr>
          <w:rFonts w:hint="eastAsia" w:ascii="黑体" w:hAnsi="黑体" w:eastAsia="黑体" w:cs="Times New Roman"/>
          <w:sz w:val="40"/>
          <w:szCs w:val="40"/>
        </w:rPr>
      </w:pPr>
      <w:r>
        <w:rPr>
          <w:rFonts w:hint="eastAsia" w:ascii="黑体" w:hAnsi="黑体" w:eastAsia="黑体" w:cs="Times New Roman"/>
          <w:sz w:val="40"/>
          <w:szCs w:val="40"/>
        </w:rPr>
        <w:t>资格性审查表</w:t>
      </w:r>
    </w:p>
    <w:tbl>
      <w:tblPr>
        <w:tblStyle w:val="17"/>
        <w:tblW w:w="9463"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669"/>
      </w:tblGrid>
      <w:tr w14:paraId="1C98524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6AF5300D">
            <w:pPr>
              <w:spacing w:line="290" w:lineRule="exact"/>
              <w:jc w:val="center"/>
              <w:rPr>
                <w:rFonts w:hint="eastAsia" w:ascii="宋体" w:hAnsi="宋体" w:eastAsia="宋体" w:cs="宋体"/>
                <w:szCs w:val="21"/>
              </w:rPr>
            </w:pPr>
            <w:r>
              <w:rPr>
                <w:rFonts w:ascii="宋体" w:hAnsi="宋体" w:eastAsia="宋体" w:cs="Times New Roman"/>
                <w:szCs w:val="21"/>
              </w:rPr>
              <w:t>序号</w:t>
            </w:r>
          </w:p>
        </w:tc>
        <w:tc>
          <w:tcPr>
            <w:tcW w:w="8669"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4B7EEF48">
            <w:pPr>
              <w:spacing w:line="290" w:lineRule="exact"/>
              <w:jc w:val="center"/>
              <w:rPr>
                <w:rFonts w:hint="eastAsia" w:ascii="宋体" w:hAnsi="宋体" w:eastAsia="宋体" w:cs="宋体"/>
                <w:szCs w:val="21"/>
              </w:rPr>
            </w:pPr>
            <w:r>
              <w:rPr>
                <w:rFonts w:ascii="宋体" w:hAnsi="宋体" w:eastAsia="宋体" w:cs="Times New Roman"/>
                <w:szCs w:val="21"/>
              </w:rPr>
              <w:t>内容</w:t>
            </w:r>
          </w:p>
        </w:tc>
      </w:tr>
      <w:tr w14:paraId="0F8C4B8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1F176253">
            <w:pPr>
              <w:spacing w:line="290" w:lineRule="exact"/>
              <w:jc w:val="center"/>
              <w:rPr>
                <w:rFonts w:hint="eastAsia" w:ascii="宋体" w:hAnsi="宋体" w:eastAsia="宋体" w:cs="宋体"/>
                <w:szCs w:val="21"/>
              </w:rPr>
            </w:pPr>
            <w:r>
              <w:rPr>
                <w:rFonts w:ascii="宋体" w:hAnsi="宋体" w:eastAsia="宋体" w:cs="Times New Roman"/>
                <w:szCs w:val="21"/>
              </w:rPr>
              <w:t>1</w:t>
            </w:r>
          </w:p>
        </w:tc>
        <w:tc>
          <w:tcPr>
            <w:tcW w:w="8669" w:type="dxa"/>
            <w:tcBorders>
              <w:top w:val="single" w:color="000000" w:sz="8" w:space="0"/>
              <w:left w:val="single" w:color="000000" w:sz="8" w:space="0"/>
              <w:bottom w:val="single" w:color="000000" w:sz="8" w:space="0"/>
              <w:right w:val="single" w:color="000000" w:sz="8" w:space="0"/>
            </w:tcBorders>
          </w:tcPr>
          <w:p w14:paraId="6433A161">
            <w:pPr>
              <w:spacing w:line="290" w:lineRule="exact"/>
              <w:rPr>
                <w:rFonts w:hint="eastAsia" w:ascii="宋体" w:hAnsi="宋体" w:eastAsia="宋体" w:cs="宋体"/>
                <w:szCs w:val="21"/>
              </w:rPr>
            </w:pPr>
            <w:r>
              <w:rPr>
                <w:rFonts w:ascii="宋体" w:hAnsi="宋体" w:cs="宋体"/>
                <w:kern w:val="0"/>
                <w:szCs w:val="21"/>
                <w:lang w:bidi="ar"/>
              </w:rPr>
              <w:t>投标人不</w:t>
            </w:r>
            <w:r>
              <w:rPr>
                <w:rFonts w:hint="eastAsia" w:ascii="宋体" w:hAnsi="宋体" w:cs="宋体"/>
                <w:kern w:val="0"/>
                <w:szCs w:val="21"/>
                <w:lang w:bidi="ar"/>
              </w:rPr>
              <w:t>符合</w:t>
            </w:r>
            <w:r>
              <w:rPr>
                <w:rFonts w:ascii="宋体" w:hAnsi="宋体" w:cs="宋体"/>
                <w:kern w:val="0"/>
                <w:szCs w:val="21"/>
                <w:lang w:bidi="ar"/>
              </w:rPr>
              <w:t>资格要求，或未提交相应的资格证明资料（详见招标公告</w:t>
            </w:r>
            <w:r>
              <w:rPr>
                <w:rFonts w:hint="eastAsia" w:ascii="宋体" w:hAnsi="宋体"/>
                <w:szCs w:val="21"/>
              </w:rPr>
              <w:t>投标人资格要求，即申请人的资格要求</w:t>
            </w:r>
            <w:r>
              <w:rPr>
                <w:rFonts w:ascii="宋体" w:hAnsi="宋体" w:cs="宋体"/>
                <w:kern w:val="0"/>
                <w:szCs w:val="21"/>
                <w:lang w:bidi="ar"/>
              </w:rPr>
              <w:t>）</w:t>
            </w:r>
          </w:p>
        </w:tc>
      </w:tr>
    </w:tbl>
    <w:p w14:paraId="2C7967DC">
      <w:pPr>
        <w:tabs>
          <w:tab w:val="left" w:pos="2790"/>
        </w:tabs>
        <w:snapToGrid w:val="0"/>
        <w:jc w:val="center"/>
        <w:rPr>
          <w:rFonts w:hint="eastAsia" w:ascii="黑体" w:hAnsi="黑体" w:eastAsia="黑体" w:cs="Times New Roman"/>
          <w:sz w:val="40"/>
          <w:szCs w:val="40"/>
        </w:rPr>
      </w:pPr>
    </w:p>
    <w:p w14:paraId="69DEEA09">
      <w:pPr>
        <w:tabs>
          <w:tab w:val="left" w:pos="2790"/>
        </w:tabs>
        <w:snapToGrid w:val="0"/>
        <w:jc w:val="center"/>
        <w:outlineLvl w:val="0"/>
        <w:rPr>
          <w:rFonts w:hint="eastAsia" w:ascii="黑体" w:hAnsi="黑体" w:eastAsia="黑体" w:cs="Times New Roman"/>
          <w:sz w:val="40"/>
          <w:szCs w:val="40"/>
        </w:rPr>
      </w:pPr>
      <w:r>
        <w:rPr>
          <w:rFonts w:hint="eastAsia" w:ascii="黑体" w:hAnsi="黑体" w:eastAsia="黑体" w:cs="Times New Roman"/>
          <w:sz w:val="40"/>
          <w:szCs w:val="40"/>
        </w:rPr>
        <w:t>符合性审查表</w:t>
      </w:r>
    </w:p>
    <w:tbl>
      <w:tblPr>
        <w:tblStyle w:val="17"/>
        <w:tblW w:w="907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284"/>
      </w:tblGrid>
      <w:tr w14:paraId="31689C6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374180AA">
            <w:pPr>
              <w:widowControl/>
              <w:jc w:val="center"/>
              <w:rPr>
                <w:sz w:val="28"/>
                <w:szCs w:val="28"/>
              </w:rPr>
            </w:pPr>
            <w:r>
              <w:rPr>
                <w:rFonts w:ascii="宋体" w:hAnsi="宋体" w:cs="宋体"/>
                <w:kern w:val="0"/>
                <w:sz w:val="28"/>
                <w:szCs w:val="28"/>
                <w:lang w:bidi="ar"/>
              </w:rPr>
              <w:t>序号</w:t>
            </w:r>
          </w:p>
        </w:tc>
        <w:tc>
          <w:tcPr>
            <w:tcW w:w="828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732316FD">
            <w:pPr>
              <w:widowControl/>
              <w:jc w:val="center"/>
              <w:rPr>
                <w:sz w:val="28"/>
                <w:szCs w:val="28"/>
              </w:rPr>
            </w:pPr>
            <w:r>
              <w:rPr>
                <w:rFonts w:ascii="宋体" w:hAnsi="宋体" w:cs="宋体"/>
                <w:kern w:val="0"/>
                <w:sz w:val="28"/>
                <w:szCs w:val="28"/>
                <w:lang w:bidi="ar"/>
              </w:rPr>
              <w:t>内容</w:t>
            </w:r>
          </w:p>
        </w:tc>
      </w:tr>
      <w:tr w14:paraId="5E94D18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E8F4F2">
            <w:pPr>
              <w:widowControl/>
              <w:jc w:val="center"/>
              <w:textAlignment w:val="top"/>
              <w:rPr>
                <w:szCs w:val="21"/>
              </w:rPr>
            </w:pPr>
            <w:r>
              <w:rPr>
                <w:rFonts w:ascii="宋体" w:hAnsi="宋体" w:cs="宋体"/>
                <w:kern w:val="0"/>
                <w:szCs w:val="21"/>
                <w:lang w:bidi="ar"/>
              </w:rPr>
              <w:t>1</w:t>
            </w:r>
          </w:p>
        </w:tc>
        <w:tc>
          <w:tcPr>
            <w:tcW w:w="8284" w:type="dxa"/>
            <w:tcBorders>
              <w:top w:val="single" w:color="000000" w:sz="8" w:space="0"/>
              <w:left w:val="single" w:color="000000" w:sz="8" w:space="0"/>
              <w:bottom w:val="single" w:color="000000" w:sz="8" w:space="0"/>
              <w:right w:val="single" w:color="000000" w:sz="8" w:space="0"/>
            </w:tcBorders>
            <w:shd w:val="clear" w:color="auto" w:fill="auto"/>
            <w:vAlign w:val="top"/>
          </w:tcPr>
          <w:p w14:paraId="6C1BF3FF">
            <w:pPr>
              <w:rPr>
                <w:szCs w:val="21"/>
              </w:rPr>
            </w:pPr>
            <w:r>
              <w:rPr>
                <w:rFonts w:hint="eastAsia"/>
                <w:lang w:val="en-US" w:eastAsia="zh-CN"/>
              </w:rPr>
              <w:t>不得</w:t>
            </w:r>
            <w:r>
              <w:rPr>
                <w:rFonts w:hint="eastAsia"/>
              </w:rPr>
              <w:t>将一个包的内容拆开投标；</w:t>
            </w:r>
          </w:p>
        </w:tc>
      </w:tr>
      <w:tr w14:paraId="5E2230B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B0A230">
            <w:pPr>
              <w:widowControl/>
              <w:jc w:val="center"/>
              <w:textAlignment w:val="top"/>
              <w:rPr>
                <w:rFonts w:ascii="宋体" w:hAnsi="宋体" w:cs="宋体"/>
                <w:kern w:val="0"/>
                <w:szCs w:val="21"/>
                <w:lang w:bidi="ar"/>
              </w:rPr>
            </w:pPr>
            <w:r>
              <w:rPr>
                <w:rFonts w:ascii="宋体" w:hAnsi="宋体" w:cs="宋体"/>
                <w:kern w:val="0"/>
                <w:szCs w:val="21"/>
                <w:lang w:bidi="ar"/>
              </w:rPr>
              <w:t>2</w:t>
            </w:r>
          </w:p>
        </w:tc>
        <w:tc>
          <w:tcPr>
            <w:tcW w:w="8284" w:type="dxa"/>
            <w:tcBorders>
              <w:top w:val="single" w:color="000000" w:sz="8" w:space="0"/>
              <w:left w:val="single" w:color="000000" w:sz="8" w:space="0"/>
              <w:bottom w:val="single" w:color="000000" w:sz="8" w:space="0"/>
              <w:right w:val="single" w:color="000000" w:sz="8" w:space="0"/>
            </w:tcBorders>
            <w:shd w:val="clear" w:color="auto" w:fill="auto"/>
            <w:vAlign w:val="top"/>
          </w:tcPr>
          <w:p w14:paraId="5B8075C5">
            <w:pPr>
              <w:rPr>
                <w:szCs w:val="21"/>
              </w:rPr>
            </w:pPr>
            <w:r>
              <w:rPr>
                <w:rFonts w:hint="eastAsia"/>
              </w:rPr>
              <w:t>对同一项目投标时，</w:t>
            </w:r>
            <w:r>
              <w:rPr>
                <w:rFonts w:hint="eastAsia"/>
                <w:lang w:val="en-US" w:eastAsia="zh-CN"/>
              </w:rPr>
              <w:t>不得</w:t>
            </w:r>
            <w:r>
              <w:rPr>
                <w:rFonts w:hint="eastAsia"/>
              </w:rPr>
              <w:t>提供两套以上的投标方案（招标文件另有规定的除外）；</w:t>
            </w:r>
          </w:p>
        </w:tc>
      </w:tr>
      <w:tr w14:paraId="7698E64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C44A01">
            <w:pPr>
              <w:widowControl/>
              <w:jc w:val="center"/>
              <w:textAlignment w:val="top"/>
              <w:rPr>
                <w:rFonts w:ascii="宋体" w:hAnsi="宋体" w:cs="宋体"/>
                <w:kern w:val="0"/>
                <w:szCs w:val="21"/>
                <w:lang w:bidi="ar"/>
              </w:rPr>
            </w:pPr>
            <w:r>
              <w:rPr>
                <w:rFonts w:ascii="宋体" w:hAnsi="宋体" w:cs="宋体"/>
                <w:kern w:val="0"/>
                <w:szCs w:val="21"/>
                <w:lang w:bidi="ar"/>
              </w:rPr>
              <w:t>3</w:t>
            </w:r>
          </w:p>
        </w:tc>
        <w:tc>
          <w:tcPr>
            <w:tcW w:w="8284" w:type="dxa"/>
            <w:tcBorders>
              <w:top w:val="single" w:color="000000" w:sz="8" w:space="0"/>
              <w:left w:val="single" w:color="000000" w:sz="8" w:space="0"/>
              <w:bottom w:val="single" w:color="000000" w:sz="8" w:space="0"/>
              <w:right w:val="single" w:color="000000" w:sz="8" w:space="0"/>
            </w:tcBorders>
            <w:shd w:val="clear" w:color="auto" w:fill="auto"/>
            <w:vAlign w:val="top"/>
          </w:tcPr>
          <w:p w14:paraId="05ED74CC">
            <w:pPr>
              <w:rPr>
                <w:szCs w:val="21"/>
              </w:rPr>
            </w:pPr>
            <w:r>
              <w:rPr>
                <w:rFonts w:hint="eastAsia"/>
              </w:rPr>
              <w:t>分项报价或投标总价</w:t>
            </w:r>
            <w:r>
              <w:rPr>
                <w:rFonts w:hint="eastAsia"/>
                <w:lang w:val="en-US" w:eastAsia="zh-CN"/>
              </w:rPr>
              <w:t>不得</w:t>
            </w:r>
            <w:r>
              <w:rPr>
                <w:rFonts w:hint="eastAsia"/>
              </w:rPr>
              <w:t>高于相应预算金额（或设定的预算金额下的最高限价）；</w:t>
            </w:r>
          </w:p>
        </w:tc>
      </w:tr>
      <w:tr w14:paraId="3D547EE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F40770">
            <w:pPr>
              <w:widowControl/>
              <w:jc w:val="center"/>
              <w:textAlignment w:val="top"/>
              <w:rPr>
                <w:rFonts w:ascii="宋体" w:hAnsi="宋体" w:cs="宋体"/>
                <w:kern w:val="0"/>
                <w:szCs w:val="21"/>
                <w:lang w:bidi="ar"/>
              </w:rPr>
            </w:pPr>
            <w:r>
              <w:rPr>
                <w:rFonts w:ascii="宋体" w:hAnsi="宋体" w:cs="宋体"/>
                <w:kern w:val="0"/>
                <w:szCs w:val="21"/>
                <w:lang w:bidi="ar"/>
              </w:rPr>
              <w:t>4</w:t>
            </w:r>
          </w:p>
        </w:tc>
        <w:tc>
          <w:tcPr>
            <w:tcW w:w="8284" w:type="dxa"/>
            <w:tcBorders>
              <w:top w:val="single" w:color="000000" w:sz="8" w:space="0"/>
              <w:left w:val="single" w:color="000000" w:sz="8" w:space="0"/>
              <w:bottom w:val="single" w:color="000000" w:sz="8" w:space="0"/>
              <w:right w:val="single" w:color="000000" w:sz="8" w:space="0"/>
            </w:tcBorders>
            <w:shd w:val="clear" w:color="auto" w:fill="auto"/>
            <w:vAlign w:val="top"/>
          </w:tcPr>
          <w:p w14:paraId="56F50A74">
            <w:pPr>
              <w:rPr>
                <w:szCs w:val="21"/>
              </w:rPr>
            </w:pPr>
            <w:r>
              <w:rPr>
                <w:rFonts w:hint="eastAsia"/>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14:paraId="38C7532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7EEA62">
            <w:pPr>
              <w:widowControl/>
              <w:jc w:val="center"/>
              <w:textAlignment w:val="top"/>
              <w:rPr>
                <w:rFonts w:ascii="宋体" w:hAnsi="宋体" w:cs="宋体"/>
                <w:kern w:val="0"/>
                <w:szCs w:val="21"/>
                <w:lang w:bidi="ar"/>
              </w:rPr>
            </w:pPr>
            <w:r>
              <w:rPr>
                <w:rFonts w:ascii="宋体" w:hAnsi="宋体" w:cs="宋体"/>
                <w:kern w:val="0"/>
                <w:szCs w:val="21"/>
                <w:lang w:bidi="ar"/>
              </w:rPr>
              <w:t>5</w:t>
            </w:r>
          </w:p>
        </w:tc>
        <w:tc>
          <w:tcPr>
            <w:tcW w:w="8284" w:type="dxa"/>
            <w:tcBorders>
              <w:top w:val="single" w:color="000000" w:sz="8" w:space="0"/>
              <w:left w:val="single" w:color="000000" w:sz="8" w:space="0"/>
              <w:bottom w:val="single" w:color="000000" w:sz="8" w:space="0"/>
              <w:right w:val="single" w:color="000000" w:sz="8" w:space="0"/>
            </w:tcBorders>
            <w:shd w:val="clear" w:color="auto" w:fill="auto"/>
            <w:vAlign w:val="top"/>
          </w:tcPr>
          <w:p w14:paraId="0099B8AB">
            <w:pPr>
              <w:rPr>
                <w:szCs w:val="21"/>
              </w:rPr>
            </w:pPr>
            <w:r>
              <w:rPr>
                <w:rFonts w:hint="eastAsia"/>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r>
      <w:tr w14:paraId="233FA99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509079">
            <w:pPr>
              <w:widowControl/>
              <w:jc w:val="center"/>
              <w:textAlignment w:val="top"/>
              <w:rPr>
                <w:rFonts w:ascii="宋体" w:hAnsi="宋体" w:cs="宋体"/>
                <w:kern w:val="0"/>
                <w:szCs w:val="21"/>
                <w:lang w:bidi="ar"/>
              </w:rPr>
            </w:pPr>
            <w:r>
              <w:rPr>
                <w:rFonts w:ascii="宋体" w:hAnsi="宋体" w:cs="宋体"/>
                <w:kern w:val="0"/>
                <w:szCs w:val="21"/>
                <w:lang w:bidi="ar"/>
              </w:rPr>
              <w:t>6</w:t>
            </w:r>
          </w:p>
        </w:tc>
        <w:tc>
          <w:tcPr>
            <w:tcW w:w="8284" w:type="dxa"/>
            <w:tcBorders>
              <w:top w:val="single" w:color="000000" w:sz="8" w:space="0"/>
              <w:left w:val="single" w:color="000000" w:sz="8" w:space="0"/>
              <w:bottom w:val="single" w:color="000000" w:sz="8" w:space="0"/>
              <w:right w:val="single" w:color="000000" w:sz="8" w:space="0"/>
            </w:tcBorders>
            <w:shd w:val="clear" w:color="auto" w:fill="auto"/>
            <w:vAlign w:val="top"/>
          </w:tcPr>
          <w:p w14:paraId="35F8E201">
            <w:pPr>
              <w:rPr>
                <w:szCs w:val="21"/>
              </w:rPr>
            </w:pPr>
            <w:r>
              <w:rPr>
                <w:rFonts w:hint="eastAsia"/>
              </w:rPr>
              <w:t>未按招标文件所提供的样式填写《投标函》；未按招标文件所提供的《政府采购投标及履约承诺函》进行承诺；未按招标文件对投标文件组成的要求提供投标文件；</w:t>
            </w:r>
          </w:p>
        </w:tc>
      </w:tr>
      <w:tr w14:paraId="48BD1A3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DD8696">
            <w:pPr>
              <w:widowControl/>
              <w:jc w:val="center"/>
              <w:textAlignment w:val="top"/>
              <w:rPr>
                <w:rFonts w:ascii="宋体" w:hAnsi="宋体" w:cs="宋体"/>
                <w:kern w:val="0"/>
                <w:szCs w:val="21"/>
                <w:lang w:bidi="ar"/>
              </w:rPr>
            </w:pPr>
            <w:r>
              <w:rPr>
                <w:rFonts w:hint="eastAsia" w:ascii="宋体" w:hAnsi="宋体" w:cs="宋体"/>
                <w:kern w:val="0"/>
                <w:szCs w:val="21"/>
                <w:lang w:bidi="ar"/>
              </w:rPr>
              <w:t>7</w:t>
            </w:r>
          </w:p>
        </w:tc>
        <w:tc>
          <w:tcPr>
            <w:tcW w:w="8284" w:type="dxa"/>
            <w:tcBorders>
              <w:top w:val="single" w:color="000000" w:sz="8" w:space="0"/>
              <w:left w:val="single" w:color="000000" w:sz="8" w:space="0"/>
              <w:bottom w:val="single" w:color="000000" w:sz="8" w:space="0"/>
              <w:right w:val="single" w:color="000000" w:sz="8" w:space="0"/>
            </w:tcBorders>
            <w:shd w:val="clear" w:color="auto" w:fill="auto"/>
            <w:vAlign w:val="top"/>
          </w:tcPr>
          <w:p w14:paraId="3BD43658">
            <w:r>
              <w:rPr>
                <w:rFonts w:hint="eastAsia"/>
                <w:color w:val="auto"/>
                <w:lang w:val="en-US" w:eastAsia="zh-CN"/>
              </w:rPr>
              <w:t>采购标的/服务</w:t>
            </w:r>
            <w:r>
              <w:rPr>
                <w:rFonts w:hint="eastAsia" w:ascii="Times New Roman" w:eastAsia="宋体"/>
                <w:color w:val="auto"/>
                <w:lang w:val="en-US" w:eastAsia="zh-CN"/>
              </w:rPr>
              <w:t>清单</w:t>
            </w:r>
            <w:r>
              <w:rPr>
                <w:rFonts w:hint="eastAsia"/>
                <w:color w:val="auto"/>
                <w:lang w:val="en-US" w:eastAsia="zh-CN"/>
              </w:rPr>
              <w:t>/报价等任意一类</w:t>
            </w:r>
            <w:r>
              <w:rPr>
                <w:rFonts w:hint="eastAsia" w:ascii="Times New Roman" w:eastAsia="宋体"/>
                <w:color w:val="auto"/>
                <w:lang w:val="en-US" w:eastAsia="zh-CN"/>
              </w:rPr>
              <w:t>有缺漏项或响应不全</w:t>
            </w:r>
            <w:r>
              <w:rPr>
                <w:rFonts w:hint="eastAsia"/>
                <w:color w:val="auto"/>
                <w:lang w:val="en-US" w:eastAsia="zh-CN"/>
              </w:rPr>
              <w:t>，</w:t>
            </w:r>
            <w:r>
              <w:rPr>
                <w:rFonts w:hint="eastAsia"/>
              </w:rPr>
              <w:t>或者对招标文件规定的项目需求内容或者需求数量进行修改</w:t>
            </w:r>
            <w:r>
              <w:rPr>
                <w:rFonts w:hint="eastAsia"/>
                <w:szCs w:val="21"/>
              </w:rPr>
              <w:t>，评审委员会判定投标响应不满足采购需求</w:t>
            </w:r>
            <w:r>
              <w:rPr>
                <w:rFonts w:hint="eastAsia"/>
              </w:rPr>
              <w:t>；</w:t>
            </w:r>
          </w:p>
        </w:tc>
      </w:tr>
      <w:tr w14:paraId="376EFA9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F7E53E">
            <w:pPr>
              <w:widowControl/>
              <w:jc w:val="center"/>
              <w:textAlignment w:val="top"/>
              <w:rPr>
                <w:rFonts w:ascii="宋体" w:hAnsi="宋体" w:cs="宋体"/>
                <w:kern w:val="0"/>
                <w:szCs w:val="21"/>
                <w:lang w:bidi="ar"/>
              </w:rPr>
            </w:pPr>
            <w:r>
              <w:rPr>
                <w:rFonts w:ascii="宋体" w:hAnsi="宋体" w:cs="宋体"/>
                <w:kern w:val="0"/>
                <w:szCs w:val="21"/>
                <w:lang w:bidi="ar"/>
              </w:rPr>
              <w:t>8</w:t>
            </w:r>
          </w:p>
        </w:tc>
        <w:tc>
          <w:tcPr>
            <w:tcW w:w="8284" w:type="dxa"/>
            <w:tcBorders>
              <w:top w:val="single" w:color="000000" w:sz="8" w:space="0"/>
              <w:left w:val="single" w:color="000000" w:sz="8" w:space="0"/>
              <w:bottom w:val="single" w:color="000000" w:sz="8" w:space="0"/>
              <w:right w:val="single" w:color="000000" w:sz="8" w:space="0"/>
            </w:tcBorders>
            <w:shd w:val="clear" w:color="auto" w:fill="auto"/>
            <w:vAlign w:val="top"/>
          </w:tcPr>
          <w:p w14:paraId="17B64074">
            <w:pPr>
              <w:rPr>
                <w:szCs w:val="21"/>
              </w:rPr>
            </w:pPr>
            <w:r>
              <w:rPr>
                <w:rFonts w:hint="eastAsia"/>
              </w:rPr>
              <w:t>投标文件存在列放位置错误，导致属于信息公开情形的没有被公开；</w:t>
            </w:r>
          </w:p>
        </w:tc>
      </w:tr>
      <w:tr w14:paraId="283837D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E056EF">
            <w:pPr>
              <w:widowControl/>
              <w:jc w:val="center"/>
              <w:textAlignment w:val="top"/>
              <w:rPr>
                <w:rFonts w:ascii="宋体" w:hAnsi="宋体" w:cs="宋体"/>
                <w:kern w:val="0"/>
                <w:szCs w:val="21"/>
                <w:lang w:bidi="ar"/>
              </w:rPr>
            </w:pPr>
            <w:r>
              <w:rPr>
                <w:rFonts w:ascii="宋体" w:hAnsi="宋体" w:cs="宋体"/>
                <w:kern w:val="0"/>
                <w:szCs w:val="21"/>
                <w:lang w:bidi="ar"/>
              </w:rPr>
              <w:t>9</w:t>
            </w:r>
          </w:p>
        </w:tc>
        <w:tc>
          <w:tcPr>
            <w:tcW w:w="8284" w:type="dxa"/>
            <w:tcBorders>
              <w:top w:val="single" w:color="000000" w:sz="8" w:space="0"/>
              <w:left w:val="single" w:color="000000" w:sz="8" w:space="0"/>
              <w:bottom w:val="single" w:color="000000" w:sz="8" w:space="0"/>
              <w:right w:val="single" w:color="000000" w:sz="8" w:space="0"/>
            </w:tcBorders>
            <w:shd w:val="clear" w:color="auto" w:fill="auto"/>
            <w:vAlign w:val="top"/>
          </w:tcPr>
          <w:p w14:paraId="1CC22E32">
            <w:pPr>
              <w:rPr>
                <w:szCs w:val="21"/>
              </w:rPr>
            </w:pPr>
            <w:r>
              <w:rPr>
                <w:rFonts w:hint="eastAsia"/>
              </w:rPr>
              <w:t>投标文件电子文档</w:t>
            </w:r>
            <w:r>
              <w:rPr>
                <w:rFonts w:hint="eastAsia"/>
                <w:lang w:val="en-US" w:eastAsia="zh-CN"/>
              </w:rPr>
              <w:t>不得</w:t>
            </w:r>
            <w:r>
              <w:rPr>
                <w:rFonts w:hint="eastAsia"/>
              </w:rPr>
              <w:t>带病毒；</w:t>
            </w:r>
          </w:p>
        </w:tc>
      </w:tr>
      <w:tr w14:paraId="062F6C9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9A5203">
            <w:pPr>
              <w:widowControl/>
              <w:jc w:val="center"/>
              <w:textAlignment w:val="top"/>
              <w:rPr>
                <w:rFonts w:ascii="宋体" w:hAnsi="宋体" w:cs="宋体"/>
                <w:kern w:val="0"/>
                <w:szCs w:val="21"/>
                <w:lang w:bidi="ar"/>
              </w:rPr>
            </w:pPr>
            <w:r>
              <w:rPr>
                <w:rFonts w:ascii="宋体" w:hAnsi="宋体" w:cs="宋体"/>
                <w:kern w:val="0"/>
                <w:szCs w:val="21"/>
                <w:lang w:bidi="ar"/>
              </w:rPr>
              <w:t>10</w:t>
            </w:r>
          </w:p>
        </w:tc>
        <w:tc>
          <w:tcPr>
            <w:tcW w:w="8284" w:type="dxa"/>
            <w:tcBorders>
              <w:top w:val="single" w:color="000000" w:sz="8" w:space="0"/>
              <w:left w:val="single" w:color="000000" w:sz="8" w:space="0"/>
              <w:bottom w:val="single" w:color="000000" w:sz="8" w:space="0"/>
              <w:right w:val="single" w:color="000000" w:sz="8" w:space="0"/>
            </w:tcBorders>
            <w:shd w:val="clear" w:color="auto" w:fill="auto"/>
            <w:vAlign w:val="top"/>
          </w:tcPr>
          <w:p w14:paraId="499FB2A4">
            <w:pPr>
              <w:rPr>
                <w:szCs w:val="21"/>
              </w:rPr>
            </w:pPr>
            <w:r>
              <w:rPr>
                <w:rFonts w:hint="eastAsia"/>
              </w:rPr>
              <w:t>投标文件用不属于本公司的电子密钥或电子营业执照进行加密的；</w:t>
            </w:r>
          </w:p>
        </w:tc>
      </w:tr>
      <w:tr w14:paraId="330B86B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280" w:hRule="atLeast"/>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70C3AE">
            <w:pPr>
              <w:widowControl/>
              <w:jc w:val="center"/>
              <w:textAlignment w:val="top"/>
              <w:rPr>
                <w:rFonts w:ascii="宋体" w:hAnsi="宋体" w:cs="宋体"/>
                <w:kern w:val="0"/>
                <w:szCs w:val="21"/>
                <w:lang w:bidi="ar"/>
              </w:rPr>
            </w:pPr>
            <w:r>
              <w:rPr>
                <w:rFonts w:hint="eastAsia" w:ascii="宋体" w:hAnsi="宋体" w:cs="宋体"/>
                <w:kern w:val="0"/>
                <w:szCs w:val="21"/>
                <w:lang w:bidi="ar"/>
              </w:rPr>
              <w:t>11</w:t>
            </w:r>
          </w:p>
        </w:tc>
        <w:tc>
          <w:tcPr>
            <w:tcW w:w="8284" w:type="dxa"/>
            <w:tcBorders>
              <w:top w:val="single" w:color="000000" w:sz="8" w:space="0"/>
              <w:left w:val="single" w:color="000000" w:sz="8" w:space="0"/>
              <w:bottom w:val="single" w:color="000000" w:sz="8" w:space="0"/>
              <w:right w:val="single" w:color="000000" w:sz="8" w:space="0"/>
            </w:tcBorders>
            <w:shd w:val="clear" w:color="auto" w:fill="auto"/>
            <w:vAlign w:val="top"/>
          </w:tcPr>
          <w:p w14:paraId="485ECD3B">
            <w:pPr>
              <w:widowControl/>
              <w:jc w:val="left"/>
              <w:textAlignment w:val="top"/>
              <w:rPr>
                <w:rFonts w:eastAsia="宋体"/>
                <w:szCs w:val="24"/>
              </w:rPr>
            </w:pPr>
            <w:r>
              <w:rPr>
                <w:rFonts w:hint="eastAsia" w:ascii="Times New Roman" w:hAnsi="Times New Roman" w:eastAsia="宋体" w:cs="Times New Roman"/>
                <w:sz w:val="21"/>
                <w:szCs w:val="24"/>
              </w:rPr>
              <w:t>不同投标供应商投标文件“文件制作机器码”一致</w:t>
            </w:r>
            <w:r>
              <w:rPr>
                <w:rFonts w:hint="eastAsia" w:ascii="Times New Roman" w:hAnsi="Times New Roman" w:eastAsia="宋体" w:cs="Times New Roman"/>
                <w:sz w:val="21"/>
                <w:szCs w:val="24"/>
                <w:lang w:eastAsia="zh-CN"/>
              </w:rPr>
              <w:t>；</w:t>
            </w:r>
          </w:p>
        </w:tc>
      </w:tr>
      <w:tr w14:paraId="67A5B5F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0D718D">
            <w:pPr>
              <w:widowControl/>
              <w:jc w:val="center"/>
              <w:textAlignment w:val="top"/>
              <w:rPr>
                <w:rFonts w:ascii="宋体" w:hAnsi="宋体" w:cs="宋体"/>
                <w:kern w:val="0"/>
                <w:szCs w:val="21"/>
                <w:lang w:bidi="ar"/>
              </w:rPr>
            </w:pPr>
            <w:r>
              <w:rPr>
                <w:rFonts w:hint="eastAsia" w:ascii="宋体" w:hAnsi="宋体" w:cs="宋体"/>
                <w:kern w:val="0"/>
                <w:szCs w:val="21"/>
                <w:lang w:bidi="ar"/>
              </w:rPr>
              <w:t>12</w:t>
            </w:r>
          </w:p>
        </w:tc>
        <w:tc>
          <w:tcPr>
            <w:tcW w:w="8284" w:type="dxa"/>
            <w:tcBorders>
              <w:top w:val="single" w:color="000000" w:sz="8" w:space="0"/>
              <w:left w:val="single" w:color="000000" w:sz="8" w:space="0"/>
              <w:bottom w:val="single" w:color="000000" w:sz="8" w:space="0"/>
              <w:right w:val="single" w:color="000000" w:sz="8" w:space="0"/>
            </w:tcBorders>
            <w:shd w:val="clear" w:color="auto" w:fill="auto"/>
            <w:vAlign w:val="top"/>
          </w:tcPr>
          <w:p w14:paraId="2910AC49">
            <w:pPr>
              <w:widowControl/>
              <w:jc w:val="left"/>
              <w:textAlignment w:val="top"/>
              <w:rPr>
                <w:rFonts w:eastAsia="宋体"/>
                <w:szCs w:val="24"/>
              </w:rPr>
            </w:pPr>
            <w:r>
              <w:rPr>
                <w:rFonts w:hint="eastAsia" w:ascii="Times New Roman" w:hAnsi="Times New Roman" w:eastAsia="宋体" w:cs="Times New Roman"/>
                <w:sz w:val="21"/>
                <w:szCs w:val="24"/>
              </w:rPr>
              <w:t>不同投标供应商投标文件“文件创建标识码”一致</w:t>
            </w:r>
            <w:r>
              <w:rPr>
                <w:rFonts w:hint="eastAsia" w:ascii="Times New Roman" w:hAnsi="Times New Roman" w:eastAsia="宋体" w:cs="Times New Roman"/>
                <w:sz w:val="21"/>
                <w:szCs w:val="24"/>
                <w:lang w:eastAsia="zh-CN"/>
              </w:rPr>
              <w:t>；</w:t>
            </w:r>
          </w:p>
        </w:tc>
      </w:tr>
      <w:tr w14:paraId="695E6B4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AA58D9">
            <w:pPr>
              <w:widowControl/>
              <w:jc w:val="center"/>
              <w:textAlignment w:val="top"/>
              <w:rPr>
                <w:rFonts w:ascii="宋体" w:hAnsi="宋体" w:cs="宋体"/>
                <w:kern w:val="0"/>
                <w:szCs w:val="21"/>
                <w:lang w:bidi="ar"/>
              </w:rPr>
            </w:pPr>
            <w:r>
              <w:rPr>
                <w:rFonts w:hint="eastAsia" w:ascii="宋体" w:hAnsi="宋体" w:cs="宋体"/>
                <w:kern w:val="0"/>
                <w:szCs w:val="21"/>
                <w:lang w:bidi="ar"/>
              </w:rPr>
              <w:t>13</w:t>
            </w:r>
          </w:p>
        </w:tc>
        <w:tc>
          <w:tcPr>
            <w:tcW w:w="8284" w:type="dxa"/>
            <w:tcBorders>
              <w:top w:val="single" w:color="000000" w:sz="8" w:space="0"/>
              <w:left w:val="single" w:color="000000" w:sz="8" w:space="0"/>
              <w:bottom w:val="single" w:color="000000" w:sz="8" w:space="0"/>
              <w:right w:val="single" w:color="000000" w:sz="8" w:space="0"/>
            </w:tcBorders>
            <w:shd w:val="clear" w:color="auto" w:fill="auto"/>
            <w:vAlign w:val="top"/>
          </w:tcPr>
          <w:p w14:paraId="7E14FD56">
            <w:pPr>
              <w:rPr>
                <w:szCs w:val="21"/>
              </w:rPr>
            </w:pPr>
            <w:r>
              <w:rPr>
                <w:rFonts w:hint="eastAsia"/>
              </w:rPr>
              <w:t>法律、法规、规章、规范性文件规定的其他情形。</w:t>
            </w:r>
          </w:p>
        </w:tc>
      </w:tr>
    </w:tbl>
    <w:p w14:paraId="5AF1B9FB">
      <w:pPr>
        <w:tabs>
          <w:tab w:val="left" w:pos="2790"/>
        </w:tabs>
        <w:snapToGrid w:val="0"/>
        <w:jc w:val="left"/>
        <w:rPr>
          <w:sz w:val="24"/>
          <w:szCs w:val="24"/>
        </w:rPr>
      </w:pPr>
    </w:p>
    <w:p w14:paraId="4DFC15EE">
      <w:pPr>
        <w:tabs>
          <w:tab w:val="left" w:pos="2790"/>
        </w:tabs>
        <w:snapToGrid w:val="0"/>
        <w:jc w:val="left"/>
        <w:rPr>
          <w:sz w:val="24"/>
          <w:szCs w:val="24"/>
        </w:rPr>
      </w:pPr>
    </w:p>
    <w:p w14:paraId="078DDF1B">
      <w:pPr>
        <w:tabs>
          <w:tab w:val="left" w:pos="2790"/>
        </w:tabs>
        <w:snapToGrid w:val="0"/>
        <w:jc w:val="left"/>
        <w:rPr>
          <w:sz w:val="24"/>
          <w:szCs w:val="24"/>
        </w:rPr>
      </w:pPr>
    </w:p>
    <w:p w14:paraId="349FCC34">
      <w:pPr>
        <w:tabs>
          <w:tab w:val="left" w:pos="2790"/>
        </w:tabs>
        <w:snapToGrid w:val="0"/>
        <w:jc w:val="left"/>
        <w:rPr>
          <w:sz w:val="24"/>
          <w:szCs w:val="24"/>
        </w:rPr>
      </w:pPr>
    </w:p>
    <w:p w14:paraId="71B5B76A">
      <w:pPr>
        <w:pStyle w:val="14"/>
        <w:jc w:val="center"/>
        <w:outlineLvl w:val="0"/>
        <w:rPr>
          <w:rFonts w:hint="eastAsia" w:ascii="黑体" w:eastAsia="黑体"/>
          <w:sz w:val="40"/>
          <w:szCs w:val="40"/>
        </w:rPr>
      </w:pPr>
      <w:r>
        <w:rPr>
          <w:rFonts w:hint="eastAsia" w:ascii="黑体" w:hAnsi="黑体" w:eastAsia="黑体"/>
          <w:sz w:val="40"/>
          <w:szCs w:val="40"/>
        </w:rPr>
        <w:t>评标信息</w:t>
      </w:r>
    </w:p>
    <w:tbl>
      <w:tblPr>
        <w:tblStyle w:val="17"/>
        <w:tblW w:w="9141" w:type="dxa"/>
        <w:jc w:val="center"/>
        <w:tblCellSpacing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45" w:type="dxa"/>
          <w:left w:w="45" w:type="dxa"/>
          <w:bottom w:w="45" w:type="dxa"/>
          <w:right w:w="45" w:type="dxa"/>
        </w:tblCellMar>
      </w:tblPr>
      <w:tblGrid>
        <w:gridCol w:w="9141"/>
      </w:tblGrid>
      <w:tr w14:paraId="7170711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tblCellSpacing w:w="0" w:type="dxa"/>
          <w:jc w:val="center"/>
        </w:trPr>
        <w:tc>
          <w:tcPr>
            <w:tcW w:w="9078" w:type="dxa"/>
            <w:shd w:val="clear" w:color="auto" w:fill="auto"/>
            <w:vAlign w:val="center"/>
          </w:tcPr>
          <w:p w14:paraId="12557D31">
            <w:pPr>
              <w:jc w:val="left"/>
              <w:rPr>
                <w:rFonts w:ascii="宋体"/>
                <w:b/>
                <w:bCs/>
                <w:sz w:val="24"/>
              </w:rPr>
            </w:pPr>
            <w:r>
              <w:rPr>
                <w:b/>
                <w:bCs/>
              </w:rPr>
              <w:t>评标方法：综合评分法</w:t>
            </w:r>
          </w:p>
        </w:tc>
      </w:tr>
      <w:tr w14:paraId="3FE9C36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45" w:type="dxa"/>
            <w:left w:w="45" w:type="dxa"/>
            <w:bottom w:w="45" w:type="dxa"/>
            <w:right w:w="45" w:type="dxa"/>
          </w:tblCellMar>
        </w:tblPrEx>
        <w:trPr>
          <w:tblCellSpacing w:w="0" w:type="dxa"/>
          <w:jc w:val="center"/>
        </w:trPr>
        <w:tc>
          <w:tcPr>
            <w:tcW w:w="9078" w:type="dxa"/>
            <w:shd w:val="clear" w:color="auto" w:fill="auto"/>
            <w:vAlign w:val="center"/>
          </w:tcPr>
          <w:p w14:paraId="002F656A">
            <w:pPr>
              <w:ind w:firstLine="420"/>
              <w:rPr>
                <w:rFonts w:eastAsia="宋体"/>
                <w:szCs w:val="21"/>
              </w:rPr>
            </w:pPr>
            <w:r>
              <w:rPr>
                <w:szCs w:val="21"/>
              </w:rPr>
              <w:t>综合评分法，</w:t>
            </w:r>
            <w:r>
              <w:rPr>
                <w:rFonts w:hint="eastAsia"/>
                <w:szCs w:val="21"/>
              </w:rPr>
              <w:t>是指投标文件满足招标文件全部实质性要求，且按照评审因素的量化指标评审得分排名前列</w:t>
            </w:r>
            <w:r>
              <w:rPr>
                <w:szCs w:val="21"/>
              </w:rPr>
              <w:t>的投标人为中标候选人的评标方法。</w:t>
            </w:r>
          </w:p>
          <w:p w14:paraId="04CAC5B1">
            <w:pPr>
              <w:ind w:firstLine="420"/>
            </w:pPr>
          </w:p>
          <w:p w14:paraId="0BF5563E">
            <w:pPr>
              <w:ind w:firstLine="420"/>
              <w:rPr>
                <w:szCs w:val="21"/>
              </w:rPr>
            </w:pPr>
            <w:r>
              <w:rPr>
                <w:szCs w:val="21"/>
              </w:rPr>
              <w:t>价格分计算方法：</w:t>
            </w:r>
          </w:p>
          <w:p w14:paraId="6A2C1E4A">
            <w:pPr>
              <w:pStyle w:val="14"/>
              <w:spacing w:beforeAutospacing="0" w:afterAutospacing="0"/>
              <w:ind w:left="420"/>
              <w:rPr>
                <w:rFonts w:hint="eastAsia"/>
                <w:sz w:val="21"/>
                <w:szCs w:val="21"/>
              </w:rPr>
            </w:pPr>
            <w:r>
              <w:rPr>
                <w:sz w:val="21"/>
                <w:szCs w:val="21"/>
              </w:rPr>
              <w:t xml:space="preserve">采用低价优先法计算，即满足招标文件要求且投标价格最低的投标报价为评标基准价，其价格分为满分。其他投标人的价格分统一按照下列公式计算： </w:t>
            </w:r>
            <w:r>
              <w:rPr>
                <w:sz w:val="21"/>
                <w:szCs w:val="21"/>
              </w:rPr>
              <w:br w:type="textWrapping"/>
            </w:r>
            <w:r>
              <w:rPr>
                <w:sz w:val="21"/>
                <w:szCs w:val="21"/>
              </w:rPr>
              <w:t xml:space="preserve">投标报价得分=(评标基准价／投标报价)×100 </w:t>
            </w:r>
            <w:r>
              <w:rPr>
                <w:sz w:val="21"/>
                <w:szCs w:val="21"/>
              </w:rPr>
              <w:br w:type="textWrapping"/>
            </w:r>
            <w:r>
              <w:rPr>
                <w:sz w:val="21"/>
                <w:szCs w:val="21"/>
              </w:rPr>
              <w:t xml:space="preserve">评标总得分＝F1×A1＋F2×A2＋……＋Fn×An </w:t>
            </w:r>
            <w:r>
              <w:rPr>
                <w:sz w:val="21"/>
                <w:szCs w:val="21"/>
              </w:rPr>
              <w:br w:type="textWrapping"/>
            </w:r>
            <w:r>
              <w:rPr>
                <w:sz w:val="21"/>
                <w:szCs w:val="21"/>
              </w:rPr>
              <w:t xml:space="preserve">F1、F2……Fn分别为各项评审因素的得分； </w:t>
            </w:r>
            <w:r>
              <w:rPr>
                <w:sz w:val="21"/>
                <w:szCs w:val="21"/>
              </w:rPr>
              <w:br w:type="textWrapping"/>
            </w:r>
            <w:r>
              <w:rPr>
                <w:sz w:val="21"/>
                <w:szCs w:val="21"/>
              </w:rPr>
              <w:t xml:space="preserve">A1、A2、……An 分别为各项评审因素所占的权重(A1＋A2＋……＋An＝1)。 </w:t>
            </w:r>
            <w:r>
              <w:rPr>
                <w:sz w:val="21"/>
                <w:szCs w:val="21"/>
              </w:rPr>
              <w:br w:type="textWrapping"/>
            </w:r>
            <w:r>
              <w:rPr>
                <w:sz w:val="21"/>
                <w:szCs w:val="21"/>
              </w:rPr>
              <w:t>评标过程中，不得去掉报价中的最高报价和最低报价。</w:t>
            </w:r>
          </w:p>
          <w:p w14:paraId="6670794B">
            <w:pPr>
              <w:pStyle w:val="14"/>
              <w:spacing w:beforeAutospacing="0" w:afterAutospacing="0"/>
              <w:ind w:left="420"/>
              <w:rPr>
                <w:rFonts w:hint="eastAsia"/>
              </w:rPr>
            </w:pPr>
            <w:r>
              <w:rPr>
                <w:rFonts w:hint="eastAsia"/>
                <w:sz w:val="21"/>
                <w:szCs w:val="21"/>
              </w:rPr>
              <w:t>因落实政府采购政策进行价格调整的，以调整后的价格计算评标基准价和投标报价。</w:t>
            </w:r>
          </w:p>
        </w:tc>
      </w:tr>
    </w:tbl>
    <w:p w14:paraId="2B69EF9C"/>
    <w:tbl>
      <w:tblPr>
        <w:tblStyle w:val="17"/>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Layout w:type="autofit"/>
        <w:tblCellMar>
          <w:top w:w="20" w:type="dxa"/>
          <w:left w:w="108" w:type="dxa"/>
          <w:bottom w:w="20" w:type="dxa"/>
          <w:right w:w="108" w:type="dxa"/>
        </w:tblCellMar>
      </w:tblPr>
      <w:tblGrid>
        <w:gridCol w:w="607"/>
        <w:gridCol w:w="652"/>
        <w:gridCol w:w="1473"/>
        <w:gridCol w:w="979"/>
        <w:gridCol w:w="5361"/>
      </w:tblGrid>
      <w:tr w14:paraId="4D59715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607"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C4976CB">
            <w:pPr>
              <w:snapToGrid w:val="0"/>
              <w:jc w:val="center"/>
              <w:rPr>
                <w:rFonts w:hint="eastAsia" w:ascii="宋体" w:hAnsi="宋体" w:eastAsia="宋体" w:cs="宋体"/>
                <w:b/>
                <w:bCs/>
                <w:szCs w:val="21"/>
                <w:highlight w:val="none"/>
              </w:rPr>
            </w:pPr>
            <w:bookmarkStart w:id="114" w:name="_GoBack"/>
            <w:r>
              <w:rPr>
                <w:rFonts w:hint="eastAsia" w:ascii="宋体" w:hAnsi="宋体" w:eastAsia="宋体" w:cs="宋体"/>
                <w:b/>
                <w:bCs/>
                <w:szCs w:val="21"/>
                <w:highlight w:val="none"/>
              </w:rPr>
              <w:t>序号</w:t>
            </w:r>
          </w:p>
        </w:tc>
        <w:tc>
          <w:tcPr>
            <w:tcW w:w="3104" w:type="dxa"/>
            <w:gridSpan w:val="3"/>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656DABF">
            <w:pPr>
              <w:snapToGrid w:val="0"/>
              <w:jc w:val="center"/>
              <w:rPr>
                <w:rFonts w:hint="eastAsia" w:ascii="宋体" w:hAnsi="宋体" w:eastAsia="宋体" w:cs="宋体"/>
                <w:b/>
                <w:bCs/>
                <w:szCs w:val="21"/>
                <w:highlight w:val="none"/>
              </w:rPr>
            </w:pPr>
            <w:r>
              <w:rPr>
                <w:rFonts w:hint="eastAsia" w:ascii="宋体" w:hAnsi="宋体" w:eastAsia="宋体" w:cs="宋体"/>
                <w:b/>
                <w:bCs/>
                <w:szCs w:val="21"/>
                <w:highlight w:val="none"/>
              </w:rPr>
              <w:t>评分项</w:t>
            </w:r>
          </w:p>
        </w:tc>
        <w:tc>
          <w:tcPr>
            <w:tcW w:w="536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B299CD8">
            <w:pPr>
              <w:snapToGrid w:val="0"/>
              <w:jc w:val="center"/>
              <w:rPr>
                <w:rFonts w:hint="eastAsia" w:ascii="宋体" w:hAnsi="宋体" w:eastAsia="宋体" w:cs="宋体"/>
                <w:b/>
                <w:bCs/>
                <w:szCs w:val="21"/>
                <w:highlight w:val="none"/>
              </w:rPr>
            </w:pPr>
            <w:r>
              <w:rPr>
                <w:rFonts w:hint="eastAsia" w:ascii="宋体" w:hAnsi="宋体" w:eastAsia="宋体" w:cs="宋体"/>
                <w:b/>
                <w:bCs/>
                <w:szCs w:val="21"/>
                <w:highlight w:val="none"/>
              </w:rPr>
              <w:t>权重（%）</w:t>
            </w:r>
          </w:p>
        </w:tc>
      </w:tr>
      <w:tr w14:paraId="019A323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607" w:type="dxa"/>
            <w:tcBorders>
              <w:top w:val="single" w:color="000000" w:sz="8" w:space="0"/>
              <w:left w:val="single" w:color="000000" w:sz="8" w:space="0"/>
              <w:bottom w:val="single" w:color="000000" w:sz="8" w:space="0"/>
              <w:right w:val="single" w:color="000000" w:sz="8" w:space="0"/>
            </w:tcBorders>
            <w:shd w:val="clear" w:color="auto" w:fill="FFFFFF" w:themeFill="background1"/>
          </w:tcPr>
          <w:p w14:paraId="08410D13">
            <w:pPr>
              <w:snapToGrid w:val="0"/>
              <w:jc w:val="center"/>
              <w:rPr>
                <w:rFonts w:hint="eastAsia" w:ascii="宋体" w:hAnsi="宋体" w:eastAsia="宋体" w:cs="宋体"/>
                <w:b/>
                <w:bCs/>
                <w:szCs w:val="21"/>
                <w:highlight w:val="none"/>
              </w:rPr>
            </w:pPr>
            <w:r>
              <w:rPr>
                <w:rFonts w:hint="eastAsia" w:ascii="宋体" w:hAnsi="宋体" w:eastAsia="宋体" w:cs="宋体"/>
                <w:b/>
                <w:bCs/>
                <w:szCs w:val="21"/>
                <w:highlight w:val="none"/>
              </w:rPr>
              <w:t>1</w:t>
            </w:r>
          </w:p>
        </w:tc>
        <w:tc>
          <w:tcPr>
            <w:tcW w:w="3104" w:type="dxa"/>
            <w:gridSpan w:val="3"/>
            <w:tcBorders>
              <w:top w:val="single" w:color="000000" w:sz="8" w:space="0"/>
              <w:left w:val="single" w:color="000000" w:sz="8" w:space="0"/>
              <w:bottom w:val="single" w:color="000000" w:sz="8" w:space="0"/>
              <w:right w:val="single" w:color="000000" w:sz="8" w:space="0"/>
            </w:tcBorders>
            <w:shd w:val="clear" w:color="auto" w:fill="FFFFFF" w:themeFill="background1"/>
          </w:tcPr>
          <w:p w14:paraId="70196E58">
            <w:pPr>
              <w:snapToGrid w:val="0"/>
              <w:jc w:val="center"/>
              <w:rPr>
                <w:rFonts w:hint="eastAsia" w:ascii="宋体" w:hAnsi="宋体" w:eastAsia="宋体" w:cs="宋体"/>
                <w:b/>
                <w:bCs/>
                <w:szCs w:val="21"/>
                <w:highlight w:val="none"/>
              </w:rPr>
            </w:pPr>
            <w:r>
              <w:rPr>
                <w:rFonts w:hint="eastAsia" w:ascii="宋体" w:hAnsi="宋体" w:eastAsia="宋体" w:cs="宋体"/>
                <w:b/>
                <w:bCs/>
                <w:szCs w:val="21"/>
                <w:highlight w:val="none"/>
              </w:rPr>
              <w:t>价格</w:t>
            </w:r>
          </w:p>
        </w:tc>
        <w:tc>
          <w:tcPr>
            <w:tcW w:w="5361" w:type="dxa"/>
            <w:tcBorders>
              <w:top w:val="single" w:color="000000" w:sz="8" w:space="0"/>
              <w:left w:val="single" w:color="000000" w:sz="8" w:space="0"/>
              <w:bottom w:val="single" w:color="000000" w:sz="8" w:space="0"/>
              <w:right w:val="single" w:color="000000" w:sz="8" w:space="0"/>
            </w:tcBorders>
            <w:shd w:val="clear" w:color="auto" w:fill="FFFFFF" w:themeFill="background1"/>
          </w:tcPr>
          <w:p w14:paraId="4AEA6844">
            <w:pPr>
              <w:snapToGrid w:val="0"/>
              <w:jc w:val="center"/>
              <w:rPr>
                <w:rFonts w:hint="eastAsia" w:ascii="宋体" w:hAnsi="宋体" w:eastAsia="宋体" w:cs="宋体"/>
                <w:b/>
                <w:bCs/>
                <w:szCs w:val="21"/>
                <w:highlight w:val="none"/>
              </w:rPr>
            </w:pPr>
            <w:r>
              <w:rPr>
                <w:rFonts w:hint="eastAsia" w:ascii="宋体" w:hAnsi="宋体" w:eastAsia="宋体" w:cs="宋体"/>
                <w:b/>
                <w:bCs/>
                <w:szCs w:val="21"/>
                <w:highlight w:val="none"/>
              </w:rPr>
              <w:t>30</w:t>
            </w:r>
          </w:p>
        </w:tc>
      </w:tr>
      <w:tr w14:paraId="7C76EB7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607" w:type="dxa"/>
            <w:vMerge w:val="restart"/>
            <w:tcBorders>
              <w:top w:val="single" w:color="000000" w:sz="8" w:space="0"/>
              <w:left w:val="single" w:color="000000" w:sz="8" w:space="0"/>
              <w:bottom w:val="single" w:color="000000" w:sz="8" w:space="0"/>
              <w:right w:val="single" w:color="000000" w:sz="8" w:space="0"/>
            </w:tcBorders>
            <w:shd w:val="clear" w:color="auto" w:fill="FFFFFF" w:themeFill="background1"/>
          </w:tcPr>
          <w:p w14:paraId="5037D6D1">
            <w:pPr>
              <w:snapToGrid w:val="0"/>
              <w:jc w:val="center"/>
              <w:rPr>
                <w:rFonts w:hint="eastAsia" w:ascii="宋体" w:hAnsi="宋体" w:eastAsia="宋体" w:cs="宋体"/>
                <w:b/>
                <w:bCs/>
                <w:szCs w:val="21"/>
                <w:highlight w:val="none"/>
              </w:rPr>
            </w:pPr>
            <w:r>
              <w:rPr>
                <w:rFonts w:hint="eastAsia" w:ascii="宋体" w:hAnsi="宋体" w:eastAsia="宋体" w:cs="宋体"/>
                <w:b/>
                <w:bCs/>
                <w:szCs w:val="21"/>
                <w:highlight w:val="none"/>
              </w:rPr>
              <w:t>2</w:t>
            </w:r>
          </w:p>
        </w:tc>
        <w:tc>
          <w:tcPr>
            <w:tcW w:w="3104" w:type="dxa"/>
            <w:gridSpan w:val="3"/>
            <w:tcBorders>
              <w:top w:val="single" w:color="000000" w:sz="8" w:space="0"/>
              <w:left w:val="single" w:color="000000" w:sz="8" w:space="0"/>
              <w:bottom w:val="single" w:color="000000" w:sz="8" w:space="0"/>
              <w:right w:val="single" w:color="000000" w:sz="8" w:space="0"/>
            </w:tcBorders>
            <w:shd w:val="clear" w:color="auto" w:fill="FFFFFF" w:themeFill="background1"/>
          </w:tcPr>
          <w:p w14:paraId="446D85AD">
            <w:pPr>
              <w:snapToGrid w:val="0"/>
              <w:jc w:val="center"/>
              <w:rPr>
                <w:rFonts w:hint="eastAsia" w:ascii="宋体" w:hAnsi="宋体" w:eastAsia="宋体" w:cs="宋体"/>
                <w:b/>
                <w:bCs/>
                <w:szCs w:val="21"/>
                <w:highlight w:val="none"/>
              </w:rPr>
            </w:pPr>
            <w:r>
              <w:rPr>
                <w:rFonts w:hint="eastAsia" w:ascii="宋体" w:hAnsi="宋体" w:eastAsia="宋体" w:cs="宋体"/>
                <w:b/>
                <w:bCs/>
                <w:szCs w:val="21"/>
                <w:highlight w:val="none"/>
              </w:rPr>
              <w:t>技术部分</w:t>
            </w:r>
          </w:p>
        </w:tc>
        <w:tc>
          <w:tcPr>
            <w:tcW w:w="5361" w:type="dxa"/>
            <w:tcBorders>
              <w:top w:val="single" w:color="000000" w:sz="8" w:space="0"/>
              <w:left w:val="single" w:color="000000" w:sz="8" w:space="0"/>
              <w:bottom w:val="single" w:color="000000" w:sz="8" w:space="0"/>
              <w:right w:val="single" w:color="000000" w:sz="8" w:space="0"/>
            </w:tcBorders>
            <w:shd w:val="clear" w:color="auto" w:fill="FFFFFF" w:themeFill="background1"/>
          </w:tcPr>
          <w:p w14:paraId="7608BC84">
            <w:pPr>
              <w:snapToGrid w:val="0"/>
              <w:jc w:val="center"/>
              <w:rPr>
                <w:rFonts w:hint="default" w:ascii="宋体" w:hAnsi="宋体" w:eastAsia="宋体" w:cs="宋体"/>
                <w:b/>
                <w:bCs/>
                <w:szCs w:val="21"/>
                <w:highlight w:val="none"/>
                <w:lang w:val="en-US" w:eastAsia="zh-CN"/>
              </w:rPr>
            </w:pPr>
            <w:r>
              <w:rPr>
                <w:rFonts w:hint="eastAsia" w:ascii="宋体" w:hAnsi="宋体" w:eastAsia="宋体" w:cs="宋体"/>
                <w:b/>
                <w:bCs/>
                <w:szCs w:val="21"/>
                <w:highlight w:val="none"/>
                <w:lang w:val="en-US" w:eastAsia="zh-CN"/>
              </w:rPr>
              <w:t>54</w:t>
            </w:r>
          </w:p>
        </w:tc>
      </w:tr>
      <w:tr w14:paraId="010E6FA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607" w:type="dxa"/>
            <w:vMerge w:val="continue"/>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1C98E517">
            <w:pPr>
              <w:snapToGrid w:val="0"/>
              <w:rPr>
                <w:rFonts w:hint="eastAsia" w:ascii="宋体" w:hAnsi="宋体" w:eastAsia="宋体" w:cs="宋体"/>
                <w:b/>
                <w:bCs/>
                <w:szCs w:val="21"/>
                <w:highlight w:val="none"/>
              </w:rPr>
            </w:pPr>
          </w:p>
        </w:tc>
        <w:tc>
          <w:tcPr>
            <w:tcW w:w="652" w:type="dxa"/>
            <w:tcBorders>
              <w:top w:val="outset" w:color="000000" w:sz="6" w:space="0"/>
              <w:left w:val="outset" w:color="000000" w:sz="6" w:space="0"/>
              <w:bottom w:val="outset" w:color="000000" w:sz="6" w:space="0"/>
              <w:right w:val="outset" w:color="000000" w:sz="6" w:space="0"/>
            </w:tcBorders>
            <w:shd w:val="clear" w:color="auto" w:fill="FFFFFF" w:themeFill="background1"/>
            <w:vAlign w:val="center"/>
          </w:tcPr>
          <w:p w14:paraId="56029040">
            <w:pPr>
              <w:snapToGrid w:val="0"/>
              <w:jc w:val="center"/>
              <w:rPr>
                <w:rFonts w:hint="eastAsia" w:ascii="宋体" w:hAnsi="宋体" w:eastAsia="宋体" w:cs="宋体"/>
                <w:szCs w:val="21"/>
                <w:highlight w:val="none"/>
              </w:rPr>
            </w:pPr>
            <w:r>
              <w:rPr>
                <w:rFonts w:hint="eastAsia" w:ascii="宋体" w:hAnsi="宋体" w:eastAsia="宋体" w:cs="宋体"/>
                <w:szCs w:val="21"/>
                <w:highlight w:val="none"/>
              </w:rPr>
              <w:t>序号</w:t>
            </w:r>
          </w:p>
        </w:tc>
        <w:tc>
          <w:tcPr>
            <w:tcW w:w="1473" w:type="dxa"/>
            <w:tcBorders>
              <w:top w:val="outset" w:color="000000" w:sz="6" w:space="0"/>
              <w:left w:val="outset" w:color="000000" w:sz="6" w:space="0"/>
              <w:bottom w:val="outset" w:color="000000" w:sz="6" w:space="0"/>
              <w:right w:val="outset" w:color="000000" w:sz="6" w:space="0"/>
            </w:tcBorders>
            <w:shd w:val="clear" w:color="auto" w:fill="FFFFFF" w:themeFill="background1"/>
            <w:vAlign w:val="center"/>
          </w:tcPr>
          <w:p w14:paraId="56CFD550">
            <w:pPr>
              <w:snapToGrid w:val="0"/>
              <w:jc w:val="center"/>
              <w:rPr>
                <w:rFonts w:hint="eastAsia" w:ascii="宋体" w:hAnsi="宋体" w:eastAsia="宋体" w:cs="宋体"/>
                <w:szCs w:val="21"/>
                <w:highlight w:val="none"/>
              </w:rPr>
            </w:pPr>
            <w:r>
              <w:rPr>
                <w:rFonts w:hint="eastAsia" w:ascii="宋体" w:hAnsi="宋体" w:eastAsia="宋体" w:cs="宋体"/>
                <w:szCs w:val="21"/>
                <w:highlight w:val="none"/>
              </w:rPr>
              <w:t>评分因素</w:t>
            </w:r>
          </w:p>
        </w:tc>
        <w:tc>
          <w:tcPr>
            <w:tcW w:w="979" w:type="dxa"/>
            <w:tcBorders>
              <w:top w:val="outset" w:color="000000" w:sz="6" w:space="0"/>
              <w:left w:val="outset" w:color="000000" w:sz="6" w:space="0"/>
              <w:bottom w:val="outset" w:color="000000" w:sz="6" w:space="0"/>
              <w:right w:val="outset" w:color="000000" w:sz="6" w:space="0"/>
            </w:tcBorders>
            <w:shd w:val="clear" w:color="auto" w:fill="FFFFFF" w:themeFill="background1"/>
            <w:vAlign w:val="center"/>
          </w:tcPr>
          <w:p w14:paraId="4F9DFDCA">
            <w:pPr>
              <w:snapToGrid w:val="0"/>
              <w:jc w:val="center"/>
              <w:rPr>
                <w:rFonts w:hint="eastAsia" w:ascii="宋体" w:hAnsi="宋体" w:eastAsia="宋体" w:cs="宋体"/>
                <w:szCs w:val="21"/>
                <w:highlight w:val="none"/>
              </w:rPr>
            </w:pPr>
            <w:r>
              <w:rPr>
                <w:rFonts w:hint="eastAsia" w:ascii="宋体" w:hAnsi="宋体" w:eastAsia="宋体" w:cs="宋体"/>
                <w:szCs w:val="21"/>
                <w:highlight w:val="none"/>
              </w:rPr>
              <w:t>权重</w:t>
            </w:r>
            <w:r>
              <w:rPr>
                <w:rFonts w:hint="eastAsia" w:ascii="宋体" w:hAnsi="宋体" w:eastAsia="宋体" w:cs="宋体"/>
                <w:bCs/>
                <w:szCs w:val="21"/>
                <w:highlight w:val="none"/>
              </w:rPr>
              <w:t>（%）</w:t>
            </w:r>
          </w:p>
        </w:tc>
        <w:tc>
          <w:tcPr>
            <w:tcW w:w="5361" w:type="dxa"/>
            <w:tcBorders>
              <w:top w:val="outset" w:color="000000" w:sz="6" w:space="0"/>
              <w:left w:val="outset" w:color="000000" w:sz="6" w:space="0"/>
              <w:bottom w:val="outset" w:color="000000" w:sz="6" w:space="0"/>
              <w:right w:val="outset" w:color="000000" w:sz="6" w:space="0"/>
            </w:tcBorders>
            <w:shd w:val="clear" w:color="auto" w:fill="FFFFFF" w:themeFill="background1"/>
            <w:vAlign w:val="center"/>
          </w:tcPr>
          <w:p w14:paraId="59666C48">
            <w:pPr>
              <w:snapToGrid w:val="0"/>
              <w:jc w:val="center"/>
              <w:rPr>
                <w:rFonts w:hint="eastAsia" w:ascii="宋体" w:hAnsi="宋体" w:eastAsia="宋体" w:cs="宋体"/>
                <w:szCs w:val="21"/>
                <w:highlight w:val="none"/>
              </w:rPr>
            </w:pPr>
            <w:r>
              <w:rPr>
                <w:rFonts w:hint="eastAsia" w:ascii="宋体" w:hAnsi="宋体" w:eastAsia="宋体" w:cs="宋体"/>
                <w:szCs w:val="21"/>
                <w:highlight w:val="none"/>
              </w:rPr>
              <w:t>评分准则</w:t>
            </w:r>
          </w:p>
        </w:tc>
      </w:tr>
      <w:tr w14:paraId="1607AAA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607" w:type="dxa"/>
            <w:vMerge w:val="continue"/>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F926FBE">
            <w:pPr>
              <w:snapToGrid w:val="0"/>
              <w:rPr>
                <w:rFonts w:hint="eastAsia" w:ascii="宋体" w:hAnsi="宋体" w:eastAsia="宋体" w:cs="宋体"/>
                <w:b/>
                <w:bCs/>
                <w:szCs w:val="21"/>
                <w:highlight w:val="none"/>
              </w:rPr>
            </w:pPr>
          </w:p>
        </w:tc>
        <w:tc>
          <w:tcPr>
            <w:tcW w:w="652"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5B437EC">
            <w:pPr>
              <w:jc w:val="center"/>
              <w:rPr>
                <w:rFonts w:hint="eastAsia" w:ascii="宋体" w:hAnsi="宋体" w:eastAsia="宋体" w:cs="宋体"/>
                <w:szCs w:val="21"/>
                <w:highlight w:val="none"/>
              </w:rPr>
            </w:pPr>
            <w:r>
              <w:rPr>
                <w:rFonts w:hint="eastAsia" w:ascii="宋体" w:hAnsi="宋体"/>
                <w:szCs w:val="21"/>
                <w:highlight w:val="none"/>
              </w:rPr>
              <w:t>1</w:t>
            </w:r>
          </w:p>
        </w:tc>
        <w:tc>
          <w:tcPr>
            <w:tcW w:w="1473"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688B804C">
            <w:pPr>
              <w:pageBreakBefore w:val="0"/>
              <w:kinsoku/>
              <w:wordWrap/>
              <w:overflowPunct/>
              <w:topLinePunct w:val="0"/>
              <w:autoSpaceDE/>
              <w:autoSpaceDN/>
              <w:bidi w:val="0"/>
              <w:adjustRightInd/>
              <w:snapToGrid/>
              <w:spacing w:line="240" w:lineRule="auto"/>
              <w:jc w:val="center"/>
              <w:textAlignment w:val="auto"/>
              <w:rPr>
                <w:rFonts w:hint="eastAsia" w:ascii="宋体" w:hAnsi="宋体"/>
                <w:szCs w:val="21"/>
                <w:highlight w:val="none"/>
              </w:rPr>
            </w:pPr>
            <w:r>
              <w:rPr>
                <w:rFonts w:hint="eastAsia" w:ascii="宋体" w:hAnsi="宋体"/>
                <w:szCs w:val="21"/>
                <w:highlight w:val="none"/>
              </w:rPr>
              <w:t>技术保障措施</w:t>
            </w:r>
          </w:p>
        </w:tc>
        <w:tc>
          <w:tcPr>
            <w:tcW w:w="979"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53C946EC">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Theme="minorEastAsia"/>
                <w:szCs w:val="21"/>
                <w:highlight w:val="none"/>
                <w:lang w:val="en-US" w:eastAsia="zh-CN"/>
              </w:rPr>
            </w:pPr>
            <w:r>
              <w:rPr>
                <w:rFonts w:hint="eastAsia" w:ascii="宋体" w:hAnsi="宋体" w:eastAsia="宋体" w:cs="宋体"/>
                <w:sz w:val="21"/>
                <w:szCs w:val="21"/>
                <w:highlight w:val="none"/>
                <w:lang w:val="en-US" w:eastAsia="zh-CN"/>
              </w:rPr>
              <w:t>5</w:t>
            </w:r>
          </w:p>
        </w:tc>
        <w:tc>
          <w:tcPr>
            <w:tcW w:w="536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156743D7">
            <w:pPr>
              <w:keepNext w:val="0"/>
              <w:keepLines w:val="0"/>
              <w:pageBreakBefore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（一）</w:t>
            </w:r>
            <w:r>
              <w:rPr>
                <w:rFonts w:hint="eastAsia" w:ascii="宋体" w:hAnsi="宋体" w:eastAsia="宋体" w:cs="宋体"/>
                <w:b/>
                <w:bCs/>
                <w:color w:val="auto"/>
                <w:sz w:val="21"/>
                <w:szCs w:val="21"/>
                <w:highlight w:val="none"/>
              </w:rPr>
              <w:t>考察内容：</w:t>
            </w:r>
          </w:p>
          <w:p w14:paraId="7F2D2A03">
            <w:pPr>
              <w:keepNext w:val="0"/>
              <w:keepLines w:val="0"/>
              <w:pageBreakBefore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投标人需针对本项目提供</w:t>
            </w:r>
            <w:r>
              <w:rPr>
                <w:rFonts w:hint="eastAsia" w:ascii="Times New Roman" w:hAnsi="Times New Roman" w:eastAsia="宋体" w:cs="Times New Roman"/>
                <w:highlight w:val="none"/>
              </w:rPr>
              <w:t>技术保障措施</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方案</w:t>
            </w:r>
            <w:r>
              <w:rPr>
                <w:rFonts w:hint="eastAsia" w:ascii="宋体" w:hAnsi="宋体" w:eastAsia="宋体" w:cs="宋体"/>
                <w:color w:val="auto"/>
                <w:sz w:val="21"/>
                <w:szCs w:val="21"/>
                <w:highlight w:val="none"/>
              </w:rPr>
              <w:t>内容须包括：</w:t>
            </w:r>
          </w:p>
          <w:p w14:paraId="061B9DE9">
            <w:pPr>
              <w:keepNext w:val="0"/>
              <w:keepLines w:val="0"/>
              <w:pageBreakBefore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（1）</w:t>
            </w:r>
            <w:r>
              <w:rPr>
                <w:rFonts w:hint="eastAsia" w:ascii="Times New Roman" w:hAnsi="Times New Roman" w:eastAsia="宋体" w:cs="Times New Roman"/>
                <w:highlight w:val="none"/>
              </w:rPr>
              <w:t>技术团队(应包含组织架构、项目负责人和分项技术人员配置等)</w:t>
            </w:r>
            <w:r>
              <w:rPr>
                <w:rFonts w:hint="eastAsia" w:ascii="宋体" w:hAnsi="宋体" w:eastAsia="宋体" w:cs="宋体"/>
                <w:b w:val="0"/>
                <w:bCs w:val="0"/>
                <w:color w:val="auto"/>
                <w:sz w:val="21"/>
                <w:szCs w:val="21"/>
                <w:highlight w:val="none"/>
                <w:lang w:eastAsia="zh-CN"/>
              </w:rPr>
              <w:t>；</w:t>
            </w:r>
          </w:p>
          <w:p w14:paraId="745318DC">
            <w:pPr>
              <w:keepNext w:val="0"/>
              <w:keepLines w:val="0"/>
              <w:pageBreakBefore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（2）</w:t>
            </w:r>
            <w:r>
              <w:rPr>
                <w:rFonts w:hint="eastAsia" w:ascii="Times New Roman" w:hAnsi="Times New Roman" w:eastAsia="宋体" w:cs="Times New Roman"/>
                <w:highlight w:val="none"/>
              </w:rPr>
              <w:t>技术方案(包括前期项目分析、产品制作安装工艺流程与规范标准、包含清单中的货物规格、材质及安全措施等)</w:t>
            </w:r>
            <w:r>
              <w:rPr>
                <w:rFonts w:hint="eastAsia" w:ascii="宋体" w:hAnsi="宋体" w:eastAsia="宋体" w:cs="宋体"/>
                <w:b w:val="0"/>
                <w:bCs w:val="0"/>
                <w:color w:val="auto"/>
                <w:sz w:val="21"/>
                <w:szCs w:val="21"/>
                <w:highlight w:val="none"/>
                <w:lang w:eastAsia="zh-CN"/>
              </w:rPr>
              <w:t>；</w:t>
            </w:r>
          </w:p>
          <w:p w14:paraId="323CF6E8">
            <w:pPr>
              <w:keepNext w:val="0"/>
              <w:keepLines w:val="0"/>
              <w:pageBreakBefore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（3）</w:t>
            </w:r>
            <w:r>
              <w:rPr>
                <w:rFonts w:hint="eastAsia" w:ascii="Times New Roman" w:hAnsi="Times New Roman" w:eastAsia="宋体" w:cs="Times New Roman"/>
                <w:highlight w:val="none"/>
              </w:rPr>
              <w:t>场地(应包含符合项目实际场地情况的人员、车辆及货物进出、现场环境保护等内容)</w:t>
            </w:r>
            <w:r>
              <w:rPr>
                <w:rFonts w:hint="eastAsia" w:ascii="宋体" w:hAnsi="宋体" w:eastAsia="宋体" w:cs="宋体"/>
                <w:b w:val="0"/>
                <w:bCs w:val="0"/>
                <w:color w:val="auto"/>
                <w:sz w:val="21"/>
                <w:szCs w:val="21"/>
                <w:highlight w:val="none"/>
                <w:lang w:eastAsia="zh-CN"/>
              </w:rPr>
              <w:t>；</w:t>
            </w:r>
          </w:p>
          <w:p w14:paraId="20B30B0D">
            <w:pPr>
              <w:keepNext w:val="0"/>
              <w:keepLines w:val="0"/>
              <w:pageBreakBefore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（4）</w:t>
            </w:r>
            <w:r>
              <w:rPr>
                <w:rFonts w:hint="eastAsia" w:ascii="Times New Roman" w:hAnsi="Times New Roman" w:eastAsia="宋体" w:cs="Times New Roman"/>
                <w:highlight w:val="none"/>
              </w:rPr>
              <w:t>车辆(计划实施的车辆使用信息)</w:t>
            </w:r>
            <w:r>
              <w:rPr>
                <w:rFonts w:hint="eastAsia" w:ascii="宋体" w:hAnsi="宋体" w:eastAsia="宋体" w:cs="宋体"/>
                <w:b w:val="0"/>
                <w:bCs w:val="0"/>
                <w:color w:val="auto"/>
                <w:sz w:val="21"/>
                <w:szCs w:val="21"/>
                <w:highlight w:val="none"/>
                <w:lang w:eastAsia="zh-CN"/>
              </w:rPr>
              <w:t>。</w:t>
            </w:r>
          </w:p>
          <w:p w14:paraId="247C1951">
            <w:pPr>
              <w:keepNext w:val="0"/>
              <w:keepLines w:val="0"/>
              <w:pageBreakBefore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（二）</w:t>
            </w:r>
            <w:r>
              <w:rPr>
                <w:rFonts w:hint="eastAsia" w:ascii="宋体" w:hAnsi="宋体" w:eastAsia="宋体" w:cs="宋体"/>
                <w:b/>
                <w:bCs/>
                <w:color w:val="auto"/>
                <w:sz w:val="21"/>
                <w:szCs w:val="21"/>
                <w:highlight w:val="none"/>
              </w:rPr>
              <w:t>评审标准：</w:t>
            </w:r>
          </w:p>
          <w:p w14:paraId="6696428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评审委员会根据招标文件的需求和投标文件的内容响应情况进行评分： </w:t>
            </w:r>
          </w:p>
          <w:p w14:paraId="5ED26FF9">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Autospacing="0" w:afterAutospacing="0" w:line="240" w:lineRule="auto"/>
              <w:ind w:left="0" w:leftChars="0" w:right="0" w:rightChars="0"/>
              <w:textAlignment w:val="auto"/>
              <w:rPr>
                <w:rFonts w:hint="eastAsia" w:ascii="宋体" w:hAnsi="宋体"/>
                <w:szCs w:val="21"/>
                <w:highlight w:val="none"/>
              </w:rPr>
            </w:pPr>
            <w:r>
              <w:rPr>
                <w:rFonts w:hint="eastAsia" w:ascii="宋体" w:hAnsi="宋体"/>
                <w:szCs w:val="21"/>
                <w:highlight w:val="none"/>
              </w:rPr>
              <w:t>技术团队整体实力优、人员安排合理、权责分明得</w:t>
            </w:r>
            <w:r>
              <w:rPr>
                <w:rFonts w:hint="eastAsia" w:ascii="宋体" w:hAnsi="宋体"/>
                <w:szCs w:val="21"/>
                <w:highlight w:val="none"/>
                <w:lang w:val="en-US" w:eastAsia="zh-CN"/>
              </w:rPr>
              <w:t>40</w:t>
            </w:r>
            <w:r>
              <w:rPr>
                <w:rFonts w:hint="eastAsia" w:ascii="宋体" w:hAnsi="宋体"/>
                <w:szCs w:val="21"/>
                <w:highlight w:val="none"/>
              </w:rPr>
              <w:t>分；</w:t>
            </w:r>
          </w:p>
          <w:p w14:paraId="467EFFE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240" w:lineRule="auto"/>
              <w:ind w:right="0" w:rightChars="0"/>
              <w:textAlignment w:val="auto"/>
              <w:rPr>
                <w:rFonts w:hint="eastAsia" w:ascii="宋体" w:hAnsi="宋体"/>
                <w:szCs w:val="21"/>
                <w:highlight w:val="none"/>
              </w:rPr>
            </w:pPr>
            <w:r>
              <w:rPr>
                <w:rFonts w:hint="eastAsia" w:ascii="宋体" w:hAnsi="宋体"/>
                <w:szCs w:val="21"/>
                <w:highlight w:val="none"/>
              </w:rPr>
              <w:t>技术团队整体实力良、人员安排一般、权责分明得</w:t>
            </w:r>
            <w:r>
              <w:rPr>
                <w:rFonts w:hint="eastAsia" w:ascii="宋体" w:hAnsi="宋体"/>
                <w:szCs w:val="21"/>
                <w:highlight w:val="none"/>
                <w:lang w:val="en-US" w:eastAsia="zh-CN"/>
              </w:rPr>
              <w:t>20</w:t>
            </w:r>
            <w:r>
              <w:rPr>
                <w:rFonts w:hint="eastAsia" w:ascii="宋体" w:hAnsi="宋体"/>
                <w:szCs w:val="21"/>
                <w:highlight w:val="none"/>
              </w:rPr>
              <w:t>分；技术团队整体实力一般，人员安排一般、权责不分明得</w:t>
            </w:r>
            <w:r>
              <w:rPr>
                <w:rFonts w:hint="eastAsia" w:ascii="宋体" w:hAnsi="宋体"/>
                <w:szCs w:val="21"/>
                <w:highlight w:val="none"/>
                <w:lang w:val="en-US" w:eastAsia="zh-CN"/>
              </w:rPr>
              <w:t>10</w:t>
            </w:r>
            <w:r>
              <w:rPr>
                <w:rFonts w:hint="eastAsia" w:ascii="宋体" w:hAnsi="宋体"/>
                <w:szCs w:val="21"/>
                <w:highlight w:val="none"/>
              </w:rPr>
              <w:t>分；</w:t>
            </w:r>
          </w:p>
          <w:p w14:paraId="282A7A3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240" w:lineRule="auto"/>
              <w:ind w:right="0" w:rightChars="0"/>
              <w:textAlignment w:val="auto"/>
              <w:rPr>
                <w:rFonts w:hint="eastAsia" w:ascii="宋体" w:hAnsi="宋体"/>
                <w:szCs w:val="21"/>
                <w:highlight w:val="none"/>
              </w:rPr>
            </w:pPr>
            <w:r>
              <w:rPr>
                <w:rFonts w:hint="eastAsia" w:ascii="宋体" w:hAnsi="宋体"/>
                <w:szCs w:val="21"/>
                <w:highlight w:val="none"/>
              </w:rPr>
              <w:t>技术团队描述不清晰、人员安排不合理不完善的不得分；</w:t>
            </w:r>
          </w:p>
          <w:p w14:paraId="52386D4A">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textAlignment w:val="auto"/>
              <w:rPr>
                <w:rFonts w:hint="eastAsia" w:ascii="宋体" w:hAnsi="宋体"/>
                <w:szCs w:val="21"/>
                <w:highlight w:val="none"/>
              </w:rPr>
            </w:pPr>
            <w:r>
              <w:rPr>
                <w:rFonts w:hint="eastAsia" w:ascii="宋体" w:hAnsi="宋体"/>
                <w:szCs w:val="21"/>
                <w:highlight w:val="none"/>
              </w:rPr>
              <w:t>技术方案内容全面、科学合理、设备及工厂实力强、针对性和可操作性强的得</w:t>
            </w:r>
            <w:r>
              <w:rPr>
                <w:rFonts w:hint="eastAsia" w:ascii="宋体" w:hAnsi="宋体"/>
                <w:szCs w:val="21"/>
                <w:highlight w:val="none"/>
                <w:lang w:val="en-US" w:eastAsia="zh-CN"/>
              </w:rPr>
              <w:t>20</w:t>
            </w:r>
            <w:r>
              <w:rPr>
                <w:rFonts w:hint="eastAsia" w:ascii="宋体" w:hAnsi="宋体"/>
                <w:szCs w:val="21"/>
                <w:highlight w:val="none"/>
              </w:rPr>
              <w:t>分；</w:t>
            </w:r>
          </w:p>
          <w:p w14:paraId="73D3881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240" w:lineRule="auto"/>
              <w:ind w:leftChars="0" w:right="0" w:rightChars="0"/>
              <w:textAlignment w:val="auto"/>
              <w:rPr>
                <w:rFonts w:hint="eastAsia" w:ascii="宋体" w:hAnsi="宋体"/>
                <w:szCs w:val="21"/>
                <w:highlight w:val="none"/>
              </w:rPr>
            </w:pPr>
            <w:r>
              <w:rPr>
                <w:rFonts w:hint="eastAsia" w:ascii="宋体" w:hAnsi="宋体"/>
                <w:szCs w:val="21"/>
                <w:highlight w:val="none"/>
              </w:rPr>
              <w:t>技术方案内容较具体、科学较合理、设备及工厂实力一般、针对性和可操作性较强的得</w:t>
            </w:r>
            <w:r>
              <w:rPr>
                <w:rFonts w:hint="eastAsia" w:ascii="宋体" w:hAnsi="宋体"/>
                <w:szCs w:val="21"/>
                <w:highlight w:val="none"/>
                <w:lang w:val="en-US" w:eastAsia="zh-CN"/>
              </w:rPr>
              <w:t>10</w:t>
            </w:r>
            <w:r>
              <w:rPr>
                <w:rFonts w:hint="eastAsia" w:ascii="宋体" w:hAnsi="宋体"/>
                <w:szCs w:val="21"/>
                <w:highlight w:val="none"/>
              </w:rPr>
              <w:t>分；</w:t>
            </w:r>
          </w:p>
          <w:p w14:paraId="45ADC50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240" w:lineRule="auto"/>
              <w:ind w:leftChars="0" w:right="0" w:rightChars="0"/>
              <w:textAlignment w:val="auto"/>
              <w:rPr>
                <w:rFonts w:hint="eastAsia" w:ascii="宋体" w:hAnsi="宋体"/>
                <w:szCs w:val="21"/>
                <w:highlight w:val="none"/>
              </w:rPr>
            </w:pPr>
            <w:r>
              <w:rPr>
                <w:rFonts w:hint="eastAsia" w:ascii="宋体" w:hAnsi="宋体"/>
                <w:szCs w:val="21"/>
                <w:highlight w:val="none"/>
              </w:rPr>
              <w:t>技术方案内容一般，科学合理性一般，设备及工厂实力一般或差，针对性和可操作性一般得</w:t>
            </w:r>
            <w:r>
              <w:rPr>
                <w:rFonts w:hint="eastAsia" w:ascii="宋体" w:hAnsi="宋体"/>
                <w:szCs w:val="21"/>
                <w:highlight w:val="none"/>
                <w:lang w:val="en-US" w:eastAsia="zh-CN"/>
              </w:rPr>
              <w:t>5</w:t>
            </w:r>
            <w:r>
              <w:rPr>
                <w:rFonts w:hint="eastAsia" w:ascii="宋体" w:hAnsi="宋体"/>
                <w:szCs w:val="21"/>
                <w:highlight w:val="none"/>
              </w:rPr>
              <w:t>分；</w:t>
            </w:r>
          </w:p>
          <w:p w14:paraId="3B89907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240" w:lineRule="auto"/>
              <w:ind w:leftChars="0" w:right="0" w:rightChars="0"/>
              <w:textAlignment w:val="auto"/>
              <w:rPr>
                <w:rFonts w:hint="eastAsia" w:ascii="宋体" w:hAnsi="宋体"/>
                <w:szCs w:val="21"/>
                <w:highlight w:val="none"/>
              </w:rPr>
            </w:pPr>
            <w:r>
              <w:rPr>
                <w:rFonts w:hint="eastAsia" w:ascii="宋体" w:hAnsi="宋体"/>
                <w:szCs w:val="21"/>
                <w:highlight w:val="none"/>
              </w:rPr>
              <w:t>技术方案不完善、不合理、设备及工厂实力差的不得分；</w:t>
            </w:r>
          </w:p>
          <w:p w14:paraId="1B0E7CF8">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textAlignment w:val="auto"/>
              <w:rPr>
                <w:rFonts w:hint="eastAsia" w:ascii="宋体" w:hAnsi="宋体"/>
                <w:szCs w:val="21"/>
                <w:highlight w:val="none"/>
              </w:rPr>
            </w:pPr>
            <w:r>
              <w:rPr>
                <w:rFonts w:hint="eastAsia" w:ascii="宋体" w:hAnsi="宋体"/>
                <w:szCs w:val="21"/>
                <w:highlight w:val="none"/>
              </w:rPr>
              <w:t>场地中现场人员安排合理、车辆及货物进出方案优、现场环境保护方案优的得</w:t>
            </w:r>
            <w:r>
              <w:rPr>
                <w:rFonts w:hint="eastAsia" w:ascii="宋体" w:hAnsi="宋体"/>
                <w:szCs w:val="21"/>
                <w:highlight w:val="none"/>
                <w:lang w:val="en-US" w:eastAsia="zh-CN"/>
              </w:rPr>
              <w:t>20</w:t>
            </w:r>
            <w:r>
              <w:rPr>
                <w:rFonts w:hint="eastAsia" w:ascii="宋体" w:hAnsi="宋体"/>
                <w:szCs w:val="21"/>
                <w:highlight w:val="none"/>
              </w:rPr>
              <w:t>分；</w:t>
            </w:r>
          </w:p>
          <w:p w14:paraId="45B49D2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240" w:lineRule="auto"/>
              <w:ind w:leftChars="0" w:right="0" w:rightChars="0"/>
              <w:textAlignment w:val="auto"/>
              <w:rPr>
                <w:rFonts w:hint="eastAsia" w:ascii="宋体" w:hAnsi="宋体"/>
                <w:szCs w:val="21"/>
                <w:highlight w:val="none"/>
              </w:rPr>
            </w:pPr>
            <w:r>
              <w:rPr>
                <w:rFonts w:hint="eastAsia" w:ascii="宋体" w:hAnsi="宋体"/>
                <w:szCs w:val="21"/>
                <w:highlight w:val="none"/>
              </w:rPr>
              <w:t>场地中现场人员安排较合理、车辆及货物进出方案良、现场环境保护方案良的得</w:t>
            </w:r>
            <w:r>
              <w:rPr>
                <w:rFonts w:hint="eastAsia" w:ascii="宋体" w:hAnsi="宋体"/>
                <w:szCs w:val="21"/>
                <w:highlight w:val="none"/>
                <w:lang w:val="en-US" w:eastAsia="zh-CN"/>
              </w:rPr>
              <w:t>10</w:t>
            </w:r>
            <w:r>
              <w:rPr>
                <w:rFonts w:hint="eastAsia" w:ascii="宋体" w:hAnsi="宋体"/>
                <w:szCs w:val="21"/>
                <w:highlight w:val="none"/>
              </w:rPr>
              <w:t>分；</w:t>
            </w:r>
          </w:p>
          <w:p w14:paraId="3ECDED6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240" w:lineRule="auto"/>
              <w:ind w:leftChars="0" w:right="0" w:rightChars="0"/>
              <w:textAlignment w:val="auto"/>
              <w:rPr>
                <w:rFonts w:hint="eastAsia" w:ascii="宋体" w:hAnsi="宋体"/>
                <w:szCs w:val="21"/>
                <w:highlight w:val="none"/>
              </w:rPr>
            </w:pPr>
            <w:r>
              <w:rPr>
                <w:rFonts w:hint="eastAsia" w:ascii="宋体" w:hAnsi="宋体"/>
                <w:szCs w:val="21"/>
                <w:highlight w:val="none"/>
              </w:rPr>
              <w:t>场地中现场人员安排一般、车辆及货物进出方案一般、现场环境保护方案一般的得</w:t>
            </w:r>
            <w:r>
              <w:rPr>
                <w:rFonts w:hint="eastAsia" w:ascii="宋体" w:hAnsi="宋体"/>
                <w:szCs w:val="21"/>
                <w:highlight w:val="none"/>
                <w:lang w:val="en-US" w:eastAsia="zh-CN"/>
              </w:rPr>
              <w:t>5</w:t>
            </w:r>
            <w:r>
              <w:rPr>
                <w:rFonts w:hint="eastAsia" w:ascii="宋体" w:hAnsi="宋体"/>
                <w:szCs w:val="21"/>
                <w:highlight w:val="none"/>
              </w:rPr>
              <w:t>分；</w:t>
            </w:r>
          </w:p>
          <w:p w14:paraId="74C5FEA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240" w:lineRule="auto"/>
              <w:ind w:leftChars="0" w:right="0" w:rightChars="0"/>
              <w:textAlignment w:val="auto"/>
              <w:rPr>
                <w:rFonts w:hint="eastAsia" w:ascii="宋体" w:hAnsi="宋体"/>
                <w:szCs w:val="21"/>
                <w:highlight w:val="none"/>
              </w:rPr>
            </w:pPr>
            <w:r>
              <w:rPr>
                <w:rFonts w:hint="eastAsia" w:ascii="宋体" w:hAnsi="宋体"/>
                <w:szCs w:val="21"/>
                <w:highlight w:val="none"/>
              </w:rPr>
              <w:t>场地中现场人员安排不合理、车辆及货物进出方案差、现场环境保护方案差的或内容不完善不合理的不得分；</w:t>
            </w:r>
          </w:p>
          <w:p w14:paraId="5668F54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textAlignment w:val="auto"/>
              <w:rPr>
                <w:rFonts w:hint="eastAsia" w:ascii="宋体" w:hAnsi="宋体"/>
                <w:szCs w:val="21"/>
                <w:highlight w:val="none"/>
              </w:rPr>
            </w:pPr>
            <w:r>
              <w:rPr>
                <w:rFonts w:hint="eastAsia" w:ascii="宋体" w:hAnsi="宋体"/>
                <w:szCs w:val="21"/>
                <w:highlight w:val="none"/>
              </w:rPr>
              <w:t>（4）车辆安排合理、针对性强的得</w:t>
            </w:r>
            <w:r>
              <w:rPr>
                <w:rFonts w:hint="eastAsia" w:ascii="宋体" w:hAnsi="宋体"/>
                <w:szCs w:val="21"/>
                <w:highlight w:val="none"/>
                <w:lang w:val="en-US" w:eastAsia="zh-CN"/>
              </w:rPr>
              <w:t>20</w:t>
            </w:r>
            <w:r>
              <w:rPr>
                <w:rFonts w:hint="eastAsia" w:ascii="宋体" w:hAnsi="宋体"/>
                <w:szCs w:val="21"/>
                <w:highlight w:val="none"/>
              </w:rPr>
              <w:t>分；车辆安排较合理、针对性较强的得</w:t>
            </w:r>
            <w:r>
              <w:rPr>
                <w:rFonts w:hint="eastAsia" w:ascii="宋体" w:hAnsi="宋体"/>
                <w:szCs w:val="21"/>
                <w:highlight w:val="none"/>
                <w:lang w:val="en-US" w:eastAsia="zh-CN"/>
              </w:rPr>
              <w:t>10</w:t>
            </w:r>
            <w:r>
              <w:rPr>
                <w:rFonts w:hint="eastAsia" w:ascii="宋体" w:hAnsi="宋体"/>
                <w:szCs w:val="21"/>
                <w:highlight w:val="none"/>
              </w:rPr>
              <w:t>分；车辆安排一般、针对性一般的得</w:t>
            </w:r>
            <w:r>
              <w:rPr>
                <w:rFonts w:hint="eastAsia" w:ascii="宋体" w:hAnsi="宋体"/>
                <w:szCs w:val="21"/>
                <w:highlight w:val="none"/>
                <w:lang w:val="en-US" w:eastAsia="zh-CN"/>
              </w:rPr>
              <w:t>5</w:t>
            </w:r>
            <w:r>
              <w:rPr>
                <w:rFonts w:hint="eastAsia" w:ascii="宋体" w:hAnsi="宋体"/>
                <w:szCs w:val="21"/>
                <w:highlight w:val="none"/>
              </w:rPr>
              <w:t>分；车辆安排不合理、针对性差及方案不合理不完善的不得分。</w:t>
            </w:r>
          </w:p>
        </w:tc>
      </w:tr>
      <w:tr w14:paraId="2ED18D4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07" w:type="dxa"/>
            <w:vMerge w:val="continue"/>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97C7DC8">
            <w:pPr>
              <w:snapToGrid w:val="0"/>
              <w:rPr>
                <w:rFonts w:hint="eastAsia" w:ascii="宋体" w:hAnsi="宋体" w:eastAsia="宋体" w:cs="宋体"/>
                <w:b/>
                <w:bCs/>
                <w:szCs w:val="21"/>
                <w:highlight w:val="none"/>
              </w:rPr>
            </w:pPr>
          </w:p>
        </w:tc>
        <w:tc>
          <w:tcPr>
            <w:tcW w:w="652"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231BF6B">
            <w:pPr>
              <w:jc w:val="center"/>
              <w:rPr>
                <w:rFonts w:hint="eastAsia" w:ascii="宋体" w:hAnsi="宋体" w:eastAsiaTheme="minorEastAsia"/>
                <w:szCs w:val="21"/>
                <w:highlight w:val="none"/>
                <w:lang w:val="en-US" w:eastAsia="zh-CN"/>
              </w:rPr>
            </w:pPr>
            <w:r>
              <w:rPr>
                <w:rFonts w:hint="eastAsia" w:ascii="宋体" w:hAnsi="宋体"/>
                <w:szCs w:val="21"/>
                <w:highlight w:val="none"/>
                <w:lang w:val="en-US" w:eastAsia="zh-CN"/>
              </w:rPr>
              <w:t>2</w:t>
            </w:r>
          </w:p>
        </w:tc>
        <w:tc>
          <w:tcPr>
            <w:tcW w:w="1473"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6C53765C">
            <w:pPr>
              <w:pageBreakBefore w:val="0"/>
              <w:kinsoku/>
              <w:wordWrap/>
              <w:overflowPunct/>
              <w:topLinePunct w:val="0"/>
              <w:autoSpaceDE/>
              <w:autoSpaceDN/>
              <w:bidi w:val="0"/>
              <w:adjustRightInd/>
              <w:snapToGrid/>
              <w:spacing w:line="240" w:lineRule="auto"/>
              <w:jc w:val="center"/>
              <w:textAlignment w:val="auto"/>
              <w:rPr>
                <w:rFonts w:hint="eastAsia" w:ascii="宋体" w:hAnsi="宋体"/>
                <w:b w:val="0"/>
                <w:bCs w:val="0"/>
                <w:szCs w:val="21"/>
                <w:highlight w:val="none"/>
              </w:rPr>
            </w:pPr>
            <w:r>
              <w:rPr>
                <w:rFonts w:hint="eastAsia" w:ascii="宋体" w:hAnsi="宋体" w:eastAsia="宋体" w:cs="宋体"/>
                <w:kern w:val="0"/>
                <w:sz w:val="21"/>
                <w:szCs w:val="21"/>
                <w:highlight w:val="none"/>
              </w:rPr>
              <w:t>技术规格偏离情况</w:t>
            </w:r>
          </w:p>
        </w:tc>
        <w:tc>
          <w:tcPr>
            <w:tcW w:w="979"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4E25D971">
            <w:pPr>
              <w:pageBreakBefore w:val="0"/>
              <w:kinsoku/>
              <w:wordWrap/>
              <w:overflowPunct/>
              <w:topLinePunct w:val="0"/>
              <w:autoSpaceDE/>
              <w:autoSpaceDN/>
              <w:bidi w:val="0"/>
              <w:adjustRightInd/>
              <w:snapToGrid/>
              <w:spacing w:line="240" w:lineRule="auto"/>
              <w:jc w:val="center"/>
              <w:textAlignment w:val="auto"/>
              <w:rPr>
                <w:rFonts w:hint="default" w:ascii="宋体" w:hAnsi="宋体" w:eastAsiaTheme="minorEastAsia"/>
                <w:b w:val="0"/>
                <w:bCs w:val="0"/>
                <w:szCs w:val="21"/>
                <w:highlight w:val="none"/>
                <w:lang w:val="en-US" w:eastAsia="zh-CN"/>
              </w:rPr>
            </w:pPr>
            <w:r>
              <w:rPr>
                <w:rFonts w:hint="eastAsia" w:ascii="宋体" w:hAnsi="宋体" w:eastAsia="宋体" w:cs="宋体"/>
                <w:sz w:val="21"/>
                <w:szCs w:val="21"/>
                <w:highlight w:val="none"/>
                <w:lang w:val="en-US" w:eastAsia="zh-CN"/>
              </w:rPr>
              <w:t>38</w:t>
            </w:r>
          </w:p>
        </w:tc>
        <w:tc>
          <w:tcPr>
            <w:tcW w:w="536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19E56A5">
            <w:pPr>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评审小组根据《技术规格偏离表》（以下简称“偏离表”）响应情况进行打分，全部满足的得</w:t>
            </w:r>
            <w:r>
              <w:rPr>
                <w:rFonts w:hint="eastAsia" w:ascii="宋体" w:hAnsi="宋体" w:eastAsia="宋体" w:cs="宋体"/>
                <w:sz w:val="21"/>
                <w:szCs w:val="21"/>
                <w:highlight w:val="none"/>
                <w:lang w:val="en-US" w:eastAsia="zh-CN"/>
              </w:rPr>
              <w:t>100</w:t>
            </w:r>
            <w:r>
              <w:rPr>
                <w:rFonts w:hint="eastAsia" w:ascii="宋体" w:hAnsi="宋体" w:eastAsia="宋体" w:cs="宋体"/>
                <w:sz w:val="21"/>
                <w:szCs w:val="21"/>
                <w:highlight w:val="none"/>
              </w:rPr>
              <w:t>分，一般参数负偏离一项扣</w:t>
            </w:r>
            <w:r>
              <w:rPr>
                <w:rFonts w:hint="eastAsia" w:ascii="宋体" w:hAnsi="宋体" w:eastAsia="宋体" w:cs="宋体"/>
                <w:sz w:val="21"/>
                <w:szCs w:val="21"/>
                <w:highlight w:val="none"/>
                <w:lang w:val="en-US" w:eastAsia="zh-CN"/>
              </w:rPr>
              <w:t>1分</w:t>
            </w:r>
            <w:r>
              <w:rPr>
                <w:rFonts w:hint="eastAsia" w:ascii="宋体" w:hAnsi="宋体" w:eastAsia="宋体" w:cs="宋体"/>
                <w:sz w:val="21"/>
                <w:szCs w:val="21"/>
                <w:highlight w:val="none"/>
              </w:rPr>
              <w:t>，重点技术参数▲项负偏离一项扣</w:t>
            </w:r>
            <w:r>
              <w:rPr>
                <w:rFonts w:hint="eastAsia" w:ascii="宋体" w:hAnsi="宋体" w:eastAsia="宋体" w:cs="宋体"/>
                <w:sz w:val="21"/>
                <w:szCs w:val="21"/>
                <w:highlight w:val="none"/>
                <w:lang w:val="en-US" w:eastAsia="zh-CN"/>
              </w:rPr>
              <w:t>10分</w:t>
            </w:r>
            <w:r>
              <w:rPr>
                <w:rFonts w:hint="eastAsia" w:ascii="宋体" w:hAnsi="宋体" w:eastAsia="宋体" w:cs="宋体"/>
                <w:sz w:val="21"/>
                <w:szCs w:val="21"/>
                <w:highlight w:val="none"/>
              </w:rPr>
              <w:t>。扣完为止。</w:t>
            </w:r>
          </w:p>
          <w:p w14:paraId="2D81F793">
            <w:pPr>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b w:val="0"/>
                <w:bCs w:val="0"/>
                <w:szCs w:val="21"/>
                <w:highlight w:val="none"/>
              </w:rPr>
            </w:pPr>
            <w:r>
              <w:rPr>
                <w:rFonts w:hint="eastAsia" w:ascii="宋体" w:hAnsi="宋体" w:eastAsia="宋体" w:cs="宋体"/>
                <w:sz w:val="21"/>
                <w:szCs w:val="21"/>
                <w:highlight w:val="none"/>
              </w:rPr>
              <w:t>偏离表应如实对应填写所投产品的具体参数。如要求提供“厂家网站截图/说明书/厂家出具的参数文件/检验报告”等证明资料的，需按要求提供相关证明资料；提供的证明资料与所填写内容不一致的，以证明资料为准，原件备查。</w:t>
            </w:r>
          </w:p>
        </w:tc>
      </w:tr>
      <w:tr w14:paraId="0A2073E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07" w:type="dxa"/>
            <w:vMerge w:val="continue"/>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69739FF0">
            <w:pPr>
              <w:snapToGrid w:val="0"/>
              <w:rPr>
                <w:rFonts w:hint="eastAsia" w:ascii="宋体" w:hAnsi="宋体" w:eastAsia="宋体" w:cs="宋体"/>
                <w:b/>
                <w:bCs/>
                <w:szCs w:val="21"/>
                <w:highlight w:val="none"/>
              </w:rPr>
            </w:pPr>
          </w:p>
        </w:tc>
        <w:tc>
          <w:tcPr>
            <w:tcW w:w="652"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39CFB87C">
            <w:pPr>
              <w:jc w:val="center"/>
              <w:rPr>
                <w:rFonts w:hint="default" w:ascii="宋体" w:hAnsi="宋体"/>
                <w:szCs w:val="21"/>
                <w:highlight w:val="none"/>
                <w:lang w:val="en-US" w:eastAsia="zh-CN"/>
              </w:rPr>
            </w:pPr>
            <w:r>
              <w:rPr>
                <w:rFonts w:hint="eastAsia" w:ascii="宋体" w:hAnsi="宋体"/>
                <w:szCs w:val="21"/>
                <w:highlight w:val="none"/>
                <w:lang w:val="en-US" w:eastAsia="zh-CN"/>
              </w:rPr>
              <w:t>3</w:t>
            </w:r>
          </w:p>
        </w:tc>
        <w:tc>
          <w:tcPr>
            <w:tcW w:w="1473"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1EF7DC7A">
            <w:pPr>
              <w:pageBreakBefore w:val="0"/>
              <w:kinsoku/>
              <w:wordWrap/>
              <w:overflowPunct/>
              <w:topLinePunct w:val="0"/>
              <w:autoSpaceDE/>
              <w:autoSpaceDN/>
              <w:bidi w:val="0"/>
              <w:adjustRightInd/>
              <w:snapToGrid/>
              <w:spacing w:line="240" w:lineRule="auto"/>
              <w:jc w:val="center"/>
              <w:textAlignment w:val="auto"/>
              <w:rPr>
                <w:rFonts w:hint="eastAsia" w:ascii="宋体" w:hAnsi="宋体"/>
                <w:szCs w:val="21"/>
                <w:highlight w:val="none"/>
                <w:lang w:val="en-US" w:eastAsia="zh-CN"/>
              </w:rPr>
            </w:pPr>
            <w:r>
              <w:rPr>
                <w:rFonts w:hint="eastAsia" w:ascii="宋体" w:hAnsi="宋体"/>
                <w:szCs w:val="21"/>
                <w:highlight w:val="none"/>
              </w:rPr>
              <w:t>效果图</w:t>
            </w:r>
          </w:p>
        </w:tc>
        <w:tc>
          <w:tcPr>
            <w:tcW w:w="979"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4D0F43B">
            <w:pPr>
              <w:pageBreakBefore w:val="0"/>
              <w:kinsoku/>
              <w:wordWrap/>
              <w:overflowPunct/>
              <w:topLinePunct w:val="0"/>
              <w:autoSpaceDE/>
              <w:autoSpaceDN/>
              <w:bidi w:val="0"/>
              <w:adjustRightInd/>
              <w:snapToGrid/>
              <w:spacing w:line="240" w:lineRule="auto"/>
              <w:jc w:val="center"/>
              <w:textAlignment w:val="auto"/>
              <w:rPr>
                <w:rFonts w:hint="eastAsia" w:ascii="宋体" w:hAnsi="宋体"/>
                <w:szCs w:val="21"/>
                <w:highlight w:val="none"/>
                <w:lang w:val="en-US" w:eastAsia="zh-CN"/>
              </w:rPr>
            </w:pPr>
            <w:r>
              <w:rPr>
                <w:rFonts w:ascii="宋体" w:hAnsi="宋体"/>
                <w:szCs w:val="21"/>
                <w:highlight w:val="none"/>
              </w:rPr>
              <w:t>9</w:t>
            </w:r>
          </w:p>
        </w:tc>
        <w:tc>
          <w:tcPr>
            <w:tcW w:w="536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2612910">
            <w:pPr>
              <w:spacing w:line="240" w:lineRule="exact"/>
              <w:ind w:firstLine="420" w:firstLineChars="200"/>
              <w:rPr>
                <w:rFonts w:hint="eastAsia" w:ascii="宋体" w:hAnsi="宋体" w:cs="宋体" w:eastAsiaTheme="minorEastAsia"/>
                <w:szCs w:val="21"/>
                <w:highlight w:val="none"/>
                <w:lang w:eastAsia="zh-CN"/>
              </w:rPr>
            </w:pPr>
            <w:r>
              <w:rPr>
                <w:rFonts w:hint="eastAsia" w:ascii="宋体" w:hAnsi="宋体" w:cs="宋体"/>
                <w:szCs w:val="21"/>
                <w:highlight w:val="none"/>
              </w:rPr>
              <w:t>投标人应提供小班，中班，大班的设计方案，设计方案要求提供效果图。要求</w:t>
            </w:r>
            <w:ins w:id="0" w:author="yanhua" w:date="2025-07-03T14:37:36Z">
              <w:r>
                <w:rPr>
                  <w:rFonts w:hint="eastAsia" w:ascii="宋体" w:hAnsi="宋体" w:cs="宋体"/>
                  <w:szCs w:val="21"/>
                  <w:highlight w:val="none"/>
                  <w:lang w:eastAsia="zh-CN"/>
                </w:rPr>
                <w:t>：</w:t>
              </w:r>
            </w:ins>
          </w:p>
          <w:p w14:paraId="7348BA02">
            <w:pPr>
              <w:spacing w:line="240" w:lineRule="exact"/>
              <w:rPr>
                <w:rFonts w:hint="eastAsia" w:ascii="宋体" w:hAnsi="宋体" w:cs="宋体"/>
                <w:szCs w:val="21"/>
                <w:highlight w:val="none"/>
              </w:rPr>
            </w:pPr>
            <w:r>
              <w:rPr>
                <w:rFonts w:hint="eastAsia" w:ascii="宋体" w:hAnsi="宋体" w:cs="宋体"/>
                <w:szCs w:val="21"/>
                <w:highlight w:val="none"/>
              </w:rPr>
              <w:t>①</w:t>
            </w:r>
            <w:r>
              <w:rPr>
                <w:rFonts w:hint="eastAsia" w:ascii="宋体" w:hAnsi="宋体" w:cs="宋体"/>
                <w:szCs w:val="21"/>
                <w:highlight w:val="none"/>
                <w:lang w:eastAsia="zh-CN"/>
              </w:rPr>
              <w:t>需</w:t>
            </w:r>
            <w:r>
              <w:rPr>
                <w:rFonts w:hint="eastAsia" w:ascii="宋体" w:hAnsi="宋体" w:cs="宋体"/>
                <w:szCs w:val="21"/>
                <w:highlight w:val="none"/>
              </w:rPr>
              <w:t>根据招标文件的采购需求提供对应的空间效果图和平面布置图，每个</w:t>
            </w:r>
            <w:r>
              <w:rPr>
                <w:rFonts w:hint="eastAsia" w:ascii="宋体" w:hAnsi="宋体" w:cs="宋体"/>
                <w:szCs w:val="21"/>
                <w:highlight w:val="none"/>
                <w:lang w:val="en-US" w:eastAsia="zh-CN"/>
              </w:rPr>
              <w:t>教</w:t>
            </w:r>
            <w:r>
              <w:rPr>
                <w:rFonts w:hint="eastAsia" w:ascii="宋体" w:hAnsi="宋体" w:cs="宋体"/>
                <w:szCs w:val="21"/>
                <w:highlight w:val="none"/>
              </w:rPr>
              <w:t>室的图纸不少于3张；</w:t>
            </w:r>
          </w:p>
          <w:p w14:paraId="6EF16113">
            <w:pPr>
              <w:spacing w:line="240" w:lineRule="exact"/>
              <w:rPr>
                <w:rFonts w:hint="eastAsia" w:ascii="宋体" w:hAnsi="宋体" w:cs="宋体" w:eastAsiaTheme="minorEastAsia"/>
                <w:szCs w:val="21"/>
                <w:highlight w:val="none"/>
                <w:lang w:eastAsia="zh-CN"/>
              </w:rPr>
            </w:pPr>
            <w:r>
              <w:rPr>
                <w:rFonts w:hint="eastAsia" w:ascii="宋体" w:hAnsi="宋体" w:cs="宋体"/>
                <w:szCs w:val="21"/>
                <w:highlight w:val="none"/>
              </w:rPr>
              <w:t>②图纸能够多角度展示空间效果、空间功能区域划分合理、产品布局落位合理、颜色舒适，能直观清晰的看到投标人所投产品在教室的摆放</w:t>
            </w:r>
            <w:r>
              <w:rPr>
                <w:rFonts w:hint="eastAsia" w:ascii="宋体" w:hAnsi="宋体" w:cs="宋体"/>
                <w:szCs w:val="21"/>
                <w:highlight w:val="none"/>
                <w:lang w:eastAsia="zh-CN"/>
              </w:rPr>
              <w:t>；</w:t>
            </w:r>
          </w:p>
          <w:p w14:paraId="5F877397">
            <w:pPr>
              <w:spacing w:line="240" w:lineRule="exact"/>
              <w:rPr>
                <w:rFonts w:ascii="宋体" w:hAnsi="宋体" w:cs="宋体"/>
                <w:szCs w:val="21"/>
                <w:highlight w:val="none"/>
              </w:rPr>
            </w:pPr>
            <w:r>
              <w:rPr>
                <w:rFonts w:ascii="宋体" w:hAnsi="宋体" w:cs="宋体"/>
                <w:szCs w:val="21"/>
                <w:highlight w:val="none"/>
              </w:rPr>
              <w:t>③</w:t>
            </w:r>
            <w:r>
              <w:rPr>
                <w:rFonts w:hint="eastAsia" w:ascii="宋体" w:hAnsi="宋体" w:cs="宋体"/>
                <w:szCs w:val="21"/>
                <w:highlight w:val="none"/>
              </w:rPr>
              <w:t>所有设计方案需根据现场踏勘实景设计，并提供现场勘察实景照片作为对比及证明。</w:t>
            </w:r>
          </w:p>
          <w:p w14:paraId="7821ECD1">
            <w:pPr>
              <w:spacing w:line="240" w:lineRule="exact"/>
              <w:rPr>
                <w:rFonts w:hint="eastAsia" w:ascii="宋体" w:hAnsi="宋体" w:cs="宋体"/>
                <w:szCs w:val="21"/>
                <w:highlight w:val="none"/>
              </w:rPr>
            </w:pPr>
            <w:r>
              <w:rPr>
                <w:rFonts w:hint="eastAsia" w:ascii="宋体" w:hAnsi="宋体" w:cs="宋体"/>
                <w:szCs w:val="21"/>
                <w:highlight w:val="none"/>
              </w:rPr>
              <w:t>按上述要求，对所有投标人进行综合评分：</w:t>
            </w:r>
          </w:p>
          <w:p w14:paraId="4DBDF21D">
            <w:pPr>
              <w:spacing w:line="240" w:lineRule="exact"/>
              <w:ind w:firstLine="420" w:firstLineChars="200"/>
              <w:rPr>
                <w:rFonts w:hint="eastAsia" w:ascii="宋体" w:hAnsi="宋体" w:cs="宋体"/>
                <w:szCs w:val="21"/>
                <w:highlight w:val="none"/>
              </w:rPr>
            </w:pPr>
            <w:r>
              <w:rPr>
                <w:rFonts w:hint="eastAsia" w:ascii="宋体" w:hAnsi="宋体" w:cs="宋体"/>
                <w:szCs w:val="21"/>
                <w:highlight w:val="none"/>
              </w:rPr>
              <w:t>1.图纸</w:t>
            </w:r>
            <w:r>
              <w:rPr>
                <w:rFonts w:hint="eastAsia" w:ascii="宋体" w:hAnsi="宋体" w:cs="宋体"/>
                <w:szCs w:val="21"/>
                <w:highlight w:val="none"/>
                <w:lang w:val="en-US" w:eastAsia="zh-CN"/>
              </w:rPr>
              <w:t>规范清晰</w:t>
            </w:r>
            <w:r>
              <w:rPr>
                <w:rFonts w:hint="eastAsia" w:ascii="宋体" w:hAnsi="宋体" w:cs="宋体"/>
                <w:szCs w:val="21"/>
                <w:highlight w:val="none"/>
              </w:rPr>
              <w:t>、完整，多角度展示空间效果好，区域布局合理，整体效果好，</w:t>
            </w:r>
            <w:r>
              <w:rPr>
                <w:highlight w:val="none"/>
              </w:rPr>
              <w:t>符合当代幼儿园建设趋势，符合我园办学理念</w:t>
            </w:r>
            <w:r>
              <w:rPr>
                <w:rFonts w:hint="eastAsia" w:ascii="宋体" w:hAnsi="宋体" w:cs="宋体"/>
                <w:szCs w:val="21"/>
                <w:highlight w:val="none"/>
              </w:rPr>
              <w:t>的得</w:t>
            </w:r>
            <w:r>
              <w:rPr>
                <w:rFonts w:hint="eastAsia" w:ascii="宋体" w:hAnsi="宋体" w:cs="宋体"/>
                <w:szCs w:val="21"/>
                <w:highlight w:val="none"/>
                <w:lang w:val="en-US" w:eastAsia="zh-CN"/>
              </w:rPr>
              <w:t>100</w:t>
            </w:r>
            <w:r>
              <w:rPr>
                <w:rFonts w:hint="eastAsia" w:ascii="宋体" w:hAnsi="宋体" w:cs="宋体"/>
                <w:szCs w:val="21"/>
                <w:highlight w:val="none"/>
              </w:rPr>
              <w:t>分；</w:t>
            </w:r>
          </w:p>
          <w:p w14:paraId="029B3C83">
            <w:pPr>
              <w:spacing w:line="240" w:lineRule="exact"/>
              <w:ind w:firstLine="420" w:firstLineChars="200"/>
              <w:rPr>
                <w:rFonts w:hint="eastAsia" w:ascii="宋体" w:hAnsi="宋体" w:cs="宋体"/>
                <w:szCs w:val="21"/>
                <w:highlight w:val="none"/>
              </w:rPr>
            </w:pPr>
            <w:r>
              <w:rPr>
                <w:rFonts w:hint="eastAsia" w:ascii="宋体" w:hAnsi="宋体" w:cs="宋体"/>
                <w:szCs w:val="21"/>
                <w:highlight w:val="none"/>
              </w:rPr>
              <w:t>2.图纸规范、完整、多角度展示空间效果较好，区域布局较合理，整体效果较好，基本符合要求的得</w:t>
            </w:r>
            <w:r>
              <w:rPr>
                <w:rFonts w:hint="eastAsia" w:ascii="宋体" w:hAnsi="宋体" w:cs="宋体"/>
                <w:szCs w:val="21"/>
                <w:highlight w:val="none"/>
                <w:lang w:val="en-US" w:eastAsia="zh-CN"/>
              </w:rPr>
              <w:t>60</w:t>
            </w:r>
            <w:r>
              <w:rPr>
                <w:rFonts w:hint="eastAsia" w:ascii="宋体" w:hAnsi="宋体" w:cs="宋体"/>
                <w:szCs w:val="21"/>
                <w:highlight w:val="none"/>
              </w:rPr>
              <w:t>分；</w:t>
            </w:r>
          </w:p>
          <w:p w14:paraId="1D82E6F4">
            <w:pPr>
              <w:spacing w:line="240" w:lineRule="exact"/>
              <w:ind w:firstLine="420" w:firstLineChars="200"/>
              <w:rPr>
                <w:rFonts w:hint="eastAsia" w:ascii="宋体" w:hAnsi="宋体" w:cs="宋体"/>
                <w:szCs w:val="21"/>
                <w:highlight w:val="none"/>
              </w:rPr>
            </w:pPr>
            <w:r>
              <w:rPr>
                <w:rFonts w:hint="eastAsia" w:ascii="宋体" w:hAnsi="宋体" w:cs="宋体"/>
                <w:szCs w:val="21"/>
                <w:highlight w:val="none"/>
              </w:rPr>
              <w:t>3.图纸规范、完整，多角度展示空间效果一般，区域布局一般，整体效果一般，仅部分符合要求的得</w:t>
            </w:r>
            <w:r>
              <w:rPr>
                <w:rFonts w:hint="eastAsia" w:ascii="宋体" w:hAnsi="宋体" w:cs="宋体"/>
                <w:szCs w:val="21"/>
                <w:highlight w:val="none"/>
                <w:lang w:val="en-US" w:eastAsia="zh-CN"/>
              </w:rPr>
              <w:t>20</w:t>
            </w:r>
            <w:r>
              <w:rPr>
                <w:rFonts w:hint="eastAsia" w:ascii="宋体" w:hAnsi="宋体" w:cs="宋体"/>
                <w:szCs w:val="21"/>
                <w:highlight w:val="none"/>
              </w:rPr>
              <w:t>分；</w:t>
            </w:r>
          </w:p>
          <w:p w14:paraId="1400DCAB">
            <w:pPr>
              <w:spacing w:line="240" w:lineRule="exact"/>
              <w:ind w:firstLine="420" w:firstLineChars="200"/>
              <w:rPr>
                <w:rFonts w:hint="eastAsia" w:ascii="宋体" w:hAnsi="宋体" w:cs="仿宋_GB2312"/>
                <w:szCs w:val="21"/>
                <w:highlight w:val="none"/>
              </w:rPr>
            </w:pPr>
            <w:r>
              <w:rPr>
                <w:rFonts w:hint="eastAsia" w:ascii="宋体" w:hAnsi="宋体" w:cs="宋体"/>
                <w:szCs w:val="21"/>
                <w:highlight w:val="none"/>
              </w:rPr>
              <w:t>未提供全景效果图方案或图纸提供不完整（少图或缺图）或方案不是本项目幼儿园实际的，不得分。</w:t>
            </w:r>
          </w:p>
        </w:tc>
      </w:tr>
      <w:tr w14:paraId="5D94B3A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07" w:type="dxa"/>
            <w:vMerge w:val="continue"/>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543BC175">
            <w:pPr>
              <w:snapToGrid w:val="0"/>
              <w:rPr>
                <w:rFonts w:hint="eastAsia" w:ascii="宋体" w:hAnsi="宋体" w:eastAsia="宋体" w:cs="宋体"/>
                <w:b/>
                <w:bCs/>
                <w:szCs w:val="21"/>
                <w:highlight w:val="none"/>
              </w:rPr>
            </w:pPr>
          </w:p>
        </w:tc>
        <w:tc>
          <w:tcPr>
            <w:tcW w:w="652"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6A05CC1F">
            <w:pPr>
              <w:jc w:val="center"/>
              <w:rPr>
                <w:rFonts w:hint="eastAsia" w:ascii="宋体" w:hAnsi="宋体" w:eastAsiaTheme="minorEastAsia"/>
                <w:szCs w:val="21"/>
                <w:highlight w:val="none"/>
                <w:lang w:val="en-US" w:eastAsia="zh-CN"/>
              </w:rPr>
            </w:pPr>
            <w:r>
              <w:rPr>
                <w:rFonts w:hint="eastAsia" w:ascii="宋体" w:hAnsi="宋体"/>
                <w:szCs w:val="21"/>
                <w:highlight w:val="none"/>
                <w:lang w:val="en-US" w:eastAsia="zh-CN"/>
              </w:rPr>
              <w:t>4</w:t>
            </w:r>
          </w:p>
        </w:tc>
        <w:tc>
          <w:tcPr>
            <w:tcW w:w="1473"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4B1E1D3B">
            <w:pPr>
              <w:pageBreakBefore w:val="0"/>
              <w:kinsoku/>
              <w:wordWrap/>
              <w:overflowPunct/>
              <w:topLinePunct w:val="0"/>
              <w:autoSpaceDE/>
              <w:autoSpaceDN/>
              <w:bidi w:val="0"/>
              <w:adjustRightInd/>
              <w:snapToGrid/>
              <w:spacing w:line="240" w:lineRule="auto"/>
              <w:jc w:val="center"/>
              <w:textAlignment w:val="auto"/>
              <w:rPr>
                <w:rFonts w:hint="eastAsia" w:ascii="宋体" w:hAnsi="宋体"/>
                <w:szCs w:val="21"/>
                <w:highlight w:val="none"/>
              </w:rPr>
            </w:pPr>
            <w:r>
              <w:rPr>
                <w:rFonts w:hint="eastAsia" w:ascii="宋体" w:hAnsi="宋体" w:cs="宋体"/>
                <w:szCs w:val="21"/>
                <w:highlight w:val="none"/>
              </w:rPr>
              <w:t>现场踏勘</w:t>
            </w:r>
          </w:p>
        </w:tc>
        <w:tc>
          <w:tcPr>
            <w:tcW w:w="979"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1E6BCBBF">
            <w:pPr>
              <w:pageBreakBefore w:val="0"/>
              <w:kinsoku/>
              <w:wordWrap/>
              <w:overflowPunct/>
              <w:topLinePunct w:val="0"/>
              <w:autoSpaceDE/>
              <w:autoSpaceDN/>
              <w:bidi w:val="0"/>
              <w:adjustRightInd/>
              <w:snapToGrid/>
              <w:spacing w:line="240" w:lineRule="auto"/>
              <w:jc w:val="center"/>
              <w:textAlignment w:val="auto"/>
              <w:rPr>
                <w:rFonts w:hint="eastAsia" w:ascii="宋体" w:hAnsi="宋体"/>
                <w:szCs w:val="21"/>
                <w:highlight w:val="none"/>
                <w:lang w:val="en-US" w:eastAsia="zh-CN"/>
              </w:rPr>
            </w:pPr>
            <w:r>
              <w:rPr>
                <w:rFonts w:hint="eastAsia" w:ascii="宋体" w:hAnsi="宋体" w:cs="宋体"/>
                <w:szCs w:val="21"/>
                <w:highlight w:val="none"/>
              </w:rPr>
              <w:t>2</w:t>
            </w:r>
          </w:p>
        </w:tc>
        <w:tc>
          <w:tcPr>
            <w:tcW w:w="536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3D64C43E">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eastAsia" w:ascii="宋体" w:hAnsi="宋体"/>
                <w:szCs w:val="21"/>
                <w:highlight w:val="none"/>
              </w:rPr>
            </w:pPr>
            <w:r>
              <w:rPr>
                <w:rFonts w:hint="eastAsia" w:ascii="宋体" w:hAnsi="宋体" w:eastAsia="宋体" w:cs="Times New Roman"/>
                <w:kern w:val="2"/>
                <w:sz w:val="21"/>
                <w:szCs w:val="21"/>
                <w:highlight w:val="none"/>
                <w:lang w:val="en-US" w:eastAsia="zh-CN" w:bidi="ar-SA"/>
              </w:rPr>
              <w:t>为更好地了解项目现场情况，响应供应商可在采购公告载明的采购文件领取时间之日起的第二个日历日（采购文件领取时间之日为第一个日历日）上午工作时间：9:00统一到用户单位进行现场踏勘，逾期将不再组织现场踏勘。联系人: 刘老师，联系电话：13168724300，勘察地点：深圳市龙华区平安路深圳市龙华区观澜幼教集团天屿花园幼儿园内，提供用户单位盖章的勘察证明文件得</w:t>
            </w:r>
            <w:r>
              <w:rPr>
                <w:rFonts w:hint="eastAsia" w:eastAsia="宋体" w:cs="Times New Roman"/>
                <w:kern w:val="2"/>
                <w:sz w:val="21"/>
                <w:szCs w:val="21"/>
                <w:highlight w:val="none"/>
                <w:lang w:val="en-US" w:eastAsia="zh-CN" w:bidi="ar-SA"/>
              </w:rPr>
              <w:t>100</w:t>
            </w:r>
            <w:r>
              <w:rPr>
                <w:rFonts w:hint="eastAsia" w:ascii="宋体" w:hAnsi="宋体" w:eastAsia="宋体" w:cs="Times New Roman"/>
                <w:kern w:val="2"/>
                <w:sz w:val="21"/>
                <w:szCs w:val="21"/>
                <w:highlight w:val="none"/>
                <w:lang w:val="en-US" w:eastAsia="zh-CN" w:bidi="ar-SA"/>
              </w:rPr>
              <w:t xml:space="preserve"> 分，未按要求提供资料不</w:t>
            </w:r>
            <w:r>
              <w:rPr>
                <w:rFonts w:hint="eastAsia" w:ascii="宋体" w:hAnsi="宋体"/>
                <w:szCs w:val="21"/>
                <w:highlight w:val="none"/>
              </w:rPr>
              <w:t>得分。</w:t>
            </w:r>
          </w:p>
          <w:p w14:paraId="3C05A569">
            <w:pPr>
              <w:pageBreakBefore w:val="0"/>
              <w:kinsoku/>
              <w:wordWrap/>
              <w:overflowPunct/>
              <w:topLinePunct w:val="0"/>
              <w:autoSpaceDE/>
              <w:autoSpaceDN/>
              <w:bidi w:val="0"/>
              <w:adjustRightInd/>
              <w:snapToGrid/>
              <w:spacing w:line="240" w:lineRule="auto"/>
              <w:textAlignment w:val="auto"/>
              <w:rPr>
                <w:rFonts w:hint="eastAsia" w:ascii="宋体" w:hAnsi="宋体" w:cs="仿宋_GB2312"/>
                <w:szCs w:val="21"/>
                <w:highlight w:val="none"/>
              </w:rPr>
            </w:pPr>
            <w:r>
              <w:rPr>
                <w:rFonts w:hint="eastAsia" w:ascii="宋体" w:hAnsi="宋体"/>
                <w:szCs w:val="21"/>
                <w:highlight w:val="none"/>
              </w:rPr>
              <w:t xml:space="preserve"> </w:t>
            </w:r>
            <w:r>
              <w:rPr>
                <w:rFonts w:hint="eastAsia" w:ascii="宋体" w:hAnsi="宋体"/>
                <w:sz w:val="21"/>
                <w:szCs w:val="21"/>
                <w:highlight w:val="none"/>
              </w:rPr>
              <w:t>踏勘携带资料：参加踏勘需携带法定代表人资格证明书以及踏勘授权委托书，踏勘结束后，由（采购人）现场颁发踏勘证明。未按以上要求提供不得分。 评分依据：须提供加盖用户单位公章的现场踏勘证明文件原件的扫描件，原件备查。未提供或提供的不符合要求或提供不清晰导致专家无法判断的均不得分。</w:t>
            </w:r>
          </w:p>
        </w:tc>
      </w:tr>
      <w:tr w14:paraId="3EF0AEF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607" w:type="dxa"/>
            <w:vMerge w:val="restart"/>
            <w:tcBorders>
              <w:top w:val="single" w:color="000000" w:sz="8" w:space="0"/>
              <w:left w:val="single" w:color="000000" w:sz="8" w:space="0"/>
              <w:right w:val="single" w:color="000000" w:sz="8" w:space="0"/>
            </w:tcBorders>
            <w:shd w:val="clear" w:color="auto" w:fill="FFFFFF" w:themeFill="background1"/>
          </w:tcPr>
          <w:p w14:paraId="498E15B2">
            <w:pPr>
              <w:snapToGrid w:val="0"/>
              <w:jc w:val="center"/>
              <w:rPr>
                <w:rFonts w:hint="eastAsia" w:ascii="宋体" w:hAnsi="宋体" w:eastAsia="宋体" w:cs="宋体"/>
                <w:b/>
                <w:bCs/>
                <w:szCs w:val="21"/>
                <w:highlight w:val="none"/>
              </w:rPr>
            </w:pPr>
            <w:r>
              <w:rPr>
                <w:rFonts w:hint="eastAsia" w:ascii="宋体" w:hAnsi="宋体" w:eastAsia="宋体" w:cs="宋体"/>
                <w:b/>
                <w:bCs/>
                <w:szCs w:val="21"/>
                <w:highlight w:val="none"/>
              </w:rPr>
              <w:t>3</w:t>
            </w:r>
          </w:p>
        </w:tc>
        <w:tc>
          <w:tcPr>
            <w:tcW w:w="3104" w:type="dxa"/>
            <w:gridSpan w:val="3"/>
            <w:tcBorders>
              <w:top w:val="single" w:color="000000" w:sz="8" w:space="0"/>
              <w:left w:val="single" w:color="000000" w:sz="8" w:space="0"/>
              <w:bottom w:val="single" w:color="000000" w:sz="8" w:space="0"/>
              <w:right w:val="single" w:color="000000" w:sz="8" w:space="0"/>
            </w:tcBorders>
            <w:shd w:val="clear" w:color="auto" w:fill="FFFFFF" w:themeFill="background1"/>
          </w:tcPr>
          <w:p w14:paraId="0AAE677F">
            <w:pPr>
              <w:snapToGrid w:val="0"/>
              <w:jc w:val="center"/>
              <w:rPr>
                <w:rFonts w:hint="eastAsia" w:ascii="宋体" w:hAnsi="宋体" w:eastAsia="宋体" w:cs="宋体"/>
                <w:b/>
                <w:bCs/>
                <w:szCs w:val="21"/>
                <w:highlight w:val="none"/>
              </w:rPr>
            </w:pPr>
            <w:r>
              <w:rPr>
                <w:rFonts w:hint="eastAsia" w:asciiTheme="minorEastAsia" w:hAnsiTheme="minorEastAsia"/>
                <w:b/>
                <w:bCs/>
                <w:szCs w:val="21"/>
                <w:highlight w:val="none"/>
              </w:rPr>
              <w:t>商务</w:t>
            </w:r>
            <w:r>
              <w:rPr>
                <w:rFonts w:hint="eastAsia" w:ascii="宋体" w:hAnsi="宋体" w:eastAsia="宋体" w:cs="宋体"/>
                <w:b/>
                <w:bCs/>
                <w:szCs w:val="21"/>
                <w:highlight w:val="none"/>
              </w:rPr>
              <w:t>部分</w:t>
            </w:r>
          </w:p>
        </w:tc>
        <w:tc>
          <w:tcPr>
            <w:tcW w:w="5361" w:type="dxa"/>
            <w:tcBorders>
              <w:top w:val="single" w:color="000000" w:sz="8" w:space="0"/>
              <w:left w:val="single" w:color="000000" w:sz="8" w:space="0"/>
              <w:bottom w:val="single" w:color="000000" w:sz="8" w:space="0"/>
              <w:right w:val="single" w:color="000000" w:sz="8" w:space="0"/>
            </w:tcBorders>
            <w:shd w:val="clear" w:color="auto" w:fill="FFFFFF" w:themeFill="background1"/>
          </w:tcPr>
          <w:p w14:paraId="501E95A0">
            <w:pPr>
              <w:snapToGrid w:val="0"/>
              <w:jc w:val="center"/>
              <w:rPr>
                <w:rFonts w:hint="default" w:ascii="宋体" w:hAnsi="宋体" w:eastAsia="宋体" w:cs="宋体"/>
                <w:b/>
                <w:bCs/>
                <w:szCs w:val="21"/>
                <w:highlight w:val="none"/>
                <w:lang w:val="en-US" w:eastAsia="zh-CN"/>
              </w:rPr>
            </w:pPr>
            <w:r>
              <w:rPr>
                <w:rFonts w:hint="eastAsia" w:ascii="宋体" w:hAnsi="宋体" w:eastAsia="宋体" w:cs="宋体"/>
                <w:b/>
                <w:bCs/>
                <w:szCs w:val="21"/>
                <w:highlight w:val="none"/>
                <w:lang w:val="en-US" w:eastAsia="zh-CN"/>
              </w:rPr>
              <w:t>11</w:t>
            </w:r>
          </w:p>
        </w:tc>
      </w:tr>
      <w:tr w14:paraId="6E465CE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607" w:type="dxa"/>
            <w:vMerge w:val="continue"/>
            <w:tcBorders>
              <w:left w:val="single" w:color="000000" w:sz="8" w:space="0"/>
              <w:right w:val="single" w:color="000000" w:sz="8" w:space="0"/>
            </w:tcBorders>
            <w:shd w:val="clear" w:color="auto" w:fill="FFFFFF" w:themeFill="background1"/>
            <w:vAlign w:val="center"/>
          </w:tcPr>
          <w:p w14:paraId="16215FE4">
            <w:pPr>
              <w:snapToGrid w:val="0"/>
              <w:rPr>
                <w:rFonts w:hint="eastAsia" w:ascii="宋体" w:hAnsi="宋体" w:eastAsia="宋体" w:cs="宋体"/>
                <w:b/>
                <w:bCs/>
                <w:szCs w:val="21"/>
                <w:highlight w:val="none"/>
              </w:rPr>
            </w:pPr>
          </w:p>
        </w:tc>
        <w:tc>
          <w:tcPr>
            <w:tcW w:w="652" w:type="dxa"/>
            <w:tcBorders>
              <w:top w:val="outset" w:color="000000" w:sz="6" w:space="0"/>
              <w:left w:val="outset" w:color="000000" w:sz="6" w:space="0"/>
              <w:bottom w:val="outset" w:color="000000" w:sz="6" w:space="0"/>
              <w:right w:val="outset" w:color="000000" w:sz="6" w:space="0"/>
            </w:tcBorders>
            <w:shd w:val="clear" w:color="auto" w:fill="FFFFFF" w:themeFill="background1"/>
            <w:vAlign w:val="center"/>
          </w:tcPr>
          <w:p w14:paraId="71FC20EB">
            <w:pPr>
              <w:snapToGrid w:val="0"/>
              <w:jc w:val="center"/>
              <w:rPr>
                <w:rFonts w:hint="eastAsia" w:ascii="宋体" w:hAnsi="宋体" w:eastAsia="宋体" w:cs="宋体"/>
                <w:szCs w:val="21"/>
                <w:highlight w:val="none"/>
              </w:rPr>
            </w:pPr>
            <w:r>
              <w:rPr>
                <w:rFonts w:hint="eastAsia" w:ascii="宋体" w:hAnsi="宋体" w:eastAsia="宋体" w:cs="宋体"/>
                <w:szCs w:val="21"/>
                <w:highlight w:val="none"/>
              </w:rPr>
              <w:t>序号</w:t>
            </w:r>
          </w:p>
        </w:tc>
        <w:tc>
          <w:tcPr>
            <w:tcW w:w="1473" w:type="dxa"/>
            <w:tcBorders>
              <w:top w:val="outset" w:color="000000" w:sz="6" w:space="0"/>
              <w:left w:val="outset" w:color="000000" w:sz="6" w:space="0"/>
              <w:bottom w:val="outset" w:color="000000" w:sz="6" w:space="0"/>
              <w:right w:val="outset" w:color="000000" w:sz="6" w:space="0"/>
            </w:tcBorders>
            <w:shd w:val="clear" w:color="auto" w:fill="FFFFFF" w:themeFill="background1"/>
            <w:vAlign w:val="center"/>
          </w:tcPr>
          <w:p w14:paraId="5E7799EC">
            <w:pPr>
              <w:snapToGrid w:val="0"/>
              <w:jc w:val="center"/>
              <w:rPr>
                <w:rFonts w:hint="eastAsia" w:ascii="宋体" w:hAnsi="宋体" w:eastAsia="宋体" w:cs="宋体"/>
                <w:szCs w:val="21"/>
                <w:highlight w:val="none"/>
              </w:rPr>
            </w:pPr>
            <w:r>
              <w:rPr>
                <w:rFonts w:hint="eastAsia" w:ascii="宋体" w:hAnsi="宋体" w:eastAsia="宋体" w:cs="宋体"/>
                <w:szCs w:val="21"/>
                <w:highlight w:val="none"/>
              </w:rPr>
              <w:t>评分因素</w:t>
            </w:r>
          </w:p>
        </w:tc>
        <w:tc>
          <w:tcPr>
            <w:tcW w:w="979" w:type="dxa"/>
            <w:tcBorders>
              <w:top w:val="outset" w:color="000000" w:sz="6" w:space="0"/>
              <w:left w:val="outset" w:color="000000" w:sz="6" w:space="0"/>
              <w:bottom w:val="outset" w:color="000000" w:sz="6" w:space="0"/>
              <w:right w:val="outset" w:color="000000" w:sz="6" w:space="0"/>
            </w:tcBorders>
            <w:shd w:val="clear" w:color="auto" w:fill="FFFFFF" w:themeFill="background1"/>
            <w:vAlign w:val="center"/>
          </w:tcPr>
          <w:p w14:paraId="103C2138">
            <w:pPr>
              <w:snapToGrid w:val="0"/>
              <w:jc w:val="center"/>
              <w:rPr>
                <w:rFonts w:hint="eastAsia" w:ascii="宋体" w:hAnsi="宋体" w:eastAsia="宋体" w:cs="宋体"/>
                <w:szCs w:val="21"/>
                <w:highlight w:val="none"/>
              </w:rPr>
            </w:pPr>
            <w:r>
              <w:rPr>
                <w:rFonts w:hint="eastAsia" w:ascii="宋体" w:hAnsi="宋体" w:eastAsia="宋体" w:cs="宋体"/>
                <w:szCs w:val="21"/>
                <w:highlight w:val="none"/>
              </w:rPr>
              <w:t>权重</w:t>
            </w:r>
            <w:r>
              <w:rPr>
                <w:rFonts w:hint="eastAsia" w:ascii="宋体" w:hAnsi="宋体" w:eastAsia="宋体" w:cs="宋体"/>
                <w:bCs/>
                <w:szCs w:val="21"/>
                <w:highlight w:val="none"/>
              </w:rPr>
              <w:t>（%）</w:t>
            </w:r>
          </w:p>
        </w:tc>
        <w:tc>
          <w:tcPr>
            <w:tcW w:w="5361" w:type="dxa"/>
            <w:tcBorders>
              <w:top w:val="outset" w:color="000000" w:sz="6" w:space="0"/>
              <w:left w:val="outset" w:color="000000" w:sz="6" w:space="0"/>
              <w:bottom w:val="outset" w:color="000000" w:sz="6" w:space="0"/>
              <w:right w:val="outset" w:color="000000" w:sz="6" w:space="0"/>
            </w:tcBorders>
            <w:shd w:val="clear" w:color="auto" w:fill="FFFFFF" w:themeFill="background1"/>
            <w:vAlign w:val="center"/>
          </w:tcPr>
          <w:p w14:paraId="779878CB">
            <w:pPr>
              <w:snapToGrid w:val="0"/>
              <w:jc w:val="center"/>
              <w:rPr>
                <w:rFonts w:hint="eastAsia" w:ascii="宋体" w:hAnsi="宋体" w:eastAsia="宋体" w:cs="宋体"/>
                <w:szCs w:val="21"/>
                <w:highlight w:val="none"/>
              </w:rPr>
            </w:pPr>
            <w:r>
              <w:rPr>
                <w:rFonts w:hint="eastAsia" w:ascii="宋体" w:hAnsi="宋体" w:eastAsia="宋体" w:cs="宋体"/>
                <w:szCs w:val="21"/>
                <w:highlight w:val="none"/>
              </w:rPr>
              <w:t>评分准则</w:t>
            </w:r>
          </w:p>
        </w:tc>
      </w:tr>
      <w:tr w14:paraId="2327271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07" w:type="dxa"/>
            <w:vMerge w:val="continue"/>
            <w:tcBorders>
              <w:left w:val="single" w:color="000000" w:sz="8" w:space="0"/>
              <w:right w:val="single" w:color="000000" w:sz="8" w:space="0"/>
            </w:tcBorders>
            <w:shd w:val="clear" w:color="auto" w:fill="FFFFFF" w:themeFill="background1"/>
            <w:vAlign w:val="center"/>
          </w:tcPr>
          <w:p w14:paraId="737E0137">
            <w:pPr>
              <w:snapToGrid w:val="0"/>
              <w:rPr>
                <w:rFonts w:hint="eastAsia" w:ascii="宋体" w:hAnsi="宋体" w:eastAsia="宋体" w:cs="宋体"/>
                <w:b/>
                <w:bCs/>
                <w:szCs w:val="21"/>
                <w:highlight w:val="none"/>
              </w:rPr>
            </w:pPr>
          </w:p>
        </w:tc>
        <w:tc>
          <w:tcPr>
            <w:tcW w:w="652"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56C2C877">
            <w:pPr>
              <w:jc w:val="center"/>
              <w:rPr>
                <w:rFonts w:hint="default" w:ascii="宋体" w:hAnsi="宋体" w:cs="宋体"/>
                <w:kern w:val="0"/>
                <w:szCs w:val="21"/>
                <w:highlight w:val="none"/>
                <w:lang w:val="en-US" w:eastAsia="zh-CN"/>
              </w:rPr>
            </w:pPr>
            <w:r>
              <w:rPr>
                <w:rFonts w:hint="eastAsia" w:ascii="宋体" w:hAnsi="宋体" w:cs="宋体"/>
                <w:kern w:val="0"/>
                <w:szCs w:val="21"/>
                <w:highlight w:val="none"/>
                <w:lang w:val="en-US" w:eastAsia="zh-CN"/>
              </w:rPr>
              <w:t>1</w:t>
            </w:r>
          </w:p>
        </w:tc>
        <w:tc>
          <w:tcPr>
            <w:tcW w:w="1473"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6D5AACA5">
            <w:pPr>
              <w:pageBreakBefore w:val="0"/>
              <w:kinsoku/>
              <w:wordWrap/>
              <w:overflowPunct/>
              <w:topLinePunct w:val="0"/>
              <w:autoSpaceDE/>
              <w:autoSpaceDN/>
              <w:bidi w:val="0"/>
              <w:adjustRightInd/>
              <w:snapToGrid/>
              <w:spacing w:line="240" w:lineRule="auto"/>
              <w:jc w:val="center"/>
              <w:textAlignment w:val="auto"/>
              <w:rPr>
                <w:rFonts w:hint="eastAsia" w:ascii="宋体" w:hAnsi="宋体"/>
                <w:szCs w:val="21"/>
                <w:highlight w:val="none"/>
                <w:lang w:val="en-US" w:eastAsia="zh-CN"/>
              </w:rPr>
            </w:pPr>
            <w:r>
              <w:rPr>
                <w:rFonts w:hint="eastAsia" w:ascii="宋体" w:hAnsi="宋体" w:eastAsia="宋体" w:cs="宋体"/>
                <w:sz w:val="21"/>
                <w:szCs w:val="21"/>
                <w:highlight w:val="none"/>
              </w:rPr>
              <w:t>商务条款偏离情况</w:t>
            </w:r>
          </w:p>
        </w:tc>
        <w:tc>
          <w:tcPr>
            <w:tcW w:w="979"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8BC3BB0">
            <w:pPr>
              <w:pageBreakBefore w:val="0"/>
              <w:kinsoku/>
              <w:wordWrap/>
              <w:overflowPunct/>
              <w:topLinePunct w:val="0"/>
              <w:autoSpaceDE/>
              <w:autoSpaceDN/>
              <w:bidi w:val="0"/>
              <w:adjustRightInd/>
              <w:snapToGrid/>
              <w:spacing w:line="240" w:lineRule="auto"/>
              <w:jc w:val="center"/>
              <w:textAlignment w:val="auto"/>
              <w:rPr>
                <w:rFonts w:hint="eastAsia" w:ascii="宋体" w:hAnsi="宋体"/>
                <w:szCs w:val="21"/>
                <w:highlight w:val="none"/>
                <w:lang w:val="en-US" w:eastAsia="zh-CN"/>
              </w:rPr>
            </w:pPr>
            <w:r>
              <w:rPr>
                <w:rFonts w:hint="eastAsia" w:ascii="宋体" w:hAnsi="宋体" w:eastAsia="宋体" w:cs="宋体"/>
                <w:sz w:val="21"/>
                <w:szCs w:val="21"/>
                <w:highlight w:val="none"/>
                <w:lang w:val="en-US" w:eastAsia="zh-CN"/>
              </w:rPr>
              <w:t>2</w:t>
            </w:r>
          </w:p>
        </w:tc>
        <w:tc>
          <w:tcPr>
            <w:tcW w:w="536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FEB43CC">
            <w:pPr>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仿宋"/>
                <w:kern w:val="0"/>
                <w:szCs w:val="21"/>
                <w:highlight w:val="none"/>
              </w:rPr>
            </w:pPr>
            <w:r>
              <w:rPr>
                <w:rFonts w:hint="eastAsia" w:ascii="宋体" w:hAnsi="宋体" w:eastAsia="宋体" w:cs="宋体"/>
                <w:sz w:val="21"/>
                <w:szCs w:val="21"/>
                <w:highlight w:val="none"/>
                <w:lang w:eastAsia="zh-CN"/>
              </w:rPr>
              <w:t>投标人</w:t>
            </w:r>
            <w:r>
              <w:rPr>
                <w:rFonts w:hint="eastAsia" w:ascii="宋体" w:hAnsi="宋体" w:eastAsia="宋体" w:cs="宋体"/>
                <w:sz w:val="21"/>
                <w:szCs w:val="21"/>
                <w:highlight w:val="none"/>
              </w:rPr>
              <w:t>应如实填写《商务条款偏离情况》，评审小组根据响应情况进行打分，除实质性条款外，全部满足要求的得</w:t>
            </w:r>
            <w:r>
              <w:rPr>
                <w:rFonts w:hint="eastAsia" w:ascii="宋体" w:hAnsi="宋体" w:eastAsia="宋体" w:cs="宋体"/>
                <w:sz w:val="21"/>
                <w:szCs w:val="21"/>
                <w:highlight w:val="none"/>
                <w:lang w:val="en-US" w:eastAsia="zh-CN"/>
              </w:rPr>
              <w:t>100分</w:t>
            </w:r>
            <w:r>
              <w:rPr>
                <w:rFonts w:hint="eastAsia" w:ascii="宋体" w:hAnsi="宋体" w:eastAsia="宋体" w:cs="宋体"/>
                <w:sz w:val="21"/>
                <w:szCs w:val="21"/>
                <w:highlight w:val="none"/>
              </w:rPr>
              <w:t>，每负偏离一项扣</w:t>
            </w:r>
            <w:r>
              <w:rPr>
                <w:rFonts w:hint="eastAsia" w:ascii="宋体" w:hAnsi="宋体" w:eastAsia="宋体" w:cs="宋体"/>
                <w:sz w:val="21"/>
                <w:szCs w:val="21"/>
                <w:highlight w:val="none"/>
                <w:lang w:val="en-US" w:eastAsia="zh-CN"/>
              </w:rPr>
              <w:t>50分，扣完为止</w:t>
            </w:r>
            <w:r>
              <w:rPr>
                <w:rFonts w:hint="eastAsia" w:ascii="宋体" w:hAnsi="宋体" w:eastAsia="宋体" w:cs="宋体"/>
                <w:sz w:val="21"/>
                <w:szCs w:val="21"/>
                <w:highlight w:val="none"/>
              </w:rPr>
              <w:t>。</w:t>
            </w:r>
          </w:p>
        </w:tc>
      </w:tr>
      <w:tr w14:paraId="1D1B121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607" w:type="dxa"/>
            <w:vMerge w:val="continue"/>
            <w:tcBorders>
              <w:left w:val="single" w:color="000000" w:sz="8" w:space="0"/>
              <w:right w:val="single" w:color="000000" w:sz="8" w:space="0"/>
            </w:tcBorders>
            <w:shd w:val="clear" w:color="auto" w:fill="FFFFFF" w:themeFill="background1"/>
            <w:vAlign w:val="center"/>
          </w:tcPr>
          <w:p w14:paraId="15A064D1">
            <w:pPr>
              <w:snapToGrid w:val="0"/>
              <w:rPr>
                <w:rFonts w:hint="eastAsia" w:ascii="宋体" w:hAnsi="宋体" w:eastAsia="宋体" w:cs="宋体"/>
                <w:b/>
                <w:bCs/>
                <w:szCs w:val="21"/>
                <w:highlight w:val="none"/>
              </w:rPr>
            </w:pPr>
          </w:p>
        </w:tc>
        <w:tc>
          <w:tcPr>
            <w:tcW w:w="652"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6ABFC088">
            <w:pPr>
              <w:jc w:val="center"/>
              <w:rPr>
                <w:rFonts w:hint="default" w:ascii="宋体" w:hAnsi="宋体" w:cs="宋体"/>
                <w:kern w:val="0"/>
                <w:szCs w:val="21"/>
                <w:highlight w:val="none"/>
                <w:lang w:val="en-US" w:eastAsia="zh-CN"/>
              </w:rPr>
            </w:pPr>
            <w:r>
              <w:rPr>
                <w:rFonts w:hint="eastAsia" w:ascii="宋体" w:hAnsi="宋体" w:cs="宋体"/>
                <w:kern w:val="0"/>
                <w:szCs w:val="21"/>
                <w:highlight w:val="none"/>
                <w:lang w:val="en-US" w:eastAsia="zh-CN"/>
              </w:rPr>
              <w:t>2</w:t>
            </w:r>
          </w:p>
        </w:tc>
        <w:tc>
          <w:tcPr>
            <w:tcW w:w="1473"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0512CE2">
            <w:pPr>
              <w:pageBreakBefore w:val="0"/>
              <w:kinsoku/>
              <w:wordWrap/>
              <w:overflowPunct/>
              <w:topLinePunct w:val="0"/>
              <w:autoSpaceDE/>
              <w:autoSpaceDN/>
              <w:bidi w:val="0"/>
              <w:adjustRightInd/>
              <w:snapToGrid/>
              <w:spacing w:line="240" w:lineRule="auto"/>
              <w:jc w:val="center"/>
              <w:textAlignment w:val="auto"/>
              <w:rPr>
                <w:rFonts w:hint="eastAsia" w:ascii="宋体" w:hAnsi="宋体"/>
                <w:szCs w:val="21"/>
                <w:highlight w:val="none"/>
              </w:rPr>
            </w:pPr>
            <w:r>
              <w:rPr>
                <w:rFonts w:hint="eastAsia" w:ascii="宋体" w:hAnsi="宋体" w:eastAsia="宋体" w:cs="宋体"/>
                <w:sz w:val="21"/>
                <w:szCs w:val="21"/>
                <w:highlight w:val="none"/>
              </w:rPr>
              <w:t>同类项目业绩</w:t>
            </w:r>
          </w:p>
        </w:tc>
        <w:tc>
          <w:tcPr>
            <w:tcW w:w="979"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4D80D96">
            <w:pPr>
              <w:pageBreakBefore w:val="0"/>
              <w:kinsoku/>
              <w:wordWrap/>
              <w:overflowPunct/>
              <w:topLinePunct w:val="0"/>
              <w:autoSpaceDE/>
              <w:autoSpaceDN/>
              <w:bidi w:val="0"/>
              <w:adjustRightInd/>
              <w:snapToGrid/>
              <w:spacing w:line="240" w:lineRule="auto"/>
              <w:jc w:val="center"/>
              <w:textAlignment w:val="auto"/>
              <w:rPr>
                <w:rFonts w:hint="eastAsia" w:ascii="宋体" w:hAnsi="宋体" w:cs="宋体"/>
                <w:szCs w:val="21"/>
                <w:highlight w:val="none"/>
                <w:lang w:val="en-US" w:eastAsia="zh-CN"/>
              </w:rPr>
            </w:pPr>
            <w:r>
              <w:rPr>
                <w:rFonts w:hint="eastAsia" w:ascii="宋体" w:hAnsi="宋体" w:eastAsia="宋体" w:cs="宋体"/>
                <w:sz w:val="21"/>
                <w:szCs w:val="21"/>
                <w:highlight w:val="none"/>
                <w:lang w:val="en-US" w:eastAsia="zh-CN"/>
              </w:rPr>
              <w:t>2</w:t>
            </w:r>
          </w:p>
        </w:tc>
        <w:tc>
          <w:tcPr>
            <w:tcW w:w="536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40B9626D">
            <w:pPr>
              <w:keepNext w:val="0"/>
              <w:keepLines w:val="0"/>
              <w:pageBreakBefore w:val="0"/>
              <w:numPr>
                <w:ilvl w:val="0"/>
                <w:numId w:val="2"/>
              </w:numPr>
              <w:suppressLineNumbers w:val="0"/>
              <w:kinsoku/>
              <w:wordWrap/>
              <w:overflowPunct/>
              <w:topLinePunct w:val="0"/>
              <w:autoSpaceDE/>
              <w:autoSpaceDN/>
              <w:bidi w:val="0"/>
              <w:adjustRightInd/>
              <w:snapToGrid/>
              <w:spacing w:beforeAutospacing="0" w:afterAutospacing="0" w:line="240" w:lineRule="auto"/>
              <w:ind w:left="0" w:right="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考察</w:t>
            </w:r>
            <w:r>
              <w:rPr>
                <w:rFonts w:hint="eastAsia" w:ascii="宋体" w:hAnsi="宋体" w:eastAsia="宋体" w:cs="宋体"/>
                <w:b/>
                <w:bCs/>
                <w:color w:val="auto"/>
                <w:sz w:val="21"/>
                <w:szCs w:val="21"/>
                <w:highlight w:val="none"/>
                <w:lang w:eastAsia="zh-CN"/>
              </w:rPr>
              <w:t>内容</w:t>
            </w:r>
            <w:r>
              <w:rPr>
                <w:rFonts w:hint="eastAsia" w:ascii="宋体" w:hAnsi="宋体" w:eastAsia="宋体" w:cs="宋体"/>
                <w:b/>
                <w:bCs/>
                <w:color w:val="auto"/>
                <w:sz w:val="21"/>
                <w:szCs w:val="21"/>
                <w:highlight w:val="none"/>
              </w:rPr>
              <w:t>：</w:t>
            </w:r>
          </w:p>
          <w:p w14:paraId="512CCE6F">
            <w:pPr>
              <w:keepNext w:val="0"/>
              <w:keepLines w:val="0"/>
              <w:pageBreakBefore w:val="0"/>
              <w:suppressLineNumbers w:val="0"/>
              <w:kinsoku/>
              <w:wordWrap/>
              <w:overflowPunct/>
              <w:topLinePunct w:val="0"/>
              <w:autoSpaceDE/>
              <w:autoSpaceDN/>
              <w:bidi w:val="0"/>
              <w:adjustRightInd/>
              <w:snapToGrid/>
              <w:spacing w:beforeAutospacing="0" w:afterAutospacing="0" w:line="240" w:lineRule="auto"/>
              <w:ind w:left="0"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2020年1月1日</w:t>
            </w:r>
            <w:r>
              <w:rPr>
                <w:rFonts w:hint="eastAsia" w:ascii="宋体" w:hAnsi="宋体" w:cs="宋体"/>
                <w:szCs w:val="21"/>
                <w:highlight w:val="none"/>
              </w:rPr>
              <w:t>至本项目投标截止之日</w:t>
            </w:r>
            <w:r>
              <w:rPr>
                <w:rFonts w:hint="eastAsia" w:ascii="宋体" w:hAnsi="宋体" w:eastAsia="宋体" w:cs="宋体"/>
                <w:color w:val="auto"/>
                <w:sz w:val="21"/>
                <w:szCs w:val="21"/>
                <w:highlight w:val="none"/>
                <w:lang w:val="en-US" w:eastAsia="zh-CN"/>
              </w:rPr>
              <w:t>（以合同签订日期为准）</w:t>
            </w:r>
            <w:r>
              <w:rPr>
                <w:rFonts w:hint="eastAsia" w:ascii="宋体" w:hAnsi="宋体" w:eastAsia="宋体" w:cs="宋体"/>
                <w:color w:val="auto"/>
                <w:sz w:val="21"/>
                <w:szCs w:val="21"/>
                <w:highlight w:val="none"/>
                <w:lang w:val="en-US" w:eastAsia="zh-CN"/>
              </w:rPr>
              <w:t>，投标人具有幼儿园或学校</w:t>
            </w:r>
            <w:r>
              <w:rPr>
                <w:rFonts w:hint="eastAsia" w:ascii="宋体" w:hAnsi="宋体" w:cs="宋体"/>
                <w:szCs w:val="21"/>
                <w:highlight w:val="none"/>
                <w:lang w:val="en-US" w:eastAsia="zh-CN"/>
              </w:rPr>
              <w:t>儿童家具采购</w:t>
            </w:r>
            <w:r>
              <w:rPr>
                <w:rFonts w:hint="eastAsia" w:ascii="宋体" w:hAnsi="宋体" w:cs="宋体"/>
                <w:szCs w:val="21"/>
                <w:highlight w:val="none"/>
              </w:rPr>
              <w:t>类项目</w:t>
            </w:r>
            <w:r>
              <w:rPr>
                <w:rFonts w:hint="eastAsia" w:ascii="宋体" w:hAnsi="宋体" w:eastAsia="宋体" w:cs="宋体"/>
                <w:color w:val="auto"/>
                <w:sz w:val="21"/>
                <w:szCs w:val="21"/>
                <w:highlight w:val="none"/>
                <w:lang w:val="en-US" w:eastAsia="zh-CN"/>
              </w:rPr>
              <w:t>业绩经验的，每提供一个得50分，最高得100分。</w:t>
            </w:r>
          </w:p>
          <w:p w14:paraId="248D7C8C">
            <w:pPr>
              <w:keepNext w:val="0"/>
              <w:keepLines w:val="0"/>
              <w:pageBreakBefore w:val="0"/>
              <w:numPr>
                <w:ilvl w:val="0"/>
                <w:numId w:val="0"/>
              </w:numPr>
              <w:suppressLineNumbers w:val="0"/>
              <w:shd w:val="clear" w:color="auto" w:fill="auto"/>
              <w:kinsoku/>
              <w:wordWrap/>
              <w:overflowPunct/>
              <w:topLinePunct w:val="0"/>
              <w:autoSpaceDE/>
              <w:autoSpaceDN/>
              <w:bidi w:val="0"/>
              <w:adjustRightInd/>
              <w:snapToGrid/>
              <w:spacing w:beforeAutospacing="0" w:afterAutospacing="0" w:line="240" w:lineRule="auto"/>
              <w:ind w:left="0" w:right="0"/>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（二）证明文件：</w:t>
            </w:r>
          </w:p>
          <w:p w14:paraId="12224717">
            <w:pPr>
              <w:keepNext w:val="0"/>
              <w:keepLines w:val="0"/>
              <w:pageBreakBefore w:val="0"/>
              <w:suppressLineNumbers w:val="0"/>
              <w:kinsoku/>
              <w:wordWrap/>
              <w:overflowPunct/>
              <w:topLinePunct w:val="0"/>
              <w:autoSpaceDE/>
              <w:autoSpaceDN/>
              <w:bidi w:val="0"/>
              <w:adjustRightInd/>
              <w:snapToGrid/>
              <w:spacing w:beforeAutospacing="0" w:afterAutospacing="0" w:line="240" w:lineRule="auto"/>
              <w:ind w:left="0"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1、提供①合同关键页扫描件（需体现合同名称或项目名称、合同金额、合同签订日期、加盖双方公章）及②中标通知书及③履约评价及④验收报告扫描件（验收报告须盖有用户单位公章），原件备查。</w:t>
            </w:r>
          </w:p>
          <w:p w14:paraId="6F7D0101">
            <w:pPr>
              <w:keepNext w:val="0"/>
              <w:keepLines w:val="0"/>
              <w:pageBreakBefore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color w:val="auto"/>
                <w:sz w:val="21"/>
                <w:szCs w:val="21"/>
                <w:highlight w:val="none"/>
                <w:lang w:val="en-US" w:eastAsia="zh-CN"/>
              </w:rPr>
              <w:t>2、未提供或提供的不符合或提供不清晰导致无法判断的均不得分。</w:t>
            </w:r>
          </w:p>
        </w:tc>
      </w:tr>
      <w:tr w14:paraId="06F17C6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607" w:type="dxa"/>
            <w:vMerge w:val="continue"/>
            <w:tcBorders>
              <w:left w:val="single" w:color="000000" w:sz="8" w:space="0"/>
              <w:right w:val="single" w:color="000000" w:sz="8" w:space="0"/>
            </w:tcBorders>
            <w:shd w:val="clear" w:color="auto" w:fill="FFFFFF" w:themeFill="background1"/>
            <w:vAlign w:val="center"/>
          </w:tcPr>
          <w:p w14:paraId="440FB33D">
            <w:pPr>
              <w:snapToGrid w:val="0"/>
              <w:rPr>
                <w:rFonts w:hint="eastAsia" w:ascii="宋体" w:hAnsi="宋体" w:eastAsia="宋体" w:cs="宋体"/>
                <w:b/>
                <w:bCs/>
                <w:szCs w:val="21"/>
                <w:highlight w:val="none"/>
              </w:rPr>
            </w:pPr>
          </w:p>
        </w:tc>
        <w:tc>
          <w:tcPr>
            <w:tcW w:w="652"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460B73EF">
            <w:pPr>
              <w:jc w:val="center"/>
              <w:rPr>
                <w:rFonts w:hint="default" w:ascii="宋体" w:hAnsi="宋体" w:cs="宋体"/>
                <w:kern w:val="0"/>
                <w:szCs w:val="21"/>
                <w:highlight w:val="none"/>
                <w:lang w:val="en-US" w:eastAsia="zh-CN"/>
              </w:rPr>
            </w:pPr>
            <w:r>
              <w:rPr>
                <w:rFonts w:hint="eastAsia" w:ascii="宋体" w:hAnsi="宋体" w:cs="宋体"/>
                <w:kern w:val="0"/>
                <w:szCs w:val="21"/>
                <w:highlight w:val="none"/>
                <w:lang w:val="en-US" w:eastAsia="zh-CN"/>
              </w:rPr>
              <w:t>3</w:t>
            </w:r>
          </w:p>
        </w:tc>
        <w:tc>
          <w:tcPr>
            <w:tcW w:w="1473"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4C3CE9BC">
            <w:pPr>
              <w:pageBreakBefore w:val="0"/>
              <w:kinsoku/>
              <w:wordWrap/>
              <w:overflowPunct/>
              <w:topLinePunct w:val="0"/>
              <w:autoSpaceDE/>
              <w:autoSpaceDN/>
              <w:bidi w:val="0"/>
              <w:adjustRightInd/>
              <w:snapToGrid/>
              <w:spacing w:line="240" w:lineRule="auto"/>
              <w:jc w:val="center"/>
              <w:textAlignment w:val="auto"/>
              <w:rPr>
                <w:rFonts w:hint="eastAsia" w:ascii="宋体" w:hAnsi="宋体"/>
                <w:szCs w:val="21"/>
                <w:highlight w:val="none"/>
                <w:lang w:val="en-US" w:eastAsia="zh-CN"/>
              </w:rPr>
            </w:pPr>
            <w:r>
              <w:rPr>
                <w:rFonts w:hint="eastAsia"/>
                <w:highlight w:val="none"/>
              </w:rPr>
              <w:t>投标人认证情况</w:t>
            </w:r>
          </w:p>
        </w:tc>
        <w:tc>
          <w:tcPr>
            <w:tcW w:w="979"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4E00F8C9">
            <w:pPr>
              <w:pageBreakBefore w:val="0"/>
              <w:kinsoku/>
              <w:wordWrap/>
              <w:overflowPunct/>
              <w:topLinePunct w:val="0"/>
              <w:autoSpaceDE/>
              <w:autoSpaceDN/>
              <w:bidi w:val="0"/>
              <w:adjustRightInd/>
              <w:snapToGrid/>
              <w:spacing w:line="240" w:lineRule="auto"/>
              <w:jc w:val="center"/>
              <w:textAlignment w:val="auto"/>
              <w:rPr>
                <w:rFonts w:hint="eastAsia" w:ascii="宋体" w:hAnsi="宋体"/>
                <w:szCs w:val="21"/>
                <w:highlight w:val="none"/>
                <w:lang w:val="en-US" w:eastAsia="zh-CN"/>
              </w:rPr>
            </w:pPr>
            <w:r>
              <w:rPr>
                <w:rFonts w:hint="eastAsia" w:ascii="宋体" w:hAnsi="宋体"/>
                <w:szCs w:val="21"/>
                <w:highlight w:val="none"/>
              </w:rPr>
              <w:t>7</w:t>
            </w:r>
          </w:p>
        </w:tc>
        <w:tc>
          <w:tcPr>
            <w:tcW w:w="5361" w:type="dxa"/>
            <w:tcBorders>
              <w:top w:val="single" w:color="000000" w:sz="8" w:space="0"/>
              <w:left w:val="single" w:color="000000" w:sz="8" w:space="0"/>
              <w:bottom w:val="single" w:color="000000" w:sz="8" w:space="0"/>
              <w:right w:val="single" w:color="000000" w:sz="8" w:space="0"/>
            </w:tcBorders>
            <w:shd w:val="clear" w:color="auto" w:fill="FFFFFF" w:themeFill="background1"/>
            <w:vAlign w:val="top"/>
          </w:tcPr>
          <w:p w14:paraId="69914335">
            <w:pPr>
              <w:pStyle w:val="8"/>
              <w:keepNext w:val="0"/>
              <w:keepLines w:val="0"/>
              <w:pageBreakBefore w:val="0"/>
              <w:numPr>
                <w:ilvl w:val="0"/>
                <w:numId w:val="0"/>
              </w:numPr>
              <w:suppressLineNumbers w:val="0"/>
              <w:kinsoku/>
              <w:wordWrap/>
              <w:overflowPunct/>
              <w:topLinePunct w:val="0"/>
              <w:autoSpaceDE/>
              <w:autoSpaceDN/>
              <w:bidi w:val="0"/>
              <w:adjustRightInd/>
              <w:snapToGrid/>
              <w:spacing w:beforeAutospacing="0" w:afterAutospacing="0" w:line="240" w:lineRule="auto"/>
              <w:ind w:right="0" w:rightChars="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（一）考察</w:t>
            </w:r>
            <w:r>
              <w:rPr>
                <w:rFonts w:hint="eastAsia" w:ascii="宋体" w:hAnsi="宋体" w:eastAsia="宋体" w:cs="宋体"/>
                <w:b/>
                <w:bCs/>
                <w:color w:val="auto"/>
                <w:sz w:val="21"/>
                <w:szCs w:val="21"/>
                <w:highlight w:val="none"/>
                <w:lang w:eastAsia="zh-CN"/>
              </w:rPr>
              <w:t>内容</w:t>
            </w:r>
            <w:r>
              <w:rPr>
                <w:rFonts w:hint="eastAsia" w:ascii="宋体" w:hAnsi="宋体" w:eastAsia="宋体" w:cs="宋体"/>
                <w:b/>
                <w:bCs/>
                <w:color w:val="auto"/>
                <w:sz w:val="21"/>
                <w:szCs w:val="21"/>
                <w:highlight w:val="none"/>
              </w:rPr>
              <w:t>：</w:t>
            </w:r>
          </w:p>
          <w:p w14:paraId="653A07FC">
            <w:pPr>
              <w:pStyle w:val="8"/>
              <w:spacing w:line="240" w:lineRule="exact"/>
              <w:ind w:firstLine="0" w:firstLineChars="0"/>
              <w:rPr>
                <w:rFonts w:hint="eastAsia" w:ascii="宋体" w:hAnsi="宋体"/>
                <w:szCs w:val="21"/>
                <w:highlight w:val="none"/>
              </w:rPr>
            </w:pPr>
            <w:r>
              <w:rPr>
                <w:rFonts w:hint="eastAsia" w:ascii="宋体" w:hAnsi="宋体"/>
                <w:szCs w:val="21"/>
                <w:highlight w:val="none"/>
                <w:lang w:val="en-US" w:eastAsia="zh-CN"/>
              </w:rPr>
              <w:t>1、</w:t>
            </w:r>
            <w:r>
              <w:rPr>
                <w:rFonts w:hint="eastAsia" w:ascii="宋体" w:hAnsi="宋体"/>
                <w:szCs w:val="21"/>
                <w:highlight w:val="none"/>
              </w:rPr>
              <w:t>投标人或所投产品制造商具备有效的</w:t>
            </w:r>
            <w:r>
              <w:rPr>
                <w:rFonts w:hint="eastAsia" w:ascii="宋体" w:hAnsi="宋体" w:cs="宋体"/>
                <w:strike w:val="0"/>
                <w:dstrike w:val="0"/>
                <w:color w:val="auto"/>
                <w:szCs w:val="21"/>
                <w:highlight w:val="none"/>
              </w:rPr>
              <w:t>符合CTS 08001-2020《家具产品儿童安全级评价技术规范》要求</w:t>
            </w:r>
            <w:r>
              <w:rPr>
                <w:rFonts w:hint="eastAsia" w:ascii="宋体" w:hAnsi="宋体" w:cs="宋体"/>
                <w:strike w:val="0"/>
                <w:dstrike w:val="0"/>
                <w:color w:val="auto"/>
                <w:szCs w:val="21"/>
                <w:highlight w:val="none"/>
                <w:lang w:eastAsia="zh-CN"/>
              </w:rPr>
              <w:t>的《</w:t>
            </w:r>
            <w:r>
              <w:rPr>
                <w:rFonts w:hint="eastAsia" w:ascii="宋体" w:hAnsi="宋体" w:cs="宋体"/>
                <w:strike w:val="0"/>
                <w:color w:val="auto"/>
                <w:szCs w:val="21"/>
                <w:highlight w:val="none"/>
              </w:rPr>
              <w:t>儿童安全级产品认证证书</w:t>
            </w:r>
            <w:r>
              <w:rPr>
                <w:rFonts w:hint="eastAsia" w:ascii="宋体" w:hAnsi="宋体" w:cs="宋体"/>
                <w:strike w:val="0"/>
                <w:dstrike w:val="0"/>
                <w:color w:val="auto"/>
                <w:szCs w:val="21"/>
                <w:highlight w:val="none"/>
                <w:lang w:eastAsia="zh-CN"/>
              </w:rPr>
              <w:t>》</w:t>
            </w:r>
            <w:r>
              <w:rPr>
                <w:rFonts w:hint="eastAsia" w:ascii="宋体" w:hAnsi="宋体"/>
                <w:strike w:val="0"/>
                <w:color w:val="auto"/>
                <w:szCs w:val="21"/>
                <w:highlight w:val="none"/>
              </w:rPr>
              <w:t>，【证书</w:t>
            </w:r>
            <w:r>
              <w:rPr>
                <w:rFonts w:hint="eastAsia" w:ascii="宋体" w:hAnsi="宋体" w:cs="宋体"/>
                <w:strike w:val="0"/>
                <w:color w:val="auto"/>
                <w:szCs w:val="21"/>
                <w:highlight w:val="none"/>
              </w:rPr>
              <w:t>认证单元包含</w:t>
            </w:r>
            <w:r>
              <w:rPr>
                <w:rFonts w:hint="eastAsia" w:ascii="宋体" w:hAnsi="宋体"/>
                <w:strike w:val="0"/>
                <w:color w:val="auto"/>
                <w:szCs w:val="21"/>
                <w:highlight w:val="none"/>
              </w:rPr>
              <w:t>：</w:t>
            </w:r>
            <w:r>
              <w:rPr>
                <w:rFonts w:hint="eastAsia" w:ascii="宋体" w:hAnsi="宋体" w:cs="宋体"/>
                <w:strike w:val="0"/>
                <w:color w:val="auto"/>
                <w:szCs w:val="21"/>
                <w:highlight w:val="none"/>
              </w:rPr>
              <w:t>实木家具、</w:t>
            </w:r>
            <w:r>
              <w:rPr>
                <w:rFonts w:hint="eastAsia" w:ascii="宋体" w:hAnsi="宋体" w:cs="宋体"/>
                <w:strike w:val="0"/>
                <w:color w:val="auto"/>
                <w:szCs w:val="21"/>
                <w:highlight w:val="none"/>
                <w:lang w:val="en-US" w:eastAsia="zh-CN"/>
              </w:rPr>
              <w:t>板木</w:t>
            </w:r>
            <w:r>
              <w:rPr>
                <w:rFonts w:hint="eastAsia" w:ascii="宋体" w:hAnsi="宋体" w:cs="宋体"/>
                <w:strike w:val="0"/>
                <w:color w:val="auto"/>
                <w:szCs w:val="21"/>
                <w:highlight w:val="none"/>
              </w:rPr>
              <w:t>家具</w:t>
            </w:r>
            <w:r>
              <w:rPr>
                <w:rFonts w:hint="eastAsia" w:ascii="宋体" w:hAnsi="宋体" w:cs="宋体"/>
                <w:strike w:val="0"/>
                <w:color w:val="auto"/>
                <w:szCs w:val="21"/>
                <w:highlight w:val="none"/>
                <w:lang w:eastAsia="zh-CN"/>
              </w:rPr>
              <w:t>；</w:t>
            </w:r>
            <w:r>
              <w:rPr>
                <w:rFonts w:hint="eastAsia" w:ascii="宋体" w:hAnsi="宋体" w:cs="宋体"/>
                <w:strike w:val="0"/>
                <w:color w:val="auto"/>
                <w:szCs w:val="21"/>
                <w:highlight w:val="none"/>
              </w:rPr>
              <w:t>认证产品包含桌台类、柜类、椅类、架类</w:t>
            </w:r>
            <w:r>
              <w:rPr>
                <w:rFonts w:hint="eastAsia" w:ascii="宋体" w:hAnsi="宋体"/>
                <w:strike w:val="0"/>
                <w:color w:val="auto"/>
                <w:szCs w:val="21"/>
                <w:highlight w:val="none"/>
              </w:rPr>
              <w:t>】</w:t>
            </w:r>
            <w:r>
              <w:rPr>
                <w:rFonts w:hint="eastAsia" w:ascii="宋体" w:hAnsi="宋体"/>
                <w:strike w:val="0"/>
                <w:color w:val="auto"/>
                <w:szCs w:val="21"/>
                <w:highlight w:val="none"/>
              </w:rPr>
              <w:t>，提供认证证书且符合认证范围的得</w:t>
            </w:r>
            <w:r>
              <w:rPr>
                <w:rFonts w:hint="eastAsia" w:ascii="宋体" w:hAnsi="宋体"/>
                <w:strike w:val="0"/>
                <w:color w:val="auto"/>
                <w:szCs w:val="21"/>
                <w:highlight w:val="none"/>
                <w:lang w:val="en-US" w:eastAsia="zh-CN"/>
              </w:rPr>
              <w:t>35</w:t>
            </w:r>
            <w:r>
              <w:rPr>
                <w:rFonts w:hint="eastAsia" w:ascii="宋体" w:hAnsi="宋体"/>
                <w:strike w:val="0"/>
                <w:color w:val="auto"/>
                <w:szCs w:val="21"/>
                <w:highlight w:val="none"/>
              </w:rPr>
              <w:t>分</w:t>
            </w:r>
            <w:r>
              <w:rPr>
                <w:rFonts w:hint="eastAsia" w:ascii="宋体" w:hAnsi="宋体"/>
                <w:strike w:val="0"/>
                <w:color w:val="auto"/>
                <w:szCs w:val="21"/>
                <w:highlight w:val="none"/>
                <w:lang w:eastAsia="zh-CN"/>
              </w:rPr>
              <w:t>，</w:t>
            </w:r>
            <w:r>
              <w:rPr>
                <w:rFonts w:hint="eastAsia" w:ascii="宋体" w:hAnsi="宋体"/>
                <w:strike w:val="0"/>
                <w:color w:val="auto"/>
                <w:szCs w:val="21"/>
                <w:highlight w:val="none"/>
              </w:rPr>
              <w:t>不提供或提供</w:t>
            </w:r>
            <w:r>
              <w:rPr>
                <w:rFonts w:hint="eastAsia" w:ascii="宋体" w:hAnsi="宋体"/>
                <w:szCs w:val="21"/>
                <w:highlight w:val="none"/>
              </w:rPr>
              <w:t>不符合认证范围的不得分。</w:t>
            </w:r>
          </w:p>
          <w:p w14:paraId="65A1F5F8">
            <w:pPr>
              <w:pStyle w:val="8"/>
              <w:spacing w:line="240" w:lineRule="exact"/>
              <w:ind w:firstLine="0" w:firstLineChars="0"/>
              <w:rPr>
                <w:rFonts w:hint="default"/>
                <w:strike w:val="0"/>
                <w:dstrike w:val="0"/>
                <w:color w:val="auto"/>
                <w:highlight w:val="none"/>
                <w:lang w:val="en-US" w:eastAsia="zh-CN"/>
              </w:rPr>
            </w:pPr>
            <w:r>
              <w:rPr>
                <w:rFonts w:hint="eastAsia" w:ascii="宋体" w:hAnsi="宋体"/>
                <w:szCs w:val="21"/>
                <w:highlight w:val="none"/>
                <w:lang w:val="en-US" w:eastAsia="zh-CN"/>
              </w:rPr>
              <w:t>2</w:t>
            </w:r>
            <w:r>
              <w:rPr>
                <w:rFonts w:hint="eastAsia" w:ascii="宋体" w:hAnsi="宋体"/>
                <w:strike w:val="0"/>
                <w:dstrike w:val="0"/>
                <w:color w:val="auto"/>
                <w:szCs w:val="21"/>
                <w:highlight w:val="none"/>
              </w:rPr>
              <w:t>、投标人或所投产品制造商具备有效的</w:t>
            </w:r>
            <w:r>
              <w:rPr>
                <w:rFonts w:hint="eastAsia" w:ascii="宋体" w:hAnsi="宋体" w:cs="宋体"/>
                <w:strike w:val="0"/>
                <w:dstrike w:val="0"/>
                <w:color w:val="auto"/>
                <w:szCs w:val="21"/>
                <w:highlight w:val="none"/>
              </w:rPr>
              <w:t>符合GB 20286-2006</w:t>
            </w:r>
            <w:r>
              <w:rPr>
                <w:rFonts w:hint="eastAsia" w:ascii="宋体" w:hAnsi="宋体" w:cs="宋体"/>
                <w:strike w:val="0"/>
                <w:dstrike w:val="0"/>
                <w:color w:val="auto"/>
                <w:szCs w:val="21"/>
                <w:highlight w:val="none"/>
                <w:lang w:eastAsia="zh-CN"/>
              </w:rPr>
              <w:t>标准</w:t>
            </w:r>
            <w:r>
              <w:rPr>
                <w:rFonts w:hint="eastAsia" w:ascii="宋体" w:hAnsi="宋体" w:cs="宋体"/>
                <w:strike w:val="0"/>
                <w:dstrike w:val="0"/>
                <w:color w:val="auto"/>
                <w:szCs w:val="21"/>
                <w:highlight w:val="none"/>
              </w:rPr>
              <w:t>要求</w:t>
            </w:r>
            <w:r>
              <w:rPr>
                <w:rFonts w:hint="eastAsia" w:ascii="宋体" w:hAnsi="宋体" w:cs="宋体"/>
                <w:strike w:val="0"/>
                <w:dstrike w:val="0"/>
                <w:color w:val="auto"/>
                <w:szCs w:val="21"/>
                <w:highlight w:val="none"/>
                <w:lang w:eastAsia="zh-CN"/>
              </w:rPr>
              <w:t>的《</w:t>
            </w:r>
            <w:r>
              <w:rPr>
                <w:rFonts w:hint="eastAsia" w:ascii="宋体" w:hAnsi="宋体" w:cs="宋体"/>
                <w:strike w:val="0"/>
                <w:dstrike w:val="0"/>
                <w:color w:val="auto"/>
                <w:szCs w:val="21"/>
                <w:highlight w:val="none"/>
              </w:rPr>
              <w:t>产品阻燃等级认证证书</w:t>
            </w:r>
            <w:r>
              <w:rPr>
                <w:rFonts w:hint="eastAsia" w:ascii="宋体" w:hAnsi="宋体" w:cs="宋体"/>
                <w:strike w:val="0"/>
                <w:dstrike w:val="0"/>
                <w:color w:val="auto"/>
                <w:szCs w:val="21"/>
                <w:highlight w:val="none"/>
                <w:lang w:eastAsia="zh-CN"/>
              </w:rPr>
              <w:t>》</w:t>
            </w:r>
            <w:r>
              <w:rPr>
                <w:rFonts w:hint="eastAsia" w:ascii="宋体" w:hAnsi="宋体"/>
                <w:strike w:val="0"/>
                <w:dstrike w:val="0"/>
                <w:color w:val="auto"/>
                <w:szCs w:val="21"/>
                <w:highlight w:val="none"/>
              </w:rPr>
              <w:t>，【证书</w:t>
            </w:r>
            <w:r>
              <w:rPr>
                <w:rFonts w:hint="eastAsia" w:ascii="宋体" w:hAnsi="宋体" w:cs="宋体"/>
                <w:strike w:val="0"/>
                <w:dstrike w:val="0"/>
                <w:color w:val="auto"/>
                <w:szCs w:val="21"/>
                <w:highlight w:val="none"/>
              </w:rPr>
              <w:t>认证单元包含</w:t>
            </w:r>
            <w:r>
              <w:rPr>
                <w:rFonts w:hint="eastAsia" w:ascii="宋体" w:hAnsi="宋体"/>
                <w:strike w:val="0"/>
                <w:dstrike w:val="0"/>
                <w:color w:val="auto"/>
                <w:szCs w:val="21"/>
                <w:highlight w:val="none"/>
              </w:rPr>
              <w:t>：</w:t>
            </w:r>
            <w:r>
              <w:rPr>
                <w:rFonts w:hint="eastAsia" w:ascii="宋体" w:hAnsi="宋体" w:cs="宋体"/>
                <w:strike w:val="0"/>
                <w:dstrike w:val="0"/>
                <w:color w:val="auto"/>
                <w:szCs w:val="21"/>
                <w:highlight w:val="none"/>
              </w:rPr>
              <w:t>木家具、软体家具</w:t>
            </w:r>
            <w:r>
              <w:rPr>
                <w:rFonts w:hint="eastAsia" w:ascii="宋体" w:hAnsi="宋体" w:cs="宋体"/>
                <w:strike w:val="0"/>
                <w:dstrike w:val="0"/>
                <w:color w:val="auto"/>
                <w:szCs w:val="21"/>
                <w:highlight w:val="none"/>
                <w:lang w:eastAsia="zh-CN"/>
              </w:rPr>
              <w:t>；</w:t>
            </w:r>
            <w:r>
              <w:rPr>
                <w:rFonts w:hint="eastAsia" w:ascii="宋体" w:hAnsi="宋体" w:cs="宋体"/>
                <w:strike w:val="0"/>
                <w:dstrike w:val="0"/>
                <w:color w:val="auto"/>
                <w:szCs w:val="21"/>
                <w:highlight w:val="none"/>
              </w:rPr>
              <w:t>认证产品包含</w:t>
            </w:r>
            <w:r>
              <w:rPr>
                <w:rFonts w:hint="eastAsia" w:ascii="宋体" w:hAnsi="宋体" w:cs="宋体"/>
                <w:strike w:val="0"/>
                <w:color w:val="auto"/>
                <w:szCs w:val="21"/>
                <w:highlight w:val="none"/>
              </w:rPr>
              <w:t>桌台类、柜类、椅类、架类</w:t>
            </w:r>
            <w:r>
              <w:rPr>
                <w:rFonts w:hint="eastAsia" w:ascii="宋体" w:hAnsi="宋体"/>
                <w:strike w:val="0"/>
                <w:dstrike w:val="0"/>
                <w:color w:val="auto"/>
                <w:szCs w:val="21"/>
                <w:highlight w:val="none"/>
              </w:rPr>
              <w:t>】</w:t>
            </w:r>
            <w:r>
              <w:rPr>
                <w:rFonts w:hint="eastAsia" w:ascii="宋体" w:hAnsi="宋体"/>
                <w:strike w:val="0"/>
                <w:dstrike w:val="0"/>
                <w:color w:val="auto"/>
                <w:szCs w:val="21"/>
                <w:highlight w:val="none"/>
              </w:rPr>
              <w:t>，提供认证证书且符合认证范围的得</w:t>
            </w:r>
            <w:r>
              <w:rPr>
                <w:rFonts w:hint="eastAsia" w:ascii="宋体" w:hAnsi="宋体"/>
                <w:strike w:val="0"/>
                <w:dstrike w:val="0"/>
                <w:color w:val="auto"/>
                <w:szCs w:val="21"/>
                <w:highlight w:val="none"/>
                <w:lang w:val="en-US" w:eastAsia="zh-CN"/>
              </w:rPr>
              <w:t>35</w:t>
            </w:r>
            <w:r>
              <w:rPr>
                <w:rFonts w:hint="eastAsia" w:ascii="宋体" w:hAnsi="宋体"/>
                <w:strike w:val="0"/>
                <w:dstrike w:val="0"/>
                <w:color w:val="auto"/>
                <w:szCs w:val="21"/>
                <w:highlight w:val="none"/>
              </w:rPr>
              <w:t>分</w:t>
            </w:r>
            <w:r>
              <w:rPr>
                <w:rFonts w:hint="eastAsia" w:ascii="宋体" w:hAnsi="宋体"/>
                <w:strike w:val="0"/>
                <w:dstrike w:val="0"/>
                <w:color w:val="auto"/>
                <w:szCs w:val="21"/>
                <w:highlight w:val="none"/>
                <w:lang w:eastAsia="zh-CN"/>
              </w:rPr>
              <w:t>，</w:t>
            </w:r>
            <w:r>
              <w:rPr>
                <w:rFonts w:hint="eastAsia" w:ascii="宋体" w:hAnsi="宋体"/>
                <w:strike w:val="0"/>
                <w:dstrike w:val="0"/>
                <w:color w:val="auto"/>
                <w:szCs w:val="21"/>
                <w:highlight w:val="none"/>
              </w:rPr>
              <w:t>不提供或提供不符合认证范围的不得分</w:t>
            </w:r>
            <w:r>
              <w:rPr>
                <w:rFonts w:hint="eastAsia"/>
                <w:strike w:val="0"/>
                <w:dstrike w:val="0"/>
                <w:color w:val="auto"/>
                <w:highlight w:val="none"/>
                <w:lang w:val="en-US" w:eastAsia="zh-CN"/>
              </w:rPr>
              <w:t>。</w:t>
            </w:r>
          </w:p>
          <w:p w14:paraId="26384E82">
            <w:pPr>
              <w:pStyle w:val="8"/>
              <w:keepNext w:val="0"/>
              <w:keepLines w:val="0"/>
              <w:widowControl w:val="0"/>
              <w:suppressLineNumbers w:val="0"/>
              <w:spacing w:before="0" w:beforeAutospacing="0" w:after="0" w:afterAutospacing="0" w:line="240" w:lineRule="auto"/>
              <w:ind w:left="0" w:right="0"/>
              <w:jc w:val="both"/>
              <w:rPr>
                <w:rFonts w:hint="eastAsia"/>
                <w:highlight w:val="none"/>
                <w:lang w:val="en-US" w:eastAsia="zh-CN"/>
              </w:rPr>
            </w:pPr>
            <w:r>
              <w:rPr>
                <w:rFonts w:hint="eastAsia" w:ascii="宋体" w:hAnsi="宋体"/>
                <w:strike w:val="0"/>
                <w:dstrike w:val="0"/>
                <w:color w:val="auto"/>
                <w:szCs w:val="21"/>
                <w:highlight w:val="none"/>
                <w:lang w:val="en-US" w:eastAsia="zh-CN"/>
              </w:rPr>
              <w:t>3</w:t>
            </w:r>
            <w:r>
              <w:rPr>
                <w:rFonts w:hint="eastAsia" w:ascii="宋体" w:hAnsi="宋体"/>
                <w:strike w:val="0"/>
                <w:dstrike w:val="0"/>
                <w:color w:val="auto"/>
                <w:szCs w:val="21"/>
                <w:highlight w:val="none"/>
              </w:rPr>
              <w:t>、投标人或所投产品制造商具备有效的</w:t>
            </w:r>
            <w:r>
              <w:rPr>
                <w:rFonts w:hint="eastAsia" w:ascii="宋体" w:hAnsi="宋体"/>
                <w:strike w:val="0"/>
                <w:dstrike w:val="0"/>
                <w:color w:val="auto"/>
                <w:szCs w:val="21"/>
                <w:highlight w:val="none"/>
                <w:lang w:eastAsia="zh-CN"/>
              </w:rPr>
              <w:t>《</w:t>
            </w:r>
            <w:r>
              <w:rPr>
                <w:rFonts w:hint="eastAsia" w:ascii="宋体" w:hAnsi="宋体" w:cs="宋体"/>
                <w:strike w:val="0"/>
                <w:dstrike w:val="0"/>
                <w:color w:val="auto"/>
                <w:szCs w:val="21"/>
                <w:highlight w:val="none"/>
              </w:rPr>
              <w:t>有害物质过程控制管理体系认证证书</w:t>
            </w:r>
            <w:r>
              <w:rPr>
                <w:rFonts w:hint="eastAsia" w:ascii="宋体" w:hAnsi="宋体"/>
                <w:strike w:val="0"/>
                <w:dstrike w:val="0"/>
                <w:color w:val="auto"/>
                <w:szCs w:val="21"/>
                <w:highlight w:val="none"/>
                <w:lang w:eastAsia="zh-CN"/>
              </w:rPr>
              <w:t>》</w:t>
            </w:r>
            <w:r>
              <w:rPr>
                <w:rFonts w:hint="eastAsia" w:ascii="宋体" w:hAnsi="宋体"/>
                <w:strike w:val="0"/>
                <w:dstrike w:val="0"/>
                <w:color w:val="auto"/>
                <w:szCs w:val="21"/>
                <w:highlight w:val="none"/>
              </w:rPr>
              <w:t>，【</w:t>
            </w:r>
            <w:r>
              <w:rPr>
                <w:rFonts w:hint="eastAsia" w:ascii="宋体" w:hAnsi="宋体" w:cs="宋体"/>
                <w:strike w:val="0"/>
                <w:dstrike w:val="0"/>
                <w:color w:val="auto"/>
                <w:szCs w:val="21"/>
                <w:highlight w:val="none"/>
              </w:rPr>
              <w:t>认证</w:t>
            </w:r>
            <w:r>
              <w:rPr>
                <w:rFonts w:hint="eastAsia" w:ascii="宋体" w:hAnsi="宋体" w:cs="宋体"/>
                <w:strike w:val="0"/>
                <w:dstrike w:val="0"/>
                <w:color w:val="auto"/>
                <w:szCs w:val="21"/>
                <w:highlight w:val="none"/>
                <w:lang w:eastAsia="zh-CN"/>
              </w:rPr>
              <w:t>范围</w:t>
            </w:r>
            <w:r>
              <w:rPr>
                <w:rFonts w:hint="eastAsia" w:ascii="宋体" w:hAnsi="宋体" w:cs="宋体"/>
                <w:strike w:val="0"/>
                <w:dstrike w:val="0"/>
                <w:color w:val="auto"/>
                <w:szCs w:val="21"/>
                <w:highlight w:val="none"/>
              </w:rPr>
              <w:t>包含幼儿家具的设计开发、生产和销售所涉及的有害物质管理活动</w:t>
            </w:r>
            <w:r>
              <w:rPr>
                <w:rFonts w:hint="eastAsia" w:ascii="宋体" w:hAnsi="宋体"/>
                <w:strike w:val="0"/>
                <w:dstrike w:val="0"/>
                <w:color w:val="auto"/>
                <w:szCs w:val="21"/>
                <w:highlight w:val="none"/>
              </w:rPr>
              <w:t>】，提供认证证书且符合认证范围的得</w:t>
            </w:r>
            <w:r>
              <w:rPr>
                <w:rFonts w:hint="eastAsia" w:ascii="宋体" w:hAnsi="宋体"/>
                <w:strike w:val="0"/>
                <w:dstrike w:val="0"/>
                <w:color w:val="auto"/>
                <w:szCs w:val="21"/>
                <w:highlight w:val="none"/>
                <w:lang w:val="en-US" w:eastAsia="zh-CN"/>
              </w:rPr>
              <w:t>30</w:t>
            </w:r>
            <w:r>
              <w:rPr>
                <w:rFonts w:hint="eastAsia" w:ascii="宋体" w:hAnsi="宋体"/>
                <w:strike w:val="0"/>
                <w:dstrike w:val="0"/>
                <w:color w:val="auto"/>
                <w:szCs w:val="21"/>
                <w:highlight w:val="none"/>
              </w:rPr>
              <w:t>分</w:t>
            </w:r>
            <w:r>
              <w:rPr>
                <w:rFonts w:hint="eastAsia" w:ascii="宋体" w:hAnsi="宋体"/>
                <w:strike w:val="0"/>
                <w:dstrike w:val="0"/>
                <w:color w:val="auto"/>
                <w:szCs w:val="21"/>
                <w:highlight w:val="none"/>
                <w:lang w:eastAsia="zh-CN"/>
              </w:rPr>
              <w:t>，</w:t>
            </w:r>
            <w:r>
              <w:rPr>
                <w:rFonts w:hint="eastAsia" w:ascii="宋体" w:hAnsi="宋体"/>
                <w:strike w:val="0"/>
                <w:dstrike w:val="0"/>
                <w:color w:val="auto"/>
                <w:szCs w:val="21"/>
                <w:highlight w:val="none"/>
              </w:rPr>
              <w:t>不</w:t>
            </w:r>
            <w:r>
              <w:rPr>
                <w:rFonts w:hint="eastAsia" w:ascii="宋体" w:hAnsi="宋体"/>
                <w:szCs w:val="21"/>
                <w:highlight w:val="none"/>
              </w:rPr>
              <w:t>提供或提供不符合认证范围的不得分</w:t>
            </w:r>
            <w:r>
              <w:rPr>
                <w:rFonts w:hint="eastAsia"/>
                <w:highlight w:val="none"/>
                <w:lang w:val="en-US" w:eastAsia="zh-CN"/>
              </w:rPr>
              <w:t>。</w:t>
            </w:r>
          </w:p>
          <w:p w14:paraId="52B653A4">
            <w:pPr>
              <w:pStyle w:val="8"/>
              <w:keepNext w:val="0"/>
              <w:keepLines w:val="0"/>
              <w:widowControl w:val="0"/>
              <w:suppressLineNumbers w:val="0"/>
              <w:spacing w:before="0" w:beforeAutospacing="0" w:after="0" w:afterAutospacing="0" w:line="240" w:lineRule="auto"/>
              <w:ind w:left="0" w:right="0"/>
              <w:jc w:val="both"/>
              <w:rPr>
                <w:rFonts w:hint="eastAsia" w:ascii="宋体" w:hAnsi="宋体"/>
                <w:szCs w:val="21"/>
                <w:highlight w:val="none"/>
              </w:rPr>
            </w:pPr>
            <w:r>
              <w:rPr>
                <w:rFonts w:hint="eastAsia" w:ascii="宋体" w:hAnsi="宋体"/>
                <w:szCs w:val="21"/>
                <w:highlight w:val="none"/>
              </w:rPr>
              <w:t>累计最高得100分。</w:t>
            </w:r>
          </w:p>
          <w:p w14:paraId="3CA36B1D">
            <w:pPr>
              <w:pStyle w:val="8"/>
              <w:keepNext w:val="0"/>
              <w:keepLines w:val="0"/>
              <w:pageBreakBefore w:val="0"/>
              <w:numPr>
                <w:ilvl w:val="0"/>
                <w:numId w:val="0"/>
              </w:numPr>
              <w:suppressLineNumbers w:val="0"/>
              <w:shd w:val="clear" w:color="auto" w:fill="auto"/>
              <w:kinsoku/>
              <w:wordWrap/>
              <w:overflowPunct/>
              <w:topLinePunct w:val="0"/>
              <w:autoSpaceDE/>
              <w:autoSpaceDN/>
              <w:bidi w:val="0"/>
              <w:adjustRightInd/>
              <w:snapToGrid/>
              <w:spacing w:beforeAutospacing="0" w:afterAutospacing="0" w:line="240" w:lineRule="auto"/>
              <w:ind w:left="0" w:right="0"/>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（二）证明文件：</w:t>
            </w:r>
          </w:p>
          <w:p w14:paraId="6EB8F020">
            <w:pPr>
              <w:pStyle w:val="8"/>
              <w:wordWrap w:val="0"/>
              <w:spacing w:line="240" w:lineRule="exact"/>
              <w:ind w:firstLine="0" w:firstLineChars="0"/>
              <w:rPr>
                <w:rFonts w:hint="eastAsia" w:ascii="宋体" w:hAnsi="宋体" w:cs="仿宋" w:eastAsiaTheme="minorEastAsia"/>
                <w:kern w:val="0"/>
                <w:szCs w:val="21"/>
                <w:highlight w:val="none"/>
                <w:lang w:val="en-US" w:eastAsia="zh-CN"/>
              </w:rPr>
            </w:pPr>
            <w:r>
              <w:rPr>
                <w:rFonts w:hint="eastAsia" w:ascii="宋体" w:hAnsi="宋体" w:cs="仿宋" w:eastAsiaTheme="minorEastAsia"/>
                <w:kern w:val="0"/>
                <w:szCs w:val="21"/>
                <w:highlight w:val="none"/>
                <w:lang w:val="en-US" w:eastAsia="zh-CN"/>
              </w:rPr>
              <w:t>1.提供有效期内的体系认证证书扫描件及在全国认证认可信息公共服务平台（认e云）（http://cx.cnca.cn/CertECloud/index/index/page）查询有效的截图，原件备查。</w:t>
            </w:r>
          </w:p>
          <w:p w14:paraId="0D155EB7">
            <w:pPr>
              <w:pStyle w:val="8"/>
              <w:keepNext w:val="0"/>
              <w:keepLines w:val="0"/>
              <w:pageBreakBefore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420" w:firstLineChars="200"/>
              <w:textAlignment w:val="auto"/>
              <w:rPr>
                <w:rFonts w:hint="eastAsia" w:ascii="宋体" w:hAnsi="宋体" w:cs="仿宋" w:eastAsiaTheme="minorEastAsia"/>
                <w:kern w:val="0"/>
                <w:szCs w:val="21"/>
                <w:highlight w:val="none"/>
                <w:lang w:val="en-US" w:eastAsia="zh-CN"/>
              </w:rPr>
            </w:pPr>
            <w:r>
              <w:rPr>
                <w:rFonts w:hint="eastAsia" w:ascii="宋体" w:hAnsi="宋体" w:cs="宋体"/>
                <w:szCs w:val="21"/>
                <w:highlight w:val="none"/>
                <w:lang w:eastAsia="zh-CN"/>
              </w:rPr>
              <w:t>备注：投标人所提供的证书认证范围名称表述无需完全一致，不一致需提供书面说明函，以证明是同类认证内容，否则该项不得分。（说明函格式自拟）</w:t>
            </w:r>
            <w:r>
              <w:rPr>
                <w:rFonts w:hint="eastAsia" w:ascii="宋体" w:hAnsi="宋体" w:cs="宋体"/>
                <w:szCs w:val="21"/>
                <w:highlight w:val="none"/>
              </w:rPr>
              <w:t>（未提供或未按要求提供或提供的不清晰导致专家无法判断的，不得分）</w:t>
            </w:r>
            <w:r>
              <w:rPr>
                <w:rFonts w:hint="eastAsia" w:ascii="宋体" w:hAnsi="宋体" w:cs="仿宋" w:eastAsiaTheme="minorEastAsia"/>
                <w:kern w:val="0"/>
                <w:szCs w:val="21"/>
                <w:highlight w:val="none"/>
                <w:lang w:val="en-US" w:eastAsia="zh-CN"/>
              </w:rPr>
              <w:t>（未提供或未按要求提供或提供的不清晰导致专家无法判断的，不得分）</w:t>
            </w:r>
          </w:p>
        </w:tc>
      </w:tr>
      <w:tr w14:paraId="6CFF698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607" w:type="dxa"/>
            <w:vMerge w:val="restart"/>
            <w:tcBorders>
              <w:top w:val="single" w:color="000000" w:sz="8" w:space="0"/>
              <w:left w:val="single" w:color="000000" w:sz="8" w:space="0"/>
              <w:bottom w:val="single" w:color="000000" w:sz="8" w:space="0"/>
              <w:right w:val="single" w:color="000000" w:sz="8" w:space="0"/>
            </w:tcBorders>
            <w:shd w:val="clear" w:color="auto" w:fill="FFFFFF" w:themeFill="background1"/>
          </w:tcPr>
          <w:p w14:paraId="72490F26">
            <w:pPr>
              <w:snapToGrid w:val="0"/>
              <w:jc w:val="center"/>
              <w:rPr>
                <w:rFonts w:hint="eastAsia" w:ascii="宋体" w:hAnsi="宋体" w:eastAsia="宋体" w:cs="宋体"/>
                <w:b/>
                <w:bCs/>
                <w:szCs w:val="21"/>
                <w:highlight w:val="none"/>
              </w:rPr>
            </w:pPr>
            <w:r>
              <w:rPr>
                <w:rFonts w:hint="eastAsia" w:ascii="宋体" w:hAnsi="宋体" w:eastAsia="宋体" w:cs="宋体"/>
                <w:b/>
                <w:bCs/>
                <w:szCs w:val="21"/>
                <w:highlight w:val="none"/>
              </w:rPr>
              <w:t>4</w:t>
            </w:r>
          </w:p>
        </w:tc>
        <w:tc>
          <w:tcPr>
            <w:tcW w:w="3104" w:type="dxa"/>
            <w:gridSpan w:val="3"/>
            <w:tcBorders>
              <w:top w:val="single" w:color="000000" w:sz="8" w:space="0"/>
              <w:left w:val="single" w:color="000000" w:sz="8" w:space="0"/>
              <w:bottom w:val="single" w:color="000000" w:sz="8" w:space="0"/>
              <w:right w:val="single" w:color="000000" w:sz="8" w:space="0"/>
            </w:tcBorders>
            <w:shd w:val="clear" w:color="auto" w:fill="FFFFFF" w:themeFill="background1"/>
          </w:tcPr>
          <w:p w14:paraId="2138A6E4">
            <w:pPr>
              <w:snapToGrid w:val="0"/>
              <w:jc w:val="center"/>
              <w:rPr>
                <w:rFonts w:hint="eastAsia" w:ascii="宋体" w:hAnsi="宋体" w:eastAsia="宋体" w:cs="宋体"/>
                <w:b/>
                <w:bCs/>
                <w:szCs w:val="21"/>
                <w:highlight w:val="none"/>
              </w:rPr>
            </w:pPr>
            <w:r>
              <w:rPr>
                <w:rFonts w:hint="eastAsia" w:ascii="宋体" w:hAnsi="宋体" w:eastAsia="宋体" w:cs="宋体"/>
                <w:b/>
                <w:bCs/>
                <w:szCs w:val="21"/>
                <w:highlight w:val="none"/>
              </w:rPr>
              <w:t>其他部分</w:t>
            </w:r>
          </w:p>
        </w:tc>
        <w:tc>
          <w:tcPr>
            <w:tcW w:w="5361" w:type="dxa"/>
            <w:tcBorders>
              <w:top w:val="single" w:color="000000" w:sz="8" w:space="0"/>
              <w:left w:val="single" w:color="000000" w:sz="8" w:space="0"/>
              <w:bottom w:val="single" w:color="000000" w:sz="8" w:space="0"/>
              <w:right w:val="single" w:color="000000" w:sz="8" w:space="0"/>
            </w:tcBorders>
            <w:shd w:val="clear" w:color="auto" w:fill="FFFFFF" w:themeFill="background1"/>
          </w:tcPr>
          <w:p w14:paraId="1E1E1CFB">
            <w:pPr>
              <w:snapToGrid w:val="0"/>
              <w:jc w:val="center"/>
              <w:rPr>
                <w:rFonts w:hint="eastAsia" w:ascii="宋体" w:hAnsi="宋体" w:eastAsia="宋体" w:cs="宋体"/>
                <w:b/>
                <w:bCs/>
                <w:szCs w:val="21"/>
                <w:highlight w:val="none"/>
              </w:rPr>
            </w:pPr>
            <w:r>
              <w:rPr>
                <w:rFonts w:hint="eastAsia" w:ascii="宋体" w:hAnsi="宋体" w:eastAsia="宋体" w:cs="宋体"/>
                <w:b/>
                <w:bCs/>
                <w:szCs w:val="21"/>
                <w:highlight w:val="none"/>
              </w:rPr>
              <w:t>5</w:t>
            </w:r>
          </w:p>
        </w:tc>
      </w:tr>
      <w:tr w14:paraId="6544A02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607" w:type="dxa"/>
            <w:vMerge w:val="continue"/>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8964BBE">
            <w:pPr>
              <w:snapToGrid w:val="0"/>
              <w:rPr>
                <w:rFonts w:hint="eastAsia" w:ascii="宋体" w:hAnsi="宋体" w:eastAsia="宋体" w:cs="宋体"/>
                <w:b/>
                <w:bCs/>
                <w:szCs w:val="21"/>
                <w:highlight w:val="none"/>
              </w:rPr>
            </w:pPr>
          </w:p>
        </w:tc>
        <w:tc>
          <w:tcPr>
            <w:tcW w:w="652" w:type="dxa"/>
            <w:tcBorders>
              <w:top w:val="outset" w:color="000000" w:sz="6" w:space="0"/>
              <w:left w:val="outset" w:color="000000" w:sz="6" w:space="0"/>
              <w:bottom w:val="outset" w:color="000000" w:sz="6" w:space="0"/>
              <w:right w:val="outset" w:color="000000" w:sz="6" w:space="0"/>
            </w:tcBorders>
            <w:shd w:val="clear" w:color="auto" w:fill="FFFFFF" w:themeFill="background1"/>
            <w:vAlign w:val="center"/>
          </w:tcPr>
          <w:p w14:paraId="6529E328">
            <w:pPr>
              <w:snapToGrid w:val="0"/>
              <w:jc w:val="center"/>
              <w:rPr>
                <w:rFonts w:hint="eastAsia" w:ascii="宋体" w:hAnsi="宋体" w:eastAsia="宋体" w:cs="宋体"/>
                <w:szCs w:val="21"/>
                <w:highlight w:val="none"/>
              </w:rPr>
            </w:pPr>
            <w:r>
              <w:rPr>
                <w:rFonts w:hint="eastAsia" w:ascii="宋体" w:hAnsi="宋体" w:eastAsia="宋体" w:cs="宋体"/>
                <w:szCs w:val="21"/>
                <w:highlight w:val="none"/>
              </w:rPr>
              <w:t>序号</w:t>
            </w:r>
          </w:p>
        </w:tc>
        <w:tc>
          <w:tcPr>
            <w:tcW w:w="1473" w:type="dxa"/>
            <w:tcBorders>
              <w:top w:val="outset" w:color="000000" w:sz="6" w:space="0"/>
              <w:left w:val="outset" w:color="000000" w:sz="6" w:space="0"/>
              <w:bottom w:val="outset" w:color="000000" w:sz="6" w:space="0"/>
              <w:right w:val="outset" w:color="000000" w:sz="6" w:space="0"/>
            </w:tcBorders>
            <w:shd w:val="clear" w:color="auto" w:fill="FFFFFF" w:themeFill="background1"/>
            <w:vAlign w:val="center"/>
          </w:tcPr>
          <w:p w14:paraId="750623F0">
            <w:pPr>
              <w:snapToGrid w:val="0"/>
              <w:jc w:val="center"/>
              <w:rPr>
                <w:rFonts w:hint="eastAsia" w:ascii="宋体" w:hAnsi="宋体" w:eastAsia="宋体" w:cs="宋体"/>
                <w:szCs w:val="21"/>
                <w:highlight w:val="none"/>
              </w:rPr>
            </w:pPr>
            <w:r>
              <w:rPr>
                <w:rFonts w:hint="eastAsia" w:ascii="宋体" w:hAnsi="宋体" w:eastAsia="宋体" w:cs="宋体"/>
                <w:szCs w:val="21"/>
                <w:highlight w:val="none"/>
              </w:rPr>
              <w:t>评分因素</w:t>
            </w:r>
          </w:p>
        </w:tc>
        <w:tc>
          <w:tcPr>
            <w:tcW w:w="979" w:type="dxa"/>
            <w:tcBorders>
              <w:top w:val="outset" w:color="000000" w:sz="6" w:space="0"/>
              <w:left w:val="outset" w:color="000000" w:sz="6" w:space="0"/>
              <w:bottom w:val="outset" w:color="000000" w:sz="6" w:space="0"/>
              <w:right w:val="outset" w:color="000000" w:sz="6" w:space="0"/>
            </w:tcBorders>
            <w:shd w:val="clear" w:color="auto" w:fill="FFFFFF" w:themeFill="background1"/>
            <w:vAlign w:val="center"/>
          </w:tcPr>
          <w:p w14:paraId="069B7F95">
            <w:pPr>
              <w:snapToGrid w:val="0"/>
              <w:jc w:val="center"/>
              <w:rPr>
                <w:rFonts w:hint="eastAsia" w:ascii="宋体" w:hAnsi="宋体" w:eastAsia="宋体" w:cs="宋体"/>
                <w:szCs w:val="21"/>
                <w:highlight w:val="none"/>
              </w:rPr>
            </w:pPr>
            <w:r>
              <w:rPr>
                <w:rFonts w:hint="eastAsia" w:ascii="宋体" w:hAnsi="宋体" w:eastAsia="宋体" w:cs="宋体"/>
                <w:szCs w:val="21"/>
                <w:highlight w:val="none"/>
              </w:rPr>
              <w:t>权重</w:t>
            </w:r>
            <w:r>
              <w:rPr>
                <w:rFonts w:hint="eastAsia" w:ascii="宋体" w:hAnsi="宋体" w:eastAsia="宋体" w:cs="宋体"/>
                <w:bCs/>
                <w:szCs w:val="21"/>
                <w:highlight w:val="none"/>
              </w:rPr>
              <w:t>（%）</w:t>
            </w:r>
          </w:p>
        </w:tc>
        <w:tc>
          <w:tcPr>
            <w:tcW w:w="5361" w:type="dxa"/>
            <w:tcBorders>
              <w:top w:val="outset" w:color="000000" w:sz="6" w:space="0"/>
              <w:left w:val="outset" w:color="000000" w:sz="6" w:space="0"/>
              <w:bottom w:val="outset" w:color="000000" w:sz="6" w:space="0"/>
              <w:right w:val="outset" w:color="000000" w:sz="6" w:space="0"/>
            </w:tcBorders>
            <w:shd w:val="clear" w:color="auto" w:fill="FFFFFF" w:themeFill="background1"/>
            <w:vAlign w:val="center"/>
          </w:tcPr>
          <w:p w14:paraId="487EB4D2">
            <w:pPr>
              <w:snapToGrid w:val="0"/>
              <w:jc w:val="center"/>
              <w:rPr>
                <w:rFonts w:hint="eastAsia" w:ascii="宋体" w:hAnsi="宋体" w:eastAsia="宋体" w:cs="宋体"/>
                <w:szCs w:val="21"/>
                <w:highlight w:val="none"/>
              </w:rPr>
            </w:pPr>
            <w:r>
              <w:rPr>
                <w:rFonts w:hint="eastAsia" w:ascii="宋体" w:hAnsi="宋体" w:eastAsia="宋体" w:cs="宋体"/>
                <w:szCs w:val="21"/>
                <w:highlight w:val="none"/>
              </w:rPr>
              <w:t>评分准则</w:t>
            </w:r>
          </w:p>
        </w:tc>
      </w:tr>
      <w:tr w14:paraId="1D9548D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607" w:type="dxa"/>
            <w:vMerge w:val="continue"/>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1C1A498B">
            <w:pPr>
              <w:snapToGrid w:val="0"/>
              <w:rPr>
                <w:rFonts w:hint="eastAsia" w:ascii="宋体" w:hAnsi="宋体" w:eastAsia="宋体" w:cs="宋体"/>
                <w:b/>
                <w:bCs/>
                <w:szCs w:val="21"/>
                <w:highlight w:val="none"/>
              </w:rPr>
            </w:pPr>
          </w:p>
        </w:tc>
        <w:tc>
          <w:tcPr>
            <w:tcW w:w="652"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43A3C6A5">
            <w:pPr>
              <w:snapToGrid w:val="0"/>
              <w:jc w:val="center"/>
              <w:rPr>
                <w:rFonts w:hint="eastAsia" w:ascii="宋体" w:hAnsi="宋体" w:eastAsia="宋体" w:cs="宋体"/>
                <w:szCs w:val="21"/>
                <w:highlight w:val="none"/>
              </w:rPr>
            </w:pPr>
            <w:r>
              <w:rPr>
                <w:rFonts w:hint="eastAsia" w:ascii="宋体" w:hAnsi="宋体" w:eastAsia="宋体" w:cs="宋体"/>
                <w:szCs w:val="21"/>
                <w:highlight w:val="none"/>
              </w:rPr>
              <w:t>1</w:t>
            </w:r>
          </w:p>
        </w:tc>
        <w:tc>
          <w:tcPr>
            <w:tcW w:w="1473"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511E727">
            <w:pPr>
              <w:snapToGrid w:val="0"/>
              <w:jc w:val="center"/>
              <w:rPr>
                <w:rFonts w:hint="eastAsia" w:ascii="宋体" w:hAnsi="宋体" w:eastAsia="宋体" w:cs="宋体"/>
                <w:szCs w:val="21"/>
                <w:highlight w:val="none"/>
              </w:rPr>
            </w:pPr>
            <w:r>
              <w:rPr>
                <w:rFonts w:hint="eastAsia" w:ascii="宋体" w:hAnsi="宋体" w:eastAsia="宋体" w:cs="宋体"/>
                <w:szCs w:val="21"/>
                <w:highlight w:val="none"/>
              </w:rPr>
              <w:t>诚信情况</w:t>
            </w:r>
          </w:p>
        </w:tc>
        <w:tc>
          <w:tcPr>
            <w:tcW w:w="979"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4CED4E8">
            <w:pPr>
              <w:snapToGrid w:val="0"/>
              <w:jc w:val="center"/>
              <w:rPr>
                <w:rFonts w:hint="eastAsia" w:ascii="宋体" w:hAnsi="宋体" w:eastAsia="宋体" w:cs="宋体"/>
                <w:szCs w:val="21"/>
                <w:highlight w:val="none"/>
              </w:rPr>
            </w:pPr>
            <w:r>
              <w:rPr>
                <w:rFonts w:hint="eastAsia" w:ascii="宋体" w:hAnsi="宋体" w:eastAsia="宋体" w:cs="宋体"/>
                <w:szCs w:val="21"/>
                <w:highlight w:val="none"/>
              </w:rPr>
              <w:t>5</w:t>
            </w:r>
          </w:p>
        </w:tc>
        <w:tc>
          <w:tcPr>
            <w:tcW w:w="5361" w:type="dxa"/>
            <w:tcBorders>
              <w:top w:val="single" w:color="000000" w:sz="8" w:space="0"/>
              <w:left w:val="single" w:color="000000" w:sz="8" w:space="0"/>
              <w:bottom w:val="single" w:color="000000" w:sz="8" w:space="0"/>
              <w:right w:val="single" w:color="000000" w:sz="8" w:space="0"/>
            </w:tcBorders>
            <w:shd w:val="clear" w:color="auto" w:fill="FFFFFF" w:themeFill="background1"/>
          </w:tcPr>
          <w:p w14:paraId="7B4662E9">
            <w:pPr>
              <w:pStyle w:val="9"/>
              <w:wordWrap w:val="0"/>
              <w:spacing w:line="240" w:lineRule="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投标人存在《深圳市财政局政府采购供应商信用信息管理办法》（深财规〔2023〕3号）列明的一般行政处罚信息、一般违法失信记录信息的，本项不得分，不存在上述情形的本项得100分。投标人无需提供任何证明材料，评标过程中由工作人员向评审委员会提供有关供应商诚信查询结果。</w:t>
            </w:r>
          </w:p>
          <w:p w14:paraId="5C316B1F">
            <w:pPr>
              <w:pStyle w:val="9"/>
              <w:wordWrap w:val="0"/>
              <w:spacing w:line="240" w:lineRule="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查询渠道：通过“信用中国”（www.creditchina.gov.cn，下载信用信息报告）、“中国政府采购网”（www.ccgp.gov.cn）、以及“深圳市政府采购监管网”（http://zfcg.sz.gov.cn）查询供应商信用信息，信用信息以开标当日的查询结果为准。</w:t>
            </w:r>
          </w:p>
        </w:tc>
      </w:tr>
      <w:bookmarkEnd w:id="114"/>
    </w:tbl>
    <w:p w14:paraId="17719AF3">
      <w:pPr>
        <w:pStyle w:val="13"/>
        <w:rPr>
          <w:rFonts w:hint="eastAsia"/>
          <w:b/>
          <w:sz w:val="120"/>
          <w:szCs w:val="120"/>
        </w:rPr>
      </w:pPr>
    </w:p>
    <w:p w14:paraId="1738978E">
      <w:pPr>
        <w:pStyle w:val="13"/>
        <w:rPr>
          <w:rFonts w:hint="eastAsia"/>
          <w:b/>
          <w:sz w:val="120"/>
          <w:szCs w:val="120"/>
        </w:rPr>
      </w:pPr>
    </w:p>
    <w:p w14:paraId="119856BA">
      <w:pPr>
        <w:jc w:val="center"/>
        <w:rPr>
          <w:b/>
          <w:sz w:val="120"/>
          <w:szCs w:val="120"/>
        </w:rPr>
      </w:pPr>
      <w:r>
        <w:rPr>
          <w:rFonts w:hint="eastAsia"/>
          <w:b/>
          <w:sz w:val="120"/>
          <w:szCs w:val="120"/>
        </w:rPr>
        <w:t>自行采购</w:t>
      </w:r>
    </w:p>
    <w:p w14:paraId="13A2FFDB">
      <w:pPr>
        <w:jc w:val="center"/>
        <w:rPr>
          <w:b/>
          <w:sz w:val="120"/>
          <w:szCs w:val="120"/>
        </w:rPr>
      </w:pPr>
      <w:r>
        <w:rPr>
          <w:rFonts w:hint="eastAsia"/>
          <w:b/>
          <w:sz w:val="120"/>
          <w:szCs w:val="120"/>
        </w:rPr>
        <w:t>招标文件</w:t>
      </w:r>
    </w:p>
    <w:p w14:paraId="7C6D5A0E">
      <w:pPr>
        <w:jc w:val="center"/>
        <w:rPr>
          <w:b/>
          <w:sz w:val="52"/>
          <w:szCs w:val="52"/>
        </w:rPr>
      </w:pPr>
      <w:r>
        <w:rPr>
          <w:rFonts w:hint="eastAsia"/>
          <w:b/>
          <w:sz w:val="52"/>
          <w:szCs w:val="52"/>
        </w:rPr>
        <w:t>（货物类）</w:t>
      </w:r>
    </w:p>
    <w:p w14:paraId="09303EA2"/>
    <w:p w14:paraId="4AA7DCE1"/>
    <w:p w14:paraId="3659EAD8"/>
    <w:p w14:paraId="574E42A7"/>
    <w:p w14:paraId="73CD33FF"/>
    <w:p w14:paraId="106626F8"/>
    <w:p w14:paraId="7FB44C49"/>
    <w:p w14:paraId="4C018E2C"/>
    <w:p w14:paraId="4954E6E7"/>
    <w:p w14:paraId="1B488165"/>
    <w:p w14:paraId="6912B244"/>
    <w:p w14:paraId="15FB7BB4"/>
    <w:p w14:paraId="0D9A8AAD">
      <w:pPr>
        <w:jc w:val="center"/>
        <w:rPr>
          <w:b/>
          <w:sz w:val="44"/>
          <w:szCs w:val="44"/>
        </w:rPr>
      </w:pPr>
      <w:r>
        <w:rPr>
          <w:rFonts w:hint="eastAsia" w:ascii="宋体" w:hAnsi="宋体"/>
          <w:b/>
          <w:sz w:val="44"/>
          <w:szCs w:val="44"/>
        </w:rPr>
        <w:t>深圳公共资源交易中心</w:t>
      </w:r>
    </w:p>
    <w:p w14:paraId="0AE0452A">
      <w:pPr>
        <w:jc w:val="center"/>
        <w:rPr>
          <w:b/>
          <w:sz w:val="44"/>
          <w:szCs w:val="44"/>
        </w:rPr>
      </w:pPr>
      <w:r>
        <w:rPr>
          <w:rFonts w:hint="eastAsia" w:ascii="宋体" w:hAnsi="宋体"/>
          <w:b/>
          <w:sz w:val="44"/>
          <w:szCs w:val="44"/>
        </w:rPr>
        <w:t>（</w:t>
      </w:r>
      <w:r>
        <w:rPr>
          <w:rFonts w:hint="eastAsia"/>
          <w:b/>
          <w:sz w:val="44"/>
          <w:szCs w:val="44"/>
          <w:lang w:eastAsia="zh-CN"/>
        </w:rPr>
        <w:t>2025</w:t>
      </w:r>
      <w:r>
        <w:rPr>
          <w:rFonts w:hint="eastAsia" w:ascii="宋体" w:hAnsi="宋体"/>
          <w:b/>
          <w:sz w:val="44"/>
          <w:szCs w:val="44"/>
        </w:rPr>
        <w:t>）</w:t>
      </w:r>
    </w:p>
    <w:p w14:paraId="31844486">
      <w:pPr>
        <w:ind w:firstLine="6786" w:firstLineChars="1300"/>
        <w:jc w:val="center"/>
        <w:rPr>
          <w:bCs/>
          <w:color w:val="FF0000"/>
        </w:rPr>
      </w:pPr>
      <w:r>
        <w:rPr>
          <w:rFonts w:hint="eastAsia"/>
          <w:b/>
          <w:color w:val="FF0000"/>
          <w:sz w:val="52"/>
          <w:szCs w:val="52"/>
        </w:rPr>
        <w:br w:type="page"/>
      </w:r>
    </w:p>
    <w:p w14:paraId="71EB83F7">
      <w:pPr>
        <w:snapToGrid w:val="0"/>
        <w:spacing w:line="360" w:lineRule="exact"/>
        <w:jc w:val="left"/>
        <w:rPr>
          <w:rFonts w:hint="eastAsia" w:ascii="宋体" w:hAnsi="宋体" w:eastAsia="宋体" w:cs="宋体"/>
          <w:color w:val="000000"/>
          <w:kern w:val="0"/>
          <w:sz w:val="24"/>
          <w:szCs w:val="24"/>
        </w:rPr>
      </w:pPr>
    </w:p>
    <w:p w14:paraId="33FDCB96">
      <w:pPr>
        <w:snapToGrid w:val="0"/>
        <w:spacing w:line="360" w:lineRule="exact"/>
        <w:jc w:val="left"/>
        <w:rPr>
          <w:rFonts w:hint="eastAsia" w:ascii="宋体" w:hAnsi="宋体" w:eastAsia="宋体" w:cs="宋体"/>
          <w:color w:val="000000"/>
          <w:kern w:val="0"/>
          <w:sz w:val="24"/>
          <w:szCs w:val="24"/>
        </w:rPr>
      </w:pPr>
    </w:p>
    <w:p w14:paraId="42A5A6E9">
      <w:pPr>
        <w:snapToGrid w:val="0"/>
        <w:spacing w:line="360" w:lineRule="exact"/>
        <w:jc w:val="left"/>
        <w:rPr>
          <w:rFonts w:hint="eastAsia" w:ascii="宋体" w:hAnsi="宋体" w:eastAsia="宋体" w:cs="宋体"/>
          <w:color w:val="000000"/>
          <w:kern w:val="0"/>
          <w:sz w:val="24"/>
          <w:szCs w:val="24"/>
        </w:rPr>
      </w:pPr>
    </w:p>
    <w:p w14:paraId="7FBAD04D">
      <w:pPr>
        <w:jc w:val="center"/>
        <w:outlineLvl w:val="0"/>
        <w:rPr>
          <w:rFonts w:ascii="Arial" w:hAnsi="Arial" w:eastAsia="宋体" w:cs="Times New Roman"/>
          <w:b/>
          <w:bCs/>
          <w:kern w:val="44"/>
          <w:sz w:val="32"/>
          <w:szCs w:val="32"/>
        </w:rPr>
      </w:pPr>
      <w:r>
        <w:rPr>
          <w:rFonts w:hint="eastAsia" w:ascii="Arial" w:hAnsi="Arial" w:eastAsia="宋体" w:cs="Times New Roman"/>
          <w:b/>
          <w:bCs/>
          <w:kern w:val="44"/>
          <w:sz w:val="32"/>
          <w:szCs w:val="32"/>
        </w:rPr>
        <w:t>目   录</w:t>
      </w:r>
    </w:p>
    <w:p w14:paraId="5706485E">
      <w:pPr>
        <w:rPr>
          <w:b/>
          <w:sz w:val="24"/>
          <w:szCs w:val="24"/>
        </w:rPr>
      </w:pPr>
      <w:r>
        <w:rPr>
          <w:rFonts w:hint="eastAsia"/>
          <w:b/>
          <w:sz w:val="24"/>
          <w:szCs w:val="24"/>
        </w:rPr>
        <w:t>第一册  专用条款</w:t>
      </w:r>
    </w:p>
    <w:p w14:paraId="20FD4B9C">
      <w:pPr>
        <w:ind w:left="630" w:leftChars="300" w:firstLine="411" w:firstLineChars="196"/>
        <w:rPr>
          <w:rFonts w:hint="eastAsia" w:ascii="宋体" w:hAnsi="宋体"/>
          <w:szCs w:val="21"/>
        </w:rPr>
      </w:pPr>
      <w:r>
        <w:rPr>
          <w:rFonts w:hint="eastAsia" w:ascii="宋体" w:hAnsi="宋体"/>
          <w:szCs w:val="21"/>
        </w:rPr>
        <w:tab/>
      </w:r>
      <w:r>
        <w:rPr>
          <w:rFonts w:hint="eastAsia" w:ascii="宋体" w:hAnsi="宋体"/>
          <w:szCs w:val="21"/>
        </w:rPr>
        <w:t>关键信息</w:t>
      </w:r>
    </w:p>
    <w:p w14:paraId="5727EEC8">
      <w:pPr>
        <w:ind w:left="630" w:leftChars="300" w:firstLine="411" w:firstLineChars="196"/>
        <w:rPr>
          <w:rFonts w:hint="eastAsia" w:ascii="宋体" w:hAnsi="宋体"/>
          <w:szCs w:val="21"/>
        </w:rPr>
      </w:pPr>
      <w:r>
        <w:rPr>
          <w:rFonts w:hint="eastAsia" w:ascii="宋体" w:hAnsi="宋体"/>
          <w:szCs w:val="21"/>
        </w:rPr>
        <w:t>第一章  招标公告</w:t>
      </w:r>
    </w:p>
    <w:p w14:paraId="62455E65">
      <w:pPr>
        <w:ind w:left="630" w:leftChars="300" w:firstLine="411" w:firstLineChars="196"/>
        <w:rPr>
          <w:rFonts w:hint="eastAsia" w:ascii="宋体" w:hAnsi="宋体"/>
          <w:szCs w:val="21"/>
        </w:rPr>
      </w:pPr>
      <w:r>
        <w:rPr>
          <w:rFonts w:hint="eastAsia" w:ascii="宋体" w:hAnsi="宋体"/>
          <w:szCs w:val="21"/>
        </w:rPr>
        <w:t>第二章  对通用条款的补充内容及其他关键信息</w:t>
      </w:r>
    </w:p>
    <w:p w14:paraId="13EB7B8D">
      <w:pPr>
        <w:ind w:left="630" w:leftChars="300" w:firstLine="411" w:firstLineChars="196"/>
        <w:rPr>
          <w:rFonts w:hint="eastAsia" w:ascii="宋体" w:hAnsi="宋体"/>
          <w:szCs w:val="21"/>
        </w:rPr>
      </w:pPr>
      <w:r>
        <w:rPr>
          <w:rFonts w:hint="eastAsia" w:ascii="宋体" w:hAnsi="宋体"/>
          <w:szCs w:val="21"/>
        </w:rPr>
        <w:t xml:space="preserve">第三章 </w:t>
      </w:r>
      <w:r>
        <w:rPr>
          <w:rFonts w:ascii="宋体" w:hAnsi="宋体"/>
          <w:szCs w:val="21"/>
        </w:rPr>
        <w:t xml:space="preserve"> </w:t>
      </w:r>
      <w:r>
        <w:rPr>
          <w:rFonts w:hint="eastAsia" w:ascii="宋体" w:hAnsi="宋体"/>
          <w:szCs w:val="21"/>
        </w:rPr>
        <w:t>用户需求书</w:t>
      </w:r>
    </w:p>
    <w:p w14:paraId="175560F3">
      <w:pPr>
        <w:ind w:left="630" w:leftChars="300" w:firstLine="411" w:firstLineChars="196"/>
        <w:rPr>
          <w:rFonts w:hint="eastAsia" w:ascii="宋体" w:hAnsi="宋体"/>
          <w:szCs w:val="21"/>
        </w:rPr>
      </w:pPr>
      <w:r>
        <w:rPr>
          <w:rFonts w:hint="eastAsia" w:ascii="宋体" w:hAnsi="宋体"/>
          <w:szCs w:val="21"/>
        </w:rPr>
        <w:t xml:space="preserve">第四章 </w:t>
      </w:r>
      <w:r>
        <w:rPr>
          <w:rFonts w:ascii="宋体" w:hAnsi="宋体"/>
          <w:szCs w:val="21"/>
        </w:rPr>
        <w:t xml:space="preserve"> </w:t>
      </w:r>
      <w:r>
        <w:rPr>
          <w:rFonts w:hint="eastAsia" w:ascii="宋体" w:hAnsi="宋体"/>
          <w:szCs w:val="21"/>
        </w:rPr>
        <w:t>投标文件组成要求及格式</w:t>
      </w:r>
    </w:p>
    <w:p w14:paraId="45ABA5DA">
      <w:pPr>
        <w:ind w:left="630" w:leftChars="300" w:firstLine="411" w:firstLineChars="196"/>
        <w:rPr>
          <w:rFonts w:hint="eastAsia" w:ascii="宋体" w:hAnsi="宋体"/>
          <w:szCs w:val="21"/>
        </w:rPr>
      </w:pPr>
      <w:r>
        <w:rPr>
          <w:rFonts w:hint="eastAsia" w:ascii="宋体" w:hAnsi="宋体"/>
          <w:szCs w:val="21"/>
        </w:rPr>
        <w:t>第五章  合同条款及格式</w:t>
      </w:r>
    </w:p>
    <w:p w14:paraId="46C2A288">
      <w:pPr>
        <w:rPr>
          <w:b/>
          <w:sz w:val="24"/>
        </w:rPr>
      </w:pPr>
    </w:p>
    <w:p w14:paraId="3BB9B11B">
      <w:pPr>
        <w:rPr>
          <w:b/>
          <w:sz w:val="24"/>
          <w:szCs w:val="24"/>
        </w:rPr>
      </w:pPr>
      <w:r>
        <w:rPr>
          <w:rFonts w:hint="eastAsia"/>
          <w:b/>
          <w:sz w:val="24"/>
          <w:szCs w:val="24"/>
        </w:rPr>
        <w:t>第二册  通用条款</w:t>
      </w:r>
    </w:p>
    <w:p w14:paraId="6CDE79E2">
      <w:pPr>
        <w:ind w:left="630" w:leftChars="300" w:firstLine="411" w:firstLineChars="196"/>
        <w:rPr>
          <w:rFonts w:hint="eastAsia" w:ascii="宋体" w:hAnsi="宋体"/>
          <w:szCs w:val="21"/>
        </w:rPr>
      </w:pPr>
      <w:r>
        <w:rPr>
          <w:rFonts w:hint="eastAsia" w:ascii="宋体" w:hAnsi="宋体"/>
          <w:szCs w:val="21"/>
        </w:rPr>
        <w:t>第一章  总则</w:t>
      </w:r>
    </w:p>
    <w:p w14:paraId="1F39F650">
      <w:pPr>
        <w:ind w:left="630" w:leftChars="300" w:firstLine="411" w:firstLineChars="196"/>
        <w:rPr>
          <w:rFonts w:hint="eastAsia" w:ascii="宋体" w:hAnsi="宋体"/>
          <w:szCs w:val="21"/>
        </w:rPr>
      </w:pPr>
      <w:r>
        <w:rPr>
          <w:rFonts w:hint="eastAsia" w:ascii="宋体" w:hAnsi="宋体"/>
          <w:szCs w:val="21"/>
        </w:rPr>
        <w:t>第二章  招标文件</w:t>
      </w:r>
    </w:p>
    <w:p w14:paraId="3FCF4BCC">
      <w:pPr>
        <w:ind w:left="630" w:leftChars="300" w:firstLine="411" w:firstLineChars="196"/>
        <w:rPr>
          <w:rFonts w:hint="eastAsia" w:ascii="宋体" w:hAnsi="宋体"/>
          <w:szCs w:val="21"/>
        </w:rPr>
      </w:pPr>
      <w:r>
        <w:rPr>
          <w:rFonts w:hint="eastAsia" w:ascii="宋体" w:hAnsi="宋体"/>
          <w:szCs w:val="21"/>
        </w:rPr>
        <w:t>第三章  投标文件的编制</w:t>
      </w:r>
    </w:p>
    <w:p w14:paraId="1FA03F4D">
      <w:pPr>
        <w:ind w:left="630" w:leftChars="300" w:firstLine="411" w:firstLineChars="196"/>
        <w:rPr>
          <w:rFonts w:hint="eastAsia" w:ascii="宋体" w:hAnsi="宋体"/>
          <w:szCs w:val="21"/>
        </w:rPr>
      </w:pPr>
      <w:r>
        <w:rPr>
          <w:rFonts w:hint="eastAsia" w:ascii="宋体" w:hAnsi="宋体"/>
          <w:szCs w:val="21"/>
        </w:rPr>
        <w:t>第四章  投标文件的递交</w:t>
      </w:r>
    </w:p>
    <w:p w14:paraId="352FA13F">
      <w:pPr>
        <w:ind w:left="630" w:leftChars="300" w:firstLine="411" w:firstLineChars="196"/>
        <w:rPr>
          <w:rFonts w:hint="eastAsia" w:ascii="宋体" w:hAnsi="宋体"/>
          <w:szCs w:val="21"/>
        </w:rPr>
      </w:pPr>
      <w:r>
        <w:rPr>
          <w:rFonts w:hint="eastAsia" w:ascii="宋体" w:hAnsi="宋体"/>
          <w:szCs w:val="21"/>
        </w:rPr>
        <w:t>第五章  开标</w:t>
      </w:r>
    </w:p>
    <w:p w14:paraId="4D2BDF26">
      <w:pPr>
        <w:ind w:left="630" w:leftChars="300" w:firstLine="411" w:firstLineChars="196"/>
        <w:rPr>
          <w:rFonts w:hint="eastAsia" w:ascii="宋体" w:hAnsi="宋体"/>
          <w:szCs w:val="21"/>
        </w:rPr>
      </w:pPr>
      <w:r>
        <w:rPr>
          <w:rFonts w:hint="eastAsia" w:ascii="宋体" w:hAnsi="宋体"/>
          <w:szCs w:val="21"/>
        </w:rPr>
        <w:t>第六章  评审要求</w:t>
      </w:r>
    </w:p>
    <w:p w14:paraId="7087A5B7">
      <w:pPr>
        <w:ind w:left="630" w:leftChars="300" w:firstLine="411" w:firstLineChars="196"/>
        <w:rPr>
          <w:rFonts w:hint="eastAsia" w:ascii="宋体" w:hAnsi="宋体"/>
          <w:szCs w:val="21"/>
        </w:rPr>
      </w:pPr>
      <w:r>
        <w:rPr>
          <w:rFonts w:hint="eastAsia" w:ascii="宋体" w:hAnsi="宋体"/>
          <w:szCs w:val="21"/>
        </w:rPr>
        <w:t>第七章  评审程序及评审方法</w:t>
      </w:r>
    </w:p>
    <w:p w14:paraId="3316358E">
      <w:pPr>
        <w:ind w:left="630" w:leftChars="300" w:firstLine="411" w:firstLineChars="196"/>
        <w:rPr>
          <w:rFonts w:hint="eastAsia" w:ascii="宋体" w:hAnsi="宋体"/>
          <w:szCs w:val="21"/>
        </w:rPr>
      </w:pPr>
      <w:r>
        <w:rPr>
          <w:rFonts w:hint="eastAsia" w:ascii="宋体" w:hAnsi="宋体"/>
          <w:szCs w:val="21"/>
        </w:rPr>
        <w:t>第八章  定标及公示</w:t>
      </w:r>
    </w:p>
    <w:p w14:paraId="4E3E9822">
      <w:pPr>
        <w:ind w:left="630" w:leftChars="300" w:firstLine="411" w:firstLineChars="196"/>
        <w:rPr>
          <w:rFonts w:hint="eastAsia" w:ascii="宋体" w:hAnsi="宋体"/>
          <w:szCs w:val="21"/>
        </w:rPr>
      </w:pPr>
      <w:r>
        <w:rPr>
          <w:rFonts w:hint="eastAsia" w:ascii="宋体" w:hAnsi="宋体"/>
          <w:szCs w:val="21"/>
        </w:rPr>
        <w:t>第九章  公开招标失败的后续处理</w:t>
      </w:r>
    </w:p>
    <w:p w14:paraId="1B8FEC2C">
      <w:pPr>
        <w:ind w:left="630" w:leftChars="300" w:firstLine="411" w:firstLineChars="196"/>
        <w:rPr>
          <w:rFonts w:hint="eastAsia" w:ascii="宋体" w:hAnsi="宋体"/>
          <w:szCs w:val="21"/>
        </w:rPr>
      </w:pPr>
      <w:r>
        <w:rPr>
          <w:rFonts w:hint="eastAsia" w:ascii="宋体" w:hAnsi="宋体"/>
          <w:szCs w:val="21"/>
        </w:rPr>
        <w:t>第十章  合同的授予与备案</w:t>
      </w:r>
    </w:p>
    <w:p w14:paraId="22C8E86A">
      <w:r>
        <w:rPr>
          <w:rFonts w:hint="eastAsia"/>
        </w:rPr>
        <w:t xml:space="preserve">          第十一章  质疑处理</w:t>
      </w:r>
    </w:p>
    <w:p w14:paraId="0C66AF04"/>
    <w:p w14:paraId="08722608"/>
    <w:p w14:paraId="164CE5B2">
      <w:pPr>
        <w:widowControl/>
        <w:jc w:val="left"/>
      </w:pPr>
      <w:r>
        <w:br w:type="page"/>
      </w:r>
    </w:p>
    <w:p w14:paraId="7B90DFAB">
      <w:pPr>
        <w:pStyle w:val="2"/>
        <w:spacing w:after="78"/>
        <w:jc w:val="center"/>
        <w:rPr>
          <w:sz w:val="32"/>
          <w:szCs w:val="32"/>
        </w:rPr>
      </w:pPr>
      <w:r>
        <w:rPr>
          <w:rFonts w:hint="eastAsia"/>
          <w:sz w:val="32"/>
          <w:szCs w:val="32"/>
        </w:rPr>
        <w:t>第一册  专用条款</w:t>
      </w:r>
    </w:p>
    <w:p w14:paraId="14BE4070">
      <w:pPr>
        <w:keepNext/>
        <w:keepLines/>
        <w:adjustRightInd w:val="0"/>
        <w:spacing w:before="260" w:after="260"/>
        <w:jc w:val="center"/>
        <w:textAlignment w:val="baseline"/>
        <w:outlineLvl w:val="1"/>
        <w:rPr>
          <w:rFonts w:hint="eastAsia" w:ascii="宋体" w:hAnsi="宋体" w:eastAsia="宋体" w:cs="Times New Roman"/>
          <w:b/>
          <w:bCs/>
          <w:kern w:val="0"/>
          <w:sz w:val="28"/>
          <w:szCs w:val="28"/>
        </w:rPr>
      </w:pPr>
      <w:r>
        <w:rPr>
          <w:rFonts w:hint="eastAsia" w:ascii="宋体" w:hAnsi="宋体" w:eastAsia="宋体" w:cs="Times New Roman"/>
          <w:b/>
          <w:bCs/>
          <w:kern w:val="0"/>
          <w:sz w:val="28"/>
          <w:szCs w:val="28"/>
        </w:rPr>
        <w:t>第一章  招标公告</w:t>
      </w:r>
    </w:p>
    <w:p w14:paraId="2C126A28">
      <w:pPr>
        <w:spacing w:line="360" w:lineRule="auto"/>
        <w:rPr>
          <w:rFonts w:hint="eastAsia" w:ascii="宋体" w:hAnsi="宋体" w:cs="宋体"/>
          <w:b/>
          <w:bCs/>
          <w:kern w:val="0"/>
          <w:szCs w:val="21"/>
        </w:rPr>
      </w:pPr>
      <w:r>
        <w:rPr>
          <w:rFonts w:hint="eastAsia" w:ascii="宋体" w:hAnsi="宋体" w:cs="宋体"/>
          <w:b/>
          <w:bCs/>
          <w:kern w:val="0"/>
          <w:szCs w:val="21"/>
        </w:rPr>
        <w:t>申请人的资格要求：</w:t>
      </w:r>
    </w:p>
    <w:p w14:paraId="2C9D9053">
      <w:pPr>
        <w:ind w:firstLine="630" w:firstLineChars="300"/>
        <w:rPr>
          <w:rFonts w:hint="eastAsia" w:ascii="宋体" w:hAnsi="宋体" w:eastAsia="宋体" w:cs="宋体"/>
          <w:kern w:val="0"/>
          <w:szCs w:val="21"/>
          <w:lang w:eastAsia="zh-CN"/>
        </w:rPr>
      </w:pPr>
      <w:bookmarkStart w:id="0" w:name="OLE_LINK2"/>
      <w:r>
        <w:rPr>
          <w:rFonts w:hint="eastAsia" w:ascii="宋体" w:hAnsi="宋体" w:cs="宋体"/>
          <w:kern w:val="0"/>
          <w:szCs w:val="21"/>
        </w:rPr>
        <w:t>1</w:t>
      </w:r>
      <w:r>
        <w:rPr>
          <w:rFonts w:ascii="宋体" w:hAnsi="宋体" w:cs="宋体"/>
          <w:kern w:val="0"/>
          <w:szCs w:val="21"/>
        </w:rPr>
        <w:t>.</w:t>
      </w:r>
      <w:r>
        <w:rPr>
          <w:rFonts w:hint="eastAsia" w:ascii="宋体" w:hAnsi="宋体" w:eastAsia="宋体" w:cs="宋体"/>
          <w:sz w:val="21"/>
          <w:szCs w:val="21"/>
          <w:highlight w:val="none"/>
          <w:lang w:eastAsia="zh-CN"/>
        </w:rPr>
        <w:t>具有独立承担民事责任的能力（提供营业执照或事业单位法人证书等证明资料扫描件，原件备查，分公司参与投标的，须提供分公司营业执照、其所属集团(或总公司)等具有独立法人资格的组织</w:t>
      </w:r>
      <w:r>
        <w:rPr>
          <w:rFonts w:hint="eastAsia" w:ascii="宋体" w:hAnsi="宋体" w:cs="宋体"/>
          <w:sz w:val="21"/>
          <w:szCs w:val="21"/>
          <w:highlight w:val="none"/>
          <w:lang w:eastAsia="zh-CN"/>
        </w:rPr>
        <w:t>的营业执照及其</w:t>
      </w:r>
      <w:r>
        <w:rPr>
          <w:rFonts w:hint="eastAsia" w:ascii="宋体" w:hAnsi="宋体" w:eastAsia="宋体" w:cs="宋体"/>
          <w:sz w:val="21"/>
          <w:szCs w:val="21"/>
          <w:highlight w:val="none"/>
          <w:lang w:eastAsia="zh-CN"/>
        </w:rPr>
        <w:t>出具的载明愿为其参与本项目投标的行为以及履约等行为承担民事责任的加盖总公司公章的授权函）</w:t>
      </w:r>
      <w:r>
        <w:rPr>
          <w:rFonts w:hint="eastAsia" w:ascii="宋体" w:hAnsi="宋体" w:cs="宋体"/>
          <w:sz w:val="21"/>
          <w:szCs w:val="21"/>
          <w:highlight w:val="none"/>
          <w:lang w:eastAsia="zh-CN"/>
        </w:rPr>
        <w:t>；</w:t>
      </w:r>
    </w:p>
    <w:p w14:paraId="6E8ECC8B">
      <w:pPr>
        <w:keepNext w:val="0"/>
        <w:keepLines w:val="0"/>
        <w:pageBreakBefore w:val="0"/>
        <w:widowControl w:val="0"/>
        <w:numPr>
          <w:ilvl w:val="0"/>
          <w:numId w:val="0"/>
        </w:numPr>
        <w:kinsoku/>
        <w:wordWrap/>
        <w:overflowPunct/>
        <w:topLinePunct w:val="0"/>
        <w:autoSpaceDE/>
        <w:autoSpaceDN/>
        <w:bidi w:val="0"/>
        <w:adjustRightInd/>
        <w:snapToGrid/>
        <w:ind w:firstLine="630" w:firstLineChars="300"/>
        <w:textAlignment w:val="auto"/>
        <w:rPr>
          <w:rFonts w:hint="default" w:ascii="宋体" w:hAnsi="宋体" w:eastAsia="宋体" w:cs="宋体"/>
          <w:sz w:val="21"/>
          <w:szCs w:val="21"/>
          <w:highlight w:val="none"/>
          <w:lang w:val="en-US" w:eastAsia="zh-CN"/>
        </w:rPr>
      </w:pPr>
      <w:r>
        <w:rPr>
          <w:rFonts w:hint="eastAsia" w:ascii="宋体" w:hAnsi="宋体" w:cs="宋体"/>
          <w:color w:val="FF0000"/>
          <w:kern w:val="0"/>
          <w:szCs w:val="21"/>
        </w:rPr>
        <w:t>2.</w:t>
      </w:r>
      <w:bookmarkStart w:id="1" w:name="OLE_LINK9"/>
      <w:r>
        <w:rPr>
          <w:rFonts w:hint="eastAsia" w:ascii="宋体" w:hAnsi="宋体" w:cs="宋体"/>
          <w:color w:val="FF0000"/>
          <w:kern w:val="0"/>
          <w:szCs w:val="21"/>
        </w:rPr>
        <w:t>本项</w:t>
      </w:r>
      <w:bookmarkStart w:id="2" w:name="OLE_LINK8"/>
      <w:r>
        <w:rPr>
          <w:rFonts w:hint="eastAsia" w:ascii="宋体" w:hAnsi="宋体" w:cs="宋体"/>
          <w:color w:val="FF0000"/>
          <w:kern w:val="0"/>
          <w:szCs w:val="21"/>
        </w:rPr>
        <w:t>目不接受联合体投标</w:t>
      </w:r>
      <w:bookmarkEnd w:id="2"/>
      <w:r>
        <w:rPr>
          <w:rFonts w:hint="eastAsia" w:ascii="宋体" w:hAnsi="宋体" w:cs="宋体"/>
          <w:color w:val="FF0000"/>
          <w:kern w:val="0"/>
          <w:szCs w:val="21"/>
          <w:lang w:val="en-US" w:eastAsia="zh-CN"/>
        </w:rPr>
        <w:t>，</w:t>
      </w:r>
      <w:bookmarkStart w:id="3" w:name="OLE_LINK7"/>
      <w:r>
        <w:rPr>
          <w:rFonts w:hint="eastAsia" w:ascii="宋体" w:hAnsi="宋体" w:cs="宋体"/>
          <w:color w:val="FF0000"/>
          <w:kern w:val="0"/>
          <w:szCs w:val="21"/>
        </w:rPr>
        <w:t>不接受投标人选用进口产品参与投标，详见招标文件</w:t>
      </w:r>
      <w:r>
        <w:rPr>
          <w:rFonts w:hint="eastAsia" w:ascii="宋体" w:hAnsi="宋体" w:cs="宋体"/>
          <w:color w:val="FF0000"/>
          <w:kern w:val="0"/>
          <w:szCs w:val="21"/>
          <w:lang w:eastAsia="zh-CN"/>
        </w:rPr>
        <w:t>“</w:t>
      </w:r>
      <w:r>
        <w:rPr>
          <w:rFonts w:hint="eastAsia" w:ascii="宋体" w:hAnsi="宋体" w:cs="宋体"/>
          <w:color w:val="FF0000"/>
          <w:kern w:val="0"/>
          <w:szCs w:val="21"/>
          <w:lang w:val="en-US" w:eastAsia="zh-CN"/>
        </w:rPr>
        <w:t>第三章 用户需求书</w:t>
      </w:r>
      <w:r>
        <w:rPr>
          <w:rFonts w:hint="eastAsia" w:ascii="宋体" w:hAnsi="宋体" w:cs="宋体"/>
          <w:color w:val="FF0000"/>
          <w:kern w:val="0"/>
          <w:szCs w:val="21"/>
        </w:rPr>
        <w:t>”</w:t>
      </w:r>
      <w:bookmarkEnd w:id="3"/>
      <w:r>
        <w:rPr>
          <w:rFonts w:hint="eastAsia" w:ascii="宋体" w:hAnsi="宋体" w:cs="宋体"/>
          <w:color w:val="FF0000"/>
          <w:kern w:val="0"/>
          <w:szCs w:val="21"/>
        </w:rPr>
        <w:t>；</w:t>
      </w:r>
      <w:bookmarkEnd w:id="1"/>
    </w:p>
    <w:p w14:paraId="5D171C7E">
      <w:pPr>
        <w:ind w:firstLine="630" w:firstLineChars="300"/>
        <w:rPr>
          <w:rFonts w:ascii="宋体" w:hAnsi="宋体" w:cs="宋体"/>
          <w:kern w:val="0"/>
          <w:szCs w:val="21"/>
        </w:rPr>
      </w:pPr>
      <w:r>
        <w:rPr>
          <w:rFonts w:hint="eastAsia" w:ascii="宋体" w:hAnsi="宋体" w:cs="宋体"/>
          <w:kern w:val="0"/>
          <w:szCs w:val="21"/>
        </w:rPr>
        <w:t>3</w:t>
      </w:r>
      <w:r>
        <w:rPr>
          <w:rFonts w:ascii="宋体" w:hAnsi="宋体" w:cs="宋体"/>
          <w:kern w:val="0"/>
          <w:szCs w:val="21"/>
        </w:rPr>
        <w:t>.</w:t>
      </w:r>
      <w:r>
        <w:rPr>
          <w:rFonts w:hint="eastAsia" w:ascii="宋体" w:hAnsi="宋体" w:cs="宋体"/>
          <w:kern w:val="0"/>
          <w:szCs w:val="21"/>
        </w:rPr>
        <w:t>参与本项目政府采购活动时不存在被有关部门禁止参与政府采购活动且在有效期内的情况（由供应商在《政府采购投标及履约承诺函》中作出声明）；</w:t>
      </w:r>
    </w:p>
    <w:p w14:paraId="0AD2C625">
      <w:pPr>
        <w:ind w:firstLine="630" w:firstLineChars="300"/>
        <w:rPr>
          <w:rFonts w:ascii="宋体" w:hAnsi="宋体" w:cs="宋体"/>
          <w:kern w:val="0"/>
          <w:szCs w:val="21"/>
        </w:rPr>
      </w:pPr>
      <w:r>
        <w:rPr>
          <w:rFonts w:hint="eastAsia" w:ascii="宋体" w:hAnsi="宋体" w:cs="宋体"/>
          <w:kern w:val="0"/>
          <w:szCs w:val="21"/>
          <w:lang w:val="en-US" w:eastAsia="zh-CN"/>
        </w:rPr>
        <w:t>4</w:t>
      </w:r>
      <w:r>
        <w:rPr>
          <w:rFonts w:ascii="宋体" w:hAnsi="宋体" w:cs="宋体"/>
          <w:kern w:val="0"/>
          <w:szCs w:val="21"/>
        </w:rPr>
        <w:t>.</w:t>
      </w:r>
      <w:r>
        <w:rPr>
          <w:rFonts w:hint="eastAsia" w:ascii="宋体" w:hAnsi="宋体" w:cs="宋体"/>
          <w:kern w:val="0"/>
          <w:szCs w:val="21"/>
        </w:rPr>
        <w:t>具备《中华人民共和国政府采购法》第二十二条第一款的条件（由供应商在《政府采购投标及履约承诺函》中作出声明）；</w:t>
      </w:r>
    </w:p>
    <w:p w14:paraId="242D5D70">
      <w:pPr>
        <w:ind w:firstLine="630" w:firstLineChars="300"/>
        <w:rPr>
          <w:rFonts w:hint="eastAsia" w:ascii="宋体" w:hAnsi="宋体" w:cs="宋体"/>
          <w:kern w:val="0"/>
          <w:szCs w:val="21"/>
          <w:lang w:val="en-US" w:eastAsia="zh-CN"/>
        </w:rPr>
      </w:pPr>
      <w:r>
        <w:rPr>
          <w:rFonts w:hint="eastAsia" w:ascii="宋体" w:hAnsi="宋体" w:cs="宋体"/>
          <w:kern w:val="0"/>
          <w:szCs w:val="21"/>
          <w:lang w:val="en-US" w:eastAsia="zh-CN"/>
        </w:rPr>
        <w:t>5</w:t>
      </w:r>
      <w:r>
        <w:rPr>
          <w:rFonts w:ascii="宋体" w:hAnsi="宋体" w:cs="宋体"/>
          <w:kern w:val="0"/>
          <w:szCs w:val="21"/>
        </w:rPr>
        <w:t>.</w:t>
      </w:r>
      <w:r>
        <w:rPr>
          <w:rFonts w:hint="eastAsia" w:ascii="宋体" w:hAnsi="宋体" w:cs="宋体"/>
          <w:kern w:val="0"/>
          <w:szCs w:val="21"/>
        </w:rPr>
        <w:t>未被列入失信被执行人、重大税收违法案件当事人名单、政府采购严重违法失信行为记录名单（由供应商在《政府采购投标及履约承诺函》中作出声明）</w:t>
      </w:r>
      <w:r>
        <w:rPr>
          <w:rFonts w:hint="eastAsia" w:ascii="宋体" w:hAnsi="宋体" w:cs="宋体"/>
          <w:kern w:val="0"/>
          <w:szCs w:val="21"/>
          <w:lang w:val="en-US" w:eastAsia="zh-CN"/>
        </w:rPr>
        <w:t>；</w:t>
      </w:r>
    </w:p>
    <w:p w14:paraId="11549729">
      <w:pPr>
        <w:ind w:firstLine="630" w:firstLineChars="300"/>
        <w:rPr>
          <w:rFonts w:hint="default" w:ascii="宋体" w:hAnsi="宋体" w:cs="宋体"/>
          <w:color w:val="FF0000"/>
          <w:kern w:val="0"/>
          <w:szCs w:val="21"/>
          <w:lang w:val="en-US" w:eastAsia="zh-CN"/>
        </w:rPr>
      </w:pPr>
      <w:r>
        <w:rPr>
          <w:rFonts w:hint="eastAsia" w:ascii="宋体" w:hAnsi="宋体" w:cs="宋体"/>
          <w:color w:val="FF0000"/>
          <w:kern w:val="0"/>
          <w:szCs w:val="21"/>
          <w:lang w:val="en-US" w:eastAsia="zh-CN"/>
        </w:rPr>
        <w:t>6.不存在《深圳市财政局政府采购供应商信用信息管理办法》（深财规〔2023〕3号）列明的严重违法失信行为</w:t>
      </w:r>
      <w:r>
        <w:rPr>
          <w:rFonts w:hint="eastAsia" w:ascii="宋体" w:hAnsi="宋体" w:cs="宋体"/>
          <w:color w:val="FF0000"/>
          <w:kern w:val="0"/>
          <w:szCs w:val="21"/>
        </w:rPr>
        <w:t>（由供应商在《政府采购投标及履约承诺函》中作出声明）</w:t>
      </w:r>
      <w:r>
        <w:rPr>
          <w:rFonts w:hint="eastAsia" w:ascii="宋体" w:hAnsi="宋体" w:cs="宋体"/>
          <w:color w:val="FF0000"/>
          <w:kern w:val="0"/>
          <w:szCs w:val="21"/>
          <w:lang w:eastAsia="zh-CN"/>
        </w:rPr>
        <w:t>；</w:t>
      </w:r>
      <w:r>
        <w:rPr>
          <w:rFonts w:hint="eastAsia" w:ascii="宋体" w:hAnsi="宋体" w:cs="宋体"/>
          <w:color w:val="FF0000"/>
          <w:kern w:val="0"/>
          <w:szCs w:val="21"/>
          <w:lang w:val="en-US" w:eastAsia="zh-CN"/>
        </w:rPr>
        <w:t>;</w:t>
      </w:r>
    </w:p>
    <w:p w14:paraId="0EFE5A9A">
      <w:pPr>
        <w:ind w:firstLine="630" w:firstLineChars="300"/>
        <w:rPr>
          <w:rFonts w:hint="eastAsia" w:ascii="宋体" w:hAnsi="宋体" w:eastAsia="宋体" w:cs="宋体"/>
          <w:kern w:val="0"/>
          <w:szCs w:val="21"/>
          <w:lang w:eastAsia="zh-CN"/>
        </w:rPr>
      </w:pPr>
      <w:r>
        <w:rPr>
          <w:rFonts w:hint="eastAsia" w:ascii="宋体" w:hAnsi="宋体" w:cs="宋体"/>
          <w:kern w:val="0"/>
          <w:szCs w:val="21"/>
          <w:lang w:val="en-US" w:eastAsia="zh-CN"/>
        </w:rPr>
        <w:t>7</w:t>
      </w:r>
      <w:r>
        <w:rPr>
          <w:rFonts w:hint="eastAsia" w:ascii="宋体" w:hAnsi="宋体" w:cs="宋体"/>
          <w:kern w:val="0"/>
          <w:szCs w:val="21"/>
        </w:rPr>
        <w:t>.为采购项目提供整体设计、规范编制或者项目管理、监理、检测等服务的供应商，不得再参加该采购项目的其他采购活动（由供应商在《政府采购投标及履约承诺函》中作出声明）</w:t>
      </w:r>
      <w:r>
        <w:rPr>
          <w:rFonts w:hint="eastAsia" w:ascii="宋体" w:hAnsi="宋体" w:cs="宋体"/>
          <w:kern w:val="0"/>
          <w:szCs w:val="21"/>
          <w:lang w:val="en-US" w:eastAsia="zh-CN"/>
        </w:rPr>
        <w:t>；</w:t>
      </w:r>
    </w:p>
    <w:p w14:paraId="104F91FC">
      <w:pPr>
        <w:ind w:firstLine="630" w:firstLineChars="300"/>
        <w:rPr>
          <w:rFonts w:hint="eastAsia" w:ascii="宋体" w:hAnsi="宋体" w:cs="宋体"/>
          <w:kern w:val="0"/>
          <w:szCs w:val="21"/>
          <w:highlight w:val="none"/>
        </w:rPr>
      </w:pPr>
      <w:r>
        <w:rPr>
          <w:rFonts w:hint="eastAsia" w:ascii="宋体" w:hAnsi="宋体" w:cs="宋体"/>
          <w:kern w:val="0"/>
          <w:szCs w:val="21"/>
          <w:highlight w:val="none"/>
        </w:rPr>
        <w:t>8.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p>
    <w:p w14:paraId="2A8A5299">
      <w:pPr>
        <w:ind w:firstLine="630" w:firstLineChars="300"/>
        <w:rPr>
          <w:rFonts w:hint="eastAsia" w:ascii="宋体" w:hAnsi="宋体" w:cs="宋体"/>
          <w:color w:val="auto"/>
          <w:kern w:val="0"/>
          <w:szCs w:val="21"/>
          <w:highlight w:val="yellow"/>
        </w:rPr>
      </w:pPr>
      <w:r>
        <w:rPr>
          <w:rFonts w:hint="eastAsia" w:ascii="宋体" w:hAnsi="宋体" w:cs="宋体"/>
          <w:color w:val="auto"/>
          <w:kern w:val="0"/>
          <w:szCs w:val="21"/>
          <w:highlight w:val="yellow"/>
          <w:lang w:val="en-US" w:eastAsia="zh-CN"/>
        </w:rPr>
        <w:t>9</w:t>
      </w:r>
      <w:r>
        <w:rPr>
          <w:rFonts w:hint="eastAsia" w:ascii="宋体" w:hAnsi="宋体" w:cs="宋体"/>
          <w:color w:val="auto"/>
          <w:kern w:val="0"/>
          <w:szCs w:val="21"/>
          <w:highlight w:val="yellow"/>
        </w:rPr>
        <w:t>.本项目是（否）专门面向中小企业采购：</w:t>
      </w:r>
      <w:r>
        <w:rPr>
          <w:rFonts w:hint="eastAsia" w:ascii="宋体" w:hAnsi="宋体" w:cs="宋体"/>
          <w:color w:val="auto"/>
          <w:kern w:val="0"/>
          <w:szCs w:val="21"/>
          <w:highlight w:val="yellow"/>
          <w:lang w:val="en-US" w:eastAsia="zh-CN"/>
        </w:rPr>
        <w:t>否</w:t>
      </w:r>
      <w:r>
        <w:rPr>
          <w:rFonts w:hint="eastAsia" w:ascii="宋体" w:hAnsi="宋体" w:cs="宋体"/>
          <w:kern w:val="0"/>
          <w:szCs w:val="21"/>
          <w:highlight w:val="yellow"/>
          <w:lang w:eastAsia="zh-CN"/>
        </w:rPr>
        <w:t>。</w:t>
      </w:r>
    </w:p>
    <w:bookmarkEnd w:id="0"/>
    <w:p w14:paraId="49A03709">
      <w:pPr>
        <w:wordWrap w:val="0"/>
        <w:ind w:firstLine="420" w:firstLineChars="200"/>
        <w:rPr>
          <w:rFonts w:hint="eastAsia" w:ascii="宋体" w:hAnsi="宋体" w:cs="宋体"/>
          <w:kern w:val="0"/>
          <w:szCs w:val="21"/>
        </w:rPr>
      </w:pPr>
      <w:r>
        <w:rPr>
          <w:rFonts w:hint="eastAsia" w:ascii="宋体" w:hAnsi="宋体" w:cs="宋体"/>
          <w:kern w:val="0"/>
          <w:szCs w:val="21"/>
        </w:rPr>
        <w:t>注：（1）“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w:t>
      </w:r>
    </w:p>
    <w:p w14:paraId="6D537F8F">
      <w:pPr>
        <w:ind w:firstLine="420" w:firstLineChars="200"/>
        <w:rPr>
          <w:rFonts w:hint="eastAsia" w:ascii="宋体" w:hAnsi="宋体"/>
        </w:rPr>
      </w:pPr>
      <w:r>
        <w:rPr>
          <w:rFonts w:hint="eastAsia" w:ascii="宋体" w:hAnsi="宋体"/>
        </w:rPr>
        <w:t>（2）供应商投标（上传投标文件）必须先行办理注册手续，具体请按照本公告“六、其他补充事宜</w:t>
      </w:r>
      <w:r>
        <w:rPr>
          <w:rFonts w:ascii="宋体" w:hAnsi="宋体"/>
        </w:rPr>
        <w:t>”</w:t>
      </w:r>
      <w:r>
        <w:rPr>
          <w:rFonts w:hint="eastAsia" w:ascii="宋体" w:hAnsi="宋体"/>
        </w:rPr>
        <w:t>相关内容指引办理。</w:t>
      </w:r>
    </w:p>
    <w:p w14:paraId="4AF849BD">
      <w:pPr>
        <w:snapToGrid w:val="0"/>
        <w:spacing w:line="300" w:lineRule="auto"/>
        <w:ind w:firstLine="480" w:firstLineChars="200"/>
        <w:rPr>
          <w:rFonts w:ascii="Arial" w:hAnsi="Arial" w:eastAsia="宋体" w:cs="Times New Roman"/>
          <w:sz w:val="24"/>
          <w:szCs w:val="24"/>
        </w:rPr>
      </w:pPr>
    </w:p>
    <w:p w14:paraId="45A01FCD">
      <w:pPr>
        <w:spacing w:after="78" w:afterLines="25"/>
        <w:jc w:val="center"/>
        <w:rPr>
          <w:b/>
          <w:color w:val="FF0000"/>
          <w:sz w:val="30"/>
          <w:szCs w:val="30"/>
        </w:rPr>
      </w:pPr>
      <w:r>
        <w:rPr>
          <w:rFonts w:hint="eastAsia" w:ascii="Arial" w:hAnsi="Arial" w:eastAsia="宋体" w:cs="Times New Roman"/>
          <w:b/>
          <w:color w:val="FF0000"/>
          <w:sz w:val="30"/>
          <w:szCs w:val="30"/>
        </w:rPr>
        <w:t>完整公告内容以网站公布信息为准，详见：深圳政府采购自行采购系统</w:t>
      </w:r>
      <w:r>
        <w:rPr>
          <w:rFonts w:hint="eastAsia"/>
          <w:b/>
          <w:color w:val="FF0000"/>
          <w:sz w:val="30"/>
          <w:szCs w:val="30"/>
        </w:rPr>
        <w:t>网（https://zxcg.szggzy.com/home/index.html）</w:t>
      </w:r>
    </w:p>
    <w:p w14:paraId="5D00556A">
      <w:pPr>
        <w:spacing w:after="78" w:afterLines="25"/>
        <w:rPr>
          <w:rFonts w:ascii="Arial" w:hAnsi="Arial" w:eastAsia="宋体" w:cs="Times New Roman"/>
          <w:b/>
          <w:color w:val="FF0000"/>
          <w:sz w:val="30"/>
          <w:szCs w:val="30"/>
        </w:rPr>
      </w:pPr>
    </w:p>
    <w:p w14:paraId="4D86044D">
      <w:pPr>
        <w:keepNext/>
        <w:keepLines/>
        <w:spacing w:before="260" w:after="260" w:line="416" w:lineRule="auto"/>
        <w:jc w:val="center"/>
        <w:outlineLvl w:val="1"/>
        <w:rPr>
          <w:rFonts w:hint="eastAsia" w:ascii="宋体" w:hAnsi="宋体" w:eastAsia="宋体" w:cs="Times New Roman"/>
          <w:b/>
          <w:bCs/>
          <w:kern w:val="0"/>
          <w:sz w:val="28"/>
          <w:szCs w:val="28"/>
        </w:rPr>
      </w:pPr>
      <w:r>
        <w:rPr>
          <w:rFonts w:hint="eastAsia" w:ascii="宋体" w:hAnsi="宋体" w:eastAsia="宋体" w:cs="Times New Roman"/>
          <w:b/>
          <w:bCs/>
          <w:kern w:val="0"/>
          <w:sz w:val="28"/>
          <w:szCs w:val="28"/>
        </w:rPr>
        <w:t xml:space="preserve">第二章 </w:t>
      </w:r>
      <w:bookmarkStart w:id="4" w:name="_Hlk71926094"/>
      <w:r>
        <w:rPr>
          <w:rFonts w:hint="eastAsia" w:ascii="宋体" w:hAnsi="宋体" w:eastAsia="宋体" w:cs="Times New Roman"/>
          <w:b/>
          <w:bCs/>
          <w:kern w:val="0"/>
          <w:sz w:val="28"/>
          <w:szCs w:val="28"/>
        </w:rPr>
        <w:t>对通用条款的补充内容及其他关键信息</w:t>
      </w:r>
      <w:bookmarkEnd w:id="4"/>
    </w:p>
    <w:p w14:paraId="454FD0B3">
      <w:pPr>
        <w:keepNext/>
        <w:keepLines/>
        <w:adjustRightInd w:val="0"/>
        <w:spacing w:before="156" w:beforeLines="50" w:after="156" w:afterLines="50"/>
        <w:jc w:val="center"/>
        <w:textAlignment w:val="baseline"/>
        <w:outlineLvl w:val="2"/>
        <w:rPr>
          <w:rFonts w:hint="eastAsia" w:ascii="宋体" w:hAnsi="宋体" w:eastAsia="宋体" w:cs="Times New Roman"/>
          <w:b/>
          <w:bCs/>
          <w:kern w:val="0"/>
          <w:sz w:val="24"/>
          <w:szCs w:val="24"/>
        </w:rPr>
      </w:pPr>
      <w:bookmarkStart w:id="5" w:name="_Toc60560625"/>
      <w:bookmarkStart w:id="6" w:name="_Toc73521635"/>
      <w:bookmarkStart w:id="7" w:name="_Toc73517639"/>
      <w:bookmarkStart w:id="8" w:name="_Toc73518117"/>
      <w:bookmarkStart w:id="9" w:name="_Toc73521547"/>
      <w:bookmarkStart w:id="10" w:name="_Toc101074876"/>
      <w:bookmarkStart w:id="11" w:name="_Toc60631620"/>
      <w:bookmarkStart w:id="12" w:name="_Toc100052364"/>
      <w:r>
        <w:rPr>
          <w:rFonts w:hint="eastAsia" w:ascii="宋体" w:hAnsi="宋体" w:eastAsia="宋体" w:cs="Times New Roman"/>
          <w:b/>
          <w:bCs/>
          <w:kern w:val="0"/>
          <w:sz w:val="24"/>
          <w:szCs w:val="24"/>
        </w:rPr>
        <w:t>一、对通用条款的补充内容</w:t>
      </w:r>
    </w:p>
    <w:tbl>
      <w:tblPr>
        <w:tblStyle w:val="17"/>
        <w:tblW w:w="9528"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978"/>
        <w:gridCol w:w="1755"/>
        <w:gridCol w:w="6795"/>
      </w:tblGrid>
      <w:tr w14:paraId="0AE6C74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48941E30">
            <w:pPr>
              <w:jc w:val="center"/>
              <w:rPr>
                <w:rFonts w:hint="eastAsia" w:ascii="宋体" w:hAnsi="宋体"/>
                <w:b/>
                <w:bCs/>
              </w:rPr>
            </w:pPr>
            <w:r>
              <w:rPr>
                <w:rFonts w:hint="eastAsia" w:ascii="宋体" w:hAnsi="宋体"/>
                <w:b/>
                <w:bCs/>
              </w:rPr>
              <w:t>通用条款序号</w:t>
            </w:r>
          </w:p>
        </w:tc>
        <w:tc>
          <w:tcPr>
            <w:tcW w:w="1755" w:type="dxa"/>
            <w:vAlign w:val="center"/>
          </w:tcPr>
          <w:p w14:paraId="1FAB2430">
            <w:pPr>
              <w:jc w:val="center"/>
              <w:rPr>
                <w:rFonts w:hint="eastAsia" w:ascii="宋体" w:hAnsi="宋体"/>
                <w:b/>
                <w:bCs/>
              </w:rPr>
            </w:pPr>
            <w:r>
              <w:rPr>
                <w:rFonts w:hint="eastAsia" w:ascii="宋体" w:hAnsi="宋体"/>
                <w:b/>
                <w:bCs/>
              </w:rPr>
              <w:t>涉及事项</w:t>
            </w:r>
          </w:p>
        </w:tc>
        <w:tc>
          <w:tcPr>
            <w:tcW w:w="6795" w:type="dxa"/>
            <w:vAlign w:val="center"/>
          </w:tcPr>
          <w:p w14:paraId="0E7E9684">
            <w:pPr>
              <w:jc w:val="center"/>
              <w:rPr>
                <w:rFonts w:hint="eastAsia" w:ascii="宋体" w:hAnsi="宋体"/>
                <w:b/>
                <w:bCs/>
              </w:rPr>
            </w:pPr>
            <w:r>
              <w:rPr>
                <w:rFonts w:hint="eastAsia" w:ascii="宋体" w:hAnsi="宋体"/>
                <w:b/>
                <w:bCs/>
              </w:rPr>
              <w:t xml:space="preserve">具 </w:t>
            </w:r>
            <w:r>
              <w:rPr>
                <w:rFonts w:ascii="宋体" w:hAnsi="宋体"/>
                <w:b/>
                <w:bCs/>
              </w:rPr>
              <w:t xml:space="preserve"> </w:t>
            </w:r>
            <w:r>
              <w:rPr>
                <w:rFonts w:hint="eastAsia" w:ascii="宋体" w:hAnsi="宋体"/>
                <w:b/>
                <w:bCs/>
              </w:rPr>
              <w:t xml:space="preserve">体 </w:t>
            </w:r>
            <w:r>
              <w:rPr>
                <w:rFonts w:ascii="宋体" w:hAnsi="宋体"/>
                <w:b/>
                <w:bCs/>
              </w:rPr>
              <w:t xml:space="preserve"> </w:t>
            </w:r>
            <w:r>
              <w:rPr>
                <w:rFonts w:hint="eastAsia" w:ascii="宋体" w:hAnsi="宋体"/>
                <w:b/>
                <w:bCs/>
              </w:rPr>
              <w:t xml:space="preserve">补 </w:t>
            </w:r>
            <w:r>
              <w:rPr>
                <w:rFonts w:ascii="宋体" w:hAnsi="宋体"/>
                <w:b/>
                <w:bCs/>
              </w:rPr>
              <w:t xml:space="preserve"> </w:t>
            </w:r>
            <w:r>
              <w:rPr>
                <w:rFonts w:hint="eastAsia" w:ascii="宋体" w:hAnsi="宋体"/>
                <w:b/>
                <w:bCs/>
              </w:rPr>
              <w:t xml:space="preserve">充 </w:t>
            </w:r>
            <w:r>
              <w:rPr>
                <w:rFonts w:ascii="宋体" w:hAnsi="宋体"/>
                <w:b/>
                <w:bCs/>
              </w:rPr>
              <w:t xml:space="preserve"> </w:t>
            </w:r>
            <w:r>
              <w:rPr>
                <w:rFonts w:hint="eastAsia" w:ascii="宋体" w:hAnsi="宋体"/>
                <w:b/>
                <w:bCs/>
              </w:rPr>
              <w:t xml:space="preserve">内 </w:t>
            </w:r>
            <w:r>
              <w:rPr>
                <w:rFonts w:ascii="宋体" w:hAnsi="宋体"/>
                <w:b/>
                <w:bCs/>
              </w:rPr>
              <w:t xml:space="preserve"> </w:t>
            </w:r>
            <w:r>
              <w:rPr>
                <w:rFonts w:hint="eastAsia" w:ascii="宋体" w:hAnsi="宋体"/>
                <w:b/>
                <w:bCs/>
              </w:rPr>
              <w:t>容</w:t>
            </w:r>
          </w:p>
        </w:tc>
      </w:tr>
      <w:tr w14:paraId="0B7D212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00D3E8AC">
            <w:pPr>
              <w:jc w:val="center"/>
              <w:rPr>
                <w:rFonts w:hint="eastAsia" w:ascii="宋体" w:hAnsi="宋体"/>
              </w:rPr>
            </w:pPr>
            <w:r>
              <w:rPr>
                <w:rFonts w:hint="eastAsia" w:ascii="宋体" w:hAnsi="宋体"/>
              </w:rPr>
              <w:t>3</w:t>
            </w:r>
            <w:r>
              <w:rPr>
                <w:rFonts w:ascii="宋体" w:hAnsi="宋体"/>
              </w:rPr>
              <w:t>.1</w:t>
            </w:r>
          </w:p>
        </w:tc>
        <w:tc>
          <w:tcPr>
            <w:tcW w:w="1755" w:type="dxa"/>
            <w:vAlign w:val="center"/>
          </w:tcPr>
          <w:p w14:paraId="71CDC965">
            <w:pPr>
              <w:jc w:val="center"/>
            </w:pPr>
            <w:r>
              <w:rPr>
                <w:rFonts w:hint="eastAsia"/>
              </w:rPr>
              <w:t>采购人</w:t>
            </w:r>
          </w:p>
        </w:tc>
        <w:tc>
          <w:tcPr>
            <w:tcW w:w="6795" w:type="dxa"/>
            <w:vAlign w:val="center"/>
          </w:tcPr>
          <w:p w14:paraId="38256DBA">
            <w:pPr>
              <w:jc w:val="left"/>
              <w:rPr>
                <w:rFonts w:hint="eastAsia" w:ascii="宋体" w:hAnsi="宋体"/>
              </w:rPr>
            </w:pPr>
            <w:r>
              <w:rPr>
                <w:rFonts w:hint="eastAsia" w:ascii="宋体" w:hAnsi="宋体" w:cs="宋体"/>
                <w:kern w:val="0"/>
                <w:sz w:val="20"/>
                <w:szCs w:val="20"/>
                <w:lang w:val="en-US" w:eastAsia="zh-CN"/>
              </w:rPr>
              <w:t>深圳市</w:t>
            </w:r>
            <w:r>
              <w:rPr>
                <w:rFonts w:hint="eastAsia" w:ascii="宋体" w:hAnsi="宋体" w:cs="宋体"/>
                <w:kern w:val="0"/>
                <w:sz w:val="20"/>
                <w:szCs w:val="20"/>
                <w:lang w:eastAsia="zh-CN"/>
              </w:rPr>
              <w:t>龙华区</w:t>
            </w:r>
            <w:r>
              <w:rPr>
                <w:rFonts w:hint="eastAsia" w:ascii="宋体" w:hAnsi="宋体" w:cs="宋体"/>
                <w:kern w:val="0"/>
                <w:sz w:val="20"/>
                <w:szCs w:val="20"/>
                <w:lang w:val="en-US" w:eastAsia="zh-CN"/>
              </w:rPr>
              <w:t>观澜幼教集团</w:t>
            </w:r>
            <w:r>
              <w:rPr>
                <w:rFonts w:hint="eastAsia" w:ascii="宋体" w:hAnsi="宋体" w:cs="宋体"/>
                <w:kern w:val="0"/>
                <w:sz w:val="20"/>
                <w:szCs w:val="20"/>
                <w:lang w:eastAsia="zh-CN"/>
              </w:rPr>
              <w:t>观禧</w:t>
            </w:r>
            <w:r>
              <w:rPr>
                <w:rFonts w:hint="eastAsia" w:ascii="宋体" w:hAnsi="宋体" w:cs="宋体"/>
                <w:kern w:val="0"/>
                <w:sz w:val="20"/>
                <w:szCs w:val="20"/>
              </w:rPr>
              <w:t>幼儿园</w:t>
            </w:r>
          </w:p>
        </w:tc>
      </w:tr>
      <w:tr w14:paraId="3465DA6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3646797A">
            <w:pPr>
              <w:jc w:val="center"/>
              <w:rPr>
                <w:rFonts w:hint="eastAsia" w:ascii="宋体" w:hAnsi="宋体"/>
              </w:rPr>
            </w:pPr>
            <w:r>
              <w:rPr>
                <w:rFonts w:hint="eastAsia" w:ascii="宋体" w:hAnsi="宋体"/>
              </w:rPr>
              <w:t>3</w:t>
            </w:r>
            <w:r>
              <w:rPr>
                <w:rFonts w:ascii="宋体" w:hAnsi="宋体"/>
              </w:rPr>
              <w:t>.2</w:t>
            </w:r>
          </w:p>
        </w:tc>
        <w:tc>
          <w:tcPr>
            <w:tcW w:w="1755" w:type="dxa"/>
            <w:vAlign w:val="center"/>
          </w:tcPr>
          <w:p w14:paraId="2011784E">
            <w:pPr>
              <w:jc w:val="center"/>
              <w:rPr>
                <w:rFonts w:hint="eastAsia" w:ascii="宋体" w:hAnsi="宋体"/>
              </w:rPr>
            </w:pPr>
            <w:r>
              <w:rPr>
                <w:rFonts w:hint="eastAsia" w:ascii="宋体" w:hAnsi="宋体"/>
              </w:rPr>
              <w:t>政府集中采购机构</w:t>
            </w:r>
          </w:p>
        </w:tc>
        <w:tc>
          <w:tcPr>
            <w:tcW w:w="6795" w:type="dxa"/>
            <w:vAlign w:val="center"/>
          </w:tcPr>
          <w:p w14:paraId="51F01405">
            <w:pPr>
              <w:jc w:val="left"/>
              <w:rPr>
                <w:rFonts w:hint="eastAsia" w:ascii="宋体" w:hAnsi="宋体"/>
              </w:rPr>
            </w:pPr>
            <w:r>
              <w:rPr>
                <w:rFonts w:hint="eastAsia" w:ascii="宋体" w:hAnsi="宋体" w:eastAsia="宋体" w:cs="Arial"/>
                <w:szCs w:val="21"/>
              </w:rPr>
              <w:t>本文件所述的“政府集中采购机构”</w:t>
            </w:r>
            <w:r>
              <w:rPr>
                <w:rFonts w:ascii="宋体" w:hAnsi="宋体" w:eastAsia="宋体" w:cs="Arial"/>
                <w:szCs w:val="21"/>
              </w:rPr>
              <w:t>指</w:t>
            </w:r>
            <w:r>
              <w:rPr>
                <w:rFonts w:hint="eastAsia" w:ascii="宋体" w:hAnsi="宋体" w:eastAsia="宋体" w:cs="Arial"/>
                <w:b/>
                <w:bCs/>
                <w:szCs w:val="21"/>
              </w:rPr>
              <w:t>深圳公共资源交易中心</w:t>
            </w:r>
            <w:r>
              <w:rPr>
                <w:rFonts w:hint="eastAsia" w:ascii="Arial" w:hAnsi="Arial" w:eastAsia="宋体" w:cs="Times New Roman"/>
                <w:szCs w:val="24"/>
              </w:rPr>
              <w:t>。本项目具体由深圳公共资源交易中心（深圳交易集团有限公司龙华分公司）执行</w:t>
            </w:r>
            <w:r>
              <w:rPr>
                <w:rFonts w:hint="eastAsia" w:ascii="Arial" w:hAnsi="Arial" w:eastAsia="宋体" w:cs="Times New Roman"/>
                <w:bCs/>
                <w:szCs w:val="24"/>
              </w:rPr>
              <w:t>。</w:t>
            </w:r>
          </w:p>
        </w:tc>
      </w:tr>
      <w:tr w14:paraId="53F4EFE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00ED3F01">
            <w:pPr>
              <w:jc w:val="center"/>
              <w:rPr>
                <w:rFonts w:hint="eastAsia" w:ascii="宋体" w:hAnsi="宋体"/>
              </w:rPr>
            </w:pPr>
            <w:r>
              <w:rPr>
                <w:rFonts w:hint="eastAsia" w:ascii="宋体" w:hAnsi="宋体"/>
              </w:rPr>
              <w:t>9</w:t>
            </w:r>
          </w:p>
        </w:tc>
        <w:tc>
          <w:tcPr>
            <w:tcW w:w="1755" w:type="dxa"/>
            <w:vAlign w:val="center"/>
          </w:tcPr>
          <w:p w14:paraId="0C2BECBC">
            <w:pPr>
              <w:jc w:val="center"/>
              <w:rPr>
                <w:rFonts w:hint="eastAsia" w:ascii="宋体" w:hAnsi="宋体"/>
                <w:b/>
                <w:bCs/>
                <w:highlight w:val="none"/>
              </w:rPr>
            </w:pPr>
            <w:r>
              <w:rPr>
                <w:rFonts w:hint="eastAsia" w:ascii="宋体" w:hAnsi="宋体"/>
                <w:highlight w:val="none"/>
              </w:rPr>
              <w:t>踏勘现场</w:t>
            </w:r>
          </w:p>
        </w:tc>
        <w:tc>
          <w:tcPr>
            <w:tcW w:w="6795" w:type="dxa"/>
            <w:vAlign w:val="center"/>
          </w:tcPr>
          <w:p w14:paraId="31B4455F">
            <w:pPr>
              <w:jc w:val="left"/>
              <w:rPr>
                <w:rFonts w:hint="eastAsia" w:ascii="Arial" w:hAnsi="Arial" w:cs="Times New Roman" w:eastAsiaTheme="minorEastAsia"/>
                <w:szCs w:val="24"/>
                <w:highlight w:val="none"/>
                <w:lang w:eastAsia="zh-CN"/>
              </w:rPr>
            </w:pPr>
            <w:r>
              <w:rPr>
                <w:rFonts w:hint="eastAsia" w:ascii="Arial" w:hAnsi="Arial" w:eastAsia="宋体" w:cs="Times New Roman"/>
                <w:szCs w:val="24"/>
                <w:highlight w:val="none"/>
                <w:lang w:eastAsia="zh-CN"/>
              </w:rPr>
              <w:t>不</w:t>
            </w:r>
            <w:r>
              <w:rPr>
                <w:rFonts w:hint="eastAsia" w:ascii="Arial" w:hAnsi="Arial" w:eastAsia="宋体" w:cs="Times New Roman"/>
                <w:szCs w:val="24"/>
                <w:highlight w:val="none"/>
              </w:rPr>
              <w:t>组织</w:t>
            </w:r>
          </w:p>
        </w:tc>
      </w:tr>
      <w:tr w14:paraId="1FFEB5D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5D74E36A">
            <w:pPr>
              <w:jc w:val="center"/>
              <w:rPr>
                <w:rFonts w:hint="eastAsia" w:ascii="宋体" w:hAnsi="宋体"/>
              </w:rPr>
            </w:pPr>
            <w:r>
              <w:rPr>
                <w:rFonts w:hint="eastAsia" w:ascii="宋体" w:hAnsi="宋体"/>
              </w:rPr>
              <w:t>1</w:t>
            </w:r>
            <w:r>
              <w:rPr>
                <w:rFonts w:ascii="宋体" w:hAnsi="宋体"/>
              </w:rPr>
              <w:t>0</w:t>
            </w:r>
          </w:p>
        </w:tc>
        <w:tc>
          <w:tcPr>
            <w:tcW w:w="1755" w:type="dxa"/>
            <w:vAlign w:val="center"/>
          </w:tcPr>
          <w:p w14:paraId="5622AE48">
            <w:pPr>
              <w:jc w:val="center"/>
              <w:rPr>
                <w:rFonts w:hint="eastAsia" w:ascii="宋体" w:hAnsi="宋体"/>
              </w:rPr>
            </w:pPr>
            <w:r>
              <w:rPr>
                <w:rFonts w:hint="eastAsia" w:ascii="宋体" w:hAnsi="宋体"/>
              </w:rPr>
              <w:t>标前会议</w:t>
            </w:r>
          </w:p>
        </w:tc>
        <w:tc>
          <w:tcPr>
            <w:tcW w:w="6795" w:type="dxa"/>
            <w:vAlign w:val="center"/>
          </w:tcPr>
          <w:p w14:paraId="6D17899F">
            <w:pPr>
              <w:jc w:val="left"/>
              <w:rPr>
                <w:rFonts w:hint="eastAsia" w:ascii="Arial" w:hAnsi="Arial" w:eastAsia="宋体" w:cs="Times New Roman"/>
                <w:szCs w:val="24"/>
                <w:highlight w:val="none"/>
              </w:rPr>
            </w:pPr>
            <w:r>
              <w:rPr>
                <w:rFonts w:hint="eastAsia" w:ascii="Arial" w:hAnsi="Arial" w:eastAsia="宋体" w:cs="Times New Roman"/>
                <w:szCs w:val="24"/>
                <w:highlight w:val="none"/>
                <w:lang w:eastAsia="zh-CN"/>
              </w:rPr>
              <w:t>不</w:t>
            </w:r>
            <w:r>
              <w:rPr>
                <w:rFonts w:hint="eastAsia" w:ascii="Arial" w:hAnsi="Arial" w:eastAsia="宋体" w:cs="Times New Roman"/>
                <w:szCs w:val="24"/>
                <w:highlight w:val="none"/>
              </w:rPr>
              <w:t>组织</w:t>
            </w:r>
          </w:p>
        </w:tc>
      </w:tr>
      <w:tr w14:paraId="40504E0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1E67354D">
            <w:pPr>
              <w:jc w:val="center"/>
              <w:rPr>
                <w:rFonts w:hint="eastAsia" w:ascii="宋体" w:hAnsi="宋体"/>
              </w:rPr>
            </w:pPr>
            <w:r>
              <w:rPr>
                <w:rFonts w:hint="eastAsia" w:ascii="宋体" w:hAnsi="宋体"/>
              </w:rPr>
              <w:t>1</w:t>
            </w:r>
            <w:r>
              <w:rPr>
                <w:rFonts w:ascii="宋体" w:hAnsi="宋体"/>
              </w:rPr>
              <w:t>2</w:t>
            </w:r>
            <w:r>
              <w:rPr>
                <w:rFonts w:hint="eastAsia" w:ascii="宋体" w:hAnsi="宋体"/>
              </w:rPr>
              <w:t>/1</w:t>
            </w:r>
            <w:r>
              <w:rPr>
                <w:rFonts w:ascii="宋体" w:hAnsi="宋体"/>
              </w:rPr>
              <w:t>3</w:t>
            </w:r>
          </w:p>
        </w:tc>
        <w:tc>
          <w:tcPr>
            <w:tcW w:w="1755" w:type="dxa"/>
            <w:vAlign w:val="center"/>
          </w:tcPr>
          <w:p w14:paraId="75D7A288">
            <w:pPr>
              <w:jc w:val="center"/>
              <w:rPr>
                <w:rFonts w:hint="eastAsia" w:ascii="宋体" w:hAnsi="宋体"/>
              </w:rPr>
            </w:pPr>
            <w:r>
              <w:rPr>
                <w:rFonts w:hint="eastAsia" w:ascii="宋体" w:hAnsi="宋体"/>
              </w:rPr>
              <w:t>招标文件的澄清和修改</w:t>
            </w:r>
          </w:p>
        </w:tc>
        <w:tc>
          <w:tcPr>
            <w:tcW w:w="6795" w:type="dxa"/>
            <w:vAlign w:val="center"/>
          </w:tcPr>
          <w:p w14:paraId="0953BBC6">
            <w:pPr>
              <w:jc w:val="left"/>
              <w:rPr>
                <w:rFonts w:hint="eastAsia" w:ascii="宋体" w:hAnsi="宋体"/>
              </w:rPr>
            </w:pPr>
            <w:r>
              <w:rPr>
                <w:rFonts w:hint="eastAsia" w:ascii="宋体" w:hAnsi="宋体"/>
              </w:rPr>
              <w:t>不晚于投标截止日三日前，投标人有义务在招标期间在政府集中采购机构网站浏览与本项目有关的澄清和修改信息。</w:t>
            </w:r>
          </w:p>
        </w:tc>
      </w:tr>
      <w:tr w14:paraId="0B64A37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39976F97">
            <w:pPr>
              <w:jc w:val="center"/>
              <w:rPr>
                <w:rFonts w:hint="eastAsia" w:ascii="宋体" w:hAnsi="宋体"/>
              </w:rPr>
            </w:pPr>
            <w:r>
              <w:rPr>
                <w:rFonts w:hint="eastAsia" w:ascii="宋体" w:hAnsi="宋体"/>
              </w:rPr>
              <w:t>2</w:t>
            </w:r>
            <w:r>
              <w:rPr>
                <w:rFonts w:ascii="宋体" w:hAnsi="宋体"/>
              </w:rPr>
              <w:t>0</w:t>
            </w:r>
          </w:p>
        </w:tc>
        <w:tc>
          <w:tcPr>
            <w:tcW w:w="1755" w:type="dxa"/>
            <w:vAlign w:val="center"/>
          </w:tcPr>
          <w:p w14:paraId="55FE9A23">
            <w:pPr>
              <w:jc w:val="center"/>
              <w:rPr>
                <w:rFonts w:hint="eastAsia" w:ascii="宋体" w:hAnsi="宋体"/>
              </w:rPr>
            </w:pPr>
            <w:r>
              <w:rPr>
                <w:rFonts w:hint="eastAsia" w:ascii="宋体" w:hAnsi="宋体"/>
              </w:rPr>
              <w:t>投标有效期</w:t>
            </w:r>
          </w:p>
        </w:tc>
        <w:tc>
          <w:tcPr>
            <w:tcW w:w="6795" w:type="dxa"/>
            <w:vAlign w:val="center"/>
          </w:tcPr>
          <w:p w14:paraId="59CF81DC">
            <w:pPr>
              <w:jc w:val="left"/>
              <w:rPr>
                <w:rFonts w:hint="eastAsia" w:ascii="宋体" w:hAnsi="宋体"/>
              </w:rPr>
            </w:pPr>
            <w:r>
              <w:rPr>
                <w:rFonts w:hint="eastAsia" w:ascii="宋体" w:hAnsi="宋体"/>
              </w:rPr>
              <w:t>120日历天（从投标截止之日算起）</w:t>
            </w:r>
          </w:p>
        </w:tc>
      </w:tr>
      <w:tr w14:paraId="6A8385B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6152BB02">
            <w:pPr>
              <w:jc w:val="center"/>
              <w:rPr>
                <w:rFonts w:hint="eastAsia" w:ascii="宋体" w:hAnsi="宋体"/>
              </w:rPr>
            </w:pPr>
            <w:r>
              <w:rPr>
                <w:rFonts w:hint="eastAsia" w:ascii="宋体" w:hAnsi="宋体"/>
              </w:rPr>
              <w:t>2</w:t>
            </w:r>
            <w:r>
              <w:rPr>
                <w:rFonts w:ascii="宋体" w:hAnsi="宋体"/>
              </w:rPr>
              <w:t>2</w:t>
            </w:r>
          </w:p>
        </w:tc>
        <w:tc>
          <w:tcPr>
            <w:tcW w:w="1755" w:type="dxa"/>
            <w:vAlign w:val="center"/>
          </w:tcPr>
          <w:p w14:paraId="7379D103">
            <w:pPr>
              <w:jc w:val="center"/>
              <w:rPr>
                <w:rFonts w:hint="eastAsia" w:ascii="宋体" w:hAnsi="宋体"/>
              </w:rPr>
            </w:pPr>
            <w:r>
              <w:rPr>
                <w:rFonts w:hint="eastAsia" w:ascii="宋体" w:hAnsi="宋体"/>
              </w:rPr>
              <w:t>投标人的替代方案</w:t>
            </w:r>
          </w:p>
        </w:tc>
        <w:tc>
          <w:tcPr>
            <w:tcW w:w="6795" w:type="dxa"/>
            <w:vAlign w:val="center"/>
          </w:tcPr>
          <w:p w14:paraId="29D388D7">
            <w:pPr>
              <w:jc w:val="left"/>
              <w:rPr>
                <w:rFonts w:hint="eastAsia" w:ascii="宋体" w:hAnsi="宋体"/>
              </w:rPr>
            </w:pPr>
            <w:r>
              <w:rPr>
                <w:rFonts w:hint="eastAsia" w:ascii="宋体" w:hAnsi="宋体"/>
              </w:rPr>
              <w:t>不接受</w:t>
            </w:r>
          </w:p>
        </w:tc>
      </w:tr>
      <w:tr w14:paraId="1714F3B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3AD01815">
            <w:pPr>
              <w:jc w:val="center"/>
              <w:rPr>
                <w:rFonts w:hint="eastAsia" w:ascii="宋体" w:hAnsi="宋体"/>
              </w:rPr>
            </w:pPr>
            <w:r>
              <w:rPr>
                <w:rFonts w:hint="eastAsia" w:ascii="宋体" w:hAnsi="宋体"/>
              </w:rPr>
              <w:t>2</w:t>
            </w:r>
            <w:r>
              <w:rPr>
                <w:rFonts w:ascii="宋体" w:hAnsi="宋体"/>
              </w:rPr>
              <w:t>5</w:t>
            </w:r>
          </w:p>
        </w:tc>
        <w:tc>
          <w:tcPr>
            <w:tcW w:w="1755" w:type="dxa"/>
            <w:vAlign w:val="center"/>
          </w:tcPr>
          <w:p w14:paraId="604A962C">
            <w:pPr>
              <w:jc w:val="center"/>
              <w:rPr>
                <w:rFonts w:hint="eastAsia" w:ascii="宋体" w:hAnsi="宋体"/>
              </w:rPr>
            </w:pPr>
            <w:r>
              <w:rPr>
                <w:rFonts w:hint="eastAsia" w:ascii="宋体" w:hAnsi="宋体"/>
              </w:rPr>
              <w:t>投标文件的大小</w:t>
            </w:r>
          </w:p>
        </w:tc>
        <w:tc>
          <w:tcPr>
            <w:tcW w:w="6795" w:type="dxa"/>
            <w:vAlign w:val="center"/>
          </w:tcPr>
          <w:p w14:paraId="2D699CB6">
            <w:pPr>
              <w:jc w:val="left"/>
              <w:rPr>
                <w:rFonts w:hint="eastAsia" w:ascii="宋体" w:hAnsi="宋体"/>
              </w:rPr>
            </w:pPr>
            <w:r>
              <w:rPr>
                <w:rFonts w:hint="eastAsia" w:ascii="宋体" w:hAnsi="宋体"/>
              </w:rPr>
              <w:t>投标文件大小不得超过100MB</w:t>
            </w:r>
          </w:p>
        </w:tc>
      </w:tr>
      <w:tr w14:paraId="1805AA4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2E492A44">
            <w:pPr>
              <w:jc w:val="center"/>
              <w:rPr>
                <w:rFonts w:hint="eastAsia" w:ascii="宋体" w:hAnsi="宋体"/>
              </w:rPr>
            </w:pPr>
            <w:r>
              <w:rPr>
                <w:rFonts w:hint="eastAsia" w:ascii="宋体" w:hAnsi="宋体"/>
              </w:rPr>
              <w:t>2</w:t>
            </w:r>
            <w:r>
              <w:rPr>
                <w:rFonts w:ascii="宋体" w:hAnsi="宋体"/>
              </w:rPr>
              <w:t>6</w:t>
            </w:r>
          </w:p>
        </w:tc>
        <w:tc>
          <w:tcPr>
            <w:tcW w:w="1755" w:type="dxa"/>
            <w:vAlign w:val="center"/>
          </w:tcPr>
          <w:p w14:paraId="07BDAF1D">
            <w:pPr>
              <w:jc w:val="center"/>
              <w:rPr>
                <w:rFonts w:hint="eastAsia" w:ascii="宋体" w:hAnsi="宋体"/>
                <w:highlight w:val="none"/>
              </w:rPr>
            </w:pPr>
            <w:r>
              <w:rPr>
                <w:rFonts w:hint="eastAsia" w:ascii="宋体" w:hAnsi="宋体"/>
                <w:highlight w:val="none"/>
              </w:rPr>
              <w:t>样品、现场演示、方案讲解</w:t>
            </w:r>
          </w:p>
        </w:tc>
        <w:tc>
          <w:tcPr>
            <w:tcW w:w="6795" w:type="dxa"/>
            <w:vAlign w:val="center"/>
          </w:tcPr>
          <w:p w14:paraId="608D9278">
            <w:pPr>
              <w:jc w:val="left"/>
              <w:rPr>
                <w:rFonts w:hint="eastAsia" w:ascii="宋体" w:hAnsi="宋体" w:eastAsiaTheme="minorEastAsia"/>
                <w:highlight w:val="none"/>
                <w:lang w:val="en-US" w:eastAsia="zh-CN"/>
              </w:rPr>
            </w:pPr>
            <w:r>
              <w:rPr>
                <w:rFonts w:hint="eastAsia" w:ascii="宋体" w:hAnsi="宋体"/>
                <w:highlight w:val="none"/>
                <w:lang w:val="en-US" w:eastAsia="zh-CN"/>
              </w:rPr>
              <w:t>无</w:t>
            </w:r>
          </w:p>
        </w:tc>
      </w:tr>
      <w:tr w14:paraId="1F4F1A5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36A35F20">
            <w:pPr>
              <w:jc w:val="center"/>
              <w:rPr>
                <w:rFonts w:hint="eastAsia" w:ascii="宋体" w:hAnsi="宋体"/>
              </w:rPr>
            </w:pPr>
            <w:r>
              <w:rPr>
                <w:rFonts w:hint="eastAsia" w:ascii="宋体" w:hAnsi="宋体"/>
              </w:rPr>
              <w:t>3</w:t>
            </w:r>
            <w:r>
              <w:rPr>
                <w:rFonts w:ascii="宋体" w:hAnsi="宋体"/>
              </w:rPr>
              <w:t>7</w:t>
            </w:r>
          </w:p>
        </w:tc>
        <w:tc>
          <w:tcPr>
            <w:tcW w:w="1755" w:type="dxa"/>
            <w:vAlign w:val="center"/>
          </w:tcPr>
          <w:p w14:paraId="53180416">
            <w:pPr>
              <w:jc w:val="center"/>
              <w:rPr>
                <w:rFonts w:hint="eastAsia" w:ascii="宋体" w:hAnsi="宋体"/>
              </w:rPr>
            </w:pPr>
            <w:r>
              <w:rPr>
                <w:rFonts w:hint="eastAsia" w:ascii="宋体" w:hAnsi="宋体"/>
              </w:rPr>
              <w:t>评审方法</w:t>
            </w:r>
          </w:p>
        </w:tc>
        <w:tc>
          <w:tcPr>
            <w:tcW w:w="6795" w:type="dxa"/>
            <w:vAlign w:val="center"/>
          </w:tcPr>
          <w:p w14:paraId="08F7D57E">
            <w:pPr>
              <w:jc w:val="left"/>
              <w:rPr>
                <w:rFonts w:hint="eastAsia" w:ascii="宋体" w:hAnsi="宋体"/>
              </w:rPr>
            </w:pPr>
            <w:r>
              <w:rPr>
                <w:rFonts w:ascii="宋体" w:hAnsi="宋体"/>
                <w:b/>
                <w:bCs/>
              </w:rPr>
              <w:t>综合评分法</w:t>
            </w:r>
          </w:p>
        </w:tc>
      </w:tr>
      <w:tr w14:paraId="50EFFAF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517F1BAB">
            <w:pPr>
              <w:jc w:val="center"/>
              <w:rPr>
                <w:rFonts w:hint="eastAsia" w:ascii="宋体" w:hAnsi="宋体"/>
              </w:rPr>
            </w:pPr>
            <w:r>
              <w:rPr>
                <w:rFonts w:hint="eastAsia" w:ascii="宋体" w:hAnsi="宋体"/>
              </w:rPr>
              <w:t>3</w:t>
            </w:r>
            <w:r>
              <w:rPr>
                <w:rFonts w:ascii="宋体" w:hAnsi="宋体"/>
              </w:rPr>
              <w:t>8</w:t>
            </w:r>
          </w:p>
        </w:tc>
        <w:tc>
          <w:tcPr>
            <w:tcW w:w="1755" w:type="dxa"/>
            <w:vAlign w:val="center"/>
          </w:tcPr>
          <w:p w14:paraId="19774F0F">
            <w:pPr>
              <w:jc w:val="center"/>
              <w:rPr>
                <w:rFonts w:hint="eastAsia" w:ascii="宋体" w:hAnsi="宋体"/>
                <w:b/>
                <w:bCs/>
                <w:color w:val="FF0000"/>
                <w:highlight w:val="yellow"/>
              </w:rPr>
            </w:pPr>
            <w:r>
              <w:rPr>
                <w:rFonts w:hint="eastAsia" w:ascii="宋体" w:hAnsi="宋体"/>
                <w:b/>
                <w:bCs/>
                <w:color w:val="FF0000"/>
                <w:highlight w:val="yellow"/>
              </w:rPr>
              <w:t>定标方法</w:t>
            </w:r>
          </w:p>
        </w:tc>
        <w:tc>
          <w:tcPr>
            <w:tcW w:w="6795" w:type="dxa"/>
            <w:vAlign w:val="center"/>
          </w:tcPr>
          <w:p w14:paraId="1C1978C2">
            <w:pPr>
              <w:jc w:val="left"/>
              <w:rPr>
                <w:rFonts w:hint="eastAsia" w:ascii="宋体" w:hAnsi="宋体"/>
                <w:b/>
                <w:bCs/>
                <w:color w:val="FF0000"/>
                <w:highlight w:val="yellow"/>
              </w:rPr>
            </w:pPr>
            <w:r>
              <w:rPr>
                <w:rFonts w:hint="eastAsia" w:ascii="宋体" w:hAnsi="宋体" w:eastAsia="宋体" w:cs="Times New Roman"/>
                <w:b/>
                <w:bCs/>
                <w:color w:val="FF0000"/>
                <w:szCs w:val="21"/>
                <w:highlight w:val="yellow"/>
                <w:lang w:val="en-US" w:eastAsia="zh-CN"/>
              </w:rPr>
              <w:t>非</w:t>
            </w:r>
            <w:r>
              <w:rPr>
                <w:rFonts w:hint="eastAsia" w:ascii="宋体" w:hAnsi="宋体" w:eastAsia="宋体" w:cs="Times New Roman"/>
                <w:b/>
                <w:bCs/>
                <w:color w:val="FF0000"/>
                <w:szCs w:val="21"/>
                <w:highlight w:val="yellow"/>
              </w:rPr>
              <w:t>评定分离</w:t>
            </w:r>
          </w:p>
        </w:tc>
      </w:tr>
      <w:tr w14:paraId="2D12D28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57A633A4">
            <w:pPr>
              <w:jc w:val="center"/>
              <w:rPr>
                <w:rFonts w:hint="eastAsia" w:ascii="宋体" w:hAnsi="宋体"/>
              </w:rPr>
            </w:pPr>
            <w:r>
              <w:rPr>
                <w:rFonts w:hint="eastAsia" w:ascii="宋体" w:hAnsi="宋体"/>
              </w:rPr>
              <w:t>4</w:t>
            </w:r>
            <w:r>
              <w:rPr>
                <w:rFonts w:ascii="宋体" w:hAnsi="宋体"/>
              </w:rPr>
              <w:t>6</w:t>
            </w:r>
          </w:p>
        </w:tc>
        <w:tc>
          <w:tcPr>
            <w:tcW w:w="1755" w:type="dxa"/>
            <w:vAlign w:val="center"/>
          </w:tcPr>
          <w:p w14:paraId="61314360">
            <w:pPr>
              <w:jc w:val="center"/>
              <w:rPr>
                <w:rFonts w:hint="eastAsia" w:ascii="宋体" w:hAnsi="宋体"/>
              </w:rPr>
            </w:pPr>
            <w:r>
              <w:rPr>
                <w:rFonts w:hint="eastAsia" w:ascii="宋体" w:hAnsi="宋体"/>
              </w:rPr>
              <w:t>履约担保</w:t>
            </w:r>
          </w:p>
        </w:tc>
        <w:tc>
          <w:tcPr>
            <w:tcW w:w="6795" w:type="dxa"/>
            <w:vAlign w:val="center"/>
          </w:tcPr>
          <w:p w14:paraId="468F4DBF">
            <w:pPr>
              <w:jc w:val="left"/>
              <w:rPr>
                <w:rFonts w:hint="eastAsia" w:ascii="宋体" w:hAnsi="宋体"/>
              </w:rPr>
            </w:pPr>
            <w:r>
              <w:rPr>
                <w:rFonts w:hint="eastAsia" w:ascii="宋体" w:hAnsi="宋体"/>
              </w:rPr>
              <w:t>不需要</w:t>
            </w:r>
          </w:p>
        </w:tc>
      </w:tr>
      <w:bookmarkEnd w:id="5"/>
      <w:bookmarkEnd w:id="6"/>
      <w:bookmarkEnd w:id="7"/>
      <w:bookmarkEnd w:id="8"/>
      <w:bookmarkEnd w:id="9"/>
      <w:bookmarkEnd w:id="10"/>
      <w:bookmarkEnd w:id="11"/>
      <w:bookmarkEnd w:id="12"/>
    </w:tbl>
    <w:p w14:paraId="2CBFE243">
      <w:pPr>
        <w:widowControl/>
        <w:jc w:val="center"/>
        <w:rPr>
          <w:szCs w:val="21"/>
        </w:rPr>
      </w:pPr>
      <w:r>
        <w:rPr>
          <w:rFonts w:hint="eastAsia"/>
          <w:szCs w:val="21"/>
        </w:rPr>
        <w:t>备注：本表是通用条款相关条款的补充和明确，如与通用条款内容相冲突的，以本表为准。</w:t>
      </w:r>
    </w:p>
    <w:p w14:paraId="666794DD">
      <w:pPr>
        <w:keepNext/>
        <w:keepLines/>
        <w:adjustRightInd w:val="0"/>
        <w:spacing w:before="156" w:beforeLines="50" w:after="156" w:afterLines="50"/>
        <w:jc w:val="center"/>
        <w:textAlignment w:val="baseline"/>
        <w:outlineLvl w:val="2"/>
        <w:rPr>
          <w:rFonts w:hint="eastAsia" w:ascii="宋体" w:hAnsi="宋体" w:eastAsia="宋体" w:cs="Times New Roman"/>
          <w:b/>
          <w:bCs/>
          <w:kern w:val="0"/>
          <w:sz w:val="24"/>
          <w:szCs w:val="24"/>
        </w:rPr>
      </w:pPr>
      <w:r>
        <w:rPr>
          <w:rFonts w:hint="eastAsia" w:ascii="宋体" w:hAnsi="宋体" w:eastAsia="宋体" w:cs="Times New Roman"/>
          <w:b/>
          <w:bCs/>
          <w:kern w:val="0"/>
          <w:sz w:val="24"/>
          <w:szCs w:val="24"/>
        </w:rPr>
        <w:t>二、其他关键信息</w:t>
      </w:r>
    </w:p>
    <w:p w14:paraId="7C6B3E59">
      <w:pPr>
        <w:tabs>
          <w:tab w:val="left" w:pos="720"/>
        </w:tabs>
        <w:rPr>
          <w:rFonts w:hint="eastAsia" w:ascii="黑体" w:hAnsi="宋体" w:eastAsia="黑体"/>
          <w:sz w:val="24"/>
        </w:rPr>
      </w:pPr>
      <w:r>
        <w:rPr>
          <w:rFonts w:hint="eastAsia" w:ascii="黑体" w:hAnsi="宋体" w:eastAsia="黑体"/>
          <w:sz w:val="24"/>
        </w:rPr>
        <w:t>（一）</w:t>
      </w:r>
      <w:r>
        <w:rPr>
          <w:rFonts w:hint="eastAsia" w:ascii="黑体" w:hAnsi="宋体" w:eastAsia="黑体"/>
          <w:bCs/>
          <w:sz w:val="24"/>
        </w:rPr>
        <w:t>与“对通用条款的补充内容”章节相关的事项</w:t>
      </w:r>
    </w:p>
    <w:p w14:paraId="7287D860">
      <w:pPr>
        <w:tabs>
          <w:tab w:val="left" w:pos="720"/>
        </w:tabs>
        <w:rPr>
          <w:rFonts w:hint="eastAsia" w:ascii="黑体" w:hAnsi="宋体" w:eastAsia="黑体"/>
          <w:bCs/>
          <w:sz w:val="24"/>
        </w:rPr>
      </w:pPr>
      <w:r>
        <w:rPr>
          <w:rFonts w:hint="eastAsia" w:ascii="黑体" w:hAnsi="宋体" w:eastAsia="黑体"/>
          <w:bCs/>
          <w:sz w:val="24"/>
        </w:rPr>
        <w:t>1、评标定标信息</w:t>
      </w:r>
    </w:p>
    <w:p w14:paraId="21D5E9B8">
      <w:pPr>
        <w:jc w:val="center"/>
      </w:pPr>
      <w:r>
        <w:rPr>
          <w:rFonts w:hint="eastAsia"/>
          <w:b/>
        </w:rPr>
        <w:t>非评定分离项目</w:t>
      </w:r>
    </w:p>
    <w:tbl>
      <w:tblPr>
        <w:tblStyle w:val="18"/>
        <w:tblW w:w="85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8"/>
        <w:gridCol w:w="4264"/>
      </w:tblGrid>
      <w:tr w14:paraId="0C07F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8" w:type="dxa"/>
          </w:tcPr>
          <w:p w14:paraId="1F385436">
            <w:pPr>
              <w:jc w:val="center"/>
            </w:pPr>
            <w:r>
              <w:rPr>
                <w:rFonts w:hint="eastAsia"/>
              </w:rPr>
              <w:t>评标方法</w:t>
            </w:r>
          </w:p>
        </w:tc>
        <w:tc>
          <w:tcPr>
            <w:tcW w:w="4264" w:type="dxa"/>
          </w:tcPr>
          <w:p w14:paraId="36ED1DB1">
            <w:pPr>
              <w:jc w:val="center"/>
              <w:rPr>
                <w:rFonts w:hint="default" w:eastAsia="宋体"/>
                <w:lang w:val="en-US" w:eastAsia="zh-CN"/>
              </w:rPr>
            </w:pPr>
            <w:r>
              <w:rPr>
                <w:rFonts w:hint="eastAsia"/>
              </w:rPr>
              <w:t>综合评分法</w:t>
            </w:r>
          </w:p>
        </w:tc>
      </w:tr>
      <w:tr w14:paraId="3A52C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8" w:type="dxa"/>
          </w:tcPr>
          <w:p w14:paraId="69DD2480">
            <w:pPr>
              <w:jc w:val="center"/>
            </w:pPr>
            <w:r>
              <w:rPr>
                <w:rFonts w:hint="eastAsia"/>
              </w:rPr>
              <w:t>候选中标供应商家数</w:t>
            </w:r>
          </w:p>
        </w:tc>
        <w:tc>
          <w:tcPr>
            <w:tcW w:w="4264" w:type="dxa"/>
          </w:tcPr>
          <w:p w14:paraId="16726FB6">
            <w:pPr>
              <w:jc w:val="center"/>
              <w:rPr>
                <w:rFonts w:hint="default" w:eastAsia="宋体"/>
                <w:lang w:val="en-US" w:eastAsia="zh-CN"/>
              </w:rPr>
            </w:pPr>
            <w:r>
              <w:rPr>
                <w:rFonts w:hint="eastAsia"/>
                <w:lang w:val="en-US" w:eastAsia="zh-CN"/>
              </w:rPr>
              <w:t>3</w:t>
            </w:r>
          </w:p>
        </w:tc>
      </w:tr>
      <w:tr w14:paraId="18476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8" w:type="dxa"/>
          </w:tcPr>
          <w:p w14:paraId="6B5F3632">
            <w:pPr>
              <w:jc w:val="center"/>
            </w:pPr>
            <w:r>
              <w:rPr>
                <w:rFonts w:hint="eastAsia"/>
              </w:rPr>
              <w:t>中标供应商家数</w:t>
            </w:r>
          </w:p>
        </w:tc>
        <w:tc>
          <w:tcPr>
            <w:tcW w:w="4264" w:type="dxa"/>
          </w:tcPr>
          <w:p w14:paraId="388A5C89">
            <w:pPr>
              <w:jc w:val="center"/>
            </w:pPr>
            <w:r>
              <w:rPr>
                <w:rFonts w:hint="eastAsia"/>
              </w:rPr>
              <w:t>1</w:t>
            </w:r>
          </w:p>
        </w:tc>
      </w:tr>
    </w:tbl>
    <w:p w14:paraId="7C948517">
      <w:pPr>
        <w:tabs>
          <w:tab w:val="left" w:pos="720"/>
        </w:tabs>
        <w:rPr>
          <w:rFonts w:hint="eastAsia" w:ascii="黑体" w:hAnsi="宋体" w:eastAsia="黑体"/>
          <w:sz w:val="24"/>
        </w:rPr>
      </w:pPr>
      <w:r>
        <w:rPr>
          <w:rFonts w:hint="eastAsia" w:ascii="黑体" w:hAnsi="宋体" w:eastAsia="黑体"/>
          <w:sz w:val="24"/>
        </w:rPr>
        <w:t>（二）其他事项</w:t>
      </w:r>
    </w:p>
    <w:p w14:paraId="663077DD">
      <w:pPr>
        <w:tabs>
          <w:tab w:val="left" w:pos="720"/>
        </w:tabs>
        <w:rPr>
          <w:rFonts w:hint="eastAsia" w:ascii="黑体" w:hAnsi="宋体" w:eastAsia="黑体"/>
          <w:sz w:val="24"/>
        </w:rPr>
      </w:pPr>
      <w:r>
        <w:rPr>
          <w:rFonts w:hint="eastAsia" w:ascii="黑体" w:hAnsi="宋体" w:eastAsia="黑体"/>
          <w:sz w:val="24"/>
        </w:rPr>
        <w:t>1、关于享受优惠政策的主体、价格扣除比例及采购标的所属行业</w:t>
      </w:r>
    </w:p>
    <w:p w14:paraId="14870946">
      <w:pPr>
        <w:ind w:firstLine="411" w:firstLineChars="196"/>
        <w:rPr>
          <w:rFonts w:hint="eastAsia" w:ascii="宋体" w:hAnsi="宋体"/>
          <w:b w:val="0"/>
          <w:bCs w:val="0"/>
          <w:color w:val="auto"/>
          <w:highlight w:val="none"/>
        </w:rPr>
      </w:pPr>
      <w:r>
        <w:rPr>
          <w:rFonts w:hint="eastAsia" w:ascii="宋体" w:hAnsi="宋体"/>
          <w:b w:val="0"/>
          <w:bCs w:val="0"/>
          <w:color w:val="auto"/>
          <w:highlight w:val="none"/>
        </w:rPr>
        <w:t>（1）</w:t>
      </w:r>
      <w:r>
        <w:rPr>
          <w:rFonts w:hint="eastAsia"/>
          <w:b w:val="0"/>
          <w:bCs w:val="0"/>
          <w:color w:val="auto"/>
          <w:highlight w:val="none"/>
        </w:rPr>
        <w:t>专门面向中小企业采购的项目（包括联合体或分包预留中小企业份额的项目），不再执行价格扣除比例。</w:t>
      </w:r>
    </w:p>
    <w:p w14:paraId="69B23660">
      <w:pPr>
        <w:ind w:firstLine="411" w:firstLineChars="196"/>
        <w:rPr>
          <w:rFonts w:ascii="Arial" w:hAnsi="Arial" w:eastAsia="宋体" w:cs="Times New Roman"/>
          <w:b/>
          <w:color w:val="0000FF"/>
          <w:szCs w:val="21"/>
          <w:highlight w:val="yellow"/>
        </w:rPr>
      </w:pPr>
      <w:r>
        <w:rPr>
          <w:rFonts w:hint="eastAsia" w:ascii="宋体" w:hAnsi="宋体"/>
          <w:highlight w:val="none"/>
        </w:rPr>
        <w:t>（2）</w:t>
      </w:r>
      <w:r>
        <w:rPr>
          <w:rFonts w:hint="eastAsia"/>
          <w:highlight w:val="none"/>
        </w:rPr>
        <w:t>非</w:t>
      </w:r>
      <w:r>
        <w:rPr>
          <w:rFonts w:hint="eastAsia" w:ascii="Times New Roman" w:eastAsia="宋体"/>
          <w:highlight w:val="none"/>
        </w:rPr>
        <w:t>专门面向中小企业采购的项目，</w:t>
      </w:r>
      <w:r>
        <w:rPr>
          <w:rFonts w:hint="eastAsia"/>
          <w:highlight w:val="none"/>
        </w:rPr>
        <w:t>应</w:t>
      </w:r>
      <w:r>
        <w:rPr>
          <w:rFonts w:hint="eastAsia" w:ascii="Times New Roman" w:eastAsia="宋体"/>
          <w:highlight w:val="none"/>
        </w:rPr>
        <w:t>执行价格扣除比例</w:t>
      </w:r>
      <w:r>
        <w:rPr>
          <w:rFonts w:hint="eastAsia"/>
          <w:highlight w:val="none"/>
        </w:rPr>
        <w:t>：</w:t>
      </w:r>
      <w:r>
        <w:rPr>
          <w:rFonts w:hint="eastAsia" w:ascii="宋体" w:hAnsi="宋体"/>
          <w:highlight w:val="none"/>
        </w:rPr>
        <w:t>投标人提供的货物（以招标文件用户需求书“货物需求明细”的“货物名称”一栏为准）全部均由优惠主体制造的，对其投标总价给予</w:t>
      </w:r>
      <w:r>
        <w:rPr>
          <w:rFonts w:hint="eastAsia" w:ascii="宋体" w:hAnsi="宋体"/>
          <w:b/>
          <w:bCs/>
          <w:color w:val="FF0000"/>
          <w:highlight w:val="yellow"/>
          <w:u w:val="single"/>
        </w:rPr>
        <w:t xml:space="preserve"> </w:t>
      </w:r>
      <w:r>
        <w:rPr>
          <w:rFonts w:hint="eastAsia" w:ascii="宋体" w:hAnsi="宋体"/>
          <w:b/>
          <w:bCs/>
          <w:color w:val="FF0000"/>
          <w:highlight w:val="yellow"/>
          <w:u w:val="single"/>
          <w:lang w:val="en-US" w:eastAsia="zh-CN"/>
        </w:rPr>
        <w:t>10%</w:t>
      </w:r>
      <w:r>
        <w:rPr>
          <w:rFonts w:hint="eastAsia" w:ascii="宋体" w:hAnsi="宋体" w:eastAsia="宋体" w:cs="Times New Roman"/>
          <w:b/>
          <w:bCs/>
          <w:color w:val="FF0000"/>
          <w:sz w:val="24"/>
          <w:szCs w:val="24"/>
          <w:highlight w:val="yellow"/>
          <w:u w:val="single"/>
        </w:rPr>
        <w:t xml:space="preserve"> </w:t>
      </w:r>
      <w:r>
        <w:rPr>
          <w:rFonts w:hint="eastAsia" w:ascii="宋体" w:hAnsi="宋体"/>
          <w:b w:val="0"/>
          <w:bCs w:val="0"/>
          <w:color w:val="auto"/>
          <w:highlight w:val="none"/>
        </w:rPr>
        <w:t>的扣除</w:t>
      </w:r>
      <w:r>
        <w:rPr>
          <w:rFonts w:hint="eastAsia" w:ascii="宋体" w:hAnsi="宋体"/>
          <w:highlight w:val="none"/>
        </w:rPr>
        <w:t>，用扣除后的价格参与评审。满足多项优惠政策的企业，不重复享受多项价格扣除政策。</w:t>
      </w:r>
      <w:r>
        <w:rPr>
          <w:rFonts w:hint="eastAsia" w:ascii="Arial" w:hAnsi="Arial" w:eastAsia="宋体" w:cs="Times New Roman"/>
          <w:b/>
          <w:szCs w:val="21"/>
          <w:highlight w:val="none"/>
        </w:rPr>
        <w:t>政策调整后价格仅作为评审依据，不作为中标价格。</w:t>
      </w:r>
    </w:p>
    <w:p w14:paraId="52E75473">
      <w:pPr>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备注：</w:t>
      </w:r>
      <w:r>
        <w:rPr>
          <w:rFonts w:hint="eastAsia" w:asciiTheme="minorEastAsia" w:hAnsiTheme="minorEastAsia" w:cstheme="minorEastAsia"/>
          <w:b/>
          <w:bCs/>
          <w:szCs w:val="21"/>
        </w:rPr>
        <w:t>（a）</w:t>
      </w:r>
      <w:r>
        <w:rPr>
          <w:rFonts w:hint="eastAsia" w:asciiTheme="minorEastAsia" w:hAnsiTheme="minorEastAsia" w:cstheme="minorEastAsia"/>
          <w:szCs w:val="21"/>
        </w:rPr>
        <w:t>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w:t>
      </w:r>
      <w:r>
        <w:rPr>
          <w:rFonts w:hint="eastAsia" w:ascii="宋体" w:hAnsi="宋体"/>
        </w:rPr>
        <w:t>根据《财政部 司法部关于政府采购支持监狱企业发展有关问题的通知》(财库〔2014〕68号)，在政府采购活动中，监狱企业视同小型、微型企业；根据《关于促进残疾人就业政府采购政策的通知》(财库〔2017〕141号)，在政府采购活动中，残疾人福利性单位视同小型、微型企业；</w:t>
      </w:r>
      <w:r>
        <w:rPr>
          <w:rFonts w:hint="eastAsia" w:asciiTheme="minorEastAsia" w:hAnsiTheme="minorEastAsia" w:cstheme="minorEastAsia"/>
          <w:b/>
          <w:bCs/>
          <w:szCs w:val="21"/>
        </w:rPr>
        <w:t>(b)</w:t>
      </w:r>
      <w:r>
        <w:rPr>
          <w:rFonts w:hint="eastAsia" w:asciiTheme="minorEastAsia" w:hAnsiTheme="minorEastAsia" w:cstheme="minorEastAsia"/>
          <w:szCs w:val="21"/>
        </w:rPr>
        <w:t>优惠主体制造是指货物由优惠主体生产且使用该优惠主体商号或者注册商标；投标人提供的货物既有优惠主体制造货物，又有非优惠主体制造货物的，不给予价格扣除。</w:t>
      </w:r>
    </w:p>
    <w:p w14:paraId="54199D2C">
      <w:pPr>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（3）</w:t>
      </w:r>
      <w:bookmarkStart w:id="13" w:name="_Hlk71970739"/>
      <w:r>
        <w:rPr>
          <w:rFonts w:hint="eastAsia" w:asciiTheme="minorEastAsia" w:hAnsiTheme="minorEastAsia" w:cstheme="minorEastAsia"/>
          <w:szCs w:val="21"/>
        </w:rPr>
        <w:t>中小企业参加政府采购活动，应当按照国务院批准的《中小企业划型标准规定》（工信部联企业〔2011〕300号）、《金融业企业划型标准规定》（银发〔2015〕309号）和《财政部 工业和信息化部关于印发〈政府采购促进中小企业发展管理办法〉的通知》（财库〔2020〕46号）的规定，出具《中小企业声明函》，《中小企业声明函》中相关企业（货物制造商）所属行业应当与采购标的所属行业相一致，标的所属行业以招标文件第一册第三章用户需求书“货物清单明细”的“标的所属行业”一栏为准。</w:t>
      </w:r>
      <w:bookmarkEnd w:id="13"/>
    </w:p>
    <w:p w14:paraId="56F3D680">
      <w:pPr>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4）小型企业、微型企业、残疾人福利性单位作为优惠主体的认定资料为《中小企业声明函》、《残疾人福利性单位声明函》；监狱企业作为优惠主体的认定资料为省级以上监狱管理局、戒毒管理局出具的监狱企业证明文件。声明函样式见本招标文件第一册专用条款第三章“投标文件格式、附件”中“四、投标人情况及资格证明文件”章节提供的格式）。</w:t>
      </w:r>
    </w:p>
    <w:p w14:paraId="13292EC4">
      <w:pPr>
        <w:tabs>
          <w:tab w:val="left" w:pos="720"/>
        </w:tabs>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（5）享受价格扣除获得政府采购合同的，小微企业不得将合同分包给大中型企业。</w:t>
      </w:r>
    </w:p>
    <w:p w14:paraId="490840F1">
      <w:pPr>
        <w:tabs>
          <w:tab w:val="left" w:pos="720"/>
        </w:tabs>
        <w:ind w:firstLine="480" w:firstLineChars="200"/>
        <w:rPr>
          <w:rFonts w:hint="eastAsia" w:ascii="黑体" w:hAnsi="宋体" w:eastAsia="黑体"/>
          <w:sz w:val="24"/>
        </w:rPr>
      </w:pPr>
    </w:p>
    <w:p w14:paraId="51A42E56">
      <w:pPr>
        <w:tabs>
          <w:tab w:val="left" w:pos="720"/>
        </w:tabs>
        <w:rPr>
          <w:rFonts w:hint="eastAsia" w:ascii="宋体" w:hAnsi="宋体"/>
          <w:b/>
          <w:bCs/>
          <w:color w:val="FF0000"/>
        </w:rPr>
      </w:pPr>
      <w:r>
        <w:rPr>
          <w:rFonts w:hint="eastAsia" w:ascii="宋体" w:hAnsi="宋体" w:eastAsia="宋体" w:cs="宋体"/>
          <w:b/>
          <w:bCs/>
          <w:szCs w:val="24"/>
        </w:rPr>
        <w:t>2.</w:t>
      </w:r>
      <w:r>
        <w:rPr>
          <w:rFonts w:ascii="宋体" w:hAnsi="宋体"/>
          <w:b/>
          <w:bCs/>
          <w:color w:val="FF0000"/>
        </w:rPr>
        <w:t>本项目为代理服务项目，将向中标</w:t>
      </w:r>
      <w:r>
        <w:rPr>
          <w:rFonts w:hint="eastAsia" w:ascii="宋体" w:hAnsi="宋体"/>
          <w:b/>
          <w:bCs/>
          <w:color w:val="FF0000"/>
        </w:rPr>
        <w:t>（成交）</w:t>
      </w:r>
      <w:r>
        <w:rPr>
          <w:rFonts w:ascii="宋体" w:hAnsi="宋体"/>
          <w:b/>
          <w:bCs/>
          <w:color w:val="FF0000"/>
        </w:rPr>
        <w:t>供应商收取代理服务费</w:t>
      </w:r>
      <w:r>
        <w:rPr>
          <w:rFonts w:hint="eastAsia" w:ascii="宋体" w:hAnsi="宋体"/>
          <w:b/>
          <w:bCs/>
          <w:color w:val="FF0000"/>
        </w:rPr>
        <w:t>。</w:t>
      </w:r>
    </w:p>
    <w:p w14:paraId="054C16FF">
      <w:pPr>
        <w:widowControl/>
        <w:ind w:firstLine="420"/>
        <w:jc w:val="left"/>
        <w:rPr>
          <w:rFonts w:hint="eastAsia" w:ascii="宋体" w:hAnsi="宋体"/>
          <w:color w:val="FF0000"/>
          <w:szCs w:val="21"/>
        </w:rPr>
      </w:pPr>
      <w:r>
        <w:rPr>
          <w:rFonts w:hint="eastAsia" w:ascii="宋体" w:hAnsi="宋体"/>
          <w:color w:val="FF0000"/>
          <w:szCs w:val="21"/>
        </w:rPr>
        <w:t>中标（成交）供应商在领取《中标（成交）通知书》之前须向深圳公共资源交易中心（深圳交易集团有限公司龙华分公司）交纳代理服务费。若因中标（成交）供应商交纳代理服务费所产生的时间影响到合同签订的，由中标（成交）供应商自行承担责任。代理服务费标准参照下列标准收取。本项目类型为</w:t>
      </w:r>
      <w:r>
        <w:rPr>
          <w:rFonts w:hint="eastAsia" w:ascii="宋体" w:hAnsi="宋体"/>
          <w:b/>
          <w:bCs/>
          <w:color w:val="FF0000"/>
          <w:szCs w:val="21"/>
          <w:u w:val="single"/>
        </w:rPr>
        <w:t>货物采购</w:t>
      </w:r>
      <w:r>
        <w:rPr>
          <w:rFonts w:hint="eastAsia" w:ascii="宋体" w:hAnsi="宋体"/>
          <w:color w:val="FF0000"/>
          <w:szCs w:val="21"/>
        </w:rPr>
        <w:t>：</w:t>
      </w:r>
    </w:p>
    <w:p w14:paraId="632DCAD9">
      <w:pPr>
        <w:widowControl/>
        <w:ind w:firstLine="420"/>
        <w:jc w:val="left"/>
        <w:rPr>
          <w:rFonts w:hint="eastAsia" w:ascii="宋体" w:hAnsi="宋体"/>
          <w:color w:val="FF0000"/>
          <w:szCs w:val="21"/>
        </w:rPr>
      </w:pPr>
      <w:r>
        <w:rPr>
          <w:rFonts w:hint="eastAsia" w:ascii="宋体" w:hAnsi="宋体"/>
          <w:color w:val="FF0000"/>
          <w:szCs w:val="21"/>
        </w:rPr>
        <w:t>（1）代理服务费以《中标（成交）通知书》确定的中标（成交）金额作为计算基数，按差额定率累进法计算。</w:t>
      </w:r>
    </w:p>
    <w:p w14:paraId="3504F02F">
      <w:pPr>
        <w:widowControl/>
        <w:ind w:firstLine="420"/>
        <w:jc w:val="left"/>
        <w:rPr>
          <w:rFonts w:hint="eastAsia" w:ascii="宋体" w:hAnsi="宋体"/>
          <w:color w:val="FF0000"/>
          <w:szCs w:val="21"/>
        </w:rPr>
      </w:pPr>
      <w:r>
        <w:rPr>
          <w:rFonts w:hint="eastAsia" w:ascii="宋体" w:hAnsi="宋体"/>
          <w:color w:val="FF0000"/>
          <w:szCs w:val="21"/>
        </w:rPr>
        <w:t>（2）中标（成交）金额的各部分费率如下表：</w:t>
      </w:r>
    </w:p>
    <w:tbl>
      <w:tblPr>
        <w:tblStyle w:val="1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5"/>
        <w:gridCol w:w="1799"/>
        <w:gridCol w:w="1799"/>
        <w:gridCol w:w="1799"/>
      </w:tblGrid>
      <w:tr w14:paraId="4DDD4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125" w:type="dxa"/>
            <w:vAlign w:val="center"/>
          </w:tcPr>
          <w:p w14:paraId="37D7F48B">
            <w:pPr>
              <w:widowControl/>
              <w:ind w:firstLine="420"/>
              <w:jc w:val="left"/>
              <w:rPr>
                <w:rFonts w:hint="eastAsia" w:ascii="宋体" w:hAnsi="宋体"/>
                <w:color w:val="FF0000"/>
                <w:szCs w:val="21"/>
              </w:rPr>
            </w:pPr>
            <w:r>
              <w:rPr>
                <w:rFonts w:hint="eastAsia" w:ascii="宋体" w:hAnsi="宋体"/>
                <w:color w:val="FF0000"/>
                <w:szCs w:val="21"/>
              </w:rPr>
              <w:t>中标（成交）金额</w:t>
            </w:r>
          </w:p>
        </w:tc>
        <w:tc>
          <w:tcPr>
            <w:tcW w:w="1799" w:type="dxa"/>
            <w:vAlign w:val="center"/>
          </w:tcPr>
          <w:p w14:paraId="5F794CF7">
            <w:pPr>
              <w:widowControl/>
              <w:ind w:firstLine="420"/>
              <w:jc w:val="left"/>
              <w:rPr>
                <w:rFonts w:hint="eastAsia" w:ascii="宋体" w:hAnsi="宋体"/>
                <w:color w:val="FF0000"/>
                <w:szCs w:val="21"/>
              </w:rPr>
            </w:pPr>
            <w:r>
              <w:rPr>
                <w:rFonts w:hint="eastAsia" w:ascii="宋体" w:hAnsi="宋体"/>
                <w:color w:val="FF0000"/>
                <w:szCs w:val="21"/>
              </w:rPr>
              <w:t>货物采购</w:t>
            </w:r>
          </w:p>
        </w:tc>
        <w:tc>
          <w:tcPr>
            <w:tcW w:w="1799" w:type="dxa"/>
            <w:vAlign w:val="center"/>
          </w:tcPr>
          <w:p w14:paraId="6ECD5ED6">
            <w:pPr>
              <w:widowControl/>
              <w:ind w:firstLine="420"/>
              <w:jc w:val="left"/>
              <w:rPr>
                <w:rFonts w:hint="eastAsia" w:ascii="宋体" w:hAnsi="宋体"/>
                <w:color w:val="FF0000"/>
                <w:szCs w:val="21"/>
              </w:rPr>
            </w:pPr>
            <w:r>
              <w:rPr>
                <w:rFonts w:hint="eastAsia" w:ascii="宋体" w:hAnsi="宋体"/>
                <w:color w:val="FF0000"/>
                <w:szCs w:val="21"/>
              </w:rPr>
              <w:t>服务采购</w:t>
            </w:r>
          </w:p>
        </w:tc>
        <w:tc>
          <w:tcPr>
            <w:tcW w:w="1799" w:type="dxa"/>
            <w:vAlign w:val="center"/>
          </w:tcPr>
          <w:p w14:paraId="60CE0B94">
            <w:pPr>
              <w:widowControl/>
              <w:ind w:firstLine="420"/>
              <w:jc w:val="left"/>
              <w:rPr>
                <w:rFonts w:hint="eastAsia" w:ascii="宋体" w:hAnsi="宋体"/>
                <w:color w:val="FF0000"/>
                <w:szCs w:val="21"/>
              </w:rPr>
            </w:pPr>
            <w:r>
              <w:rPr>
                <w:rFonts w:hint="eastAsia" w:ascii="宋体" w:hAnsi="宋体"/>
                <w:color w:val="FF0000"/>
                <w:szCs w:val="21"/>
              </w:rPr>
              <w:t>工程采购</w:t>
            </w:r>
          </w:p>
        </w:tc>
      </w:tr>
      <w:tr w14:paraId="7B14C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1F58D2D0">
            <w:pPr>
              <w:widowControl/>
              <w:ind w:firstLine="420"/>
              <w:jc w:val="left"/>
              <w:rPr>
                <w:rFonts w:hint="eastAsia" w:ascii="宋体" w:hAnsi="宋体"/>
                <w:color w:val="FF0000"/>
                <w:szCs w:val="21"/>
              </w:rPr>
            </w:pPr>
            <w:r>
              <w:rPr>
                <w:rFonts w:hint="eastAsia" w:ascii="宋体" w:hAnsi="宋体"/>
                <w:color w:val="FF0000"/>
                <w:szCs w:val="21"/>
              </w:rPr>
              <w:t>100万元以下</w:t>
            </w:r>
          </w:p>
        </w:tc>
        <w:tc>
          <w:tcPr>
            <w:tcW w:w="1799" w:type="dxa"/>
            <w:vAlign w:val="center"/>
          </w:tcPr>
          <w:p w14:paraId="3559A952">
            <w:pPr>
              <w:widowControl/>
              <w:ind w:firstLine="420"/>
              <w:jc w:val="left"/>
              <w:rPr>
                <w:rFonts w:hint="eastAsia" w:ascii="宋体" w:hAnsi="宋体"/>
                <w:color w:val="FF0000"/>
                <w:szCs w:val="21"/>
              </w:rPr>
            </w:pPr>
            <w:r>
              <w:rPr>
                <w:rFonts w:hint="eastAsia" w:ascii="宋体" w:hAnsi="宋体"/>
                <w:color w:val="FF0000"/>
                <w:szCs w:val="21"/>
              </w:rPr>
              <w:t>1.5%</w:t>
            </w:r>
          </w:p>
        </w:tc>
        <w:tc>
          <w:tcPr>
            <w:tcW w:w="1799" w:type="dxa"/>
            <w:vAlign w:val="center"/>
          </w:tcPr>
          <w:p w14:paraId="53C5B031">
            <w:pPr>
              <w:widowControl/>
              <w:ind w:firstLine="420"/>
              <w:jc w:val="left"/>
              <w:rPr>
                <w:rFonts w:hint="eastAsia" w:ascii="宋体" w:hAnsi="宋体"/>
                <w:color w:val="FF0000"/>
                <w:szCs w:val="21"/>
              </w:rPr>
            </w:pPr>
            <w:r>
              <w:rPr>
                <w:rFonts w:hint="eastAsia" w:ascii="宋体" w:hAnsi="宋体"/>
                <w:color w:val="FF0000"/>
                <w:szCs w:val="21"/>
              </w:rPr>
              <w:t>1.5%</w:t>
            </w:r>
          </w:p>
        </w:tc>
        <w:tc>
          <w:tcPr>
            <w:tcW w:w="1799" w:type="dxa"/>
            <w:vAlign w:val="center"/>
          </w:tcPr>
          <w:p w14:paraId="37332E3A">
            <w:pPr>
              <w:widowControl/>
              <w:ind w:firstLine="420"/>
              <w:jc w:val="left"/>
              <w:rPr>
                <w:rFonts w:hint="eastAsia" w:ascii="宋体" w:hAnsi="宋体"/>
                <w:color w:val="FF0000"/>
                <w:szCs w:val="21"/>
              </w:rPr>
            </w:pPr>
            <w:r>
              <w:rPr>
                <w:rFonts w:hint="eastAsia" w:ascii="宋体" w:hAnsi="宋体"/>
                <w:color w:val="FF0000"/>
                <w:szCs w:val="21"/>
              </w:rPr>
              <w:t>1.0%</w:t>
            </w:r>
          </w:p>
        </w:tc>
      </w:tr>
      <w:tr w14:paraId="3D9EA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2BA68A7F">
            <w:pPr>
              <w:widowControl/>
              <w:ind w:firstLine="420"/>
              <w:jc w:val="left"/>
              <w:rPr>
                <w:rFonts w:hint="eastAsia" w:ascii="宋体" w:hAnsi="宋体"/>
                <w:color w:val="FF0000"/>
                <w:szCs w:val="21"/>
              </w:rPr>
            </w:pPr>
            <w:r>
              <w:rPr>
                <w:rFonts w:hint="eastAsia" w:ascii="宋体" w:hAnsi="宋体"/>
                <w:color w:val="FF0000"/>
                <w:szCs w:val="21"/>
              </w:rPr>
              <w:t>100万元（含）-500万元</w:t>
            </w:r>
          </w:p>
        </w:tc>
        <w:tc>
          <w:tcPr>
            <w:tcW w:w="1799" w:type="dxa"/>
            <w:vAlign w:val="center"/>
          </w:tcPr>
          <w:p w14:paraId="00CEDF7E">
            <w:pPr>
              <w:widowControl/>
              <w:ind w:firstLine="420"/>
              <w:jc w:val="left"/>
              <w:rPr>
                <w:rFonts w:hint="eastAsia" w:ascii="宋体" w:hAnsi="宋体"/>
                <w:color w:val="FF0000"/>
                <w:szCs w:val="21"/>
              </w:rPr>
            </w:pPr>
            <w:r>
              <w:rPr>
                <w:rFonts w:hint="eastAsia" w:ascii="宋体" w:hAnsi="宋体"/>
                <w:color w:val="FF0000"/>
                <w:szCs w:val="21"/>
              </w:rPr>
              <w:t>1.1%</w:t>
            </w:r>
          </w:p>
        </w:tc>
        <w:tc>
          <w:tcPr>
            <w:tcW w:w="1799" w:type="dxa"/>
            <w:vAlign w:val="center"/>
          </w:tcPr>
          <w:p w14:paraId="3B622921">
            <w:pPr>
              <w:widowControl/>
              <w:ind w:firstLine="420"/>
              <w:jc w:val="left"/>
              <w:rPr>
                <w:rFonts w:hint="eastAsia" w:ascii="宋体" w:hAnsi="宋体"/>
                <w:color w:val="FF0000"/>
                <w:szCs w:val="21"/>
              </w:rPr>
            </w:pPr>
            <w:r>
              <w:rPr>
                <w:rFonts w:hint="eastAsia" w:ascii="宋体" w:hAnsi="宋体"/>
                <w:color w:val="FF0000"/>
                <w:szCs w:val="21"/>
              </w:rPr>
              <w:t>0.8%</w:t>
            </w:r>
          </w:p>
        </w:tc>
        <w:tc>
          <w:tcPr>
            <w:tcW w:w="1799" w:type="dxa"/>
            <w:vAlign w:val="center"/>
          </w:tcPr>
          <w:p w14:paraId="0B671145">
            <w:pPr>
              <w:widowControl/>
              <w:ind w:firstLine="420"/>
              <w:jc w:val="left"/>
              <w:rPr>
                <w:rFonts w:hint="eastAsia" w:ascii="宋体" w:hAnsi="宋体"/>
                <w:color w:val="FF0000"/>
                <w:szCs w:val="21"/>
              </w:rPr>
            </w:pPr>
            <w:r>
              <w:rPr>
                <w:rFonts w:hint="eastAsia" w:ascii="宋体" w:hAnsi="宋体"/>
                <w:color w:val="FF0000"/>
                <w:szCs w:val="21"/>
              </w:rPr>
              <w:t>0.7%</w:t>
            </w:r>
          </w:p>
        </w:tc>
      </w:tr>
      <w:tr w14:paraId="151A4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402E15A9">
            <w:pPr>
              <w:widowControl/>
              <w:ind w:firstLine="420"/>
              <w:jc w:val="left"/>
              <w:rPr>
                <w:rFonts w:hint="eastAsia" w:ascii="宋体" w:hAnsi="宋体"/>
                <w:color w:val="FF0000"/>
                <w:szCs w:val="21"/>
              </w:rPr>
            </w:pPr>
            <w:r>
              <w:rPr>
                <w:rFonts w:hint="eastAsia" w:ascii="宋体" w:hAnsi="宋体"/>
                <w:color w:val="FF0000"/>
                <w:szCs w:val="21"/>
              </w:rPr>
              <w:t>500万元（含）-1000万元</w:t>
            </w:r>
          </w:p>
        </w:tc>
        <w:tc>
          <w:tcPr>
            <w:tcW w:w="1799" w:type="dxa"/>
            <w:vAlign w:val="center"/>
          </w:tcPr>
          <w:p w14:paraId="7FE35FFC">
            <w:pPr>
              <w:widowControl/>
              <w:ind w:firstLine="420"/>
              <w:jc w:val="left"/>
              <w:rPr>
                <w:rFonts w:hint="eastAsia" w:ascii="宋体" w:hAnsi="宋体"/>
                <w:color w:val="FF0000"/>
                <w:szCs w:val="21"/>
              </w:rPr>
            </w:pPr>
            <w:r>
              <w:rPr>
                <w:rFonts w:hint="eastAsia" w:ascii="宋体" w:hAnsi="宋体"/>
                <w:color w:val="FF0000"/>
                <w:szCs w:val="21"/>
              </w:rPr>
              <w:t>0.8%</w:t>
            </w:r>
          </w:p>
        </w:tc>
        <w:tc>
          <w:tcPr>
            <w:tcW w:w="1799" w:type="dxa"/>
            <w:vAlign w:val="center"/>
          </w:tcPr>
          <w:p w14:paraId="61BAEB90">
            <w:pPr>
              <w:widowControl/>
              <w:ind w:firstLine="420"/>
              <w:jc w:val="left"/>
              <w:rPr>
                <w:rFonts w:hint="eastAsia" w:ascii="宋体" w:hAnsi="宋体"/>
                <w:color w:val="FF0000"/>
                <w:szCs w:val="21"/>
              </w:rPr>
            </w:pPr>
            <w:r>
              <w:rPr>
                <w:rFonts w:hint="eastAsia" w:ascii="宋体" w:hAnsi="宋体"/>
                <w:color w:val="FF0000"/>
                <w:szCs w:val="21"/>
              </w:rPr>
              <w:t>0.45%</w:t>
            </w:r>
          </w:p>
        </w:tc>
        <w:tc>
          <w:tcPr>
            <w:tcW w:w="1799" w:type="dxa"/>
            <w:vAlign w:val="center"/>
          </w:tcPr>
          <w:p w14:paraId="33DDBA00">
            <w:pPr>
              <w:widowControl/>
              <w:ind w:firstLine="420"/>
              <w:jc w:val="left"/>
              <w:rPr>
                <w:rFonts w:hint="eastAsia" w:ascii="宋体" w:hAnsi="宋体"/>
                <w:color w:val="FF0000"/>
                <w:szCs w:val="21"/>
              </w:rPr>
            </w:pPr>
            <w:r>
              <w:rPr>
                <w:rFonts w:hint="eastAsia" w:ascii="宋体" w:hAnsi="宋体"/>
                <w:color w:val="FF0000"/>
                <w:szCs w:val="21"/>
              </w:rPr>
              <w:t>0.55%</w:t>
            </w:r>
          </w:p>
        </w:tc>
      </w:tr>
      <w:tr w14:paraId="15BA1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489F1FF7">
            <w:pPr>
              <w:widowControl/>
              <w:ind w:firstLine="420"/>
              <w:jc w:val="left"/>
              <w:rPr>
                <w:rFonts w:hint="eastAsia" w:ascii="宋体" w:hAnsi="宋体"/>
                <w:color w:val="FF0000"/>
                <w:szCs w:val="21"/>
              </w:rPr>
            </w:pPr>
            <w:r>
              <w:rPr>
                <w:rFonts w:hint="eastAsia" w:ascii="宋体" w:hAnsi="宋体"/>
                <w:color w:val="FF0000"/>
                <w:szCs w:val="21"/>
              </w:rPr>
              <w:t>1000万元（含）-5000万元</w:t>
            </w:r>
          </w:p>
        </w:tc>
        <w:tc>
          <w:tcPr>
            <w:tcW w:w="1799" w:type="dxa"/>
            <w:vAlign w:val="center"/>
          </w:tcPr>
          <w:p w14:paraId="5629CCC0">
            <w:pPr>
              <w:widowControl/>
              <w:ind w:firstLine="420"/>
              <w:jc w:val="left"/>
              <w:rPr>
                <w:rFonts w:hint="eastAsia" w:ascii="宋体" w:hAnsi="宋体"/>
                <w:color w:val="FF0000"/>
                <w:szCs w:val="21"/>
              </w:rPr>
            </w:pPr>
            <w:r>
              <w:rPr>
                <w:rFonts w:hint="eastAsia" w:ascii="宋体" w:hAnsi="宋体"/>
                <w:color w:val="FF0000"/>
                <w:szCs w:val="21"/>
              </w:rPr>
              <w:t>0.5%</w:t>
            </w:r>
          </w:p>
        </w:tc>
        <w:tc>
          <w:tcPr>
            <w:tcW w:w="1799" w:type="dxa"/>
            <w:vAlign w:val="center"/>
          </w:tcPr>
          <w:p w14:paraId="6E0E670C">
            <w:pPr>
              <w:widowControl/>
              <w:ind w:firstLine="420"/>
              <w:jc w:val="left"/>
              <w:rPr>
                <w:rFonts w:hint="eastAsia" w:ascii="宋体" w:hAnsi="宋体"/>
                <w:color w:val="FF0000"/>
                <w:szCs w:val="21"/>
              </w:rPr>
            </w:pPr>
            <w:r>
              <w:rPr>
                <w:rFonts w:hint="eastAsia" w:ascii="宋体" w:hAnsi="宋体"/>
                <w:color w:val="FF0000"/>
                <w:szCs w:val="21"/>
              </w:rPr>
              <w:t>0.25%</w:t>
            </w:r>
          </w:p>
        </w:tc>
        <w:tc>
          <w:tcPr>
            <w:tcW w:w="1799" w:type="dxa"/>
            <w:vAlign w:val="center"/>
          </w:tcPr>
          <w:p w14:paraId="35126698">
            <w:pPr>
              <w:widowControl/>
              <w:ind w:firstLine="420"/>
              <w:jc w:val="left"/>
              <w:rPr>
                <w:rFonts w:hint="eastAsia" w:ascii="宋体" w:hAnsi="宋体"/>
                <w:color w:val="FF0000"/>
                <w:szCs w:val="21"/>
              </w:rPr>
            </w:pPr>
            <w:r>
              <w:rPr>
                <w:rFonts w:hint="eastAsia" w:ascii="宋体" w:hAnsi="宋体"/>
                <w:color w:val="FF0000"/>
                <w:szCs w:val="21"/>
              </w:rPr>
              <w:t>0.35%</w:t>
            </w:r>
          </w:p>
        </w:tc>
      </w:tr>
      <w:tr w14:paraId="22A48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3179560C">
            <w:pPr>
              <w:widowControl/>
              <w:ind w:firstLine="420"/>
              <w:jc w:val="left"/>
              <w:rPr>
                <w:rFonts w:hint="eastAsia" w:ascii="宋体" w:hAnsi="宋体"/>
                <w:color w:val="FF0000"/>
                <w:szCs w:val="21"/>
              </w:rPr>
            </w:pPr>
            <w:r>
              <w:rPr>
                <w:rFonts w:hint="eastAsia" w:ascii="宋体" w:hAnsi="宋体"/>
                <w:color w:val="FF0000"/>
                <w:szCs w:val="21"/>
              </w:rPr>
              <w:t>5000万元（含）-1亿元</w:t>
            </w:r>
          </w:p>
        </w:tc>
        <w:tc>
          <w:tcPr>
            <w:tcW w:w="1799" w:type="dxa"/>
            <w:vAlign w:val="center"/>
          </w:tcPr>
          <w:p w14:paraId="5C5B4954">
            <w:pPr>
              <w:widowControl/>
              <w:ind w:firstLine="420"/>
              <w:jc w:val="left"/>
              <w:rPr>
                <w:rFonts w:hint="eastAsia" w:ascii="宋体" w:hAnsi="宋体"/>
                <w:color w:val="FF0000"/>
                <w:szCs w:val="21"/>
              </w:rPr>
            </w:pPr>
            <w:r>
              <w:rPr>
                <w:rFonts w:hint="eastAsia" w:ascii="宋体" w:hAnsi="宋体"/>
                <w:color w:val="FF0000"/>
                <w:szCs w:val="21"/>
              </w:rPr>
              <w:t>0.25%</w:t>
            </w:r>
          </w:p>
        </w:tc>
        <w:tc>
          <w:tcPr>
            <w:tcW w:w="1799" w:type="dxa"/>
            <w:vAlign w:val="center"/>
          </w:tcPr>
          <w:p w14:paraId="5A429514">
            <w:pPr>
              <w:widowControl/>
              <w:ind w:firstLine="420"/>
              <w:jc w:val="left"/>
              <w:rPr>
                <w:rFonts w:hint="eastAsia" w:ascii="宋体" w:hAnsi="宋体"/>
                <w:color w:val="FF0000"/>
                <w:szCs w:val="21"/>
              </w:rPr>
            </w:pPr>
            <w:r>
              <w:rPr>
                <w:rFonts w:hint="eastAsia" w:ascii="宋体" w:hAnsi="宋体"/>
                <w:color w:val="FF0000"/>
                <w:szCs w:val="21"/>
              </w:rPr>
              <w:t>0.1%</w:t>
            </w:r>
          </w:p>
        </w:tc>
        <w:tc>
          <w:tcPr>
            <w:tcW w:w="1799" w:type="dxa"/>
            <w:vAlign w:val="center"/>
          </w:tcPr>
          <w:p w14:paraId="45980CE8">
            <w:pPr>
              <w:widowControl/>
              <w:ind w:firstLine="420"/>
              <w:jc w:val="left"/>
              <w:rPr>
                <w:rFonts w:hint="eastAsia" w:ascii="宋体" w:hAnsi="宋体"/>
                <w:color w:val="FF0000"/>
                <w:szCs w:val="21"/>
              </w:rPr>
            </w:pPr>
            <w:r>
              <w:rPr>
                <w:rFonts w:hint="eastAsia" w:ascii="宋体" w:hAnsi="宋体"/>
                <w:color w:val="FF0000"/>
                <w:szCs w:val="21"/>
              </w:rPr>
              <w:t>0.2%</w:t>
            </w:r>
          </w:p>
        </w:tc>
      </w:tr>
      <w:tr w14:paraId="617F5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52725ED4">
            <w:pPr>
              <w:widowControl/>
              <w:ind w:firstLine="420"/>
              <w:jc w:val="left"/>
              <w:rPr>
                <w:rFonts w:hint="eastAsia" w:ascii="宋体" w:hAnsi="宋体"/>
                <w:color w:val="FF0000"/>
                <w:szCs w:val="21"/>
              </w:rPr>
            </w:pPr>
            <w:r>
              <w:rPr>
                <w:rFonts w:hint="eastAsia" w:ascii="宋体" w:hAnsi="宋体"/>
                <w:color w:val="FF0000"/>
                <w:szCs w:val="21"/>
              </w:rPr>
              <w:t>1亿元（含）-5亿元</w:t>
            </w:r>
          </w:p>
        </w:tc>
        <w:tc>
          <w:tcPr>
            <w:tcW w:w="1799" w:type="dxa"/>
            <w:vAlign w:val="center"/>
          </w:tcPr>
          <w:p w14:paraId="24A3525F">
            <w:pPr>
              <w:widowControl/>
              <w:ind w:firstLine="420"/>
              <w:jc w:val="left"/>
              <w:rPr>
                <w:rFonts w:hint="eastAsia" w:ascii="宋体" w:hAnsi="宋体"/>
                <w:color w:val="FF0000"/>
                <w:szCs w:val="21"/>
              </w:rPr>
            </w:pPr>
            <w:r>
              <w:rPr>
                <w:rFonts w:hint="eastAsia" w:ascii="宋体" w:hAnsi="宋体"/>
                <w:color w:val="FF0000"/>
                <w:szCs w:val="21"/>
              </w:rPr>
              <w:t>0.05%</w:t>
            </w:r>
          </w:p>
        </w:tc>
        <w:tc>
          <w:tcPr>
            <w:tcW w:w="1799" w:type="dxa"/>
            <w:vAlign w:val="center"/>
          </w:tcPr>
          <w:p w14:paraId="4204BF81">
            <w:pPr>
              <w:widowControl/>
              <w:ind w:firstLine="420"/>
              <w:jc w:val="left"/>
              <w:rPr>
                <w:rFonts w:hint="eastAsia" w:ascii="宋体" w:hAnsi="宋体"/>
                <w:color w:val="FF0000"/>
                <w:szCs w:val="21"/>
              </w:rPr>
            </w:pPr>
            <w:r>
              <w:rPr>
                <w:rFonts w:hint="eastAsia" w:ascii="宋体" w:hAnsi="宋体"/>
                <w:color w:val="FF0000"/>
                <w:szCs w:val="21"/>
              </w:rPr>
              <w:t>0.05%</w:t>
            </w:r>
          </w:p>
        </w:tc>
        <w:tc>
          <w:tcPr>
            <w:tcW w:w="1799" w:type="dxa"/>
            <w:vAlign w:val="center"/>
          </w:tcPr>
          <w:p w14:paraId="226E2F62">
            <w:pPr>
              <w:widowControl/>
              <w:ind w:firstLine="420"/>
              <w:jc w:val="left"/>
              <w:rPr>
                <w:rFonts w:hint="eastAsia" w:ascii="宋体" w:hAnsi="宋体"/>
                <w:color w:val="FF0000"/>
                <w:szCs w:val="21"/>
              </w:rPr>
            </w:pPr>
            <w:r>
              <w:rPr>
                <w:rFonts w:hint="eastAsia" w:ascii="宋体" w:hAnsi="宋体"/>
                <w:color w:val="FF0000"/>
                <w:szCs w:val="21"/>
              </w:rPr>
              <w:t>0.05%</w:t>
            </w:r>
          </w:p>
        </w:tc>
      </w:tr>
      <w:tr w14:paraId="4A5E4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6A870E14">
            <w:pPr>
              <w:widowControl/>
              <w:ind w:firstLine="420"/>
              <w:jc w:val="left"/>
              <w:rPr>
                <w:rFonts w:hint="eastAsia" w:ascii="宋体" w:hAnsi="宋体"/>
                <w:color w:val="FF0000"/>
                <w:szCs w:val="21"/>
              </w:rPr>
            </w:pPr>
            <w:r>
              <w:rPr>
                <w:rFonts w:hint="eastAsia" w:ascii="宋体" w:hAnsi="宋体"/>
                <w:color w:val="FF0000"/>
                <w:szCs w:val="21"/>
              </w:rPr>
              <w:t>5亿元（含）-10亿元</w:t>
            </w:r>
          </w:p>
        </w:tc>
        <w:tc>
          <w:tcPr>
            <w:tcW w:w="1799" w:type="dxa"/>
            <w:vAlign w:val="center"/>
          </w:tcPr>
          <w:p w14:paraId="5D248E48">
            <w:pPr>
              <w:widowControl/>
              <w:ind w:firstLine="420"/>
              <w:jc w:val="left"/>
              <w:rPr>
                <w:rFonts w:hint="eastAsia" w:ascii="宋体" w:hAnsi="宋体"/>
                <w:color w:val="FF0000"/>
                <w:szCs w:val="21"/>
              </w:rPr>
            </w:pPr>
            <w:r>
              <w:rPr>
                <w:rFonts w:hint="eastAsia" w:ascii="宋体" w:hAnsi="宋体"/>
                <w:color w:val="FF0000"/>
                <w:szCs w:val="21"/>
              </w:rPr>
              <w:t>0.035%</w:t>
            </w:r>
          </w:p>
        </w:tc>
        <w:tc>
          <w:tcPr>
            <w:tcW w:w="1799" w:type="dxa"/>
            <w:vAlign w:val="center"/>
          </w:tcPr>
          <w:p w14:paraId="5F20E232">
            <w:pPr>
              <w:widowControl/>
              <w:ind w:firstLine="420"/>
              <w:jc w:val="left"/>
              <w:rPr>
                <w:rFonts w:hint="eastAsia" w:ascii="宋体" w:hAnsi="宋体"/>
                <w:color w:val="FF0000"/>
                <w:szCs w:val="21"/>
              </w:rPr>
            </w:pPr>
            <w:r>
              <w:rPr>
                <w:rFonts w:hint="eastAsia" w:ascii="宋体" w:hAnsi="宋体"/>
                <w:color w:val="FF0000"/>
                <w:szCs w:val="21"/>
              </w:rPr>
              <w:t>0.035%</w:t>
            </w:r>
          </w:p>
        </w:tc>
        <w:tc>
          <w:tcPr>
            <w:tcW w:w="1799" w:type="dxa"/>
            <w:vAlign w:val="center"/>
          </w:tcPr>
          <w:p w14:paraId="3283E1A2">
            <w:pPr>
              <w:widowControl/>
              <w:ind w:firstLine="420"/>
              <w:jc w:val="left"/>
              <w:rPr>
                <w:rFonts w:hint="eastAsia" w:ascii="宋体" w:hAnsi="宋体"/>
                <w:color w:val="FF0000"/>
                <w:szCs w:val="21"/>
              </w:rPr>
            </w:pPr>
            <w:r>
              <w:rPr>
                <w:rFonts w:hint="eastAsia" w:ascii="宋体" w:hAnsi="宋体"/>
                <w:color w:val="FF0000"/>
                <w:szCs w:val="21"/>
              </w:rPr>
              <w:t>0.035%</w:t>
            </w:r>
          </w:p>
        </w:tc>
      </w:tr>
      <w:tr w14:paraId="3508F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02A14B6D">
            <w:pPr>
              <w:widowControl/>
              <w:ind w:firstLine="420"/>
              <w:jc w:val="left"/>
              <w:rPr>
                <w:rFonts w:hint="eastAsia" w:ascii="宋体" w:hAnsi="宋体"/>
                <w:color w:val="FF0000"/>
                <w:szCs w:val="21"/>
              </w:rPr>
            </w:pPr>
            <w:r>
              <w:rPr>
                <w:rFonts w:hint="eastAsia" w:ascii="宋体" w:hAnsi="宋体"/>
                <w:color w:val="FF0000"/>
                <w:szCs w:val="21"/>
              </w:rPr>
              <w:t>10亿元（含）-50亿元</w:t>
            </w:r>
          </w:p>
        </w:tc>
        <w:tc>
          <w:tcPr>
            <w:tcW w:w="1799" w:type="dxa"/>
            <w:vAlign w:val="center"/>
          </w:tcPr>
          <w:p w14:paraId="7A8072A3">
            <w:pPr>
              <w:widowControl/>
              <w:ind w:firstLine="420"/>
              <w:jc w:val="left"/>
              <w:rPr>
                <w:rFonts w:hint="eastAsia" w:ascii="宋体" w:hAnsi="宋体"/>
                <w:color w:val="FF0000"/>
                <w:szCs w:val="21"/>
              </w:rPr>
            </w:pPr>
            <w:r>
              <w:rPr>
                <w:rFonts w:hint="eastAsia" w:ascii="宋体" w:hAnsi="宋体"/>
                <w:color w:val="FF0000"/>
                <w:szCs w:val="21"/>
              </w:rPr>
              <w:t>0.008%</w:t>
            </w:r>
          </w:p>
        </w:tc>
        <w:tc>
          <w:tcPr>
            <w:tcW w:w="1799" w:type="dxa"/>
            <w:vAlign w:val="center"/>
          </w:tcPr>
          <w:p w14:paraId="7FE51F45">
            <w:pPr>
              <w:widowControl/>
              <w:ind w:firstLine="420"/>
              <w:jc w:val="left"/>
              <w:rPr>
                <w:rFonts w:hint="eastAsia" w:ascii="宋体" w:hAnsi="宋体"/>
                <w:color w:val="FF0000"/>
                <w:szCs w:val="21"/>
              </w:rPr>
            </w:pPr>
            <w:r>
              <w:rPr>
                <w:rFonts w:hint="eastAsia" w:ascii="宋体" w:hAnsi="宋体"/>
                <w:color w:val="FF0000"/>
                <w:szCs w:val="21"/>
              </w:rPr>
              <w:t>0.008%</w:t>
            </w:r>
          </w:p>
        </w:tc>
        <w:tc>
          <w:tcPr>
            <w:tcW w:w="1799" w:type="dxa"/>
            <w:vAlign w:val="center"/>
          </w:tcPr>
          <w:p w14:paraId="475BD494">
            <w:pPr>
              <w:widowControl/>
              <w:ind w:firstLine="420"/>
              <w:jc w:val="left"/>
              <w:rPr>
                <w:rFonts w:hint="eastAsia" w:ascii="宋体" w:hAnsi="宋体"/>
                <w:color w:val="FF0000"/>
                <w:szCs w:val="21"/>
              </w:rPr>
            </w:pPr>
            <w:r>
              <w:rPr>
                <w:rFonts w:hint="eastAsia" w:ascii="宋体" w:hAnsi="宋体"/>
                <w:color w:val="FF0000"/>
                <w:szCs w:val="21"/>
              </w:rPr>
              <w:t>0.008%</w:t>
            </w:r>
          </w:p>
        </w:tc>
      </w:tr>
      <w:tr w14:paraId="3A0AE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5BDB509F">
            <w:pPr>
              <w:widowControl/>
              <w:ind w:firstLine="420"/>
              <w:jc w:val="left"/>
              <w:rPr>
                <w:rFonts w:hint="eastAsia" w:ascii="宋体" w:hAnsi="宋体"/>
                <w:color w:val="FF0000"/>
                <w:szCs w:val="21"/>
              </w:rPr>
            </w:pPr>
            <w:r>
              <w:rPr>
                <w:rFonts w:hint="eastAsia" w:ascii="宋体" w:hAnsi="宋体"/>
                <w:color w:val="FF0000"/>
                <w:szCs w:val="21"/>
              </w:rPr>
              <w:t>50亿元（含）-100亿元</w:t>
            </w:r>
          </w:p>
        </w:tc>
        <w:tc>
          <w:tcPr>
            <w:tcW w:w="1799" w:type="dxa"/>
            <w:vAlign w:val="center"/>
          </w:tcPr>
          <w:p w14:paraId="05BBC26B">
            <w:pPr>
              <w:widowControl/>
              <w:ind w:firstLine="420"/>
              <w:jc w:val="left"/>
              <w:rPr>
                <w:rFonts w:hint="eastAsia" w:ascii="宋体" w:hAnsi="宋体"/>
                <w:color w:val="FF0000"/>
                <w:szCs w:val="21"/>
              </w:rPr>
            </w:pPr>
            <w:r>
              <w:rPr>
                <w:rFonts w:hint="eastAsia" w:ascii="宋体" w:hAnsi="宋体"/>
                <w:color w:val="FF0000"/>
                <w:szCs w:val="21"/>
              </w:rPr>
              <w:t>0.006%</w:t>
            </w:r>
          </w:p>
        </w:tc>
        <w:tc>
          <w:tcPr>
            <w:tcW w:w="1799" w:type="dxa"/>
            <w:vAlign w:val="center"/>
          </w:tcPr>
          <w:p w14:paraId="26776FAD">
            <w:pPr>
              <w:widowControl/>
              <w:ind w:firstLine="420"/>
              <w:jc w:val="left"/>
              <w:rPr>
                <w:rFonts w:hint="eastAsia" w:ascii="宋体" w:hAnsi="宋体"/>
                <w:color w:val="FF0000"/>
                <w:szCs w:val="21"/>
              </w:rPr>
            </w:pPr>
            <w:r>
              <w:rPr>
                <w:rFonts w:hint="eastAsia" w:ascii="宋体" w:hAnsi="宋体"/>
                <w:color w:val="FF0000"/>
                <w:szCs w:val="21"/>
              </w:rPr>
              <w:t>0.006%</w:t>
            </w:r>
          </w:p>
        </w:tc>
        <w:tc>
          <w:tcPr>
            <w:tcW w:w="1799" w:type="dxa"/>
            <w:vAlign w:val="center"/>
          </w:tcPr>
          <w:p w14:paraId="69D2E3A6">
            <w:pPr>
              <w:widowControl/>
              <w:ind w:firstLine="420"/>
              <w:jc w:val="left"/>
              <w:rPr>
                <w:rFonts w:hint="eastAsia" w:ascii="宋体" w:hAnsi="宋体"/>
                <w:color w:val="FF0000"/>
                <w:szCs w:val="21"/>
              </w:rPr>
            </w:pPr>
            <w:r>
              <w:rPr>
                <w:rFonts w:hint="eastAsia" w:ascii="宋体" w:hAnsi="宋体"/>
                <w:color w:val="FF0000"/>
                <w:szCs w:val="21"/>
              </w:rPr>
              <w:t>0.006%</w:t>
            </w:r>
          </w:p>
        </w:tc>
      </w:tr>
      <w:tr w14:paraId="3E47F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7A90D4E1">
            <w:pPr>
              <w:widowControl/>
              <w:ind w:firstLine="420"/>
              <w:jc w:val="left"/>
              <w:rPr>
                <w:rFonts w:hint="eastAsia" w:ascii="宋体" w:hAnsi="宋体"/>
                <w:color w:val="FF0000"/>
                <w:szCs w:val="21"/>
              </w:rPr>
            </w:pPr>
            <w:r>
              <w:rPr>
                <w:rFonts w:hint="eastAsia" w:ascii="宋体" w:hAnsi="宋体"/>
                <w:color w:val="FF0000"/>
                <w:szCs w:val="21"/>
              </w:rPr>
              <w:t>100亿元（含）以上</w:t>
            </w:r>
          </w:p>
        </w:tc>
        <w:tc>
          <w:tcPr>
            <w:tcW w:w="1799" w:type="dxa"/>
            <w:vAlign w:val="center"/>
          </w:tcPr>
          <w:p w14:paraId="75A1CC73">
            <w:pPr>
              <w:widowControl/>
              <w:ind w:firstLine="420"/>
              <w:jc w:val="left"/>
              <w:rPr>
                <w:rFonts w:hint="eastAsia" w:ascii="宋体" w:hAnsi="宋体"/>
                <w:color w:val="FF0000"/>
                <w:szCs w:val="21"/>
              </w:rPr>
            </w:pPr>
            <w:r>
              <w:rPr>
                <w:rFonts w:hint="eastAsia" w:ascii="宋体" w:hAnsi="宋体"/>
                <w:color w:val="FF0000"/>
                <w:szCs w:val="21"/>
              </w:rPr>
              <w:t>0.004%</w:t>
            </w:r>
          </w:p>
        </w:tc>
        <w:tc>
          <w:tcPr>
            <w:tcW w:w="1799" w:type="dxa"/>
            <w:vAlign w:val="center"/>
          </w:tcPr>
          <w:p w14:paraId="39AA1153">
            <w:pPr>
              <w:widowControl/>
              <w:ind w:firstLine="420"/>
              <w:jc w:val="left"/>
              <w:rPr>
                <w:rFonts w:hint="eastAsia" w:ascii="宋体" w:hAnsi="宋体"/>
                <w:color w:val="FF0000"/>
                <w:szCs w:val="21"/>
              </w:rPr>
            </w:pPr>
            <w:r>
              <w:rPr>
                <w:rFonts w:hint="eastAsia" w:ascii="宋体" w:hAnsi="宋体"/>
                <w:color w:val="FF0000"/>
                <w:szCs w:val="21"/>
              </w:rPr>
              <w:t>0.004%</w:t>
            </w:r>
          </w:p>
        </w:tc>
        <w:tc>
          <w:tcPr>
            <w:tcW w:w="1799" w:type="dxa"/>
            <w:vAlign w:val="center"/>
          </w:tcPr>
          <w:p w14:paraId="5874431C">
            <w:pPr>
              <w:widowControl/>
              <w:ind w:firstLine="420"/>
              <w:jc w:val="left"/>
              <w:rPr>
                <w:rFonts w:hint="eastAsia" w:ascii="宋体" w:hAnsi="宋体"/>
                <w:color w:val="FF0000"/>
                <w:szCs w:val="21"/>
              </w:rPr>
            </w:pPr>
            <w:r>
              <w:rPr>
                <w:rFonts w:hint="eastAsia" w:ascii="宋体" w:hAnsi="宋体"/>
                <w:color w:val="FF0000"/>
                <w:szCs w:val="21"/>
              </w:rPr>
              <w:t>0.004%</w:t>
            </w:r>
          </w:p>
        </w:tc>
      </w:tr>
    </w:tbl>
    <w:p w14:paraId="68840395">
      <w:pPr>
        <w:widowControl/>
        <w:ind w:firstLine="420"/>
        <w:jc w:val="left"/>
        <w:rPr>
          <w:rFonts w:hint="eastAsia" w:ascii="宋体" w:hAnsi="宋体"/>
          <w:color w:val="FF0000"/>
          <w:szCs w:val="21"/>
        </w:rPr>
      </w:pPr>
      <w:r>
        <w:rPr>
          <w:rFonts w:hint="eastAsia" w:ascii="宋体" w:hAnsi="宋体"/>
          <w:color w:val="FF0000"/>
          <w:szCs w:val="21"/>
        </w:rPr>
        <w:t>备注：1.每宗交易代理服务费不低于 5000 元；</w:t>
      </w:r>
    </w:p>
    <w:p w14:paraId="1212A04E">
      <w:pPr>
        <w:widowControl/>
        <w:ind w:firstLine="420"/>
        <w:jc w:val="left"/>
        <w:rPr>
          <w:rFonts w:hint="eastAsia" w:ascii="宋体" w:hAnsi="宋体"/>
          <w:color w:val="FF0000"/>
          <w:szCs w:val="21"/>
        </w:rPr>
      </w:pPr>
      <w:r>
        <w:rPr>
          <w:rFonts w:hint="eastAsia" w:ascii="宋体" w:hAnsi="宋体"/>
          <w:color w:val="FF0000"/>
          <w:szCs w:val="21"/>
        </w:rPr>
        <w:t>2.对于报总价的采购类项目，中标（成交）价为中标（成交）金额；对于报单价或折扣或费率的采购类项目，中标（成交）价为预算上限金额或经委托方与代理方确定的支付上限金额。</w:t>
      </w:r>
    </w:p>
    <w:p w14:paraId="742E9730">
      <w:pPr>
        <w:widowControl/>
        <w:ind w:firstLine="420"/>
        <w:jc w:val="left"/>
        <w:rPr>
          <w:rFonts w:hint="eastAsia" w:ascii="宋体" w:hAnsi="宋体"/>
          <w:color w:val="FF0000"/>
          <w:szCs w:val="21"/>
        </w:rPr>
      </w:pPr>
      <w:r>
        <w:rPr>
          <w:rFonts w:hint="eastAsia" w:ascii="宋体" w:hAnsi="宋体"/>
          <w:color w:val="FF0000"/>
          <w:szCs w:val="21"/>
        </w:rPr>
        <w:t>如某货物采购项目，中标（成交）金额为600万元，总共交纳的代理服务费的具体计算过程如下：</w:t>
      </w:r>
    </w:p>
    <w:p w14:paraId="2248175B">
      <w:pPr>
        <w:widowControl/>
        <w:ind w:firstLine="420"/>
        <w:jc w:val="left"/>
        <w:rPr>
          <w:rFonts w:hint="eastAsia" w:ascii="宋体" w:hAnsi="宋体"/>
          <w:color w:val="FF0000"/>
          <w:szCs w:val="21"/>
        </w:rPr>
      </w:pPr>
      <w:r>
        <w:rPr>
          <w:rFonts w:hint="eastAsia" w:ascii="宋体" w:hAnsi="宋体"/>
          <w:color w:val="FF0000"/>
          <w:szCs w:val="21"/>
        </w:rPr>
        <w:t>标准代理服务费＝（100万以下部分的代理服务费）+（100万～500万部分的代理服务费）+（500万～600万部分的代理服务费）＝100万元×1.5%+（500-100）万元×1.1%+（600-500）万元×0.8%=1.5万元+4.4万元+0.8万元＝6.7万元</w:t>
      </w:r>
    </w:p>
    <w:p w14:paraId="1E537385">
      <w:pPr>
        <w:widowControl/>
        <w:ind w:firstLine="420"/>
        <w:jc w:val="left"/>
        <w:rPr>
          <w:rFonts w:hint="eastAsia" w:ascii="宋体" w:hAnsi="宋体" w:eastAsia="黑体" w:cs="Times New Roman"/>
          <w:bCs/>
          <w:kern w:val="44"/>
          <w:szCs w:val="21"/>
        </w:rPr>
      </w:pPr>
      <w:r>
        <w:rPr>
          <w:rFonts w:hint="eastAsia" w:ascii="宋体" w:hAnsi="宋体"/>
          <w:color w:val="FF0000"/>
          <w:szCs w:val="21"/>
        </w:rPr>
        <w:t>（3）中标（成交）供应商成交后，必须按规定采用银行对公转账方式向深圳交易集团有限公司直接交纳代理服务费，交纳信息及要求按照缴款（付款）通知书执行。</w:t>
      </w:r>
    </w:p>
    <w:p w14:paraId="2DD1ACB3">
      <w:pPr>
        <w:widowControl/>
        <w:jc w:val="left"/>
        <w:rPr>
          <w:rFonts w:hint="eastAsia" w:ascii="宋体" w:hAnsi="宋体" w:eastAsia="黑体" w:cs="Times New Roman"/>
          <w:bCs/>
          <w:kern w:val="44"/>
          <w:sz w:val="28"/>
          <w:szCs w:val="44"/>
        </w:rPr>
      </w:pPr>
    </w:p>
    <w:p w14:paraId="6C4045CE">
      <w:pPr>
        <w:keepNext/>
        <w:keepLines/>
        <w:adjustRightInd w:val="0"/>
        <w:spacing w:before="260" w:after="260"/>
        <w:jc w:val="center"/>
        <w:textAlignment w:val="baseline"/>
        <w:outlineLvl w:val="1"/>
        <w:rPr>
          <w:rFonts w:hint="eastAsia" w:ascii="宋体" w:hAnsi="宋体" w:eastAsia="宋体" w:cs="Times New Roman"/>
          <w:b/>
          <w:bCs/>
          <w:kern w:val="0"/>
          <w:sz w:val="28"/>
          <w:szCs w:val="28"/>
        </w:rPr>
      </w:pPr>
      <w:r>
        <w:rPr>
          <w:rFonts w:hint="eastAsia" w:ascii="宋体" w:hAnsi="宋体" w:eastAsia="宋体" w:cs="Times New Roman"/>
          <w:b/>
          <w:bCs/>
          <w:kern w:val="0"/>
          <w:sz w:val="28"/>
          <w:szCs w:val="28"/>
        </w:rPr>
        <w:t>第三章 用户需求书</w:t>
      </w:r>
    </w:p>
    <w:p w14:paraId="0656921D">
      <w:pPr>
        <w:keepNext/>
        <w:keepLines/>
        <w:tabs>
          <w:tab w:val="left" w:pos="1680"/>
        </w:tabs>
        <w:spacing w:before="260" w:after="78" w:afterLines="25"/>
        <w:jc w:val="center"/>
        <w:outlineLvl w:val="2"/>
        <w:rPr>
          <w:rFonts w:ascii="Arial" w:hAnsi="Arial" w:eastAsia="宋体" w:cs="Times New Roman"/>
          <w:b/>
          <w:sz w:val="32"/>
          <w:szCs w:val="32"/>
        </w:rPr>
      </w:pPr>
      <w:r>
        <w:rPr>
          <w:rFonts w:hint="eastAsia" w:ascii="Arial" w:hAnsi="Arial" w:eastAsia="宋体" w:cs="Times New Roman"/>
          <w:b/>
          <w:sz w:val="32"/>
          <w:szCs w:val="32"/>
        </w:rPr>
        <w:t>一、项目基本信息</w:t>
      </w:r>
    </w:p>
    <w:tbl>
      <w:tblPr>
        <w:tblStyle w:val="17"/>
        <w:tblW w:w="8931" w:type="dxa"/>
        <w:jc w:val="center"/>
        <w:tblLayout w:type="fixed"/>
        <w:tblCellMar>
          <w:top w:w="15" w:type="dxa"/>
          <w:left w:w="15" w:type="dxa"/>
          <w:bottom w:w="15" w:type="dxa"/>
          <w:right w:w="15" w:type="dxa"/>
        </w:tblCellMar>
      </w:tblPr>
      <w:tblGrid>
        <w:gridCol w:w="710"/>
        <w:gridCol w:w="2693"/>
        <w:gridCol w:w="2906"/>
        <w:gridCol w:w="2622"/>
      </w:tblGrid>
      <w:tr w14:paraId="75A7FD1C">
        <w:tblPrEx>
          <w:tblCellMar>
            <w:top w:w="15" w:type="dxa"/>
            <w:left w:w="15" w:type="dxa"/>
            <w:bottom w:w="15" w:type="dxa"/>
            <w:right w:w="15" w:type="dxa"/>
          </w:tblCellMar>
        </w:tblPrEx>
        <w:trPr>
          <w:trHeight w:val="552" w:hRule="atLeast"/>
          <w:jc w:val="center"/>
        </w:trPr>
        <w:tc>
          <w:tcPr>
            <w:tcW w:w="710" w:type="dxa"/>
            <w:tcBorders>
              <w:top w:val="single" w:color="000000" w:sz="4" w:space="0"/>
              <w:left w:val="single" w:color="000000" w:sz="4" w:space="0"/>
              <w:bottom w:val="single" w:color="000000" w:sz="4" w:space="0"/>
              <w:right w:val="single" w:color="auto" w:sz="4" w:space="0"/>
            </w:tcBorders>
            <w:shd w:val="clear" w:color="auto" w:fill="C6D9F0" w:themeFill="text2" w:themeFillTint="33"/>
            <w:vAlign w:val="center"/>
          </w:tcPr>
          <w:p w14:paraId="56E6C80F">
            <w:pPr>
              <w:jc w:val="center"/>
            </w:pPr>
            <w:r>
              <w:rPr>
                <w:rFonts w:hint="eastAsia"/>
              </w:rPr>
              <w:t>序号</w:t>
            </w:r>
          </w:p>
        </w:tc>
        <w:tc>
          <w:tcPr>
            <w:tcW w:w="2693" w:type="dxa"/>
            <w:tcBorders>
              <w:top w:val="single" w:color="000000" w:sz="4" w:space="0"/>
              <w:left w:val="single" w:color="auto" w:sz="4" w:space="0"/>
              <w:bottom w:val="single" w:color="000000" w:sz="4" w:space="0"/>
              <w:right w:val="single" w:color="000000" w:sz="4" w:space="0"/>
            </w:tcBorders>
            <w:shd w:val="clear" w:color="auto" w:fill="C6D9F0" w:themeFill="text2" w:themeFillTint="33"/>
            <w:vAlign w:val="center"/>
          </w:tcPr>
          <w:p w14:paraId="643629A7">
            <w:pPr>
              <w:jc w:val="center"/>
            </w:pPr>
            <w:r>
              <w:rPr>
                <w:rFonts w:hint="eastAsia"/>
              </w:rPr>
              <w:t>项目编号</w:t>
            </w:r>
          </w:p>
        </w:tc>
        <w:tc>
          <w:tcPr>
            <w:tcW w:w="2906" w:type="dxa"/>
            <w:tcBorders>
              <w:top w:val="single" w:color="000000" w:sz="4" w:space="0"/>
              <w:left w:val="single" w:color="000000" w:sz="4" w:space="0"/>
              <w:bottom w:val="single" w:color="000000" w:sz="4" w:space="0"/>
              <w:right w:val="single" w:color="000000" w:sz="4" w:space="0"/>
            </w:tcBorders>
            <w:shd w:val="clear" w:color="auto" w:fill="C6D9F0" w:themeFill="text2" w:themeFillTint="33"/>
            <w:vAlign w:val="center"/>
          </w:tcPr>
          <w:p w14:paraId="04C98F3D">
            <w:pPr>
              <w:jc w:val="center"/>
            </w:pPr>
            <w:r>
              <w:rPr>
                <w:rFonts w:hint="eastAsia"/>
              </w:rPr>
              <w:t>采购项目名称</w:t>
            </w:r>
          </w:p>
        </w:tc>
        <w:tc>
          <w:tcPr>
            <w:tcW w:w="2622" w:type="dxa"/>
            <w:tcBorders>
              <w:top w:val="single" w:color="000000" w:sz="4" w:space="0"/>
              <w:left w:val="single" w:color="000000" w:sz="4" w:space="0"/>
              <w:bottom w:val="single" w:color="000000" w:sz="4" w:space="0"/>
              <w:right w:val="single" w:color="000000" w:sz="4" w:space="0"/>
            </w:tcBorders>
            <w:shd w:val="clear" w:color="auto" w:fill="C6D9F0" w:themeFill="text2" w:themeFillTint="33"/>
            <w:vAlign w:val="center"/>
          </w:tcPr>
          <w:p w14:paraId="21270C2A">
            <w:pPr>
              <w:jc w:val="center"/>
            </w:pPr>
            <w:r>
              <w:rPr>
                <w:rFonts w:hint="eastAsia" w:asciiTheme="minorEastAsia" w:hAnsiTheme="minorEastAsia"/>
                <w:sz w:val="24"/>
                <w:szCs w:val="24"/>
              </w:rPr>
              <w:t>财政预算限额（元）</w:t>
            </w:r>
          </w:p>
        </w:tc>
      </w:tr>
      <w:tr w14:paraId="1C8C56C2">
        <w:tblPrEx>
          <w:tblCellMar>
            <w:top w:w="15" w:type="dxa"/>
            <w:left w:w="15" w:type="dxa"/>
            <w:bottom w:w="15" w:type="dxa"/>
            <w:right w:w="15" w:type="dxa"/>
          </w:tblCellMar>
        </w:tblPrEx>
        <w:trPr>
          <w:trHeight w:val="286" w:hRule="atLeast"/>
          <w:jc w:val="center"/>
        </w:trPr>
        <w:tc>
          <w:tcPr>
            <w:tcW w:w="710" w:type="dxa"/>
            <w:tcBorders>
              <w:top w:val="single" w:color="000000" w:sz="4" w:space="0"/>
              <w:left w:val="single" w:color="000000" w:sz="4" w:space="0"/>
              <w:bottom w:val="single" w:color="000000" w:sz="4" w:space="0"/>
              <w:right w:val="single" w:color="auto" w:sz="4" w:space="0"/>
            </w:tcBorders>
            <w:vAlign w:val="center"/>
          </w:tcPr>
          <w:p w14:paraId="05310EE9">
            <w:pPr>
              <w:jc w:val="center"/>
              <w:rPr>
                <w:rFonts w:hint="eastAsia" w:eastAsiaTheme="minorEastAsia"/>
                <w:lang w:eastAsia="zh-CN"/>
              </w:rPr>
            </w:pPr>
            <w:r>
              <w:rPr>
                <w:rFonts w:hint="eastAsia" w:eastAsiaTheme="minorEastAsia"/>
                <w:lang w:eastAsia="zh-CN"/>
              </w:rPr>
              <w:t>1</w:t>
            </w:r>
          </w:p>
        </w:tc>
        <w:tc>
          <w:tcPr>
            <w:tcW w:w="2693" w:type="dxa"/>
            <w:tcBorders>
              <w:top w:val="single" w:color="000000" w:sz="4" w:space="0"/>
              <w:left w:val="single" w:color="auto" w:sz="4" w:space="0"/>
              <w:bottom w:val="single" w:color="000000" w:sz="4" w:space="0"/>
              <w:right w:val="single" w:color="000000" w:sz="4" w:space="0"/>
            </w:tcBorders>
            <w:vAlign w:val="center"/>
          </w:tcPr>
          <w:p w14:paraId="7814398A">
            <w:pPr>
              <w:jc w:val="center"/>
              <w:rPr>
                <w:rFonts w:hint="default" w:eastAsiaTheme="minorEastAsia"/>
                <w:lang w:val="en-US" w:eastAsia="zh-CN"/>
              </w:rPr>
            </w:pPr>
            <w:r>
              <w:rPr>
                <w:rFonts w:hint="eastAsia" w:eastAsiaTheme="minorEastAsia"/>
                <w:lang w:val="en-US" w:eastAsia="zh-CN"/>
              </w:rPr>
              <w:t>LHAZXCG-2025-000</w:t>
            </w:r>
            <w:r>
              <w:rPr>
                <w:rFonts w:hint="eastAsia"/>
                <w:lang w:val="en-US" w:eastAsia="zh-CN"/>
              </w:rPr>
              <w:t>48</w:t>
            </w:r>
          </w:p>
        </w:tc>
        <w:tc>
          <w:tcPr>
            <w:tcW w:w="2906" w:type="dxa"/>
            <w:tcBorders>
              <w:top w:val="single" w:color="000000" w:sz="4" w:space="0"/>
              <w:left w:val="single" w:color="000000" w:sz="4" w:space="0"/>
              <w:right w:val="single" w:color="000000" w:sz="4" w:space="0"/>
            </w:tcBorders>
            <w:vAlign w:val="center"/>
          </w:tcPr>
          <w:p w14:paraId="2F39947D">
            <w:pPr>
              <w:jc w:val="center"/>
              <w:rPr>
                <w:rFonts w:hint="eastAsia" w:eastAsiaTheme="minorEastAsia"/>
                <w:lang w:eastAsia="zh-CN"/>
              </w:rPr>
            </w:pPr>
            <w:r>
              <w:rPr>
                <w:rFonts w:hint="eastAsia" w:eastAsiaTheme="minorEastAsia"/>
                <w:lang w:eastAsia="zh-CN"/>
              </w:rPr>
              <w:t xml:space="preserve"> </w:t>
            </w:r>
            <w:r>
              <w:rPr>
                <w:rFonts w:hint="eastAsia"/>
                <w:lang w:eastAsia="zh-CN"/>
              </w:rPr>
              <w:t>儿童家私</w:t>
            </w:r>
            <w:r>
              <w:rPr>
                <w:rFonts w:hint="eastAsia" w:eastAsiaTheme="minorEastAsia"/>
                <w:lang w:eastAsia="zh-CN"/>
              </w:rPr>
              <w:t>采购</w:t>
            </w:r>
          </w:p>
        </w:tc>
        <w:tc>
          <w:tcPr>
            <w:tcW w:w="2622" w:type="dxa"/>
            <w:vMerge w:val="restart"/>
            <w:tcBorders>
              <w:top w:val="single" w:color="000000" w:sz="4" w:space="0"/>
              <w:left w:val="single" w:color="000000" w:sz="4" w:space="0"/>
              <w:right w:val="single" w:color="000000" w:sz="4" w:space="0"/>
            </w:tcBorders>
            <w:vAlign w:val="center"/>
          </w:tcPr>
          <w:p w14:paraId="78B3F140">
            <w:pPr>
              <w:jc w:val="center"/>
              <w:rPr>
                <w:rFonts w:hint="default" w:asciiTheme="minorEastAsia" w:hAnsiTheme="minorEastAsia" w:eastAsiaTheme="minorEastAsia"/>
                <w:sz w:val="24"/>
                <w:szCs w:val="24"/>
                <w:lang w:val="en-US" w:eastAsia="zh-CN"/>
              </w:rPr>
            </w:pPr>
            <w:r>
              <w:rPr>
                <w:rFonts w:hint="eastAsia" w:asciiTheme="minorEastAsia" w:hAnsiTheme="minorEastAsia"/>
                <w:sz w:val="24"/>
                <w:szCs w:val="24"/>
                <w:lang w:val="en-US" w:eastAsia="zh-CN"/>
              </w:rPr>
              <w:t>330100</w:t>
            </w:r>
          </w:p>
        </w:tc>
      </w:tr>
      <w:tr w14:paraId="649602CF">
        <w:tblPrEx>
          <w:tblCellMar>
            <w:top w:w="15" w:type="dxa"/>
            <w:left w:w="15" w:type="dxa"/>
            <w:bottom w:w="15" w:type="dxa"/>
            <w:right w:w="15" w:type="dxa"/>
          </w:tblCellMar>
        </w:tblPrEx>
        <w:trPr>
          <w:trHeight w:val="172" w:hRule="atLeast"/>
          <w:jc w:val="center"/>
        </w:trPr>
        <w:tc>
          <w:tcPr>
            <w:tcW w:w="6309" w:type="dxa"/>
            <w:gridSpan w:val="3"/>
            <w:tcBorders>
              <w:top w:val="single" w:color="000000" w:sz="4" w:space="0"/>
              <w:left w:val="single" w:color="000000" w:sz="4" w:space="0"/>
              <w:bottom w:val="single" w:color="auto" w:sz="4" w:space="0"/>
              <w:right w:val="single" w:color="000000" w:sz="4" w:space="0"/>
            </w:tcBorders>
            <w:vAlign w:val="center"/>
          </w:tcPr>
          <w:p w14:paraId="1D78058D">
            <w:pPr>
              <w:jc w:val="center"/>
            </w:pPr>
            <w:r>
              <w:rPr>
                <w:rFonts w:hint="eastAsia"/>
              </w:rPr>
              <w:t>合计（元）</w:t>
            </w:r>
          </w:p>
        </w:tc>
        <w:tc>
          <w:tcPr>
            <w:tcW w:w="2622" w:type="dxa"/>
            <w:vMerge w:val="continue"/>
            <w:tcBorders>
              <w:left w:val="single" w:color="000000" w:sz="4" w:space="0"/>
              <w:bottom w:val="single" w:color="auto" w:sz="4" w:space="0"/>
              <w:right w:val="single" w:color="000000" w:sz="4" w:space="0"/>
            </w:tcBorders>
            <w:vAlign w:val="center"/>
          </w:tcPr>
          <w:p w14:paraId="45A16114">
            <w:pPr>
              <w:jc w:val="center"/>
              <w:rPr>
                <w:rFonts w:hint="eastAsia" w:asciiTheme="minorEastAsia" w:hAnsiTheme="minorEastAsia"/>
                <w:sz w:val="24"/>
                <w:szCs w:val="24"/>
              </w:rPr>
            </w:pPr>
          </w:p>
        </w:tc>
      </w:tr>
    </w:tbl>
    <w:p w14:paraId="731395A4">
      <w:pPr>
        <w:rPr>
          <w:sz w:val="24"/>
          <w:szCs w:val="24"/>
        </w:rPr>
      </w:pPr>
      <w:r>
        <w:rPr>
          <w:rFonts w:hint="eastAsia" w:ascii="Arial" w:hAnsi="Arial" w:eastAsia="宋体" w:cs="Times New Roman"/>
          <w:b/>
          <w:color w:val="FF0000"/>
          <w:sz w:val="24"/>
          <w:szCs w:val="24"/>
        </w:rPr>
        <w:t>本项目控制金额为人民币</w:t>
      </w:r>
      <w:r>
        <w:rPr>
          <w:rFonts w:hint="eastAsia" w:ascii="Arial" w:hAnsi="Arial" w:eastAsia="宋体" w:cs="Times New Roman"/>
          <w:b/>
          <w:color w:val="FF0000"/>
          <w:sz w:val="24"/>
          <w:szCs w:val="24"/>
          <w:lang w:val="en-US" w:eastAsia="zh-CN"/>
        </w:rPr>
        <w:t>330100</w:t>
      </w:r>
      <w:r>
        <w:rPr>
          <w:rFonts w:hint="eastAsia" w:ascii="Arial" w:hAnsi="Arial" w:eastAsia="宋体" w:cs="Times New Roman"/>
          <w:b/>
          <w:color w:val="0000FF"/>
          <w:sz w:val="24"/>
          <w:szCs w:val="24"/>
        </w:rPr>
        <w:t>元</w:t>
      </w:r>
      <w:r>
        <w:rPr>
          <w:rFonts w:hint="eastAsia" w:ascii="Arial" w:hAnsi="Arial" w:eastAsia="宋体" w:cs="Times New Roman"/>
          <w:b/>
          <w:color w:val="FF0000"/>
          <w:sz w:val="24"/>
          <w:szCs w:val="24"/>
        </w:rPr>
        <w:t>，投标报价超出控制金额将作投标无效处理。</w:t>
      </w:r>
    </w:p>
    <w:p w14:paraId="683662B6">
      <w:pPr>
        <w:keepNext/>
        <w:keepLines/>
        <w:tabs>
          <w:tab w:val="left" w:pos="1680"/>
        </w:tabs>
        <w:spacing w:before="260" w:after="78" w:afterLines="25"/>
        <w:jc w:val="center"/>
        <w:outlineLvl w:val="2"/>
        <w:rPr>
          <w:rFonts w:ascii="Arial" w:hAnsi="Arial" w:eastAsia="宋体" w:cs="Times New Roman"/>
          <w:b/>
          <w:sz w:val="32"/>
          <w:szCs w:val="32"/>
        </w:rPr>
      </w:pPr>
      <w:r>
        <w:rPr>
          <w:rFonts w:hint="eastAsia" w:ascii="Arial" w:hAnsi="Arial" w:eastAsia="宋体" w:cs="Times New Roman"/>
          <w:b/>
          <w:sz w:val="32"/>
          <w:szCs w:val="32"/>
        </w:rPr>
        <w:t>二、</w:t>
      </w:r>
      <w:r>
        <w:rPr>
          <w:rFonts w:hint="eastAsia" w:ascii="Arial" w:hAnsi="Arial" w:eastAsia="宋体" w:cs="Times New Roman"/>
          <w:b/>
          <w:color w:val="FF0000"/>
          <w:sz w:val="32"/>
          <w:szCs w:val="32"/>
        </w:rPr>
        <w:t>★</w:t>
      </w:r>
      <w:r>
        <w:rPr>
          <w:rFonts w:hint="eastAsia" w:ascii="Arial" w:hAnsi="Arial" w:eastAsia="宋体" w:cs="Times New Roman"/>
          <w:b/>
          <w:sz w:val="32"/>
          <w:szCs w:val="32"/>
        </w:rPr>
        <w:t>货物需求明细</w:t>
      </w:r>
    </w:p>
    <w:p w14:paraId="34525547">
      <w:pPr>
        <w:rPr>
          <w:u w:val="single"/>
        </w:rPr>
      </w:pPr>
      <w:r>
        <w:rPr>
          <w:rFonts w:hint="eastAsia" w:ascii="宋体" w:hAnsi="宋体"/>
          <w:b/>
          <w:color w:val="FF0000"/>
          <w:sz w:val="32"/>
          <w:szCs w:val="32"/>
        </w:rPr>
        <w:t>本项目核心产品为：</w:t>
      </w:r>
      <w:r>
        <w:rPr>
          <w:rFonts w:hint="eastAsia" w:ascii="宋体" w:hAnsi="宋体"/>
          <w:b/>
          <w:color w:val="FF0000"/>
          <w:sz w:val="32"/>
          <w:szCs w:val="32"/>
          <w:u w:val="single"/>
        </w:rPr>
        <w:t xml:space="preserve"> </w:t>
      </w:r>
      <w:r>
        <w:rPr>
          <w:rFonts w:hint="eastAsia" w:ascii="宋体" w:hAnsi="宋体"/>
          <w:b/>
          <w:color w:val="FF0000"/>
          <w:sz w:val="32"/>
          <w:szCs w:val="32"/>
          <w:u w:val="single"/>
          <w:lang w:val="en-US" w:eastAsia="zh-CN"/>
        </w:rPr>
        <w:t>2.幼儿桌</w:t>
      </w:r>
      <w:r>
        <w:rPr>
          <w:rFonts w:hint="eastAsia" w:ascii="宋体" w:hAnsi="宋体"/>
          <w:b/>
          <w:color w:val="FF0000"/>
          <w:sz w:val="32"/>
          <w:szCs w:val="32"/>
          <w:u w:val="single"/>
        </w:rPr>
        <w:t xml:space="preserve"> </w:t>
      </w:r>
    </w:p>
    <w:tbl>
      <w:tblPr>
        <w:tblStyle w:val="17"/>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75"/>
        <w:gridCol w:w="1373"/>
        <w:gridCol w:w="539"/>
        <w:gridCol w:w="618"/>
        <w:gridCol w:w="803"/>
        <w:gridCol w:w="1303"/>
        <w:gridCol w:w="802"/>
        <w:gridCol w:w="974"/>
        <w:gridCol w:w="802"/>
        <w:gridCol w:w="830"/>
      </w:tblGrid>
      <w:tr w14:paraId="7CF56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1" w:hRule="atLeast"/>
        </w:trPr>
        <w:tc>
          <w:tcPr>
            <w:tcW w:w="27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472E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80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EAA0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货物名称</w:t>
            </w:r>
          </w:p>
        </w:tc>
        <w:tc>
          <w:tcPr>
            <w:tcW w:w="3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CA0E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c>
          <w:tcPr>
            <w:tcW w:w="3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4B51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12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6406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单价限额</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元</w:t>
            </w:r>
            <w:r>
              <w:rPr>
                <w:rFonts w:hint="default" w:ascii="Times New Roman" w:hAnsi="Times New Roman" w:eastAsia="宋体" w:cs="Times New Roman"/>
                <w:i w:val="0"/>
                <w:iCs w:val="0"/>
                <w:color w:val="000000"/>
                <w:kern w:val="0"/>
                <w:sz w:val="21"/>
                <w:szCs w:val="21"/>
                <w:u w:val="none"/>
                <w:lang w:val="en-US" w:eastAsia="zh-CN" w:bidi="ar"/>
              </w:rPr>
              <w:t>)</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B26A4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备注</w:t>
            </w:r>
          </w:p>
        </w:tc>
        <w:tc>
          <w:tcPr>
            <w:tcW w:w="5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EB30A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是否专门面向中小企业</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6D27D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标的所属行业</w:t>
            </w:r>
          </w:p>
        </w:tc>
        <w:tc>
          <w:tcPr>
            <w:tcW w:w="4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5D25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财政预算限额（元）</w:t>
            </w:r>
          </w:p>
        </w:tc>
      </w:tr>
      <w:tr w14:paraId="0B052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4E3423">
            <w:pPr>
              <w:jc w:val="center"/>
              <w:rPr>
                <w:rFonts w:hint="eastAsia" w:ascii="宋体" w:hAnsi="宋体" w:eastAsia="宋体" w:cs="宋体"/>
                <w:i w:val="0"/>
                <w:iCs w:val="0"/>
                <w:color w:val="000000"/>
                <w:sz w:val="21"/>
                <w:szCs w:val="21"/>
                <w:u w:val="none"/>
              </w:rPr>
            </w:pPr>
          </w:p>
        </w:tc>
        <w:tc>
          <w:tcPr>
            <w:tcW w:w="8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074066">
            <w:pPr>
              <w:jc w:val="center"/>
              <w:rPr>
                <w:rFonts w:hint="eastAsia" w:ascii="宋体" w:hAnsi="宋体" w:eastAsia="宋体" w:cs="宋体"/>
                <w:i w:val="0"/>
                <w:iCs w:val="0"/>
                <w:color w:val="000000"/>
                <w:sz w:val="21"/>
                <w:szCs w:val="21"/>
                <w:u w:val="none"/>
              </w:rPr>
            </w:pPr>
          </w:p>
        </w:tc>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34B13C">
            <w:pPr>
              <w:jc w:val="center"/>
              <w:rPr>
                <w:rFonts w:hint="eastAsia" w:ascii="宋体" w:hAnsi="宋体" w:eastAsia="宋体" w:cs="宋体"/>
                <w:i w:val="0"/>
                <w:iCs w:val="0"/>
                <w:color w:val="000000"/>
                <w:sz w:val="21"/>
                <w:szCs w:val="21"/>
                <w:u w:val="none"/>
              </w:rPr>
            </w:pPr>
          </w:p>
        </w:tc>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00A43E">
            <w:pPr>
              <w:jc w:val="center"/>
              <w:rPr>
                <w:rFonts w:hint="eastAsia" w:ascii="宋体" w:hAnsi="宋体" w:eastAsia="宋体" w:cs="宋体"/>
                <w:i w:val="0"/>
                <w:iCs w:val="0"/>
                <w:color w:val="000000"/>
                <w:sz w:val="21"/>
                <w:szCs w:val="21"/>
                <w:u w:val="none"/>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D4951">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单价</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48179">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单项总额</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单价乘以数量</w:t>
            </w:r>
            <w:r>
              <w:rPr>
                <w:rFonts w:hint="default" w:ascii="Times New Roman" w:hAnsi="Times New Roman" w:eastAsia="宋体" w:cs="Times New Roman"/>
                <w:i w:val="0"/>
                <w:iCs w:val="0"/>
                <w:color w:val="000000"/>
                <w:kern w:val="0"/>
                <w:sz w:val="21"/>
                <w:szCs w:val="21"/>
                <w:u w:val="none"/>
                <w:lang w:val="en-US" w:eastAsia="zh-CN" w:bidi="ar"/>
              </w:rPr>
              <w:t>)</w:t>
            </w: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539857">
            <w:pPr>
              <w:jc w:val="center"/>
              <w:rPr>
                <w:rFonts w:hint="eastAsia" w:ascii="宋体" w:hAnsi="宋体" w:eastAsia="宋体" w:cs="宋体"/>
                <w:i w:val="0"/>
                <w:iCs w:val="0"/>
                <w:color w:val="000000"/>
                <w:sz w:val="21"/>
                <w:szCs w:val="21"/>
                <w:u w:val="none"/>
              </w:rPr>
            </w:pPr>
          </w:p>
        </w:tc>
        <w:tc>
          <w:tcPr>
            <w:tcW w:w="5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430B27">
            <w:pPr>
              <w:jc w:val="center"/>
              <w:rPr>
                <w:rFonts w:hint="eastAsia" w:ascii="宋体" w:hAnsi="宋体" w:eastAsia="宋体" w:cs="宋体"/>
                <w:b/>
                <w:bCs/>
                <w:i w:val="0"/>
                <w:iCs w:val="0"/>
                <w:color w:val="FF0000"/>
                <w:sz w:val="21"/>
                <w:szCs w:val="21"/>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BF503A">
            <w:pPr>
              <w:jc w:val="center"/>
              <w:rPr>
                <w:rFonts w:hint="eastAsia" w:ascii="宋体" w:hAnsi="宋体" w:eastAsia="宋体" w:cs="宋体"/>
                <w:b/>
                <w:bCs/>
                <w:i w:val="0"/>
                <w:iCs w:val="0"/>
                <w:color w:val="FF0000"/>
                <w:sz w:val="21"/>
                <w:szCs w:val="21"/>
                <w:u w:val="none"/>
              </w:rPr>
            </w:pPr>
          </w:p>
        </w:tc>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E8C610">
            <w:pPr>
              <w:jc w:val="center"/>
              <w:rPr>
                <w:rFonts w:hint="eastAsia" w:ascii="宋体" w:hAnsi="宋体" w:eastAsia="宋体" w:cs="宋体"/>
                <w:i w:val="0"/>
                <w:iCs w:val="0"/>
                <w:color w:val="000000"/>
                <w:sz w:val="21"/>
                <w:szCs w:val="21"/>
                <w:u w:val="none"/>
              </w:rPr>
            </w:pPr>
          </w:p>
        </w:tc>
      </w:tr>
      <w:tr w14:paraId="4476A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F8B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FEC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幼儿椅</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0C8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48D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703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190</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5D4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9500</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51514">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拒绝进口</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9FB35">
            <w:pPr>
              <w:jc w:val="center"/>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lang w:eastAsia="zh-CN"/>
              </w:rPr>
              <w:t>否</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9DF55">
            <w:pPr>
              <w:jc w:val="center"/>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lang w:eastAsia="zh-CN"/>
              </w:rPr>
              <w:t>工业</w:t>
            </w:r>
          </w:p>
        </w:tc>
        <w:tc>
          <w:tcPr>
            <w:tcW w:w="4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04230F">
            <w:pPr>
              <w:keepNext w:val="0"/>
              <w:keepLines w:val="0"/>
              <w:widowControl/>
              <w:suppressLineNumbers w:val="0"/>
              <w:jc w:val="center"/>
              <w:textAlignment w:val="center"/>
              <w:rPr>
                <w:rFonts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330100</w:t>
            </w:r>
          </w:p>
        </w:tc>
      </w:tr>
      <w:tr w14:paraId="3D68C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9E2D0">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highlight w:val="yellow"/>
                <w:u w:val="none"/>
                <w:lang w:val="en-US" w:eastAsia="zh-CN" w:bidi="ar"/>
              </w:rPr>
              <w:t>2</w:t>
            </w:r>
          </w:p>
        </w:tc>
        <w:tc>
          <w:tcPr>
            <w:tcW w:w="8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DAB78">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highlight w:val="yellow"/>
                <w:u w:val="none"/>
                <w:lang w:val="en-US" w:eastAsia="zh-CN" w:bidi="ar"/>
              </w:rPr>
              <w:t>幼儿桌（核心产品）</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B97BE">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highlight w:val="yellow"/>
                <w:u w:val="none"/>
                <w:lang w:val="en-US" w:eastAsia="zh-CN" w:bidi="ar"/>
              </w:rPr>
              <w:t>8</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3DC28">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highlight w:val="yellow"/>
                <w:u w:val="none"/>
                <w:lang w:val="en-US" w:eastAsia="zh-CN" w:bidi="ar"/>
              </w:rPr>
              <w:t>张</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78FDA">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highlight w:val="yellow"/>
                <w:u w:val="none"/>
                <w:lang w:val="en-US" w:eastAsia="zh-CN" w:bidi="ar"/>
              </w:rPr>
              <w:t>753</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74BB2">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highlight w:val="yellow"/>
                <w:u w:val="none"/>
                <w:lang w:val="en-US" w:eastAsia="zh-CN" w:bidi="ar"/>
              </w:rPr>
              <w:t>6024</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34D4A">
            <w:pPr>
              <w:keepNext w:val="0"/>
              <w:keepLines w:val="0"/>
              <w:widowControl/>
              <w:suppressLineNumbers w:val="0"/>
              <w:jc w:val="center"/>
              <w:textAlignment w:val="top"/>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highlight w:val="yellow"/>
                <w:u w:val="none"/>
                <w:lang w:val="en-US" w:eastAsia="zh-CN" w:bidi="ar"/>
              </w:rPr>
              <w:t>拒绝进口</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B74E3">
            <w:pPr>
              <w:jc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sz w:val="21"/>
                <w:szCs w:val="21"/>
                <w:highlight w:val="yellow"/>
                <w:u w:val="none"/>
                <w:lang w:eastAsia="zh-CN"/>
              </w:rPr>
              <w:t>否</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06A33">
            <w:pPr>
              <w:jc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sz w:val="21"/>
                <w:szCs w:val="21"/>
                <w:highlight w:val="yellow"/>
                <w:u w:val="none"/>
                <w:lang w:eastAsia="zh-CN"/>
              </w:rPr>
              <w:t>工业</w:t>
            </w:r>
          </w:p>
        </w:tc>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EBECE9">
            <w:pPr>
              <w:jc w:val="center"/>
              <w:rPr>
                <w:rFonts w:hint="eastAsia" w:ascii="微软雅黑" w:hAnsi="微软雅黑" w:eastAsia="微软雅黑" w:cs="微软雅黑"/>
                <w:i w:val="0"/>
                <w:iCs w:val="0"/>
                <w:color w:val="000000"/>
                <w:sz w:val="21"/>
                <w:szCs w:val="21"/>
                <w:u w:val="none"/>
              </w:rPr>
            </w:pPr>
          </w:p>
        </w:tc>
      </w:tr>
      <w:tr w14:paraId="6AF6F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100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8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FA5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4人桌</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F2F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556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7B6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646</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BFB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1292</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89767">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拒绝进口</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8D3AA">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eastAsia="zh-CN"/>
              </w:rPr>
              <w:t>否</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40E5E">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eastAsia="zh-CN"/>
              </w:rPr>
              <w:t>工业</w:t>
            </w:r>
          </w:p>
        </w:tc>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CDA626">
            <w:pPr>
              <w:jc w:val="center"/>
              <w:rPr>
                <w:rFonts w:hint="eastAsia" w:ascii="微软雅黑" w:hAnsi="微软雅黑" w:eastAsia="微软雅黑" w:cs="微软雅黑"/>
                <w:i w:val="0"/>
                <w:iCs w:val="0"/>
                <w:color w:val="000000"/>
                <w:sz w:val="21"/>
                <w:szCs w:val="21"/>
                <w:u w:val="none"/>
              </w:rPr>
            </w:pPr>
          </w:p>
        </w:tc>
      </w:tr>
      <w:tr w14:paraId="0330E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F39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8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5D5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圆桌</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05B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01B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13B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988</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44B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1976</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30078">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拒绝进口</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B6F18">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eastAsia="zh-CN"/>
              </w:rPr>
              <w:t>否</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C76C2">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eastAsia="zh-CN"/>
              </w:rPr>
              <w:t>工业</w:t>
            </w:r>
          </w:p>
        </w:tc>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64ECF0">
            <w:pPr>
              <w:jc w:val="center"/>
              <w:rPr>
                <w:rFonts w:hint="eastAsia" w:ascii="微软雅黑" w:hAnsi="微软雅黑" w:eastAsia="微软雅黑" w:cs="微软雅黑"/>
                <w:i w:val="0"/>
                <w:iCs w:val="0"/>
                <w:color w:val="000000"/>
                <w:sz w:val="21"/>
                <w:szCs w:val="21"/>
                <w:u w:val="none"/>
              </w:rPr>
            </w:pPr>
          </w:p>
        </w:tc>
      </w:tr>
      <w:tr w14:paraId="425DB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C1D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8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179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一体成型椅</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FF4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5AA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C9D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532</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912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1064</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16BC8">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拒绝进口</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E58C2">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eastAsia="zh-CN"/>
              </w:rPr>
              <w:t>否</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558DE">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eastAsia="zh-CN"/>
              </w:rPr>
              <w:t>工业</w:t>
            </w:r>
          </w:p>
        </w:tc>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722268">
            <w:pPr>
              <w:jc w:val="center"/>
              <w:rPr>
                <w:rFonts w:hint="eastAsia" w:ascii="微软雅黑" w:hAnsi="微软雅黑" w:eastAsia="微软雅黑" w:cs="微软雅黑"/>
                <w:i w:val="0"/>
                <w:iCs w:val="0"/>
                <w:color w:val="000000"/>
                <w:sz w:val="21"/>
                <w:szCs w:val="21"/>
                <w:u w:val="none"/>
              </w:rPr>
            </w:pPr>
          </w:p>
        </w:tc>
      </w:tr>
      <w:tr w14:paraId="52748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DB4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8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D21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多功能组合展示屏风B</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968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A49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8CF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2128</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A4D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4256</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D09C0">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拒绝进口</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2C655">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eastAsia="zh-CN"/>
              </w:rPr>
              <w:t>否</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69A4C">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eastAsia="zh-CN"/>
              </w:rPr>
              <w:t>工业</w:t>
            </w:r>
          </w:p>
        </w:tc>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76C6F8">
            <w:pPr>
              <w:jc w:val="center"/>
              <w:rPr>
                <w:rFonts w:hint="eastAsia" w:ascii="微软雅黑" w:hAnsi="微软雅黑" w:eastAsia="微软雅黑" w:cs="微软雅黑"/>
                <w:i w:val="0"/>
                <w:iCs w:val="0"/>
                <w:color w:val="000000"/>
                <w:sz w:val="21"/>
                <w:szCs w:val="21"/>
                <w:u w:val="none"/>
              </w:rPr>
            </w:pPr>
          </w:p>
        </w:tc>
      </w:tr>
      <w:tr w14:paraId="02932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B12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8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219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阶梯组合柜.无背板</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F1D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989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8AD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1238</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754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7428</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13FF0">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拒绝进口</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85A93">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eastAsia="zh-CN"/>
              </w:rPr>
              <w:t>否</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CBEA8">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eastAsia="zh-CN"/>
              </w:rPr>
              <w:t>工业</w:t>
            </w:r>
          </w:p>
        </w:tc>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EC9904">
            <w:pPr>
              <w:jc w:val="center"/>
              <w:rPr>
                <w:rFonts w:hint="eastAsia" w:ascii="微软雅黑" w:hAnsi="微软雅黑" w:eastAsia="微软雅黑" w:cs="微软雅黑"/>
                <w:i w:val="0"/>
                <w:iCs w:val="0"/>
                <w:color w:val="000000"/>
                <w:sz w:val="21"/>
                <w:szCs w:val="21"/>
                <w:u w:val="none"/>
              </w:rPr>
            </w:pPr>
          </w:p>
        </w:tc>
      </w:tr>
      <w:tr w14:paraId="7F86B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198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8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8D2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2层90°弧形矮柜</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A13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03F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EA9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1026</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898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4104</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45D37">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拒绝进口</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3629F">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eastAsia="zh-CN"/>
              </w:rPr>
              <w:t>否</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CBB8F">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eastAsia="zh-CN"/>
              </w:rPr>
              <w:t>工业</w:t>
            </w:r>
          </w:p>
        </w:tc>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D57643">
            <w:pPr>
              <w:jc w:val="center"/>
              <w:rPr>
                <w:rFonts w:hint="eastAsia" w:ascii="微软雅黑" w:hAnsi="微软雅黑" w:eastAsia="微软雅黑" w:cs="微软雅黑"/>
                <w:i w:val="0"/>
                <w:iCs w:val="0"/>
                <w:color w:val="000000"/>
                <w:sz w:val="21"/>
                <w:szCs w:val="21"/>
                <w:u w:val="none"/>
              </w:rPr>
            </w:pPr>
          </w:p>
        </w:tc>
      </w:tr>
      <w:tr w14:paraId="0776E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5F7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8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C38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5格分区矮柜.无背板</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D7B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DAB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C47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935</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1B9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3740</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BDF5C">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拒绝进口</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B7189">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eastAsia="zh-CN"/>
              </w:rPr>
              <w:t>否</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CDD8E">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eastAsia="zh-CN"/>
              </w:rPr>
              <w:t>工业</w:t>
            </w:r>
          </w:p>
        </w:tc>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BF29B8">
            <w:pPr>
              <w:jc w:val="center"/>
              <w:rPr>
                <w:rFonts w:hint="eastAsia" w:ascii="微软雅黑" w:hAnsi="微软雅黑" w:eastAsia="微软雅黑" w:cs="微软雅黑"/>
                <w:i w:val="0"/>
                <w:iCs w:val="0"/>
                <w:color w:val="000000"/>
                <w:sz w:val="21"/>
                <w:szCs w:val="21"/>
                <w:u w:val="none"/>
              </w:rPr>
            </w:pPr>
          </w:p>
        </w:tc>
      </w:tr>
      <w:tr w14:paraId="2339D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F0C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5A9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2层矮柜.可调节.无背板</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AE5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ECB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597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798</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2D7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3192</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33C3A">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拒绝进口</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14F72">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eastAsia="zh-CN"/>
              </w:rPr>
              <w:t>否</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E2B8A">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eastAsia="zh-CN"/>
              </w:rPr>
              <w:t>工业</w:t>
            </w:r>
          </w:p>
        </w:tc>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87AA06">
            <w:pPr>
              <w:jc w:val="center"/>
              <w:rPr>
                <w:rFonts w:hint="eastAsia" w:ascii="微软雅黑" w:hAnsi="微软雅黑" w:eastAsia="微软雅黑" w:cs="微软雅黑"/>
                <w:i w:val="0"/>
                <w:iCs w:val="0"/>
                <w:color w:val="000000"/>
                <w:sz w:val="21"/>
                <w:szCs w:val="21"/>
                <w:u w:val="none"/>
              </w:rPr>
            </w:pPr>
          </w:p>
        </w:tc>
      </w:tr>
      <w:tr w14:paraId="122CA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39B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8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85B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弧形波纹挡板</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D4A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749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428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1121</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6BA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2242</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ADFC2">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拒绝进口</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4E22D">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eastAsia="zh-CN"/>
              </w:rPr>
              <w:t>否</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60E27">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eastAsia="zh-CN"/>
              </w:rPr>
              <w:t>工业</w:t>
            </w:r>
          </w:p>
        </w:tc>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80087A">
            <w:pPr>
              <w:jc w:val="center"/>
              <w:rPr>
                <w:rFonts w:hint="eastAsia" w:ascii="微软雅黑" w:hAnsi="微软雅黑" w:eastAsia="微软雅黑" w:cs="微软雅黑"/>
                <w:i w:val="0"/>
                <w:iCs w:val="0"/>
                <w:color w:val="000000"/>
                <w:sz w:val="21"/>
                <w:szCs w:val="21"/>
                <w:u w:val="none"/>
              </w:rPr>
            </w:pPr>
          </w:p>
        </w:tc>
      </w:tr>
      <w:tr w14:paraId="7D42B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6EC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8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800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涂色书架</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B7E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61C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F05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1368</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374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2736</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A5222">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拒绝进口</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C7D61">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eastAsia="zh-CN"/>
              </w:rPr>
              <w:t>否</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E9D1D">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eastAsia="zh-CN"/>
              </w:rPr>
              <w:t>工业</w:t>
            </w:r>
          </w:p>
        </w:tc>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605CD0">
            <w:pPr>
              <w:jc w:val="center"/>
              <w:rPr>
                <w:rFonts w:hint="eastAsia" w:ascii="微软雅黑" w:hAnsi="微软雅黑" w:eastAsia="微软雅黑" w:cs="微软雅黑"/>
                <w:i w:val="0"/>
                <w:iCs w:val="0"/>
                <w:color w:val="000000"/>
                <w:sz w:val="21"/>
                <w:szCs w:val="21"/>
                <w:u w:val="none"/>
              </w:rPr>
            </w:pPr>
          </w:p>
        </w:tc>
      </w:tr>
      <w:tr w14:paraId="7C59D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92F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8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2BF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简约书架</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D38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41B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537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760</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5A8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1520</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A8B0A">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拒绝进口</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57CAF">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eastAsia="zh-CN"/>
              </w:rPr>
              <w:t>否</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1F791">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eastAsia="zh-CN"/>
              </w:rPr>
              <w:t>工业</w:t>
            </w:r>
          </w:p>
        </w:tc>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FD9C94">
            <w:pPr>
              <w:jc w:val="center"/>
              <w:rPr>
                <w:rFonts w:hint="eastAsia" w:ascii="微软雅黑" w:hAnsi="微软雅黑" w:eastAsia="微软雅黑" w:cs="微软雅黑"/>
                <w:i w:val="0"/>
                <w:iCs w:val="0"/>
                <w:color w:val="000000"/>
                <w:sz w:val="21"/>
                <w:szCs w:val="21"/>
                <w:u w:val="none"/>
              </w:rPr>
            </w:pPr>
          </w:p>
        </w:tc>
      </w:tr>
      <w:tr w14:paraId="1A253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5A3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8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36B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山峰小屋收纳柜</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B12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35D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26B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1330</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548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2660</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EE43C">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拒绝进口</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3AEB6">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eastAsia="zh-CN"/>
              </w:rPr>
              <w:t>否</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0BC7D">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eastAsia="zh-CN"/>
              </w:rPr>
              <w:t>工业</w:t>
            </w:r>
          </w:p>
        </w:tc>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148E0F">
            <w:pPr>
              <w:jc w:val="center"/>
              <w:rPr>
                <w:rFonts w:hint="eastAsia" w:ascii="微软雅黑" w:hAnsi="微软雅黑" w:eastAsia="微软雅黑" w:cs="微软雅黑"/>
                <w:i w:val="0"/>
                <w:iCs w:val="0"/>
                <w:color w:val="000000"/>
                <w:sz w:val="21"/>
                <w:szCs w:val="21"/>
                <w:u w:val="none"/>
              </w:rPr>
            </w:pPr>
          </w:p>
        </w:tc>
      </w:tr>
      <w:tr w14:paraId="66170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8E2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8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19C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小方桌</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B88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829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F13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722</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07A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1444</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77A9D">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拒绝进口</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F32FC">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eastAsia="zh-CN"/>
              </w:rPr>
              <w:t>否</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E9C9E">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eastAsia="zh-CN"/>
              </w:rPr>
              <w:t>工业</w:t>
            </w:r>
          </w:p>
        </w:tc>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3E65A5">
            <w:pPr>
              <w:jc w:val="center"/>
              <w:rPr>
                <w:rFonts w:hint="eastAsia" w:ascii="微软雅黑" w:hAnsi="微软雅黑" w:eastAsia="微软雅黑" w:cs="微软雅黑"/>
                <w:i w:val="0"/>
                <w:iCs w:val="0"/>
                <w:color w:val="000000"/>
                <w:sz w:val="21"/>
                <w:szCs w:val="21"/>
                <w:u w:val="none"/>
              </w:rPr>
            </w:pPr>
          </w:p>
        </w:tc>
      </w:tr>
      <w:tr w14:paraId="7B1F2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5B3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8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A05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怀抱单人布艺沙发.天蓝</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AE1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A0D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00C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1254</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EF5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2508</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493C6">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拒绝进口</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6B569">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eastAsia="zh-CN"/>
              </w:rPr>
              <w:t>否</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609F3">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eastAsia="zh-CN"/>
              </w:rPr>
              <w:t>工业</w:t>
            </w:r>
          </w:p>
        </w:tc>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257039">
            <w:pPr>
              <w:jc w:val="center"/>
              <w:rPr>
                <w:rFonts w:hint="eastAsia" w:ascii="微软雅黑" w:hAnsi="微软雅黑" w:eastAsia="微软雅黑" w:cs="微软雅黑"/>
                <w:i w:val="0"/>
                <w:iCs w:val="0"/>
                <w:color w:val="000000"/>
                <w:sz w:val="21"/>
                <w:szCs w:val="21"/>
                <w:u w:val="none"/>
              </w:rPr>
            </w:pPr>
          </w:p>
        </w:tc>
      </w:tr>
      <w:tr w14:paraId="4D818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80C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8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8C3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怀抱双人布艺沙发.天蓝</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701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199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8E5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1634</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DE1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3268</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6EEA8">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拒绝进口</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F596B">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eastAsia="zh-CN"/>
              </w:rPr>
              <w:t>否</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270C1">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eastAsia="zh-CN"/>
              </w:rPr>
              <w:t>工业</w:t>
            </w:r>
          </w:p>
        </w:tc>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5DD081">
            <w:pPr>
              <w:jc w:val="center"/>
              <w:rPr>
                <w:rFonts w:hint="eastAsia" w:ascii="微软雅黑" w:hAnsi="微软雅黑" w:eastAsia="微软雅黑" w:cs="微软雅黑"/>
                <w:i w:val="0"/>
                <w:iCs w:val="0"/>
                <w:color w:val="000000"/>
                <w:sz w:val="21"/>
                <w:szCs w:val="21"/>
                <w:u w:val="none"/>
              </w:rPr>
            </w:pPr>
          </w:p>
        </w:tc>
      </w:tr>
      <w:tr w14:paraId="323BD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8FE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8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344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秘密游戏树洞</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234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26B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D2E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2774</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E27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5548</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5EEDC">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拒绝进口</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22B2B">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eastAsia="zh-CN"/>
              </w:rPr>
              <w:t>否</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05E1D">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eastAsia="zh-CN"/>
              </w:rPr>
              <w:t>工业</w:t>
            </w:r>
          </w:p>
        </w:tc>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EED51E">
            <w:pPr>
              <w:jc w:val="center"/>
              <w:rPr>
                <w:rFonts w:hint="eastAsia" w:ascii="微软雅黑" w:hAnsi="微软雅黑" w:eastAsia="微软雅黑" w:cs="微软雅黑"/>
                <w:i w:val="0"/>
                <w:iCs w:val="0"/>
                <w:color w:val="000000"/>
                <w:sz w:val="21"/>
                <w:szCs w:val="21"/>
                <w:u w:val="none"/>
              </w:rPr>
            </w:pPr>
          </w:p>
        </w:tc>
      </w:tr>
      <w:tr w14:paraId="7ACBE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FD7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8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B4E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互动化妆台</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651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778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939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1368</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017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2736</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4C548">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拒绝进口</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CA872">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eastAsia="zh-CN"/>
              </w:rPr>
              <w:t>否</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277C7">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eastAsia="zh-CN"/>
              </w:rPr>
              <w:t>工业</w:t>
            </w:r>
          </w:p>
        </w:tc>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E0CB20">
            <w:pPr>
              <w:jc w:val="center"/>
              <w:rPr>
                <w:rFonts w:hint="eastAsia" w:ascii="微软雅黑" w:hAnsi="微软雅黑" w:eastAsia="微软雅黑" w:cs="微软雅黑"/>
                <w:i w:val="0"/>
                <w:iCs w:val="0"/>
                <w:color w:val="000000"/>
                <w:sz w:val="21"/>
                <w:szCs w:val="21"/>
                <w:u w:val="none"/>
              </w:rPr>
            </w:pPr>
          </w:p>
        </w:tc>
      </w:tr>
      <w:tr w14:paraId="7C4D1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0C5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8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2C7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6格分区矮柜.无背板</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B39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B1E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E47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988</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F3B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3952</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4A8D4">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拒绝进口</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E160E">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eastAsia="zh-CN"/>
              </w:rPr>
              <w:t>否</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40B20">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eastAsia="zh-CN"/>
              </w:rPr>
              <w:t>工业</w:t>
            </w:r>
          </w:p>
        </w:tc>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279CE0">
            <w:pPr>
              <w:jc w:val="center"/>
              <w:rPr>
                <w:rFonts w:hint="eastAsia" w:ascii="微软雅黑" w:hAnsi="微软雅黑" w:eastAsia="微软雅黑" w:cs="微软雅黑"/>
                <w:i w:val="0"/>
                <w:iCs w:val="0"/>
                <w:color w:val="000000"/>
                <w:sz w:val="21"/>
                <w:szCs w:val="21"/>
                <w:u w:val="none"/>
              </w:rPr>
            </w:pPr>
          </w:p>
        </w:tc>
      </w:tr>
      <w:tr w14:paraId="12983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E7B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8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DEB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2层90°转角矮柜</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FC9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52F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918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494</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787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988</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808FD">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拒绝进口</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B188E">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eastAsia="zh-CN"/>
              </w:rPr>
              <w:t>否</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74025">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eastAsia="zh-CN"/>
              </w:rPr>
              <w:t>工业</w:t>
            </w:r>
          </w:p>
        </w:tc>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C047BD">
            <w:pPr>
              <w:jc w:val="center"/>
              <w:rPr>
                <w:rFonts w:hint="eastAsia" w:ascii="微软雅黑" w:hAnsi="微软雅黑" w:eastAsia="微软雅黑" w:cs="微软雅黑"/>
                <w:i w:val="0"/>
                <w:iCs w:val="0"/>
                <w:color w:val="000000"/>
                <w:sz w:val="21"/>
                <w:szCs w:val="21"/>
                <w:u w:val="none"/>
              </w:rPr>
            </w:pPr>
          </w:p>
        </w:tc>
      </w:tr>
      <w:tr w14:paraId="36B79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2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66F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8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77C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3层矮柜.可调节.无背板</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175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D00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75C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935</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4AA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1870</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37DB3">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拒绝进口</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AD8AA">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eastAsia="zh-CN"/>
              </w:rPr>
              <w:t>否</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59A80">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eastAsia="zh-CN"/>
              </w:rPr>
              <w:t>工业</w:t>
            </w:r>
          </w:p>
        </w:tc>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B48DA5">
            <w:pPr>
              <w:jc w:val="center"/>
              <w:rPr>
                <w:rFonts w:hint="eastAsia" w:ascii="微软雅黑" w:hAnsi="微软雅黑" w:eastAsia="微软雅黑" w:cs="微软雅黑"/>
                <w:i w:val="0"/>
                <w:iCs w:val="0"/>
                <w:color w:val="000000"/>
                <w:sz w:val="21"/>
                <w:szCs w:val="21"/>
                <w:u w:val="none"/>
              </w:rPr>
            </w:pPr>
          </w:p>
        </w:tc>
      </w:tr>
      <w:tr w14:paraId="33AE2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404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8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8A5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3层短柜高柜.半背板</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8CE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B16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AB3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798</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217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1596</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41F16">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拒绝进口</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B80E9">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eastAsia="zh-CN"/>
              </w:rPr>
              <w:t>否</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8F2E6">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eastAsia="zh-CN"/>
              </w:rPr>
              <w:t>工业</w:t>
            </w:r>
          </w:p>
        </w:tc>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77A0D0">
            <w:pPr>
              <w:jc w:val="center"/>
              <w:rPr>
                <w:rFonts w:hint="eastAsia" w:ascii="微软雅黑" w:hAnsi="微软雅黑" w:eastAsia="微软雅黑" w:cs="微软雅黑"/>
                <w:i w:val="0"/>
                <w:iCs w:val="0"/>
                <w:color w:val="000000"/>
                <w:sz w:val="21"/>
                <w:szCs w:val="21"/>
                <w:u w:val="none"/>
              </w:rPr>
            </w:pPr>
          </w:p>
        </w:tc>
      </w:tr>
      <w:tr w14:paraId="31671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297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8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B4F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林中屋综合互动小厨房</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9CA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008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842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2280</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BC2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4560</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6239D">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拒绝进口</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FFEEA">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eastAsia="zh-CN"/>
              </w:rPr>
              <w:t>否</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43559">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eastAsia="zh-CN"/>
              </w:rPr>
              <w:t>工业</w:t>
            </w:r>
          </w:p>
        </w:tc>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BA75BB">
            <w:pPr>
              <w:jc w:val="center"/>
              <w:rPr>
                <w:rFonts w:hint="eastAsia" w:ascii="微软雅黑" w:hAnsi="微软雅黑" w:eastAsia="微软雅黑" w:cs="微软雅黑"/>
                <w:i w:val="0"/>
                <w:iCs w:val="0"/>
                <w:color w:val="000000"/>
                <w:sz w:val="21"/>
                <w:szCs w:val="21"/>
                <w:u w:val="none"/>
              </w:rPr>
            </w:pPr>
          </w:p>
        </w:tc>
      </w:tr>
      <w:tr w14:paraId="0E70F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645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8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CAD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美术纸筒柜</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FCC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DB4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163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950</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4B1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1900</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B5CAE">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拒绝进口</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40A2B">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eastAsia="zh-CN"/>
              </w:rPr>
              <w:t>否</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6CD8B">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eastAsia="zh-CN"/>
              </w:rPr>
              <w:t>工业</w:t>
            </w:r>
          </w:p>
        </w:tc>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D3819F">
            <w:pPr>
              <w:jc w:val="center"/>
              <w:rPr>
                <w:rFonts w:hint="eastAsia" w:ascii="微软雅黑" w:hAnsi="微软雅黑" w:eastAsia="微软雅黑" w:cs="微软雅黑"/>
                <w:i w:val="0"/>
                <w:iCs w:val="0"/>
                <w:color w:val="000000"/>
                <w:sz w:val="21"/>
                <w:szCs w:val="21"/>
                <w:u w:val="none"/>
              </w:rPr>
            </w:pPr>
          </w:p>
        </w:tc>
      </w:tr>
      <w:tr w14:paraId="60643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812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8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220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美术用品收纳柜</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3BA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603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CED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1634</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628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3268</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CCD0A">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拒绝进口</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55EAB">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eastAsia="zh-CN"/>
              </w:rPr>
              <w:t>否</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591F7">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eastAsia="zh-CN"/>
              </w:rPr>
              <w:t>工业</w:t>
            </w:r>
          </w:p>
        </w:tc>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96BF46">
            <w:pPr>
              <w:jc w:val="center"/>
              <w:rPr>
                <w:rFonts w:hint="eastAsia" w:ascii="微软雅黑" w:hAnsi="微软雅黑" w:eastAsia="微软雅黑" w:cs="微软雅黑"/>
                <w:i w:val="0"/>
                <w:iCs w:val="0"/>
                <w:color w:val="000000"/>
                <w:sz w:val="21"/>
                <w:szCs w:val="21"/>
                <w:u w:val="none"/>
              </w:rPr>
            </w:pPr>
          </w:p>
        </w:tc>
      </w:tr>
      <w:tr w14:paraId="3664A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C3A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8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565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组合屏风</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318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51B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C03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1881</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B48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3762</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ED037">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拒绝进口</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949B9">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eastAsia="zh-CN"/>
              </w:rPr>
              <w:t>否</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FC9AF">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eastAsia="zh-CN"/>
              </w:rPr>
              <w:t>工业</w:t>
            </w:r>
          </w:p>
        </w:tc>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330423">
            <w:pPr>
              <w:jc w:val="center"/>
              <w:rPr>
                <w:rFonts w:hint="eastAsia" w:ascii="微软雅黑" w:hAnsi="微软雅黑" w:eastAsia="微软雅黑" w:cs="微软雅黑"/>
                <w:i w:val="0"/>
                <w:iCs w:val="0"/>
                <w:color w:val="000000"/>
                <w:sz w:val="21"/>
                <w:szCs w:val="21"/>
                <w:u w:val="none"/>
              </w:rPr>
            </w:pPr>
          </w:p>
        </w:tc>
      </w:tr>
      <w:tr w14:paraId="7703F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905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8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A49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8格万用高柜.无背板</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C47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E8C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989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1254</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76F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2508</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39448">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拒绝进口</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3F273">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eastAsia="zh-CN"/>
              </w:rPr>
              <w:t>否</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111CE">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eastAsia="zh-CN"/>
              </w:rPr>
              <w:t>工业</w:t>
            </w:r>
          </w:p>
        </w:tc>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DEC8F6">
            <w:pPr>
              <w:jc w:val="center"/>
              <w:rPr>
                <w:rFonts w:hint="eastAsia" w:ascii="微软雅黑" w:hAnsi="微软雅黑" w:eastAsia="微软雅黑" w:cs="微软雅黑"/>
                <w:i w:val="0"/>
                <w:iCs w:val="0"/>
                <w:color w:val="000000"/>
                <w:sz w:val="21"/>
                <w:szCs w:val="21"/>
                <w:u w:val="none"/>
              </w:rPr>
            </w:pPr>
          </w:p>
        </w:tc>
      </w:tr>
      <w:tr w14:paraId="2D73D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237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8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104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三层教具篮收纳柜</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5DC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6CC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F3C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1235</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4B2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2470</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B2EE5">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拒绝进口</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CE8AB">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eastAsia="zh-CN"/>
              </w:rPr>
              <w:t>否</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E5C6E">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eastAsia="zh-CN"/>
              </w:rPr>
              <w:t>工业</w:t>
            </w:r>
          </w:p>
        </w:tc>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CBB92E">
            <w:pPr>
              <w:jc w:val="center"/>
              <w:rPr>
                <w:rFonts w:hint="eastAsia" w:ascii="微软雅黑" w:hAnsi="微软雅黑" w:eastAsia="微软雅黑" w:cs="微软雅黑"/>
                <w:i w:val="0"/>
                <w:iCs w:val="0"/>
                <w:color w:val="000000"/>
                <w:sz w:val="21"/>
                <w:szCs w:val="21"/>
                <w:u w:val="none"/>
              </w:rPr>
            </w:pPr>
          </w:p>
        </w:tc>
      </w:tr>
      <w:tr w14:paraId="6861E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6B8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8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412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便携式可堆叠儿童床</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E5EE2">
            <w:pPr>
              <w:keepNext w:val="0"/>
              <w:keepLines w:val="0"/>
              <w:widowControl/>
              <w:suppressLineNumbers w:val="0"/>
              <w:jc w:val="center"/>
              <w:textAlignment w:val="center"/>
              <w:rPr>
                <w:rFonts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25</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6CE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812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265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4000</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FB30F">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拒绝进口</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007C6">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eastAsia="zh-CN"/>
              </w:rPr>
              <w:t>否</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E872E">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eastAsia="zh-CN"/>
              </w:rPr>
              <w:t>工业</w:t>
            </w:r>
          </w:p>
        </w:tc>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C0AB34">
            <w:pPr>
              <w:jc w:val="center"/>
              <w:rPr>
                <w:rFonts w:hint="eastAsia" w:ascii="微软雅黑" w:hAnsi="微软雅黑" w:eastAsia="微软雅黑" w:cs="微软雅黑"/>
                <w:i w:val="0"/>
                <w:iCs w:val="0"/>
                <w:color w:val="000000"/>
                <w:sz w:val="21"/>
                <w:szCs w:val="21"/>
                <w:u w:val="none"/>
              </w:rPr>
            </w:pPr>
          </w:p>
        </w:tc>
      </w:tr>
      <w:tr w14:paraId="33FE0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48F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8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327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便携式儿童床架</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A080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3A9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EEF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320</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99F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960</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EAC14">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拒绝进口</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8DDC5">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eastAsia="zh-CN"/>
              </w:rPr>
              <w:t>否</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9A59E">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eastAsia="zh-CN"/>
              </w:rPr>
              <w:t>工业</w:t>
            </w:r>
          </w:p>
        </w:tc>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876FD3">
            <w:pPr>
              <w:jc w:val="center"/>
              <w:rPr>
                <w:rFonts w:hint="eastAsia" w:ascii="微软雅黑" w:hAnsi="微软雅黑" w:eastAsia="微软雅黑" w:cs="微软雅黑"/>
                <w:i w:val="0"/>
                <w:iCs w:val="0"/>
                <w:color w:val="000000"/>
                <w:sz w:val="21"/>
                <w:szCs w:val="21"/>
                <w:u w:val="none"/>
              </w:rPr>
            </w:pPr>
          </w:p>
        </w:tc>
      </w:tr>
      <w:tr w14:paraId="4340B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D49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8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990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幼儿椅</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76E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53D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0E7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190</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AF1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11400</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C7A3B">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拒绝进口</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F8239">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eastAsia="zh-CN"/>
              </w:rPr>
              <w:t>否</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F2207">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eastAsia="zh-CN"/>
              </w:rPr>
              <w:t>工业</w:t>
            </w:r>
          </w:p>
        </w:tc>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B98C80">
            <w:pPr>
              <w:jc w:val="center"/>
              <w:rPr>
                <w:rFonts w:hint="eastAsia" w:ascii="微软雅黑" w:hAnsi="微软雅黑" w:eastAsia="微软雅黑" w:cs="微软雅黑"/>
                <w:i w:val="0"/>
                <w:iCs w:val="0"/>
                <w:color w:val="000000"/>
                <w:sz w:val="21"/>
                <w:szCs w:val="21"/>
                <w:u w:val="none"/>
              </w:rPr>
            </w:pPr>
          </w:p>
        </w:tc>
      </w:tr>
      <w:tr w14:paraId="577E8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16E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8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B6A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幼儿桌</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216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245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33A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753</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133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7530</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1F131">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拒绝进口</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0AF61">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eastAsia="zh-CN"/>
              </w:rPr>
              <w:t>否</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1CBA4">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eastAsia="zh-CN"/>
              </w:rPr>
              <w:t>工业</w:t>
            </w:r>
          </w:p>
        </w:tc>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B51FEA">
            <w:pPr>
              <w:jc w:val="center"/>
              <w:rPr>
                <w:rFonts w:hint="eastAsia" w:ascii="微软雅黑" w:hAnsi="微软雅黑" w:eastAsia="微软雅黑" w:cs="微软雅黑"/>
                <w:i w:val="0"/>
                <w:iCs w:val="0"/>
                <w:color w:val="000000"/>
                <w:sz w:val="21"/>
                <w:szCs w:val="21"/>
                <w:u w:val="none"/>
              </w:rPr>
            </w:pPr>
          </w:p>
        </w:tc>
      </w:tr>
      <w:tr w14:paraId="5987F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881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8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70B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4人桌</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076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D12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139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646</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2A2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3876</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DBBC5">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拒绝进口</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FB70B">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eastAsia="zh-CN"/>
              </w:rPr>
              <w:t>否</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EDC1C">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eastAsia="zh-CN"/>
              </w:rPr>
              <w:t>工业</w:t>
            </w:r>
          </w:p>
        </w:tc>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875E91">
            <w:pPr>
              <w:jc w:val="center"/>
              <w:rPr>
                <w:rFonts w:hint="eastAsia" w:ascii="微软雅黑" w:hAnsi="微软雅黑" w:eastAsia="微软雅黑" w:cs="微软雅黑"/>
                <w:i w:val="0"/>
                <w:iCs w:val="0"/>
                <w:color w:val="000000"/>
                <w:sz w:val="21"/>
                <w:szCs w:val="21"/>
                <w:u w:val="none"/>
              </w:rPr>
            </w:pPr>
          </w:p>
        </w:tc>
      </w:tr>
      <w:tr w14:paraId="77654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ECC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8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7FA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圆桌</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CC9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3D7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625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988</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527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1976</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4F991">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拒绝进口</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C2FBB">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eastAsia="zh-CN"/>
              </w:rPr>
              <w:t>否</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EBE93">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eastAsia="zh-CN"/>
              </w:rPr>
              <w:t>工业</w:t>
            </w:r>
          </w:p>
        </w:tc>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86F1C7">
            <w:pPr>
              <w:jc w:val="center"/>
              <w:rPr>
                <w:rFonts w:hint="eastAsia" w:ascii="微软雅黑" w:hAnsi="微软雅黑" w:eastAsia="微软雅黑" w:cs="微软雅黑"/>
                <w:i w:val="0"/>
                <w:iCs w:val="0"/>
                <w:color w:val="000000"/>
                <w:sz w:val="21"/>
                <w:szCs w:val="21"/>
                <w:u w:val="none"/>
              </w:rPr>
            </w:pPr>
          </w:p>
        </w:tc>
      </w:tr>
      <w:tr w14:paraId="79252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A77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8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CB5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一体成型椅</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FB7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40E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442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532</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523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1064</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1433D">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拒绝进口</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23510">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eastAsia="zh-CN"/>
              </w:rPr>
              <w:t>否</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65351">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eastAsia="zh-CN"/>
              </w:rPr>
              <w:t>工业</w:t>
            </w:r>
          </w:p>
        </w:tc>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66D5B3">
            <w:pPr>
              <w:jc w:val="center"/>
              <w:rPr>
                <w:rFonts w:hint="eastAsia" w:ascii="微软雅黑" w:hAnsi="微软雅黑" w:eastAsia="微软雅黑" w:cs="微软雅黑"/>
                <w:i w:val="0"/>
                <w:iCs w:val="0"/>
                <w:color w:val="000000"/>
                <w:sz w:val="21"/>
                <w:szCs w:val="21"/>
                <w:u w:val="none"/>
              </w:rPr>
            </w:pPr>
          </w:p>
        </w:tc>
      </w:tr>
      <w:tr w14:paraId="68A12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4E6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w:t>
            </w:r>
          </w:p>
        </w:tc>
        <w:tc>
          <w:tcPr>
            <w:tcW w:w="8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AC2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三层教具篮收纳柜</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B55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3D1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F24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1235</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373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2470</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148D6">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拒绝进口</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D0DA9">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eastAsia="zh-CN"/>
              </w:rPr>
              <w:t>否</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C1CC6">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eastAsia="zh-CN"/>
              </w:rPr>
              <w:t>工业</w:t>
            </w:r>
          </w:p>
        </w:tc>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187B0F">
            <w:pPr>
              <w:jc w:val="center"/>
              <w:rPr>
                <w:rFonts w:hint="eastAsia" w:ascii="微软雅黑" w:hAnsi="微软雅黑" w:eastAsia="微软雅黑" w:cs="微软雅黑"/>
                <w:i w:val="0"/>
                <w:iCs w:val="0"/>
                <w:color w:val="000000"/>
                <w:sz w:val="21"/>
                <w:szCs w:val="21"/>
                <w:u w:val="none"/>
              </w:rPr>
            </w:pPr>
          </w:p>
        </w:tc>
      </w:tr>
      <w:tr w14:paraId="540FD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BBC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w:t>
            </w:r>
          </w:p>
        </w:tc>
        <w:tc>
          <w:tcPr>
            <w:tcW w:w="8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E41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幼儿柜</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BC1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E41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A21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1064</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B31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4256</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79F01">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拒绝进口</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E3D1A">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eastAsia="zh-CN"/>
              </w:rPr>
              <w:t>否</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D197F">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eastAsia="zh-CN"/>
              </w:rPr>
              <w:t>工业</w:t>
            </w:r>
          </w:p>
        </w:tc>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FBCB22">
            <w:pPr>
              <w:jc w:val="center"/>
              <w:rPr>
                <w:rFonts w:hint="eastAsia" w:ascii="微软雅黑" w:hAnsi="微软雅黑" w:eastAsia="微软雅黑" w:cs="微软雅黑"/>
                <w:i w:val="0"/>
                <w:iCs w:val="0"/>
                <w:color w:val="000000"/>
                <w:sz w:val="21"/>
                <w:szCs w:val="21"/>
                <w:u w:val="none"/>
              </w:rPr>
            </w:pPr>
          </w:p>
        </w:tc>
      </w:tr>
      <w:tr w14:paraId="4A997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982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w:t>
            </w:r>
          </w:p>
        </w:tc>
        <w:tc>
          <w:tcPr>
            <w:tcW w:w="8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E05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美术作品晾干柜</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E8F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AB5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4F9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1102</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244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2204</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EA452">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拒绝进口</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909EF">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eastAsia="zh-CN"/>
              </w:rPr>
              <w:t>否</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5FE40">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eastAsia="zh-CN"/>
              </w:rPr>
              <w:t>工业</w:t>
            </w:r>
          </w:p>
        </w:tc>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676BE1">
            <w:pPr>
              <w:jc w:val="center"/>
              <w:rPr>
                <w:rFonts w:hint="eastAsia" w:ascii="微软雅黑" w:hAnsi="微软雅黑" w:eastAsia="微软雅黑" w:cs="微软雅黑"/>
                <w:i w:val="0"/>
                <w:iCs w:val="0"/>
                <w:color w:val="000000"/>
                <w:sz w:val="21"/>
                <w:szCs w:val="21"/>
                <w:u w:val="none"/>
              </w:rPr>
            </w:pPr>
          </w:p>
        </w:tc>
      </w:tr>
      <w:tr w14:paraId="29142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BFA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8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28D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美术用品收纳柜</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972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8AD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D6F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1634</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B68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3268</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E9CED">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拒绝进口</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CA5F5">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eastAsia="zh-CN"/>
              </w:rPr>
              <w:t>否</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4D67B">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eastAsia="zh-CN"/>
              </w:rPr>
              <w:t>工业</w:t>
            </w:r>
          </w:p>
        </w:tc>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6C058A">
            <w:pPr>
              <w:jc w:val="center"/>
              <w:rPr>
                <w:rFonts w:hint="eastAsia" w:ascii="微软雅黑" w:hAnsi="微软雅黑" w:eastAsia="微软雅黑" w:cs="微软雅黑"/>
                <w:i w:val="0"/>
                <w:iCs w:val="0"/>
                <w:color w:val="000000"/>
                <w:sz w:val="21"/>
                <w:szCs w:val="21"/>
                <w:u w:val="none"/>
              </w:rPr>
            </w:pPr>
          </w:p>
        </w:tc>
      </w:tr>
      <w:tr w14:paraId="48C40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07A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w:t>
            </w:r>
          </w:p>
        </w:tc>
        <w:tc>
          <w:tcPr>
            <w:tcW w:w="8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F81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3层短柜高柜.半背板</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6E8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066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778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798</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5D9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4788</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60A6F">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拒绝进口</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58371">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eastAsia="zh-CN"/>
              </w:rPr>
              <w:t>否</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B5609">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eastAsia="zh-CN"/>
              </w:rPr>
              <w:t>工业</w:t>
            </w:r>
          </w:p>
        </w:tc>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319E6D">
            <w:pPr>
              <w:jc w:val="center"/>
              <w:rPr>
                <w:rFonts w:hint="eastAsia" w:ascii="微软雅黑" w:hAnsi="微软雅黑" w:eastAsia="微软雅黑" w:cs="微软雅黑"/>
                <w:i w:val="0"/>
                <w:iCs w:val="0"/>
                <w:color w:val="000000"/>
                <w:sz w:val="21"/>
                <w:szCs w:val="21"/>
                <w:u w:val="none"/>
              </w:rPr>
            </w:pPr>
          </w:p>
        </w:tc>
      </w:tr>
      <w:tr w14:paraId="240F1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5F3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w:t>
            </w:r>
          </w:p>
        </w:tc>
        <w:tc>
          <w:tcPr>
            <w:tcW w:w="8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3FE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5格分区矮柜.无背板</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0F8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C19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97B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935</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C5E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1870</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62975">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拒绝进口</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6CD99">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eastAsia="zh-CN"/>
              </w:rPr>
              <w:t>否</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EF4C8">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eastAsia="zh-CN"/>
              </w:rPr>
              <w:t>工业</w:t>
            </w:r>
          </w:p>
        </w:tc>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D15DB8">
            <w:pPr>
              <w:jc w:val="center"/>
              <w:rPr>
                <w:rFonts w:hint="eastAsia" w:ascii="微软雅黑" w:hAnsi="微软雅黑" w:eastAsia="微软雅黑" w:cs="微软雅黑"/>
                <w:i w:val="0"/>
                <w:iCs w:val="0"/>
                <w:color w:val="000000"/>
                <w:sz w:val="21"/>
                <w:szCs w:val="21"/>
                <w:u w:val="none"/>
              </w:rPr>
            </w:pPr>
          </w:p>
        </w:tc>
      </w:tr>
      <w:tr w14:paraId="5D2D3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D6E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w:t>
            </w:r>
          </w:p>
        </w:tc>
        <w:tc>
          <w:tcPr>
            <w:tcW w:w="8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46D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组合屏风</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58E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083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8DF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1881</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2A9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3762</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841D3">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拒绝进口</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4E7EF">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eastAsia="zh-CN"/>
              </w:rPr>
              <w:t>否</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27EFB">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eastAsia="zh-CN"/>
              </w:rPr>
              <w:t>工业</w:t>
            </w:r>
          </w:p>
        </w:tc>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14619D">
            <w:pPr>
              <w:jc w:val="center"/>
              <w:rPr>
                <w:rFonts w:hint="eastAsia" w:ascii="微软雅黑" w:hAnsi="微软雅黑" w:eastAsia="微软雅黑" w:cs="微软雅黑"/>
                <w:i w:val="0"/>
                <w:iCs w:val="0"/>
                <w:color w:val="000000"/>
                <w:sz w:val="21"/>
                <w:szCs w:val="21"/>
                <w:u w:val="none"/>
              </w:rPr>
            </w:pPr>
          </w:p>
        </w:tc>
      </w:tr>
      <w:tr w14:paraId="03F89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BD8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w:t>
            </w:r>
          </w:p>
        </w:tc>
        <w:tc>
          <w:tcPr>
            <w:tcW w:w="8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FB8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阶梯组合柜.无背板</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DF0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CCA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549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1238</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EA4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2476</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150EE">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拒绝进口</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E7112">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eastAsia="zh-CN"/>
              </w:rPr>
              <w:t>否</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CA490">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eastAsia="zh-CN"/>
              </w:rPr>
              <w:t>工业</w:t>
            </w:r>
          </w:p>
        </w:tc>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18EA38">
            <w:pPr>
              <w:jc w:val="center"/>
              <w:rPr>
                <w:rFonts w:hint="eastAsia" w:ascii="微软雅黑" w:hAnsi="微软雅黑" w:eastAsia="微软雅黑" w:cs="微软雅黑"/>
                <w:i w:val="0"/>
                <w:iCs w:val="0"/>
                <w:color w:val="000000"/>
                <w:sz w:val="21"/>
                <w:szCs w:val="21"/>
                <w:u w:val="none"/>
              </w:rPr>
            </w:pPr>
          </w:p>
        </w:tc>
      </w:tr>
      <w:tr w14:paraId="7A721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285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8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B7B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互动造型柜</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1CD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5F2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1B8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1786</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472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3572</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25841">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拒绝进口</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77E29">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eastAsia="zh-CN"/>
              </w:rPr>
              <w:t>否</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88CEA">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eastAsia="zh-CN"/>
              </w:rPr>
              <w:t>工业</w:t>
            </w:r>
          </w:p>
        </w:tc>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20FA57">
            <w:pPr>
              <w:jc w:val="center"/>
              <w:rPr>
                <w:rFonts w:hint="eastAsia" w:ascii="微软雅黑" w:hAnsi="微软雅黑" w:eastAsia="微软雅黑" w:cs="微软雅黑"/>
                <w:i w:val="0"/>
                <w:iCs w:val="0"/>
                <w:color w:val="000000"/>
                <w:sz w:val="21"/>
                <w:szCs w:val="21"/>
                <w:u w:val="none"/>
              </w:rPr>
            </w:pPr>
          </w:p>
        </w:tc>
      </w:tr>
      <w:tr w14:paraId="52AD1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783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w:t>
            </w:r>
          </w:p>
        </w:tc>
        <w:tc>
          <w:tcPr>
            <w:tcW w:w="8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17A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弧形波纹挡板</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088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406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A6D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1121</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F80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2242</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541BD">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拒绝进口</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783E1">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eastAsia="zh-CN"/>
              </w:rPr>
              <w:t>否</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42E15">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eastAsia="zh-CN"/>
              </w:rPr>
              <w:t>工业</w:t>
            </w:r>
          </w:p>
        </w:tc>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57616E">
            <w:pPr>
              <w:jc w:val="center"/>
              <w:rPr>
                <w:rFonts w:hint="eastAsia" w:ascii="微软雅黑" w:hAnsi="微软雅黑" w:eastAsia="微软雅黑" w:cs="微软雅黑"/>
                <w:i w:val="0"/>
                <w:iCs w:val="0"/>
                <w:color w:val="000000"/>
                <w:sz w:val="21"/>
                <w:szCs w:val="21"/>
                <w:u w:val="none"/>
              </w:rPr>
            </w:pPr>
          </w:p>
        </w:tc>
      </w:tr>
      <w:tr w14:paraId="359EC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7A5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w:t>
            </w:r>
          </w:p>
        </w:tc>
        <w:tc>
          <w:tcPr>
            <w:tcW w:w="8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36E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百变场景小屋</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560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7B7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F27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4484</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08E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8968</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3A70E">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拒绝进口</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866BA">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eastAsia="zh-CN"/>
              </w:rPr>
              <w:t>否</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51981">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eastAsia="zh-CN"/>
              </w:rPr>
              <w:t>工业</w:t>
            </w:r>
          </w:p>
        </w:tc>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37363E">
            <w:pPr>
              <w:jc w:val="center"/>
              <w:rPr>
                <w:rFonts w:hint="eastAsia" w:ascii="微软雅黑" w:hAnsi="微软雅黑" w:eastAsia="微软雅黑" w:cs="微软雅黑"/>
                <w:i w:val="0"/>
                <w:iCs w:val="0"/>
                <w:color w:val="000000"/>
                <w:sz w:val="21"/>
                <w:szCs w:val="21"/>
                <w:u w:val="none"/>
              </w:rPr>
            </w:pPr>
          </w:p>
        </w:tc>
      </w:tr>
      <w:tr w14:paraId="76594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A22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8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2C9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2层90°弧形矮柜</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28D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246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44B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1026</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84A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6156</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8135A">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拒绝进口</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1DE09">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eastAsia="zh-CN"/>
              </w:rPr>
              <w:t>否</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9AFFC">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eastAsia="zh-CN"/>
              </w:rPr>
              <w:t>工业</w:t>
            </w:r>
          </w:p>
        </w:tc>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02AACC">
            <w:pPr>
              <w:jc w:val="center"/>
              <w:rPr>
                <w:rFonts w:hint="eastAsia" w:ascii="微软雅黑" w:hAnsi="微软雅黑" w:eastAsia="微软雅黑" w:cs="微软雅黑"/>
                <w:i w:val="0"/>
                <w:iCs w:val="0"/>
                <w:color w:val="000000"/>
                <w:sz w:val="21"/>
                <w:szCs w:val="21"/>
                <w:u w:val="none"/>
              </w:rPr>
            </w:pPr>
          </w:p>
        </w:tc>
      </w:tr>
      <w:tr w14:paraId="6AAD2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546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w:t>
            </w:r>
          </w:p>
        </w:tc>
        <w:tc>
          <w:tcPr>
            <w:tcW w:w="8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596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3层矮柜.可调节.无背板</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1CB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5BE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AED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935</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C5D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1870</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C642A">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拒绝进口</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38A85">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eastAsia="zh-CN"/>
              </w:rPr>
              <w:t>否</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E876C">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eastAsia="zh-CN"/>
              </w:rPr>
              <w:t>工业</w:t>
            </w:r>
          </w:p>
        </w:tc>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04BEC6">
            <w:pPr>
              <w:jc w:val="center"/>
              <w:rPr>
                <w:rFonts w:hint="eastAsia" w:ascii="微软雅黑" w:hAnsi="微软雅黑" w:eastAsia="微软雅黑" w:cs="微软雅黑"/>
                <w:i w:val="0"/>
                <w:iCs w:val="0"/>
                <w:color w:val="000000"/>
                <w:sz w:val="21"/>
                <w:szCs w:val="21"/>
                <w:u w:val="none"/>
              </w:rPr>
            </w:pPr>
          </w:p>
        </w:tc>
      </w:tr>
      <w:tr w14:paraId="3B069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760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8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883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简约书架</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A6E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F2E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D89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760</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857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3040</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C1EB3">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拒绝进口</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530AC">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eastAsia="zh-CN"/>
              </w:rPr>
              <w:t>否</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7E33F">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eastAsia="zh-CN"/>
              </w:rPr>
              <w:t>工业</w:t>
            </w:r>
          </w:p>
        </w:tc>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81FF4B">
            <w:pPr>
              <w:jc w:val="center"/>
              <w:rPr>
                <w:rFonts w:hint="eastAsia" w:ascii="微软雅黑" w:hAnsi="微软雅黑" w:eastAsia="微软雅黑" w:cs="微软雅黑"/>
                <w:i w:val="0"/>
                <w:iCs w:val="0"/>
                <w:color w:val="000000"/>
                <w:sz w:val="21"/>
                <w:szCs w:val="21"/>
                <w:u w:val="none"/>
              </w:rPr>
            </w:pPr>
          </w:p>
        </w:tc>
      </w:tr>
      <w:tr w14:paraId="566DC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8E7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w:t>
            </w:r>
          </w:p>
        </w:tc>
        <w:tc>
          <w:tcPr>
            <w:tcW w:w="8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E76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秘密游戏树洞</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795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6EC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98F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2774</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FB7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5548</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BB504">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拒绝进口</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58D44">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eastAsia="zh-CN"/>
              </w:rPr>
              <w:t>否</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E2AE3">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eastAsia="zh-CN"/>
              </w:rPr>
              <w:t>工业</w:t>
            </w:r>
          </w:p>
        </w:tc>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62A85E">
            <w:pPr>
              <w:jc w:val="center"/>
              <w:rPr>
                <w:rFonts w:hint="eastAsia" w:ascii="微软雅黑" w:hAnsi="微软雅黑" w:eastAsia="微软雅黑" w:cs="微软雅黑"/>
                <w:i w:val="0"/>
                <w:iCs w:val="0"/>
                <w:color w:val="000000"/>
                <w:sz w:val="21"/>
                <w:szCs w:val="21"/>
                <w:u w:val="none"/>
              </w:rPr>
            </w:pPr>
          </w:p>
        </w:tc>
      </w:tr>
      <w:tr w14:paraId="475A4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570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w:t>
            </w:r>
          </w:p>
        </w:tc>
        <w:tc>
          <w:tcPr>
            <w:tcW w:w="8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214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2层矮柜.可调节.无背板</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A26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EF5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A9E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798</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2A7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4788</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9100D">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拒绝进口</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B9427">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eastAsia="zh-CN"/>
              </w:rPr>
              <w:t>否</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7C98C">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eastAsia="zh-CN"/>
              </w:rPr>
              <w:t>工业</w:t>
            </w:r>
          </w:p>
        </w:tc>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6A9ACD">
            <w:pPr>
              <w:jc w:val="center"/>
              <w:rPr>
                <w:rFonts w:hint="eastAsia" w:ascii="微软雅黑" w:hAnsi="微软雅黑" w:eastAsia="微软雅黑" w:cs="微软雅黑"/>
                <w:i w:val="0"/>
                <w:iCs w:val="0"/>
                <w:color w:val="000000"/>
                <w:sz w:val="21"/>
                <w:szCs w:val="21"/>
                <w:u w:val="none"/>
              </w:rPr>
            </w:pPr>
          </w:p>
        </w:tc>
      </w:tr>
      <w:tr w14:paraId="6868F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256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w:t>
            </w:r>
          </w:p>
        </w:tc>
        <w:tc>
          <w:tcPr>
            <w:tcW w:w="8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AA8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直线波纹挡板</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AD0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252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4C0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817</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A3D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1634</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64BB2">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拒绝进口</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567DC">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eastAsia="zh-CN"/>
              </w:rPr>
              <w:t>否</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7C1DD">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eastAsia="zh-CN"/>
              </w:rPr>
              <w:t>工业</w:t>
            </w:r>
          </w:p>
        </w:tc>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07DF1B">
            <w:pPr>
              <w:jc w:val="center"/>
              <w:rPr>
                <w:rFonts w:hint="eastAsia" w:ascii="微软雅黑" w:hAnsi="微软雅黑" w:eastAsia="微软雅黑" w:cs="微软雅黑"/>
                <w:i w:val="0"/>
                <w:iCs w:val="0"/>
                <w:color w:val="000000"/>
                <w:sz w:val="21"/>
                <w:szCs w:val="21"/>
                <w:u w:val="none"/>
              </w:rPr>
            </w:pPr>
          </w:p>
        </w:tc>
      </w:tr>
      <w:tr w14:paraId="255A6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3AD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w:t>
            </w:r>
          </w:p>
        </w:tc>
        <w:tc>
          <w:tcPr>
            <w:tcW w:w="8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1C5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山峰小屋收纳柜</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6FE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BBB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6BE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1330</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40F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2660</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44368">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拒绝进口</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79023">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eastAsia="zh-CN"/>
              </w:rPr>
              <w:t>否</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3B3A6">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eastAsia="zh-CN"/>
              </w:rPr>
              <w:t>工业</w:t>
            </w:r>
          </w:p>
        </w:tc>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01618E">
            <w:pPr>
              <w:jc w:val="center"/>
              <w:rPr>
                <w:rFonts w:hint="eastAsia" w:ascii="微软雅黑" w:hAnsi="微软雅黑" w:eastAsia="微软雅黑" w:cs="微软雅黑"/>
                <w:i w:val="0"/>
                <w:iCs w:val="0"/>
                <w:color w:val="000000"/>
                <w:sz w:val="21"/>
                <w:szCs w:val="21"/>
                <w:u w:val="none"/>
              </w:rPr>
            </w:pPr>
          </w:p>
        </w:tc>
      </w:tr>
      <w:tr w14:paraId="1CB36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036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w:t>
            </w:r>
          </w:p>
        </w:tc>
        <w:tc>
          <w:tcPr>
            <w:tcW w:w="8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687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小方桌</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429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5C0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897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722</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29E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1444</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EB968">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拒绝进口</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1DEDF">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eastAsia="zh-CN"/>
              </w:rPr>
              <w:t>否</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8DC69">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eastAsia="zh-CN"/>
              </w:rPr>
              <w:t>工业</w:t>
            </w:r>
          </w:p>
        </w:tc>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2F2E24">
            <w:pPr>
              <w:jc w:val="center"/>
              <w:rPr>
                <w:rFonts w:hint="eastAsia" w:ascii="微软雅黑" w:hAnsi="微软雅黑" w:eastAsia="微软雅黑" w:cs="微软雅黑"/>
                <w:i w:val="0"/>
                <w:iCs w:val="0"/>
                <w:color w:val="000000"/>
                <w:sz w:val="21"/>
                <w:szCs w:val="21"/>
                <w:u w:val="none"/>
              </w:rPr>
            </w:pPr>
          </w:p>
        </w:tc>
      </w:tr>
      <w:tr w14:paraId="0FE87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1DD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w:t>
            </w:r>
          </w:p>
        </w:tc>
        <w:tc>
          <w:tcPr>
            <w:tcW w:w="8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DA9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彩虹云朵无扶手双人皮沙发</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49A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7C1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02D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2660</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353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5320</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68A74">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拒绝进口</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87AB9">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eastAsia="zh-CN"/>
              </w:rPr>
              <w:t>否</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1C855">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eastAsia="zh-CN"/>
              </w:rPr>
              <w:t>工业</w:t>
            </w:r>
          </w:p>
        </w:tc>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AD528F">
            <w:pPr>
              <w:jc w:val="center"/>
              <w:rPr>
                <w:rFonts w:hint="eastAsia" w:ascii="微软雅黑" w:hAnsi="微软雅黑" w:eastAsia="微软雅黑" w:cs="微软雅黑"/>
                <w:i w:val="0"/>
                <w:iCs w:val="0"/>
                <w:color w:val="000000"/>
                <w:sz w:val="21"/>
                <w:szCs w:val="21"/>
                <w:u w:val="none"/>
              </w:rPr>
            </w:pPr>
          </w:p>
        </w:tc>
      </w:tr>
      <w:tr w14:paraId="6F6B6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D56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w:t>
            </w:r>
          </w:p>
        </w:tc>
        <w:tc>
          <w:tcPr>
            <w:tcW w:w="8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BD0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方块百宝箱A款.3个</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3D6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502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ACC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1026</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1F4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2052</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2B5A0">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拒绝进口</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1A112">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eastAsia="zh-CN"/>
              </w:rPr>
              <w:t>否</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A37A9">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eastAsia="zh-CN"/>
              </w:rPr>
              <w:t>工业</w:t>
            </w:r>
          </w:p>
        </w:tc>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056D38">
            <w:pPr>
              <w:jc w:val="center"/>
              <w:rPr>
                <w:rFonts w:hint="eastAsia" w:ascii="微软雅黑" w:hAnsi="微软雅黑" w:eastAsia="微软雅黑" w:cs="微软雅黑"/>
                <w:i w:val="0"/>
                <w:iCs w:val="0"/>
                <w:color w:val="000000"/>
                <w:sz w:val="21"/>
                <w:szCs w:val="21"/>
                <w:u w:val="none"/>
              </w:rPr>
            </w:pPr>
          </w:p>
        </w:tc>
      </w:tr>
      <w:tr w14:paraId="6351F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F9E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w:t>
            </w:r>
          </w:p>
        </w:tc>
        <w:tc>
          <w:tcPr>
            <w:tcW w:w="8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326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方块百宝箱A款.4个</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5FB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D63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FB1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1368</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1DF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2736</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EDCEA">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拒绝进口</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07872">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eastAsia="zh-CN"/>
              </w:rPr>
              <w:t>否</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ACFCF">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eastAsia="zh-CN"/>
              </w:rPr>
              <w:t>工业</w:t>
            </w:r>
          </w:p>
        </w:tc>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3BAB11">
            <w:pPr>
              <w:jc w:val="center"/>
              <w:rPr>
                <w:rFonts w:hint="eastAsia" w:ascii="微软雅黑" w:hAnsi="微软雅黑" w:eastAsia="微软雅黑" w:cs="微软雅黑"/>
                <w:i w:val="0"/>
                <w:iCs w:val="0"/>
                <w:color w:val="000000"/>
                <w:sz w:val="21"/>
                <w:szCs w:val="21"/>
                <w:u w:val="none"/>
              </w:rPr>
            </w:pPr>
          </w:p>
        </w:tc>
      </w:tr>
      <w:tr w14:paraId="1CA36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136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w:t>
            </w:r>
          </w:p>
        </w:tc>
        <w:tc>
          <w:tcPr>
            <w:tcW w:w="8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487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便携式可堆叠儿童床</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9C98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30</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C50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CC9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26C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4800</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B3CDD">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拒绝进口</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6098F">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eastAsia="zh-CN"/>
              </w:rPr>
              <w:t>否</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A374D">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eastAsia="zh-CN"/>
              </w:rPr>
              <w:t>工业</w:t>
            </w:r>
          </w:p>
        </w:tc>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31D6D5">
            <w:pPr>
              <w:jc w:val="center"/>
              <w:rPr>
                <w:rFonts w:hint="eastAsia" w:ascii="微软雅黑" w:hAnsi="微软雅黑" w:eastAsia="微软雅黑" w:cs="微软雅黑"/>
                <w:i w:val="0"/>
                <w:iCs w:val="0"/>
                <w:color w:val="000000"/>
                <w:sz w:val="21"/>
                <w:szCs w:val="21"/>
                <w:u w:val="none"/>
              </w:rPr>
            </w:pPr>
          </w:p>
        </w:tc>
      </w:tr>
      <w:tr w14:paraId="4CC21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3A7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8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9A9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便携式儿童床架</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36A6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8DB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9C1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320</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A1B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960</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3F4E8">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拒绝进口</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8018A">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eastAsia="zh-CN"/>
              </w:rPr>
              <w:t>否</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C3CF0">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eastAsia="zh-CN"/>
              </w:rPr>
              <w:t>工业</w:t>
            </w:r>
          </w:p>
        </w:tc>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2D3F80">
            <w:pPr>
              <w:jc w:val="center"/>
              <w:rPr>
                <w:rFonts w:hint="eastAsia" w:ascii="微软雅黑" w:hAnsi="微软雅黑" w:eastAsia="微软雅黑" w:cs="微软雅黑"/>
                <w:i w:val="0"/>
                <w:iCs w:val="0"/>
                <w:color w:val="000000"/>
                <w:sz w:val="21"/>
                <w:szCs w:val="21"/>
                <w:u w:val="none"/>
              </w:rPr>
            </w:pPr>
          </w:p>
        </w:tc>
      </w:tr>
      <w:tr w14:paraId="48C64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BB3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w:t>
            </w:r>
          </w:p>
        </w:tc>
        <w:tc>
          <w:tcPr>
            <w:tcW w:w="8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00C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幼儿椅</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8BA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6A4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04D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190</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A5B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13300</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2B110">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拒绝进口</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AD1BD">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eastAsia="zh-CN"/>
              </w:rPr>
              <w:t>否</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E0DDA">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eastAsia="zh-CN"/>
              </w:rPr>
              <w:t>工业</w:t>
            </w:r>
          </w:p>
        </w:tc>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C6222A">
            <w:pPr>
              <w:jc w:val="center"/>
              <w:rPr>
                <w:rFonts w:hint="eastAsia" w:ascii="微软雅黑" w:hAnsi="微软雅黑" w:eastAsia="微软雅黑" w:cs="微软雅黑"/>
                <w:i w:val="0"/>
                <w:iCs w:val="0"/>
                <w:color w:val="000000"/>
                <w:sz w:val="21"/>
                <w:szCs w:val="21"/>
                <w:u w:val="none"/>
              </w:rPr>
            </w:pPr>
          </w:p>
        </w:tc>
      </w:tr>
      <w:tr w14:paraId="52AB6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AAE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w:t>
            </w:r>
          </w:p>
        </w:tc>
        <w:tc>
          <w:tcPr>
            <w:tcW w:w="8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291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幼儿桌</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B99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AF4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7E3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753</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4F0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9036</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7A226">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拒绝进口</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98487">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eastAsia="zh-CN"/>
              </w:rPr>
              <w:t>否</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8504B">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eastAsia="zh-CN"/>
              </w:rPr>
              <w:t>工业</w:t>
            </w:r>
          </w:p>
        </w:tc>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03B74C">
            <w:pPr>
              <w:jc w:val="center"/>
              <w:rPr>
                <w:rFonts w:hint="eastAsia" w:ascii="微软雅黑" w:hAnsi="微软雅黑" w:eastAsia="微软雅黑" w:cs="微软雅黑"/>
                <w:i w:val="0"/>
                <w:iCs w:val="0"/>
                <w:color w:val="000000"/>
                <w:sz w:val="21"/>
                <w:szCs w:val="21"/>
                <w:u w:val="none"/>
              </w:rPr>
            </w:pPr>
          </w:p>
        </w:tc>
      </w:tr>
      <w:tr w14:paraId="17EEE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40B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w:t>
            </w:r>
          </w:p>
        </w:tc>
        <w:tc>
          <w:tcPr>
            <w:tcW w:w="8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660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4人桌</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6D6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CFA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355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646</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A20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2584</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7FCBC">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拒绝进口</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1B74B">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eastAsia="zh-CN"/>
              </w:rPr>
              <w:t>否</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E7D39">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eastAsia="zh-CN"/>
              </w:rPr>
              <w:t>工业</w:t>
            </w:r>
          </w:p>
        </w:tc>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C7DC98">
            <w:pPr>
              <w:jc w:val="center"/>
              <w:rPr>
                <w:rFonts w:hint="eastAsia" w:ascii="微软雅黑" w:hAnsi="微软雅黑" w:eastAsia="微软雅黑" w:cs="微软雅黑"/>
                <w:i w:val="0"/>
                <w:iCs w:val="0"/>
                <w:color w:val="000000"/>
                <w:sz w:val="21"/>
                <w:szCs w:val="21"/>
                <w:u w:val="none"/>
              </w:rPr>
            </w:pPr>
          </w:p>
        </w:tc>
      </w:tr>
      <w:tr w14:paraId="34332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8BB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w:t>
            </w:r>
          </w:p>
        </w:tc>
        <w:tc>
          <w:tcPr>
            <w:tcW w:w="8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F4E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圆桌</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186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C5D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8F4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988</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77C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1976</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F650B">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拒绝进口</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7BFA0">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eastAsia="zh-CN"/>
              </w:rPr>
              <w:t>否</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66ACA">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eastAsia="zh-CN"/>
              </w:rPr>
              <w:t>工业</w:t>
            </w:r>
          </w:p>
        </w:tc>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3A1075">
            <w:pPr>
              <w:jc w:val="center"/>
              <w:rPr>
                <w:rFonts w:hint="eastAsia" w:ascii="微软雅黑" w:hAnsi="微软雅黑" w:eastAsia="微软雅黑" w:cs="微软雅黑"/>
                <w:i w:val="0"/>
                <w:iCs w:val="0"/>
                <w:color w:val="000000"/>
                <w:sz w:val="21"/>
                <w:szCs w:val="21"/>
                <w:u w:val="none"/>
              </w:rPr>
            </w:pPr>
          </w:p>
        </w:tc>
      </w:tr>
      <w:tr w14:paraId="7FC9C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698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w:t>
            </w:r>
          </w:p>
        </w:tc>
        <w:tc>
          <w:tcPr>
            <w:tcW w:w="8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8FA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一体成型椅</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FFC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3B1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F7C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532</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7F9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1064</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71A91">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拒绝进口</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3AD26">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eastAsia="zh-CN"/>
              </w:rPr>
              <w:t>否</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A4285">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eastAsia="zh-CN"/>
              </w:rPr>
              <w:t>工业</w:t>
            </w:r>
          </w:p>
        </w:tc>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82B660">
            <w:pPr>
              <w:jc w:val="center"/>
              <w:rPr>
                <w:rFonts w:hint="eastAsia" w:ascii="微软雅黑" w:hAnsi="微软雅黑" w:eastAsia="微软雅黑" w:cs="微软雅黑"/>
                <w:i w:val="0"/>
                <w:iCs w:val="0"/>
                <w:color w:val="000000"/>
                <w:sz w:val="21"/>
                <w:szCs w:val="21"/>
                <w:u w:val="none"/>
              </w:rPr>
            </w:pPr>
          </w:p>
        </w:tc>
      </w:tr>
      <w:tr w14:paraId="2847F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2F8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w:t>
            </w:r>
          </w:p>
        </w:tc>
        <w:tc>
          <w:tcPr>
            <w:tcW w:w="8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36D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3层短柜高柜.半背板</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CF2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80C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E94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798</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05A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6384</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E2DF3">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拒绝进口</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6907B">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eastAsia="zh-CN"/>
              </w:rPr>
              <w:t>否</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9415C">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eastAsia="zh-CN"/>
              </w:rPr>
              <w:t>工业</w:t>
            </w:r>
          </w:p>
        </w:tc>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E489D1">
            <w:pPr>
              <w:jc w:val="center"/>
              <w:rPr>
                <w:rFonts w:hint="eastAsia" w:ascii="微软雅黑" w:hAnsi="微软雅黑" w:eastAsia="微软雅黑" w:cs="微软雅黑"/>
                <w:i w:val="0"/>
                <w:iCs w:val="0"/>
                <w:color w:val="000000"/>
                <w:sz w:val="21"/>
                <w:szCs w:val="21"/>
                <w:u w:val="none"/>
              </w:rPr>
            </w:pPr>
          </w:p>
        </w:tc>
      </w:tr>
      <w:tr w14:paraId="1A65F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639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67</w:t>
            </w:r>
          </w:p>
        </w:tc>
        <w:tc>
          <w:tcPr>
            <w:tcW w:w="8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560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3层矮柜.可调节.无背板</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7C0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AD6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BF7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935</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8BA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5610</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08973">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拒绝进口</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6D3B8">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eastAsia="zh-CN"/>
              </w:rPr>
              <w:t>否</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C75C2">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eastAsia="zh-CN"/>
              </w:rPr>
              <w:t>工业</w:t>
            </w:r>
          </w:p>
        </w:tc>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B44C2D">
            <w:pPr>
              <w:jc w:val="center"/>
              <w:rPr>
                <w:rFonts w:hint="eastAsia" w:ascii="微软雅黑" w:hAnsi="微软雅黑" w:eastAsia="微软雅黑" w:cs="微软雅黑"/>
                <w:i w:val="0"/>
                <w:iCs w:val="0"/>
                <w:color w:val="000000"/>
                <w:sz w:val="21"/>
                <w:szCs w:val="21"/>
                <w:u w:val="none"/>
              </w:rPr>
            </w:pPr>
          </w:p>
        </w:tc>
      </w:tr>
      <w:tr w14:paraId="73896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C32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w:t>
            </w:r>
          </w:p>
        </w:tc>
        <w:tc>
          <w:tcPr>
            <w:tcW w:w="8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377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2层90°转角矮柜</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10A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2A4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FD6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494</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AD2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1976</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5D202">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拒绝进口</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47EA9">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eastAsia="zh-CN"/>
              </w:rPr>
              <w:t>否</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CF731">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eastAsia="zh-CN"/>
              </w:rPr>
              <w:t>工业</w:t>
            </w:r>
          </w:p>
        </w:tc>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99294E">
            <w:pPr>
              <w:jc w:val="center"/>
              <w:rPr>
                <w:rFonts w:hint="eastAsia" w:ascii="微软雅黑" w:hAnsi="微软雅黑" w:eastAsia="微软雅黑" w:cs="微软雅黑"/>
                <w:i w:val="0"/>
                <w:iCs w:val="0"/>
                <w:color w:val="000000"/>
                <w:sz w:val="21"/>
                <w:szCs w:val="21"/>
                <w:u w:val="none"/>
              </w:rPr>
            </w:pPr>
          </w:p>
        </w:tc>
      </w:tr>
      <w:tr w14:paraId="4D654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FD5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69</w:t>
            </w:r>
          </w:p>
        </w:tc>
        <w:tc>
          <w:tcPr>
            <w:tcW w:w="8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6A0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互动展示柜</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D0E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51B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21E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1596</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E25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3192</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B945E">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拒绝进口</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DF6B0">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eastAsia="zh-CN"/>
              </w:rPr>
              <w:t>否</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60D5B">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eastAsia="zh-CN"/>
              </w:rPr>
              <w:t>工业</w:t>
            </w:r>
          </w:p>
        </w:tc>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ABC56A">
            <w:pPr>
              <w:jc w:val="center"/>
              <w:rPr>
                <w:rFonts w:hint="eastAsia" w:ascii="微软雅黑" w:hAnsi="微软雅黑" w:eastAsia="微软雅黑" w:cs="微软雅黑"/>
                <w:i w:val="0"/>
                <w:iCs w:val="0"/>
                <w:color w:val="000000"/>
                <w:sz w:val="21"/>
                <w:szCs w:val="21"/>
                <w:u w:val="none"/>
              </w:rPr>
            </w:pPr>
          </w:p>
        </w:tc>
      </w:tr>
      <w:tr w14:paraId="4E603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29F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w:t>
            </w:r>
          </w:p>
        </w:tc>
        <w:tc>
          <w:tcPr>
            <w:tcW w:w="8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3ED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美术作品晾干柜</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A28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323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FD6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1102</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1BA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2204</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407D6">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拒绝进口</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F96A7">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eastAsia="zh-CN"/>
              </w:rPr>
              <w:t>否</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6F98E">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eastAsia="zh-CN"/>
              </w:rPr>
              <w:t>工业</w:t>
            </w:r>
          </w:p>
        </w:tc>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B4A3F7">
            <w:pPr>
              <w:jc w:val="center"/>
              <w:rPr>
                <w:rFonts w:hint="eastAsia" w:ascii="微软雅黑" w:hAnsi="微软雅黑" w:eastAsia="微软雅黑" w:cs="微软雅黑"/>
                <w:i w:val="0"/>
                <w:iCs w:val="0"/>
                <w:color w:val="000000"/>
                <w:sz w:val="21"/>
                <w:szCs w:val="21"/>
                <w:u w:val="none"/>
              </w:rPr>
            </w:pPr>
          </w:p>
        </w:tc>
      </w:tr>
      <w:tr w14:paraId="2F4A4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2E7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71</w:t>
            </w:r>
          </w:p>
        </w:tc>
        <w:tc>
          <w:tcPr>
            <w:tcW w:w="8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327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2层90°弧形矮柜</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7BF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8EF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FCD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1026</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BCB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6156</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F02AC">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拒绝进口</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57382">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eastAsia="zh-CN"/>
              </w:rPr>
              <w:t>否</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DD7DE">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eastAsia="zh-CN"/>
              </w:rPr>
              <w:t>工业</w:t>
            </w:r>
          </w:p>
        </w:tc>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C1F754">
            <w:pPr>
              <w:jc w:val="center"/>
              <w:rPr>
                <w:rFonts w:hint="eastAsia" w:ascii="微软雅黑" w:hAnsi="微软雅黑" w:eastAsia="微软雅黑" w:cs="微软雅黑"/>
                <w:i w:val="0"/>
                <w:iCs w:val="0"/>
                <w:color w:val="000000"/>
                <w:sz w:val="21"/>
                <w:szCs w:val="21"/>
                <w:u w:val="none"/>
              </w:rPr>
            </w:pPr>
          </w:p>
        </w:tc>
      </w:tr>
      <w:tr w14:paraId="4E2CC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A16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w:t>
            </w:r>
          </w:p>
        </w:tc>
        <w:tc>
          <w:tcPr>
            <w:tcW w:w="8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72A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美术用品收纳柜</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153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F91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373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1634</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A35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3268</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FF111">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拒绝进口</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58E7B">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eastAsia="zh-CN"/>
              </w:rPr>
              <w:t>否</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F20E1">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eastAsia="zh-CN"/>
              </w:rPr>
              <w:t>工业</w:t>
            </w:r>
          </w:p>
        </w:tc>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2A997F">
            <w:pPr>
              <w:jc w:val="center"/>
              <w:rPr>
                <w:rFonts w:hint="eastAsia" w:ascii="微软雅黑" w:hAnsi="微软雅黑" w:eastAsia="微软雅黑" w:cs="微软雅黑"/>
                <w:i w:val="0"/>
                <w:iCs w:val="0"/>
                <w:color w:val="000000"/>
                <w:sz w:val="21"/>
                <w:szCs w:val="21"/>
                <w:u w:val="none"/>
              </w:rPr>
            </w:pPr>
          </w:p>
        </w:tc>
      </w:tr>
      <w:tr w14:paraId="349F7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18E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73</w:t>
            </w:r>
          </w:p>
        </w:tc>
        <w:tc>
          <w:tcPr>
            <w:tcW w:w="8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0EB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多功能组合展示屏风A</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110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91A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8FA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2698</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5A9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5396</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07389">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拒绝进口</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CD988">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eastAsia="zh-CN"/>
              </w:rPr>
              <w:t>否</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ED043">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eastAsia="zh-CN"/>
              </w:rPr>
              <w:t>工业</w:t>
            </w:r>
          </w:p>
        </w:tc>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6CEF3F">
            <w:pPr>
              <w:jc w:val="center"/>
              <w:rPr>
                <w:rFonts w:hint="eastAsia" w:ascii="微软雅黑" w:hAnsi="微软雅黑" w:eastAsia="微软雅黑" w:cs="微软雅黑"/>
                <w:i w:val="0"/>
                <w:iCs w:val="0"/>
                <w:color w:val="000000"/>
                <w:sz w:val="21"/>
                <w:szCs w:val="21"/>
                <w:u w:val="none"/>
              </w:rPr>
            </w:pPr>
          </w:p>
        </w:tc>
      </w:tr>
      <w:tr w14:paraId="47776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6DC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74</w:t>
            </w:r>
          </w:p>
        </w:tc>
        <w:tc>
          <w:tcPr>
            <w:tcW w:w="8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87B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组合屏风</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671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C54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509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1881</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3CB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3762</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83F47">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拒绝进口</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8E3DC">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eastAsia="zh-CN"/>
              </w:rPr>
              <w:t>否</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FB5B2">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eastAsia="zh-CN"/>
              </w:rPr>
              <w:t>工业</w:t>
            </w:r>
          </w:p>
        </w:tc>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C46371">
            <w:pPr>
              <w:jc w:val="center"/>
              <w:rPr>
                <w:rFonts w:hint="eastAsia" w:ascii="微软雅黑" w:hAnsi="微软雅黑" w:eastAsia="微软雅黑" w:cs="微软雅黑"/>
                <w:i w:val="0"/>
                <w:iCs w:val="0"/>
                <w:color w:val="000000"/>
                <w:sz w:val="21"/>
                <w:szCs w:val="21"/>
                <w:u w:val="none"/>
              </w:rPr>
            </w:pPr>
          </w:p>
        </w:tc>
      </w:tr>
      <w:tr w14:paraId="79A66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17A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w:t>
            </w:r>
          </w:p>
        </w:tc>
        <w:tc>
          <w:tcPr>
            <w:tcW w:w="8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1EB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铁艺储物推车</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1C3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E78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AB2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1031</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0E4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2062</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2DCCB">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拒绝进口</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DC0F3">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eastAsia="zh-CN"/>
              </w:rPr>
              <w:t>否</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D379F">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eastAsia="zh-CN"/>
              </w:rPr>
              <w:t>工业</w:t>
            </w:r>
          </w:p>
        </w:tc>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B6D541">
            <w:pPr>
              <w:jc w:val="center"/>
              <w:rPr>
                <w:rFonts w:hint="eastAsia" w:ascii="微软雅黑" w:hAnsi="微软雅黑" w:eastAsia="微软雅黑" w:cs="微软雅黑"/>
                <w:i w:val="0"/>
                <w:iCs w:val="0"/>
                <w:color w:val="000000"/>
                <w:sz w:val="21"/>
                <w:szCs w:val="21"/>
                <w:u w:val="none"/>
              </w:rPr>
            </w:pPr>
          </w:p>
        </w:tc>
      </w:tr>
      <w:tr w14:paraId="331E4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3AD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76</w:t>
            </w:r>
          </w:p>
        </w:tc>
        <w:tc>
          <w:tcPr>
            <w:tcW w:w="8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A14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8格万用高柜.无背板</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F4D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1B6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5BC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1254</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C0F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2508</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398A6">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拒绝进口</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1189C">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eastAsia="zh-CN"/>
              </w:rPr>
              <w:t>否</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AAC16">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eastAsia="zh-CN"/>
              </w:rPr>
              <w:t>工业</w:t>
            </w:r>
          </w:p>
        </w:tc>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8E655D">
            <w:pPr>
              <w:jc w:val="center"/>
              <w:rPr>
                <w:rFonts w:hint="eastAsia" w:ascii="微软雅黑" w:hAnsi="微软雅黑" w:eastAsia="微软雅黑" w:cs="微软雅黑"/>
                <w:i w:val="0"/>
                <w:iCs w:val="0"/>
                <w:color w:val="000000"/>
                <w:sz w:val="21"/>
                <w:szCs w:val="21"/>
                <w:u w:val="none"/>
              </w:rPr>
            </w:pPr>
          </w:p>
        </w:tc>
      </w:tr>
      <w:tr w14:paraId="3E1E5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C6A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77</w:t>
            </w:r>
          </w:p>
        </w:tc>
        <w:tc>
          <w:tcPr>
            <w:tcW w:w="8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255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三层教具篮收纳柜</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182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FCF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35B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1235</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088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2470</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47477">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拒绝进口</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989A3">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eastAsia="zh-CN"/>
              </w:rPr>
              <w:t>否</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9FC33">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eastAsia="zh-CN"/>
              </w:rPr>
              <w:t>工业</w:t>
            </w:r>
          </w:p>
        </w:tc>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D14CA7">
            <w:pPr>
              <w:jc w:val="center"/>
              <w:rPr>
                <w:rFonts w:hint="eastAsia" w:ascii="微软雅黑" w:hAnsi="微软雅黑" w:eastAsia="微软雅黑" w:cs="微软雅黑"/>
                <w:i w:val="0"/>
                <w:iCs w:val="0"/>
                <w:color w:val="000000"/>
                <w:sz w:val="21"/>
                <w:szCs w:val="21"/>
                <w:u w:val="none"/>
              </w:rPr>
            </w:pPr>
          </w:p>
        </w:tc>
      </w:tr>
      <w:tr w14:paraId="2693D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FBC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78</w:t>
            </w:r>
          </w:p>
        </w:tc>
        <w:tc>
          <w:tcPr>
            <w:tcW w:w="8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387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2层矮柜.可调节.无背板</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467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C5C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1B3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798</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B2D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3192</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14611">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拒绝进口</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0A939">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eastAsia="zh-CN"/>
              </w:rPr>
              <w:t>否</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D9440">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eastAsia="zh-CN"/>
              </w:rPr>
              <w:t>工业</w:t>
            </w:r>
          </w:p>
        </w:tc>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82D368">
            <w:pPr>
              <w:jc w:val="center"/>
              <w:rPr>
                <w:rFonts w:hint="eastAsia" w:ascii="微软雅黑" w:hAnsi="微软雅黑" w:eastAsia="微软雅黑" w:cs="微软雅黑"/>
                <w:i w:val="0"/>
                <w:iCs w:val="0"/>
                <w:color w:val="000000"/>
                <w:sz w:val="21"/>
                <w:szCs w:val="21"/>
                <w:u w:val="none"/>
              </w:rPr>
            </w:pPr>
          </w:p>
        </w:tc>
      </w:tr>
      <w:tr w14:paraId="6633B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3AE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79</w:t>
            </w:r>
          </w:p>
        </w:tc>
        <w:tc>
          <w:tcPr>
            <w:tcW w:w="8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827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互动造型柜</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C73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E78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946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1786</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7BC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3572</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95AD1">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拒绝进口</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3CE01">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eastAsia="zh-CN"/>
              </w:rPr>
              <w:t>否</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12E8B">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eastAsia="zh-CN"/>
              </w:rPr>
              <w:t>工业</w:t>
            </w:r>
          </w:p>
        </w:tc>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5D674F">
            <w:pPr>
              <w:jc w:val="center"/>
              <w:rPr>
                <w:rFonts w:hint="eastAsia" w:ascii="微软雅黑" w:hAnsi="微软雅黑" w:eastAsia="微软雅黑" w:cs="微软雅黑"/>
                <w:i w:val="0"/>
                <w:iCs w:val="0"/>
                <w:color w:val="000000"/>
                <w:sz w:val="21"/>
                <w:szCs w:val="21"/>
                <w:u w:val="none"/>
              </w:rPr>
            </w:pPr>
          </w:p>
        </w:tc>
      </w:tr>
      <w:tr w14:paraId="2752A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864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8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CB0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可调节书架</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A53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4C7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8E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2090</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D11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4180</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03E66">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拒绝进口</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34966">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eastAsia="zh-CN"/>
              </w:rPr>
              <w:t>否</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C5854">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eastAsia="zh-CN"/>
              </w:rPr>
              <w:t>工业</w:t>
            </w:r>
          </w:p>
        </w:tc>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061EC4">
            <w:pPr>
              <w:jc w:val="center"/>
              <w:rPr>
                <w:rFonts w:hint="eastAsia" w:ascii="微软雅黑" w:hAnsi="微软雅黑" w:eastAsia="微软雅黑" w:cs="微软雅黑"/>
                <w:i w:val="0"/>
                <w:iCs w:val="0"/>
                <w:color w:val="000000"/>
                <w:sz w:val="21"/>
                <w:szCs w:val="21"/>
                <w:u w:val="none"/>
              </w:rPr>
            </w:pPr>
          </w:p>
        </w:tc>
      </w:tr>
      <w:tr w14:paraId="76149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C71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81</w:t>
            </w:r>
          </w:p>
        </w:tc>
        <w:tc>
          <w:tcPr>
            <w:tcW w:w="8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7D2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松树铁艺移动收纳架</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751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862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BDD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1672</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F0B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3344</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A22E4">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拒绝进口</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AA8F2">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eastAsia="zh-CN"/>
              </w:rPr>
              <w:t>否</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A3277">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eastAsia="zh-CN"/>
              </w:rPr>
              <w:t>工业</w:t>
            </w:r>
          </w:p>
        </w:tc>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6954FB">
            <w:pPr>
              <w:jc w:val="center"/>
              <w:rPr>
                <w:rFonts w:hint="eastAsia" w:ascii="微软雅黑" w:hAnsi="微软雅黑" w:eastAsia="微软雅黑" w:cs="微软雅黑"/>
                <w:i w:val="0"/>
                <w:iCs w:val="0"/>
                <w:color w:val="000000"/>
                <w:sz w:val="21"/>
                <w:szCs w:val="21"/>
                <w:u w:val="none"/>
              </w:rPr>
            </w:pPr>
          </w:p>
        </w:tc>
      </w:tr>
      <w:tr w14:paraId="2FB3D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F09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82</w:t>
            </w:r>
          </w:p>
        </w:tc>
        <w:tc>
          <w:tcPr>
            <w:tcW w:w="8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F19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月亮桌.可调节</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3A1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012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058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1102</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387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4408</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194E1">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拒绝进口</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44F76">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eastAsia="zh-CN"/>
              </w:rPr>
              <w:t>否</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3F44D">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eastAsia="zh-CN"/>
              </w:rPr>
              <w:t>工业</w:t>
            </w:r>
          </w:p>
        </w:tc>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E3A75F">
            <w:pPr>
              <w:jc w:val="center"/>
              <w:rPr>
                <w:rFonts w:hint="eastAsia" w:ascii="微软雅黑" w:hAnsi="微软雅黑" w:eastAsia="微软雅黑" w:cs="微软雅黑"/>
                <w:i w:val="0"/>
                <w:iCs w:val="0"/>
                <w:color w:val="000000"/>
                <w:sz w:val="21"/>
                <w:szCs w:val="21"/>
                <w:u w:val="none"/>
              </w:rPr>
            </w:pPr>
          </w:p>
        </w:tc>
      </w:tr>
      <w:tr w14:paraId="15F42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E0E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83</w:t>
            </w:r>
          </w:p>
        </w:tc>
        <w:tc>
          <w:tcPr>
            <w:tcW w:w="8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CBA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4层可调高柜.可调节.半背板</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F4B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98C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E08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1216</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C39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2432</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09F55">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拒绝进口</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12875">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eastAsia="zh-CN"/>
              </w:rPr>
              <w:t>否</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03223">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eastAsia="zh-CN"/>
              </w:rPr>
              <w:t>工业</w:t>
            </w:r>
          </w:p>
        </w:tc>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3DD23A">
            <w:pPr>
              <w:jc w:val="center"/>
              <w:rPr>
                <w:rFonts w:hint="eastAsia" w:ascii="微软雅黑" w:hAnsi="微软雅黑" w:eastAsia="微软雅黑" w:cs="微软雅黑"/>
                <w:i w:val="0"/>
                <w:iCs w:val="0"/>
                <w:color w:val="000000"/>
                <w:sz w:val="21"/>
                <w:szCs w:val="21"/>
                <w:u w:val="none"/>
              </w:rPr>
            </w:pPr>
          </w:p>
        </w:tc>
      </w:tr>
      <w:tr w14:paraId="4D682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69E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84</w:t>
            </w:r>
          </w:p>
        </w:tc>
        <w:tc>
          <w:tcPr>
            <w:tcW w:w="8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003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山峰小屋收纳柜</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303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E00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DE8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1330</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CBF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2660</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C79A3">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拒绝进口</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31AFB">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eastAsia="zh-CN"/>
              </w:rPr>
              <w:t>否</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778D6">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eastAsia="zh-CN"/>
              </w:rPr>
              <w:t>工业</w:t>
            </w:r>
          </w:p>
        </w:tc>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336AE8">
            <w:pPr>
              <w:jc w:val="center"/>
              <w:rPr>
                <w:rFonts w:hint="eastAsia" w:ascii="微软雅黑" w:hAnsi="微软雅黑" w:eastAsia="微软雅黑" w:cs="微软雅黑"/>
                <w:i w:val="0"/>
                <w:iCs w:val="0"/>
                <w:color w:val="000000"/>
                <w:sz w:val="21"/>
                <w:szCs w:val="21"/>
                <w:u w:val="none"/>
              </w:rPr>
            </w:pPr>
          </w:p>
        </w:tc>
      </w:tr>
      <w:tr w14:paraId="4539F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F54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w:t>
            </w:r>
          </w:p>
        </w:tc>
        <w:tc>
          <w:tcPr>
            <w:tcW w:w="8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162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秘密游戏树洞</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B08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640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411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2774</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1D9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5548</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9E5D2">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拒绝进口</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78E7A">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eastAsia="zh-CN"/>
              </w:rPr>
              <w:t>否</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0CB93">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eastAsia="zh-CN"/>
              </w:rPr>
              <w:t>工业</w:t>
            </w:r>
          </w:p>
        </w:tc>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6B79FD">
            <w:pPr>
              <w:jc w:val="center"/>
              <w:rPr>
                <w:rFonts w:hint="eastAsia" w:ascii="微软雅黑" w:hAnsi="微软雅黑" w:eastAsia="微软雅黑" w:cs="微软雅黑"/>
                <w:i w:val="0"/>
                <w:iCs w:val="0"/>
                <w:color w:val="000000"/>
                <w:sz w:val="21"/>
                <w:szCs w:val="21"/>
                <w:u w:val="none"/>
              </w:rPr>
            </w:pPr>
          </w:p>
        </w:tc>
      </w:tr>
      <w:tr w14:paraId="75395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646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86</w:t>
            </w:r>
          </w:p>
        </w:tc>
        <w:tc>
          <w:tcPr>
            <w:tcW w:w="8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153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简约书架</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2F1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8B4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548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760</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B1A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3040</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571B5">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拒绝进口</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12294">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eastAsia="zh-CN"/>
              </w:rPr>
              <w:t>否</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C7F86">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eastAsia="zh-CN"/>
              </w:rPr>
              <w:t>工业</w:t>
            </w:r>
          </w:p>
        </w:tc>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1F06C3">
            <w:pPr>
              <w:jc w:val="center"/>
              <w:rPr>
                <w:rFonts w:hint="eastAsia" w:ascii="微软雅黑" w:hAnsi="微软雅黑" w:eastAsia="微软雅黑" w:cs="微软雅黑"/>
                <w:i w:val="0"/>
                <w:iCs w:val="0"/>
                <w:color w:val="000000"/>
                <w:sz w:val="21"/>
                <w:szCs w:val="21"/>
                <w:u w:val="none"/>
              </w:rPr>
            </w:pPr>
          </w:p>
        </w:tc>
      </w:tr>
      <w:tr w14:paraId="5E638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4D4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87</w:t>
            </w:r>
          </w:p>
        </w:tc>
        <w:tc>
          <w:tcPr>
            <w:tcW w:w="8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844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托育蘑菇造型小书架</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574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B0E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858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639</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4E1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1278</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582FF">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拒绝进口</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14CFC">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eastAsia="zh-CN"/>
              </w:rPr>
              <w:t>否</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47616">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eastAsia="zh-CN"/>
              </w:rPr>
              <w:t>工业</w:t>
            </w:r>
          </w:p>
        </w:tc>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2E68D7">
            <w:pPr>
              <w:jc w:val="center"/>
              <w:rPr>
                <w:rFonts w:hint="eastAsia" w:ascii="微软雅黑" w:hAnsi="微软雅黑" w:eastAsia="微软雅黑" w:cs="微软雅黑"/>
                <w:i w:val="0"/>
                <w:iCs w:val="0"/>
                <w:color w:val="000000"/>
                <w:sz w:val="21"/>
                <w:szCs w:val="21"/>
                <w:u w:val="none"/>
              </w:rPr>
            </w:pPr>
          </w:p>
        </w:tc>
      </w:tr>
      <w:tr w14:paraId="0D088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14B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88</w:t>
            </w:r>
          </w:p>
        </w:tc>
        <w:tc>
          <w:tcPr>
            <w:tcW w:w="8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D17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移动小书架</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A14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ECA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8EC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418</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A08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836</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11CBA">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拒绝进口</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042A9">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eastAsia="zh-CN"/>
              </w:rPr>
              <w:t>否</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290E1">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eastAsia="zh-CN"/>
              </w:rPr>
              <w:t>工业</w:t>
            </w:r>
          </w:p>
        </w:tc>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588527">
            <w:pPr>
              <w:jc w:val="center"/>
              <w:rPr>
                <w:rFonts w:hint="eastAsia" w:ascii="微软雅黑" w:hAnsi="微软雅黑" w:eastAsia="微软雅黑" w:cs="微软雅黑"/>
                <w:i w:val="0"/>
                <w:iCs w:val="0"/>
                <w:color w:val="000000"/>
                <w:sz w:val="21"/>
                <w:szCs w:val="21"/>
                <w:u w:val="none"/>
              </w:rPr>
            </w:pPr>
          </w:p>
        </w:tc>
      </w:tr>
      <w:tr w14:paraId="76428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EE7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89</w:t>
            </w:r>
          </w:p>
        </w:tc>
        <w:tc>
          <w:tcPr>
            <w:tcW w:w="8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E7E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龙猫口袋单人皮沙发</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46A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9B0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85D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1292</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105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2584</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0C915">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拒绝进口</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D53FC">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eastAsia="zh-CN"/>
              </w:rPr>
              <w:t>否</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C7EBD">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eastAsia="zh-CN"/>
              </w:rPr>
              <w:t>工业</w:t>
            </w:r>
          </w:p>
        </w:tc>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4F02DE">
            <w:pPr>
              <w:jc w:val="center"/>
              <w:rPr>
                <w:rFonts w:hint="eastAsia" w:ascii="微软雅黑" w:hAnsi="微软雅黑" w:eastAsia="微软雅黑" w:cs="微软雅黑"/>
                <w:i w:val="0"/>
                <w:iCs w:val="0"/>
                <w:color w:val="000000"/>
                <w:sz w:val="21"/>
                <w:szCs w:val="21"/>
                <w:u w:val="none"/>
              </w:rPr>
            </w:pPr>
          </w:p>
        </w:tc>
      </w:tr>
      <w:tr w14:paraId="6C8E8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FE3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8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395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怀抱双人布艺沙发.天蓝</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44F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66B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9C3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1634</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CEC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3268</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DF48A">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拒绝进口</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4F758">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eastAsia="zh-CN"/>
              </w:rPr>
              <w:t>否</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AB650">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eastAsia="zh-CN"/>
              </w:rPr>
              <w:t>工业</w:t>
            </w:r>
          </w:p>
        </w:tc>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9ED380">
            <w:pPr>
              <w:jc w:val="center"/>
              <w:rPr>
                <w:rFonts w:hint="eastAsia" w:ascii="微软雅黑" w:hAnsi="微软雅黑" w:eastAsia="微软雅黑" w:cs="微软雅黑"/>
                <w:i w:val="0"/>
                <w:iCs w:val="0"/>
                <w:color w:val="000000"/>
                <w:sz w:val="21"/>
                <w:szCs w:val="21"/>
                <w:u w:val="none"/>
              </w:rPr>
            </w:pPr>
          </w:p>
        </w:tc>
      </w:tr>
      <w:tr w14:paraId="20160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B52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w:t>
            </w:r>
          </w:p>
        </w:tc>
        <w:tc>
          <w:tcPr>
            <w:tcW w:w="8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E1A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3层高柜.全背板</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012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FAD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E15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1064</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B3F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2128</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D71CF">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拒绝进口</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A691C">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eastAsia="zh-CN"/>
              </w:rPr>
              <w:t>否</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A6CCB">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eastAsia="zh-CN"/>
              </w:rPr>
              <w:t>工业</w:t>
            </w:r>
          </w:p>
        </w:tc>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C747B2">
            <w:pPr>
              <w:jc w:val="center"/>
              <w:rPr>
                <w:rFonts w:hint="eastAsia" w:ascii="微软雅黑" w:hAnsi="微软雅黑" w:eastAsia="微软雅黑" w:cs="微软雅黑"/>
                <w:i w:val="0"/>
                <w:iCs w:val="0"/>
                <w:color w:val="000000"/>
                <w:sz w:val="21"/>
                <w:szCs w:val="21"/>
                <w:u w:val="none"/>
              </w:rPr>
            </w:pPr>
          </w:p>
        </w:tc>
      </w:tr>
      <w:tr w14:paraId="62D2C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315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w:t>
            </w:r>
          </w:p>
        </w:tc>
        <w:tc>
          <w:tcPr>
            <w:tcW w:w="8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1E0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便携式可堆叠儿童床</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C4F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5B7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D0F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344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5600</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01611">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拒绝进口</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09574">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eastAsia="zh-CN"/>
              </w:rPr>
              <w:t>否</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67EF1">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eastAsia="zh-CN"/>
              </w:rPr>
              <w:t>工业</w:t>
            </w:r>
          </w:p>
        </w:tc>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73F499">
            <w:pPr>
              <w:jc w:val="center"/>
              <w:rPr>
                <w:rFonts w:hint="eastAsia" w:ascii="微软雅黑" w:hAnsi="微软雅黑" w:eastAsia="微软雅黑" w:cs="微软雅黑"/>
                <w:i w:val="0"/>
                <w:iCs w:val="0"/>
                <w:color w:val="000000"/>
                <w:sz w:val="21"/>
                <w:szCs w:val="21"/>
                <w:u w:val="none"/>
              </w:rPr>
            </w:pPr>
          </w:p>
        </w:tc>
      </w:tr>
      <w:tr w14:paraId="38DF3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8FF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93</w:t>
            </w:r>
          </w:p>
        </w:tc>
        <w:tc>
          <w:tcPr>
            <w:tcW w:w="8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7D3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便携式儿童床架</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466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9D3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60C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320</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519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1280</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CA364">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拒绝进口</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85BCC">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eastAsia="zh-CN"/>
              </w:rPr>
              <w:t>否</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089F9">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eastAsia="zh-CN"/>
              </w:rPr>
              <w:t>工业</w:t>
            </w:r>
          </w:p>
        </w:tc>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4CB50D">
            <w:pPr>
              <w:jc w:val="center"/>
              <w:rPr>
                <w:rFonts w:hint="eastAsia" w:ascii="微软雅黑" w:hAnsi="微软雅黑" w:eastAsia="微软雅黑" w:cs="微软雅黑"/>
                <w:i w:val="0"/>
                <w:iCs w:val="0"/>
                <w:color w:val="000000"/>
                <w:sz w:val="21"/>
                <w:szCs w:val="21"/>
                <w:u w:val="none"/>
              </w:rPr>
            </w:pPr>
          </w:p>
        </w:tc>
      </w:tr>
      <w:tr w14:paraId="2D98E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0E9FB">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合计</w:t>
            </w:r>
          </w:p>
        </w:tc>
        <w:tc>
          <w:tcPr>
            <w:tcW w:w="8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43178">
            <w:pPr>
              <w:keepNext w:val="0"/>
              <w:keepLines w:val="0"/>
              <w:widowControl/>
              <w:suppressLineNumbers w:val="0"/>
              <w:jc w:val="center"/>
              <w:textAlignment w:val="top"/>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83498">
            <w:pPr>
              <w:keepNext w:val="0"/>
              <w:keepLines w:val="0"/>
              <w:widowControl/>
              <w:suppressLineNumbers w:val="0"/>
              <w:jc w:val="center"/>
              <w:textAlignment w:val="top"/>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C037F">
            <w:pPr>
              <w:keepNext w:val="0"/>
              <w:keepLines w:val="0"/>
              <w:widowControl/>
              <w:suppressLineNumbers w:val="0"/>
              <w:jc w:val="center"/>
              <w:textAlignment w:val="top"/>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23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FEECC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330100</w:t>
            </w:r>
          </w:p>
        </w:tc>
      </w:tr>
    </w:tbl>
    <w:p w14:paraId="0816176A">
      <w:pPr>
        <w:rPr>
          <w:color w:val="FF0000"/>
        </w:rPr>
      </w:pPr>
      <w:r>
        <w:rPr>
          <w:rFonts w:hint="eastAsia"/>
          <w:color w:val="FF0000"/>
        </w:rPr>
        <w:t>备注：</w:t>
      </w:r>
    </w:p>
    <w:p w14:paraId="2F23BE45">
      <w:pPr>
        <w:ind w:firstLine="420" w:firstLineChars="200"/>
        <w:rPr>
          <w:color w:val="FF0000"/>
        </w:rPr>
      </w:pPr>
      <w:r>
        <w:rPr>
          <w:rFonts w:hint="eastAsia"/>
          <w:color w:val="FF0000"/>
        </w:rPr>
        <w:t>1、“备注”栏注明有“接受进口”或“允许进口”的产品允许投标人选用进口产品参与投标，但不排斥国内产品投标；未注明“接受进口”或“允许进口”的产品均不接受进口产品投标。</w:t>
      </w:r>
    </w:p>
    <w:p w14:paraId="0D6D087B">
      <w:pPr>
        <w:ind w:firstLine="420" w:firstLineChars="200"/>
        <w:rPr>
          <w:color w:val="FF0000"/>
        </w:rPr>
      </w:pPr>
      <w:r>
        <w:rPr>
          <w:rFonts w:hint="eastAsia"/>
          <w:color w:val="FF0000"/>
        </w:rPr>
        <w:t>2、进口产品是指通过海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的进口产品，相关内容以财库〔2007〕119 号文和财办库〔2008〕248 号文的相关规定为准。</w:t>
      </w:r>
    </w:p>
    <w:p w14:paraId="38164FC6">
      <w:pPr>
        <w:ind w:firstLine="420" w:firstLineChars="200"/>
        <w:rPr>
          <w:color w:val="FF0000"/>
        </w:rPr>
      </w:pPr>
      <w:r>
        <w:rPr>
          <w:rFonts w:hint="eastAsia"/>
          <w:color w:val="FF0000"/>
        </w:rPr>
        <w:t>3、如注明有单价控制金额的产品，投标人对该产品的报价不得超过控制金额，否则将作投标无效处理。</w:t>
      </w:r>
    </w:p>
    <w:p w14:paraId="77BECE08">
      <w:pPr>
        <w:ind w:firstLine="420" w:firstLineChars="200"/>
        <w:rPr>
          <w:color w:val="FF0000"/>
        </w:rPr>
      </w:pPr>
      <w:r>
        <w:rPr>
          <w:rFonts w:hint="eastAsia"/>
          <w:color w:val="FF0000"/>
        </w:rPr>
        <w:t>4、根据《政府采购货物和服务招标投标管理办法》（财政部令第87号）第三十一条规定，单一产品项目或非单一产品项目中的核心产品均应明确品牌，投标人未填报品牌的将作投标无效处理。</w:t>
      </w:r>
    </w:p>
    <w:p w14:paraId="10E61208">
      <w:pPr>
        <w:pStyle w:val="3"/>
        <w:jc w:val="center"/>
      </w:pPr>
      <w:bookmarkStart w:id="14" w:name="_Toc128884461"/>
      <w:r>
        <w:rPr>
          <w:rFonts w:hint="eastAsia"/>
        </w:rPr>
        <w:t>三、实质性条款</w:t>
      </w:r>
    </w:p>
    <w:tbl>
      <w:tblPr>
        <w:tblStyle w:val="17"/>
        <w:tblW w:w="81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7483"/>
      </w:tblGrid>
      <w:tr w14:paraId="742CE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705" w:type="dxa"/>
            <w:vAlign w:val="center"/>
          </w:tcPr>
          <w:p w14:paraId="5D3855D9">
            <w:r>
              <w:rPr>
                <w:rFonts w:hint="eastAsia"/>
              </w:rPr>
              <w:t>序号</w:t>
            </w:r>
          </w:p>
        </w:tc>
        <w:tc>
          <w:tcPr>
            <w:tcW w:w="7483" w:type="dxa"/>
            <w:vAlign w:val="center"/>
          </w:tcPr>
          <w:p w14:paraId="1CB8CF9D">
            <w:pPr>
              <w:jc w:val="center"/>
            </w:pPr>
            <w:r>
              <w:rPr>
                <w:rFonts w:hint="eastAsia"/>
              </w:rPr>
              <w:t>实质性条款具体内容</w:t>
            </w:r>
          </w:p>
        </w:tc>
      </w:tr>
      <w:tr w14:paraId="5B46E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tcPr>
          <w:p w14:paraId="3CD21A53">
            <w:pPr>
              <w:jc w:val="center"/>
            </w:pPr>
            <w:r>
              <w:rPr>
                <w:rFonts w:hint="eastAsia"/>
              </w:rPr>
              <w:t>1</w:t>
            </w:r>
          </w:p>
        </w:tc>
        <w:tc>
          <w:tcPr>
            <w:tcW w:w="7483" w:type="dxa"/>
          </w:tcPr>
          <w:p w14:paraId="7ED8E875">
            <w:pPr>
              <w:jc w:val="center"/>
            </w:pPr>
            <w:r>
              <w:rPr>
                <w:rFonts w:hint="eastAsia"/>
              </w:rPr>
              <w:t>本项目招标文件中所有带★号条款内容</w:t>
            </w:r>
          </w:p>
        </w:tc>
      </w:tr>
      <w:bookmarkEnd w:id="14"/>
    </w:tbl>
    <w:p w14:paraId="3218CB50">
      <w:pPr>
        <w:rPr>
          <w:b/>
          <w:color w:val="FF0000"/>
        </w:rPr>
      </w:pPr>
      <w:r>
        <w:rPr>
          <w:rFonts w:hint="eastAsia"/>
          <w:b/>
          <w:color w:val="FF0000"/>
        </w:rPr>
        <w:t>注</w:t>
      </w:r>
      <w:r>
        <w:rPr>
          <w:rFonts w:hint="eastAsia"/>
        </w:rPr>
        <w:t>：</w:t>
      </w:r>
      <w:r>
        <w:rPr>
          <w:rFonts w:hint="eastAsia"/>
          <w:b/>
          <w:color w:val="FF0000"/>
        </w:rPr>
        <w:t>上表所列内容为不可负偏离条款，负偏离将视为未实质性满足招标文件要求，作投标无效处理。投标人是否满足以上实质性条款要求，以《实质性条款响应情况表》响应为准。如投标人中标后被发现不能满足以上实质性条款要求的，采购单位有权拒绝签订合同，一切后果由投标人承担。</w:t>
      </w:r>
    </w:p>
    <w:p w14:paraId="52F9FFBD">
      <w:pPr>
        <w:keepNext/>
        <w:keepLines/>
        <w:tabs>
          <w:tab w:val="left" w:pos="1680"/>
        </w:tabs>
        <w:spacing w:before="260" w:after="78" w:afterLines="25"/>
        <w:jc w:val="center"/>
        <w:outlineLvl w:val="2"/>
        <w:rPr>
          <w:rFonts w:ascii="Arial" w:hAnsi="Arial" w:eastAsia="宋体" w:cs="Times New Roman"/>
          <w:b/>
          <w:bCs/>
          <w:color w:val="FF0000"/>
          <w:sz w:val="32"/>
          <w:szCs w:val="32"/>
        </w:rPr>
      </w:pPr>
      <w:r>
        <w:rPr>
          <w:rFonts w:hint="eastAsia"/>
          <w:b/>
          <w:color w:val="FF0000"/>
          <w:sz w:val="32"/>
          <w:szCs w:val="32"/>
        </w:rPr>
        <w:t>四</w:t>
      </w:r>
      <w:r>
        <w:rPr>
          <w:rFonts w:hint="eastAsia" w:ascii="Arial" w:hAnsi="Arial" w:eastAsia="宋体" w:cs="Times New Roman"/>
          <w:b/>
          <w:bCs/>
          <w:color w:val="FF0000"/>
          <w:sz w:val="32"/>
          <w:szCs w:val="32"/>
        </w:rPr>
        <w:t>、商务和服务条款要求</w:t>
      </w:r>
    </w:p>
    <w:p w14:paraId="7AFFF719">
      <w:pPr>
        <w:ind w:firstLine="422" w:firstLineChars="200"/>
        <w:rPr>
          <w:b/>
        </w:rPr>
      </w:pPr>
      <w:r>
        <w:rPr>
          <w:rFonts w:hint="eastAsia"/>
          <w:b/>
          <w:szCs w:val="21"/>
        </w:rPr>
        <w:t>说明：</w:t>
      </w:r>
      <w:r>
        <w:rPr>
          <w:b/>
        </w:rPr>
        <w:t>1</w:t>
      </w:r>
      <w:r>
        <w:rPr>
          <w:rFonts w:hint="eastAsia"/>
          <w:b/>
        </w:rPr>
        <w:t>、评分时，如对一项招标商务要求（以划分框为准）中的内容存在两处（或以上）负偏离的，在评分时只作一项负偏离扣分。</w:t>
      </w:r>
    </w:p>
    <w:p w14:paraId="36D6CBE4">
      <w:pPr>
        <w:numPr>
          <w:ilvl w:val="0"/>
          <w:numId w:val="3"/>
        </w:numPr>
        <w:ind w:firstLine="422" w:firstLineChars="200"/>
        <w:rPr>
          <w:rFonts w:hint="eastAsia"/>
          <w:b/>
          <w:szCs w:val="21"/>
        </w:rPr>
      </w:pPr>
      <w:r>
        <w:rPr>
          <w:rFonts w:hint="eastAsia"/>
          <w:b/>
          <w:szCs w:val="21"/>
        </w:rPr>
        <w:t>带★号条款为不可偏离条款，不作为评分准则中的评分内容，如未响应或出现负偏离的，将作投标无效处理；带“</w:t>
      </w:r>
      <w:r>
        <w:t>▲</w:t>
      </w:r>
      <w:r>
        <w:rPr>
          <w:rFonts w:hint="eastAsia"/>
          <w:b/>
          <w:szCs w:val="21"/>
        </w:rPr>
        <w:t>”指标项为重要参数，负偏离时依相关评分准则内容作重点扣分处理。</w:t>
      </w:r>
    </w:p>
    <w:tbl>
      <w:tblPr>
        <w:tblStyle w:val="17"/>
        <w:tblW w:w="84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1620"/>
        <w:gridCol w:w="5594"/>
      </w:tblGrid>
      <w:tr w14:paraId="0333C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1260" w:type="dxa"/>
            <w:noWrap w:val="0"/>
            <w:vAlign w:val="center"/>
          </w:tcPr>
          <w:p w14:paraId="73AA1BB9">
            <w:pPr>
              <w:jc w:val="center"/>
              <w:rPr>
                <w:b/>
              </w:rPr>
            </w:pPr>
            <w:r>
              <w:rPr>
                <w:rFonts w:hint="eastAsia"/>
                <w:b/>
              </w:rPr>
              <w:t>序号</w:t>
            </w:r>
          </w:p>
        </w:tc>
        <w:tc>
          <w:tcPr>
            <w:tcW w:w="1620" w:type="dxa"/>
            <w:noWrap w:val="0"/>
            <w:vAlign w:val="center"/>
          </w:tcPr>
          <w:p w14:paraId="4CE83D17">
            <w:pPr>
              <w:jc w:val="center"/>
              <w:rPr>
                <w:b/>
              </w:rPr>
            </w:pPr>
            <w:r>
              <w:rPr>
                <w:rFonts w:hint="eastAsia"/>
                <w:b/>
              </w:rPr>
              <w:t>目录</w:t>
            </w:r>
          </w:p>
        </w:tc>
        <w:tc>
          <w:tcPr>
            <w:tcW w:w="5594" w:type="dxa"/>
            <w:noWrap w:val="0"/>
            <w:vAlign w:val="center"/>
          </w:tcPr>
          <w:p w14:paraId="7BCCEA5B">
            <w:pPr>
              <w:jc w:val="center"/>
              <w:rPr>
                <w:b/>
              </w:rPr>
            </w:pPr>
            <w:r>
              <w:rPr>
                <w:rFonts w:hint="eastAsia"/>
                <w:b/>
              </w:rPr>
              <w:t>采购商务需求</w:t>
            </w:r>
          </w:p>
        </w:tc>
      </w:tr>
      <w:tr w14:paraId="74BEF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474" w:type="dxa"/>
            <w:gridSpan w:val="3"/>
            <w:noWrap w:val="0"/>
            <w:vAlign w:val="top"/>
          </w:tcPr>
          <w:p w14:paraId="5DD20A12">
            <w:pPr>
              <w:rPr>
                <w:b/>
              </w:rPr>
            </w:pPr>
            <w:r>
              <w:rPr>
                <w:rFonts w:hint="eastAsia"/>
                <w:b/>
              </w:rPr>
              <w:t>（一）免费保修期内售后服务要求</w:t>
            </w:r>
          </w:p>
        </w:tc>
      </w:tr>
      <w:tr w14:paraId="29173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260" w:type="dxa"/>
            <w:noWrap w:val="0"/>
            <w:vAlign w:val="center"/>
          </w:tcPr>
          <w:p w14:paraId="4AB27292">
            <w:pPr>
              <w:jc w:val="center"/>
              <w:rPr>
                <w:b/>
                <w:color w:val="FF0000"/>
                <w:highlight w:val="yellow"/>
              </w:rPr>
            </w:pPr>
            <w:r>
              <w:rPr>
                <w:rFonts w:hint="eastAsia"/>
                <w:b/>
                <w:color w:val="FF0000"/>
                <w:highlight w:val="yellow"/>
              </w:rPr>
              <w:t>1</w:t>
            </w:r>
          </w:p>
        </w:tc>
        <w:tc>
          <w:tcPr>
            <w:tcW w:w="1620" w:type="dxa"/>
            <w:noWrap w:val="0"/>
            <w:vAlign w:val="center"/>
          </w:tcPr>
          <w:p w14:paraId="620A04A7">
            <w:pPr>
              <w:jc w:val="center"/>
              <w:rPr>
                <w:color w:val="FF0000"/>
                <w:highlight w:val="yellow"/>
              </w:rPr>
            </w:pPr>
            <w:r>
              <w:rPr>
                <w:rFonts w:hint="eastAsia"/>
                <w:color w:val="FF0000"/>
                <w:highlight w:val="yellow"/>
              </w:rPr>
              <w:t>免费保修期</w:t>
            </w:r>
          </w:p>
        </w:tc>
        <w:tc>
          <w:tcPr>
            <w:tcW w:w="5594" w:type="dxa"/>
            <w:noWrap w:val="0"/>
            <w:vAlign w:val="top"/>
          </w:tcPr>
          <w:p w14:paraId="1615DB4D">
            <w:pPr>
              <w:rPr>
                <w:b/>
                <w:color w:val="FF0000"/>
                <w:highlight w:val="yellow"/>
              </w:rPr>
            </w:pPr>
            <w:r>
              <w:rPr>
                <w:rFonts w:hint="eastAsia" w:ascii="宋体" w:hAnsi="宋体" w:cs="宋体"/>
                <w:color w:val="FF0000"/>
                <w:szCs w:val="21"/>
                <w:highlight w:val="yellow"/>
              </w:rPr>
              <w:t>★</w:t>
            </w:r>
            <w:r>
              <w:rPr>
                <w:rFonts w:hint="eastAsia"/>
                <w:bCs/>
                <w:color w:val="FF0000"/>
                <w:szCs w:val="21"/>
                <w:highlight w:val="yellow"/>
              </w:rPr>
              <w:t>货物免费保修期至少__</w:t>
            </w:r>
            <w:r>
              <w:rPr>
                <w:rFonts w:hint="eastAsia" w:ascii="Times New Roman" w:hAnsi="Times New Roman"/>
                <w:bCs/>
                <w:color w:val="FF0000"/>
                <w:szCs w:val="21"/>
                <w:highlight w:val="yellow"/>
                <w:u w:val="single"/>
              </w:rPr>
              <w:t xml:space="preserve">三 </w:t>
            </w:r>
            <w:r>
              <w:rPr>
                <w:rFonts w:hint="eastAsia"/>
                <w:bCs/>
                <w:color w:val="FF0000"/>
                <w:szCs w:val="21"/>
                <w:highlight w:val="yellow"/>
              </w:rPr>
              <w:t>_年，时间自最终验收合格并交付使用之日起计算。</w:t>
            </w:r>
          </w:p>
        </w:tc>
      </w:tr>
      <w:tr w14:paraId="7EAB6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260" w:type="dxa"/>
            <w:noWrap w:val="0"/>
            <w:vAlign w:val="center"/>
          </w:tcPr>
          <w:p w14:paraId="3465EE5A">
            <w:pPr>
              <w:jc w:val="center"/>
              <w:rPr>
                <w:b/>
              </w:rPr>
            </w:pPr>
            <w:r>
              <w:rPr>
                <w:rFonts w:hint="eastAsia"/>
                <w:b/>
              </w:rPr>
              <w:t>2</w:t>
            </w:r>
          </w:p>
        </w:tc>
        <w:tc>
          <w:tcPr>
            <w:tcW w:w="1620" w:type="dxa"/>
            <w:noWrap w:val="0"/>
            <w:vAlign w:val="top"/>
          </w:tcPr>
          <w:p w14:paraId="34C2EDD0">
            <w:pPr>
              <w:jc w:val="center"/>
            </w:pPr>
            <w:r>
              <w:rPr>
                <w:rFonts w:hint="eastAsia"/>
              </w:rPr>
              <w:t>维修响应及故障解决时间</w:t>
            </w:r>
          </w:p>
        </w:tc>
        <w:tc>
          <w:tcPr>
            <w:tcW w:w="5594" w:type="dxa"/>
            <w:noWrap w:val="0"/>
            <w:vAlign w:val="top"/>
          </w:tcPr>
          <w:p w14:paraId="642E7BDC">
            <w:pPr>
              <w:rPr>
                <w:b/>
              </w:rPr>
            </w:pPr>
            <w:r>
              <w:rPr>
                <w:rFonts w:hint="eastAsia"/>
                <w:bCs/>
                <w:szCs w:val="21"/>
                <w:lang w:eastAsia="zh-CN"/>
              </w:rPr>
              <w:t>投标人承诺中标后，</w:t>
            </w:r>
            <w:r>
              <w:rPr>
                <w:rFonts w:hint="eastAsia"/>
                <w:bCs/>
                <w:szCs w:val="21"/>
              </w:rPr>
              <w:t>在保修期内，一旦发生质量问题，</w:t>
            </w:r>
            <w:r>
              <w:rPr>
                <w:rFonts w:hint="eastAsia"/>
                <w:bCs/>
                <w:szCs w:val="21"/>
                <w:lang w:eastAsia="zh-CN"/>
              </w:rPr>
              <w:t>投标人</w:t>
            </w:r>
            <w:r>
              <w:rPr>
                <w:rFonts w:hint="eastAsia"/>
                <w:bCs/>
                <w:szCs w:val="21"/>
              </w:rPr>
              <w:t>保证在接到通知24小时内赶到现场进行修理或更换。</w:t>
            </w:r>
          </w:p>
        </w:tc>
      </w:tr>
      <w:tr w14:paraId="43AD9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1260" w:type="dxa"/>
            <w:noWrap w:val="0"/>
            <w:vAlign w:val="center"/>
          </w:tcPr>
          <w:p w14:paraId="57CEB0F3">
            <w:pPr>
              <w:jc w:val="center"/>
              <w:rPr>
                <w:b/>
              </w:rPr>
            </w:pPr>
            <w:r>
              <w:rPr>
                <w:rFonts w:hint="eastAsia"/>
                <w:b/>
                <w:lang w:val="en-US" w:eastAsia="zh-CN"/>
              </w:rPr>
              <w:t>3</w:t>
            </w:r>
          </w:p>
        </w:tc>
        <w:tc>
          <w:tcPr>
            <w:tcW w:w="1620" w:type="dxa"/>
            <w:noWrap w:val="0"/>
            <w:vAlign w:val="center"/>
          </w:tcPr>
          <w:p w14:paraId="47707BB0">
            <w:pPr>
              <w:jc w:val="center"/>
              <w:rPr>
                <w:b/>
              </w:rPr>
            </w:pPr>
            <w:r>
              <w:rPr>
                <w:rFonts w:hint="eastAsia"/>
              </w:rPr>
              <w:t>其他</w:t>
            </w:r>
          </w:p>
        </w:tc>
        <w:tc>
          <w:tcPr>
            <w:tcW w:w="5594" w:type="dxa"/>
            <w:noWrap w:val="0"/>
            <w:vAlign w:val="center"/>
          </w:tcPr>
          <w:p w14:paraId="553F0BA5">
            <w:pPr>
              <w:rPr>
                <w:b/>
              </w:rPr>
            </w:pPr>
            <w:r>
              <w:rPr>
                <w:rFonts w:hint="eastAsia"/>
                <w:bCs/>
                <w:szCs w:val="21"/>
                <w:lang w:eastAsia="zh-CN"/>
              </w:rPr>
              <w:t>投标人中标后，</w:t>
            </w:r>
            <w:r>
              <w:rPr>
                <w:rFonts w:hint="eastAsia"/>
                <w:bCs/>
                <w:szCs w:val="21"/>
              </w:rPr>
              <w:t>应按其投标文件中的承诺，进行其他售后服务工作。</w:t>
            </w:r>
          </w:p>
        </w:tc>
      </w:tr>
      <w:tr w14:paraId="2F215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8474" w:type="dxa"/>
            <w:gridSpan w:val="3"/>
            <w:noWrap w:val="0"/>
            <w:vAlign w:val="top"/>
          </w:tcPr>
          <w:p w14:paraId="5540E968">
            <w:pPr>
              <w:rPr>
                <w:b/>
              </w:rPr>
            </w:pPr>
            <w:r>
              <w:rPr>
                <w:rFonts w:hint="eastAsia"/>
                <w:b/>
              </w:rPr>
              <w:t>（</w:t>
            </w:r>
            <w:r>
              <w:rPr>
                <w:rFonts w:hint="eastAsia"/>
                <w:b/>
                <w:lang w:val="en-US" w:eastAsia="zh-CN"/>
              </w:rPr>
              <w:t>二</w:t>
            </w:r>
            <w:r>
              <w:rPr>
                <w:rFonts w:hint="eastAsia"/>
                <w:b/>
              </w:rPr>
              <w:t>）其他商务要求</w:t>
            </w:r>
          </w:p>
        </w:tc>
      </w:tr>
      <w:tr w14:paraId="327AB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260" w:type="dxa"/>
            <w:vMerge w:val="restart"/>
            <w:noWrap w:val="0"/>
            <w:vAlign w:val="center"/>
          </w:tcPr>
          <w:p w14:paraId="6DE8B28B">
            <w:pPr>
              <w:jc w:val="center"/>
              <w:rPr>
                <w:b/>
                <w:color w:val="FF0000"/>
                <w:highlight w:val="yellow"/>
              </w:rPr>
            </w:pPr>
            <w:r>
              <w:rPr>
                <w:rFonts w:hint="eastAsia"/>
                <w:b/>
                <w:color w:val="FF0000"/>
                <w:highlight w:val="yellow"/>
              </w:rPr>
              <w:t>1</w:t>
            </w:r>
          </w:p>
        </w:tc>
        <w:tc>
          <w:tcPr>
            <w:tcW w:w="1620" w:type="dxa"/>
            <w:vMerge w:val="restart"/>
            <w:noWrap w:val="0"/>
            <w:vAlign w:val="center"/>
          </w:tcPr>
          <w:p w14:paraId="1741D32D">
            <w:pPr>
              <w:jc w:val="center"/>
              <w:rPr>
                <w:color w:val="FF0000"/>
                <w:highlight w:val="yellow"/>
              </w:rPr>
            </w:pPr>
            <w:r>
              <w:rPr>
                <w:rFonts w:hint="eastAsia"/>
                <w:color w:val="FF0000"/>
                <w:highlight w:val="yellow"/>
              </w:rPr>
              <w:t>关于交货</w:t>
            </w:r>
          </w:p>
        </w:tc>
        <w:tc>
          <w:tcPr>
            <w:tcW w:w="5594" w:type="dxa"/>
            <w:noWrap w:val="0"/>
            <w:vAlign w:val="top"/>
          </w:tcPr>
          <w:p w14:paraId="68C6B906">
            <w:pPr>
              <w:rPr>
                <w:b/>
                <w:color w:val="FF0000"/>
                <w:highlight w:val="yellow"/>
              </w:rPr>
            </w:pPr>
            <w:r>
              <w:rPr>
                <w:rFonts w:hint="eastAsia"/>
                <w:bCs/>
                <w:color w:val="FF0000"/>
                <w:szCs w:val="21"/>
                <w:highlight w:val="yellow"/>
              </w:rPr>
              <w:t>1.1</w:t>
            </w:r>
            <w:r>
              <w:rPr>
                <w:rFonts w:hint="eastAsia" w:ascii="宋体" w:hAnsi="宋体" w:cs="宋体"/>
                <w:color w:val="FF0000"/>
                <w:szCs w:val="21"/>
                <w:highlight w:val="yellow"/>
              </w:rPr>
              <w:t>★</w:t>
            </w:r>
            <w:r>
              <w:rPr>
                <w:rFonts w:hint="eastAsia"/>
                <w:bCs/>
                <w:color w:val="FF0000"/>
                <w:szCs w:val="21"/>
                <w:highlight w:val="yellow"/>
              </w:rPr>
              <w:t>签订合同后__</w:t>
            </w:r>
            <w:r>
              <w:rPr>
                <w:rFonts w:hint="eastAsia"/>
                <w:bCs/>
                <w:color w:val="FF0000"/>
                <w:szCs w:val="21"/>
                <w:highlight w:val="yellow"/>
                <w:lang w:val="en-US" w:eastAsia="zh-CN"/>
              </w:rPr>
              <w:t>15</w:t>
            </w:r>
            <w:r>
              <w:rPr>
                <w:rFonts w:hint="eastAsia"/>
                <w:bCs/>
                <w:color w:val="FF0000"/>
                <w:szCs w:val="21"/>
                <w:highlight w:val="yellow"/>
              </w:rPr>
              <w:t>_天（日历日）内。</w:t>
            </w:r>
          </w:p>
        </w:tc>
      </w:tr>
      <w:tr w14:paraId="05510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1260" w:type="dxa"/>
            <w:vMerge w:val="continue"/>
            <w:noWrap w:val="0"/>
            <w:vAlign w:val="center"/>
          </w:tcPr>
          <w:p w14:paraId="6C9D97DE">
            <w:pPr>
              <w:jc w:val="center"/>
              <w:rPr>
                <w:b/>
              </w:rPr>
            </w:pPr>
          </w:p>
        </w:tc>
        <w:tc>
          <w:tcPr>
            <w:tcW w:w="1620" w:type="dxa"/>
            <w:vMerge w:val="continue"/>
            <w:noWrap w:val="0"/>
            <w:vAlign w:val="center"/>
          </w:tcPr>
          <w:p w14:paraId="3367B2F7">
            <w:pPr>
              <w:jc w:val="center"/>
            </w:pPr>
          </w:p>
        </w:tc>
        <w:tc>
          <w:tcPr>
            <w:tcW w:w="5594" w:type="dxa"/>
            <w:noWrap w:val="0"/>
            <w:vAlign w:val="top"/>
          </w:tcPr>
          <w:p w14:paraId="12DAEE40">
            <w:pPr>
              <w:rPr>
                <w:rFonts w:hint="eastAsia" w:ascii="宋体" w:hAnsi="宋体" w:eastAsia="宋体" w:cs="宋体"/>
                <w:bCs/>
                <w:szCs w:val="21"/>
              </w:rPr>
            </w:pPr>
            <w:r>
              <w:rPr>
                <w:rFonts w:hint="eastAsia"/>
                <w:bCs/>
                <w:szCs w:val="21"/>
              </w:rPr>
              <w:t>1.2</w:t>
            </w:r>
            <w:r>
              <w:rPr>
                <w:rFonts w:hint="eastAsia"/>
                <w:bCs/>
                <w:szCs w:val="21"/>
                <w:lang w:eastAsia="zh-CN"/>
              </w:rPr>
              <w:t>投标人中标后，</w:t>
            </w:r>
            <w:r>
              <w:rPr>
                <w:rFonts w:hint="eastAsia"/>
                <w:bCs/>
                <w:szCs w:val="21"/>
              </w:rPr>
              <w:t>必须承担设备运输、安装调试、验收检测和提供设备操作说明书、图纸等其他类似的义务。</w:t>
            </w:r>
          </w:p>
        </w:tc>
      </w:tr>
      <w:tr w14:paraId="6E7CE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260" w:type="dxa"/>
            <w:vMerge w:val="restart"/>
            <w:noWrap w:val="0"/>
            <w:vAlign w:val="center"/>
          </w:tcPr>
          <w:p w14:paraId="7A7B3E0A">
            <w:pPr>
              <w:jc w:val="center"/>
              <w:rPr>
                <w:b/>
              </w:rPr>
            </w:pPr>
            <w:r>
              <w:rPr>
                <w:rFonts w:hint="eastAsia"/>
                <w:b/>
              </w:rPr>
              <w:t>2</w:t>
            </w:r>
          </w:p>
        </w:tc>
        <w:tc>
          <w:tcPr>
            <w:tcW w:w="1620" w:type="dxa"/>
            <w:vMerge w:val="restart"/>
            <w:noWrap w:val="0"/>
            <w:vAlign w:val="center"/>
          </w:tcPr>
          <w:p w14:paraId="5C5B218E">
            <w:pPr>
              <w:jc w:val="center"/>
            </w:pPr>
            <w:r>
              <w:rPr>
                <w:rFonts w:hint="eastAsia"/>
              </w:rPr>
              <w:t>关于验收</w:t>
            </w:r>
          </w:p>
        </w:tc>
        <w:tc>
          <w:tcPr>
            <w:tcW w:w="5594" w:type="dxa"/>
            <w:noWrap w:val="0"/>
            <w:vAlign w:val="top"/>
          </w:tcPr>
          <w:p w14:paraId="7884A00A">
            <w:pPr>
              <w:spacing w:line="340" w:lineRule="exact"/>
              <w:rPr>
                <w:rFonts w:hint="eastAsia" w:ascii="宋体" w:hAnsi="宋体" w:eastAsia="宋体" w:cs="宋体"/>
                <w:bCs/>
                <w:szCs w:val="21"/>
              </w:rPr>
            </w:pPr>
            <w:r>
              <w:rPr>
                <w:rFonts w:hint="eastAsia"/>
                <w:bCs/>
                <w:szCs w:val="21"/>
              </w:rPr>
              <w:t>2.1</w:t>
            </w:r>
            <w:r>
              <w:rPr>
                <w:rFonts w:hint="eastAsia"/>
                <w:bCs/>
                <w:szCs w:val="21"/>
                <w:lang w:eastAsia="zh-CN"/>
              </w:rPr>
              <w:t>投标人中标后，其</w:t>
            </w:r>
            <w:r>
              <w:rPr>
                <w:rFonts w:hint="eastAsia"/>
                <w:bCs/>
                <w:szCs w:val="21"/>
              </w:rPr>
              <w:t>货物经过双方检验认可后，签署验收报告，产品保修期自验收合格之日起算，由</w:t>
            </w:r>
            <w:r>
              <w:rPr>
                <w:rFonts w:hint="eastAsia"/>
                <w:bCs/>
                <w:szCs w:val="21"/>
                <w:lang w:eastAsia="zh-CN"/>
              </w:rPr>
              <w:t>投标人</w:t>
            </w:r>
            <w:r>
              <w:rPr>
                <w:rFonts w:hint="eastAsia"/>
                <w:bCs/>
                <w:szCs w:val="21"/>
              </w:rPr>
              <w:t>提供产品保修文件。</w:t>
            </w:r>
          </w:p>
        </w:tc>
      </w:tr>
      <w:tr w14:paraId="11B41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260" w:type="dxa"/>
            <w:vMerge w:val="continue"/>
            <w:noWrap w:val="0"/>
            <w:vAlign w:val="center"/>
          </w:tcPr>
          <w:p w14:paraId="6A843E05">
            <w:pPr>
              <w:jc w:val="center"/>
              <w:rPr>
                <w:b/>
              </w:rPr>
            </w:pPr>
          </w:p>
        </w:tc>
        <w:tc>
          <w:tcPr>
            <w:tcW w:w="1620" w:type="dxa"/>
            <w:vMerge w:val="continue"/>
            <w:noWrap w:val="0"/>
            <w:vAlign w:val="top"/>
          </w:tcPr>
          <w:p w14:paraId="40B465DA">
            <w:pPr>
              <w:jc w:val="center"/>
              <w:rPr>
                <w:b/>
              </w:rPr>
            </w:pPr>
          </w:p>
        </w:tc>
        <w:tc>
          <w:tcPr>
            <w:tcW w:w="5594" w:type="dxa"/>
            <w:noWrap w:val="0"/>
            <w:vAlign w:val="top"/>
          </w:tcPr>
          <w:p w14:paraId="4DCEEBEF">
            <w:pPr>
              <w:spacing w:line="340" w:lineRule="exact"/>
              <w:rPr>
                <w:bCs/>
                <w:szCs w:val="21"/>
              </w:rPr>
            </w:pPr>
            <w:r>
              <w:rPr>
                <w:rFonts w:hint="eastAsia"/>
                <w:bCs/>
                <w:szCs w:val="21"/>
              </w:rPr>
              <w:t>2.2</w:t>
            </w:r>
            <w:r>
              <w:rPr>
                <w:rFonts w:hint="eastAsia"/>
                <w:bCs/>
                <w:szCs w:val="21"/>
                <w:lang w:eastAsia="zh-CN"/>
              </w:rPr>
              <w:t>投标人中标后，</w:t>
            </w:r>
            <w:r>
              <w:rPr>
                <w:rFonts w:hint="eastAsia"/>
                <w:bCs/>
                <w:szCs w:val="21"/>
              </w:rPr>
              <w:t>当满足以下条件时，采购人才向</w:t>
            </w:r>
            <w:r>
              <w:rPr>
                <w:rFonts w:hint="eastAsia"/>
                <w:bCs/>
                <w:szCs w:val="21"/>
                <w:lang w:eastAsia="zh-CN"/>
              </w:rPr>
              <w:t>投标人</w:t>
            </w:r>
            <w:r>
              <w:rPr>
                <w:rFonts w:hint="eastAsia"/>
                <w:bCs/>
                <w:szCs w:val="21"/>
              </w:rPr>
              <w:t>签发货物验收报告：</w:t>
            </w:r>
          </w:p>
          <w:p w14:paraId="24C93964">
            <w:pPr>
              <w:tabs>
                <w:tab w:val="left" w:pos="1260"/>
              </w:tabs>
              <w:spacing w:line="340" w:lineRule="exact"/>
              <w:rPr>
                <w:bCs/>
                <w:szCs w:val="21"/>
              </w:rPr>
            </w:pPr>
            <w:r>
              <w:rPr>
                <w:bCs/>
                <w:szCs w:val="21"/>
              </w:rPr>
              <w:t>a</w:t>
            </w:r>
            <w:r>
              <w:rPr>
                <w:rFonts w:hint="eastAsia"/>
                <w:bCs/>
                <w:szCs w:val="21"/>
                <w:highlight w:val="none"/>
              </w:rPr>
              <w:t>、</w:t>
            </w:r>
            <w:r>
              <w:rPr>
                <w:rFonts w:hint="eastAsia"/>
                <w:bCs/>
                <w:szCs w:val="21"/>
                <w:lang w:eastAsia="zh-CN"/>
              </w:rPr>
              <w:t>投标人</w:t>
            </w:r>
            <w:r>
              <w:rPr>
                <w:rFonts w:hint="eastAsia"/>
                <w:bCs/>
                <w:szCs w:val="21"/>
              </w:rPr>
              <w:t>已按照合同规定提供了全部产品及完整的技术资料。</w:t>
            </w:r>
          </w:p>
          <w:p w14:paraId="41CCBAE1">
            <w:pPr>
              <w:tabs>
                <w:tab w:val="left" w:pos="1260"/>
              </w:tabs>
              <w:spacing w:line="340" w:lineRule="exact"/>
              <w:rPr>
                <w:bCs/>
                <w:szCs w:val="21"/>
              </w:rPr>
            </w:pPr>
            <w:r>
              <w:rPr>
                <w:bCs/>
                <w:szCs w:val="21"/>
              </w:rPr>
              <w:t>b</w:t>
            </w:r>
            <w:r>
              <w:rPr>
                <w:rFonts w:hint="eastAsia"/>
                <w:bCs/>
                <w:szCs w:val="21"/>
                <w:highlight w:val="none"/>
              </w:rPr>
              <w:t>、</w:t>
            </w:r>
            <w:r>
              <w:rPr>
                <w:rFonts w:hint="eastAsia"/>
                <w:bCs/>
                <w:szCs w:val="21"/>
              </w:rPr>
              <w:t>货物符合采购文件技术规格书的要求，性能满足要求。</w:t>
            </w:r>
          </w:p>
          <w:p w14:paraId="6EE80419">
            <w:pPr>
              <w:tabs>
                <w:tab w:val="left" w:pos="1260"/>
              </w:tabs>
              <w:spacing w:line="340" w:lineRule="exact"/>
              <w:rPr>
                <w:rFonts w:hint="eastAsia" w:ascii="宋体" w:hAnsi="宋体" w:eastAsia="宋体" w:cs="宋体"/>
                <w:bCs/>
                <w:szCs w:val="21"/>
              </w:rPr>
            </w:pPr>
            <w:r>
              <w:rPr>
                <w:bCs/>
                <w:szCs w:val="21"/>
              </w:rPr>
              <w:t>c</w:t>
            </w:r>
            <w:r>
              <w:rPr>
                <w:rFonts w:hint="eastAsia"/>
                <w:bCs/>
                <w:szCs w:val="21"/>
                <w:highlight w:val="none"/>
              </w:rPr>
              <w:t>、</w:t>
            </w:r>
            <w:r>
              <w:rPr>
                <w:rFonts w:hint="eastAsia"/>
                <w:bCs/>
                <w:szCs w:val="21"/>
              </w:rPr>
              <w:t>货物具备产品合格证。</w:t>
            </w:r>
          </w:p>
        </w:tc>
      </w:tr>
      <w:tr w14:paraId="433DE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260" w:type="dxa"/>
            <w:vMerge w:val="restart"/>
            <w:noWrap w:val="0"/>
            <w:vAlign w:val="center"/>
          </w:tcPr>
          <w:p w14:paraId="27E3D353">
            <w:pPr>
              <w:jc w:val="center"/>
              <w:rPr>
                <w:rFonts w:hint="eastAsia"/>
                <w:bCs/>
              </w:rPr>
            </w:pPr>
            <w:r>
              <w:rPr>
                <w:rFonts w:hint="eastAsia"/>
                <w:bCs/>
              </w:rPr>
              <w:t>3</w:t>
            </w:r>
          </w:p>
        </w:tc>
        <w:tc>
          <w:tcPr>
            <w:tcW w:w="1620" w:type="dxa"/>
            <w:vMerge w:val="restart"/>
            <w:noWrap w:val="0"/>
            <w:vAlign w:val="center"/>
          </w:tcPr>
          <w:p w14:paraId="6B55AC43">
            <w:pPr>
              <w:jc w:val="center"/>
              <w:rPr>
                <w:rFonts w:hint="eastAsia"/>
                <w:bCs/>
              </w:rPr>
            </w:pPr>
            <w:r>
              <w:rPr>
                <w:rFonts w:hint="eastAsia"/>
                <w:bCs/>
              </w:rPr>
              <w:t>违约责任</w:t>
            </w:r>
          </w:p>
        </w:tc>
        <w:tc>
          <w:tcPr>
            <w:tcW w:w="5594" w:type="dxa"/>
            <w:noWrap w:val="0"/>
            <w:vAlign w:val="top"/>
          </w:tcPr>
          <w:p w14:paraId="01A822EA">
            <w:pPr>
              <w:spacing w:line="340" w:lineRule="exact"/>
              <w:rPr>
                <w:rFonts w:hint="eastAsia" w:ascii="宋体" w:hAnsi="宋体" w:eastAsia="宋体" w:cs="宋体"/>
                <w:bCs/>
                <w:szCs w:val="21"/>
              </w:rPr>
            </w:pPr>
            <w:r>
              <w:rPr>
                <w:rFonts w:hint="eastAsia"/>
              </w:rPr>
              <w:t>3.1如</w:t>
            </w:r>
            <w:r>
              <w:rPr>
                <w:rFonts w:hint="eastAsia"/>
                <w:bCs/>
                <w:szCs w:val="21"/>
                <w:lang w:eastAsia="zh-CN"/>
              </w:rPr>
              <w:t>投标人中标后</w:t>
            </w:r>
            <w:r>
              <w:rPr>
                <w:rFonts w:hint="eastAsia"/>
              </w:rPr>
              <w:t>未按照投标文件中承诺的时间交货或提供服务，</w:t>
            </w:r>
            <w:r>
              <w:rPr>
                <w:rFonts w:hint="eastAsia"/>
                <w:bCs/>
                <w:szCs w:val="21"/>
                <w:lang w:eastAsia="zh-CN"/>
              </w:rPr>
              <w:t>投标人</w:t>
            </w:r>
            <w:r>
              <w:rPr>
                <w:rFonts w:hint="eastAsia"/>
              </w:rPr>
              <w:t>应承担延期交货和延期服务的违约责任，并赔偿采购人因此造成的实际经济损失，采购人有权终止合同。</w:t>
            </w:r>
          </w:p>
        </w:tc>
      </w:tr>
      <w:tr w14:paraId="4D9C0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260" w:type="dxa"/>
            <w:vMerge w:val="continue"/>
            <w:noWrap w:val="0"/>
            <w:vAlign w:val="center"/>
          </w:tcPr>
          <w:p w14:paraId="52700145">
            <w:pPr>
              <w:jc w:val="center"/>
              <w:rPr>
                <w:rFonts w:hint="eastAsia"/>
                <w:bCs/>
              </w:rPr>
            </w:pPr>
          </w:p>
        </w:tc>
        <w:tc>
          <w:tcPr>
            <w:tcW w:w="1620" w:type="dxa"/>
            <w:vMerge w:val="continue"/>
            <w:noWrap w:val="0"/>
            <w:vAlign w:val="center"/>
          </w:tcPr>
          <w:p w14:paraId="1D6CBAFE">
            <w:pPr>
              <w:jc w:val="center"/>
              <w:rPr>
                <w:rFonts w:hint="eastAsia"/>
                <w:bCs/>
              </w:rPr>
            </w:pPr>
          </w:p>
        </w:tc>
        <w:tc>
          <w:tcPr>
            <w:tcW w:w="5594" w:type="dxa"/>
            <w:noWrap w:val="0"/>
            <w:vAlign w:val="top"/>
          </w:tcPr>
          <w:p w14:paraId="58AF2E82">
            <w:pPr>
              <w:spacing w:line="340" w:lineRule="exact"/>
              <w:rPr>
                <w:rFonts w:hint="eastAsia" w:ascii="宋体" w:hAnsi="宋体" w:eastAsia="宋体" w:cs="宋体"/>
                <w:bCs/>
                <w:szCs w:val="21"/>
              </w:rPr>
            </w:pPr>
            <w:r>
              <w:rPr>
                <w:rFonts w:hint="eastAsia" w:ascii="宋体" w:hAnsi="宋体" w:cs="宋体"/>
                <w:bCs/>
                <w:szCs w:val="21"/>
              </w:rPr>
              <w:t>3.2</w:t>
            </w:r>
            <w:r>
              <w:rPr>
                <w:rFonts w:hint="eastAsia"/>
                <w:bCs/>
                <w:szCs w:val="21"/>
                <w:lang w:eastAsia="zh-CN"/>
              </w:rPr>
              <w:t>投标人中标后</w:t>
            </w:r>
            <w:r>
              <w:rPr>
                <w:rFonts w:hint="eastAsia" w:ascii="宋体" w:hAnsi="宋体" w:cs="宋体"/>
                <w:bCs/>
                <w:szCs w:val="21"/>
              </w:rPr>
              <w:t>所交设备的品种、型号、规格、质量、功能、技术参数等方面不能实质性满足采购文件要求的，采购人有权拒绝收货，</w:t>
            </w:r>
            <w:r>
              <w:rPr>
                <w:rFonts w:hint="eastAsia"/>
                <w:bCs/>
                <w:szCs w:val="21"/>
                <w:lang w:eastAsia="zh-CN"/>
              </w:rPr>
              <w:t>投标人</w:t>
            </w:r>
            <w:r>
              <w:rPr>
                <w:rFonts w:hint="eastAsia" w:ascii="宋体" w:hAnsi="宋体" w:cs="宋体"/>
                <w:bCs/>
                <w:szCs w:val="21"/>
              </w:rPr>
              <w:t>向采购人偿付项目采购金额</w:t>
            </w:r>
            <w:r>
              <w:rPr>
                <w:rFonts w:hint="eastAsia" w:ascii="宋体" w:hAnsi="宋体" w:cs="宋体"/>
                <w:bCs/>
                <w:szCs w:val="21"/>
                <w:highlight w:val="yellow"/>
              </w:rPr>
              <w:t>【</w:t>
            </w:r>
            <w:r>
              <w:rPr>
                <w:rFonts w:hint="eastAsia" w:ascii="宋体" w:hAnsi="宋体" w:cs="宋体"/>
                <w:bCs/>
                <w:szCs w:val="21"/>
                <w:highlight w:val="yellow"/>
                <w:lang w:val="en-US" w:eastAsia="zh-CN"/>
              </w:rPr>
              <w:t>20</w:t>
            </w:r>
            <w:r>
              <w:rPr>
                <w:rFonts w:hint="eastAsia" w:ascii="宋体" w:hAnsi="宋体" w:cs="宋体"/>
                <w:bCs/>
                <w:szCs w:val="21"/>
                <w:highlight w:val="yellow"/>
              </w:rPr>
              <w:t xml:space="preserve">】% </w:t>
            </w:r>
            <w:r>
              <w:rPr>
                <w:rFonts w:hint="eastAsia" w:ascii="宋体" w:hAnsi="宋体" w:cs="宋体"/>
                <w:bCs/>
                <w:szCs w:val="21"/>
              </w:rPr>
              <w:t>的违约金</w:t>
            </w:r>
            <w:r>
              <w:rPr>
                <w:rFonts w:hint="eastAsia" w:ascii="宋体" w:hAnsi="宋体" w:cs="宋体"/>
                <w:bCs/>
                <w:szCs w:val="21"/>
                <w:lang w:val="en-US" w:eastAsia="zh-CN"/>
              </w:rPr>
              <w:t>并采取更换、补足等补救措施，致使逾期交付的，还应承担逾期交付的违约责任</w:t>
            </w:r>
            <w:r>
              <w:rPr>
                <w:rFonts w:hint="eastAsia" w:ascii="宋体" w:hAnsi="宋体" w:cs="宋体"/>
                <w:bCs/>
                <w:szCs w:val="21"/>
              </w:rPr>
              <w:t xml:space="preserve">。 </w:t>
            </w:r>
          </w:p>
        </w:tc>
      </w:tr>
      <w:tr w14:paraId="7915C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260" w:type="dxa"/>
            <w:vMerge w:val="continue"/>
            <w:noWrap w:val="0"/>
            <w:vAlign w:val="center"/>
          </w:tcPr>
          <w:p w14:paraId="172BAEBE">
            <w:pPr>
              <w:jc w:val="center"/>
              <w:rPr>
                <w:rFonts w:hint="eastAsia"/>
                <w:bCs/>
              </w:rPr>
            </w:pPr>
          </w:p>
        </w:tc>
        <w:tc>
          <w:tcPr>
            <w:tcW w:w="1620" w:type="dxa"/>
            <w:vMerge w:val="continue"/>
            <w:noWrap w:val="0"/>
            <w:vAlign w:val="center"/>
          </w:tcPr>
          <w:p w14:paraId="22FF3967">
            <w:pPr>
              <w:jc w:val="center"/>
              <w:rPr>
                <w:rFonts w:hint="eastAsia"/>
                <w:bCs/>
              </w:rPr>
            </w:pPr>
          </w:p>
        </w:tc>
        <w:tc>
          <w:tcPr>
            <w:tcW w:w="5594" w:type="dxa"/>
            <w:noWrap w:val="0"/>
            <w:vAlign w:val="top"/>
          </w:tcPr>
          <w:p w14:paraId="26705D7D">
            <w:pPr>
              <w:spacing w:line="340" w:lineRule="exact"/>
              <w:rPr>
                <w:rFonts w:hint="eastAsia" w:ascii="宋体" w:hAnsi="宋体" w:cs="宋体"/>
                <w:bCs/>
                <w:szCs w:val="21"/>
              </w:rPr>
            </w:pPr>
            <w:r>
              <w:rPr>
                <w:rFonts w:hint="eastAsia" w:ascii="宋体" w:hAnsi="宋体" w:cs="宋体"/>
                <w:bCs/>
                <w:szCs w:val="21"/>
              </w:rPr>
              <w:t>3.3</w:t>
            </w:r>
            <w:r>
              <w:rPr>
                <w:rFonts w:hint="eastAsia"/>
                <w:bCs/>
                <w:szCs w:val="21"/>
                <w:lang w:eastAsia="zh-CN"/>
              </w:rPr>
              <w:t>投标人中标后</w:t>
            </w:r>
            <w:r>
              <w:rPr>
                <w:rFonts w:hint="eastAsia" w:ascii="宋体" w:hAnsi="宋体" w:cs="宋体"/>
                <w:bCs/>
                <w:szCs w:val="21"/>
              </w:rPr>
              <w:t>不能交付设备的，</w:t>
            </w:r>
            <w:r>
              <w:rPr>
                <w:rFonts w:hint="eastAsia"/>
                <w:bCs/>
                <w:szCs w:val="21"/>
                <w:lang w:eastAsia="zh-CN"/>
              </w:rPr>
              <w:t>投标人</w:t>
            </w:r>
            <w:r>
              <w:rPr>
                <w:rFonts w:hint="eastAsia" w:ascii="宋体" w:hAnsi="宋体" w:cs="宋体"/>
                <w:bCs/>
                <w:szCs w:val="21"/>
              </w:rPr>
              <w:t>向采购人偿付项目采购金额</w:t>
            </w:r>
            <w:r>
              <w:rPr>
                <w:rFonts w:hint="eastAsia" w:ascii="宋体" w:hAnsi="宋体" w:cs="宋体"/>
                <w:bCs/>
                <w:szCs w:val="21"/>
                <w:highlight w:val="yellow"/>
              </w:rPr>
              <w:t>【</w:t>
            </w:r>
            <w:r>
              <w:rPr>
                <w:rFonts w:hint="eastAsia" w:ascii="宋体" w:hAnsi="宋体" w:cs="宋体"/>
                <w:bCs/>
                <w:szCs w:val="21"/>
                <w:highlight w:val="yellow"/>
                <w:lang w:val="en-US" w:eastAsia="zh-CN"/>
              </w:rPr>
              <w:t>20</w:t>
            </w:r>
            <w:r>
              <w:rPr>
                <w:rFonts w:hint="eastAsia" w:ascii="宋体" w:hAnsi="宋体" w:cs="宋体"/>
                <w:bCs/>
                <w:szCs w:val="21"/>
                <w:highlight w:val="yellow"/>
              </w:rPr>
              <w:t>】%</w:t>
            </w:r>
            <w:r>
              <w:rPr>
                <w:rFonts w:hint="eastAsia" w:ascii="宋体" w:hAnsi="宋体" w:cs="宋体"/>
                <w:bCs/>
                <w:szCs w:val="21"/>
              </w:rPr>
              <w:t>的违约金。</w:t>
            </w:r>
          </w:p>
        </w:tc>
      </w:tr>
      <w:tr w14:paraId="24A03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260" w:type="dxa"/>
            <w:vMerge w:val="continue"/>
            <w:noWrap w:val="0"/>
            <w:vAlign w:val="center"/>
          </w:tcPr>
          <w:p w14:paraId="1BF697D1">
            <w:pPr>
              <w:jc w:val="center"/>
              <w:rPr>
                <w:rFonts w:hint="eastAsia"/>
                <w:bCs/>
              </w:rPr>
            </w:pPr>
          </w:p>
        </w:tc>
        <w:tc>
          <w:tcPr>
            <w:tcW w:w="1620" w:type="dxa"/>
            <w:vMerge w:val="continue"/>
            <w:noWrap w:val="0"/>
            <w:vAlign w:val="top"/>
          </w:tcPr>
          <w:p w14:paraId="6FF0E5C2">
            <w:pPr>
              <w:jc w:val="center"/>
              <w:rPr>
                <w:rFonts w:hint="eastAsia"/>
                <w:bCs/>
              </w:rPr>
            </w:pPr>
          </w:p>
        </w:tc>
        <w:tc>
          <w:tcPr>
            <w:tcW w:w="5594" w:type="dxa"/>
            <w:noWrap w:val="0"/>
            <w:vAlign w:val="top"/>
          </w:tcPr>
          <w:p w14:paraId="502BE53C">
            <w:pPr>
              <w:spacing w:line="340" w:lineRule="exact"/>
              <w:rPr>
                <w:rFonts w:hint="eastAsia" w:ascii="宋体" w:hAnsi="宋体" w:cs="宋体"/>
                <w:bCs/>
                <w:szCs w:val="21"/>
              </w:rPr>
            </w:pPr>
            <w:r>
              <w:rPr>
                <w:rFonts w:hint="eastAsia" w:ascii="宋体" w:hAnsi="宋体" w:cs="宋体"/>
                <w:bCs/>
                <w:szCs w:val="21"/>
              </w:rPr>
              <w:t>3.4</w:t>
            </w:r>
            <w:r>
              <w:rPr>
                <w:rFonts w:hint="eastAsia"/>
                <w:bCs/>
                <w:szCs w:val="21"/>
                <w:lang w:eastAsia="zh-CN"/>
              </w:rPr>
              <w:t>投标人中标后</w:t>
            </w:r>
            <w:r>
              <w:rPr>
                <w:rFonts w:hint="eastAsia" w:ascii="宋体" w:hAnsi="宋体" w:cs="宋体"/>
                <w:bCs/>
                <w:szCs w:val="21"/>
              </w:rPr>
              <w:t>逾期交付货物的，每逾期1天，</w:t>
            </w:r>
            <w:r>
              <w:rPr>
                <w:rFonts w:hint="eastAsia"/>
                <w:bCs/>
                <w:szCs w:val="21"/>
                <w:lang w:eastAsia="zh-CN"/>
              </w:rPr>
              <w:t>投标人</w:t>
            </w:r>
            <w:r>
              <w:rPr>
                <w:rFonts w:hint="eastAsia" w:ascii="宋体" w:hAnsi="宋体" w:cs="宋体"/>
                <w:bCs/>
                <w:szCs w:val="21"/>
              </w:rPr>
              <w:t>向采购人偿付</w:t>
            </w:r>
            <w:r>
              <w:rPr>
                <w:rFonts w:hint="eastAsia" w:ascii="宋体" w:hAnsi="宋体" w:cs="宋体"/>
                <w:bCs/>
                <w:szCs w:val="21"/>
                <w:lang w:eastAsia="zh-CN"/>
              </w:rPr>
              <w:t>项目采购金</w:t>
            </w:r>
            <w:r>
              <w:rPr>
                <w:rFonts w:hint="eastAsia" w:ascii="宋体" w:hAnsi="宋体" w:cs="宋体"/>
                <w:bCs/>
                <w:szCs w:val="21"/>
              </w:rPr>
              <w:t>额的</w:t>
            </w:r>
            <w:r>
              <w:rPr>
                <w:rFonts w:hint="eastAsia" w:ascii="宋体" w:hAnsi="宋体" w:cs="宋体"/>
                <w:bCs/>
                <w:szCs w:val="21"/>
                <w:highlight w:val="yellow"/>
              </w:rPr>
              <w:t>【</w:t>
            </w:r>
            <w:r>
              <w:rPr>
                <w:rFonts w:hint="eastAsia" w:ascii="宋体" w:hAnsi="宋体" w:cs="宋体"/>
                <w:bCs/>
                <w:szCs w:val="21"/>
                <w:highlight w:val="yellow"/>
                <w:lang w:val="en-US" w:eastAsia="zh-CN"/>
              </w:rPr>
              <w:t>5</w:t>
            </w:r>
            <w:r>
              <w:rPr>
                <w:rFonts w:hint="eastAsia" w:ascii="宋体" w:hAnsi="宋体" w:cs="宋体"/>
                <w:bCs/>
                <w:szCs w:val="21"/>
                <w:highlight w:val="yellow"/>
              </w:rPr>
              <w:t>】‰</w:t>
            </w:r>
            <w:r>
              <w:rPr>
                <w:rFonts w:hint="eastAsia" w:ascii="宋体" w:hAnsi="宋体" w:cs="宋体"/>
                <w:bCs/>
                <w:szCs w:val="21"/>
              </w:rPr>
              <w:t>的</w:t>
            </w:r>
            <w:r>
              <w:rPr>
                <w:rFonts w:hint="eastAsia" w:ascii="宋体" w:hAnsi="宋体" w:cs="宋体"/>
                <w:bCs/>
                <w:szCs w:val="21"/>
                <w:lang w:val="en-US" w:eastAsia="zh-CN"/>
              </w:rPr>
              <w:t>违约</w:t>
            </w:r>
            <w:r>
              <w:rPr>
                <w:rFonts w:hint="eastAsia" w:ascii="宋体" w:hAnsi="宋体" w:cs="宋体"/>
                <w:bCs/>
                <w:szCs w:val="21"/>
              </w:rPr>
              <w:t>金。如</w:t>
            </w:r>
            <w:r>
              <w:rPr>
                <w:rFonts w:hint="eastAsia"/>
                <w:bCs/>
                <w:szCs w:val="21"/>
                <w:lang w:eastAsia="zh-CN"/>
              </w:rPr>
              <w:t>投标人</w:t>
            </w:r>
            <w:r>
              <w:rPr>
                <w:rFonts w:hint="eastAsia" w:ascii="宋体" w:hAnsi="宋体" w:cs="宋体"/>
                <w:bCs/>
                <w:szCs w:val="21"/>
              </w:rPr>
              <w:t>逾期交货达</w:t>
            </w:r>
            <w:r>
              <w:rPr>
                <w:rFonts w:hint="eastAsia" w:ascii="宋体" w:hAnsi="宋体" w:cs="宋体"/>
                <w:bCs/>
                <w:szCs w:val="21"/>
                <w:highlight w:val="yellow"/>
                <w:u w:val="single"/>
              </w:rPr>
              <w:t xml:space="preserve"> </w:t>
            </w:r>
            <w:r>
              <w:rPr>
                <w:rFonts w:hint="eastAsia" w:ascii="宋体" w:hAnsi="宋体" w:cs="宋体"/>
                <w:bCs/>
                <w:szCs w:val="21"/>
                <w:highlight w:val="yellow"/>
                <w:u w:val="single"/>
                <w:lang w:val="en-US" w:eastAsia="zh-CN"/>
              </w:rPr>
              <w:t>7</w:t>
            </w:r>
            <w:r>
              <w:rPr>
                <w:rFonts w:hint="eastAsia" w:ascii="宋体" w:hAnsi="宋体" w:cs="宋体"/>
                <w:bCs/>
                <w:szCs w:val="21"/>
                <w:highlight w:val="yellow"/>
                <w:u w:val="single"/>
              </w:rPr>
              <w:t xml:space="preserve"> </w:t>
            </w:r>
            <w:r>
              <w:rPr>
                <w:rFonts w:hint="eastAsia" w:ascii="宋体" w:hAnsi="宋体" w:cs="宋体"/>
                <w:bCs/>
                <w:szCs w:val="21"/>
              </w:rPr>
              <w:t>天，采购人有权解除合同。</w:t>
            </w:r>
          </w:p>
        </w:tc>
      </w:tr>
      <w:tr w14:paraId="117A5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260" w:type="dxa"/>
            <w:vMerge w:val="continue"/>
            <w:noWrap w:val="0"/>
            <w:vAlign w:val="center"/>
          </w:tcPr>
          <w:p w14:paraId="68EE594F">
            <w:pPr>
              <w:jc w:val="center"/>
              <w:rPr>
                <w:rFonts w:hint="eastAsia"/>
                <w:bCs/>
              </w:rPr>
            </w:pPr>
          </w:p>
        </w:tc>
        <w:tc>
          <w:tcPr>
            <w:tcW w:w="1620" w:type="dxa"/>
            <w:vMerge w:val="continue"/>
            <w:noWrap w:val="0"/>
            <w:vAlign w:val="top"/>
          </w:tcPr>
          <w:p w14:paraId="2E6337BF">
            <w:pPr>
              <w:jc w:val="center"/>
              <w:rPr>
                <w:bCs/>
              </w:rPr>
            </w:pPr>
          </w:p>
        </w:tc>
        <w:tc>
          <w:tcPr>
            <w:tcW w:w="5594" w:type="dxa"/>
            <w:noWrap w:val="0"/>
            <w:vAlign w:val="top"/>
          </w:tcPr>
          <w:p w14:paraId="4B5D3998">
            <w:pPr>
              <w:rPr>
                <w:rFonts w:hint="eastAsia" w:ascii="宋体" w:hAnsi="宋体" w:cs="宋体"/>
                <w:b/>
              </w:rPr>
            </w:pPr>
            <w:r>
              <w:rPr>
                <w:rFonts w:hint="eastAsia" w:ascii="宋体" w:hAnsi="宋体" w:cs="宋体"/>
                <w:bCs/>
              </w:rPr>
              <w:t>3.5</w:t>
            </w:r>
            <w:r>
              <w:rPr>
                <w:rFonts w:hint="eastAsia"/>
                <w:bCs/>
                <w:szCs w:val="21"/>
                <w:lang w:eastAsia="zh-CN"/>
              </w:rPr>
              <w:t>投标人中标后，在其</w:t>
            </w:r>
            <w:r>
              <w:rPr>
                <w:rFonts w:hint="eastAsia" w:ascii="宋体" w:hAnsi="宋体" w:cs="宋体"/>
                <w:bCs/>
              </w:rPr>
              <w:t>承诺的或国家规定的质量保证期内（取两者中最长的期限），如经</w:t>
            </w:r>
            <w:r>
              <w:rPr>
                <w:rFonts w:hint="eastAsia"/>
                <w:bCs/>
                <w:szCs w:val="21"/>
                <w:lang w:eastAsia="zh-CN"/>
              </w:rPr>
              <w:t>投标人</w:t>
            </w:r>
            <w:r>
              <w:rPr>
                <w:rFonts w:hint="eastAsia" w:ascii="宋体" w:hAnsi="宋体" w:cs="宋体"/>
                <w:bCs/>
              </w:rPr>
              <w:t>两次维修或更换，货物仍不能达到采购文件要求及投标文件承诺的质量标准，采购人有权退货，</w:t>
            </w:r>
            <w:r>
              <w:rPr>
                <w:rFonts w:hint="eastAsia"/>
                <w:bCs/>
                <w:szCs w:val="21"/>
                <w:lang w:eastAsia="zh-CN"/>
              </w:rPr>
              <w:t>投标人</w:t>
            </w:r>
            <w:r>
              <w:rPr>
                <w:rFonts w:hint="eastAsia" w:ascii="宋体" w:hAnsi="宋体" w:cs="宋体"/>
                <w:bCs/>
              </w:rPr>
              <w:t>应退回全部货款并赔偿采购人因此遭受的损失。</w:t>
            </w:r>
          </w:p>
        </w:tc>
      </w:tr>
      <w:tr w14:paraId="13FA1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260" w:type="dxa"/>
            <w:vMerge w:val="continue"/>
            <w:noWrap w:val="0"/>
            <w:vAlign w:val="center"/>
          </w:tcPr>
          <w:p w14:paraId="347F4DCD">
            <w:pPr>
              <w:jc w:val="center"/>
              <w:rPr>
                <w:rFonts w:hint="eastAsia"/>
                <w:bCs/>
              </w:rPr>
            </w:pPr>
          </w:p>
        </w:tc>
        <w:tc>
          <w:tcPr>
            <w:tcW w:w="1620" w:type="dxa"/>
            <w:vMerge w:val="continue"/>
            <w:noWrap w:val="0"/>
            <w:vAlign w:val="top"/>
          </w:tcPr>
          <w:p w14:paraId="27FFC1B6">
            <w:pPr>
              <w:jc w:val="center"/>
              <w:rPr>
                <w:bCs/>
              </w:rPr>
            </w:pPr>
          </w:p>
        </w:tc>
        <w:tc>
          <w:tcPr>
            <w:tcW w:w="5594" w:type="dxa"/>
            <w:noWrap w:val="0"/>
            <w:vAlign w:val="top"/>
          </w:tcPr>
          <w:p w14:paraId="13B5066A">
            <w:pPr>
              <w:rPr>
                <w:rFonts w:hint="eastAsia" w:ascii="宋体" w:hAnsi="宋体" w:cs="宋体"/>
                <w:b/>
              </w:rPr>
            </w:pPr>
            <w:r>
              <w:rPr>
                <w:rFonts w:hint="eastAsia" w:ascii="宋体" w:hAnsi="宋体" w:cs="宋体"/>
                <w:bCs/>
              </w:rPr>
              <w:t>3.6</w:t>
            </w:r>
            <w:r>
              <w:rPr>
                <w:rFonts w:hint="eastAsia"/>
                <w:bCs/>
                <w:szCs w:val="21"/>
                <w:lang w:eastAsia="zh-CN"/>
              </w:rPr>
              <w:t>投标人中标后</w:t>
            </w:r>
            <w:r>
              <w:rPr>
                <w:rFonts w:hint="eastAsia" w:ascii="宋体" w:hAnsi="宋体" w:cs="宋体"/>
                <w:bCs/>
              </w:rPr>
              <w:t>在承担上述一项或多项违约责任后，仍应继续履行合同规定的义务（采购人解除合同的除外）。采购人未能及时追究</w:t>
            </w:r>
            <w:r>
              <w:rPr>
                <w:rFonts w:hint="eastAsia"/>
                <w:bCs/>
                <w:szCs w:val="21"/>
                <w:lang w:eastAsia="zh-CN"/>
              </w:rPr>
              <w:t>投标人</w:t>
            </w:r>
            <w:r>
              <w:rPr>
                <w:rFonts w:hint="eastAsia" w:ascii="宋体" w:hAnsi="宋体" w:cs="宋体"/>
                <w:bCs/>
              </w:rPr>
              <w:t>的任何一项违约责任并不表明采购人放弃追究</w:t>
            </w:r>
            <w:r>
              <w:rPr>
                <w:rFonts w:hint="eastAsia"/>
                <w:bCs/>
                <w:szCs w:val="21"/>
                <w:lang w:eastAsia="zh-CN"/>
              </w:rPr>
              <w:t>投标人</w:t>
            </w:r>
            <w:r>
              <w:rPr>
                <w:rFonts w:hint="eastAsia" w:ascii="宋体" w:hAnsi="宋体" w:cs="宋体"/>
                <w:bCs/>
              </w:rPr>
              <w:t>该项或其他违约责任。</w:t>
            </w:r>
          </w:p>
        </w:tc>
      </w:tr>
      <w:tr w14:paraId="15700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260" w:type="dxa"/>
            <w:noWrap w:val="0"/>
            <w:vAlign w:val="center"/>
          </w:tcPr>
          <w:p w14:paraId="3815A5D6">
            <w:pPr>
              <w:jc w:val="center"/>
              <w:rPr>
                <w:rFonts w:hint="eastAsia"/>
                <w:bCs/>
              </w:rPr>
            </w:pPr>
            <w:r>
              <w:rPr>
                <w:rFonts w:hint="eastAsia"/>
                <w:bCs/>
              </w:rPr>
              <w:t>4</w:t>
            </w:r>
          </w:p>
        </w:tc>
        <w:tc>
          <w:tcPr>
            <w:tcW w:w="1620" w:type="dxa"/>
            <w:noWrap w:val="0"/>
            <w:vAlign w:val="top"/>
          </w:tcPr>
          <w:p w14:paraId="02ABCED1">
            <w:pPr>
              <w:jc w:val="center"/>
              <w:rPr>
                <w:rFonts w:hint="eastAsia"/>
                <w:bCs/>
              </w:rPr>
            </w:pPr>
            <w:r>
              <w:rPr>
                <w:rFonts w:hint="eastAsia"/>
                <w:bCs/>
              </w:rPr>
              <w:t>其他</w:t>
            </w:r>
          </w:p>
        </w:tc>
        <w:tc>
          <w:tcPr>
            <w:tcW w:w="5594" w:type="dxa"/>
            <w:noWrap w:val="0"/>
            <w:vAlign w:val="top"/>
          </w:tcPr>
          <w:p w14:paraId="456FFFF2">
            <w:pPr>
              <w:rPr>
                <w:rFonts w:hint="eastAsia" w:ascii="宋体" w:hAnsi="宋体" w:cs="宋体"/>
                <w:bCs/>
              </w:rPr>
            </w:pPr>
            <w:r>
              <w:rPr>
                <w:rFonts w:hint="eastAsia" w:ascii="宋体" w:hAnsi="宋体" w:cs="宋体"/>
                <w:bCs/>
                <w:lang w:eastAsia="zh-CN"/>
              </w:rPr>
              <w:t>投标人</w:t>
            </w:r>
            <w:r>
              <w:rPr>
                <w:rFonts w:hint="eastAsia"/>
                <w:bCs/>
                <w:szCs w:val="21"/>
                <w:lang w:eastAsia="zh-CN"/>
              </w:rPr>
              <w:t>中标后</w:t>
            </w:r>
            <w:r>
              <w:rPr>
                <w:rFonts w:hint="eastAsia" w:ascii="宋体" w:hAnsi="宋体" w:cs="宋体"/>
                <w:bCs/>
              </w:rPr>
              <w:t>应按其投标文件中的承诺，进行其他售后服务工作。</w:t>
            </w:r>
          </w:p>
        </w:tc>
      </w:tr>
    </w:tbl>
    <w:p w14:paraId="64F54886">
      <w:pPr>
        <w:pStyle w:val="2"/>
        <w:rPr>
          <w:sz w:val="32"/>
          <w:szCs w:val="32"/>
          <w:highlight w:val="yellow"/>
        </w:rPr>
      </w:pPr>
      <w:r>
        <w:rPr>
          <w:rFonts w:hint="eastAsia"/>
          <w:sz w:val="32"/>
          <w:szCs w:val="32"/>
          <w:highlight w:val="yellow"/>
        </w:rPr>
        <w:t>★</w:t>
      </w:r>
      <w:r>
        <w:rPr>
          <w:sz w:val="32"/>
          <w:szCs w:val="32"/>
          <w:highlight w:val="yellow"/>
        </w:rPr>
        <w:t>付款方式</w:t>
      </w:r>
    </w:p>
    <w:p w14:paraId="49E6E91D">
      <w:pPr>
        <w:widowControl/>
        <w:jc w:val="left"/>
        <w:rPr>
          <w:rFonts w:hint="eastAsia" w:ascii="Arial" w:hAnsi="Arial" w:eastAsia="宋体" w:cs="Times New Roman"/>
          <w:szCs w:val="24"/>
          <w:highlight w:val="yellow"/>
        </w:rPr>
      </w:pPr>
      <w:r>
        <w:rPr>
          <w:rFonts w:hint="eastAsia" w:ascii="Arial" w:hAnsi="Arial" w:eastAsia="宋体" w:cs="Times New Roman"/>
          <w:szCs w:val="24"/>
          <w:highlight w:val="yellow"/>
        </w:rPr>
        <w:t>1、全部货物送到采购人指定地点、完成安装并验收合格后 10个工作日内，采购人向中标供应商支付合同总价【100】%的款项；</w:t>
      </w:r>
    </w:p>
    <w:p w14:paraId="43BC3AAF">
      <w:pPr>
        <w:widowControl/>
        <w:jc w:val="left"/>
        <w:rPr>
          <w:rFonts w:ascii="Arial" w:hAnsi="Arial" w:eastAsia="宋体" w:cs="Times New Roman"/>
          <w:szCs w:val="24"/>
          <w:highlight w:val="yellow"/>
        </w:rPr>
      </w:pPr>
      <w:r>
        <w:rPr>
          <w:rFonts w:hint="eastAsia" w:ascii="Arial" w:hAnsi="Arial" w:eastAsia="宋体" w:cs="Times New Roman"/>
          <w:szCs w:val="24"/>
          <w:highlight w:val="yellow"/>
        </w:rPr>
        <w:t>2、因财政资金拨款未到位而导致甲方未在约定期限内支付合同费用的，中标供应商不得要求采购人承担逾期付款的违约责任。每次付款前，中标供应商应需先提供相应额度的正规发票给采购人，以便办理支付手续。</w:t>
      </w:r>
    </w:p>
    <w:p w14:paraId="7AAE2036">
      <w:pPr>
        <w:keepNext/>
        <w:keepLines/>
        <w:tabs>
          <w:tab w:val="left" w:pos="1680"/>
        </w:tabs>
        <w:spacing w:before="260" w:after="78" w:afterLines="25"/>
        <w:jc w:val="center"/>
        <w:outlineLvl w:val="2"/>
        <w:rPr>
          <w:rFonts w:ascii="Arial" w:hAnsi="Arial" w:eastAsia="宋体" w:cs="Times New Roman"/>
          <w:b/>
          <w:bCs/>
          <w:sz w:val="32"/>
          <w:szCs w:val="32"/>
        </w:rPr>
      </w:pPr>
      <w:r>
        <w:rPr>
          <w:rFonts w:hint="eastAsia" w:ascii="Arial" w:hAnsi="Arial" w:eastAsia="宋体" w:cs="Times New Roman"/>
          <w:b/>
          <w:bCs/>
          <w:sz w:val="32"/>
          <w:szCs w:val="32"/>
        </w:rPr>
        <w:t>五、技术要求部分</w:t>
      </w:r>
    </w:p>
    <w:p w14:paraId="0648B5F2">
      <w:pPr>
        <w:jc w:val="left"/>
        <w:rPr>
          <w:rFonts w:hint="eastAsia" w:ascii="宋体" w:hAnsi="宋体" w:eastAsia="宋体" w:cs="Times New Roman"/>
          <w:b/>
          <w:color w:val="FF0000"/>
          <w:szCs w:val="21"/>
        </w:rPr>
      </w:pPr>
      <w:r>
        <w:rPr>
          <w:rFonts w:hint="eastAsia" w:ascii="宋体" w:hAnsi="宋体" w:cs="宋体"/>
          <w:b/>
          <w:bCs/>
          <w:kern w:val="0"/>
          <w:sz w:val="24"/>
          <w:szCs w:val="24"/>
          <w:lang w:val="en-US" w:eastAsia="zh-CN"/>
        </w:rPr>
        <w:t>1.</w:t>
      </w:r>
      <w:r>
        <w:rPr>
          <w:rFonts w:hint="eastAsia" w:ascii="宋体" w:hAnsi="宋体" w:cs="宋体"/>
          <w:b/>
          <w:bCs/>
          <w:kern w:val="0"/>
          <w:sz w:val="24"/>
          <w:szCs w:val="24"/>
        </w:rPr>
        <w:t>采购技术要求表</w:t>
      </w:r>
    </w:p>
    <w:tbl>
      <w:tblPr>
        <w:tblStyle w:val="1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8"/>
        <w:gridCol w:w="750"/>
        <w:gridCol w:w="7201"/>
        <w:tblGridChange w:id="1">
          <w:tblGrid>
            <w:gridCol w:w="568"/>
            <w:gridCol w:w="750"/>
            <w:gridCol w:w="7201"/>
          </w:tblGrid>
        </w:tblGridChange>
      </w:tblGrid>
      <w:tr w14:paraId="0F6C7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0" w:hRule="atLeast"/>
          <w:jc w:val="center"/>
        </w:trPr>
        <w:tc>
          <w:tcPr>
            <w:tcW w:w="333" w:type="pct"/>
            <w:noWrap w:val="0"/>
            <w:vAlign w:val="center"/>
          </w:tcPr>
          <w:p w14:paraId="302CC795">
            <w:pPr>
              <w:jc w:val="center"/>
              <w:rPr>
                <w:szCs w:val="21"/>
              </w:rPr>
            </w:pPr>
            <w:r>
              <w:rPr>
                <w:rFonts w:hint="eastAsia"/>
                <w:szCs w:val="21"/>
              </w:rPr>
              <w:t>序号</w:t>
            </w:r>
          </w:p>
        </w:tc>
        <w:tc>
          <w:tcPr>
            <w:tcW w:w="440" w:type="pct"/>
            <w:noWrap w:val="0"/>
            <w:vAlign w:val="center"/>
          </w:tcPr>
          <w:p w14:paraId="1BC54430">
            <w:pPr>
              <w:widowControl/>
              <w:jc w:val="center"/>
              <w:rPr>
                <w:szCs w:val="21"/>
              </w:rPr>
            </w:pPr>
            <w:r>
              <w:rPr>
                <w:rFonts w:hint="eastAsia"/>
                <w:szCs w:val="21"/>
              </w:rPr>
              <w:t>货物名称</w:t>
            </w:r>
          </w:p>
        </w:tc>
        <w:tc>
          <w:tcPr>
            <w:tcW w:w="4225" w:type="pct"/>
            <w:noWrap w:val="0"/>
            <w:vAlign w:val="center"/>
          </w:tcPr>
          <w:p w14:paraId="39D499B5">
            <w:pPr>
              <w:jc w:val="center"/>
              <w:rPr>
                <w:szCs w:val="21"/>
              </w:rPr>
            </w:pPr>
            <w:r>
              <w:rPr>
                <w:rFonts w:hint="eastAsia"/>
                <w:szCs w:val="21"/>
              </w:rPr>
              <w:t>招标技术要求</w:t>
            </w:r>
          </w:p>
        </w:tc>
      </w:tr>
      <w:tr w14:paraId="0CBF9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333" w:type="pct"/>
            <w:vMerge w:val="restart"/>
            <w:shd w:val="clear" w:color="auto" w:fill="auto"/>
            <w:noWrap w:val="0"/>
            <w:vAlign w:val="center"/>
          </w:tcPr>
          <w:p w14:paraId="2EB4BBE0">
            <w:pPr>
              <w:keepNext w:val="0"/>
              <w:keepLines w:val="0"/>
              <w:widowControl/>
              <w:suppressLineNumbers w:val="0"/>
              <w:jc w:val="center"/>
              <w:textAlignment w:val="center"/>
              <w:rPr>
                <w:rFonts w:hint="eastAsia" w:ascii="Times New Roman" w:hAnsi="Times New Roman"/>
                <w:szCs w:val="21"/>
              </w:rPr>
            </w:pPr>
            <w:r>
              <w:rPr>
                <w:rFonts w:hint="default" w:ascii="Arial" w:hAnsi="Arial" w:eastAsia="宋体" w:cs="Arial"/>
                <w:i w:val="0"/>
                <w:iCs w:val="0"/>
                <w:color w:val="000000"/>
                <w:kern w:val="0"/>
                <w:sz w:val="20"/>
                <w:szCs w:val="20"/>
                <w:u w:val="none"/>
                <w:lang w:val="en-US" w:eastAsia="zh-CN" w:bidi="ar"/>
              </w:rPr>
              <w:t xml:space="preserve">1 </w:t>
            </w:r>
          </w:p>
        </w:tc>
        <w:tc>
          <w:tcPr>
            <w:tcW w:w="440" w:type="pct"/>
            <w:vMerge w:val="restart"/>
            <w:shd w:val="clear" w:color="auto" w:fill="FFFFFF"/>
            <w:noWrap w:val="0"/>
            <w:vAlign w:val="center"/>
          </w:tcPr>
          <w:p w14:paraId="4892E55B">
            <w:pPr>
              <w:keepNext w:val="0"/>
              <w:keepLines w:val="0"/>
              <w:widowControl/>
              <w:suppressLineNumbers w:val="0"/>
              <w:jc w:val="center"/>
              <w:textAlignment w:val="center"/>
              <w:rPr>
                <w:rFonts w:hint="eastAsia" w:ascii="宋体" w:hAnsi="宋体" w:cs="宋体"/>
                <w:color w:val="auto"/>
                <w:sz w:val="20"/>
                <w:szCs w:val="20"/>
              </w:rPr>
            </w:pPr>
            <w:r>
              <w:rPr>
                <w:rFonts w:hint="eastAsia" w:ascii="宋体" w:hAnsi="宋体" w:eastAsia="宋体" w:cs="宋体"/>
                <w:i w:val="0"/>
                <w:iCs w:val="0"/>
                <w:color w:val="auto"/>
                <w:kern w:val="0"/>
                <w:sz w:val="20"/>
                <w:szCs w:val="20"/>
                <w:u w:val="none"/>
                <w:lang w:val="en-US" w:eastAsia="zh-CN" w:bidi="ar"/>
              </w:rPr>
              <w:t>幼儿椅</w:t>
            </w:r>
          </w:p>
        </w:tc>
        <w:tc>
          <w:tcPr>
            <w:tcW w:w="4225" w:type="pct"/>
            <w:noWrap w:val="0"/>
            <w:vAlign w:val="top"/>
          </w:tcPr>
          <w:p w14:paraId="40176F66">
            <w:pPr>
              <w:jc w:val="left"/>
              <w:rPr>
                <w:rFonts w:ascii="Times New Roman" w:hAnsi="Times New Roman"/>
                <w:szCs w:val="21"/>
              </w:rPr>
            </w:pPr>
            <w:r>
              <w:rPr>
                <w:rFonts w:hint="eastAsia" w:ascii="Times New Roman" w:hAnsi="Times New Roman"/>
                <w:szCs w:val="21"/>
              </w:rPr>
              <w:t>规格：L30xW30xH50cm（±3cm）（座高25cm（±3cm））</w:t>
            </w:r>
          </w:p>
        </w:tc>
      </w:tr>
      <w:tr w14:paraId="0878D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333" w:type="pct"/>
            <w:vMerge w:val="continue"/>
            <w:noWrap w:val="0"/>
            <w:vAlign w:val="center"/>
          </w:tcPr>
          <w:p w14:paraId="3ACB0FB3">
            <w:pPr>
              <w:jc w:val="center"/>
              <w:rPr>
                <w:rFonts w:hint="eastAsia" w:ascii="Times New Roman" w:hAnsi="Times New Roman"/>
                <w:szCs w:val="21"/>
              </w:rPr>
            </w:pPr>
          </w:p>
        </w:tc>
        <w:tc>
          <w:tcPr>
            <w:tcW w:w="440" w:type="pct"/>
            <w:vMerge w:val="continue"/>
            <w:noWrap w:val="0"/>
            <w:vAlign w:val="center"/>
          </w:tcPr>
          <w:p w14:paraId="44CB7950">
            <w:pPr>
              <w:jc w:val="center"/>
              <w:rPr>
                <w:rFonts w:hint="eastAsia" w:ascii="Times New Roman" w:hAnsi="Times New Roman"/>
                <w:color w:val="auto"/>
                <w:szCs w:val="21"/>
              </w:rPr>
            </w:pPr>
          </w:p>
        </w:tc>
        <w:tc>
          <w:tcPr>
            <w:tcW w:w="4225" w:type="pct"/>
            <w:noWrap w:val="0"/>
            <w:vAlign w:val="top"/>
          </w:tcPr>
          <w:p w14:paraId="0702FA07">
            <w:pPr>
              <w:jc w:val="left"/>
              <w:rPr>
                <w:rFonts w:hint="eastAsia" w:ascii="Times New Roman" w:hAnsi="Times New Roman"/>
                <w:szCs w:val="21"/>
              </w:rPr>
            </w:pPr>
            <w:r>
              <w:rPr>
                <w:rFonts w:hint="eastAsia" w:ascii="Times New Roman" w:hAnsi="Times New Roman"/>
                <w:szCs w:val="21"/>
              </w:rPr>
              <w:t>1、工艺设计：</w:t>
            </w:r>
          </w:p>
          <w:p w14:paraId="08109DD1">
            <w:pPr>
              <w:jc w:val="left"/>
              <w:rPr>
                <w:rFonts w:hint="eastAsia" w:ascii="Times New Roman" w:hAnsi="Times New Roman"/>
                <w:szCs w:val="21"/>
              </w:rPr>
            </w:pPr>
            <w:r>
              <w:rPr>
                <w:rFonts w:hint="eastAsia" w:ascii="Times New Roman" w:hAnsi="Times New Roman"/>
                <w:szCs w:val="21"/>
              </w:rPr>
              <w:t>（1）整体为工字框架，拆装结构，使用木梢做榫孔定位加固安装，使用二合一、自攻丝进行连接，组搭安装便捷。</w:t>
            </w:r>
          </w:p>
          <w:p w14:paraId="34324912">
            <w:pPr>
              <w:jc w:val="left"/>
              <w:rPr>
                <w:rFonts w:hint="eastAsia" w:ascii="Times New Roman" w:hAnsi="Times New Roman"/>
                <w:szCs w:val="21"/>
              </w:rPr>
            </w:pPr>
            <w:r>
              <w:rPr>
                <w:rFonts w:hint="eastAsia" w:ascii="Times New Roman" w:hAnsi="Times New Roman"/>
                <w:szCs w:val="21"/>
              </w:rPr>
              <w:t xml:space="preserve">（2）背板拱桥元素造型、圆孔提手设计，兼具美观与实用。 </w:t>
            </w:r>
          </w:p>
          <w:p w14:paraId="705CAA6A">
            <w:pPr>
              <w:jc w:val="left"/>
              <w:rPr>
                <w:rFonts w:hint="eastAsia" w:ascii="Times New Roman" w:hAnsi="Times New Roman"/>
                <w:szCs w:val="21"/>
              </w:rPr>
            </w:pPr>
            <w:r>
              <w:rPr>
                <w:rFonts w:hint="eastAsia" w:ascii="Times New Roman" w:hAnsi="Times New Roman"/>
                <w:szCs w:val="21"/>
              </w:rPr>
              <w:t>（3）所有螺丝位无毛刺不刮手，边角采用圆边/圆角处理以及安全防撞设计，最大程度的避免儿童磕碰伤害，结构稳固。</w:t>
            </w:r>
          </w:p>
        </w:tc>
      </w:tr>
      <w:tr w14:paraId="09F30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333" w:type="pct"/>
            <w:vMerge w:val="continue"/>
            <w:noWrap w:val="0"/>
            <w:vAlign w:val="center"/>
          </w:tcPr>
          <w:p w14:paraId="22A36540">
            <w:pPr>
              <w:jc w:val="center"/>
              <w:rPr>
                <w:rFonts w:hint="eastAsia" w:ascii="Times New Roman" w:hAnsi="Times New Roman"/>
                <w:szCs w:val="21"/>
              </w:rPr>
            </w:pPr>
          </w:p>
        </w:tc>
        <w:tc>
          <w:tcPr>
            <w:tcW w:w="440" w:type="pct"/>
            <w:vMerge w:val="continue"/>
            <w:noWrap w:val="0"/>
            <w:vAlign w:val="center"/>
          </w:tcPr>
          <w:p w14:paraId="7CA42737">
            <w:pPr>
              <w:jc w:val="center"/>
              <w:rPr>
                <w:rFonts w:hint="eastAsia" w:ascii="Times New Roman" w:hAnsi="Times New Roman"/>
                <w:color w:val="auto"/>
                <w:szCs w:val="21"/>
              </w:rPr>
            </w:pPr>
          </w:p>
        </w:tc>
        <w:tc>
          <w:tcPr>
            <w:tcW w:w="4225" w:type="pct"/>
            <w:noWrap w:val="0"/>
            <w:vAlign w:val="top"/>
          </w:tcPr>
          <w:p w14:paraId="6104345C">
            <w:pPr>
              <w:jc w:val="left"/>
              <w:rPr>
                <w:rFonts w:hint="eastAsia" w:ascii="Times New Roman" w:hAnsi="Times New Roman"/>
                <w:szCs w:val="21"/>
              </w:rPr>
            </w:pPr>
            <w:r>
              <w:rPr>
                <w:rFonts w:hint="eastAsia" w:ascii="Times New Roman" w:hAnsi="Times New Roman"/>
                <w:szCs w:val="21"/>
              </w:rPr>
              <w:t>2、外观结构及材质：</w:t>
            </w:r>
          </w:p>
          <w:p w14:paraId="26C46362">
            <w:pPr>
              <w:jc w:val="left"/>
              <w:rPr>
                <w:rFonts w:hint="eastAsia" w:ascii="Times New Roman" w:hAnsi="Times New Roman"/>
                <w:szCs w:val="21"/>
              </w:rPr>
            </w:pPr>
            <w:r>
              <w:rPr>
                <w:rFonts w:hint="eastAsia" w:ascii="Times New Roman" w:hAnsi="Times New Roman"/>
                <w:szCs w:val="21"/>
              </w:rPr>
              <w:t>（1）座板：采用厚度12mm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szCs w:val="21"/>
              </w:rPr>
              <w:t>的饰面实木多层板双贴橡胶木纹皮；座高:250mm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szCs w:val="21"/>
              </w:rPr>
              <w:t>；座深:270mm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szCs w:val="21"/>
              </w:rPr>
              <w:t>；座宽:290mm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szCs w:val="21"/>
              </w:rPr>
              <w:t>。</w:t>
            </w:r>
          </w:p>
          <w:p w14:paraId="5F65B275">
            <w:pPr>
              <w:jc w:val="left"/>
              <w:rPr>
                <w:rFonts w:hint="eastAsia" w:ascii="Times New Roman" w:hAnsi="Times New Roman"/>
                <w:szCs w:val="21"/>
              </w:rPr>
            </w:pPr>
            <w:r>
              <w:rPr>
                <w:rFonts w:hint="eastAsia" w:ascii="Times New Roman" w:hAnsi="Times New Roman"/>
                <w:szCs w:val="21"/>
              </w:rPr>
              <w:t>（2）椅背：采用厚度18mm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szCs w:val="21"/>
              </w:rPr>
              <w:t>的饰面实木多层板双贴橡胶木纹皮，顶部为原木色木拱桥造型，圆滑对称；中间椭圆提手孔设计手提便携；背板加宽，弧形修饰，使坐姿靠背更舒适。</w:t>
            </w:r>
          </w:p>
          <w:p w14:paraId="36F3B143">
            <w:pPr>
              <w:jc w:val="left"/>
              <w:rPr>
                <w:rFonts w:hint="eastAsia" w:ascii="Times New Roman" w:hAnsi="Times New Roman"/>
                <w:szCs w:val="21"/>
              </w:rPr>
            </w:pPr>
            <w:r>
              <w:rPr>
                <w:rFonts w:hint="eastAsia" w:ascii="Times New Roman" w:hAnsi="Times New Roman"/>
                <w:szCs w:val="21"/>
              </w:rPr>
              <w:t>（3）椅脚：椅脚厚度22mm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szCs w:val="21"/>
              </w:rPr>
              <w:t>、其余框架厚度18mm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szCs w:val="21"/>
              </w:rPr>
              <w:t>的橡胶木拼板，底部安装塑料脚垫，高度为H6.5mm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szCs w:val="21"/>
              </w:rPr>
              <w:t>，直径19mm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szCs w:val="21"/>
              </w:rPr>
              <w:t>，软性防滑，可有效保护地面刮花并降低噪音。</w:t>
            </w:r>
          </w:p>
          <w:p w14:paraId="1FAE7D59">
            <w:pPr>
              <w:jc w:val="left"/>
              <w:rPr>
                <w:rFonts w:hint="eastAsia" w:ascii="Times New Roman" w:hAnsi="Times New Roman"/>
                <w:szCs w:val="21"/>
              </w:rPr>
            </w:pPr>
            <w:r>
              <w:rPr>
                <w:rFonts w:hint="eastAsia" w:ascii="Times New Roman" w:hAnsi="Times New Roman"/>
                <w:szCs w:val="21"/>
              </w:rPr>
              <w:t>（4）产品整体采用的水性漆，全封闭涂装工艺，漆面光泽高透，颜色均匀，附着能力强，通透度高。座板及靠背采用的水性木蜡油封边，成分天然，分子机构细小，成膜牢固，密封性好。</w:t>
            </w:r>
          </w:p>
        </w:tc>
      </w:tr>
      <w:tr w14:paraId="1CD5D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333" w:type="pct"/>
            <w:vMerge w:val="restart"/>
            <w:noWrap w:val="0"/>
            <w:vAlign w:val="center"/>
          </w:tcPr>
          <w:p w14:paraId="2693E826">
            <w:pPr>
              <w:keepNext w:val="0"/>
              <w:keepLines w:val="0"/>
              <w:widowControl/>
              <w:suppressLineNumbers w:val="0"/>
              <w:jc w:val="center"/>
              <w:textAlignment w:val="center"/>
              <w:rPr>
                <w:rFonts w:hint="eastAsia" w:ascii="Times New Roman" w:hAnsi="Times New Roman"/>
                <w:szCs w:val="21"/>
              </w:rPr>
            </w:pPr>
            <w:r>
              <w:rPr>
                <w:rFonts w:hint="default" w:ascii="Arial" w:hAnsi="Arial" w:eastAsia="宋体" w:cs="Arial"/>
                <w:i w:val="0"/>
                <w:iCs w:val="0"/>
                <w:color w:val="000000"/>
                <w:kern w:val="0"/>
                <w:sz w:val="20"/>
                <w:szCs w:val="20"/>
                <w:u w:val="none"/>
                <w:lang w:val="en-US" w:eastAsia="zh-CN" w:bidi="ar"/>
              </w:rPr>
              <w:t xml:space="preserve">2 </w:t>
            </w:r>
          </w:p>
        </w:tc>
        <w:tc>
          <w:tcPr>
            <w:tcW w:w="440" w:type="pct"/>
            <w:vMerge w:val="restart"/>
            <w:noWrap w:val="0"/>
            <w:vAlign w:val="center"/>
          </w:tcPr>
          <w:p w14:paraId="2B77CC7F">
            <w:pPr>
              <w:keepNext w:val="0"/>
              <w:keepLines w:val="0"/>
              <w:widowControl/>
              <w:suppressLineNumbers w:val="0"/>
              <w:ind w:firstLine="210" w:firstLineChars="100"/>
              <w:jc w:val="both"/>
              <w:textAlignment w:val="center"/>
              <w:rPr>
                <w:rFonts w:hint="default" w:ascii="Times New Roman" w:hAnsi="Times New Roman" w:eastAsia="宋体"/>
                <w:color w:val="auto"/>
                <w:szCs w:val="21"/>
                <w:lang w:val="en-US" w:eastAsia="zh-CN"/>
              </w:rPr>
            </w:pPr>
            <w:r>
              <w:rPr>
                <w:rFonts w:hint="eastAsia" w:ascii="Times New Roman" w:hAnsi="Times New Roman"/>
                <w:color w:val="auto"/>
                <w:szCs w:val="21"/>
                <w:lang w:val="en-US" w:eastAsia="zh-CN"/>
              </w:rPr>
              <w:t>幼儿桌</w:t>
            </w:r>
            <w:r>
              <w:rPr>
                <w:rFonts w:ascii="宋体" w:hAnsi="宋体" w:cs="宋体"/>
                <w:color w:val="auto"/>
                <w:kern w:val="0"/>
                <w:sz w:val="20"/>
                <w:szCs w:val="20"/>
                <w:lang w:bidi="ar"/>
              </w:rPr>
              <w:t>（</w:t>
            </w:r>
            <w:r>
              <w:rPr>
                <w:rFonts w:hint="eastAsia" w:ascii="宋体" w:hAnsi="宋体" w:cs="宋体"/>
                <w:color w:val="auto"/>
                <w:kern w:val="0"/>
                <w:sz w:val="20"/>
                <w:szCs w:val="20"/>
                <w:lang w:eastAsia="zh-Hans" w:bidi="ar"/>
              </w:rPr>
              <w:t>核心产品</w:t>
            </w:r>
            <w:r>
              <w:rPr>
                <w:rFonts w:ascii="宋体" w:hAnsi="宋体" w:cs="宋体"/>
                <w:color w:val="auto"/>
                <w:kern w:val="0"/>
                <w:sz w:val="20"/>
                <w:szCs w:val="20"/>
                <w:lang w:bidi="ar"/>
              </w:rPr>
              <w:t>）</w:t>
            </w:r>
          </w:p>
        </w:tc>
        <w:tc>
          <w:tcPr>
            <w:tcW w:w="4225" w:type="pct"/>
            <w:noWrap w:val="0"/>
            <w:vAlign w:val="top"/>
          </w:tcPr>
          <w:p w14:paraId="0CF48650">
            <w:pPr>
              <w:jc w:val="left"/>
              <w:rPr>
                <w:rFonts w:hint="eastAsia" w:ascii="Times New Roman" w:hAnsi="Times New Roman"/>
                <w:szCs w:val="21"/>
              </w:rPr>
            </w:pPr>
            <w:r>
              <w:rPr>
                <w:rFonts w:hint="eastAsia" w:ascii="Times New Roman" w:hAnsi="Times New Roman"/>
                <w:szCs w:val="21"/>
              </w:rPr>
              <w:t>规格：L120xW60xH49cm（±3cm）</w:t>
            </w:r>
          </w:p>
        </w:tc>
      </w:tr>
      <w:tr w14:paraId="1B86A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333" w:type="pct"/>
            <w:vMerge w:val="continue"/>
            <w:noWrap w:val="0"/>
            <w:vAlign w:val="center"/>
          </w:tcPr>
          <w:p w14:paraId="5562316D">
            <w:pPr>
              <w:jc w:val="center"/>
              <w:rPr>
                <w:b/>
                <w:szCs w:val="21"/>
              </w:rPr>
            </w:pPr>
          </w:p>
        </w:tc>
        <w:tc>
          <w:tcPr>
            <w:tcW w:w="440" w:type="pct"/>
            <w:vMerge w:val="continue"/>
            <w:noWrap w:val="0"/>
            <w:vAlign w:val="center"/>
          </w:tcPr>
          <w:p w14:paraId="419FE93A">
            <w:pPr>
              <w:jc w:val="center"/>
              <w:rPr>
                <w:rFonts w:hint="eastAsia" w:ascii="Times New Roman" w:hAnsi="Times New Roman"/>
                <w:szCs w:val="21"/>
              </w:rPr>
            </w:pPr>
          </w:p>
        </w:tc>
        <w:tc>
          <w:tcPr>
            <w:tcW w:w="4225" w:type="pct"/>
            <w:noWrap w:val="0"/>
            <w:vAlign w:val="top"/>
          </w:tcPr>
          <w:p w14:paraId="593570F2">
            <w:pPr>
              <w:jc w:val="left"/>
              <w:rPr>
                <w:rFonts w:hint="eastAsia" w:ascii="Times New Roman" w:hAnsi="Times New Roman"/>
                <w:szCs w:val="21"/>
              </w:rPr>
            </w:pPr>
            <w:r>
              <w:rPr>
                <w:rFonts w:hint="eastAsia" w:ascii="Times New Roman" w:hAnsi="Times New Roman"/>
                <w:szCs w:val="21"/>
              </w:rPr>
              <w:t>1、工艺设计：</w:t>
            </w:r>
          </w:p>
          <w:p w14:paraId="4A27EE51">
            <w:pPr>
              <w:jc w:val="left"/>
              <w:rPr>
                <w:rFonts w:hint="eastAsia" w:ascii="Times New Roman" w:hAnsi="Times New Roman"/>
                <w:szCs w:val="21"/>
              </w:rPr>
            </w:pPr>
            <w:r>
              <w:rPr>
                <w:rFonts w:hint="eastAsia" w:ascii="Times New Roman" w:hAnsi="Times New Roman"/>
                <w:szCs w:val="21"/>
              </w:rPr>
              <w:t>（1）采用立水工艺，结构支撑性强，防止桌面下沉。</w:t>
            </w:r>
          </w:p>
          <w:p w14:paraId="67999581">
            <w:pPr>
              <w:jc w:val="left"/>
              <w:rPr>
                <w:rFonts w:hint="eastAsia" w:ascii="Times New Roman" w:hAnsi="Times New Roman"/>
                <w:szCs w:val="21"/>
              </w:rPr>
            </w:pPr>
            <w:r>
              <w:rPr>
                <w:rFonts w:hint="eastAsia" w:ascii="Times New Roman" w:hAnsi="Times New Roman"/>
                <w:szCs w:val="21"/>
              </w:rPr>
              <w:t>（2）所有螺丝位无毛刺不刮手，桌角及边沿采用圆角/圆边处理以及安全防撞设计，最大程度的避免儿童磕碰伤害，结构稳固。</w:t>
            </w:r>
          </w:p>
        </w:tc>
      </w:tr>
      <w:tr w14:paraId="6FF37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3" w:type="pct"/>
            <w:vMerge w:val="continue"/>
            <w:noWrap w:val="0"/>
            <w:vAlign w:val="center"/>
          </w:tcPr>
          <w:p w14:paraId="50C2E204">
            <w:pPr>
              <w:jc w:val="center"/>
              <w:rPr>
                <w:rFonts w:hint="eastAsia" w:ascii="Times New Roman" w:hAnsi="Times New Roman"/>
                <w:szCs w:val="21"/>
              </w:rPr>
            </w:pPr>
          </w:p>
        </w:tc>
        <w:tc>
          <w:tcPr>
            <w:tcW w:w="440" w:type="pct"/>
            <w:vMerge w:val="continue"/>
            <w:noWrap w:val="0"/>
            <w:vAlign w:val="center"/>
          </w:tcPr>
          <w:p w14:paraId="38820A97">
            <w:pPr>
              <w:jc w:val="center"/>
              <w:rPr>
                <w:rFonts w:hint="eastAsia" w:ascii="Times New Roman" w:hAnsi="Times New Roman"/>
                <w:szCs w:val="21"/>
              </w:rPr>
            </w:pPr>
          </w:p>
        </w:tc>
        <w:tc>
          <w:tcPr>
            <w:tcW w:w="4225" w:type="pct"/>
            <w:noWrap w:val="0"/>
            <w:vAlign w:val="top"/>
          </w:tcPr>
          <w:p w14:paraId="3AA0447D">
            <w:pPr>
              <w:jc w:val="left"/>
              <w:rPr>
                <w:rFonts w:hint="eastAsia" w:ascii="Times New Roman" w:hAnsi="Times New Roman"/>
                <w:szCs w:val="21"/>
              </w:rPr>
            </w:pPr>
            <w:r>
              <w:rPr>
                <w:rFonts w:hint="eastAsia" w:ascii="Times New Roman" w:hAnsi="Times New Roman"/>
                <w:szCs w:val="21"/>
              </w:rPr>
              <w:t>2、外观结构及材质：</w:t>
            </w:r>
          </w:p>
          <w:p w14:paraId="41739177">
            <w:pPr>
              <w:jc w:val="left"/>
              <w:rPr>
                <w:rFonts w:hint="eastAsia" w:ascii="Times New Roman" w:hAnsi="Times New Roman"/>
                <w:szCs w:val="21"/>
              </w:rPr>
            </w:pPr>
            <w:r>
              <w:rPr>
                <w:rFonts w:hint="eastAsia" w:ascii="Times New Roman" w:hAnsi="Times New Roman"/>
                <w:szCs w:val="21"/>
              </w:rPr>
              <w:t>（1）桌面：采用厚度30mm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szCs w:val="21"/>
              </w:rPr>
              <w:t>的橡胶木拼板搭配防火板贴面加工而成，耐刮耐磨，长时间使用不褪色、不容易开裂；长立水尺寸：L1062xW60xH18mm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szCs w:val="21"/>
              </w:rPr>
              <w:t>，短立水尺寸：L462xW60xH18mm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szCs w:val="21"/>
              </w:rPr>
              <w:t>。</w:t>
            </w:r>
          </w:p>
          <w:p w14:paraId="64ABE973">
            <w:pPr>
              <w:jc w:val="left"/>
              <w:rPr>
                <w:rFonts w:hint="eastAsia" w:ascii="Times New Roman" w:hAnsi="Times New Roman"/>
                <w:szCs w:val="21"/>
              </w:rPr>
            </w:pPr>
            <w:r>
              <w:rPr>
                <w:rFonts w:hint="eastAsia" w:ascii="Times New Roman" w:hAnsi="Times New Roman"/>
                <w:szCs w:val="21"/>
              </w:rPr>
              <w:t>（2）桌脚：采橡胶木实木，厚实纹路清晰，边沿均采用圆边处理；底部安装塑料脚垫，软性防滑，可有效保护地面刮花并降低噪音。</w:t>
            </w:r>
          </w:p>
          <w:p w14:paraId="7C8CDF3B">
            <w:pPr>
              <w:jc w:val="left"/>
              <w:rPr>
                <w:rFonts w:ascii="Times New Roman" w:hAnsi="Times New Roman"/>
                <w:szCs w:val="21"/>
              </w:rPr>
            </w:pPr>
            <w:r>
              <w:rPr>
                <w:rFonts w:hint="eastAsia" w:ascii="Times New Roman" w:hAnsi="Times New Roman"/>
                <w:szCs w:val="21"/>
              </w:rPr>
              <w:t>（3）产品整体采用的水性漆，全封闭涂装工艺，漆面光泽高透，颜色均匀，附着能力强，通透度高。桌面封边采用的水性木蜡油封边，成分天然，分子机构细小，成膜牢固，密封性好。</w:t>
            </w:r>
          </w:p>
        </w:tc>
      </w:tr>
      <w:tr w14:paraId="18783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3" w:type="pct"/>
            <w:vMerge w:val="continue"/>
            <w:noWrap w:val="0"/>
            <w:vAlign w:val="center"/>
          </w:tcPr>
          <w:p w14:paraId="6C1DF07B">
            <w:pPr>
              <w:jc w:val="center"/>
              <w:rPr>
                <w:rFonts w:hint="eastAsia" w:ascii="Times New Roman" w:hAnsi="Times New Roman"/>
                <w:szCs w:val="21"/>
              </w:rPr>
            </w:pPr>
          </w:p>
        </w:tc>
        <w:tc>
          <w:tcPr>
            <w:tcW w:w="440" w:type="pct"/>
            <w:vMerge w:val="continue"/>
            <w:noWrap w:val="0"/>
            <w:vAlign w:val="center"/>
          </w:tcPr>
          <w:p w14:paraId="166DD5AB">
            <w:pPr>
              <w:jc w:val="center"/>
              <w:rPr>
                <w:rFonts w:hint="eastAsia" w:ascii="Times New Roman" w:hAnsi="Times New Roman"/>
                <w:szCs w:val="21"/>
              </w:rPr>
            </w:pPr>
          </w:p>
        </w:tc>
        <w:tc>
          <w:tcPr>
            <w:tcW w:w="4225" w:type="pct"/>
            <w:noWrap w:val="0"/>
            <w:vAlign w:val="top"/>
          </w:tcPr>
          <w:p w14:paraId="38C44A47">
            <w:pPr>
              <w:pStyle w:val="8"/>
              <w:rPr>
                <w:rFonts w:hint="eastAsia" w:ascii="Times New Roman" w:hAnsi="Times New Roman" w:eastAsia="宋体" w:cs="Times New Roman"/>
                <w:b/>
                <w:bCs/>
                <w:color w:val="FF0000"/>
                <w:szCs w:val="21"/>
                <w:highlight w:val="none"/>
              </w:rPr>
            </w:pPr>
            <w:r>
              <w:rPr>
                <w:rFonts w:hint="eastAsia" w:ascii="Times New Roman" w:hAnsi="Times New Roman" w:eastAsia="宋体" w:cs="Times New Roman"/>
                <w:b/>
                <w:bCs/>
                <w:color w:val="FF0000"/>
                <w:szCs w:val="21"/>
                <w:highlight w:val="none"/>
              </w:rPr>
              <w:t>▲成品幼儿</w:t>
            </w:r>
            <w:r>
              <w:rPr>
                <w:rFonts w:hint="eastAsia" w:ascii="Times New Roman" w:hAnsi="Times New Roman" w:eastAsia="宋体" w:cs="Times New Roman"/>
                <w:b/>
                <w:bCs/>
                <w:color w:val="FF0000"/>
                <w:szCs w:val="21"/>
                <w:highlight w:val="none"/>
                <w:lang w:val="en-US" w:eastAsia="zh-CN"/>
              </w:rPr>
              <w:t>桌</w:t>
            </w:r>
            <w:r>
              <w:rPr>
                <w:rFonts w:hint="eastAsia" w:ascii="Times New Roman" w:hAnsi="Times New Roman" w:eastAsia="宋体" w:cs="Times New Roman"/>
                <w:b/>
                <w:bCs/>
                <w:color w:val="FF0000"/>
                <w:szCs w:val="21"/>
                <w:highlight w:val="none"/>
              </w:rPr>
              <w:t>符合GB/T17657-2022、GB/T43002-2023标准的合格检测报告，检测项目要求：外观要求（木制件外观、人造板件外观、塑料件外观、木工要求、漆膜外观要求）符合标准要求，桌台类力学性能（稳定性试验、强度和耐久性试验）符合标准要求，加速老化循环后静曲强度的顺纹≥40MPa,横纹≥35MPa，表面耐冷热循环后无开裂、无鼓泡，表面耐污染（污染物：可乐饮料、酒醋、用水稀释至 10%的碱溶液清洗剂，双氧水(3%的溶液)、指甲油、指甲油清洗剂、唇膏）≥4级，抗冲击性能后表面无开裂、剥落</w:t>
            </w:r>
            <w:r>
              <w:rPr>
                <w:rFonts w:hint="eastAsia" w:ascii="Times New Roman" w:hAnsi="Times New Roman" w:eastAsia="宋体" w:cs="Times New Roman"/>
                <w:b/>
                <w:bCs/>
                <w:color w:val="FF0000"/>
                <w:szCs w:val="21"/>
                <w:highlight w:val="none"/>
                <w:lang w:eastAsia="zh-CN"/>
              </w:rPr>
              <w:t>；</w:t>
            </w:r>
            <w:r>
              <w:rPr>
                <w:rFonts w:hint="eastAsia" w:ascii="Times New Roman" w:hAnsi="Times New Roman" w:eastAsia="宋体" w:cs="Times New Roman"/>
                <w:b/>
                <w:bCs/>
                <w:color w:val="FF0000"/>
                <w:szCs w:val="21"/>
                <w:highlight w:val="none"/>
              </w:rPr>
              <w:t>甲醛、苯、甲苯、二甲苯、TVOC、可迁移有害元素</w:t>
            </w:r>
            <w:r>
              <w:rPr>
                <w:rFonts w:hint="eastAsia" w:ascii="Times New Roman" w:hAnsi="Times New Roman" w:eastAsia="宋体" w:cs="Times New Roman"/>
                <w:b/>
                <w:bCs/>
                <w:color w:val="FF0000"/>
                <w:szCs w:val="21"/>
                <w:highlight w:val="none"/>
                <w:lang w:eastAsia="zh-CN"/>
              </w:rPr>
              <w:t>、</w:t>
            </w:r>
            <w:r>
              <w:rPr>
                <w:rFonts w:hint="eastAsia" w:ascii="Times New Roman" w:hAnsi="Times New Roman" w:eastAsia="宋体" w:cs="Times New Roman"/>
                <w:b/>
                <w:bCs/>
                <w:color w:val="FF0000"/>
                <w:szCs w:val="21"/>
                <w:highlight w:val="none"/>
              </w:rPr>
              <w:t>邻苯二甲酸酯</w:t>
            </w:r>
            <w:r>
              <w:rPr>
                <w:rFonts w:hint="eastAsia" w:ascii="Times New Roman" w:hAnsi="Times New Roman" w:eastAsia="宋体" w:cs="Times New Roman"/>
                <w:b/>
                <w:bCs/>
                <w:color w:val="FF0000"/>
                <w:szCs w:val="21"/>
                <w:highlight w:val="none"/>
                <w:lang w:val="en-US" w:eastAsia="zh-CN"/>
              </w:rPr>
              <w:t>及</w:t>
            </w:r>
            <w:r>
              <w:rPr>
                <w:rFonts w:hint="eastAsia" w:ascii="Times New Roman" w:hAnsi="Times New Roman" w:eastAsia="宋体" w:cs="Times New Roman"/>
                <w:b/>
                <w:bCs/>
                <w:color w:val="FF0000"/>
                <w:szCs w:val="21"/>
                <w:highlight w:val="none"/>
              </w:rPr>
              <w:t>多环芳烃（18种多环芳烃(PAH)总量）</w:t>
            </w:r>
            <w:r>
              <w:rPr>
                <w:rFonts w:hint="eastAsia" w:ascii="Times New Roman" w:hAnsi="Times New Roman" w:eastAsia="宋体" w:cs="Times New Roman"/>
                <w:b/>
                <w:bCs/>
                <w:color w:val="FF0000"/>
                <w:szCs w:val="21"/>
                <w:highlight w:val="none"/>
                <w:lang w:val="en-US" w:eastAsia="zh-CN"/>
              </w:rPr>
              <w:t>符合标准要求</w:t>
            </w:r>
            <w:r>
              <w:rPr>
                <w:rFonts w:hint="eastAsia" w:ascii="Times New Roman" w:hAnsi="Times New Roman" w:eastAsia="宋体" w:cs="Times New Roman"/>
                <w:b/>
                <w:bCs/>
                <w:color w:val="FF0000"/>
                <w:szCs w:val="21"/>
                <w:highlight w:val="none"/>
              </w:rPr>
              <w:t>。</w:t>
            </w:r>
          </w:p>
          <w:p w14:paraId="5E0DF696">
            <w:pPr>
              <w:pStyle w:val="8"/>
              <w:rPr>
                <w:rFonts w:hint="eastAsia" w:ascii="Times New Roman" w:hAnsi="Times New Roman"/>
                <w:szCs w:val="21"/>
              </w:rPr>
            </w:pPr>
            <w:bookmarkStart w:id="15" w:name="OLE_LINK1"/>
            <w:r>
              <w:rPr>
                <w:rStyle w:val="46"/>
                <w:b/>
                <w:bCs/>
                <w:color w:val="FF0000"/>
                <w:highlight w:val="yellow"/>
                <w:lang w:bidi="ar"/>
              </w:rPr>
              <w:t>提供由投标截止前由第三方检验检测机构出具的具有</w:t>
            </w:r>
            <w:r>
              <w:rPr>
                <w:rStyle w:val="46"/>
                <w:rFonts w:eastAsia="宋体"/>
                <w:b/>
                <w:bCs/>
                <w:color w:val="FF0000"/>
                <w:highlight w:val="yellow"/>
                <w:lang w:eastAsia="zh-CN" w:bidi="ar"/>
              </w:rPr>
              <w:t>CMA</w:t>
            </w:r>
            <w:r>
              <w:rPr>
                <w:rStyle w:val="46"/>
                <w:b/>
                <w:bCs/>
                <w:color w:val="FF0000"/>
                <w:highlight w:val="yellow"/>
                <w:lang w:bidi="ar"/>
              </w:rPr>
              <w:t>标志的检验检测报告扫描件</w:t>
            </w:r>
            <w:r>
              <w:rPr>
                <w:rFonts w:hint="eastAsia" w:ascii="Times New Roman" w:hAnsi="Times New Roman" w:eastAsia="宋体" w:cs="Times New Roman"/>
                <w:b/>
                <w:bCs/>
                <w:color w:val="FF0000"/>
                <w:szCs w:val="21"/>
                <w:highlight w:val="yellow"/>
                <w:lang w:eastAsia="zh-CN"/>
              </w:rPr>
              <w:t>（</w:t>
            </w:r>
            <w:r>
              <w:rPr>
                <w:rFonts w:hint="eastAsia" w:ascii="Times New Roman" w:hAnsi="Times New Roman" w:eastAsia="宋体" w:cs="Times New Roman"/>
                <w:b/>
                <w:bCs/>
                <w:color w:val="FF0000"/>
                <w:szCs w:val="21"/>
                <w:highlight w:val="yellow"/>
                <w:lang w:val="en-US" w:eastAsia="zh-CN"/>
              </w:rPr>
              <w:t>原件备查</w:t>
            </w:r>
            <w:r>
              <w:rPr>
                <w:rFonts w:hint="eastAsia" w:ascii="Times New Roman" w:hAnsi="Times New Roman" w:eastAsia="宋体" w:cs="Times New Roman"/>
                <w:b/>
                <w:bCs/>
                <w:color w:val="FF0000"/>
                <w:szCs w:val="21"/>
                <w:highlight w:val="yellow"/>
                <w:lang w:eastAsia="zh-CN"/>
              </w:rPr>
              <w:t>）</w:t>
            </w:r>
            <w:r>
              <w:rPr>
                <w:rStyle w:val="46"/>
                <w:b/>
                <w:bCs/>
                <w:color w:val="FF0000"/>
                <w:highlight w:val="yellow"/>
                <w:lang w:bidi="ar"/>
              </w:rPr>
              <w:t>。（①送检单位（委托单位）需是投标人或所投产品制造商。②检验检测报告在全国认证认可信息公共服务平台(认e云)(http://cx.cnca.cn/)或检验检测官网的信息査询记录截图。③若检测报告要求的检测标准有更新的标准也予以认可。④对应参数(检验检测项)在检验检测报告中进行标注；如检验检测报告中明确备注说明相关检验检测项不在检验检测机构“</w:t>
            </w:r>
            <w:r>
              <w:rPr>
                <w:rStyle w:val="46"/>
                <w:rFonts w:eastAsia="宋体"/>
                <w:b/>
                <w:bCs/>
                <w:color w:val="FF0000"/>
                <w:highlight w:val="yellow"/>
                <w:lang w:eastAsia="zh-CN" w:bidi="ar"/>
              </w:rPr>
              <w:t>CMA</w:t>
            </w:r>
            <w:r>
              <w:rPr>
                <w:rStyle w:val="46"/>
                <w:b/>
                <w:bCs/>
                <w:color w:val="FF0000"/>
                <w:highlight w:val="yellow"/>
                <w:lang w:bidi="ar"/>
              </w:rPr>
              <w:t>”资质许可(认定)范围内的，相关检验检测项视为负偏离。）</w:t>
            </w:r>
            <w:bookmarkEnd w:id="15"/>
          </w:p>
        </w:tc>
      </w:tr>
      <w:tr w14:paraId="5ED64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333" w:type="pct"/>
            <w:vMerge w:val="restart"/>
            <w:noWrap w:val="0"/>
            <w:vAlign w:val="center"/>
          </w:tcPr>
          <w:p w14:paraId="57F8C9AF">
            <w:pPr>
              <w:keepNext w:val="0"/>
              <w:keepLines w:val="0"/>
              <w:widowControl/>
              <w:suppressLineNumbers w:val="0"/>
              <w:jc w:val="center"/>
              <w:textAlignment w:val="center"/>
              <w:rPr>
                <w:rFonts w:hint="eastAsia" w:ascii="Times New Roman" w:hAnsi="Times New Roman"/>
                <w:szCs w:val="21"/>
              </w:rPr>
            </w:pPr>
            <w:r>
              <w:rPr>
                <w:rFonts w:hint="default" w:ascii="Arial" w:hAnsi="Arial" w:eastAsia="宋体" w:cs="Arial"/>
                <w:i w:val="0"/>
                <w:iCs w:val="0"/>
                <w:color w:val="000000"/>
                <w:kern w:val="0"/>
                <w:sz w:val="20"/>
                <w:szCs w:val="20"/>
                <w:u w:val="none"/>
                <w:lang w:val="en-US" w:eastAsia="zh-CN" w:bidi="ar"/>
              </w:rPr>
              <w:t xml:space="preserve">3 </w:t>
            </w:r>
          </w:p>
        </w:tc>
        <w:tc>
          <w:tcPr>
            <w:tcW w:w="440" w:type="pct"/>
            <w:vMerge w:val="restart"/>
            <w:noWrap w:val="0"/>
            <w:vAlign w:val="center"/>
          </w:tcPr>
          <w:p w14:paraId="6A568946">
            <w:pPr>
              <w:keepNext w:val="0"/>
              <w:keepLines w:val="0"/>
              <w:widowControl/>
              <w:suppressLineNumbers w:val="0"/>
              <w:jc w:val="center"/>
              <w:textAlignment w:val="center"/>
              <w:rPr>
                <w:rFonts w:hint="eastAsia" w:ascii="Times New Roman" w:hAnsi="Times New Roman"/>
                <w:szCs w:val="21"/>
              </w:rPr>
            </w:pPr>
            <w:r>
              <w:rPr>
                <w:rFonts w:hint="eastAsia" w:ascii="宋体" w:hAnsi="宋体" w:eastAsia="宋体" w:cs="宋体"/>
                <w:i w:val="0"/>
                <w:iCs w:val="0"/>
                <w:color w:val="000000"/>
                <w:kern w:val="0"/>
                <w:sz w:val="20"/>
                <w:szCs w:val="20"/>
                <w:u w:val="none"/>
                <w:lang w:val="en-US" w:eastAsia="zh-CN" w:bidi="ar"/>
              </w:rPr>
              <w:t>4人桌</w:t>
            </w:r>
          </w:p>
        </w:tc>
        <w:tc>
          <w:tcPr>
            <w:tcW w:w="4225" w:type="pct"/>
            <w:noWrap w:val="0"/>
            <w:vAlign w:val="top"/>
          </w:tcPr>
          <w:p w14:paraId="560F9E89">
            <w:pPr>
              <w:jc w:val="left"/>
              <w:rPr>
                <w:rFonts w:ascii="Times New Roman" w:hAnsi="Times New Roman"/>
                <w:szCs w:val="21"/>
              </w:rPr>
            </w:pPr>
            <w:r>
              <w:rPr>
                <w:rFonts w:hint="eastAsia" w:ascii="Times New Roman" w:hAnsi="Times New Roman"/>
                <w:b w:val="0"/>
                <w:bCs w:val="0"/>
                <w:color w:val="auto"/>
                <w:szCs w:val="21"/>
              </w:rPr>
              <w:t>规格：L60xW60xH49cm（±3cm）</w:t>
            </w:r>
          </w:p>
        </w:tc>
      </w:tr>
      <w:tr w14:paraId="147BE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3" w:type="pct"/>
            <w:vMerge w:val="continue"/>
            <w:noWrap w:val="0"/>
            <w:vAlign w:val="center"/>
          </w:tcPr>
          <w:p w14:paraId="2E419BB2">
            <w:pPr>
              <w:jc w:val="center"/>
              <w:rPr>
                <w:rFonts w:hint="eastAsia" w:ascii="Times New Roman" w:hAnsi="Times New Roman"/>
                <w:szCs w:val="21"/>
              </w:rPr>
            </w:pPr>
          </w:p>
        </w:tc>
        <w:tc>
          <w:tcPr>
            <w:tcW w:w="440" w:type="pct"/>
            <w:vMerge w:val="continue"/>
            <w:noWrap w:val="0"/>
            <w:vAlign w:val="center"/>
          </w:tcPr>
          <w:p w14:paraId="17B23094">
            <w:pPr>
              <w:jc w:val="center"/>
              <w:rPr>
                <w:rFonts w:hint="eastAsia" w:ascii="Times New Roman" w:hAnsi="Times New Roman"/>
                <w:szCs w:val="21"/>
              </w:rPr>
            </w:pPr>
          </w:p>
        </w:tc>
        <w:tc>
          <w:tcPr>
            <w:tcW w:w="4225" w:type="pct"/>
            <w:noWrap w:val="0"/>
            <w:vAlign w:val="top"/>
          </w:tcPr>
          <w:p w14:paraId="5522E8E3">
            <w:pPr>
              <w:jc w:val="left"/>
              <w:rPr>
                <w:rFonts w:hint="eastAsia" w:ascii="Times New Roman" w:hAnsi="Times New Roman"/>
                <w:szCs w:val="21"/>
              </w:rPr>
            </w:pPr>
            <w:r>
              <w:rPr>
                <w:rFonts w:hint="eastAsia" w:ascii="Times New Roman" w:hAnsi="Times New Roman"/>
                <w:szCs w:val="21"/>
              </w:rPr>
              <w:t>1、工艺设计：</w:t>
            </w:r>
          </w:p>
          <w:p w14:paraId="1AA11AAC">
            <w:pPr>
              <w:jc w:val="left"/>
              <w:rPr>
                <w:rFonts w:hint="eastAsia" w:ascii="Times New Roman" w:hAnsi="Times New Roman"/>
                <w:szCs w:val="21"/>
              </w:rPr>
            </w:pPr>
            <w:r>
              <w:rPr>
                <w:rFonts w:hint="eastAsia" w:ascii="Times New Roman" w:hAnsi="Times New Roman"/>
                <w:szCs w:val="21"/>
              </w:rPr>
              <w:t>（1）采用立水工艺，结构支撑性强，防止桌面下沉。</w:t>
            </w:r>
          </w:p>
          <w:p w14:paraId="23E3740F">
            <w:pPr>
              <w:jc w:val="left"/>
              <w:rPr>
                <w:rFonts w:ascii="Times New Roman" w:hAnsi="Times New Roman"/>
                <w:szCs w:val="21"/>
              </w:rPr>
            </w:pPr>
            <w:r>
              <w:rPr>
                <w:rFonts w:hint="eastAsia" w:ascii="Times New Roman" w:hAnsi="Times New Roman"/>
                <w:szCs w:val="21"/>
              </w:rPr>
              <w:t>（2）所有螺丝位无毛刺不刮手，桌角及边沿采用圆角/圆边处理以及安全防撞设计，最大程度的避免儿童磕碰伤害，结构稳固。</w:t>
            </w:r>
          </w:p>
        </w:tc>
      </w:tr>
      <w:tr w14:paraId="4FCFF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3" w:type="pct"/>
            <w:vMerge w:val="continue"/>
            <w:noWrap w:val="0"/>
            <w:vAlign w:val="center"/>
          </w:tcPr>
          <w:p w14:paraId="7FF9B9D2">
            <w:pPr>
              <w:jc w:val="center"/>
              <w:rPr>
                <w:rFonts w:hint="eastAsia" w:ascii="Times New Roman" w:hAnsi="Times New Roman"/>
                <w:szCs w:val="21"/>
              </w:rPr>
            </w:pPr>
          </w:p>
        </w:tc>
        <w:tc>
          <w:tcPr>
            <w:tcW w:w="440" w:type="pct"/>
            <w:vMerge w:val="continue"/>
            <w:noWrap w:val="0"/>
            <w:vAlign w:val="center"/>
          </w:tcPr>
          <w:p w14:paraId="06FC4F84">
            <w:pPr>
              <w:jc w:val="center"/>
              <w:rPr>
                <w:rFonts w:hint="eastAsia" w:ascii="Times New Roman" w:hAnsi="Times New Roman"/>
                <w:szCs w:val="21"/>
              </w:rPr>
            </w:pPr>
          </w:p>
        </w:tc>
        <w:tc>
          <w:tcPr>
            <w:tcW w:w="4225" w:type="pct"/>
            <w:noWrap w:val="0"/>
            <w:vAlign w:val="top"/>
          </w:tcPr>
          <w:p w14:paraId="0AF5C04F">
            <w:pPr>
              <w:jc w:val="left"/>
              <w:rPr>
                <w:rFonts w:hint="eastAsia" w:ascii="Times New Roman" w:hAnsi="Times New Roman"/>
                <w:szCs w:val="21"/>
              </w:rPr>
            </w:pPr>
            <w:r>
              <w:rPr>
                <w:rFonts w:hint="eastAsia" w:ascii="Times New Roman" w:hAnsi="Times New Roman"/>
                <w:szCs w:val="21"/>
              </w:rPr>
              <w:t>2、外观结构及材质：</w:t>
            </w:r>
          </w:p>
          <w:p w14:paraId="2540D6C4">
            <w:pPr>
              <w:jc w:val="left"/>
              <w:rPr>
                <w:rFonts w:hint="eastAsia" w:ascii="Times New Roman" w:hAnsi="Times New Roman"/>
                <w:szCs w:val="21"/>
              </w:rPr>
            </w:pPr>
            <w:r>
              <w:rPr>
                <w:rFonts w:hint="eastAsia" w:ascii="Times New Roman" w:hAnsi="Times New Roman"/>
                <w:szCs w:val="21"/>
              </w:rPr>
              <w:t>（1）桌面：采用厚度30mm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szCs w:val="21"/>
              </w:rPr>
              <w:t>的橡胶木拼板搭配防火板贴面加工而成，耐刮耐磨，长时间使用不褪色、不容易开裂；立水尺寸L462xW60xH18mm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szCs w:val="21"/>
              </w:rPr>
              <w:t>结构稳固。</w:t>
            </w:r>
          </w:p>
          <w:p w14:paraId="73E8827F">
            <w:pPr>
              <w:jc w:val="left"/>
              <w:rPr>
                <w:rFonts w:hint="eastAsia" w:ascii="Times New Roman" w:hAnsi="Times New Roman"/>
                <w:szCs w:val="21"/>
              </w:rPr>
            </w:pPr>
            <w:r>
              <w:rPr>
                <w:rFonts w:hint="eastAsia" w:ascii="Times New Roman" w:hAnsi="Times New Roman"/>
                <w:szCs w:val="21"/>
              </w:rPr>
              <w:t>（2）桌脚：采橡胶木实木，厚实纹路清晰，边沿均采用圆边处理；底部安装塑料脚垫，软性防滑，可有效保护地面刮花并降低噪音。</w:t>
            </w:r>
          </w:p>
          <w:p w14:paraId="4F2791E3">
            <w:pPr>
              <w:jc w:val="left"/>
              <w:rPr>
                <w:rFonts w:ascii="Times New Roman" w:hAnsi="Times New Roman"/>
                <w:szCs w:val="21"/>
              </w:rPr>
            </w:pPr>
            <w:r>
              <w:rPr>
                <w:rFonts w:hint="eastAsia" w:ascii="Times New Roman" w:hAnsi="Times New Roman"/>
                <w:szCs w:val="21"/>
              </w:rPr>
              <w:t>（3）产品整体采用的水性漆，全封闭涂装工艺，漆面光泽高透，颜色均匀，附着能力强，通透度高。桌面封边采用的水性木蜡油封边，成分天然，分子机构细小，成膜牢固，密封性好。</w:t>
            </w:r>
          </w:p>
        </w:tc>
      </w:tr>
      <w:tr w14:paraId="29764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3" w:type="pct"/>
            <w:vMerge w:val="restart"/>
            <w:noWrap w:val="0"/>
            <w:vAlign w:val="center"/>
          </w:tcPr>
          <w:p w14:paraId="209B60D9">
            <w:pPr>
              <w:keepNext w:val="0"/>
              <w:keepLines w:val="0"/>
              <w:widowControl/>
              <w:suppressLineNumbers w:val="0"/>
              <w:jc w:val="center"/>
              <w:textAlignment w:val="center"/>
              <w:rPr>
                <w:rFonts w:hint="eastAsia" w:ascii="Times New Roman" w:hAnsi="Times New Roman"/>
                <w:szCs w:val="21"/>
              </w:rPr>
            </w:pPr>
            <w:r>
              <w:rPr>
                <w:rFonts w:hint="default" w:ascii="Arial" w:hAnsi="Arial" w:eastAsia="宋体" w:cs="Arial"/>
                <w:i w:val="0"/>
                <w:iCs w:val="0"/>
                <w:color w:val="000000"/>
                <w:kern w:val="0"/>
                <w:sz w:val="20"/>
                <w:szCs w:val="20"/>
                <w:u w:val="none"/>
                <w:lang w:val="en-US" w:eastAsia="zh-CN" w:bidi="ar"/>
              </w:rPr>
              <w:t xml:space="preserve">4 </w:t>
            </w:r>
          </w:p>
        </w:tc>
        <w:tc>
          <w:tcPr>
            <w:tcW w:w="440" w:type="pct"/>
            <w:vMerge w:val="restart"/>
            <w:noWrap w:val="0"/>
            <w:vAlign w:val="center"/>
          </w:tcPr>
          <w:p w14:paraId="6B50FFE2">
            <w:pPr>
              <w:keepNext w:val="0"/>
              <w:keepLines w:val="0"/>
              <w:widowControl/>
              <w:suppressLineNumbers w:val="0"/>
              <w:jc w:val="center"/>
              <w:textAlignment w:val="center"/>
              <w:rPr>
                <w:rFonts w:hint="eastAsia" w:ascii="Times New Roman" w:hAnsi="Times New Roman"/>
                <w:szCs w:val="21"/>
              </w:rPr>
            </w:pPr>
            <w:r>
              <w:rPr>
                <w:rFonts w:hint="eastAsia" w:ascii="宋体" w:hAnsi="宋体" w:eastAsia="宋体" w:cs="宋体"/>
                <w:i w:val="0"/>
                <w:iCs w:val="0"/>
                <w:color w:val="000000"/>
                <w:kern w:val="0"/>
                <w:sz w:val="20"/>
                <w:szCs w:val="20"/>
                <w:u w:val="none"/>
                <w:lang w:val="en-US" w:eastAsia="zh-CN" w:bidi="ar"/>
              </w:rPr>
              <w:t>圆桌</w:t>
            </w:r>
          </w:p>
        </w:tc>
        <w:tc>
          <w:tcPr>
            <w:tcW w:w="4225" w:type="pct"/>
            <w:noWrap w:val="0"/>
            <w:vAlign w:val="center"/>
          </w:tcPr>
          <w:p w14:paraId="29830143">
            <w:pPr>
              <w:jc w:val="left"/>
              <w:rPr>
                <w:rFonts w:hint="eastAsia" w:ascii="Times New Roman" w:hAnsi="Times New Roman"/>
                <w:szCs w:val="21"/>
              </w:rPr>
            </w:pPr>
            <w:r>
              <w:rPr>
                <w:rFonts w:hint="eastAsia" w:ascii="Times New Roman" w:hAnsi="Times New Roman"/>
                <w:szCs w:val="21"/>
              </w:rPr>
              <w:t>规格：Φ80xH49cm（±3cm）</w:t>
            </w:r>
          </w:p>
        </w:tc>
      </w:tr>
      <w:tr w14:paraId="20008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3" w:type="pct"/>
            <w:vMerge w:val="continue"/>
            <w:noWrap w:val="0"/>
            <w:vAlign w:val="center"/>
          </w:tcPr>
          <w:p w14:paraId="4BB6C5B9">
            <w:pPr>
              <w:jc w:val="center"/>
              <w:rPr>
                <w:rFonts w:hint="eastAsia" w:ascii="Times New Roman" w:hAnsi="Times New Roman"/>
                <w:szCs w:val="21"/>
              </w:rPr>
            </w:pPr>
          </w:p>
        </w:tc>
        <w:tc>
          <w:tcPr>
            <w:tcW w:w="440" w:type="pct"/>
            <w:vMerge w:val="continue"/>
            <w:noWrap w:val="0"/>
            <w:vAlign w:val="center"/>
          </w:tcPr>
          <w:p w14:paraId="5595576D">
            <w:pPr>
              <w:jc w:val="center"/>
              <w:rPr>
                <w:rFonts w:hint="eastAsia" w:ascii="Times New Roman" w:hAnsi="Times New Roman"/>
                <w:szCs w:val="21"/>
              </w:rPr>
            </w:pPr>
          </w:p>
        </w:tc>
        <w:tc>
          <w:tcPr>
            <w:tcW w:w="4225" w:type="pct"/>
            <w:noWrap w:val="0"/>
            <w:vAlign w:val="top"/>
          </w:tcPr>
          <w:p w14:paraId="6AC835D6">
            <w:pPr>
              <w:jc w:val="left"/>
              <w:rPr>
                <w:rFonts w:hint="eastAsia" w:ascii="Times New Roman" w:hAnsi="Times New Roman"/>
                <w:szCs w:val="21"/>
              </w:rPr>
            </w:pPr>
            <w:r>
              <w:rPr>
                <w:rFonts w:hint="eastAsia" w:ascii="Times New Roman" w:hAnsi="Times New Roman"/>
                <w:szCs w:val="21"/>
              </w:rPr>
              <w:t>1、工艺设计：</w:t>
            </w:r>
          </w:p>
          <w:p w14:paraId="514E5956">
            <w:pPr>
              <w:jc w:val="left"/>
              <w:rPr>
                <w:rFonts w:hint="eastAsia" w:ascii="Times New Roman" w:hAnsi="Times New Roman"/>
                <w:szCs w:val="21"/>
              </w:rPr>
            </w:pPr>
            <w:r>
              <w:rPr>
                <w:rFonts w:hint="eastAsia" w:ascii="Times New Roman" w:hAnsi="Times New Roman"/>
                <w:szCs w:val="21"/>
              </w:rPr>
              <w:t>（1）采用立水工艺，结构支撑性强，防止桌面下沉。</w:t>
            </w:r>
          </w:p>
          <w:p w14:paraId="30EAAFF1">
            <w:pPr>
              <w:jc w:val="left"/>
              <w:rPr>
                <w:rFonts w:hint="eastAsia" w:ascii="Times New Roman" w:hAnsi="Times New Roman"/>
                <w:szCs w:val="21"/>
              </w:rPr>
            </w:pPr>
            <w:r>
              <w:rPr>
                <w:rFonts w:hint="eastAsia" w:ascii="Times New Roman" w:hAnsi="Times New Roman"/>
                <w:szCs w:val="21"/>
              </w:rPr>
              <w:t>（2）所有螺丝位无毛刺不刮手，桌角及边沿采用圆角/圆边处理以及安全防撞设计，最大程度的避免儿童磕碰伤害，结构稳固。</w:t>
            </w:r>
          </w:p>
        </w:tc>
      </w:tr>
      <w:tr w14:paraId="326EB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3" w:type="pct"/>
            <w:vMerge w:val="continue"/>
            <w:noWrap w:val="0"/>
            <w:vAlign w:val="center"/>
          </w:tcPr>
          <w:p w14:paraId="1220D8AF">
            <w:pPr>
              <w:jc w:val="center"/>
              <w:rPr>
                <w:rFonts w:hint="eastAsia" w:ascii="Times New Roman" w:hAnsi="Times New Roman"/>
                <w:szCs w:val="21"/>
              </w:rPr>
            </w:pPr>
          </w:p>
        </w:tc>
        <w:tc>
          <w:tcPr>
            <w:tcW w:w="440" w:type="pct"/>
            <w:vMerge w:val="continue"/>
            <w:noWrap w:val="0"/>
            <w:vAlign w:val="center"/>
          </w:tcPr>
          <w:p w14:paraId="46FAD7F8">
            <w:pPr>
              <w:jc w:val="center"/>
              <w:rPr>
                <w:rFonts w:hint="eastAsia" w:ascii="Times New Roman" w:hAnsi="Times New Roman"/>
                <w:szCs w:val="21"/>
              </w:rPr>
            </w:pPr>
          </w:p>
        </w:tc>
        <w:tc>
          <w:tcPr>
            <w:tcW w:w="4225" w:type="pct"/>
            <w:noWrap w:val="0"/>
            <w:vAlign w:val="top"/>
          </w:tcPr>
          <w:p w14:paraId="1FF0AFEF">
            <w:pPr>
              <w:jc w:val="left"/>
              <w:rPr>
                <w:rFonts w:hint="eastAsia" w:ascii="Times New Roman" w:hAnsi="Times New Roman"/>
                <w:szCs w:val="21"/>
              </w:rPr>
            </w:pPr>
            <w:r>
              <w:rPr>
                <w:rFonts w:hint="eastAsia" w:ascii="Times New Roman" w:hAnsi="Times New Roman"/>
                <w:szCs w:val="21"/>
              </w:rPr>
              <w:t>2、外观结构及材质：</w:t>
            </w:r>
          </w:p>
          <w:p w14:paraId="50BAD3C9">
            <w:pPr>
              <w:jc w:val="left"/>
              <w:rPr>
                <w:rFonts w:hint="eastAsia" w:ascii="Times New Roman" w:hAnsi="Times New Roman"/>
                <w:szCs w:val="21"/>
              </w:rPr>
            </w:pPr>
            <w:r>
              <w:rPr>
                <w:rFonts w:hint="eastAsia" w:ascii="Times New Roman" w:hAnsi="Times New Roman"/>
                <w:szCs w:val="21"/>
              </w:rPr>
              <w:t>（1）桌面：采用厚度30mm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szCs w:val="21"/>
              </w:rPr>
              <w:t>的橡胶木拼板搭配防火板贴面加工而成，耐刮耐磨，长时间使用不褪色、不容易开裂；立水尺寸L462xW60xH18mm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szCs w:val="21"/>
              </w:rPr>
              <w:t>结构稳固。</w:t>
            </w:r>
          </w:p>
          <w:p w14:paraId="22D924ED">
            <w:pPr>
              <w:jc w:val="left"/>
              <w:rPr>
                <w:rFonts w:hint="eastAsia" w:ascii="Times New Roman" w:hAnsi="Times New Roman"/>
                <w:szCs w:val="21"/>
              </w:rPr>
            </w:pPr>
            <w:r>
              <w:rPr>
                <w:rFonts w:hint="eastAsia" w:ascii="Times New Roman" w:hAnsi="Times New Roman"/>
                <w:szCs w:val="21"/>
              </w:rPr>
              <w:t>（2）桌脚：采橡胶木实木，厚实纹路清晰，边沿均采用圆边处理；底部安装塑料脚垫，软性防滑，可有效保护地面刮花并降低噪音。</w:t>
            </w:r>
          </w:p>
          <w:p w14:paraId="7B2DAB12">
            <w:pPr>
              <w:jc w:val="left"/>
              <w:rPr>
                <w:rFonts w:ascii="Times New Roman" w:hAnsi="Times New Roman"/>
                <w:szCs w:val="21"/>
              </w:rPr>
            </w:pPr>
            <w:r>
              <w:rPr>
                <w:rFonts w:hint="eastAsia" w:ascii="Times New Roman" w:hAnsi="Times New Roman"/>
                <w:szCs w:val="21"/>
              </w:rPr>
              <w:t>（3）产品整体采用的水性漆，全封闭涂装工艺，漆面光泽高透，颜色均匀，附着能力强，通透度高。桌面封边采用的水性木蜡油封边，成分天然，分子机构细小，成膜牢固，密封性好。</w:t>
            </w:r>
          </w:p>
        </w:tc>
      </w:tr>
      <w:tr w14:paraId="7CB8A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3" w:type="pct"/>
            <w:vMerge w:val="restart"/>
            <w:noWrap w:val="0"/>
            <w:vAlign w:val="center"/>
          </w:tcPr>
          <w:p w14:paraId="5E2DF0F8">
            <w:pPr>
              <w:keepNext w:val="0"/>
              <w:keepLines w:val="0"/>
              <w:widowControl/>
              <w:suppressLineNumbers w:val="0"/>
              <w:jc w:val="center"/>
              <w:textAlignment w:val="center"/>
              <w:rPr>
                <w:rFonts w:ascii="Times New Roman" w:hAnsi="Times New Roman"/>
                <w:szCs w:val="21"/>
              </w:rPr>
            </w:pPr>
            <w:r>
              <w:rPr>
                <w:rFonts w:hint="default" w:ascii="Arial" w:hAnsi="Arial" w:eastAsia="宋体" w:cs="Arial"/>
                <w:i w:val="0"/>
                <w:iCs w:val="0"/>
                <w:color w:val="000000"/>
                <w:kern w:val="0"/>
                <w:sz w:val="20"/>
                <w:szCs w:val="20"/>
                <w:u w:val="none"/>
                <w:lang w:val="en-US" w:eastAsia="zh-CN" w:bidi="ar"/>
              </w:rPr>
              <w:t xml:space="preserve">5 </w:t>
            </w:r>
          </w:p>
        </w:tc>
        <w:tc>
          <w:tcPr>
            <w:tcW w:w="440" w:type="pct"/>
            <w:vMerge w:val="restart"/>
            <w:noWrap w:val="0"/>
            <w:vAlign w:val="center"/>
          </w:tcPr>
          <w:p w14:paraId="326A532B">
            <w:pPr>
              <w:keepNext w:val="0"/>
              <w:keepLines w:val="0"/>
              <w:widowControl/>
              <w:suppressLineNumbers w:val="0"/>
              <w:jc w:val="center"/>
              <w:textAlignment w:val="center"/>
              <w:rPr>
                <w:rFonts w:hint="eastAsia" w:ascii="Times New Roman" w:hAnsi="Times New Roman"/>
                <w:szCs w:val="21"/>
              </w:rPr>
            </w:pPr>
            <w:r>
              <w:rPr>
                <w:rFonts w:hint="eastAsia" w:ascii="宋体" w:hAnsi="宋体" w:eastAsia="宋体" w:cs="宋体"/>
                <w:i w:val="0"/>
                <w:iCs w:val="0"/>
                <w:color w:val="000000"/>
                <w:kern w:val="0"/>
                <w:sz w:val="20"/>
                <w:szCs w:val="20"/>
                <w:u w:val="none"/>
                <w:lang w:val="en-US" w:eastAsia="zh-CN" w:bidi="ar"/>
              </w:rPr>
              <w:t>一体成型椅</w:t>
            </w:r>
          </w:p>
        </w:tc>
        <w:tc>
          <w:tcPr>
            <w:tcW w:w="4225" w:type="pct"/>
            <w:noWrap w:val="0"/>
            <w:vAlign w:val="center"/>
          </w:tcPr>
          <w:p w14:paraId="486E5242">
            <w:pPr>
              <w:jc w:val="both"/>
              <w:rPr>
                <w:rFonts w:hint="eastAsia" w:ascii="Times New Roman" w:hAnsi="Times New Roman"/>
                <w:szCs w:val="21"/>
              </w:rPr>
            </w:pPr>
            <w:r>
              <w:rPr>
                <w:rFonts w:hint="eastAsia" w:ascii="Times New Roman" w:hAnsi="Times New Roman"/>
                <w:szCs w:val="21"/>
              </w:rPr>
              <w:t>规格：L47xW46.5xH73cm（±3cm）（座高41cm（±3cm））</w:t>
            </w:r>
          </w:p>
        </w:tc>
      </w:tr>
      <w:tr w14:paraId="70235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3" w:type="pct"/>
            <w:vMerge w:val="continue"/>
            <w:noWrap w:val="0"/>
            <w:vAlign w:val="center"/>
          </w:tcPr>
          <w:p w14:paraId="0B8A11BE">
            <w:pPr>
              <w:jc w:val="center"/>
              <w:rPr>
                <w:rFonts w:hint="eastAsia" w:ascii="Times New Roman" w:hAnsi="Times New Roman"/>
                <w:szCs w:val="21"/>
              </w:rPr>
            </w:pPr>
          </w:p>
        </w:tc>
        <w:tc>
          <w:tcPr>
            <w:tcW w:w="440" w:type="pct"/>
            <w:vMerge w:val="continue"/>
            <w:noWrap w:val="0"/>
            <w:vAlign w:val="center"/>
          </w:tcPr>
          <w:p w14:paraId="15261944">
            <w:pPr>
              <w:jc w:val="center"/>
              <w:rPr>
                <w:rFonts w:hint="eastAsia" w:ascii="Times New Roman" w:hAnsi="Times New Roman"/>
                <w:szCs w:val="21"/>
              </w:rPr>
            </w:pPr>
          </w:p>
        </w:tc>
        <w:tc>
          <w:tcPr>
            <w:tcW w:w="4225" w:type="pct"/>
            <w:noWrap w:val="0"/>
            <w:vAlign w:val="top"/>
          </w:tcPr>
          <w:p w14:paraId="6CEB5C6A">
            <w:pPr>
              <w:jc w:val="left"/>
              <w:rPr>
                <w:rFonts w:hint="eastAsia" w:ascii="Times New Roman" w:hAnsi="Times New Roman"/>
                <w:szCs w:val="21"/>
              </w:rPr>
            </w:pPr>
            <w:r>
              <w:rPr>
                <w:rFonts w:hint="eastAsia" w:ascii="Times New Roman" w:hAnsi="Times New Roman"/>
                <w:szCs w:val="21"/>
              </w:rPr>
              <w:t>1、工艺设计：</w:t>
            </w:r>
          </w:p>
          <w:p w14:paraId="71A3261F">
            <w:pPr>
              <w:jc w:val="left"/>
              <w:rPr>
                <w:rFonts w:hint="eastAsia" w:ascii="Times New Roman" w:hAnsi="Times New Roman"/>
                <w:szCs w:val="21"/>
              </w:rPr>
            </w:pPr>
            <w:r>
              <w:rPr>
                <w:rFonts w:hint="eastAsia" w:ascii="Times New Roman" w:hAnsi="Times New Roman"/>
                <w:szCs w:val="21"/>
              </w:rPr>
              <w:t>（1）椅子整体一次加工完成材料切割、一体成型，无须拼接，线条流畅。</w:t>
            </w:r>
          </w:p>
          <w:p w14:paraId="19DB427A">
            <w:pPr>
              <w:jc w:val="left"/>
              <w:rPr>
                <w:rFonts w:hint="eastAsia" w:ascii="Times New Roman" w:hAnsi="Times New Roman"/>
                <w:szCs w:val="21"/>
              </w:rPr>
            </w:pPr>
            <w:r>
              <w:rPr>
                <w:rFonts w:hint="eastAsia" w:ascii="Times New Roman" w:hAnsi="Times New Roman"/>
                <w:szCs w:val="21"/>
              </w:rPr>
              <w:t>（2）几何图形挖孔设计，手提叠放轻松方便。</w:t>
            </w:r>
          </w:p>
          <w:p w14:paraId="2103FF09">
            <w:pPr>
              <w:jc w:val="left"/>
              <w:rPr>
                <w:rFonts w:hint="eastAsia" w:ascii="Times New Roman" w:hAnsi="Times New Roman"/>
                <w:szCs w:val="21"/>
              </w:rPr>
            </w:pPr>
            <w:r>
              <w:rPr>
                <w:rFonts w:hint="eastAsia" w:ascii="Times New Roman" w:hAnsi="Times New Roman"/>
                <w:szCs w:val="21"/>
              </w:rPr>
              <w:t>（3）座板前高后低倾角设计，靠背弧形贴合腰背，适应人体曲线，符合人体力学，呵护儿童脊椎发育，孩子久坐不累。</w:t>
            </w:r>
          </w:p>
          <w:p w14:paraId="4FE01467">
            <w:pPr>
              <w:jc w:val="left"/>
              <w:rPr>
                <w:rFonts w:hint="eastAsia" w:ascii="Times New Roman" w:hAnsi="Times New Roman"/>
                <w:szCs w:val="21"/>
              </w:rPr>
            </w:pPr>
            <w:r>
              <w:rPr>
                <w:rFonts w:hint="eastAsia" w:ascii="Times New Roman" w:hAnsi="Times New Roman"/>
                <w:szCs w:val="21"/>
              </w:rPr>
              <w:t>（4）所有螺丝位无毛刺不刮手，边角采用圆边/圆角处理以及安全防撞设计，最大程度的避免儿童磕碰伤害，结构稳固。</w:t>
            </w:r>
          </w:p>
        </w:tc>
      </w:tr>
      <w:tr w14:paraId="5A863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3" w:type="pct"/>
            <w:vMerge w:val="continue"/>
            <w:noWrap w:val="0"/>
            <w:vAlign w:val="center"/>
          </w:tcPr>
          <w:p w14:paraId="4E1AF534">
            <w:pPr>
              <w:jc w:val="center"/>
              <w:rPr>
                <w:rFonts w:hint="eastAsia" w:ascii="Times New Roman" w:hAnsi="Times New Roman"/>
                <w:szCs w:val="21"/>
              </w:rPr>
            </w:pPr>
          </w:p>
        </w:tc>
        <w:tc>
          <w:tcPr>
            <w:tcW w:w="440" w:type="pct"/>
            <w:vMerge w:val="continue"/>
            <w:noWrap w:val="0"/>
            <w:vAlign w:val="center"/>
          </w:tcPr>
          <w:p w14:paraId="27903178">
            <w:pPr>
              <w:jc w:val="center"/>
              <w:rPr>
                <w:rFonts w:hint="eastAsia" w:ascii="Times New Roman" w:hAnsi="Times New Roman"/>
                <w:szCs w:val="21"/>
              </w:rPr>
            </w:pPr>
          </w:p>
        </w:tc>
        <w:tc>
          <w:tcPr>
            <w:tcW w:w="4225" w:type="pct"/>
            <w:noWrap w:val="0"/>
            <w:vAlign w:val="top"/>
          </w:tcPr>
          <w:p w14:paraId="4977FC64">
            <w:pPr>
              <w:jc w:val="left"/>
              <w:rPr>
                <w:rFonts w:hint="eastAsia" w:ascii="Times New Roman" w:hAnsi="Times New Roman"/>
                <w:szCs w:val="21"/>
              </w:rPr>
            </w:pPr>
            <w:r>
              <w:rPr>
                <w:rFonts w:hint="eastAsia" w:ascii="Times New Roman" w:hAnsi="Times New Roman"/>
                <w:szCs w:val="21"/>
              </w:rPr>
              <w:t>2、外观结构及材质：</w:t>
            </w:r>
          </w:p>
          <w:p w14:paraId="42752811">
            <w:pPr>
              <w:jc w:val="left"/>
              <w:rPr>
                <w:rFonts w:hint="eastAsia" w:ascii="Times New Roman" w:hAnsi="Times New Roman"/>
                <w:szCs w:val="21"/>
              </w:rPr>
            </w:pPr>
            <w:r>
              <w:rPr>
                <w:rFonts w:hint="eastAsia" w:ascii="Times New Roman" w:hAnsi="Times New Roman"/>
                <w:szCs w:val="21"/>
              </w:rPr>
              <w:t>（1）采用厚度15mm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szCs w:val="21"/>
              </w:rPr>
              <w:t>的实木多层板（弯板），椅子座高：410mm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szCs w:val="21"/>
              </w:rPr>
              <w:t>。座板底部与支撑脚弯曲处安装V型加固角码，角码采用塑料，打磨圆滑，尺寸为L127xW95xH27mm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szCs w:val="21"/>
              </w:rPr>
              <w:t>呈浅咖色，更好的还原自然原木色，有效增加支撑脚牢固强度。</w:t>
            </w:r>
          </w:p>
          <w:p w14:paraId="1ECD7D0E">
            <w:pPr>
              <w:jc w:val="left"/>
              <w:rPr>
                <w:rFonts w:hint="eastAsia" w:ascii="Times New Roman" w:hAnsi="Times New Roman"/>
                <w:szCs w:val="21"/>
              </w:rPr>
            </w:pPr>
            <w:r>
              <w:rPr>
                <w:rFonts w:hint="eastAsia" w:ascii="Times New Roman" w:hAnsi="Times New Roman"/>
                <w:szCs w:val="21"/>
              </w:rPr>
              <w:t>（2）椅脚与座板弧形相连一体成型，底部使用塑料脚套包裹，尺寸为41.8x18x42.8mm(±</w:t>
            </w:r>
            <w:r>
              <w:rPr>
                <w:rFonts w:hint="eastAsia" w:ascii="Times New Roman" w:hAnsi="Times New Roman"/>
                <w:szCs w:val="21"/>
                <w:lang w:val="en-US" w:eastAsia="zh-CN"/>
              </w:rPr>
              <w:t>3</w:t>
            </w:r>
            <w:r>
              <w:rPr>
                <w:rFonts w:hint="eastAsia" w:ascii="Times New Roman" w:hAnsi="Times New Roman"/>
                <w:szCs w:val="21"/>
              </w:rPr>
              <w:t>mm)，加厚耐磨，防滑不易脱落，可有效保护地面刮花并降低噪音。</w:t>
            </w:r>
          </w:p>
          <w:p w14:paraId="369ED91D">
            <w:pPr>
              <w:jc w:val="left"/>
              <w:rPr>
                <w:rFonts w:hint="eastAsia" w:ascii="Times New Roman" w:hAnsi="Times New Roman"/>
                <w:szCs w:val="21"/>
              </w:rPr>
            </w:pPr>
            <w:r>
              <w:rPr>
                <w:rFonts w:hint="eastAsia" w:ascii="Times New Roman" w:hAnsi="Times New Roman"/>
                <w:szCs w:val="21"/>
              </w:rPr>
              <w:t>（3）靠背圆矩形挖孔设计，手提叠放轻松方便。</w:t>
            </w:r>
          </w:p>
        </w:tc>
      </w:tr>
      <w:tr w14:paraId="3A8AE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3" w:type="pct"/>
            <w:vMerge w:val="restart"/>
            <w:noWrap w:val="0"/>
            <w:vAlign w:val="center"/>
          </w:tcPr>
          <w:p w14:paraId="65B60E3F">
            <w:pPr>
              <w:keepNext w:val="0"/>
              <w:keepLines w:val="0"/>
              <w:widowControl/>
              <w:suppressLineNumbers w:val="0"/>
              <w:jc w:val="center"/>
              <w:textAlignment w:val="center"/>
              <w:rPr>
                <w:rFonts w:ascii="Times New Roman" w:hAnsi="Times New Roman"/>
                <w:szCs w:val="21"/>
              </w:rPr>
            </w:pPr>
            <w:r>
              <w:rPr>
                <w:rFonts w:hint="default" w:ascii="Arial" w:hAnsi="Arial" w:eastAsia="宋体" w:cs="Arial"/>
                <w:i w:val="0"/>
                <w:iCs w:val="0"/>
                <w:color w:val="000000"/>
                <w:kern w:val="0"/>
                <w:sz w:val="20"/>
                <w:szCs w:val="20"/>
                <w:u w:val="none"/>
                <w:lang w:val="en-US" w:eastAsia="zh-CN" w:bidi="ar"/>
              </w:rPr>
              <w:t xml:space="preserve">6 </w:t>
            </w:r>
          </w:p>
        </w:tc>
        <w:tc>
          <w:tcPr>
            <w:tcW w:w="440" w:type="pct"/>
            <w:vMerge w:val="restart"/>
            <w:noWrap w:val="0"/>
            <w:vAlign w:val="center"/>
          </w:tcPr>
          <w:p w14:paraId="0A262B1C">
            <w:pPr>
              <w:keepNext w:val="0"/>
              <w:keepLines w:val="0"/>
              <w:widowControl/>
              <w:suppressLineNumbers w:val="0"/>
              <w:jc w:val="center"/>
              <w:textAlignment w:val="center"/>
              <w:rPr>
                <w:rFonts w:hint="eastAsia" w:ascii="Times New Roman" w:hAnsi="Times New Roman"/>
                <w:szCs w:val="21"/>
              </w:rPr>
            </w:pPr>
            <w:r>
              <w:rPr>
                <w:rFonts w:hint="eastAsia" w:ascii="宋体" w:hAnsi="宋体" w:eastAsia="宋体" w:cs="宋体"/>
                <w:i w:val="0"/>
                <w:iCs w:val="0"/>
                <w:color w:val="000000"/>
                <w:kern w:val="0"/>
                <w:sz w:val="20"/>
                <w:szCs w:val="20"/>
                <w:u w:val="none"/>
                <w:lang w:val="en-US" w:eastAsia="zh-CN" w:bidi="ar"/>
              </w:rPr>
              <w:t>多功能组合展示屏风B</w:t>
            </w:r>
          </w:p>
        </w:tc>
        <w:tc>
          <w:tcPr>
            <w:tcW w:w="4225" w:type="pct"/>
            <w:noWrap w:val="0"/>
            <w:vAlign w:val="center"/>
          </w:tcPr>
          <w:p w14:paraId="28211842">
            <w:pPr>
              <w:jc w:val="left"/>
              <w:rPr>
                <w:rFonts w:ascii="Times New Roman" w:hAnsi="Times New Roman"/>
                <w:szCs w:val="21"/>
              </w:rPr>
            </w:pPr>
            <w:r>
              <w:rPr>
                <w:rFonts w:hint="eastAsia" w:ascii="Times New Roman" w:hAnsi="Times New Roman"/>
                <w:szCs w:val="21"/>
              </w:rPr>
              <w:t>规格：L80xW35xH139cm（±3cm）</w:t>
            </w:r>
          </w:p>
        </w:tc>
      </w:tr>
      <w:tr w14:paraId="4ECC4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3" w:type="pct"/>
            <w:vMerge w:val="continue"/>
            <w:noWrap w:val="0"/>
            <w:vAlign w:val="center"/>
          </w:tcPr>
          <w:p w14:paraId="0BC24003">
            <w:pPr>
              <w:jc w:val="center"/>
              <w:rPr>
                <w:rFonts w:hint="eastAsia" w:ascii="Times New Roman" w:hAnsi="Times New Roman"/>
                <w:szCs w:val="21"/>
              </w:rPr>
            </w:pPr>
          </w:p>
        </w:tc>
        <w:tc>
          <w:tcPr>
            <w:tcW w:w="440" w:type="pct"/>
            <w:vMerge w:val="continue"/>
            <w:noWrap w:val="0"/>
            <w:vAlign w:val="center"/>
          </w:tcPr>
          <w:p w14:paraId="430BFBCA">
            <w:pPr>
              <w:jc w:val="center"/>
              <w:rPr>
                <w:rFonts w:hint="eastAsia" w:ascii="Times New Roman" w:hAnsi="Times New Roman"/>
                <w:szCs w:val="21"/>
              </w:rPr>
            </w:pPr>
          </w:p>
        </w:tc>
        <w:tc>
          <w:tcPr>
            <w:tcW w:w="4225" w:type="pct"/>
            <w:noWrap w:val="0"/>
            <w:vAlign w:val="top"/>
          </w:tcPr>
          <w:p w14:paraId="774ABA01">
            <w:pPr>
              <w:jc w:val="left"/>
              <w:rPr>
                <w:rFonts w:hint="eastAsia" w:ascii="Times New Roman" w:hAnsi="Times New Roman"/>
                <w:szCs w:val="21"/>
              </w:rPr>
            </w:pPr>
            <w:r>
              <w:rPr>
                <w:rFonts w:hint="eastAsia" w:ascii="Times New Roman" w:hAnsi="Times New Roman"/>
                <w:szCs w:val="21"/>
              </w:rPr>
              <w:t>1、工艺设计：</w:t>
            </w:r>
          </w:p>
          <w:p w14:paraId="45EE6FC1">
            <w:pPr>
              <w:jc w:val="left"/>
              <w:rPr>
                <w:rFonts w:hint="eastAsia" w:ascii="Times New Roman" w:hAnsi="Times New Roman"/>
                <w:szCs w:val="21"/>
              </w:rPr>
            </w:pPr>
            <w:r>
              <w:rPr>
                <w:rFonts w:hint="eastAsia" w:ascii="Times New Roman" w:hAnsi="Times New Roman"/>
                <w:szCs w:val="21"/>
              </w:rPr>
              <w:t>（1）双面使用、展示方式多样、可收纳，能满足不同的教学需要。</w:t>
            </w:r>
          </w:p>
          <w:p w14:paraId="546354B9">
            <w:pPr>
              <w:jc w:val="left"/>
              <w:rPr>
                <w:rFonts w:hint="eastAsia" w:ascii="Times New Roman" w:hAnsi="Times New Roman"/>
                <w:szCs w:val="21"/>
              </w:rPr>
            </w:pPr>
            <w:r>
              <w:rPr>
                <w:rFonts w:hint="eastAsia" w:ascii="Times New Roman" w:hAnsi="Times New Roman"/>
                <w:szCs w:val="21"/>
              </w:rPr>
              <w:t>（2）贯穿式连接器功能设计，可快速组合/拆卸屏风，无须任何工具。</w:t>
            </w:r>
          </w:p>
          <w:p w14:paraId="223C3AB8">
            <w:pPr>
              <w:jc w:val="left"/>
              <w:rPr>
                <w:rFonts w:hint="eastAsia" w:ascii="Times New Roman" w:hAnsi="Times New Roman"/>
                <w:szCs w:val="21"/>
              </w:rPr>
            </w:pPr>
            <w:r>
              <w:rPr>
                <w:rFonts w:hint="eastAsia" w:ascii="Times New Roman" w:hAnsi="Times New Roman"/>
                <w:szCs w:val="21"/>
              </w:rPr>
              <w:t>（3）多功能带轮带刹车展示屏风，移动/固定便捷，能适用多场景下使用。</w:t>
            </w:r>
          </w:p>
          <w:p w14:paraId="676AF10A">
            <w:pPr>
              <w:jc w:val="left"/>
              <w:rPr>
                <w:rFonts w:ascii="Times New Roman" w:hAnsi="Times New Roman"/>
                <w:szCs w:val="21"/>
              </w:rPr>
            </w:pPr>
            <w:r>
              <w:rPr>
                <w:rFonts w:hint="eastAsia" w:ascii="Times New Roman" w:hAnsi="Times New Roman"/>
                <w:szCs w:val="21"/>
              </w:rPr>
              <w:t>（4）所有螺丝位无毛刺不刮手，边角采用圆边/圆角处理以及安全防撞设计，最大程度的避免儿童磕碰伤害，结构稳固。</w:t>
            </w:r>
          </w:p>
        </w:tc>
      </w:tr>
      <w:tr w14:paraId="5C7A6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3" w:type="pct"/>
            <w:vMerge w:val="continue"/>
            <w:noWrap w:val="0"/>
            <w:vAlign w:val="center"/>
          </w:tcPr>
          <w:p w14:paraId="73572E15">
            <w:pPr>
              <w:jc w:val="center"/>
              <w:rPr>
                <w:rFonts w:ascii="Times New Roman" w:hAnsi="Times New Roman"/>
                <w:szCs w:val="21"/>
              </w:rPr>
            </w:pPr>
          </w:p>
        </w:tc>
        <w:tc>
          <w:tcPr>
            <w:tcW w:w="440" w:type="pct"/>
            <w:vMerge w:val="continue"/>
            <w:noWrap w:val="0"/>
            <w:vAlign w:val="center"/>
          </w:tcPr>
          <w:p w14:paraId="6EF2EB09">
            <w:pPr>
              <w:jc w:val="center"/>
              <w:rPr>
                <w:rFonts w:hint="eastAsia" w:ascii="Times New Roman" w:hAnsi="Times New Roman"/>
                <w:szCs w:val="21"/>
              </w:rPr>
            </w:pPr>
          </w:p>
        </w:tc>
        <w:tc>
          <w:tcPr>
            <w:tcW w:w="4225" w:type="pct"/>
            <w:noWrap w:val="0"/>
            <w:vAlign w:val="top"/>
          </w:tcPr>
          <w:p w14:paraId="51085BA0">
            <w:pPr>
              <w:jc w:val="left"/>
              <w:rPr>
                <w:rFonts w:hint="eastAsia" w:ascii="Times New Roman" w:hAnsi="Times New Roman"/>
                <w:szCs w:val="21"/>
              </w:rPr>
            </w:pPr>
            <w:r>
              <w:rPr>
                <w:rFonts w:hint="eastAsia" w:ascii="Times New Roman" w:hAnsi="Times New Roman"/>
                <w:szCs w:val="21"/>
              </w:rPr>
              <w:t>2、外观结构及材质及材质：</w:t>
            </w:r>
          </w:p>
          <w:p w14:paraId="083DE3C0">
            <w:pPr>
              <w:jc w:val="left"/>
              <w:rPr>
                <w:rFonts w:hint="eastAsia" w:ascii="Times New Roman" w:hAnsi="Times New Roman"/>
                <w:szCs w:val="21"/>
              </w:rPr>
            </w:pPr>
            <w:r>
              <w:rPr>
                <w:rFonts w:hint="eastAsia" w:ascii="Times New Roman" w:hAnsi="Times New Roman"/>
                <w:szCs w:val="21"/>
              </w:rPr>
              <w:t>（1）主体采用厚度18mm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szCs w:val="21"/>
              </w:rPr>
              <w:t>的实木多层板，吸音板采用厚度9mm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szCs w:val="21"/>
              </w:rPr>
              <w:t>的聚酯纤维吸音板。底部2个收纳格，内空尺寸：373x350x169mm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szCs w:val="21"/>
              </w:rPr>
              <w:t>。</w:t>
            </w:r>
          </w:p>
          <w:p w14:paraId="04CD1A8C">
            <w:pPr>
              <w:jc w:val="left"/>
              <w:rPr>
                <w:rFonts w:hint="eastAsia" w:ascii="Times New Roman" w:hAnsi="Times New Roman"/>
                <w:szCs w:val="21"/>
              </w:rPr>
            </w:pPr>
            <w:r>
              <w:rPr>
                <w:rFonts w:hint="eastAsia" w:ascii="Times New Roman" w:hAnsi="Times New Roman"/>
                <w:szCs w:val="21"/>
              </w:rPr>
              <w:t>（2）底部安装4个静音万向脚轮，脚轮运行平稳无声，可360°旋转，转动顺滑，刹车灵敏，踏板不易断裂。</w:t>
            </w:r>
          </w:p>
          <w:p w14:paraId="18F4BBE2">
            <w:pPr>
              <w:jc w:val="left"/>
              <w:rPr>
                <w:rFonts w:hint="eastAsia" w:ascii="Times New Roman" w:hAnsi="Times New Roman"/>
                <w:szCs w:val="21"/>
              </w:rPr>
            </w:pPr>
            <w:r>
              <w:rPr>
                <w:rFonts w:hint="eastAsia" w:ascii="Times New Roman" w:hAnsi="Times New Roman"/>
                <w:szCs w:val="21"/>
              </w:rPr>
              <w:t>（3）展示框架一面安装长方形白板，可使用水性笔进行擦写，一面安装长方形浅灰色吸音板，可通过图钉展示各种创作作品。</w:t>
            </w:r>
          </w:p>
          <w:p w14:paraId="1F74F754">
            <w:pPr>
              <w:jc w:val="left"/>
              <w:rPr>
                <w:rFonts w:hint="eastAsia" w:ascii="Times New Roman" w:hAnsi="Times New Roman"/>
                <w:szCs w:val="21"/>
              </w:rPr>
            </w:pPr>
            <w:r>
              <w:rPr>
                <w:rFonts w:hint="eastAsia" w:ascii="Times New Roman" w:hAnsi="Times New Roman"/>
                <w:szCs w:val="21"/>
              </w:rPr>
              <w:t>（4）柜体两侧中间为镂空口，可使用配套的柜体连接开关与多个展示屏风组合；连接开关采用塑料材质，呈浅咖色，圆滑无毛刺，尺寸为：L88xW62xH25mm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szCs w:val="21"/>
              </w:rPr>
              <w:t>，带弹簧按钮，当旋转至“十”字型时，开关可锁紧，两边柜体可扣住，当旋转至“一”字型时，开关可从镂空口取出，两边柜体可分开。</w:t>
            </w:r>
          </w:p>
          <w:p w14:paraId="5AEB3487">
            <w:pPr>
              <w:jc w:val="left"/>
              <w:rPr>
                <w:rFonts w:hint="eastAsia" w:ascii="Times New Roman" w:hAnsi="Times New Roman"/>
                <w:szCs w:val="21"/>
              </w:rPr>
            </w:pPr>
            <w:r>
              <w:rPr>
                <w:rFonts w:hint="eastAsia" w:ascii="Times New Roman" w:hAnsi="Times New Roman"/>
                <w:szCs w:val="21"/>
              </w:rPr>
              <w:t>（5）油漆：采用的水性漆，全封闭涂装工艺，漆面光泽高透，颜色均匀。</w:t>
            </w:r>
          </w:p>
          <w:p w14:paraId="04BA2F99">
            <w:pPr>
              <w:jc w:val="left"/>
              <w:rPr>
                <w:rFonts w:hint="eastAsia" w:ascii="Times New Roman" w:hAnsi="Times New Roman"/>
                <w:szCs w:val="21"/>
              </w:rPr>
            </w:pPr>
            <w:r>
              <w:rPr>
                <w:rFonts w:hint="eastAsia" w:ascii="Times New Roman" w:hAnsi="Times New Roman"/>
                <w:szCs w:val="21"/>
              </w:rPr>
              <w:t>（6）聚酯纤维吸音板:选用安全聚酯纤维材质厚度9mm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szCs w:val="21"/>
              </w:rPr>
              <w:t xml:space="preserve">的吸音板，对中高频噪声的吸声效果优异，适合吸收乐器声、户外声等中高频噪声，提升语音清晰度并降低噪声干扰；低频声音并无明显吸声，不影响正常的活动交流；中高低频声音智能吸纳，符合幼儿区角活动课室使用。  </w:t>
            </w:r>
          </w:p>
        </w:tc>
      </w:tr>
      <w:tr w14:paraId="20ADC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3" w:type="pct"/>
            <w:vMerge w:val="restart"/>
            <w:noWrap w:val="0"/>
            <w:vAlign w:val="center"/>
          </w:tcPr>
          <w:p w14:paraId="4EE91A60">
            <w:pPr>
              <w:keepNext w:val="0"/>
              <w:keepLines w:val="0"/>
              <w:widowControl/>
              <w:suppressLineNumbers w:val="0"/>
              <w:jc w:val="center"/>
              <w:textAlignment w:val="center"/>
              <w:rPr>
                <w:rFonts w:ascii="Times New Roman" w:hAnsi="Times New Roman"/>
                <w:szCs w:val="21"/>
              </w:rPr>
            </w:pPr>
            <w:r>
              <w:rPr>
                <w:rFonts w:hint="default" w:ascii="Arial" w:hAnsi="Arial" w:eastAsia="宋体" w:cs="Arial"/>
                <w:i w:val="0"/>
                <w:iCs w:val="0"/>
                <w:color w:val="000000"/>
                <w:kern w:val="0"/>
                <w:sz w:val="20"/>
                <w:szCs w:val="20"/>
                <w:u w:val="none"/>
                <w:lang w:val="en-US" w:eastAsia="zh-CN" w:bidi="ar"/>
              </w:rPr>
              <w:t xml:space="preserve">7 </w:t>
            </w:r>
          </w:p>
        </w:tc>
        <w:tc>
          <w:tcPr>
            <w:tcW w:w="440" w:type="pct"/>
            <w:vMerge w:val="restart"/>
            <w:noWrap w:val="0"/>
            <w:vAlign w:val="center"/>
          </w:tcPr>
          <w:p w14:paraId="1A350BDE">
            <w:pPr>
              <w:keepNext w:val="0"/>
              <w:keepLines w:val="0"/>
              <w:widowControl/>
              <w:suppressLineNumbers w:val="0"/>
              <w:jc w:val="center"/>
              <w:textAlignment w:val="center"/>
              <w:rPr>
                <w:rFonts w:hint="eastAsia" w:ascii="Times New Roman" w:hAnsi="Times New Roman"/>
                <w:szCs w:val="21"/>
              </w:rPr>
            </w:pPr>
            <w:r>
              <w:rPr>
                <w:rFonts w:hint="eastAsia" w:ascii="宋体" w:hAnsi="宋体" w:eastAsia="宋体" w:cs="宋体"/>
                <w:i w:val="0"/>
                <w:iCs w:val="0"/>
                <w:color w:val="000000"/>
                <w:kern w:val="0"/>
                <w:sz w:val="20"/>
                <w:szCs w:val="20"/>
                <w:u w:val="none"/>
                <w:lang w:val="en-US" w:eastAsia="zh-CN" w:bidi="ar"/>
              </w:rPr>
              <w:t>阶梯组合柜.无背板</w:t>
            </w:r>
          </w:p>
        </w:tc>
        <w:tc>
          <w:tcPr>
            <w:tcW w:w="4225" w:type="pct"/>
            <w:noWrap w:val="0"/>
            <w:vAlign w:val="top"/>
          </w:tcPr>
          <w:p w14:paraId="72BDA08B">
            <w:pPr>
              <w:jc w:val="left"/>
              <w:rPr>
                <w:rFonts w:hint="eastAsia" w:ascii="Times New Roman" w:hAnsi="Times New Roman"/>
                <w:szCs w:val="21"/>
              </w:rPr>
            </w:pPr>
            <w:r>
              <w:rPr>
                <w:rFonts w:hint="eastAsia" w:ascii="Times New Roman" w:hAnsi="Times New Roman"/>
                <w:szCs w:val="21"/>
              </w:rPr>
              <w:t>规格：</w:t>
            </w:r>
          </w:p>
          <w:p w14:paraId="46FCC6DC">
            <w:pPr>
              <w:jc w:val="left"/>
              <w:rPr>
                <w:rFonts w:hint="eastAsia" w:ascii="Times New Roman" w:hAnsi="Times New Roman"/>
                <w:szCs w:val="21"/>
              </w:rPr>
            </w:pPr>
            <w:r>
              <w:rPr>
                <w:rFonts w:hint="eastAsia" w:ascii="Times New Roman" w:hAnsi="Times New Roman"/>
                <w:szCs w:val="21"/>
              </w:rPr>
              <w:t>3层：L30xW30xH80cm（±3cm）</w:t>
            </w:r>
          </w:p>
          <w:p w14:paraId="522BCA07">
            <w:pPr>
              <w:jc w:val="left"/>
              <w:rPr>
                <w:rFonts w:hint="eastAsia" w:ascii="Times New Roman" w:hAnsi="Times New Roman"/>
                <w:szCs w:val="21"/>
              </w:rPr>
            </w:pPr>
            <w:r>
              <w:rPr>
                <w:rFonts w:hint="eastAsia" w:ascii="Times New Roman" w:hAnsi="Times New Roman"/>
                <w:szCs w:val="21"/>
              </w:rPr>
              <w:t>2层：L30xW30xH59cm（±3cm）</w:t>
            </w:r>
          </w:p>
          <w:p w14:paraId="31E3B977">
            <w:pPr>
              <w:jc w:val="left"/>
              <w:rPr>
                <w:rFonts w:hint="eastAsia" w:ascii="Times New Roman" w:hAnsi="Times New Roman"/>
                <w:szCs w:val="21"/>
              </w:rPr>
            </w:pPr>
            <w:r>
              <w:rPr>
                <w:rFonts w:hint="eastAsia" w:ascii="Times New Roman" w:hAnsi="Times New Roman"/>
                <w:szCs w:val="21"/>
              </w:rPr>
              <w:t>1层：L30xW30xH34cm（±3cm）</w:t>
            </w:r>
          </w:p>
        </w:tc>
      </w:tr>
      <w:tr w14:paraId="7E5E3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3" w:type="pct"/>
            <w:vMerge w:val="continue"/>
            <w:noWrap w:val="0"/>
            <w:vAlign w:val="center"/>
          </w:tcPr>
          <w:p w14:paraId="0AC1F209">
            <w:pPr>
              <w:jc w:val="center"/>
              <w:rPr>
                <w:rFonts w:hint="eastAsia" w:ascii="Times New Roman" w:hAnsi="Times New Roman"/>
                <w:szCs w:val="21"/>
              </w:rPr>
            </w:pPr>
          </w:p>
        </w:tc>
        <w:tc>
          <w:tcPr>
            <w:tcW w:w="440" w:type="pct"/>
            <w:vMerge w:val="continue"/>
            <w:noWrap w:val="0"/>
            <w:vAlign w:val="center"/>
          </w:tcPr>
          <w:p w14:paraId="36F71B2C">
            <w:pPr>
              <w:jc w:val="center"/>
              <w:rPr>
                <w:rFonts w:hint="eastAsia" w:ascii="Times New Roman" w:hAnsi="Times New Roman"/>
                <w:szCs w:val="21"/>
              </w:rPr>
            </w:pPr>
          </w:p>
        </w:tc>
        <w:tc>
          <w:tcPr>
            <w:tcW w:w="4225" w:type="pct"/>
            <w:noWrap w:val="0"/>
            <w:vAlign w:val="top"/>
          </w:tcPr>
          <w:p w14:paraId="3AB2AF23">
            <w:pPr>
              <w:jc w:val="left"/>
              <w:rPr>
                <w:rFonts w:hint="eastAsia" w:ascii="Times New Roman" w:hAnsi="Times New Roman"/>
                <w:szCs w:val="21"/>
              </w:rPr>
            </w:pPr>
            <w:r>
              <w:rPr>
                <w:rFonts w:hint="eastAsia" w:ascii="Times New Roman" w:hAnsi="Times New Roman"/>
                <w:szCs w:val="21"/>
              </w:rPr>
              <w:t>1、工艺设计：</w:t>
            </w:r>
          </w:p>
          <w:p w14:paraId="1000F216">
            <w:pPr>
              <w:jc w:val="left"/>
              <w:rPr>
                <w:rFonts w:hint="eastAsia" w:ascii="Times New Roman" w:hAnsi="Times New Roman"/>
                <w:szCs w:val="21"/>
              </w:rPr>
            </w:pPr>
            <w:r>
              <w:rPr>
                <w:rFonts w:hint="eastAsia" w:ascii="Times New Roman" w:hAnsi="Times New Roman"/>
                <w:szCs w:val="21"/>
              </w:rPr>
              <w:t>（1）三个柜体可独立使用，灵活搭配，高低错落，可满足不同层次区角搭配。</w:t>
            </w:r>
          </w:p>
          <w:p w14:paraId="457F13EF">
            <w:pPr>
              <w:jc w:val="left"/>
              <w:rPr>
                <w:rFonts w:hint="eastAsia" w:ascii="Times New Roman" w:hAnsi="Times New Roman"/>
                <w:szCs w:val="21"/>
              </w:rPr>
            </w:pPr>
            <w:r>
              <w:rPr>
                <w:rFonts w:hint="eastAsia" w:ascii="Times New Roman" w:hAnsi="Times New Roman"/>
                <w:szCs w:val="21"/>
              </w:rPr>
              <w:t>（2）所有螺丝位无毛刺不刮手，四角及边沿采用圆角/圆边处理以及安全防撞设计，最大程度的避免儿童磕碰伤害，结构稳固。</w:t>
            </w:r>
          </w:p>
          <w:p w14:paraId="3E270EBA">
            <w:pPr>
              <w:jc w:val="left"/>
              <w:rPr>
                <w:rFonts w:hint="eastAsia" w:ascii="Times New Roman" w:hAnsi="Times New Roman"/>
                <w:szCs w:val="21"/>
              </w:rPr>
            </w:pPr>
            <w:r>
              <w:rPr>
                <w:rFonts w:hint="eastAsia" w:ascii="Times New Roman" w:hAnsi="Times New Roman"/>
                <w:szCs w:val="21"/>
              </w:rPr>
              <w:t>2、外观结构及材质：</w:t>
            </w:r>
          </w:p>
          <w:p w14:paraId="03393AAA">
            <w:pPr>
              <w:jc w:val="left"/>
              <w:rPr>
                <w:rFonts w:hint="eastAsia" w:ascii="Times New Roman" w:hAnsi="Times New Roman"/>
                <w:szCs w:val="21"/>
              </w:rPr>
            </w:pPr>
            <w:r>
              <w:rPr>
                <w:rFonts w:hint="eastAsia" w:ascii="Times New Roman" w:hAnsi="Times New Roman"/>
                <w:szCs w:val="21"/>
              </w:rPr>
              <w:t>（1）柜体：采用16mm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szCs w:val="21"/>
              </w:rPr>
              <w:t>的橡胶木拼板。所有柜子组合使用呈阶梯状，格子内空长均为：267mm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szCs w:val="21"/>
              </w:rPr>
              <w:t>。</w:t>
            </w:r>
          </w:p>
          <w:p w14:paraId="3387F7B7">
            <w:pPr>
              <w:jc w:val="left"/>
              <w:rPr>
                <w:rFonts w:hint="eastAsia" w:ascii="Times New Roman" w:hAnsi="Times New Roman"/>
                <w:szCs w:val="21"/>
              </w:rPr>
            </w:pPr>
            <w:r>
              <w:rPr>
                <w:rFonts w:hint="eastAsia" w:ascii="Times New Roman" w:hAnsi="Times New Roman"/>
                <w:szCs w:val="21"/>
              </w:rPr>
              <w:t>（2）围脚：柜子底部安装塑料脚垫，高度为H10mm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szCs w:val="21"/>
              </w:rPr>
              <w:t>，直径17mm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szCs w:val="21"/>
              </w:rPr>
              <w:t>，软性防滑，可有效保护地面刮花并降低噪音。</w:t>
            </w:r>
          </w:p>
          <w:p w14:paraId="355841CD">
            <w:pPr>
              <w:jc w:val="left"/>
              <w:rPr>
                <w:rFonts w:hint="eastAsia" w:ascii="Times New Roman" w:hAnsi="Times New Roman"/>
                <w:szCs w:val="21"/>
              </w:rPr>
            </w:pPr>
            <w:r>
              <w:rPr>
                <w:rFonts w:hint="eastAsia" w:ascii="Times New Roman" w:hAnsi="Times New Roman"/>
                <w:szCs w:val="21"/>
              </w:rPr>
              <w:t>（3）采用的水性漆，全封闭涂装工艺，漆面光泽高透，颜色均匀。</w:t>
            </w:r>
          </w:p>
        </w:tc>
      </w:tr>
      <w:tr w14:paraId="4293E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3" w:type="pct"/>
            <w:vMerge w:val="continue"/>
            <w:noWrap w:val="0"/>
            <w:vAlign w:val="center"/>
          </w:tcPr>
          <w:p w14:paraId="21AADFA6">
            <w:pPr>
              <w:jc w:val="center"/>
              <w:rPr>
                <w:rFonts w:ascii="Times New Roman" w:hAnsi="Times New Roman"/>
                <w:szCs w:val="21"/>
              </w:rPr>
            </w:pPr>
          </w:p>
        </w:tc>
        <w:tc>
          <w:tcPr>
            <w:tcW w:w="440" w:type="pct"/>
            <w:vMerge w:val="continue"/>
            <w:noWrap w:val="0"/>
            <w:vAlign w:val="center"/>
          </w:tcPr>
          <w:p w14:paraId="7849ECC1">
            <w:pPr>
              <w:jc w:val="center"/>
              <w:rPr>
                <w:rFonts w:hint="eastAsia" w:ascii="Times New Roman" w:hAnsi="Times New Roman"/>
                <w:szCs w:val="21"/>
              </w:rPr>
            </w:pPr>
          </w:p>
        </w:tc>
        <w:tc>
          <w:tcPr>
            <w:tcW w:w="4225" w:type="pct"/>
            <w:noWrap w:val="0"/>
            <w:vAlign w:val="top"/>
          </w:tcPr>
          <w:p w14:paraId="79CD49B7">
            <w:pPr>
              <w:jc w:val="left"/>
              <w:rPr>
                <w:rFonts w:hint="eastAsia" w:ascii="Times New Roman" w:hAnsi="Times New Roman"/>
                <w:szCs w:val="21"/>
              </w:rPr>
            </w:pPr>
            <w:r>
              <w:rPr>
                <w:rFonts w:hint="eastAsia" w:ascii="Times New Roman" w:hAnsi="Times New Roman"/>
                <w:szCs w:val="21"/>
              </w:rPr>
              <w:t>1、工艺设计：</w:t>
            </w:r>
          </w:p>
          <w:p w14:paraId="05094ABE">
            <w:pPr>
              <w:jc w:val="left"/>
              <w:rPr>
                <w:rFonts w:hint="eastAsia" w:ascii="Times New Roman" w:hAnsi="Times New Roman"/>
                <w:szCs w:val="21"/>
              </w:rPr>
            </w:pPr>
            <w:r>
              <w:rPr>
                <w:rFonts w:hint="eastAsia" w:ascii="Times New Roman" w:hAnsi="Times New Roman"/>
                <w:szCs w:val="21"/>
              </w:rPr>
              <w:t>（1）三个柜体可独立使用，灵活搭配，高低错落，可满足不同层次区角搭配。</w:t>
            </w:r>
          </w:p>
          <w:p w14:paraId="3D4506BF">
            <w:pPr>
              <w:jc w:val="left"/>
              <w:rPr>
                <w:rFonts w:hint="eastAsia" w:ascii="Times New Roman" w:hAnsi="Times New Roman"/>
                <w:szCs w:val="21"/>
              </w:rPr>
            </w:pPr>
            <w:r>
              <w:rPr>
                <w:rFonts w:hint="eastAsia" w:ascii="Times New Roman" w:hAnsi="Times New Roman"/>
                <w:szCs w:val="21"/>
              </w:rPr>
              <w:t>（2）所有螺丝位无毛刺不刮手，四角及边沿采用圆角/圆边处理以及安全防撞设计，最大程度的避免儿童磕碰伤害，结构稳固。</w:t>
            </w:r>
          </w:p>
          <w:p w14:paraId="50F696EA">
            <w:pPr>
              <w:jc w:val="left"/>
              <w:rPr>
                <w:rFonts w:hint="eastAsia" w:ascii="Times New Roman" w:hAnsi="Times New Roman"/>
                <w:szCs w:val="21"/>
              </w:rPr>
            </w:pPr>
            <w:r>
              <w:rPr>
                <w:rFonts w:hint="eastAsia" w:ascii="Times New Roman" w:hAnsi="Times New Roman"/>
                <w:szCs w:val="21"/>
              </w:rPr>
              <w:t>2、外观结构及材质：</w:t>
            </w:r>
          </w:p>
          <w:p w14:paraId="5C7BE282">
            <w:pPr>
              <w:jc w:val="left"/>
              <w:rPr>
                <w:rFonts w:hint="eastAsia" w:ascii="Times New Roman" w:hAnsi="Times New Roman"/>
                <w:szCs w:val="21"/>
              </w:rPr>
            </w:pPr>
            <w:r>
              <w:rPr>
                <w:rFonts w:hint="eastAsia" w:ascii="Times New Roman" w:hAnsi="Times New Roman"/>
                <w:szCs w:val="21"/>
              </w:rPr>
              <w:t>（1）柜体：采用16mm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szCs w:val="21"/>
              </w:rPr>
              <w:t>的橡胶木拼板。所有柜子组合使用呈阶梯状，格子内空长均为：267mm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szCs w:val="21"/>
              </w:rPr>
              <w:t>。</w:t>
            </w:r>
          </w:p>
          <w:p w14:paraId="216C6DE1">
            <w:pPr>
              <w:jc w:val="left"/>
              <w:rPr>
                <w:rFonts w:hint="eastAsia" w:ascii="Times New Roman" w:hAnsi="Times New Roman"/>
                <w:szCs w:val="21"/>
              </w:rPr>
            </w:pPr>
            <w:r>
              <w:rPr>
                <w:rFonts w:hint="eastAsia" w:ascii="Times New Roman" w:hAnsi="Times New Roman"/>
                <w:szCs w:val="21"/>
              </w:rPr>
              <w:t>（2）围脚：柜子底部安装塑料脚垫，高度为H10mm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szCs w:val="21"/>
              </w:rPr>
              <w:t>，直径17mm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szCs w:val="21"/>
              </w:rPr>
              <w:t>，软性防滑，可有效保护地面刮花并降低噪音。</w:t>
            </w:r>
          </w:p>
          <w:p w14:paraId="4724A766">
            <w:pPr>
              <w:jc w:val="left"/>
              <w:rPr>
                <w:rFonts w:hint="eastAsia" w:ascii="Times New Roman" w:hAnsi="Times New Roman"/>
                <w:szCs w:val="21"/>
              </w:rPr>
            </w:pPr>
            <w:r>
              <w:rPr>
                <w:rFonts w:hint="eastAsia" w:ascii="Times New Roman" w:hAnsi="Times New Roman"/>
                <w:szCs w:val="21"/>
              </w:rPr>
              <w:t>（3）采用的水性漆，全封闭涂装工艺，漆面光泽高透，颜色均匀。</w:t>
            </w:r>
          </w:p>
        </w:tc>
      </w:tr>
      <w:tr w14:paraId="72C8E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3" w:type="pct"/>
            <w:vMerge w:val="restart"/>
            <w:noWrap w:val="0"/>
            <w:vAlign w:val="center"/>
          </w:tcPr>
          <w:p w14:paraId="008E044A">
            <w:pPr>
              <w:keepNext w:val="0"/>
              <w:keepLines w:val="0"/>
              <w:widowControl/>
              <w:suppressLineNumbers w:val="0"/>
              <w:jc w:val="center"/>
              <w:textAlignment w:val="center"/>
              <w:rPr>
                <w:rFonts w:ascii="Times New Roman" w:hAnsi="Times New Roman"/>
                <w:szCs w:val="21"/>
              </w:rPr>
            </w:pPr>
            <w:r>
              <w:rPr>
                <w:rFonts w:hint="default" w:ascii="Arial" w:hAnsi="Arial" w:eastAsia="宋体" w:cs="Arial"/>
                <w:i w:val="0"/>
                <w:iCs w:val="0"/>
                <w:color w:val="000000"/>
                <w:kern w:val="0"/>
                <w:sz w:val="20"/>
                <w:szCs w:val="20"/>
                <w:u w:val="none"/>
                <w:lang w:val="en-US" w:eastAsia="zh-CN" w:bidi="ar"/>
              </w:rPr>
              <w:t xml:space="preserve">8 </w:t>
            </w:r>
          </w:p>
        </w:tc>
        <w:tc>
          <w:tcPr>
            <w:tcW w:w="440" w:type="pct"/>
            <w:vMerge w:val="restart"/>
            <w:noWrap w:val="0"/>
            <w:vAlign w:val="center"/>
          </w:tcPr>
          <w:p w14:paraId="44108D24">
            <w:pPr>
              <w:keepNext w:val="0"/>
              <w:keepLines w:val="0"/>
              <w:widowControl/>
              <w:suppressLineNumbers w:val="0"/>
              <w:jc w:val="center"/>
              <w:textAlignment w:val="center"/>
              <w:rPr>
                <w:rFonts w:hint="eastAsia" w:ascii="Times New Roman" w:hAnsi="Times New Roman"/>
                <w:szCs w:val="21"/>
              </w:rPr>
            </w:pPr>
            <w:r>
              <w:rPr>
                <w:rFonts w:hint="eastAsia" w:ascii="宋体" w:hAnsi="宋体" w:eastAsia="宋体" w:cs="宋体"/>
                <w:i w:val="0"/>
                <w:iCs w:val="0"/>
                <w:color w:val="000000"/>
                <w:kern w:val="0"/>
                <w:sz w:val="20"/>
                <w:szCs w:val="20"/>
                <w:u w:val="none"/>
                <w:lang w:val="en-US" w:eastAsia="zh-CN" w:bidi="ar"/>
              </w:rPr>
              <w:t>2层90°弧形矮柜</w:t>
            </w:r>
          </w:p>
        </w:tc>
        <w:tc>
          <w:tcPr>
            <w:tcW w:w="4225" w:type="pct"/>
            <w:noWrap w:val="0"/>
            <w:vAlign w:val="center"/>
          </w:tcPr>
          <w:p w14:paraId="23AC4DC3">
            <w:pPr>
              <w:jc w:val="left"/>
              <w:rPr>
                <w:rFonts w:hint="eastAsia" w:ascii="Times New Roman" w:hAnsi="Times New Roman"/>
                <w:szCs w:val="21"/>
              </w:rPr>
            </w:pPr>
            <w:r>
              <w:rPr>
                <w:rFonts w:hint="eastAsia" w:ascii="Times New Roman" w:hAnsi="Times New Roman"/>
                <w:szCs w:val="21"/>
              </w:rPr>
              <w:t>规格：L84xW38.5xH59cm（±3cm）</w:t>
            </w:r>
          </w:p>
        </w:tc>
      </w:tr>
      <w:tr w14:paraId="63D6F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3" w:type="pct"/>
            <w:vMerge w:val="continue"/>
            <w:noWrap w:val="0"/>
            <w:vAlign w:val="center"/>
          </w:tcPr>
          <w:p w14:paraId="207A9E93">
            <w:pPr>
              <w:jc w:val="center"/>
              <w:rPr>
                <w:rFonts w:ascii="Times New Roman" w:hAnsi="Times New Roman"/>
                <w:szCs w:val="21"/>
              </w:rPr>
            </w:pPr>
          </w:p>
        </w:tc>
        <w:tc>
          <w:tcPr>
            <w:tcW w:w="440" w:type="pct"/>
            <w:vMerge w:val="continue"/>
            <w:noWrap w:val="0"/>
            <w:vAlign w:val="center"/>
          </w:tcPr>
          <w:p w14:paraId="0D615957">
            <w:pPr>
              <w:jc w:val="center"/>
              <w:rPr>
                <w:rFonts w:hint="eastAsia" w:ascii="Times New Roman" w:hAnsi="Times New Roman"/>
                <w:szCs w:val="21"/>
              </w:rPr>
            </w:pPr>
          </w:p>
        </w:tc>
        <w:tc>
          <w:tcPr>
            <w:tcW w:w="4225" w:type="pct"/>
            <w:noWrap w:val="0"/>
            <w:vAlign w:val="top"/>
          </w:tcPr>
          <w:p w14:paraId="6A548ED6">
            <w:pPr>
              <w:jc w:val="left"/>
              <w:rPr>
                <w:rFonts w:hint="eastAsia" w:ascii="Times New Roman" w:hAnsi="Times New Roman"/>
                <w:szCs w:val="21"/>
              </w:rPr>
            </w:pPr>
            <w:r>
              <w:rPr>
                <w:rFonts w:hint="eastAsia" w:ascii="Times New Roman" w:hAnsi="Times New Roman"/>
                <w:szCs w:val="21"/>
              </w:rPr>
              <w:t>1、工艺设计：</w:t>
            </w:r>
          </w:p>
          <w:p w14:paraId="487B1D61">
            <w:pPr>
              <w:jc w:val="left"/>
              <w:rPr>
                <w:rFonts w:hint="eastAsia" w:ascii="Times New Roman" w:hAnsi="Times New Roman"/>
                <w:szCs w:val="21"/>
              </w:rPr>
            </w:pPr>
            <w:r>
              <w:rPr>
                <w:rFonts w:hint="eastAsia" w:ascii="Times New Roman" w:hAnsi="Times New Roman"/>
                <w:szCs w:val="21"/>
              </w:rPr>
              <w:t>（1）90°弧形设计，可搭配区角使用作转角连接。</w:t>
            </w:r>
          </w:p>
          <w:p w14:paraId="2B572B4D">
            <w:pPr>
              <w:jc w:val="left"/>
              <w:rPr>
                <w:rFonts w:hint="eastAsia" w:ascii="Times New Roman" w:hAnsi="Times New Roman"/>
                <w:szCs w:val="21"/>
              </w:rPr>
            </w:pPr>
            <w:r>
              <w:rPr>
                <w:rFonts w:hint="eastAsia" w:ascii="Times New Roman" w:hAnsi="Times New Roman"/>
                <w:szCs w:val="21"/>
              </w:rPr>
              <w:t>（2）所有螺丝位无毛刺不刮手，四角及边沿采用圆角/圆边处理以及安全防撞设计，最大程度的避免儿童磕碰伤害，结构稳固。</w:t>
            </w:r>
          </w:p>
        </w:tc>
      </w:tr>
      <w:tr w14:paraId="5C09D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3" w:type="pct"/>
            <w:vMerge w:val="continue"/>
            <w:noWrap w:val="0"/>
            <w:vAlign w:val="center"/>
          </w:tcPr>
          <w:p w14:paraId="4E6A5C4A">
            <w:pPr>
              <w:jc w:val="center"/>
              <w:rPr>
                <w:rFonts w:ascii="Times New Roman" w:hAnsi="Times New Roman"/>
                <w:szCs w:val="21"/>
              </w:rPr>
            </w:pPr>
          </w:p>
        </w:tc>
        <w:tc>
          <w:tcPr>
            <w:tcW w:w="440" w:type="pct"/>
            <w:vMerge w:val="continue"/>
            <w:noWrap w:val="0"/>
            <w:vAlign w:val="center"/>
          </w:tcPr>
          <w:p w14:paraId="3B3CD818">
            <w:pPr>
              <w:jc w:val="center"/>
              <w:rPr>
                <w:rFonts w:hint="eastAsia" w:ascii="Times New Roman" w:hAnsi="Times New Roman"/>
                <w:szCs w:val="21"/>
              </w:rPr>
            </w:pPr>
          </w:p>
        </w:tc>
        <w:tc>
          <w:tcPr>
            <w:tcW w:w="4225" w:type="pct"/>
            <w:noWrap w:val="0"/>
            <w:vAlign w:val="top"/>
          </w:tcPr>
          <w:p w14:paraId="722040EE">
            <w:pPr>
              <w:jc w:val="left"/>
              <w:rPr>
                <w:rFonts w:hint="eastAsia" w:ascii="Times New Roman" w:hAnsi="Times New Roman"/>
                <w:szCs w:val="21"/>
              </w:rPr>
            </w:pPr>
            <w:r>
              <w:rPr>
                <w:rFonts w:hint="eastAsia" w:ascii="Times New Roman" w:hAnsi="Times New Roman"/>
                <w:szCs w:val="21"/>
              </w:rPr>
              <w:t>2、外观结构：</w:t>
            </w:r>
          </w:p>
          <w:p w14:paraId="46E0743E">
            <w:pPr>
              <w:jc w:val="left"/>
              <w:rPr>
                <w:rFonts w:hint="eastAsia" w:ascii="Times New Roman" w:hAnsi="Times New Roman"/>
                <w:szCs w:val="21"/>
              </w:rPr>
            </w:pPr>
            <w:r>
              <w:rPr>
                <w:rFonts w:hint="eastAsia" w:ascii="Times New Roman" w:hAnsi="Times New Roman"/>
                <w:szCs w:val="21"/>
              </w:rPr>
              <w:t>（1）柜体：采用16mm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szCs w:val="21"/>
              </w:rPr>
              <w:t>的橡胶木拼板。通透2层矮柜，上下内空高度为236mm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szCs w:val="21"/>
              </w:rPr>
              <w:t>，柜体呈90°弧形。</w:t>
            </w:r>
          </w:p>
          <w:p w14:paraId="3A21900F">
            <w:pPr>
              <w:jc w:val="left"/>
              <w:rPr>
                <w:rFonts w:hint="eastAsia" w:ascii="Times New Roman" w:hAnsi="Times New Roman"/>
                <w:szCs w:val="21"/>
              </w:rPr>
            </w:pPr>
            <w:r>
              <w:rPr>
                <w:rFonts w:hint="eastAsia" w:ascii="Times New Roman" w:hAnsi="Times New Roman"/>
                <w:szCs w:val="21"/>
              </w:rPr>
              <w:t>（2）围脚：采用厚度18mm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szCs w:val="21"/>
              </w:rPr>
              <w:t>的多层胶合弯板，柜子底部安装塑料脚垫，高度为H10mm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szCs w:val="21"/>
              </w:rPr>
              <w:t>，直径17mm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szCs w:val="21"/>
              </w:rPr>
              <w:t>，软性防滑，可有效保护地面刮花并降低噪音。</w:t>
            </w:r>
          </w:p>
          <w:p w14:paraId="07D6D7A8">
            <w:pPr>
              <w:jc w:val="left"/>
              <w:rPr>
                <w:rFonts w:hint="eastAsia" w:ascii="Times New Roman" w:hAnsi="Times New Roman"/>
                <w:szCs w:val="21"/>
              </w:rPr>
            </w:pPr>
            <w:r>
              <w:rPr>
                <w:rFonts w:hint="eastAsia" w:ascii="Times New Roman" w:hAnsi="Times New Roman"/>
                <w:szCs w:val="21"/>
              </w:rPr>
              <w:t>（3）采用的水性漆，全封闭涂装工艺，漆面光泽高透，颜色均匀。</w:t>
            </w:r>
          </w:p>
        </w:tc>
      </w:tr>
      <w:tr w14:paraId="4262B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3" w:type="pct"/>
            <w:vMerge w:val="restart"/>
            <w:noWrap w:val="0"/>
            <w:vAlign w:val="center"/>
          </w:tcPr>
          <w:p w14:paraId="3E505E06">
            <w:pPr>
              <w:keepNext w:val="0"/>
              <w:keepLines w:val="0"/>
              <w:widowControl/>
              <w:suppressLineNumbers w:val="0"/>
              <w:jc w:val="center"/>
              <w:textAlignment w:val="center"/>
              <w:rPr>
                <w:rFonts w:ascii="Times New Roman" w:hAnsi="Times New Roman"/>
                <w:szCs w:val="21"/>
              </w:rPr>
            </w:pPr>
            <w:r>
              <w:rPr>
                <w:rFonts w:hint="default" w:ascii="Arial" w:hAnsi="Arial" w:eastAsia="宋体" w:cs="Arial"/>
                <w:i w:val="0"/>
                <w:iCs w:val="0"/>
                <w:color w:val="000000"/>
                <w:kern w:val="0"/>
                <w:sz w:val="20"/>
                <w:szCs w:val="20"/>
                <w:u w:val="none"/>
                <w:lang w:val="en-US" w:eastAsia="zh-CN" w:bidi="ar"/>
              </w:rPr>
              <w:t xml:space="preserve">9 </w:t>
            </w:r>
          </w:p>
        </w:tc>
        <w:tc>
          <w:tcPr>
            <w:tcW w:w="440" w:type="pct"/>
            <w:vMerge w:val="restart"/>
            <w:noWrap w:val="0"/>
            <w:vAlign w:val="center"/>
          </w:tcPr>
          <w:p w14:paraId="33513145">
            <w:pPr>
              <w:keepNext w:val="0"/>
              <w:keepLines w:val="0"/>
              <w:widowControl/>
              <w:suppressLineNumbers w:val="0"/>
              <w:jc w:val="center"/>
              <w:textAlignment w:val="center"/>
              <w:rPr>
                <w:rFonts w:hint="eastAsia" w:ascii="Times New Roman" w:hAnsi="Times New Roman"/>
                <w:szCs w:val="21"/>
              </w:rPr>
            </w:pPr>
            <w:r>
              <w:rPr>
                <w:rFonts w:hint="eastAsia" w:ascii="宋体" w:hAnsi="宋体" w:eastAsia="宋体" w:cs="宋体"/>
                <w:i w:val="0"/>
                <w:iCs w:val="0"/>
                <w:color w:val="000000"/>
                <w:kern w:val="0"/>
                <w:sz w:val="20"/>
                <w:szCs w:val="20"/>
                <w:u w:val="none"/>
                <w:lang w:val="en-US" w:eastAsia="zh-CN" w:bidi="ar"/>
              </w:rPr>
              <w:t>5格分区矮柜.无背板</w:t>
            </w:r>
          </w:p>
        </w:tc>
        <w:tc>
          <w:tcPr>
            <w:tcW w:w="4225" w:type="pct"/>
            <w:noWrap w:val="0"/>
            <w:vAlign w:val="center"/>
          </w:tcPr>
          <w:p w14:paraId="2151E571">
            <w:pPr>
              <w:jc w:val="left"/>
              <w:rPr>
                <w:rFonts w:hint="eastAsia" w:ascii="Times New Roman" w:hAnsi="Times New Roman"/>
                <w:szCs w:val="21"/>
              </w:rPr>
            </w:pPr>
            <w:r>
              <w:rPr>
                <w:rFonts w:hint="eastAsia" w:ascii="Times New Roman" w:hAnsi="Times New Roman"/>
                <w:szCs w:val="21"/>
              </w:rPr>
              <w:t>规格：L91.5xW30xH59cm（±3cm）</w:t>
            </w:r>
          </w:p>
        </w:tc>
      </w:tr>
      <w:tr w14:paraId="1C5B1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3" w:type="pct"/>
            <w:vMerge w:val="continue"/>
            <w:noWrap w:val="0"/>
            <w:vAlign w:val="center"/>
          </w:tcPr>
          <w:p w14:paraId="34829718">
            <w:pPr>
              <w:jc w:val="center"/>
              <w:rPr>
                <w:rFonts w:hint="eastAsia" w:ascii="Times New Roman" w:hAnsi="Times New Roman"/>
                <w:szCs w:val="21"/>
              </w:rPr>
            </w:pPr>
          </w:p>
        </w:tc>
        <w:tc>
          <w:tcPr>
            <w:tcW w:w="440" w:type="pct"/>
            <w:vMerge w:val="continue"/>
            <w:noWrap w:val="0"/>
            <w:vAlign w:val="center"/>
          </w:tcPr>
          <w:p w14:paraId="7B19EB24">
            <w:pPr>
              <w:jc w:val="center"/>
              <w:rPr>
                <w:rFonts w:hint="eastAsia" w:ascii="Times New Roman" w:hAnsi="Times New Roman"/>
                <w:szCs w:val="21"/>
              </w:rPr>
            </w:pPr>
          </w:p>
        </w:tc>
        <w:tc>
          <w:tcPr>
            <w:tcW w:w="4225" w:type="pct"/>
            <w:noWrap w:val="0"/>
            <w:vAlign w:val="top"/>
          </w:tcPr>
          <w:p w14:paraId="39631935">
            <w:pPr>
              <w:jc w:val="left"/>
              <w:rPr>
                <w:rFonts w:hint="eastAsia" w:ascii="Times New Roman" w:hAnsi="Times New Roman"/>
                <w:szCs w:val="21"/>
              </w:rPr>
            </w:pPr>
            <w:r>
              <w:rPr>
                <w:rFonts w:hint="eastAsia" w:ascii="Times New Roman" w:hAnsi="Times New Roman"/>
                <w:szCs w:val="21"/>
              </w:rPr>
              <w:t>1、工艺设计：</w:t>
            </w:r>
          </w:p>
          <w:p w14:paraId="46D1A19E">
            <w:pPr>
              <w:jc w:val="left"/>
              <w:rPr>
                <w:rFonts w:hint="eastAsia" w:ascii="Times New Roman" w:hAnsi="Times New Roman"/>
                <w:szCs w:val="21"/>
              </w:rPr>
            </w:pPr>
            <w:r>
              <w:rPr>
                <w:rFonts w:hint="eastAsia" w:ascii="Times New Roman" w:hAnsi="Times New Roman"/>
                <w:szCs w:val="21"/>
              </w:rPr>
              <w:t>（1）采用翻板活动轮工艺，移动/固定自由切换。</w:t>
            </w:r>
          </w:p>
          <w:p w14:paraId="45569657">
            <w:pPr>
              <w:jc w:val="left"/>
              <w:rPr>
                <w:rFonts w:hint="eastAsia" w:ascii="Times New Roman" w:hAnsi="Times New Roman"/>
                <w:szCs w:val="21"/>
              </w:rPr>
            </w:pPr>
            <w:r>
              <w:rPr>
                <w:rFonts w:hint="eastAsia" w:ascii="Times New Roman" w:hAnsi="Times New Roman"/>
                <w:szCs w:val="21"/>
              </w:rPr>
              <w:t>（2）所有螺丝位无毛刺不刮手，四角及边沿采用圆角/圆边处理以及安全防撞设计，最大程度的避免儿童磕碰伤害，结构稳固。</w:t>
            </w:r>
          </w:p>
        </w:tc>
      </w:tr>
      <w:tr w14:paraId="3F63C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3" w:type="pct"/>
            <w:vMerge w:val="continue"/>
            <w:noWrap w:val="0"/>
            <w:vAlign w:val="center"/>
          </w:tcPr>
          <w:p w14:paraId="32E925CB">
            <w:pPr>
              <w:jc w:val="center"/>
              <w:rPr>
                <w:rFonts w:ascii="Times New Roman" w:hAnsi="Times New Roman"/>
                <w:szCs w:val="21"/>
              </w:rPr>
            </w:pPr>
          </w:p>
        </w:tc>
        <w:tc>
          <w:tcPr>
            <w:tcW w:w="440" w:type="pct"/>
            <w:vMerge w:val="continue"/>
            <w:noWrap w:val="0"/>
            <w:vAlign w:val="center"/>
          </w:tcPr>
          <w:p w14:paraId="5F431C71">
            <w:pPr>
              <w:jc w:val="center"/>
              <w:rPr>
                <w:rFonts w:hint="eastAsia" w:ascii="Times New Roman" w:hAnsi="Times New Roman"/>
                <w:szCs w:val="21"/>
              </w:rPr>
            </w:pPr>
          </w:p>
        </w:tc>
        <w:tc>
          <w:tcPr>
            <w:tcW w:w="4225" w:type="pct"/>
            <w:noWrap w:val="0"/>
            <w:vAlign w:val="top"/>
          </w:tcPr>
          <w:p w14:paraId="655EC812">
            <w:pPr>
              <w:jc w:val="left"/>
              <w:rPr>
                <w:rFonts w:hint="eastAsia" w:ascii="Times New Roman" w:hAnsi="Times New Roman"/>
                <w:szCs w:val="21"/>
              </w:rPr>
            </w:pPr>
            <w:r>
              <w:rPr>
                <w:rFonts w:hint="eastAsia" w:ascii="Times New Roman" w:hAnsi="Times New Roman"/>
                <w:szCs w:val="21"/>
              </w:rPr>
              <w:t>2、外观结构及材质：</w:t>
            </w:r>
          </w:p>
          <w:p w14:paraId="6DABBA5A">
            <w:pPr>
              <w:jc w:val="left"/>
              <w:rPr>
                <w:rFonts w:hint="eastAsia" w:ascii="Times New Roman" w:hAnsi="Times New Roman"/>
                <w:szCs w:val="21"/>
              </w:rPr>
            </w:pPr>
            <w:r>
              <w:rPr>
                <w:rFonts w:hint="eastAsia" w:ascii="Times New Roman" w:hAnsi="Times New Roman"/>
                <w:szCs w:val="21"/>
              </w:rPr>
              <w:t>（1）柜体：采用16mm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szCs w:val="21"/>
              </w:rPr>
              <w:t>的橡胶木拼板。上层两个格子，内空尺寸：434x300x236mm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szCs w:val="21"/>
              </w:rPr>
              <w:t>,下层三个格子，内空尺寸：284x300x236mm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szCs w:val="21"/>
              </w:rPr>
              <w:t>。</w:t>
            </w:r>
          </w:p>
          <w:p w14:paraId="40844F88">
            <w:pPr>
              <w:jc w:val="left"/>
              <w:rPr>
                <w:rFonts w:hint="eastAsia" w:ascii="Times New Roman" w:hAnsi="Times New Roman"/>
                <w:szCs w:val="21"/>
              </w:rPr>
            </w:pPr>
            <w:r>
              <w:rPr>
                <w:rFonts w:hint="eastAsia" w:ascii="Times New Roman" w:hAnsi="Times New Roman"/>
                <w:szCs w:val="21"/>
              </w:rPr>
              <w:t>（2）围脚：采用厚度18mm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szCs w:val="21"/>
              </w:rPr>
              <w:t>的橡胶木拼板。柜体与底部围脚采用塑料连接件实现翻板功能，脚轮为静音万向轮，安装在围脚侧板内，当家具固定时，围脚侧板向下翻，万向轮则隐藏于侧板内；当家具需要移动时，围脚侧板向上翻，塑料连接件卡扣对侧板进行固定，万向轮支撑起家具的重量，无须抬起轻松实现家具位置转移。</w:t>
            </w:r>
          </w:p>
          <w:p w14:paraId="4895BF8A">
            <w:pPr>
              <w:jc w:val="left"/>
              <w:rPr>
                <w:rFonts w:hint="eastAsia" w:ascii="Times New Roman" w:hAnsi="Times New Roman"/>
                <w:szCs w:val="21"/>
              </w:rPr>
            </w:pPr>
            <w:r>
              <w:rPr>
                <w:rFonts w:hint="eastAsia" w:ascii="Times New Roman" w:hAnsi="Times New Roman"/>
                <w:szCs w:val="21"/>
              </w:rPr>
              <w:t>（3）采用的水性漆，全封闭涂装工艺，漆面光泽高透，颜色均匀。</w:t>
            </w:r>
          </w:p>
        </w:tc>
      </w:tr>
      <w:tr w14:paraId="69A42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3" w:type="pct"/>
            <w:vMerge w:val="restart"/>
            <w:noWrap w:val="0"/>
            <w:vAlign w:val="center"/>
          </w:tcPr>
          <w:p w14:paraId="023DD426">
            <w:pPr>
              <w:keepNext w:val="0"/>
              <w:keepLines w:val="0"/>
              <w:widowControl/>
              <w:suppressLineNumbers w:val="0"/>
              <w:jc w:val="center"/>
              <w:textAlignment w:val="center"/>
              <w:rPr>
                <w:rFonts w:ascii="Times New Roman" w:hAnsi="Times New Roman"/>
                <w:szCs w:val="21"/>
              </w:rPr>
            </w:pPr>
            <w:r>
              <w:rPr>
                <w:rFonts w:hint="default" w:ascii="Arial" w:hAnsi="Arial" w:eastAsia="宋体" w:cs="Arial"/>
                <w:i w:val="0"/>
                <w:iCs w:val="0"/>
                <w:color w:val="000000"/>
                <w:kern w:val="0"/>
                <w:sz w:val="20"/>
                <w:szCs w:val="20"/>
                <w:u w:val="none"/>
                <w:lang w:val="en-US" w:eastAsia="zh-CN" w:bidi="ar"/>
              </w:rPr>
              <w:t xml:space="preserve">10 </w:t>
            </w:r>
          </w:p>
        </w:tc>
        <w:tc>
          <w:tcPr>
            <w:tcW w:w="440" w:type="pct"/>
            <w:vMerge w:val="restart"/>
            <w:noWrap w:val="0"/>
            <w:vAlign w:val="center"/>
          </w:tcPr>
          <w:p w14:paraId="4FFCFFAB">
            <w:pPr>
              <w:keepNext w:val="0"/>
              <w:keepLines w:val="0"/>
              <w:widowControl/>
              <w:suppressLineNumbers w:val="0"/>
              <w:jc w:val="center"/>
              <w:textAlignment w:val="center"/>
              <w:rPr>
                <w:rFonts w:hint="eastAsia" w:ascii="Times New Roman" w:hAnsi="Times New Roman"/>
                <w:szCs w:val="21"/>
              </w:rPr>
            </w:pPr>
            <w:r>
              <w:rPr>
                <w:rFonts w:hint="eastAsia" w:ascii="宋体" w:hAnsi="宋体" w:eastAsia="宋体" w:cs="宋体"/>
                <w:i w:val="0"/>
                <w:iCs w:val="0"/>
                <w:color w:val="000000"/>
                <w:kern w:val="0"/>
                <w:sz w:val="20"/>
                <w:szCs w:val="20"/>
                <w:u w:val="none"/>
                <w:lang w:val="en-US" w:eastAsia="zh-CN" w:bidi="ar"/>
              </w:rPr>
              <w:t>2层矮柜.可调节.无背板</w:t>
            </w:r>
          </w:p>
        </w:tc>
        <w:tc>
          <w:tcPr>
            <w:tcW w:w="4225" w:type="pct"/>
            <w:noWrap w:val="0"/>
            <w:vAlign w:val="center"/>
          </w:tcPr>
          <w:p w14:paraId="15653672">
            <w:pPr>
              <w:jc w:val="left"/>
              <w:rPr>
                <w:rFonts w:hint="eastAsia" w:ascii="Times New Roman" w:hAnsi="Times New Roman"/>
                <w:szCs w:val="21"/>
              </w:rPr>
            </w:pPr>
            <w:r>
              <w:rPr>
                <w:rFonts w:hint="eastAsia" w:ascii="Times New Roman" w:hAnsi="Times New Roman"/>
                <w:szCs w:val="21"/>
              </w:rPr>
              <w:t>规格：规格：L91.5xW30xH59cm（±3cm）</w:t>
            </w:r>
          </w:p>
        </w:tc>
      </w:tr>
      <w:tr w14:paraId="04F83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3" w:type="pct"/>
            <w:vMerge w:val="continue"/>
            <w:noWrap w:val="0"/>
            <w:vAlign w:val="center"/>
          </w:tcPr>
          <w:p w14:paraId="2593717E">
            <w:pPr>
              <w:jc w:val="center"/>
              <w:rPr>
                <w:rFonts w:hint="eastAsia" w:ascii="Times New Roman" w:hAnsi="Times New Roman"/>
                <w:szCs w:val="21"/>
              </w:rPr>
            </w:pPr>
          </w:p>
        </w:tc>
        <w:tc>
          <w:tcPr>
            <w:tcW w:w="440" w:type="pct"/>
            <w:vMerge w:val="continue"/>
            <w:noWrap w:val="0"/>
            <w:vAlign w:val="center"/>
          </w:tcPr>
          <w:p w14:paraId="5F3DA68A">
            <w:pPr>
              <w:jc w:val="center"/>
              <w:rPr>
                <w:rFonts w:hint="eastAsia" w:ascii="Times New Roman" w:hAnsi="Times New Roman"/>
                <w:szCs w:val="21"/>
              </w:rPr>
            </w:pPr>
          </w:p>
        </w:tc>
        <w:tc>
          <w:tcPr>
            <w:tcW w:w="4225" w:type="pct"/>
            <w:noWrap w:val="0"/>
            <w:vAlign w:val="top"/>
          </w:tcPr>
          <w:p w14:paraId="4C28DE10">
            <w:pPr>
              <w:jc w:val="left"/>
              <w:rPr>
                <w:rFonts w:hint="eastAsia" w:ascii="Times New Roman" w:hAnsi="Times New Roman"/>
                <w:szCs w:val="21"/>
              </w:rPr>
            </w:pPr>
            <w:r>
              <w:rPr>
                <w:rFonts w:hint="eastAsia" w:ascii="Times New Roman" w:hAnsi="Times New Roman"/>
                <w:szCs w:val="21"/>
              </w:rPr>
              <w:t>1、工艺设计：</w:t>
            </w:r>
          </w:p>
          <w:p w14:paraId="7C4B21CA">
            <w:pPr>
              <w:jc w:val="left"/>
              <w:rPr>
                <w:rFonts w:hint="eastAsia" w:ascii="Times New Roman" w:hAnsi="Times New Roman"/>
                <w:szCs w:val="21"/>
              </w:rPr>
            </w:pPr>
            <w:r>
              <w:rPr>
                <w:rFonts w:hint="eastAsia" w:ascii="Times New Roman" w:hAnsi="Times New Roman"/>
                <w:szCs w:val="21"/>
              </w:rPr>
              <w:t>（1）采用翻板活动轮工艺，移动/固定自由切换。</w:t>
            </w:r>
          </w:p>
          <w:p w14:paraId="341872DF">
            <w:pPr>
              <w:jc w:val="left"/>
              <w:rPr>
                <w:rFonts w:hint="eastAsia" w:ascii="Times New Roman" w:hAnsi="Times New Roman"/>
                <w:szCs w:val="21"/>
              </w:rPr>
            </w:pPr>
            <w:r>
              <w:rPr>
                <w:rFonts w:hint="eastAsia" w:ascii="Times New Roman" w:hAnsi="Times New Roman"/>
                <w:szCs w:val="21"/>
              </w:rPr>
              <w:t>（2）层板可调设计，提高空间利用率。</w:t>
            </w:r>
          </w:p>
          <w:p w14:paraId="1BEA13E7">
            <w:pPr>
              <w:jc w:val="left"/>
              <w:rPr>
                <w:rFonts w:hint="eastAsia" w:ascii="Times New Roman" w:hAnsi="Times New Roman"/>
                <w:szCs w:val="21"/>
              </w:rPr>
            </w:pPr>
            <w:r>
              <w:rPr>
                <w:rFonts w:hint="eastAsia" w:ascii="Times New Roman" w:hAnsi="Times New Roman"/>
                <w:szCs w:val="21"/>
              </w:rPr>
              <w:t>（3）所有螺丝位无毛刺不刮手，四角及边沿采用圆角/圆边处理以及安全防撞设计，最大程度的避免儿童磕碰伤害，结构稳固。</w:t>
            </w:r>
          </w:p>
        </w:tc>
      </w:tr>
      <w:tr w14:paraId="2B1C9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3" w:type="pct"/>
            <w:vMerge w:val="continue"/>
            <w:noWrap w:val="0"/>
            <w:vAlign w:val="center"/>
          </w:tcPr>
          <w:p w14:paraId="6EDD552A">
            <w:pPr>
              <w:jc w:val="center"/>
              <w:rPr>
                <w:rFonts w:ascii="Times New Roman" w:hAnsi="Times New Roman"/>
                <w:szCs w:val="21"/>
              </w:rPr>
            </w:pPr>
          </w:p>
        </w:tc>
        <w:tc>
          <w:tcPr>
            <w:tcW w:w="440" w:type="pct"/>
            <w:vMerge w:val="continue"/>
            <w:noWrap w:val="0"/>
            <w:vAlign w:val="center"/>
          </w:tcPr>
          <w:p w14:paraId="7E6ECC61">
            <w:pPr>
              <w:jc w:val="center"/>
              <w:rPr>
                <w:rFonts w:hint="eastAsia" w:ascii="Times New Roman" w:hAnsi="Times New Roman"/>
                <w:szCs w:val="21"/>
              </w:rPr>
            </w:pPr>
          </w:p>
        </w:tc>
        <w:tc>
          <w:tcPr>
            <w:tcW w:w="4225" w:type="pct"/>
            <w:noWrap w:val="0"/>
            <w:vAlign w:val="top"/>
          </w:tcPr>
          <w:p w14:paraId="36760A75">
            <w:pPr>
              <w:jc w:val="left"/>
              <w:rPr>
                <w:rFonts w:hint="eastAsia" w:ascii="Times New Roman" w:hAnsi="Times New Roman"/>
                <w:szCs w:val="21"/>
              </w:rPr>
            </w:pPr>
            <w:r>
              <w:rPr>
                <w:rFonts w:hint="eastAsia" w:ascii="Times New Roman" w:hAnsi="Times New Roman"/>
                <w:szCs w:val="21"/>
              </w:rPr>
              <w:t>2、外观结构及材质：</w:t>
            </w:r>
          </w:p>
          <w:p w14:paraId="6DB76EED">
            <w:pPr>
              <w:jc w:val="left"/>
              <w:rPr>
                <w:rFonts w:hint="eastAsia" w:ascii="Times New Roman" w:hAnsi="Times New Roman"/>
                <w:szCs w:val="21"/>
              </w:rPr>
            </w:pPr>
            <w:r>
              <w:rPr>
                <w:rFonts w:hint="eastAsia" w:ascii="Times New Roman" w:hAnsi="Times New Roman"/>
                <w:szCs w:val="21"/>
              </w:rPr>
              <w:t>（1）柜体：采用16mm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szCs w:val="21"/>
              </w:rPr>
              <w:t>的橡胶木拼板。柜子长度内空：884mm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szCs w:val="21"/>
              </w:rPr>
              <w:t>，上下两层，中间一块层板。柜子内侧配塑料一次成型呈浅咖色长度440mm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szCs w:val="21"/>
              </w:rPr>
              <w:t>的活动层板支撑条，内嵌式安装嵌入深度4.5mm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szCs w:val="21"/>
              </w:rPr>
              <w:t>，固定条凸11mm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szCs w:val="21"/>
              </w:rPr>
              <w:t>,灵活安全使用层板，不占用空间，共15个挡位、每挡28mm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szCs w:val="21"/>
              </w:rPr>
              <w:t>，可实现层板自选放置高度。</w:t>
            </w:r>
          </w:p>
          <w:p w14:paraId="75512A73">
            <w:pPr>
              <w:jc w:val="left"/>
              <w:rPr>
                <w:rFonts w:hint="eastAsia" w:ascii="Times New Roman" w:hAnsi="Times New Roman"/>
                <w:szCs w:val="21"/>
              </w:rPr>
            </w:pPr>
            <w:r>
              <w:rPr>
                <w:rFonts w:hint="eastAsia" w:ascii="Times New Roman" w:hAnsi="Times New Roman"/>
                <w:szCs w:val="21"/>
              </w:rPr>
              <w:t>（2）围脚：采用厚度18mm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szCs w:val="21"/>
              </w:rPr>
              <w:t>的橡胶木拼板。柜体与底部围脚采用塑料连接件实现翻板功能，脚轮为静音万向轮，安装在围脚侧板内，当家具固定时，围脚侧板向下翻，万向轮则隐藏于侧板内；当家具需要移动时，围脚侧板向上翻，塑料连接件卡扣对侧板进行固定，万向轮支撑起家具的重量，无须抬起轻松实现家具位置转移。</w:t>
            </w:r>
          </w:p>
          <w:p w14:paraId="12E200C3">
            <w:pPr>
              <w:jc w:val="left"/>
              <w:rPr>
                <w:rFonts w:hint="eastAsia" w:ascii="Times New Roman" w:hAnsi="Times New Roman"/>
                <w:szCs w:val="21"/>
              </w:rPr>
            </w:pPr>
            <w:r>
              <w:rPr>
                <w:rFonts w:hint="eastAsia" w:ascii="Times New Roman" w:hAnsi="Times New Roman"/>
                <w:szCs w:val="21"/>
              </w:rPr>
              <w:t>（3）采用的水性漆，全封闭涂装工艺，漆面光泽高透，颜色均匀。</w:t>
            </w:r>
          </w:p>
        </w:tc>
      </w:tr>
      <w:tr w14:paraId="18710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3" w:type="pct"/>
            <w:vMerge w:val="restart"/>
            <w:noWrap w:val="0"/>
            <w:vAlign w:val="center"/>
          </w:tcPr>
          <w:p w14:paraId="61E2019B">
            <w:pPr>
              <w:keepNext w:val="0"/>
              <w:keepLines w:val="0"/>
              <w:widowControl/>
              <w:suppressLineNumbers w:val="0"/>
              <w:jc w:val="center"/>
              <w:textAlignment w:val="center"/>
              <w:rPr>
                <w:rFonts w:ascii="Times New Roman" w:hAnsi="Times New Roman"/>
                <w:szCs w:val="21"/>
              </w:rPr>
            </w:pPr>
            <w:r>
              <w:rPr>
                <w:rFonts w:hint="default" w:ascii="Arial" w:hAnsi="Arial" w:eastAsia="宋体" w:cs="Arial"/>
                <w:i w:val="0"/>
                <w:iCs w:val="0"/>
                <w:color w:val="000000"/>
                <w:kern w:val="0"/>
                <w:sz w:val="20"/>
                <w:szCs w:val="20"/>
                <w:u w:val="none"/>
                <w:lang w:val="en-US" w:eastAsia="zh-CN" w:bidi="ar"/>
              </w:rPr>
              <w:t xml:space="preserve">11 </w:t>
            </w:r>
          </w:p>
        </w:tc>
        <w:tc>
          <w:tcPr>
            <w:tcW w:w="440" w:type="pct"/>
            <w:vMerge w:val="restart"/>
            <w:noWrap w:val="0"/>
            <w:vAlign w:val="center"/>
          </w:tcPr>
          <w:p w14:paraId="111A5575">
            <w:pPr>
              <w:keepNext w:val="0"/>
              <w:keepLines w:val="0"/>
              <w:widowControl/>
              <w:suppressLineNumbers w:val="0"/>
              <w:jc w:val="center"/>
              <w:textAlignment w:val="center"/>
              <w:rPr>
                <w:rFonts w:hint="eastAsia" w:ascii="Times New Roman" w:hAnsi="Times New Roman"/>
                <w:szCs w:val="21"/>
              </w:rPr>
            </w:pPr>
            <w:r>
              <w:rPr>
                <w:rFonts w:hint="eastAsia" w:ascii="宋体" w:hAnsi="宋体" w:eastAsia="宋体" w:cs="宋体"/>
                <w:i w:val="0"/>
                <w:iCs w:val="0"/>
                <w:color w:val="000000"/>
                <w:kern w:val="0"/>
                <w:sz w:val="20"/>
                <w:szCs w:val="20"/>
                <w:u w:val="none"/>
                <w:lang w:val="en-US" w:eastAsia="zh-CN" w:bidi="ar"/>
              </w:rPr>
              <w:t>弧形波纹挡板</w:t>
            </w:r>
          </w:p>
        </w:tc>
        <w:tc>
          <w:tcPr>
            <w:tcW w:w="4225" w:type="pct"/>
            <w:noWrap w:val="0"/>
            <w:vAlign w:val="top"/>
          </w:tcPr>
          <w:p w14:paraId="634DA4C9">
            <w:pPr>
              <w:jc w:val="left"/>
              <w:rPr>
                <w:rFonts w:hint="eastAsia" w:ascii="Times New Roman" w:hAnsi="Times New Roman"/>
                <w:szCs w:val="21"/>
              </w:rPr>
            </w:pPr>
            <w:r>
              <w:rPr>
                <w:rFonts w:hint="eastAsia" w:ascii="Times New Roman" w:hAnsi="Times New Roman"/>
                <w:szCs w:val="21"/>
              </w:rPr>
              <w:t>规格：L87xW22.5xH59cm（±3cm）</w:t>
            </w:r>
          </w:p>
          <w:p w14:paraId="10B3E325">
            <w:pPr>
              <w:jc w:val="left"/>
              <w:rPr>
                <w:rFonts w:hint="eastAsia" w:ascii="Times New Roman" w:hAnsi="Times New Roman"/>
                <w:szCs w:val="21"/>
              </w:rPr>
            </w:pPr>
            <w:r>
              <w:rPr>
                <w:rFonts w:hint="eastAsia" w:ascii="Times New Roman" w:hAnsi="Times New Roman"/>
                <w:szCs w:val="21"/>
              </w:rPr>
              <w:t>1、工艺设计：</w:t>
            </w:r>
          </w:p>
          <w:p w14:paraId="309ACCA5">
            <w:pPr>
              <w:jc w:val="left"/>
              <w:rPr>
                <w:rFonts w:hint="eastAsia" w:ascii="Times New Roman" w:hAnsi="Times New Roman"/>
                <w:szCs w:val="21"/>
              </w:rPr>
            </w:pPr>
            <w:r>
              <w:rPr>
                <w:rFonts w:hint="eastAsia" w:ascii="Times New Roman" w:hAnsi="Times New Roman"/>
                <w:szCs w:val="21"/>
              </w:rPr>
              <w:t>（1）半透明通透波纹板，能搭配其他产品形成围合区域，增强独立性与互动性。</w:t>
            </w:r>
          </w:p>
          <w:p w14:paraId="1C6DA522">
            <w:pPr>
              <w:jc w:val="left"/>
              <w:rPr>
                <w:rFonts w:hint="eastAsia" w:ascii="Times New Roman" w:hAnsi="Times New Roman"/>
                <w:szCs w:val="21"/>
              </w:rPr>
            </w:pPr>
            <w:r>
              <w:rPr>
                <w:rFonts w:hint="eastAsia" w:ascii="Times New Roman" w:hAnsi="Times New Roman"/>
                <w:szCs w:val="21"/>
              </w:rPr>
              <w:t>（2）所有螺丝位无毛刺不刮手，边角采用圆边/圆角处理以及安全防撞设计，最大程度的避免儿童磕碰伤害，结构稳固。</w:t>
            </w:r>
          </w:p>
        </w:tc>
      </w:tr>
      <w:tr w14:paraId="06C10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3" w:type="pct"/>
            <w:vMerge w:val="continue"/>
            <w:noWrap w:val="0"/>
            <w:vAlign w:val="center"/>
          </w:tcPr>
          <w:p w14:paraId="0FFB6981">
            <w:pPr>
              <w:jc w:val="center"/>
              <w:rPr>
                <w:rFonts w:hint="eastAsia" w:ascii="Times New Roman" w:hAnsi="Times New Roman"/>
                <w:szCs w:val="21"/>
              </w:rPr>
            </w:pPr>
          </w:p>
        </w:tc>
        <w:tc>
          <w:tcPr>
            <w:tcW w:w="440" w:type="pct"/>
            <w:vMerge w:val="continue"/>
            <w:noWrap w:val="0"/>
            <w:vAlign w:val="center"/>
          </w:tcPr>
          <w:p w14:paraId="04C098B4">
            <w:pPr>
              <w:jc w:val="center"/>
              <w:rPr>
                <w:rFonts w:hint="eastAsia" w:ascii="Times New Roman" w:hAnsi="Times New Roman"/>
                <w:szCs w:val="21"/>
              </w:rPr>
            </w:pPr>
          </w:p>
        </w:tc>
        <w:tc>
          <w:tcPr>
            <w:tcW w:w="4225" w:type="pct"/>
            <w:noWrap w:val="0"/>
            <w:vAlign w:val="top"/>
          </w:tcPr>
          <w:p w14:paraId="715F6CC9">
            <w:pPr>
              <w:jc w:val="left"/>
              <w:rPr>
                <w:rFonts w:hint="eastAsia" w:ascii="Times New Roman" w:hAnsi="Times New Roman"/>
                <w:szCs w:val="21"/>
              </w:rPr>
            </w:pPr>
            <w:r>
              <w:rPr>
                <w:rFonts w:hint="eastAsia" w:ascii="Times New Roman" w:hAnsi="Times New Roman"/>
                <w:szCs w:val="21"/>
              </w:rPr>
              <w:t>2、外观结构及材质：</w:t>
            </w:r>
          </w:p>
          <w:p w14:paraId="7E2BFA4E">
            <w:pPr>
              <w:jc w:val="left"/>
              <w:rPr>
                <w:rFonts w:hint="eastAsia" w:ascii="Times New Roman" w:hAnsi="Times New Roman"/>
                <w:szCs w:val="21"/>
              </w:rPr>
            </w:pPr>
            <w:r>
              <w:rPr>
                <w:rFonts w:hint="eastAsia" w:ascii="Times New Roman" w:hAnsi="Times New Roman"/>
                <w:szCs w:val="21"/>
              </w:rPr>
              <w:t>（1）采用厚度24mm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szCs w:val="21"/>
              </w:rPr>
              <w:t>的实木多层板，整体挡板呈1/4圆弧，整体挡板用于90°转角连接。</w:t>
            </w:r>
          </w:p>
          <w:p w14:paraId="3FD6298E">
            <w:pPr>
              <w:jc w:val="left"/>
              <w:rPr>
                <w:rFonts w:hint="eastAsia" w:ascii="Times New Roman" w:hAnsi="Times New Roman"/>
                <w:szCs w:val="21"/>
              </w:rPr>
            </w:pPr>
            <w:r>
              <w:rPr>
                <w:rFonts w:hint="eastAsia" w:ascii="Times New Roman" w:hAnsi="Times New Roman"/>
                <w:szCs w:val="21"/>
              </w:rPr>
              <w:t>（2）波纹板：芯板采用厚度8mm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szCs w:val="21"/>
              </w:rPr>
              <w:t>双层中空波纹板，共2块，表面光滑无缺陷，中空结构抗压性强，无毒。</w:t>
            </w:r>
          </w:p>
          <w:p w14:paraId="798DF358">
            <w:pPr>
              <w:jc w:val="left"/>
              <w:rPr>
                <w:rFonts w:hint="eastAsia" w:ascii="Times New Roman" w:hAnsi="Times New Roman"/>
                <w:szCs w:val="21"/>
              </w:rPr>
            </w:pPr>
            <w:r>
              <w:rPr>
                <w:rFonts w:hint="eastAsia" w:ascii="Times New Roman" w:hAnsi="Times New Roman"/>
                <w:szCs w:val="21"/>
              </w:rPr>
              <w:t>（3）油漆：采用的水性漆，全封闭涂装工艺，漆面光泽高透，颜色均匀。</w:t>
            </w:r>
          </w:p>
        </w:tc>
      </w:tr>
      <w:tr w14:paraId="753DD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3" w:type="pct"/>
            <w:vMerge w:val="restart"/>
            <w:noWrap w:val="0"/>
            <w:vAlign w:val="center"/>
          </w:tcPr>
          <w:p w14:paraId="72638D31">
            <w:pPr>
              <w:keepNext w:val="0"/>
              <w:keepLines w:val="0"/>
              <w:widowControl/>
              <w:suppressLineNumbers w:val="0"/>
              <w:jc w:val="center"/>
              <w:textAlignment w:val="center"/>
              <w:rPr>
                <w:rFonts w:ascii="Times New Roman" w:hAnsi="Times New Roman"/>
                <w:szCs w:val="21"/>
              </w:rPr>
            </w:pPr>
            <w:r>
              <w:rPr>
                <w:rFonts w:hint="default" w:ascii="Arial" w:hAnsi="Arial" w:eastAsia="宋体" w:cs="Arial"/>
                <w:i w:val="0"/>
                <w:iCs w:val="0"/>
                <w:color w:val="000000"/>
                <w:kern w:val="0"/>
                <w:sz w:val="20"/>
                <w:szCs w:val="20"/>
                <w:u w:val="none"/>
                <w:lang w:val="en-US" w:eastAsia="zh-CN" w:bidi="ar"/>
              </w:rPr>
              <w:t xml:space="preserve">12 </w:t>
            </w:r>
          </w:p>
        </w:tc>
        <w:tc>
          <w:tcPr>
            <w:tcW w:w="440" w:type="pct"/>
            <w:vMerge w:val="restart"/>
            <w:noWrap w:val="0"/>
            <w:vAlign w:val="center"/>
          </w:tcPr>
          <w:p w14:paraId="373736E4">
            <w:pPr>
              <w:keepNext w:val="0"/>
              <w:keepLines w:val="0"/>
              <w:widowControl/>
              <w:suppressLineNumbers w:val="0"/>
              <w:jc w:val="center"/>
              <w:textAlignment w:val="center"/>
              <w:rPr>
                <w:rFonts w:hint="eastAsia" w:ascii="Times New Roman" w:hAnsi="Times New Roman"/>
                <w:szCs w:val="21"/>
              </w:rPr>
            </w:pPr>
            <w:r>
              <w:rPr>
                <w:rFonts w:hint="eastAsia" w:ascii="宋体" w:hAnsi="宋体" w:eastAsia="宋体" w:cs="宋体"/>
                <w:i w:val="0"/>
                <w:iCs w:val="0"/>
                <w:color w:val="000000"/>
                <w:kern w:val="0"/>
                <w:sz w:val="20"/>
                <w:szCs w:val="20"/>
                <w:u w:val="none"/>
                <w:lang w:val="en-US" w:eastAsia="zh-CN" w:bidi="ar"/>
              </w:rPr>
              <w:t>涂色书架</w:t>
            </w:r>
          </w:p>
        </w:tc>
        <w:tc>
          <w:tcPr>
            <w:tcW w:w="4225" w:type="pct"/>
            <w:noWrap w:val="0"/>
            <w:vAlign w:val="center"/>
          </w:tcPr>
          <w:p w14:paraId="63294C86">
            <w:pPr>
              <w:jc w:val="left"/>
              <w:rPr>
                <w:rFonts w:hint="eastAsia" w:ascii="Times New Roman" w:hAnsi="Times New Roman"/>
                <w:szCs w:val="21"/>
              </w:rPr>
            </w:pPr>
            <w:r>
              <w:rPr>
                <w:rFonts w:hint="eastAsia" w:ascii="Times New Roman" w:hAnsi="Times New Roman"/>
                <w:szCs w:val="21"/>
              </w:rPr>
              <w:t>规格：L90xW30xH86cm（±3cm）</w:t>
            </w:r>
          </w:p>
        </w:tc>
      </w:tr>
      <w:tr w14:paraId="6D384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3" w:type="pct"/>
            <w:vMerge w:val="continue"/>
            <w:noWrap w:val="0"/>
            <w:vAlign w:val="center"/>
          </w:tcPr>
          <w:p w14:paraId="64E21E2C">
            <w:pPr>
              <w:jc w:val="center"/>
              <w:rPr>
                <w:rFonts w:hint="eastAsia" w:ascii="Times New Roman" w:hAnsi="Times New Roman"/>
                <w:szCs w:val="21"/>
              </w:rPr>
            </w:pPr>
          </w:p>
        </w:tc>
        <w:tc>
          <w:tcPr>
            <w:tcW w:w="440" w:type="pct"/>
            <w:vMerge w:val="continue"/>
            <w:noWrap w:val="0"/>
            <w:vAlign w:val="center"/>
          </w:tcPr>
          <w:p w14:paraId="1A3708E0">
            <w:pPr>
              <w:jc w:val="center"/>
              <w:rPr>
                <w:rFonts w:hint="eastAsia" w:ascii="Times New Roman" w:hAnsi="Times New Roman"/>
                <w:szCs w:val="21"/>
              </w:rPr>
            </w:pPr>
          </w:p>
        </w:tc>
        <w:tc>
          <w:tcPr>
            <w:tcW w:w="4225" w:type="pct"/>
            <w:noWrap w:val="0"/>
            <w:vAlign w:val="top"/>
          </w:tcPr>
          <w:p w14:paraId="682856D9">
            <w:pPr>
              <w:jc w:val="left"/>
              <w:rPr>
                <w:rFonts w:hint="eastAsia" w:ascii="Times New Roman" w:hAnsi="Times New Roman"/>
                <w:szCs w:val="21"/>
              </w:rPr>
            </w:pPr>
            <w:r>
              <w:rPr>
                <w:rFonts w:hint="eastAsia" w:ascii="Times New Roman" w:hAnsi="Times New Roman"/>
                <w:szCs w:val="21"/>
              </w:rPr>
              <w:t>1、工艺设计：</w:t>
            </w:r>
          </w:p>
          <w:p w14:paraId="7B67FACB">
            <w:pPr>
              <w:jc w:val="left"/>
              <w:rPr>
                <w:rFonts w:hint="eastAsia" w:ascii="Times New Roman" w:hAnsi="Times New Roman"/>
                <w:szCs w:val="21"/>
              </w:rPr>
            </w:pPr>
            <w:r>
              <w:rPr>
                <w:rFonts w:hint="eastAsia" w:ascii="Times New Roman" w:hAnsi="Times New Roman"/>
                <w:szCs w:val="21"/>
              </w:rPr>
              <w:t>（1）书架与收纳柜结合，兼具收纳与学习功能。</w:t>
            </w:r>
          </w:p>
          <w:p w14:paraId="64DC2118">
            <w:pPr>
              <w:jc w:val="left"/>
              <w:rPr>
                <w:rFonts w:hint="eastAsia" w:ascii="Times New Roman" w:hAnsi="Times New Roman"/>
                <w:szCs w:val="21"/>
              </w:rPr>
            </w:pPr>
            <w:r>
              <w:rPr>
                <w:rFonts w:hint="eastAsia" w:ascii="Times New Roman" w:hAnsi="Times New Roman"/>
                <w:szCs w:val="21"/>
              </w:rPr>
              <w:t>（2）着色采用美工机喷绘工艺，附着力好，生动立体不易褪色。</w:t>
            </w:r>
          </w:p>
          <w:p w14:paraId="4744DD8F">
            <w:pPr>
              <w:jc w:val="left"/>
              <w:rPr>
                <w:rFonts w:hint="eastAsia" w:ascii="Times New Roman" w:hAnsi="Times New Roman"/>
                <w:szCs w:val="21"/>
              </w:rPr>
            </w:pPr>
            <w:r>
              <w:rPr>
                <w:rFonts w:hint="eastAsia" w:ascii="Times New Roman" w:hAnsi="Times New Roman"/>
                <w:szCs w:val="21"/>
              </w:rPr>
              <w:t>（3）所有螺丝位无毛刺不刮手，边角采用圆边/圆角处理以及安全防撞设计，最大程度的避免儿童磕碰伤害，结构稳固。</w:t>
            </w:r>
          </w:p>
        </w:tc>
      </w:tr>
      <w:tr w14:paraId="1627F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3" w:type="pct"/>
            <w:vMerge w:val="continue"/>
            <w:noWrap w:val="0"/>
            <w:vAlign w:val="center"/>
          </w:tcPr>
          <w:p w14:paraId="5CDCF202">
            <w:pPr>
              <w:jc w:val="center"/>
              <w:rPr>
                <w:rFonts w:ascii="Times New Roman" w:hAnsi="Times New Roman"/>
                <w:szCs w:val="21"/>
              </w:rPr>
            </w:pPr>
          </w:p>
        </w:tc>
        <w:tc>
          <w:tcPr>
            <w:tcW w:w="440" w:type="pct"/>
            <w:vMerge w:val="continue"/>
            <w:noWrap w:val="0"/>
            <w:vAlign w:val="center"/>
          </w:tcPr>
          <w:p w14:paraId="5270B790">
            <w:pPr>
              <w:jc w:val="center"/>
              <w:rPr>
                <w:rFonts w:hint="eastAsia" w:ascii="Times New Roman" w:hAnsi="Times New Roman"/>
                <w:szCs w:val="21"/>
              </w:rPr>
            </w:pPr>
          </w:p>
        </w:tc>
        <w:tc>
          <w:tcPr>
            <w:tcW w:w="4225" w:type="pct"/>
            <w:noWrap w:val="0"/>
            <w:vAlign w:val="top"/>
          </w:tcPr>
          <w:p w14:paraId="5E27C2AE">
            <w:pPr>
              <w:jc w:val="left"/>
              <w:rPr>
                <w:rFonts w:hint="eastAsia" w:ascii="Times New Roman" w:hAnsi="Times New Roman"/>
                <w:szCs w:val="21"/>
              </w:rPr>
            </w:pPr>
            <w:r>
              <w:rPr>
                <w:rFonts w:hint="eastAsia" w:ascii="Times New Roman" w:hAnsi="Times New Roman"/>
                <w:szCs w:val="21"/>
              </w:rPr>
              <w:t>2、外观结构及材质：</w:t>
            </w:r>
          </w:p>
          <w:p w14:paraId="5E9A8280">
            <w:pPr>
              <w:jc w:val="left"/>
              <w:rPr>
                <w:rFonts w:hint="eastAsia" w:ascii="Times New Roman" w:hAnsi="Times New Roman"/>
                <w:szCs w:val="21"/>
              </w:rPr>
            </w:pPr>
            <w:r>
              <w:rPr>
                <w:rFonts w:hint="eastAsia" w:ascii="Times New Roman" w:hAnsi="Times New Roman"/>
                <w:szCs w:val="21"/>
              </w:rPr>
              <w:t>（1）架体：采用厚度15mm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szCs w:val="21"/>
              </w:rPr>
              <w:t>的桦木纹饰面橡胶木拼板，背板采用厚度5mm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szCs w:val="21"/>
              </w:rPr>
              <w:t>的饰面实木纤维板。左侧为收纳柜，中下2层通透可视化，中格内空尺寸：255x270x200mm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szCs w:val="21"/>
              </w:rPr>
              <w:t>，下格内空尺寸：255x270x275mm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szCs w:val="21"/>
              </w:rPr>
              <w:t>；顶层为背板设计，内控尺寸 255x270mm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szCs w:val="21"/>
              </w:rPr>
              <w:t>；背板呈两边凹弧设计，右侧为4层书架，呈高低错落，便于竖放大小不同的图书；书架层板采用莫兰迪撞色美工颜色点缀，层次分明。</w:t>
            </w:r>
          </w:p>
          <w:p w14:paraId="71CBA181">
            <w:pPr>
              <w:jc w:val="left"/>
              <w:rPr>
                <w:rFonts w:hint="eastAsia" w:ascii="Times New Roman" w:hAnsi="Times New Roman"/>
                <w:szCs w:val="21"/>
              </w:rPr>
            </w:pPr>
            <w:r>
              <w:rPr>
                <w:rFonts w:hint="eastAsia" w:ascii="Times New Roman" w:hAnsi="Times New Roman"/>
                <w:szCs w:val="21"/>
              </w:rPr>
              <w:t>（2）围脚：底部安装塑料脚垫，高度为H10mm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szCs w:val="21"/>
              </w:rPr>
              <w:t>，直径17mm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szCs w:val="21"/>
              </w:rPr>
              <w:t>，软性防滑，可有效保护地面刮花并降低噪音。</w:t>
            </w:r>
          </w:p>
          <w:p w14:paraId="0776BFD7">
            <w:pPr>
              <w:jc w:val="left"/>
              <w:rPr>
                <w:rFonts w:hint="eastAsia" w:ascii="Times New Roman" w:hAnsi="Times New Roman"/>
                <w:szCs w:val="21"/>
              </w:rPr>
            </w:pPr>
            <w:r>
              <w:rPr>
                <w:rFonts w:hint="eastAsia" w:ascii="Times New Roman" w:hAnsi="Times New Roman"/>
                <w:szCs w:val="21"/>
              </w:rPr>
              <w:t>（3）木蜡油：采用的水性木蜡油封边，成分天然，分子机构细小，成膜牢固，密封性好。</w:t>
            </w:r>
          </w:p>
          <w:p w14:paraId="04496DC5">
            <w:pPr>
              <w:jc w:val="left"/>
              <w:rPr>
                <w:rFonts w:hint="eastAsia" w:ascii="Times New Roman" w:hAnsi="Times New Roman"/>
                <w:szCs w:val="21"/>
              </w:rPr>
            </w:pPr>
            <w:r>
              <w:rPr>
                <w:rFonts w:hint="eastAsia" w:ascii="Times New Roman" w:hAnsi="Times New Roman"/>
                <w:szCs w:val="21"/>
              </w:rPr>
              <w:t>（4）油墨：采用水性油墨，颜色饱满，无毒无异味。</w:t>
            </w:r>
          </w:p>
        </w:tc>
      </w:tr>
      <w:tr w14:paraId="26ECC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3" w:type="pct"/>
            <w:vMerge w:val="restart"/>
            <w:noWrap w:val="0"/>
            <w:vAlign w:val="center"/>
          </w:tcPr>
          <w:p w14:paraId="0C41D6BE">
            <w:pPr>
              <w:keepNext w:val="0"/>
              <w:keepLines w:val="0"/>
              <w:widowControl/>
              <w:suppressLineNumbers w:val="0"/>
              <w:jc w:val="center"/>
              <w:textAlignment w:val="center"/>
              <w:rPr>
                <w:rFonts w:ascii="Times New Roman" w:hAnsi="Times New Roman"/>
                <w:szCs w:val="21"/>
              </w:rPr>
            </w:pPr>
            <w:r>
              <w:rPr>
                <w:rFonts w:hint="default" w:ascii="Arial" w:hAnsi="Arial" w:eastAsia="宋体" w:cs="Arial"/>
                <w:i w:val="0"/>
                <w:iCs w:val="0"/>
                <w:color w:val="000000"/>
                <w:kern w:val="0"/>
                <w:sz w:val="20"/>
                <w:szCs w:val="20"/>
                <w:u w:val="none"/>
                <w:lang w:val="en-US" w:eastAsia="zh-CN" w:bidi="ar"/>
              </w:rPr>
              <w:t xml:space="preserve">13 </w:t>
            </w:r>
          </w:p>
        </w:tc>
        <w:tc>
          <w:tcPr>
            <w:tcW w:w="440" w:type="pct"/>
            <w:vMerge w:val="restart"/>
            <w:noWrap w:val="0"/>
            <w:vAlign w:val="center"/>
          </w:tcPr>
          <w:p w14:paraId="42EC2D0D">
            <w:pPr>
              <w:keepNext w:val="0"/>
              <w:keepLines w:val="0"/>
              <w:widowControl/>
              <w:suppressLineNumbers w:val="0"/>
              <w:jc w:val="center"/>
              <w:textAlignment w:val="center"/>
              <w:rPr>
                <w:rFonts w:hint="eastAsia" w:ascii="Times New Roman" w:hAnsi="Times New Roman"/>
                <w:szCs w:val="21"/>
              </w:rPr>
            </w:pPr>
            <w:r>
              <w:rPr>
                <w:rFonts w:hint="eastAsia" w:ascii="宋体" w:hAnsi="宋体" w:eastAsia="宋体" w:cs="宋体"/>
                <w:i w:val="0"/>
                <w:iCs w:val="0"/>
                <w:color w:val="000000"/>
                <w:kern w:val="0"/>
                <w:sz w:val="20"/>
                <w:szCs w:val="20"/>
                <w:u w:val="none"/>
                <w:lang w:val="en-US" w:eastAsia="zh-CN" w:bidi="ar"/>
              </w:rPr>
              <w:t>简约书架</w:t>
            </w:r>
          </w:p>
        </w:tc>
        <w:tc>
          <w:tcPr>
            <w:tcW w:w="4225" w:type="pct"/>
            <w:noWrap w:val="0"/>
            <w:vAlign w:val="center"/>
          </w:tcPr>
          <w:p w14:paraId="55CE3161">
            <w:pPr>
              <w:jc w:val="left"/>
              <w:rPr>
                <w:rFonts w:hint="eastAsia" w:ascii="Times New Roman" w:hAnsi="Times New Roman"/>
                <w:szCs w:val="21"/>
              </w:rPr>
            </w:pPr>
            <w:r>
              <w:rPr>
                <w:rFonts w:hint="eastAsia" w:ascii="Times New Roman" w:hAnsi="Times New Roman"/>
                <w:szCs w:val="21"/>
              </w:rPr>
              <w:t>规格：L93xW30xH81cm（±3cm）</w:t>
            </w:r>
          </w:p>
        </w:tc>
      </w:tr>
      <w:tr w14:paraId="4909E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3" w:type="pct"/>
            <w:vMerge w:val="continue"/>
            <w:noWrap w:val="0"/>
            <w:vAlign w:val="center"/>
          </w:tcPr>
          <w:p w14:paraId="64B1621E">
            <w:pPr>
              <w:jc w:val="center"/>
              <w:rPr>
                <w:rFonts w:hint="eastAsia" w:ascii="Times New Roman" w:hAnsi="Times New Roman"/>
                <w:szCs w:val="21"/>
              </w:rPr>
            </w:pPr>
          </w:p>
        </w:tc>
        <w:tc>
          <w:tcPr>
            <w:tcW w:w="440" w:type="pct"/>
            <w:vMerge w:val="continue"/>
            <w:noWrap w:val="0"/>
            <w:vAlign w:val="center"/>
          </w:tcPr>
          <w:p w14:paraId="65ECC4A9">
            <w:pPr>
              <w:jc w:val="center"/>
              <w:rPr>
                <w:rFonts w:hint="eastAsia" w:ascii="Times New Roman" w:hAnsi="Times New Roman"/>
                <w:szCs w:val="21"/>
              </w:rPr>
            </w:pPr>
          </w:p>
        </w:tc>
        <w:tc>
          <w:tcPr>
            <w:tcW w:w="4225" w:type="pct"/>
            <w:noWrap w:val="0"/>
            <w:vAlign w:val="top"/>
          </w:tcPr>
          <w:p w14:paraId="43E41111">
            <w:pPr>
              <w:jc w:val="left"/>
              <w:rPr>
                <w:rFonts w:hint="eastAsia" w:ascii="Times New Roman" w:hAnsi="Times New Roman"/>
                <w:szCs w:val="21"/>
              </w:rPr>
            </w:pPr>
            <w:r>
              <w:rPr>
                <w:rFonts w:hint="eastAsia" w:ascii="Times New Roman" w:hAnsi="Times New Roman"/>
                <w:szCs w:val="21"/>
              </w:rPr>
              <w:t>1、工艺设计：</w:t>
            </w:r>
          </w:p>
          <w:p w14:paraId="0ED7504B">
            <w:pPr>
              <w:jc w:val="left"/>
              <w:rPr>
                <w:rFonts w:hint="eastAsia" w:ascii="Times New Roman" w:hAnsi="Times New Roman"/>
                <w:szCs w:val="21"/>
              </w:rPr>
            </w:pPr>
            <w:r>
              <w:rPr>
                <w:rFonts w:hint="eastAsia" w:ascii="Times New Roman" w:hAnsi="Times New Roman"/>
                <w:szCs w:val="21"/>
              </w:rPr>
              <w:t>（1）书架与收纳柜结合，兼具收纳与学习功能。</w:t>
            </w:r>
          </w:p>
          <w:p w14:paraId="13B2725B">
            <w:pPr>
              <w:jc w:val="left"/>
              <w:rPr>
                <w:rFonts w:hint="eastAsia" w:ascii="Times New Roman" w:hAnsi="Times New Roman"/>
                <w:szCs w:val="21"/>
              </w:rPr>
            </w:pPr>
            <w:r>
              <w:rPr>
                <w:rFonts w:hint="eastAsia" w:ascii="Times New Roman" w:hAnsi="Times New Roman"/>
                <w:szCs w:val="21"/>
              </w:rPr>
              <w:t>（2）所有螺丝位无毛刺不刮手，边角采用圆边/圆角处理以及安全防撞设计，最大程度的避免儿童磕碰伤害，结构稳固。</w:t>
            </w:r>
          </w:p>
          <w:p w14:paraId="0557B42C">
            <w:pPr>
              <w:jc w:val="left"/>
              <w:rPr>
                <w:rFonts w:hint="eastAsia" w:ascii="Times New Roman" w:hAnsi="Times New Roman"/>
                <w:szCs w:val="21"/>
              </w:rPr>
            </w:pPr>
            <w:r>
              <w:rPr>
                <w:rFonts w:hint="eastAsia" w:ascii="Times New Roman" w:hAnsi="Times New Roman"/>
                <w:szCs w:val="21"/>
              </w:rPr>
              <w:t>2、外观结构及材质：</w:t>
            </w:r>
          </w:p>
          <w:p w14:paraId="70572ADB">
            <w:pPr>
              <w:jc w:val="left"/>
              <w:rPr>
                <w:rFonts w:hint="eastAsia" w:ascii="Times New Roman" w:hAnsi="Times New Roman"/>
                <w:szCs w:val="21"/>
              </w:rPr>
            </w:pPr>
            <w:r>
              <w:rPr>
                <w:rFonts w:hint="eastAsia" w:ascii="Times New Roman" w:hAnsi="Times New Roman"/>
                <w:szCs w:val="21"/>
              </w:rPr>
              <w:t>（1）架体：采用厚度16mm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szCs w:val="21"/>
              </w:rPr>
              <w:t>的桦木纹双饰面浸渍胶膜纸饰面刨花板。共四层书本搁置槽，内空长900mm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szCs w:val="21"/>
              </w:rPr>
              <w:t>，内空宽分别40mm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szCs w:val="21"/>
              </w:rPr>
              <w:t>和38mm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szCs w:val="21"/>
              </w:rPr>
              <w:t>；底层空间：900x300x196mm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szCs w:val="21"/>
              </w:rPr>
              <w:t>。</w:t>
            </w:r>
          </w:p>
          <w:p w14:paraId="3B990EAB">
            <w:pPr>
              <w:jc w:val="left"/>
              <w:rPr>
                <w:rFonts w:hint="eastAsia" w:ascii="Times New Roman" w:hAnsi="Times New Roman"/>
                <w:szCs w:val="21"/>
              </w:rPr>
            </w:pPr>
            <w:r>
              <w:rPr>
                <w:rFonts w:hint="eastAsia" w:ascii="Times New Roman" w:hAnsi="Times New Roman"/>
                <w:szCs w:val="21"/>
              </w:rPr>
              <w:t>（2）围脚：底部安装塑料脚垫，高度为H10mm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szCs w:val="21"/>
              </w:rPr>
              <w:t>，直径17mm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szCs w:val="21"/>
              </w:rPr>
              <w:t>，软性防滑，可有效保护地面刮花并降低噪音。</w:t>
            </w:r>
          </w:p>
          <w:p w14:paraId="6EB707F5">
            <w:pPr>
              <w:jc w:val="left"/>
              <w:rPr>
                <w:rFonts w:hint="eastAsia" w:ascii="Times New Roman" w:hAnsi="Times New Roman"/>
                <w:szCs w:val="21"/>
              </w:rPr>
            </w:pPr>
            <w:r>
              <w:rPr>
                <w:rFonts w:hint="eastAsia" w:ascii="Times New Roman" w:hAnsi="Times New Roman"/>
                <w:szCs w:val="21"/>
              </w:rPr>
              <w:t>（3）封边条：采用PVC封边条，表面光滑平整，封边细腻硬度高，线条均匀，转角过渡自然，无脱胶，表面光滑平整无胶渍。</w:t>
            </w:r>
          </w:p>
        </w:tc>
      </w:tr>
      <w:tr w14:paraId="5561C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3" w:type="pct"/>
            <w:vMerge w:val="restart"/>
            <w:noWrap w:val="0"/>
            <w:vAlign w:val="center"/>
          </w:tcPr>
          <w:p w14:paraId="5B1161ED">
            <w:pPr>
              <w:keepNext w:val="0"/>
              <w:keepLines w:val="0"/>
              <w:widowControl/>
              <w:suppressLineNumbers w:val="0"/>
              <w:jc w:val="center"/>
              <w:textAlignment w:val="center"/>
              <w:rPr>
                <w:rFonts w:ascii="Times New Roman" w:hAnsi="Times New Roman"/>
                <w:szCs w:val="21"/>
              </w:rPr>
            </w:pPr>
            <w:r>
              <w:rPr>
                <w:rFonts w:hint="default" w:ascii="Arial" w:hAnsi="Arial" w:eastAsia="宋体" w:cs="Arial"/>
                <w:i w:val="0"/>
                <w:iCs w:val="0"/>
                <w:color w:val="000000"/>
                <w:kern w:val="0"/>
                <w:sz w:val="20"/>
                <w:szCs w:val="20"/>
                <w:u w:val="none"/>
                <w:lang w:val="en-US" w:eastAsia="zh-CN" w:bidi="ar"/>
              </w:rPr>
              <w:t xml:space="preserve">14 </w:t>
            </w:r>
          </w:p>
        </w:tc>
        <w:tc>
          <w:tcPr>
            <w:tcW w:w="440" w:type="pct"/>
            <w:vMerge w:val="restart"/>
            <w:noWrap w:val="0"/>
            <w:vAlign w:val="center"/>
          </w:tcPr>
          <w:p w14:paraId="74117F40">
            <w:pPr>
              <w:keepNext w:val="0"/>
              <w:keepLines w:val="0"/>
              <w:widowControl/>
              <w:suppressLineNumbers w:val="0"/>
              <w:jc w:val="center"/>
              <w:textAlignment w:val="center"/>
              <w:rPr>
                <w:rFonts w:hint="eastAsia" w:ascii="Times New Roman" w:hAnsi="Times New Roman"/>
                <w:szCs w:val="21"/>
              </w:rPr>
            </w:pPr>
            <w:r>
              <w:rPr>
                <w:rFonts w:hint="eastAsia" w:ascii="宋体" w:hAnsi="宋体" w:eastAsia="宋体" w:cs="宋体"/>
                <w:i w:val="0"/>
                <w:iCs w:val="0"/>
                <w:color w:val="000000"/>
                <w:kern w:val="0"/>
                <w:sz w:val="20"/>
                <w:szCs w:val="20"/>
                <w:u w:val="none"/>
                <w:lang w:val="en-US" w:eastAsia="zh-CN" w:bidi="ar"/>
              </w:rPr>
              <w:t>山峰小屋收纳柜</w:t>
            </w:r>
          </w:p>
        </w:tc>
        <w:tc>
          <w:tcPr>
            <w:tcW w:w="4225" w:type="pct"/>
            <w:noWrap w:val="0"/>
            <w:vAlign w:val="center"/>
          </w:tcPr>
          <w:p w14:paraId="59636754">
            <w:pPr>
              <w:jc w:val="left"/>
              <w:rPr>
                <w:rFonts w:hint="eastAsia" w:ascii="Times New Roman" w:hAnsi="Times New Roman"/>
                <w:szCs w:val="21"/>
              </w:rPr>
            </w:pPr>
            <w:r>
              <w:rPr>
                <w:rFonts w:hint="eastAsia" w:ascii="Times New Roman" w:hAnsi="Times New Roman"/>
                <w:szCs w:val="21"/>
              </w:rPr>
              <w:t>规格：L50xW30xH110.5cm（±3cm）</w:t>
            </w:r>
          </w:p>
        </w:tc>
      </w:tr>
      <w:tr w14:paraId="1432D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3" w:type="pct"/>
            <w:vMerge w:val="continue"/>
            <w:noWrap w:val="0"/>
            <w:vAlign w:val="center"/>
          </w:tcPr>
          <w:p w14:paraId="4E709B94">
            <w:pPr>
              <w:jc w:val="center"/>
              <w:rPr>
                <w:rFonts w:hint="eastAsia" w:ascii="Times New Roman" w:hAnsi="Times New Roman"/>
                <w:szCs w:val="21"/>
              </w:rPr>
            </w:pPr>
          </w:p>
        </w:tc>
        <w:tc>
          <w:tcPr>
            <w:tcW w:w="440" w:type="pct"/>
            <w:vMerge w:val="continue"/>
            <w:noWrap w:val="0"/>
            <w:vAlign w:val="center"/>
          </w:tcPr>
          <w:p w14:paraId="73626BB7">
            <w:pPr>
              <w:jc w:val="center"/>
              <w:rPr>
                <w:rFonts w:hint="eastAsia" w:ascii="Times New Roman" w:hAnsi="Times New Roman"/>
                <w:szCs w:val="21"/>
              </w:rPr>
            </w:pPr>
          </w:p>
        </w:tc>
        <w:tc>
          <w:tcPr>
            <w:tcW w:w="4225" w:type="pct"/>
            <w:noWrap w:val="0"/>
            <w:vAlign w:val="top"/>
          </w:tcPr>
          <w:p w14:paraId="49388602">
            <w:pPr>
              <w:jc w:val="left"/>
              <w:rPr>
                <w:rFonts w:hint="eastAsia" w:ascii="Times New Roman" w:hAnsi="Times New Roman"/>
                <w:szCs w:val="21"/>
              </w:rPr>
            </w:pPr>
            <w:r>
              <w:rPr>
                <w:rFonts w:hint="eastAsia" w:ascii="Times New Roman" w:hAnsi="Times New Roman"/>
                <w:szCs w:val="21"/>
              </w:rPr>
              <w:t>1、工艺设计：</w:t>
            </w:r>
          </w:p>
          <w:p w14:paraId="5D586AD7">
            <w:pPr>
              <w:jc w:val="left"/>
              <w:rPr>
                <w:rFonts w:hint="eastAsia" w:ascii="Times New Roman" w:hAnsi="Times New Roman"/>
                <w:szCs w:val="21"/>
              </w:rPr>
            </w:pPr>
            <w:r>
              <w:rPr>
                <w:rFonts w:hint="eastAsia" w:ascii="Times New Roman" w:hAnsi="Times New Roman"/>
                <w:szCs w:val="21"/>
              </w:rPr>
              <w:t>（1）小屋造型设计，兼具装饰与收纳功能。</w:t>
            </w:r>
          </w:p>
          <w:p w14:paraId="53520051">
            <w:pPr>
              <w:jc w:val="left"/>
              <w:rPr>
                <w:rFonts w:hint="eastAsia" w:ascii="Times New Roman" w:hAnsi="Times New Roman"/>
                <w:szCs w:val="21"/>
              </w:rPr>
            </w:pPr>
            <w:r>
              <w:rPr>
                <w:rFonts w:hint="eastAsia" w:ascii="Times New Roman" w:hAnsi="Times New Roman"/>
                <w:szCs w:val="21"/>
              </w:rPr>
              <w:t>（2）采用美工机喷绘工艺，搭配油墨，图案附着力好，生动立体不易褪色。</w:t>
            </w:r>
          </w:p>
          <w:p w14:paraId="689450C5">
            <w:pPr>
              <w:jc w:val="left"/>
              <w:rPr>
                <w:rFonts w:hint="eastAsia" w:ascii="Times New Roman" w:hAnsi="Times New Roman"/>
                <w:szCs w:val="21"/>
              </w:rPr>
            </w:pPr>
            <w:r>
              <w:rPr>
                <w:rFonts w:hint="eastAsia" w:ascii="Times New Roman" w:hAnsi="Times New Roman"/>
                <w:szCs w:val="21"/>
              </w:rPr>
              <w:t>（3）底格收纳抽斗采用可移动带滑轮设计，便于教玩具的转移与储藏。</w:t>
            </w:r>
          </w:p>
          <w:p w14:paraId="74C81C0A">
            <w:pPr>
              <w:jc w:val="left"/>
              <w:rPr>
                <w:rFonts w:hint="eastAsia" w:ascii="Times New Roman" w:hAnsi="Times New Roman"/>
                <w:szCs w:val="21"/>
              </w:rPr>
            </w:pPr>
            <w:r>
              <w:rPr>
                <w:rFonts w:hint="eastAsia" w:ascii="Times New Roman" w:hAnsi="Times New Roman"/>
                <w:szCs w:val="21"/>
              </w:rPr>
              <w:t>（4）所有螺丝位无毛刺不刮手，边角采用圆边/圆角处理以及安全防撞设计，最大程度的避免儿童磕碰伤害，结构稳固。</w:t>
            </w:r>
          </w:p>
        </w:tc>
      </w:tr>
      <w:tr w14:paraId="5787A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3" w:type="pct"/>
            <w:vMerge w:val="continue"/>
            <w:noWrap w:val="0"/>
            <w:vAlign w:val="center"/>
          </w:tcPr>
          <w:p w14:paraId="23CACF7E">
            <w:pPr>
              <w:jc w:val="center"/>
              <w:rPr>
                <w:rFonts w:ascii="Times New Roman" w:hAnsi="Times New Roman"/>
                <w:szCs w:val="21"/>
              </w:rPr>
            </w:pPr>
          </w:p>
        </w:tc>
        <w:tc>
          <w:tcPr>
            <w:tcW w:w="440" w:type="pct"/>
            <w:vMerge w:val="continue"/>
            <w:noWrap w:val="0"/>
            <w:vAlign w:val="center"/>
          </w:tcPr>
          <w:p w14:paraId="13225AEC">
            <w:pPr>
              <w:jc w:val="center"/>
              <w:rPr>
                <w:rFonts w:hint="eastAsia" w:ascii="Times New Roman" w:hAnsi="Times New Roman"/>
                <w:szCs w:val="21"/>
              </w:rPr>
            </w:pPr>
          </w:p>
        </w:tc>
        <w:tc>
          <w:tcPr>
            <w:tcW w:w="4225" w:type="pct"/>
            <w:noWrap w:val="0"/>
            <w:vAlign w:val="top"/>
          </w:tcPr>
          <w:p w14:paraId="458E32BC">
            <w:pPr>
              <w:jc w:val="left"/>
              <w:rPr>
                <w:rFonts w:hint="eastAsia" w:ascii="Times New Roman" w:hAnsi="Times New Roman"/>
                <w:szCs w:val="21"/>
              </w:rPr>
            </w:pPr>
            <w:r>
              <w:rPr>
                <w:rFonts w:hint="eastAsia" w:ascii="Times New Roman" w:hAnsi="Times New Roman"/>
                <w:szCs w:val="21"/>
              </w:rPr>
              <w:t>2、外观结构及材质：</w:t>
            </w:r>
          </w:p>
          <w:p w14:paraId="318F0B4A">
            <w:pPr>
              <w:jc w:val="left"/>
              <w:rPr>
                <w:rFonts w:hint="eastAsia" w:ascii="Times New Roman" w:hAnsi="Times New Roman"/>
                <w:szCs w:val="21"/>
              </w:rPr>
            </w:pPr>
            <w:r>
              <w:rPr>
                <w:rFonts w:hint="eastAsia" w:ascii="Times New Roman" w:hAnsi="Times New Roman"/>
                <w:szCs w:val="21"/>
              </w:rPr>
              <w:t>（1）柜体：用厚度15mm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szCs w:val="21"/>
              </w:rPr>
              <w:t>的桦木纹饰面橡胶木拼板。柜体顶部屋顶造型，2层通透，顶层内空尺寸：470x300x303mm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szCs w:val="21"/>
              </w:rPr>
              <w:t>，中层内控尺寸470x300x224mm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szCs w:val="21"/>
              </w:rPr>
              <w:t>；下层带背板内空尺寸：470x280x224mm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szCs w:val="21"/>
              </w:rPr>
              <w:t>。</w:t>
            </w:r>
          </w:p>
          <w:p w14:paraId="78FDEF5C">
            <w:pPr>
              <w:jc w:val="left"/>
              <w:rPr>
                <w:rFonts w:hint="eastAsia" w:ascii="Times New Roman" w:hAnsi="Times New Roman"/>
                <w:szCs w:val="21"/>
              </w:rPr>
            </w:pPr>
            <w:r>
              <w:rPr>
                <w:rFonts w:hint="eastAsia" w:ascii="Times New Roman" w:hAnsi="Times New Roman"/>
                <w:szCs w:val="21"/>
              </w:rPr>
              <w:t>（2）柜子最底格为移动式收纳抽斗，抽斗内空尺寸：420x249x178mm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szCs w:val="21"/>
              </w:rPr>
              <w:t>，抽斗底部安装4个静音万向脚轮，脚轮运行平稳无声，可360°旋转，转动顺滑。抽斗面板手握弧度舒适面板增加几何造型图案。造型部分采用美工机喷绘工艺，搭配油墨，图案附着力好，生动立体不易褪色。</w:t>
            </w:r>
          </w:p>
          <w:p w14:paraId="52077143">
            <w:pPr>
              <w:jc w:val="left"/>
              <w:rPr>
                <w:rFonts w:hint="eastAsia" w:ascii="Times New Roman" w:hAnsi="Times New Roman"/>
                <w:szCs w:val="21"/>
              </w:rPr>
            </w:pPr>
            <w:r>
              <w:rPr>
                <w:rFonts w:hint="eastAsia" w:ascii="Times New Roman" w:hAnsi="Times New Roman"/>
                <w:szCs w:val="21"/>
              </w:rPr>
              <w:t>（3）柜子底部安装塑料脚垫，高度为H10mm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szCs w:val="21"/>
              </w:rPr>
              <w:t>，直径17mm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szCs w:val="21"/>
              </w:rPr>
              <w:t>，软性防滑，可有效保护地面刮花并降低噪音。</w:t>
            </w:r>
          </w:p>
          <w:p w14:paraId="302C5B90">
            <w:pPr>
              <w:jc w:val="left"/>
              <w:rPr>
                <w:rFonts w:hint="eastAsia" w:ascii="Times New Roman" w:hAnsi="Times New Roman"/>
                <w:szCs w:val="21"/>
              </w:rPr>
            </w:pPr>
            <w:r>
              <w:rPr>
                <w:rFonts w:hint="eastAsia" w:ascii="Times New Roman" w:hAnsi="Times New Roman"/>
                <w:szCs w:val="21"/>
              </w:rPr>
              <w:t>（4）木蜡油：采用的水性木蜡油封边，成分天然，分子机构细小，成膜牢固，密封性好。</w:t>
            </w:r>
          </w:p>
          <w:p w14:paraId="38EC4F60">
            <w:pPr>
              <w:jc w:val="left"/>
              <w:rPr>
                <w:rFonts w:hint="eastAsia" w:ascii="Times New Roman" w:hAnsi="Times New Roman"/>
                <w:szCs w:val="21"/>
              </w:rPr>
            </w:pPr>
            <w:r>
              <w:rPr>
                <w:rFonts w:hint="eastAsia" w:ascii="Times New Roman" w:hAnsi="Times New Roman"/>
                <w:szCs w:val="21"/>
              </w:rPr>
              <w:t>（5）油墨：采用水性油墨，颜色饱满，无毒无异味。</w:t>
            </w:r>
          </w:p>
        </w:tc>
      </w:tr>
      <w:tr w14:paraId="312F1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3" w:type="pct"/>
            <w:vMerge w:val="restart"/>
            <w:noWrap w:val="0"/>
            <w:vAlign w:val="center"/>
          </w:tcPr>
          <w:p w14:paraId="6757114F">
            <w:pPr>
              <w:keepNext w:val="0"/>
              <w:keepLines w:val="0"/>
              <w:widowControl/>
              <w:suppressLineNumbers w:val="0"/>
              <w:jc w:val="center"/>
              <w:textAlignment w:val="center"/>
              <w:rPr>
                <w:rFonts w:ascii="Times New Roman" w:hAnsi="Times New Roman"/>
                <w:szCs w:val="21"/>
              </w:rPr>
            </w:pPr>
            <w:r>
              <w:rPr>
                <w:rFonts w:hint="default" w:ascii="Arial" w:hAnsi="Arial" w:eastAsia="宋体" w:cs="Arial"/>
                <w:i w:val="0"/>
                <w:iCs w:val="0"/>
                <w:color w:val="000000"/>
                <w:kern w:val="0"/>
                <w:sz w:val="20"/>
                <w:szCs w:val="20"/>
                <w:u w:val="none"/>
                <w:lang w:val="en-US" w:eastAsia="zh-CN" w:bidi="ar"/>
              </w:rPr>
              <w:t xml:space="preserve">15 </w:t>
            </w:r>
          </w:p>
        </w:tc>
        <w:tc>
          <w:tcPr>
            <w:tcW w:w="440" w:type="pct"/>
            <w:vMerge w:val="restart"/>
            <w:noWrap w:val="0"/>
            <w:vAlign w:val="center"/>
          </w:tcPr>
          <w:p w14:paraId="2A983B38">
            <w:pPr>
              <w:keepNext w:val="0"/>
              <w:keepLines w:val="0"/>
              <w:widowControl/>
              <w:suppressLineNumbers w:val="0"/>
              <w:jc w:val="center"/>
              <w:textAlignment w:val="center"/>
              <w:rPr>
                <w:rFonts w:hint="eastAsia" w:ascii="Times New Roman" w:hAnsi="Times New Roman"/>
                <w:szCs w:val="21"/>
              </w:rPr>
            </w:pPr>
            <w:r>
              <w:rPr>
                <w:rFonts w:hint="eastAsia" w:ascii="宋体" w:hAnsi="宋体" w:eastAsia="宋体" w:cs="宋体"/>
                <w:i w:val="0"/>
                <w:iCs w:val="0"/>
                <w:color w:val="000000"/>
                <w:kern w:val="0"/>
                <w:sz w:val="20"/>
                <w:szCs w:val="20"/>
                <w:u w:val="none"/>
                <w:lang w:val="en-US" w:eastAsia="zh-CN" w:bidi="ar"/>
              </w:rPr>
              <w:t>小方桌</w:t>
            </w:r>
          </w:p>
        </w:tc>
        <w:tc>
          <w:tcPr>
            <w:tcW w:w="4225" w:type="pct"/>
            <w:noWrap w:val="0"/>
            <w:vAlign w:val="center"/>
          </w:tcPr>
          <w:p w14:paraId="1122A5CF">
            <w:pPr>
              <w:jc w:val="left"/>
              <w:rPr>
                <w:rFonts w:hint="eastAsia" w:ascii="Times New Roman" w:hAnsi="Times New Roman"/>
                <w:szCs w:val="21"/>
              </w:rPr>
            </w:pPr>
            <w:r>
              <w:rPr>
                <w:rFonts w:hint="eastAsia" w:ascii="Times New Roman" w:hAnsi="Times New Roman"/>
                <w:szCs w:val="21"/>
              </w:rPr>
              <w:t>规格：L60xW60xH30cm（±3cm）</w:t>
            </w:r>
          </w:p>
        </w:tc>
      </w:tr>
      <w:tr w14:paraId="7E5C4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3" w:type="pct"/>
            <w:vMerge w:val="continue"/>
            <w:noWrap w:val="0"/>
            <w:vAlign w:val="center"/>
          </w:tcPr>
          <w:p w14:paraId="45F73596">
            <w:pPr>
              <w:jc w:val="center"/>
              <w:rPr>
                <w:rFonts w:ascii="Times New Roman" w:hAnsi="Times New Roman"/>
                <w:szCs w:val="21"/>
              </w:rPr>
            </w:pPr>
          </w:p>
        </w:tc>
        <w:tc>
          <w:tcPr>
            <w:tcW w:w="440" w:type="pct"/>
            <w:vMerge w:val="continue"/>
            <w:noWrap w:val="0"/>
            <w:vAlign w:val="center"/>
          </w:tcPr>
          <w:p w14:paraId="090C5BC3">
            <w:pPr>
              <w:jc w:val="center"/>
              <w:rPr>
                <w:rFonts w:hint="eastAsia" w:ascii="Times New Roman" w:hAnsi="Times New Roman"/>
                <w:szCs w:val="21"/>
              </w:rPr>
            </w:pPr>
          </w:p>
        </w:tc>
        <w:tc>
          <w:tcPr>
            <w:tcW w:w="4225" w:type="pct"/>
            <w:noWrap w:val="0"/>
            <w:vAlign w:val="top"/>
          </w:tcPr>
          <w:p w14:paraId="448DB48D">
            <w:pPr>
              <w:jc w:val="left"/>
              <w:rPr>
                <w:rFonts w:hint="eastAsia" w:ascii="Times New Roman" w:hAnsi="Times New Roman"/>
                <w:szCs w:val="21"/>
              </w:rPr>
            </w:pPr>
            <w:r>
              <w:rPr>
                <w:rFonts w:hint="eastAsia" w:ascii="Times New Roman" w:hAnsi="Times New Roman"/>
                <w:szCs w:val="21"/>
              </w:rPr>
              <w:t>1、工艺设计：</w:t>
            </w:r>
          </w:p>
          <w:p w14:paraId="282E5A77">
            <w:pPr>
              <w:jc w:val="left"/>
              <w:rPr>
                <w:rFonts w:hint="eastAsia" w:ascii="Times New Roman" w:hAnsi="Times New Roman"/>
                <w:szCs w:val="21"/>
              </w:rPr>
            </w:pPr>
            <w:r>
              <w:rPr>
                <w:rFonts w:hint="eastAsia" w:ascii="Times New Roman" w:hAnsi="Times New Roman"/>
                <w:szCs w:val="21"/>
              </w:rPr>
              <w:t>（1）桌面背面设置有4个塑料连接件，桌脚使用螺旋安装方式与桌面连接，方便拆卸。</w:t>
            </w:r>
          </w:p>
          <w:p w14:paraId="68051926">
            <w:pPr>
              <w:jc w:val="left"/>
              <w:rPr>
                <w:rFonts w:hint="eastAsia" w:ascii="Times New Roman" w:hAnsi="Times New Roman"/>
                <w:szCs w:val="21"/>
              </w:rPr>
            </w:pPr>
            <w:r>
              <w:rPr>
                <w:rFonts w:hint="eastAsia" w:ascii="Times New Roman" w:hAnsi="Times New Roman"/>
                <w:szCs w:val="21"/>
              </w:rPr>
              <w:t>（2）所有螺丝位无毛刺不刮手，桌角及边沿采用圆角/圆边处理以及安全防撞设计，最大程度的避免儿童磕碰伤害，结构稳固。</w:t>
            </w:r>
          </w:p>
        </w:tc>
      </w:tr>
      <w:tr w14:paraId="16402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3" w:type="pct"/>
            <w:vMerge w:val="continue"/>
            <w:noWrap w:val="0"/>
            <w:vAlign w:val="center"/>
          </w:tcPr>
          <w:p w14:paraId="3C6E1F0F">
            <w:pPr>
              <w:jc w:val="center"/>
              <w:rPr>
                <w:rFonts w:ascii="Times New Roman" w:hAnsi="Times New Roman"/>
                <w:szCs w:val="21"/>
              </w:rPr>
            </w:pPr>
          </w:p>
        </w:tc>
        <w:tc>
          <w:tcPr>
            <w:tcW w:w="440" w:type="pct"/>
            <w:vMerge w:val="continue"/>
            <w:noWrap w:val="0"/>
            <w:vAlign w:val="center"/>
          </w:tcPr>
          <w:p w14:paraId="02931928">
            <w:pPr>
              <w:jc w:val="center"/>
              <w:rPr>
                <w:rFonts w:hint="eastAsia" w:ascii="Times New Roman" w:hAnsi="Times New Roman"/>
                <w:szCs w:val="21"/>
              </w:rPr>
            </w:pPr>
          </w:p>
        </w:tc>
        <w:tc>
          <w:tcPr>
            <w:tcW w:w="4225" w:type="pct"/>
            <w:noWrap w:val="0"/>
            <w:vAlign w:val="top"/>
          </w:tcPr>
          <w:p w14:paraId="01458CD9">
            <w:pPr>
              <w:jc w:val="left"/>
              <w:rPr>
                <w:rFonts w:hint="eastAsia" w:ascii="Times New Roman" w:hAnsi="Times New Roman"/>
                <w:szCs w:val="21"/>
              </w:rPr>
            </w:pPr>
            <w:r>
              <w:rPr>
                <w:rFonts w:hint="eastAsia" w:ascii="Times New Roman" w:hAnsi="Times New Roman"/>
                <w:szCs w:val="21"/>
              </w:rPr>
              <w:t>2、外观结构及材质：</w:t>
            </w:r>
          </w:p>
          <w:p w14:paraId="7F0C5C1C">
            <w:pPr>
              <w:jc w:val="left"/>
              <w:rPr>
                <w:rFonts w:hint="eastAsia" w:ascii="Times New Roman" w:hAnsi="Times New Roman"/>
                <w:szCs w:val="21"/>
              </w:rPr>
            </w:pPr>
            <w:r>
              <w:rPr>
                <w:rFonts w:hint="eastAsia" w:ascii="Times New Roman" w:hAnsi="Times New Roman"/>
                <w:szCs w:val="21"/>
              </w:rPr>
              <w:t>（1）桌面：采用厚度24mm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szCs w:val="21"/>
              </w:rPr>
              <w:t>的实木多层板。底部安装4个塑料连接件，尺寸为L187xW150xH66mm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szCs w:val="21"/>
              </w:rPr>
              <w:t>的扇形脚座连接件，脚座设置一个外直径50mm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szCs w:val="21"/>
              </w:rPr>
              <w:t>连接桌脚呈浅咖色类扇形，表面光滑无毛刺，线条圆润，结实耐用，桌脚直接螺旋拧上即完成安装，既省时省力又提高产品的互换性，延长使用寿命。</w:t>
            </w:r>
          </w:p>
          <w:p w14:paraId="7CD4C947">
            <w:pPr>
              <w:jc w:val="left"/>
              <w:rPr>
                <w:rFonts w:hint="eastAsia" w:ascii="Times New Roman" w:hAnsi="Times New Roman"/>
                <w:szCs w:val="21"/>
              </w:rPr>
            </w:pPr>
            <w:r>
              <w:rPr>
                <w:rFonts w:hint="eastAsia" w:ascii="Times New Roman" w:hAnsi="Times New Roman"/>
                <w:szCs w:val="21"/>
              </w:rPr>
              <w:t>（2）桌脚：采用直径φ48mm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szCs w:val="21"/>
              </w:rPr>
              <w:t>的桦木原木，底部安装塑料脚垫，高度为H10mm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szCs w:val="21"/>
              </w:rPr>
              <w:t>，直径40mm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szCs w:val="21"/>
              </w:rPr>
              <w:t>，软性防滑，可有效保护地面刮花并降低噪音。</w:t>
            </w:r>
          </w:p>
          <w:p w14:paraId="14B9A32C">
            <w:pPr>
              <w:jc w:val="left"/>
              <w:rPr>
                <w:rFonts w:hint="eastAsia" w:ascii="Times New Roman" w:hAnsi="Times New Roman"/>
                <w:szCs w:val="21"/>
              </w:rPr>
            </w:pPr>
            <w:r>
              <w:rPr>
                <w:rFonts w:hint="eastAsia" w:ascii="Times New Roman" w:hAnsi="Times New Roman"/>
                <w:szCs w:val="21"/>
              </w:rPr>
              <w:t>（3）油漆：采用的水性漆，全封闭涂装工艺，漆面光泽高透，颜色均匀。</w:t>
            </w:r>
          </w:p>
        </w:tc>
      </w:tr>
      <w:tr w14:paraId="3BA7C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3" w:type="pct"/>
            <w:vMerge w:val="restart"/>
            <w:noWrap w:val="0"/>
            <w:vAlign w:val="center"/>
          </w:tcPr>
          <w:p w14:paraId="4C28973A">
            <w:pPr>
              <w:keepNext w:val="0"/>
              <w:keepLines w:val="0"/>
              <w:widowControl/>
              <w:suppressLineNumbers w:val="0"/>
              <w:jc w:val="center"/>
              <w:textAlignment w:val="center"/>
              <w:rPr>
                <w:rFonts w:ascii="Times New Roman" w:hAnsi="Times New Roman"/>
                <w:szCs w:val="21"/>
              </w:rPr>
            </w:pPr>
            <w:r>
              <w:rPr>
                <w:rFonts w:hint="default" w:ascii="Arial" w:hAnsi="Arial" w:eastAsia="宋体" w:cs="Arial"/>
                <w:i w:val="0"/>
                <w:iCs w:val="0"/>
                <w:color w:val="000000"/>
                <w:kern w:val="0"/>
                <w:sz w:val="20"/>
                <w:szCs w:val="20"/>
                <w:u w:val="none"/>
                <w:lang w:val="en-US" w:eastAsia="zh-CN" w:bidi="ar"/>
              </w:rPr>
              <w:t xml:space="preserve">16 </w:t>
            </w:r>
          </w:p>
        </w:tc>
        <w:tc>
          <w:tcPr>
            <w:tcW w:w="440" w:type="pct"/>
            <w:vMerge w:val="restart"/>
            <w:noWrap w:val="0"/>
            <w:vAlign w:val="center"/>
          </w:tcPr>
          <w:p w14:paraId="26F3D425">
            <w:pPr>
              <w:keepNext w:val="0"/>
              <w:keepLines w:val="0"/>
              <w:widowControl/>
              <w:suppressLineNumbers w:val="0"/>
              <w:jc w:val="center"/>
              <w:textAlignment w:val="center"/>
              <w:rPr>
                <w:rFonts w:hint="eastAsia" w:ascii="Times New Roman" w:hAnsi="Times New Roman"/>
                <w:szCs w:val="21"/>
              </w:rPr>
            </w:pPr>
            <w:r>
              <w:rPr>
                <w:rFonts w:hint="eastAsia" w:ascii="宋体" w:hAnsi="宋体" w:eastAsia="宋体" w:cs="宋体"/>
                <w:i w:val="0"/>
                <w:iCs w:val="0"/>
                <w:color w:val="000000"/>
                <w:kern w:val="0"/>
                <w:sz w:val="20"/>
                <w:szCs w:val="20"/>
                <w:u w:val="none"/>
                <w:lang w:val="en-US" w:eastAsia="zh-CN" w:bidi="ar"/>
              </w:rPr>
              <w:t>怀抱单人布艺沙发.天蓝</w:t>
            </w:r>
          </w:p>
        </w:tc>
        <w:tc>
          <w:tcPr>
            <w:tcW w:w="4225" w:type="pct"/>
            <w:noWrap w:val="0"/>
            <w:vAlign w:val="center"/>
          </w:tcPr>
          <w:p w14:paraId="0337C7ED">
            <w:pPr>
              <w:jc w:val="left"/>
              <w:rPr>
                <w:rFonts w:hint="eastAsia" w:ascii="Times New Roman" w:hAnsi="Times New Roman"/>
                <w:szCs w:val="21"/>
              </w:rPr>
            </w:pPr>
            <w:r>
              <w:rPr>
                <w:rFonts w:hint="eastAsia" w:ascii="Times New Roman" w:hAnsi="Times New Roman"/>
                <w:szCs w:val="21"/>
              </w:rPr>
              <w:t>规格：L60xW50xH61cm（±3cm）</w:t>
            </w:r>
          </w:p>
        </w:tc>
      </w:tr>
      <w:tr w14:paraId="7720E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3" w:type="pct"/>
            <w:vMerge w:val="continue"/>
            <w:noWrap w:val="0"/>
            <w:vAlign w:val="center"/>
          </w:tcPr>
          <w:p w14:paraId="084C571E">
            <w:pPr>
              <w:jc w:val="center"/>
              <w:rPr>
                <w:rFonts w:hint="eastAsia" w:ascii="Times New Roman" w:hAnsi="Times New Roman"/>
                <w:szCs w:val="21"/>
              </w:rPr>
            </w:pPr>
          </w:p>
        </w:tc>
        <w:tc>
          <w:tcPr>
            <w:tcW w:w="440" w:type="pct"/>
            <w:vMerge w:val="continue"/>
            <w:noWrap w:val="0"/>
            <w:vAlign w:val="center"/>
          </w:tcPr>
          <w:p w14:paraId="6B027E4E">
            <w:pPr>
              <w:jc w:val="center"/>
              <w:rPr>
                <w:rFonts w:hint="eastAsia" w:ascii="Times New Roman" w:hAnsi="Times New Roman"/>
                <w:szCs w:val="21"/>
              </w:rPr>
            </w:pPr>
          </w:p>
        </w:tc>
        <w:tc>
          <w:tcPr>
            <w:tcW w:w="4225" w:type="pct"/>
            <w:noWrap w:val="0"/>
            <w:vAlign w:val="top"/>
          </w:tcPr>
          <w:p w14:paraId="01160BAA">
            <w:pPr>
              <w:jc w:val="left"/>
              <w:rPr>
                <w:rFonts w:hint="eastAsia" w:ascii="Times New Roman" w:hAnsi="Times New Roman"/>
                <w:szCs w:val="21"/>
              </w:rPr>
            </w:pPr>
            <w:r>
              <w:rPr>
                <w:rFonts w:hint="eastAsia" w:ascii="Times New Roman" w:hAnsi="Times New Roman"/>
                <w:szCs w:val="21"/>
              </w:rPr>
              <w:t>1.面料材质：采用的涤纶纤维织造布料，颜色天蓝色，仿棉麻材质，耐磨，免洗。</w:t>
            </w:r>
          </w:p>
        </w:tc>
      </w:tr>
      <w:tr w14:paraId="3A2C4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3" w:type="pct"/>
            <w:vMerge w:val="continue"/>
            <w:noWrap w:val="0"/>
            <w:vAlign w:val="center"/>
          </w:tcPr>
          <w:p w14:paraId="49C390BA">
            <w:pPr>
              <w:jc w:val="center"/>
              <w:rPr>
                <w:rFonts w:ascii="Times New Roman" w:hAnsi="Times New Roman"/>
                <w:szCs w:val="21"/>
              </w:rPr>
            </w:pPr>
          </w:p>
        </w:tc>
        <w:tc>
          <w:tcPr>
            <w:tcW w:w="440" w:type="pct"/>
            <w:vMerge w:val="continue"/>
            <w:noWrap w:val="0"/>
            <w:vAlign w:val="center"/>
          </w:tcPr>
          <w:p w14:paraId="0324E70C">
            <w:pPr>
              <w:jc w:val="center"/>
              <w:rPr>
                <w:rFonts w:hint="eastAsia" w:ascii="Times New Roman" w:hAnsi="Times New Roman"/>
                <w:szCs w:val="21"/>
              </w:rPr>
            </w:pPr>
          </w:p>
        </w:tc>
        <w:tc>
          <w:tcPr>
            <w:tcW w:w="4225" w:type="pct"/>
            <w:noWrap w:val="0"/>
            <w:vAlign w:val="center"/>
          </w:tcPr>
          <w:p w14:paraId="53739285">
            <w:pPr>
              <w:jc w:val="left"/>
              <w:rPr>
                <w:rFonts w:hint="eastAsia" w:ascii="Times New Roman" w:hAnsi="Times New Roman"/>
                <w:szCs w:val="21"/>
              </w:rPr>
            </w:pPr>
            <w:r>
              <w:rPr>
                <w:rFonts w:hint="eastAsia" w:ascii="Times New Roman" w:hAnsi="Times New Roman"/>
                <w:szCs w:val="21"/>
              </w:rPr>
              <w:t>2.填充材质：海绵，密度≥30kg/m³，回弹性强，不易变形。</w:t>
            </w:r>
          </w:p>
        </w:tc>
      </w:tr>
      <w:tr w14:paraId="2236D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3" w:type="pct"/>
            <w:vMerge w:val="continue"/>
            <w:noWrap w:val="0"/>
            <w:vAlign w:val="center"/>
          </w:tcPr>
          <w:p w14:paraId="40E442B5">
            <w:pPr>
              <w:jc w:val="center"/>
              <w:rPr>
                <w:rFonts w:ascii="Times New Roman" w:hAnsi="Times New Roman"/>
                <w:szCs w:val="21"/>
              </w:rPr>
            </w:pPr>
          </w:p>
        </w:tc>
        <w:tc>
          <w:tcPr>
            <w:tcW w:w="440" w:type="pct"/>
            <w:vMerge w:val="continue"/>
            <w:noWrap w:val="0"/>
            <w:vAlign w:val="center"/>
          </w:tcPr>
          <w:p w14:paraId="5B48169B">
            <w:pPr>
              <w:jc w:val="center"/>
              <w:rPr>
                <w:rFonts w:hint="eastAsia" w:ascii="Times New Roman" w:hAnsi="Times New Roman"/>
                <w:szCs w:val="21"/>
              </w:rPr>
            </w:pPr>
          </w:p>
        </w:tc>
        <w:tc>
          <w:tcPr>
            <w:tcW w:w="4225" w:type="pct"/>
            <w:noWrap w:val="0"/>
            <w:vAlign w:val="center"/>
          </w:tcPr>
          <w:p w14:paraId="256CF03C">
            <w:pPr>
              <w:jc w:val="left"/>
              <w:rPr>
                <w:rFonts w:hint="eastAsia" w:ascii="Times New Roman" w:hAnsi="Times New Roman"/>
                <w:szCs w:val="21"/>
              </w:rPr>
            </w:pPr>
            <w:r>
              <w:rPr>
                <w:rFonts w:hint="eastAsia" w:ascii="Times New Roman" w:hAnsi="Times New Roman"/>
                <w:szCs w:val="21"/>
              </w:rPr>
              <w:t>3.产品特点：单人座，脚柱采用原木，经抛光上透明清漆。</w:t>
            </w:r>
          </w:p>
        </w:tc>
      </w:tr>
      <w:tr w14:paraId="6A2DF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3" w:type="pct"/>
            <w:vMerge w:val="restart"/>
            <w:noWrap w:val="0"/>
            <w:vAlign w:val="center"/>
          </w:tcPr>
          <w:p w14:paraId="10D98541">
            <w:pPr>
              <w:keepNext w:val="0"/>
              <w:keepLines w:val="0"/>
              <w:widowControl/>
              <w:suppressLineNumbers w:val="0"/>
              <w:jc w:val="center"/>
              <w:textAlignment w:val="center"/>
              <w:rPr>
                <w:rFonts w:ascii="Times New Roman" w:hAnsi="Times New Roman"/>
                <w:szCs w:val="21"/>
              </w:rPr>
            </w:pPr>
            <w:r>
              <w:rPr>
                <w:rFonts w:hint="default" w:ascii="Arial" w:hAnsi="Arial" w:eastAsia="宋体" w:cs="Arial"/>
                <w:i w:val="0"/>
                <w:iCs w:val="0"/>
                <w:color w:val="000000"/>
                <w:kern w:val="0"/>
                <w:sz w:val="20"/>
                <w:szCs w:val="20"/>
                <w:u w:val="none"/>
                <w:lang w:val="en-US" w:eastAsia="zh-CN" w:bidi="ar"/>
              </w:rPr>
              <w:t xml:space="preserve">17 </w:t>
            </w:r>
          </w:p>
        </w:tc>
        <w:tc>
          <w:tcPr>
            <w:tcW w:w="440" w:type="pct"/>
            <w:vMerge w:val="restart"/>
            <w:noWrap w:val="0"/>
            <w:vAlign w:val="center"/>
          </w:tcPr>
          <w:p w14:paraId="36BBBF6B">
            <w:pPr>
              <w:keepNext w:val="0"/>
              <w:keepLines w:val="0"/>
              <w:widowControl/>
              <w:suppressLineNumbers w:val="0"/>
              <w:jc w:val="center"/>
              <w:textAlignment w:val="center"/>
              <w:rPr>
                <w:rFonts w:hint="eastAsia" w:ascii="Times New Roman" w:hAnsi="Times New Roman"/>
                <w:szCs w:val="21"/>
              </w:rPr>
            </w:pPr>
            <w:r>
              <w:rPr>
                <w:rFonts w:hint="eastAsia" w:ascii="宋体" w:hAnsi="宋体" w:eastAsia="宋体" w:cs="宋体"/>
                <w:i w:val="0"/>
                <w:iCs w:val="0"/>
                <w:color w:val="000000"/>
                <w:kern w:val="0"/>
                <w:sz w:val="20"/>
                <w:szCs w:val="20"/>
                <w:u w:val="none"/>
                <w:lang w:val="en-US" w:eastAsia="zh-CN" w:bidi="ar"/>
              </w:rPr>
              <w:t>怀抱双人布艺沙发.天蓝</w:t>
            </w:r>
          </w:p>
        </w:tc>
        <w:tc>
          <w:tcPr>
            <w:tcW w:w="4225" w:type="pct"/>
            <w:noWrap w:val="0"/>
            <w:vAlign w:val="center"/>
          </w:tcPr>
          <w:p w14:paraId="6D9AA41C">
            <w:pPr>
              <w:jc w:val="left"/>
              <w:rPr>
                <w:rFonts w:hint="eastAsia" w:ascii="Times New Roman" w:hAnsi="Times New Roman"/>
                <w:szCs w:val="21"/>
              </w:rPr>
            </w:pPr>
            <w:r>
              <w:rPr>
                <w:rFonts w:hint="eastAsia" w:ascii="Times New Roman" w:hAnsi="Times New Roman"/>
                <w:szCs w:val="21"/>
              </w:rPr>
              <w:t>规格：L97xW50xH61cm（±3cm）</w:t>
            </w:r>
          </w:p>
        </w:tc>
      </w:tr>
      <w:tr w14:paraId="68013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3" w:type="pct"/>
            <w:vMerge w:val="continue"/>
            <w:noWrap w:val="0"/>
            <w:vAlign w:val="center"/>
          </w:tcPr>
          <w:p w14:paraId="4E78904C">
            <w:pPr>
              <w:jc w:val="center"/>
              <w:rPr>
                <w:rFonts w:hint="eastAsia" w:ascii="Times New Roman" w:hAnsi="Times New Roman"/>
                <w:szCs w:val="21"/>
              </w:rPr>
            </w:pPr>
          </w:p>
        </w:tc>
        <w:tc>
          <w:tcPr>
            <w:tcW w:w="440" w:type="pct"/>
            <w:vMerge w:val="continue"/>
            <w:noWrap w:val="0"/>
            <w:vAlign w:val="center"/>
          </w:tcPr>
          <w:p w14:paraId="24ED88FB">
            <w:pPr>
              <w:jc w:val="center"/>
              <w:rPr>
                <w:rFonts w:hint="eastAsia" w:ascii="Times New Roman" w:hAnsi="Times New Roman"/>
                <w:szCs w:val="21"/>
              </w:rPr>
            </w:pPr>
          </w:p>
        </w:tc>
        <w:tc>
          <w:tcPr>
            <w:tcW w:w="4225" w:type="pct"/>
            <w:noWrap w:val="0"/>
            <w:vAlign w:val="top"/>
          </w:tcPr>
          <w:p w14:paraId="15157158">
            <w:pPr>
              <w:jc w:val="left"/>
              <w:rPr>
                <w:rFonts w:hint="eastAsia" w:ascii="Times New Roman" w:hAnsi="Times New Roman"/>
                <w:szCs w:val="21"/>
              </w:rPr>
            </w:pPr>
            <w:r>
              <w:rPr>
                <w:rFonts w:hint="eastAsia" w:ascii="Times New Roman" w:hAnsi="Times New Roman"/>
                <w:szCs w:val="21"/>
              </w:rPr>
              <w:t>1.面料材质：采用的涤纶纤维织造布料，颜色天蓝色，仿棉麻材质，耐磨，免洗。</w:t>
            </w:r>
          </w:p>
        </w:tc>
      </w:tr>
      <w:tr w14:paraId="5377A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3" w:type="pct"/>
            <w:vMerge w:val="continue"/>
            <w:noWrap w:val="0"/>
            <w:vAlign w:val="center"/>
          </w:tcPr>
          <w:p w14:paraId="272B251E">
            <w:pPr>
              <w:jc w:val="center"/>
              <w:rPr>
                <w:rFonts w:hint="eastAsia" w:ascii="Times New Roman" w:hAnsi="Times New Roman"/>
                <w:szCs w:val="21"/>
              </w:rPr>
            </w:pPr>
          </w:p>
        </w:tc>
        <w:tc>
          <w:tcPr>
            <w:tcW w:w="440" w:type="pct"/>
            <w:vMerge w:val="continue"/>
            <w:noWrap w:val="0"/>
            <w:vAlign w:val="center"/>
          </w:tcPr>
          <w:p w14:paraId="44A1BD18">
            <w:pPr>
              <w:jc w:val="center"/>
              <w:rPr>
                <w:rFonts w:hint="eastAsia" w:ascii="Times New Roman" w:hAnsi="Times New Roman"/>
                <w:szCs w:val="21"/>
              </w:rPr>
            </w:pPr>
          </w:p>
        </w:tc>
        <w:tc>
          <w:tcPr>
            <w:tcW w:w="4225" w:type="pct"/>
            <w:noWrap w:val="0"/>
            <w:vAlign w:val="center"/>
          </w:tcPr>
          <w:p w14:paraId="17DDAE45">
            <w:pPr>
              <w:jc w:val="left"/>
              <w:rPr>
                <w:rFonts w:hint="eastAsia" w:ascii="Times New Roman" w:hAnsi="Times New Roman"/>
                <w:szCs w:val="21"/>
              </w:rPr>
            </w:pPr>
            <w:r>
              <w:rPr>
                <w:rFonts w:hint="eastAsia" w:ascii="Times New Roman" w:hAnsi="Times New Roman"/>
                <w:szCs w:val="21"/>
              </w:rPr>
              <w:t>2.填充材质：海绵，密度≥30kg/m³，回弹性强，不易变形。</w:t>
            </w:r>
          </w:p>
        </w:tc>
      </w:tr>
      <w:tr w14:paraId="00135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3" w:type="pct"/>
            <w:vMerge w:val="continue"/>
            <w:noWrap w:val="0"/>
            <w:vAlign w:val="center"/>
          </w:tcPr>
          <w:p w14:paraId="37EFF0DC">
            <w:pPr>
              <w:jc w:val="center"/>
              <w:rPr>
                <w:rFonts w:hint="eastAsia" w:ascii="Times New Roman" w:hAnsi="Times New Roman"/>
                <w:szCs w:val="21"/>
              </w:rPr>
            </w:pPr>
          </w:p>
        </w:tc>
        <w:tc>
          <w:tcPr>
            <w:tcW w:w="440" w:type="pct"/>
            <w:vMerge w:val="continue"/>
            <w:noWrap w:val="0"/>
            <w:vAlign w:val="center"/>
          </w:tcPr>
          <w:p w14:paraId="020422BC">
            <w:pPr>
              <w:jc w:val="center"/>
              <w:rPr>
                <w:rFonts w:hint="eastAsia" w:ascii="Times New Roman" w:hAnsi="Times New Roman"/>
                <w:szCs w:val="21"/>
              </w:rPr>
            </w:pPr>
          </w:p>
        </w:tc>
        <w:tc>
          <w:tcPr>
            <w:tcW w:w="4225" w:type="pct"/>
            <w:noWrap w:val="0"/>
            <w:vAlign w:val="center"/>
          </w:tcPr>
          <w:p w14:paraId="2746638D">
            <w:pPr>
              <w:jc w:val="left"/>
              <w:rPr>
                <w:rFonts w:hint="eastAsia" w:ascii="Times New Roman" w:hAnsi="Times New Roman"/>
                <w:szCs w:val="21"/>
              </w:rPr>
            </w:pPr>
            <w:r>
              <w:rPr>
                <w:rFonts w:hint="eastAsia" w:ascii="Times New Roman" w:hAnsi="Times New Roman"/>
                <w:szCs w:val="21"/>
              </w:rPr>
              <w:t>3.产品特点：双人座，脚柱采用原木，经抛光上透明清漆。</w:t>
            </w:r>
          </w:p>
        </w:tc>
      </w:tr>
      <w:tr w14:paraId="63C6C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3" w:type="pct"/>
            <w:vMerge w:val="restart"/>
            <w:noWrap w:val="0"/>
            <w:vAlign w:val="center"/>
          </w:tcPr>
          <w:p w14:paraId="058BA23D">
            <w:pPr>
              <w:keepNext w:val="0"/>
              <w:keepLines w:val="0"/>
              <w:widowControl/>
              <w:suppressLineNumbers w:val="0"/>
              <w:jc w:val="center"/>
              <w:textAlignment w:val="center"/>
              <w:rPr>
                <w:rFonts w:ascii="Times New Roman" w:hAnsi="Times New Roman"/>
                <w:szCs w:val="21"/>
              </w:rPr>
            </w:pPr>
            <w:r>
              <w:rPr>
                <w:rFonts w:hint="default" w:ascii="Arial" w:hAnsi="Arial" w:eastAsia="宋体" w:cs="Arial"/>
                <w:i w:val="0"/>
                <w:iCs w:val="0"/>
                <w:color w:val="000000"/>
                <w:kern w:val="0"/>
                <w:sz w:val="20"/>
                <w:szCs w:val="20"/>
                <w:u w:val="none"/>
                <w:lang w:val="en-US" w:eastAsia="zh-CN" w:bidi="ar"/>
              </w:rPr>
              <w:t xml:space="preserve">18 </w:t>
            </w:r>
          </w:p>
        </w:tc>
        <w:tc>
          <w:tcPr>
            <w:tcW w:w="440" w:type="pct"/>
            <w:vMerge w:val="restart"/>
            <w:noWrap w:val="0"/>
            <w:vAlign w:val="center"/>
          </w:tcPr>
          <w:p w14:paraId="3EC100B5">
            <w:pPr>
              <w:keepNext w:val="0"/>
              <w:keepLines w:val="0"/>
              <w:widowControl/>
              <w:suppressLineNumbers w:val="0"/>
              <w:jc w:val="center"/>
              <w:textAlignment w:val="center"/>
              <w:rPr>
                <w:rFonts w:hint="eastAsia" w:ascii="Times New Roman" w:hAnsi="Times New Roman"/>
                <w:szCs w:val="21"/>
              </w:rPr>
            </w:pPr>
            <w:r>
              <w:rPr>
                <w:rFonts w:hint="eastAsia" w:ascii="宋体" w:hAnsi="宋体" w:eastAsia="宋体" w:cs="宋体"/>
                <w:i w:val="0"/>
                <w:iCs w:val="0"/>
                <w:color w:val="000000"/>
                <w:kern w:val="0"/>
                <w:sz w:val="20"/>
                <w:szCs w:val="20"/>
                <w:u w:val="none"/>
                <w:lang w:val="en-US" w:eastAsia="zh-CN" w:bidi="ar"/>
              </w:rPr>
              <w:t>秘密游戏树洞</w:t>
            </w:r>
          </w:p>
        </w:tc>
        <w:tc>
          <w:tcPr>
            <w:tcW w:w="4225" w:type="pct"/>
            <w:noWrap w:val="0"/>
            <w:vAlign w:val="center"/>
          </w:tcPr>
          <w:p w14:paraId="50852878">
            <w:pPr>
              <w:jc w:val="left"/>
              <w:rPr>
                <w:rFonts w:hint="eastAsia" w:ascii="Times New Roman" w:hAnsi="Times New Roman"/>
                <w:szCs w:val="21"/>
              </w:rPr>
            </w:pPr>
            <w:r>
              <w:rPr>
                <w:rFonts w:hint="eastAsia" w:ascii="Times New Roman" w:hAnsi="Times New Roman"/>
                <w:szCs w:val="21"/>
              </w:rPr>
              <w:t>规格：L103xW42xH150cm（±3cm）</w:t>
            </w:r>
          </w:p>
        </w:tc>
      </w:tr>
      <w:tr w14:paraId="2ADD6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3" w:type="pct"/>
            <w:vMerge w:val="continue"/>
            <w:noWrap w:val="0"/>
            <w:vAlign w:val="center"/>
          </w:tcPr>
          <w:p w14:paraId="0B3E18A9">
            <w:pPr>
              <w:jc w:val="center"/>
              <w:rPr>
                <w:rFonts w:ascii="Times New Roman" w:hAnsi="Times New Roman"/>
                <w:szCs w:val="21"/>
              </w:rPr>
            </w:pPr>
          </w:p>
        </w:tc>
        <w:tc>
          <w:tcPr>
            <w:tcW w:w="440" w:type="pct"/>
            <w:vMerge w:val="continue"/>
            <w:noWrap w:val="0"/>
            <w:vAlign w:val="center"/>
          </w:tcPr>
          <w:p w14:paraId="47614408">
            <w:pPr>
              <w:jc w:val="center"/>
              <w:rPr>
                <w:rFonts w:hint="eastAsia" w:ascii="Times New Roman" w:hAnsi="Times New Roman"/>
                <w:szCs w:val="21"/>
              </w:rPr>
            </w:pPr>
          </w:p>
        </w:tc>
        <w:tc>
          <w:tcPr>
            <w:tcW w:w="4225" w:type="pct"/>
            <w:noWrap w:val="0"/>
            <w:vAlign w:val="top"/>
          </w:tcPr>
          <w:p w14:paraId="2C1E27FF">
            <w:pPr>
              <w:jc w:val="left"/>
              <w:rPr>
                <w:rFonts w:hint="eastAsia" w:ascii="Times New Roman" w:hAnsi="Times New Roman"/>
                <w:szCs w:val="21"/>
              </w:rPr>
            </w:pPr>
            <w:r>
              <w:rPr>
                <w:rFonts w:hint="eastAsia" w:ascii="Times New Roman" w:hAnsi="Times New Roman"/>
                <w:szCs w:val="21"/>
              </w:rPr>
              <w:t>1、工艺设计：</w:t>
            </w:r>
          </w:p>
          <w:p w14:paraId="794E088A">
            <w:pPr>
              <w:jc w:val="left"/>
              <w:rPr>
                <w:rFonts w:hint="eastAsia" w:ascii="Times New Roman" w:hAnsi="Times New Roman"/>
                <w:szCs w:val="21"/>
              </w:rPr>
            </w:pPr>
            <w:r>
              <w:rPr>
                <w:rFonts w:hint="eastAsia" w:ascii="Times New Roman" w:hAnsi="Times New Roman"/>
                <w:szCs w:val="21"/>
              </w:rPr>
              <w:t>（1）特色高顶松元素造型设计，吊牌黑板可擦写，既能独立摆放模拟真实场景又易于搭配其他产品进行环创。</w:t>
            </w:r>
          </w:p>
          <w:p w14:paraId="07A0F3C1">
            <w:pPr>
              <w:jc w:val="left"/>
              <w:rPr>
                <w:rFonts w:hint="eastAsia" w:ascii="Times New Roman" w:hAnsi="Times New Roman"/>
                <w:szCs w:val="21"/>
              </w:rPr>
            </w:pPr>
            <w:r>
              <w:rPr>
                <w:rFonts w:hint="eastAsia" w:ascii="Times New Roman" w:hAnsi="Times New Roman"/>
                <w:szCs w:val="21"/>
              </w:rPr>
              <w:t>（2）配件丰富，布艺装饰，软化环境，能适用多场景下使用，提高趣味性。</w:t>
            </w:r>
          </w:p>
          <w:p w14:paraId="06420856">
            <w:pPr>
              <w:jc w:val="left"/>
              <w:rPr>
                <w:rFonts w:hint="eastAsia" w:ascii="Times New Roman" w:hAnsi="Times New Roman"/>
                <w:szCs w:val="21"/>
              </w:rPr>
            </w:pPr>
            <w:r>
              <w:rPr>
                <w:rFonts w:hint="eastAsia" w:ascii="Times New Roman" w:hAnsi="Times New Roman"/>
                <w:szCs w:val="21"/>
              </w:rPr>
              <w:t>（3）所有螺丝位无毛刺不刮手，边角采用圆边/圆角处理以及安全防撞设计，最大程度的避免儿童磕碰伤害，结构稳固。</w:t>
            </w:r>
          </w:p>
        </w:tc>
      </w:tr>
      <w:tr w14:paraId="56E19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3" w:type="pct"/>
            <w:vMerge w:val="continue"/>
            <w:noWrap w:val="0"/>
            <w:vAlign w:val="center"/>
          </w:tcPr>
          <w:p w14:paraId="08268D01">
            <w:pPr>
              <w:jc w:val="center"/>
              <w:rPr>
                <w:rFonts w:hint="eastAsia" w:ascii="Times New Roman" w:hAnsi="Times New Roman"/>
                <w:szCs w:val="21"/>
              </w:rPr>
            </w:pPr>
          </w:p>
        </w:tc>
        <w:tc>
          <w:tcPr>
            <w:tcW w:w="440" w:type="pct"/>
            <w:vMerge w:val="continue"/>
            <w:noWrap w:val="0"/>
            <w:vAlign w:val="center"/>
          </w:tcPr>
          <w:p w14:paraId="1549F82C">
            <w:pPr>
              <w:jc w:val="center"/>
              <w:rPr>
                <w:rFonts w:hint="eastAsia" w:ascii="Times New Roman" w:hAnsi="Times New Roman"/>
                <w:szCs w:val="21"/>
              </w:rPr>
            </w:pPr>
          </w:p>
        </w:tc>
        <w:tc>
          <w:tcPr>
            <w:tcW w:w="4225" w:type="pct"/>
            <w:noWrap w:val="0"/>
            <w:vAlign w:val="top"/>
          </w:tcPr>
          <w:p w14:paraId="0D2C2690">
            <w:pPr>
              <w:jc w:val="left"/>
              <w:rPr>
                <w:rFonts w:hint="eastAsia" w:ascii="Times New Roman" w:hAnsi="Times New Roman"/>
                <w:szCs w:val="21"/>
              </w:rPr>
            </w:pPr>
            <w:r>
              <w:rPr>
                <w:rFonts w:hint="eastAsia" w:ascii="Times New Roman" w:hAnsi="Times New Roman"/>
                <w:szCs w:val="21"/>
              </w:rPr>
              <w:t>2、外观结构及材质：</w:t>
            </w:r>
          </w:p>
          <w:p w14:paraId="0C308DA5">
            <w:pPr>
              <w:jc w:val="left"/>
              <w:rPr>
                <w:rFonts w:hint="eastAsia" w:ascii="Times New Roman" w:hAnsi="Times New Roman"/>
                <w:szCs w:val="21"/>
              </w:rPr>
            </w:pPr>
            <w:r>
              <w:rPr>
                <w:rFonts w:hint="eastAsia" w:ascii="Times New Roman" w:hAnsi="Times New Roman"/>
                <w:szCs w:val="21"/>
              </w:rPr>
              <w:t>(1)柜体采用厚度18mm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szCs w:val="21"/>
              </w:rPr>
              <w:t>的实木多层板，前后造型挡板采用厚度12mm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szCs w:val="21"/>
              </w:rPr>
              <w:t>的实木多层板。前后造型板呈两层高顶松元素造型，最顶部（即树顶）采用圆角处理，造型板前后可挂小黑板。支撑圆棒采用桦木原木，共6条，屋顶搭配1条浅绿色半透帐纱以及1条白色半透帐纱，顶部使用一条魔术贴（无魔术贴）可轻松拆卸清洗。</w:t>
            </w:r>
          </w:p>
          <w:p w14:paraId="4E6CC613">
            <w:pPr>
              <w:jc w:val="left"/>
              <w:rPr>
                <w:rFonts w:hint="eastAsia" w:ascii="Times New Roman" w:hAnsi="Times New Roman"/>
                <w:szCs w:val="21"/>
              </w:rPr>
            </w:pPr>
            <w:r>
              <w:rPr>
                <w:rFonts w:hint="eastAsia" w:ascii="Times New Roman" w:hAnsi="Times New Roman"/>
                <w:szCs w:val="21"/>
              </w:rPr>
              <w:t>(2）坐垫面离地高度：280mm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szCs w:val="21"/>
              </w:rPr>
              <w:t>，坐垫呈灰白色，尺寸为L770xW390xH30mm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szCs w:val="21"/>
              </w:rPr>
              <w:t>，面料柔软透气不闷热，坐垫内部填充高弹海绵，回弹性强，能拆卸清洗；坐柜下是2个左右对称的收纳格，内空尺寸为L376xW396xH145mm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szCs w:val="21"/>
              </w:rPr>
              <w:t>。</w:t>
            </w:r>
          </w:p>
          <w:p w14:paraId="6FB9567B">
            <w:pPr>
              <w:jc w:val="left"/>
              <w:rPr>
                <w:rFonts w:hint="eastAsia" w:ascii="Times New Roman" w:hAnsi="Times New Roman"/>
                <w:szCs w:val="21"/>
              </w:rPr>
            </w:pPr>
            <w:r>
              <w:rPr>
                <w:rFonts w:hint="eastAsia" w:ascii="Times New Roman" w:hAnsi="Times New Roman"/>
                <w:szCs w:val="21"/>
              </w:rPr>
              <w:t>(3)底部安装塑料脚垫，高度为H10mm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szCs w:val="21"/>
              </w:rPr>
              <w:t>，直径17mm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szCs w:val="21"/>
              </w:rPr>
              <w:t>,共8个软性防滑，可有效保护地面刮花并降低噪音。</w:t>
            </w:r>
          </w:p>
          <w:p w14:paraId="356C4DB5">
            <w:pPr>
              <w:jc w:val="left"/>
              <w:rPr>
                <w:rFonts w:hint="eastAsia" w:ascii="Times New Roman" w:hAnsi="Times New Roman"/>
                <w:szCs w:val="21"/>
              </w:rPr>
            </w:pPr>
            <w:r>
              <w:rPr>
                <w:rFonts w:hint="eastAsia" w:ascii="Times New Roman" w:hAnsi="Times New Roman"/>
                <w:szCs w:val="21"/>
              </w:rPr>
              <w:t>(4)搭配：产品包含1块尺寸为L200xW150mm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szCs w:val="21"/>
              </w:rPr>
              <w:t>的吊牌黑板，表面贴黑色防火板，可使用粉笔进行擦写；1个450x450mm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szCs w:val="21"/>
              </w:rPr>
              <w:t>大小流苏方形抱枕，颜色姜黄色；1条浅绿色半透帐纱；1条白色半透帐纱；收纳布袋尺寸L300xW220mm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szCs w:val="21"/>
              </w:rPr>
              <w:t>。</w:t>
            </w:r>
          </w:p>
          <w:p w14:paraId="6FAF0F7D">
            <w:pPr>
              <w:jc w:val="left"/>
              <w:rPr>
                <w:rFonts w:hint="eastAsia" w:ascii="Times New Roman" w:hAnsi="Times New Roman"/>
                <w:szCs w:val="21"/>
              </w:rPr>
            </w:pPr>
            <w:r>
              <w:rPr>
                <w:rFonts w:hint="eastAsia" w:ascii="Times New Roman" w:hAnsi="Times New Roman"/>
                <w:szCs w:val="21"/>
              </w:rPr>
              <w:t>（5）油漆：采用的水性漆，全封闭涂装工艺，漆面光泽高透，颜色均匀。</w:t>
            </w:r>
          </w:p>
        </w:tc>
      </w:tr>
      <w:tr w14:paraId="2F1DF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3" w:type="pct"/>
            <w:vMerge w:val="restart"/>
            <w:noWrap w:val="0"/>
            <w:vAlign w:val="center"/>
          </w:tcPr>
          <w:p w14:paraId="68048768">
            <w:pPr>
              <w:keepNext w:val="0"/>
              <w:keepLines w:val="0"/>
              <w:widowControl/>
              <w:suppressLineNumbers w:val="0"/>
              <w:jc w:val="center"/>
              <w:textAlignment w:val="center"/>
              <w:rPr>
                <w:rFonts w:ascii="Times New Roman" w:hAnsi="Times New Roman"/>
                <w:szCs w:val="21"/>
              </w:rPr>
            </w:pPr>
            <w:r>
              <w:rPr>
                <w:rFonts w:hint="default" w:ascii="Arial" w:hAnsi="Arial" w:eastAsia="宋体" w:cs="Arial"/>
                <w:i w:val="0"/>
                <w:iCs w:val="0"/>
                <w:color w:val="000000"/>
                <w:kern w:val="0"/>
                <w:sz w:val="20"/>
                <w:szCs w:val="20"/>
                <w:u w:val="none"/>
                <w:lang w:val="en-US" w:eastAsia="zh-CN" w:bidi="ar"/>
              </w:rPr>
              <w:t xml:space="preserve">19 </w:t>
            </w:r>
          </w:p>
        </w:tc>
        <w:tc>
          <w:tcPr>
            <w:tcW w:w="440" w:type="pct"/>
            <w:vMerge w:val="restart"/>
            <w:noWrap w:val="0"/>
            <w:vAlign w:val="center"/>
          </w:tcPr>
          <w:p w14:paraId="6F67DE02">
            <w:pPr>
              <w:keepNext w:val="0"/>
              <w:keepLines w:val="0"/>
              <w:widowControl/>
              <w:suppressLineNumbers w:val="0"/>
              <w:jc w:val="center"/>
              <w:textAlignment w:val="center"/>
              <w:rPr>
                <w:rFonts w:hint="eastAsia" w:ascii="Times New Roman" w:hAnsi="Times New Roman"/>
                <w:szCs w:val="21"/>
              </w:rPr>
            </w:pPr>
            <w:r>
              <w:rPr>
                <w:rFonts w:hint="eastAsia" w:ascii="宋体" w:hAnsi="宋体" w:eastAsia="宋体" w:cs="宋体"/>
                <w:i w:val="0"/>
                <w:iCs w:val="0"/>
                <w:color w:val="000000"/>
                <w:kern w:val="0"/>
                <w:sz w:val="20"/>
                <w:szCs w:val="20"/>
                <w:u w:val="none"/>
                <w:lang w:val="en-US" w:eastAsia="zh-CN" w:bidi="ar"/>
              </w:rPr>
              <w:t>互动化妆台</w:t>
            </w:r>
          </w:p>
        </w:tc>
        <w:tc>
          <w:tcPr>
            <w:tcW w:w="4225" w:type="pct"/>
            <w:noWrap w:val="0"/>
            <w:vAlign w:val="top"/>
          </w:tcPr>
          <w:p w14:paraId="011283AC">
            <w:pPr>
              <w:jc w:val="left"/>
              <w:rPr>
                <w:rFonts w:hint="eastAsia" w:ascii="Times New Roman" w:hAnsi="Times New Roman"/>
                <w:szCs w:val="21"/>
              </w:rPr>
            </w:pPr>
            <w:r>
              <w:rPr>
                <w:rFonts w:hint="eastAsia" w:ascii="Times New Roman" w:hAnsi="Times New Roman"/>
                <w:szCs w:val="21"/>
              </w:rPr>
              <w:t>规格：</w:t>
            </w:r>
          </w:p>
          <w:p w14:paraId="50614561">
            <w:pPr>
              <w:jc w:val="left"/>
              <w:rPr>
                <w:rFonts w:hint="eastAsia" w:ascii="Times New Roman" w:hAnsi="Times New Roman"/>
                <w:szCs w:val="21"/>
              </w:rPr>
            </w:pPr>
            <w:r>
              <w:rPr>
                <w:rFonts w:hint="eastAsia" w:ascii="Times New Roman" w:hAnsi="Times New Roman"/>
                <w:szCs w:val="21"/>
              </w:rPr>
              <w:t>桌:L79xW37xH91cm（±3cm）</w:t>
            </w:r>
          </w:p>
          <w:p w14:paraId="018547F2">
            <w:pPr>
              <w:jc w:val="left"/>
              <w:rPr>
                <w:rFonts w:hint="eastAsia" w:ascii="Times New Roman" w:hAnsi="Times New Roman"/>
                <w:szCs w:val="21"/>
              </w:rPr>
            </w:pPr>
            <w:r>
              <w:rPr>
                <w:rFonts w:hint="eastAsia" w:ascii="Times New Roman" w:hAnsi="Times New Roman"/>
                <w:szCs w:val="21"/>
              </w:rPr>
              <w:t>椅:L36xW24xH26cm（±3cm）</w:t>
            </w:r>
          </w:p>
        </w:tc>
      </w:tr>
      <w:tr w14:paraId="529BE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3" w:type="pct"/>
            <w:vMerge w:val="continue"/>
            <w:noWrap w:val="0"/>
            <w:vAlign w:val="center"/>
          </w:tcPr>
          <w:p w14:paraId="2F4A675C">
            <w:pPr>
              <w:jc w:val="center"/>
              <w:rPr>
                <w:rFonts w:hint="eastAsia" w:ascii="Times New Roman" w:hAnsi="Times New Roman"/>
                <w:szCs w:val="21"/>
              </w:rPr>
            </w:pPr>
          </w:p>
        </w:tc>
        <w:tc>
          <w:tcPr>
            <w:tcW w:w="440" w:type="pct"/>
            <w:vMerge w:val="continue"/>
            <w:noWrap w:val="0"/>
            <w:vAlign w:val="center"/>
          </w:tcPr>
          <w:p w14:paraId="322B5322">
            <w:pPr>
              <w:jc w:val="center"/>
              <w:rPr>
                <w:rFonts w:hint="eastAsia" w:ascii="Times New Roman" w:hAnsi="Times New Roman"/>
                <w:szCs w:val="21"/>
              </w:rPr>
            </w:pPr>
          </w:p>
        </w:tc>
        <w:tc>
          <w:tcPr>
            <w:tcW w:w="4225" w:type="pct"/>
            <w:noWrap w:val="0"/>
            <w:vAlign w:val="top"/>
          </w:tcPr>
          <w:p w14:paraId="53060234">
            <w:pPr>
              <w:jc w:val="left"/>
              <w:rPr>
                <w:rFonts w:hint="eastAsia" w:ascii="Times New Roman" w:hAnsi="Times New Roman"/>
                <w:szCs w:val="21"/>
              </w:rPr>
            </w:pPr>
            <w:r>
              <w:rPr>
                <w:rFonts w:hint="eastAsia" w:ascii="Times New Roman" w:hAnsi="Times New Roman"/>
                <w:szCs w:val="21"/>
              </w:rPr>
              <w:t>1、工艺设计：</w:t>
            </w:r>
          </w:p>
          <w:p w14:paraId="21834B90">
            <w:pPr>
              <w:jc w:val="left"/>
              <w:rPr>
                <w:rFonts w:hint="eastAsia" w:ascii="Times New Roman" w:hAnsi="Times New Roman"/>
                <w:szCs w:val="21"/>
              </w:rPr>
            </w:pPr>
            <w:r>
              <w:rPr>
                <w:rFonts w:hint="eastAsia" w:ascii="Times New Roman" w:hAnsi="Times New Roman"/>
                <w:szCs w:val="21"/>
              </w:rPr>
              <w:t>（1）逼真梳妆台造型设计，搭配梳妆椅与亚克力镜子，能适用游戏场景下使用，提高趣味性。</w:t>
            </w:r>
          </w:p>
          <w:p w14:paraId="65C58948">
            <w:pPr>
              <w:jc w:val="left"/>
              <w:rPr>
                <w:rFonts w:hint="eastAsia" w:ascii="Times New Roman" w:hAnsi="Times New Roman"/>
                <w:szCs w:val="21"/>
              </w:rPr>
            </w:pPr>
            <w:r>
              <w:rPr>
                <w:rFonts w:hint="eastAsia" w:ascii="Times New Roman" w:hAnsi="Times New Roman"/>
                <w:szCs w:val="21"/>
              </w:rPr>
              <w:t>（2）采用美工机喷绘工艺，搭配油墨，图案附着力好，生动立体不易褪色。</w:t>
            </w:r>
          </w:p>
          <w:p w14:paraId="0F4235BD">
            <w:pPr>
              <w:jc w:val="left"/>
              <w:rPr>
                <w:rFonts w:hint="eastAsia" w:ascii="Times New Roman" w:hAnsi="Times New Roman"/>
                <w:szCs w:val="21"/>
              </w:rPr>
            </w:pPr>
            <w:r>
              <w:rPr>
                <w:rFonts w:hint="eastAsia" w:ascii="Times New Roman" w:hAnsi="Times New Roman"/>
                <w:szCs w:val="21"/>
              </w:rPr>
              <w:t>（3）所有螺丝位无毛刺不刮手，四角及边沿采用圆角/圆边处理以及安全防撞设计，最大程度的避免儿童磕碰伤害，结构稳固，不易倾倒。</w:t>
            </w:r>
          </w:p>
        </w:tc>
      </w:tr>
      <w:tr w14:paraId="777BA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3" w:type="pct"/>
            <w:vMerge w:val="continue"/>
            <w:noWrap w:val="0"/>
            <w:vAlign w:val="center"/>
          </w:tcPr>
          <w:p w14:paraId="1B06287B">
            <w:pPr>
              <w:jc w:val="center"/>
              <w:rPr>
                <w:rFonts w:hint="eastAsia" w:ascii="Times New Roman" w:hAnsi="Times New Roman"/>
                <w:szCs w:val="21"/>
              </w:rPr>
            </w:pPr>
          </w:p>
        </w:tc>
        <w:tc>
          <w:tcPr>
            <w:tcW w:w="440" w:type="pct"/>
            <w:vMerge w:val="continue"/>
            <w:noWrap w:val="0"/>
            <w:vAlign w:val="center"/>
          </w:tcPr>
          <w:p w14:paraId="5248FDDC">
            <w:pPr>
              <w:jc w:val="center"/>
              <w:rPr>
                <w:rFonts w:hint="eastAsia" w:ascii="Times New Roman" w:hAnsi="Times New Roman"/>
                <w:szCs w:val="21"/>
              </w:rPr>
            </w:pPr>
          </w:p>
        </w:tc>
        <w:tc>
          <w:tcPr>
            <w:tcW w:w="4225" w:type="pct"/>
            <w:noWrap w:val="0"/>
            <w:vAlign w:val="top"/>
          </w:tcPr>
          <w:p w14:paraId="572D992F">
            <w:pPr>
              <w:jc w:val="left"/>
              <w:rPr>
                <w:rFonts w:hint="eastAsia" w:ascii="Times New Roman" w:hAnsi="Times New Roman"/>
                <w:szCs w:val="21"/>
              </w:rPr>
            </w:pPr>
            <w:r>
              <w:rPr>
                <w:rFonts w:hint="eastAsia" w:ascii="Times New Roman" w:hAnsi="Times New Roman"/>
                <w:szCs w:val="21"/>
              </w:rPr>
              <w:t>2、外观结构及材质：</w:t>
            </w:r>
          </w:p>
          <w:p w14:paraId="47FD0035">
            <w:pPr>
              <w:jc w:val="left"/>
              <w:rPr>
                <w:rFonts w:hint="eastAsia" w:ascii="Times New Roman" w:hAnsi="Times New Roman"/>
                <w:szCs w:val="21"/>
              </w:rPr>
            </w:pPr>
            <w:r>
              <w:rPr>
                <w:rFonts w:hint="eastAsia" w:ascii="Times New Roman" w:hAnsi="Times New Roman"/>
                <w:szCs w:val="21"/>
              </w:rPr>
              <w:t>（1）主体采用厚度12mm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szCs w:val="21"/>
              </w:rPr>
              <w:t>及18mm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szCs w:val="21"/>
              </w:rPr>
              <w:t>的实木多层板，抽屉盒底板采用厚度5mm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szCs w:val="21"/>
              </w:rPr>
              <w:t>桦木纹饰面实木纤维板。化妆台镜子采用亚克力镜面板材质，安全防摔，清晰度高，亚克力镜子尺寸为310x340mm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szCs w:val="21"/>
              </w:rPr>
              <w:t>，台面离地高度：520mm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szCs w:val="21"/>
              </w:rPr>
              <w:t>，抽屉内空：197x236mm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szCs w:val="21"/>
              </w:rPr>
              <w:t>。</w:t>
            </w:r>
          </w:p>
          <w:p w14:paraId="53451D97">
            <w:pPr>
              <w:jc w:val="left"/>
              <w:rPr>
                <w:rFonts w:hint="eastAsia" w:ascii="Times New Roman" w:hAnsi="Times New Roman"/>
                <w:szCs w:val="21"/>
              </w:rPr>
            </w:pPr>
            <w:r>
              <w:rPr>
                <w:rFonts w:hint="eastAsia" w:ascii="Times New Roman" w:hAnsi="Times New Roman"/>
                <w:szCs w:val="21"/>
              </w:rPr>
              <w:t>（2）搭配1张梳妆椅，面板贴黑色防火板，可使用粉笔进行擦写；椅脚采用一体成型的可弯板</w:t>
            </w:r>
            <w:r>
              <w:rPr>
                <w:rFonts w:hint="eastAsia" w:ascii="Times New Roman" w:hAnsi="Times New Roman"/>
                <w:szCs w:val="21"/>
                <w:lang w:eastAsia="zh-CN"/>
              </w:rPr>
              <w:t>，</w:t>
            </w:r>
            <w:r>
              <w:rPr>
                <w:rFonts w:hint="eastAsia" w:ascii="Times New Roman" w:hAnsi="Times New Roman"/>
                <w:szCs w:val="21"/>
              </w:rPr>
              <w:t>呈八字支撑增加承重力。椅脚使用塑料脚套包裹，尺寸为36.5x22.5x44mm(±2mm)，加厚耐磨，防滑不易脱落，可有效保护地面刮花并降低噪音。</w:t>
            </w:r>
          </w:p>
          <w:p w14:paraId="6CA55506">
            <w:pPr>
              <w:jc w:val="left"/>
              <w:rPr>
                <w:rFonts w:hint="eastAsia" w:ascii="Times New Roman" w:hAnsi="Times New Roman"/>
                <w:szCs w:val="21"/>
              </w:rPr>
            </w:pPr>
            <w:r>
              <w:rPr>
                <w:rFonts w:hint="eastAsia" w:ascii="Times New Roman" w:hAnsi="Times New Roman"/>
                <w:szCs w:val="21"/>
              </w:rPr>
              <w:t>（3）油漆：采用的水性漆，全封闭涂装工艺，漆面光泽高透，颜色均匀。</w:t>
            </w:r>
          </w:p>
          <w:p w14:paraId="68F72254">
            <w:pPr>
              <w:jc w:val="left"/>
              <w:rPr>
                <w:rFonts w:hint="eastAsia" w:ascii="Times New Roman" w:hAnsi="Times New Roman"/>
                <w:szCs w:val="21"/>
              </w:rPr>
            </w:pPr>
            <w:r>
              <w:rPr>
                <w:rFonts w:hint="eastAsia" w:ascii="Times New Roman" w:hAnsi="Times New Roman"/>
                <w:szCs w:val="21"/>
              </w:rPr>
              <w:t>（4）油墨：采用水性油墨，颜色饱满。</w:t>
            </w:r>
          </w:p>
        </w:tc>
      </w:tr>
      <w:tr w14:paraId="7A790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3" w:type="pct"/>
            <w:vMerge w:val="restart"/>
            <w:noWrap w:val="0"/>
            <w:vAlign w:val="center"/>
          </w:tcPr>
          <w:p w14:paraId="71CA6231">
            <w:pPr>
              <w:keepNext w:val="0"/>
              <w:keepLines w:val="0"/>
              <w:widowControl/>
              <w:suppressLineNumbers w:val="0"/>
              <w:jc w:val="center"/>
              <w:textAlignment w:val="center"/>
              <w:rPr>
                <w:rFonts w:ascii="Times New Roman" w:hAnsi="Times New Roman"/>
                <w:szCs w:val="21"/>
              </w:rPr>
            </w:pPr>
            <w:r>
              <w:rPr>
                <w:rFonts w:hint="default" w:ascii="Arial" w:hAnsi="Arial" w:eastAsia="宋体" w:cs="Arial"/>
                <w:i w:val="0"/>
                <w:iCs w:val="0"/>
                <w:color w:val="000000"/>
                <w:kern w:val="0"/>
                <w:sz w:val="20"/>
                <w:szCs w:val="20"/>
                <w:u w:val="none"/>
                <w:lang w:val="en-US" w:eastAsia="zh-CN" w:bidi="ar"/>
              </w:rPr>
              <w:t xml:space="preserve">20 </w:t>
            </w:r>
          </w:p>
        </w:tc>
        <w:tc>
          <w:tcPr>
            <w:tcW w:w="440" w:type="pct"/>
            <w:vMerge w:val="restart"/>
            <w:noWrap w:val="0"/>
            <w:vAlign w:val="center"/>
          </w:tcPr>
          <w:p w14:paraId="7E5B64E3">
            <w:pPr>
              <w:keepNext w:val="0"/>
              <w:keepLines w:val="0"/>
              <w:widowControl/>
              <w:suppressLineNumbers w:val="0"/>
              <w:jc w:val="center"/>
              <w:textAlignment w:val="center"/>
              <w:rPr>
                <w:rFonts w:hint="eastAsia" w:ascii="Times New Roman" w:hAnsi="Times New Roman"/>
                <w:szCs w:val="21"/>
              </w:rPr>
            </w:pPr>
            <w:r>
              <w:rPr>
                <w:rFonts w:hint="eastAsia" w:ascii="宋体" w:hAnsi="宋体" w:eastAsia="宋体" w:cs="宋体"/>
                <w:i w:val="0"/>
                <w:iCs w:val="0"/>
                <w:color w:val="000000"/>
                <w:kern w:val="0"/>
                <w:sz w:val="20"/>
                <w:szCs w:val="20"/>
                <w:u w:val="none"/>
                <w:lang w:val="en-US" w:eastAsia="zh-CN" w:bidi="ar"/>
              </w:rPr>
              <w:t>6格分区矮柜.无背板</w:t>
            </w:r>
          </w:p>
        </w:tc>
        <w:tc>
          <w:tcPr>
            <w:tcW w:w="4225" w:type="pct"/>
            <w:noWrap w:val="0"/>
            <w:vAlign w:val="center"/>
          </w:tcPr>
          <w:p w14:paraId="3F984166">
            <w:pPr>
              <w:jc w:val="left"/>
              <w:rPr>
                <w:rFonts w:hint="eastAsia" w:ascii="Times New Roman" w:hAnsi="Times New Roman"/>
                <w:szCs w:val="21"/>
              </w:rPr>
            </w:pPr>
            <w:r>
              <w:rPr>
                <w:rFonts w:hint="eastAsia" w:ascii="Times New Roman" w:hAnsi="Times New Roman"/>
                <w:szCs w:val="21"/>
              </w:rPr>
              <w:t>规格：L91.5xW30xH59cm（±3cm）</w:t>
            </w:r>
          </w:p>
        </w:tc>
      </w:tr>
      <w:tr w14:paraId="57D48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3" w:type="pct"/>
            <w:vMerge w:val="continue"/>
            <w:noWrap w:val="0"/>
            <w:vAlign w:val="center"/>
          </w:tcPr>
          <w:p w14:paraId="0A327B41">
            <w:pPr>
              <w:jc w:val="center"/>
              <w:rPr>
                <w:rFonts w:hint="eastAsia" w:ascii="Times New Roman" w:hAnsi="Times New Roman"/>
                <w:szCs w:val="21"/>
              </w:rPr>
            </w:pPr>
          </w:p>
        </w:tc>
        <w:tc>
          <w:tcPr>
            <w:tcW w:w="440" w:type="pct"/>
            <w:vMerge w:val="continue"/>
            <w:noWrap w:val="0"/>
            <w:vAlign w:val="center"/>
          </w:tcPr>
          <w:p w14:paraId="2462DD06">
            <w:pPr>
              <w:jc w:val="center"/>
              <w:rPr>
                <w:rFonts w:hint="eastAsia" w:ascii="Times New Roman" w:hAnsi="Times New Roman"/>
                <w:szCs w:val="21"/>
              </w:rPr>
            </w:pPr>
          </w:p>
        </w:tc>
        <w:tc>
          <w:tcPr>
            <w:tcW w:w="4225" w:type="pct"/>
            <w:noWrap w:val="0"/>
            <w:vAlign w:val="top"/>
          </w:tcPr>
          <w:p w14:paraId="3EE006DC">
            <w:pPr>
              <w:jc w:val="left"/>
              <w:rPr>
                <w:rFonts w:hint="eastAsia" w:ascii="Times New Roman" w:hAnsi="Times New Roman"/>
                <w:szCs w:val="21"/>
              </w:rPr>
            </w:pPr>
            <w:r>
              <w:rPr>
                <w:rFonts w:hint="eastAsia" w:ascii="Times New Roman" w:hAnsi="Times New Roman"/>
                <w:szCs w:val="21"/>
              </w:rPr>
              <w:t>1、工艺设计：</w:t>
            </w:r>
          </w:p>
          <w:p w14:paraId="5DBA7916">
            <w:pPr>
              <w:jc w:val="left"/>
              <w:rPr>
                <w:rFonts w:hint="eastAsia" w:ascii="Times New Roman" w:hAnsi="Times New Roman"/>
                <w:szCs w:val="21"/>
              </w:rPr>
            </w:pPr>
            <w:r>
              <w:rPr>
                <w:rFonts w:hint="eastAsia" w:ascii="Times New Roman" w:hAnsi="Times New Roman"/>
                <w:szCs w:val="21"/>
              </w:rPr>
              <w:t>（1）采用翻板活动轮工艺，移动/固定自由切换。</w:t>
            </w:r>
          </w:p>
          <w:p w14:paraId="383E03DD">
            <w:pPr>
              <w:jc w:val="left"/>
              <w:rPr>
                <w:rFonts w:hint="eastAsia" w:ascii="Times New Roman" w:hAnsi="Times New Roman"/>
                <w:szCs w:val="21"/>
              </w:rPr>
            </w:pPr>
            <w:r>
              <w:rPr>
                <w:rFonts w:hint="eastAsia" w:ascii="Times New Roman" w:hAnsi="Times New Roman"/>
                <w:szCs w:val="21"/>
              </w:rPr>
              <w:t>（2）所有螺丝位无毛刺不刮手，四角及边沿采用圆角/圆边处理以及安全防撞设计，最大程度的避免儿童磕碰伤害，结构稳固。</w:t>
            </w:r>
          </w:p>
        </w:tc>
      </w:tr>
      <w:tr w14:paraId="30C65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3" w:type="pct"/>
            <w:vMerge w:val="continue"/>
            <w:noWrap w:val="0"/>
            <w:vAlign w:val="center"/>
          </w:tcPr>
          <w:p w14:paraId="7838CCBA">
            <w:pPr>
              <w:jc w:val="center"/>
              <w:rPr>
                <w:rFonts w:hint="eastAsia" w:ascii="Times New Roman" w:hAnsi="Times New Roman"/>
                <w:szCs w:val="21"/>
              </w:rPr>
            </w:pPr>
          </w:p>
        </w:tc>
        <w:tc>
          <w:tcPr>
            <w:tcW w:w="440" w:type="pct"/>
            <w:vMerge w:val="continue"/>
            <w:noWrap w:val="0"/>
            <w:vAlign w:val="center"/>
          </w:tcPr>
          <w:p w14:paraId="2C14A104">
            <w:pPr>
              <w:jc w:val="center"/>
              <w:rPr>
                <w:rFonts w:hint="eastAsia" w:ascii="Times New Roman" w:hAnsi="Times New Roman"/>
                <w:szCs w:val="21"/>
              </w:rPr>
            </w:pPr>
          </w:p>
        </w:tc>
        <w:tc>
          <w:tcPr>
            <w:tcW w:w="4225" w:type="pct"/>
            <w:noWrap w:val="0"/>
            <w:vAlign w:val="top"/>
          </w:tcPr>
          <w:p w14:paraId="24AE9BB1">
            <w:pPr>
              <w:jc w:val="left"/>
              <w:rPr>
                <w:rFonts w:hint="eastAsia" w:ascii="Times New Roman" w:hAnsi="Times New Roman"/>
                <w:szCs w:val="21"/>
              </w:rPr>
            </w:pPr>
            <w:r>
              <w:rPr>
                <w:rFonts w:hint="eastAsia" w:ascii="Times New Roman" w:hAnsi="Times New Roman"/>
                <w:szCs w:val="21"/>
              </w:rPr>
              <w:t>2、外观结构及材质：</w:t>
            </w:r>
          </w:p>
          <w:p w14:paraId="5159CC19">
            <w:pPr>
              <w:jc w:val="left"/>
              <w:rPr>
                <w:rFonts w:hint="eastAsia" w:ascii="Times New Roman" w:hAnsi="Times New Roman"/>
                <w:szCs w:val="21"/>
              </w:rPr>
            </w:pPr>
            <w:r>
              <w:rPr>
                <w:rFonts w:hint="eastAsia" w:ascii="Times New Roman" w:hAnsi="Times New Roman"/>
                <w:szCs w:val="21"/>
              </w:rPr>
              <w:t>（1）柜体：采用16mm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szCs w:val="21"/>
              </w:rPr>
              <w:t>的橡胶木拼板。中间用三块层板分成相等的六格分区，每个格子内空：284x300x236mm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szCs w:val="21"/>
              </w:rPr>
              <w:t>。</w:t>
            </w:r>
          </w:p>
          <w:p w14:paraId="4C7BFCE9">
            <w:pPr>
              <w:jc w:val="left"/>
              <w:rPr>
                <w:rFonts w:hint="eastAsia" w:ascii="Times New Roman" w:hAnsi="Times New Roman"/>
                <w:szCs w:val="21"/>
              </w:rPr>
            </w:pPr>
            <w:r>
              <w:rPr>
                <w:rFonts w:hint="eastAsia" w:ascii="Times New Roman" w:hAnsi="Times New Roman"/>
                <w:szCs w:val="21"/>
              </w:rPr>
              <w:t>（2）围脚：采用厚度18mm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szCs w:val="21"/>
              </w:rPr>
              <w:t>的橡胶木拼板。柜体与底部围脚采用塑料连接件实现翻板功能，脚轮为静音万向轮，安装在围脚侧板内，当家具固定时，围脚侧板向下翻，万向轮则隐藏于侧板内；当家具需要移动时，围脚侧板向上翻，塑料连接件卡扣对侧板进行固定，万向轮支撑起家具的重量，无须抬起轻松实现家具位置转移。</w:t>
            </w:r>
          </w:p>
          <w:p w14:paraId="637970AD">
            <w:pPr>
              <w:jc w:val="left"/>
              <w:rPr>
                <w:rFonts w:hint="eastAsia" w:ascii="Times New Roman" w:hAnsi="Times New Roman"/>
                <w:szCs w:val="21"/>
              </w:rPr>
            </w:pPr>
            <w:r>
              <w:rPr>
                <w:rFonts w:hint="eastAsia" w:ascii="Times New Roman" w:hAnsi="Times New Roman"/>
                <w:szCs w:val="21"/>
              </w:rPr>
              <w:t>（3）采用的水性漆，全封闭涂装工艺，漆面光泽高透，颜色均匀。</w:t>
            </w:r>
          </w:p>
        </w:tc>
      </w:tr>
      <w:tr w14:paraId="7A407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3" w:type="pct"/>
            <w:vMerge w:val="restart"/>
            <w:noWrap w:val="0"/>
            <w:vAlign w:val="center"/>
          </w:tcPr>
          <w:p w14:paraId="731A17B1">
            <w:pPr>
              <w:keepNext w:val="0"/>
              <w:keepLines w:val="0"/>
              <w:widowControl/>
              <w:suppressLineNumbers w:val="0"/>
              <w:jc w:val="center"/>
              <w:textAlignment w:val="center"/>
              <w:rPr>
                <w:rFonts w:ascii="Times New Roman" w:hAnsi="Times New Roman"/>
                <w:szCs w:val="21"/>
              </w:rPr>
            </w:pPr>
            <w:r>
              <w:rPr>
                <w:rFonts w:hint="default" w:ascii="Arial" w:hAnsi="Arial" w:eastAsia="宋体" w:cs="Arial"/>
                <w:i w:val="0"/>
                <w:iCs w:val="0"/>
                <w:color w:val="000000"/>
                <w:kern w:val="0"/>
                <w:sz w:val="20"/>
                <w:szCs w:val="20"/>
                <w:u w:val="none"/>
                <w:lang w:val="en-US" w:eastAsia="zh-CN" w:bidi="ar"/>
              </w:rPr>
              <w:t xml:space="preserve">21 </w:t>
            </w:r>
          </w:p>
        </w:tc>
        <w:tc>
          <w:tcPr>
            <w:tcW w:w="440" w:type="pct"/>
            <w:vMerge w:val="restart"/>
            <w:noWrap w:val="0"/>
            <w:vAlign w:val="center"/>
          </w:tcPr>
          <w:p w14:paraId="24CDCB27">
            <w:pPr>
              <w:keepNext w:val="0"/>
              <w:keepLines w:val="0"/>
              <w:widowControl/>
              <w:suppressLineNumbers w:val="0"/>
              <w:jc w:val="center"/>
              <w:textAlignment w:val="center"/>
              <w:rPr>
                <w:rFonts w:hint="eastAsia" w:ascii="Times New Roman" w:hAnsi="Times New Roman"/>
                <w:szCs w:val="21"/>
              </w:rPr>
            </w:pPr>
            <w:r>
              <w:rPr>
                <w:rFonts w:hint="eastAsia" w:ascii="宋体" w:hAnsi="宋体" w:eastAsia="宋体" w:cs="宋体"/>
                <w:i w:val="0"/>
                <w:iCs w:val="0"/>
                <w:color w:val="000000"/>
                <w:kern w:val="0"/>
                <w:sz w:val="20"/>
                <w:szCs w:val="20"/>
                <w:u w:val="none"/>
                <w:lang w:val="en-US" w:eastAsia="zh-CN" w:bidi="ar"/>
              </w:rPr>
              <w:t>2层90°转角矮柜</w:t>
            </w:r>
          </w:p>
        </w:tc>
        <w:tc>
          <w:tcPr>
            <w:tcW w:w="4225" w:type="pct"/>
            <w:noWrap w:val="0"/>
            <w:vAlign w:val="center"/>
          </w:tcPr>
          <w:p w14:paraId="5CCFA3F8">
            <w:pPr>
              <w:jc w:val="left"/>
              <w:rPr>
                <w:rFonts w:ascii="Times New Roman" w:hAnsi="Times New Roman"/>
                <w:szCs w:val="21"/>
              </w:rPr>
            </w:pPr>
            <w:r>
              <w:rPr>
                <w:rFonts w:hint="eastAsia" w:ascii="Times New Roman" w:hAnsi="Times New Roman"/>
                <w:szCs w:val="21"/>
              </w:rPr>
              <w:t>规格：L30xW30xH59cm（±3cm）</w:t>
            </w:r>
          </w:p>
        </w:tc>
      </w:tr>
      <w:tr w14:paraId="0EF86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3" w:type="pct"/>
            <w:vMerge w:val="continue"/>
            <w:noWrap w:val="0"/>
            <w:vAlign w:val="center"/>
          </w:tcPr>
          <w:p w14:paraId="6544D7C9">
            <w:pPr>
              <w:jc w:val="center"/>
              <w:rPr>
                <w:rFonts w:hint="eastAsia" w:ascii="Times New Roman" w:hAnsi="Times New Roman"/>
                <w:szCs w:val="21"/>
              </w:rPr>
            </w:pPr>
          </w:p>
        </w:tc>
        <w:tc>
          <w:tcPr>
            <w:tcW w:w="440" w:type="pct"/>
            <w:vMerge w:val="continue"/>
            <w:noWrap w:val="0"/>
            <w:vAlign w:val="center"/>
          </w:tcPr>
          <w:p w14:paraId="44B9F93B">
            <w:pPr>
              <w:jc w:val="center"/>
              <w:rPr>
                <w:rFonts w:hint="eastAsia" w:ascii="Times New Roman" w:hAnsi="Times New Roman"/>
                <w:szCs w:val="21"/>
              </w:rPr>
            </w:pPr>
          </w:p>
        </w:tc>
        <w:tc>
          <w:tcPr>
            <w:tcW w:w="4225" w:type="pct"/>
            <w:noWrap w:val="0"/>
            <w:vAlign w:val="top"/>
          </w:tcPr>
          <w:p w14:paraId="695F1AC6">
            <w:pPr>
              <w:jc w:val="left"/>
              <w:rPr>
                <w:rFonts w:hint="eastAsia" w:ascii="Times New Roman" w:hAnsi="Times New Roman"/>
                <w:szCs w:val="21"/>
              </w:rPr>
            </w:pPr>
            <w:r>
              <w:rPr>
                <w:rFonts w:hint="eastAsia" w:ascii="Times New Roman" w:hAnsi="Times New Roman"/>
                <w:szCs w:val="21"/>
              </w:rPr>
              <w:t>1、工艺设计：</w:t>
            </w:r>
          </w:p>
          <w:p w14:paraId="60F94C4C">
            <w:pPr>
              <w:jc w:val="left"/>
              <w:rPr>
                <w:rFonts w:hint="eastAsia" w:ascii="Times New Roman" w:hAnsi="Times New Roman"/>
                <w:szCs w:val="21"/>
              </w:rPr>
            </w:pPr>
            <w:r>
              <w:rPr>
                <w:rFonts w:hint="eastAsia" w:ascii="Times New Roman" w:hAnsi="Times New Roman"/>
                <w:szCs w:val="21"/>
              </w:rPr>
              <w:t>（1）90°转角设计，可搭配区角使用作转角连接。</w:t>
            </w:r>
          </w:p>
          <w:p w14:paraId="73EC8B2D">
            <w:pPr>
              <w:jc w:val="left"/>
              <w:rPr>
                <w:rFonts w:hint="eastAsia" w:ascii="Times New Roman" w:hAnsi="Times New Roman"/>
                <w:szCs w:val="21"/>
              </w:rPr>
            </w:pPr>
            <w:r>
              <w:rPr>
                <w:rFonts w:hint="eastAsia" w:ascii="Times New Roman" w:hAnsi="Times New Roman"/>
                <w:szCs w:val="21"/>
              </w:rPr>
              <w:t>（2）所有螺丝位无毛刺不刮手，四角及边沿采用圆角/圆边处理以及安全防撞设计，最大程度的避免儿童磕碰伤害，结构稳固。</w:t>
            </w:r>
          </w:p>
        </w:tc>
      </w:tr>
      <w:tr w14:paraId="4ED8A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3" w:type="pct"/>
            <w:vMerge w:val="continue"/>
            <w:noWrap w:val="0"/>
            <w:vAlign w:val="center"/>
          </w:tcPr>
          <w:p w14:paraId="4902A5DB">
            <w:pPr>
              <w:jc w:val="center"/>
              <w:rPr>
                <w:rFonts w:hint="eastAsia" w:ascii="Times New Roman" w:hAnsi="Times New Roman"/>
                <w:szCs w:val="21"/>
              </w:rPr>
            </w:pPr>
          </w:p>
        </w:tc>
        <w:tc>
          <w:tcPr>
            <w:tcW w:w="440" w:type="pct"/>
            <w:vMerge w:val="continue"/>
            <w:noWrap w:val="0"/>
            <w:vAlign w:val="center"/>
          </w:tcPr>
          <w:p w14:paraId="3E3EBC28">
            <w:pPr>
              <w:jc w:val="center"/>
              <w:rPr>
                <w:rFonts w:hint="eastAsia" w:ascii="Times New Roman" w:hAnsi="Times New Roman"/>
                <w:szCs w:val="21"/>
              </w:rPr>
            </w:pPr>
          </w:p>
        </w:tc>
        <w:tc>
          <w:tcPr>
            <w:tcW w:w="4225" w:type="pct"/>
            <w:noWrap w:val="0"/>
            <w:vAlign w:val="top"/>
          </w:tcPr>
          <w:p w14:paraId="1BDA19A1">
            <w:pPr>
              <w:jc w:val="left"/>
              <w:rPr>
                <w:rFonts w:hint="eastAsia" w:ascii="Times New Roman" w:hAnsi="Times New Roman"/>
                <w:szCs w:val="21"/>
              </w:rPr>
            </w:pPr>
            <w:r>
              <w:rPr>
                <w:rFonts w:hint="eastAsia" w:ascii="Times New Roman" w:hAnsi="Times New Roman"/>
                <w:szCs w:val="21"/>
              </w:rPr>
              <w:t>2、外观结构及材质：</w:t>
            </w:r>
          </w:p>
          <w:p w14:paraId="286F6A35">
            <w:pPr>
              <w:jc w:val="left"/>
              <w:rPr>
                <w:rFonts w:hint="eastAsia" w:ascii="Times New Roman" w:hAnsi="Times New Roman"/>
                <w:szCs w:val="21"/>
              </w:rPr>
            </w:pPr>
            <w:r>
              <w:rPr>
                <w:rFonts w:hint="eastAsia" w:ascii="Times New Roman" w:hAnsi="Times New Roman"/>
                <w:szCs w:val="21"/>
              </w:rPr>
              <w:t>（1）柜体：采用16mm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szCs w:val="21"/>
              </w:rPr>
              <w:t>的橡胶木拼板。全背板2层矮柜，上下内空高度为236mm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szCs w:val="21"/>
              </w:rPr>
              <w:t>，柜体呈90°转角。可搭配L25xW25xH15cm（±3cm）的三角藤编教具篮，实用性更强。</w:t>
            </w:r>
          </w:p>
          <w:p w14:paraId="75589F44">
            <w:pPr>
              <w:jc w:val="left"/>
              <w:rPr>
                <w:rFonts w:hint="eastAsia" w:ascii="Times New Roman" w:hAnsi="Times New Roman"/>
                <w:szCs w:val="21"/>
              </w:rPr>
            </w:pPr>
            <w:r>
              <w:rPr>
                <w:rFonts w:hint="eastAsia" w:ascii="Times New Roman" w:hAnsi="Times New Roman"/>
                <w:szCs w:val="21"/>
              </w:rPr>
              <w:t>（2）围脚：采用厚度18mm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szCs w:val="21"/>
              </w:rPr>
              <w:t>的多层胶合弯板，柜子底部安装塑料脚垫，H10mm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szCs w:val="21"/>
              </w:rPr>
              <w:t>，直径17mm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szCs w:val="21"/>
              </w:rPr>
              <w:t>，软性防滑，可有效保护地面刮花并降低噪音。</w:t>
            </w:r>
          </w:p>
          <w:p w14:paraId="7A6CA189">
            <w:pPr>
              <w:jc w:val="left"/>
              <w:rPr>
                <w:rFonts w:hint="eastAsia" w:ascii="Times New Roman" w:hAnsi="Times New Roman"/>
                <w:szCs w:val="21"/>
              </w:rPr>
            </w:pPr>
            <w:r>
              <w:rPr>
                <w:rFonts w:hint="eastAsia" w:ascii="Times New Roman" w:hAnsi="Times New Roman"/>
                <w:szCs w:val="21"/>
              </w:rPr>
              <w:t>（3）采用的水性漆，全封闭涂装工艺，漆面光泽高透，颜色均匀。</w:t>
            </w:r>
          </w:p>
        </w:tc>
      </w:tr>
      <w:tr w14:paraId="26C82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3" w:type="pct"/>
            <w:vMerge w:val="restart"/>
            <w:noWrap w:val="0"/>
            <w:vAlign w:val="center"/>
          </w:tcPr>
          <w:p w14:paraId="6FAE3E6F">
            <w:pPr>
              <w:keepNext w:val="0"/>
              <w:keepLines w:val="0"/>
              <w:widowControl/>
              <w:suppressLineNumbers w:val="0"/>
              <w:jc w:val="center"/>
              <w:textAlignment w:val="center"/>
              <w:rPr>
                <w:rFonts w:ascii="Times New Roman" w:hAnsi="Times New Roman"/>
                <w:szCs w:val="21"/>
              </w:rPr>
            </w:pPr>
            <w:r>
              <w:rPr>
                <w:rFonts w:hint="default" w:ascii="Arial" w:hAnsi="Arial" w:eastAsia="宋体" w:cs="Arial"/>
                <w:i w:val="0"/>
                <w:iCs w:val="0"/>
                <w:color w:val="000000"/>
                <w:kern w:val="0"/>
                <w:sz w:val="20"/>
                <w:szCs w:val="20"/>
                <w:u w:val="none"/>
                <w:lang w:val="en-US" w:eastAsia="zh-CN" w:bidi="ar"/>
              </w:rPr>
              <w:t xml:space="preserve">22 </w:t>
            </w:r>
          </w:p>
        </w:tc>
        <w:tc>
          <w:tcPr>
            <w:tcW w:w="440" w:type="pct"/>
            <w:vMerge w:val="restart"/>
            <w:noWrap w:val="0"/>
            <w:vAlign w:val="center"/>
          </w:tcPr>
          <w:p w14:paraId="10107003">
            <w:pPr>
              <w:keepNext w:val="0"/>
              <w:keepLines w:val="0"/>
              <w:widowControl/>
              <w:suppressLineNumbers w:val="0"/>
              <w:jc w:val="center"/>
              <w:textAlignment w:val="center"/>
              <w:rPr>
                <w:rFonts w:hint="eastAsia" w:ascii="Times New Roman" w:hAnsi="Times New Roman"/>
                <w:szCs w:val="21"/>
              </w:rPr>
            </w:pPr>
            <w:r>
              <w:rPr>
                <w:rFonts w:hint="eastAsia" w:ascii="宋体" w:hAnsi="宋体" w:eastAsia="宋体" w:cs="宋体"/>
                <w:i w:val="0"/>
                <w:iCs w:val="0"/>
                <w:color w:val="000000"/>
                <w:kern w:val="0"/>
                <w:sz w:val="20"/>
                <w:szCs w:val="20"/>
                <w:u w:val="none"/>
                <w:lang w:val="en-US" w:eastAsia="zh-CN" w:bidi="ar"/>
              </w:rPr>
              <w:t>3层矮柜.可调节.无背板</w:t>
            </w:r>
          </w:p>
        </w:tc>
        <w:tc>
          <w:tcPr>
            <w:tcW w:w="4225" w:type="pct"/>
            <w:noWrap w:val="0"/>
            <w:vAlign w:val="center"/>
          </w:tcPr>
          <w:p w14:paraId="0DF189EA">
            <w:pPr>
              <w:jc w:val="left"/>
              <w:rPr>
                <w:rFonts w:hint="eastAsia" w:ascii="Times New Roman" w:hAnsi="Times New Roman"/>
                <w:szCs w:val="21"/>
              </w:rPr>
            </w:pPr>
            <w:r>
              <w:rPr>
                <w:rFonts w:hint="eastAsia" w:ascii="Times New Roman" w:hAnsi="Times New Roman"/>
                <w:szCs w:val="21"/>
              </w:rPr>
              <w:t>规格：L91.5xW30xH59cm（±3cm）</w:t>
            </w:r>
          </w:p>
        </w:tc>
      </w:tr>
      <w:tr w14:paraId="29D68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3" w:type="pct"/>
            <w:vMerge w:val="continue"/>
            <w:noWrap w:val="0"/>
            <w:vAlign w:val="center"/>
          </w:tcPr>
          <w:p w14:paraId="06CF746B">
            <w:pPr>
              <w:jc w:val="center"/>
              <w:rPr>
                <w:rFonts w:hint="eastAsia" w:ascii="Times New Roman" w:hAnsi="Times New Roman"/>
                <w:szCs w:val="21"/>
              </w:rPr>
            </w:pPr>
          </w:p>
        </w:tc>
        <w:tc>
          <w:tcPr>
            <w:tcW w:w="440" w:type="pct"/>
            <w:vMerge w:val="continue"/>
            <w:noWrap w:val="0"/>
            <w:vAlign w:val="center"/>
          </w:tcPr>
          <w:p w14:paraId="0FD18BAC">
            <w:pPr>
              <w:jc w:val="center"/>
              <w:rPr>
                <w:rFonts w:hint="eastAsia" w:ascii="Times New Roman" w:hAnsi="Times New Roman"/>
                <w:szCs w:val="21"/>
              </w:rPr>
            </w:pPr>
          </w:p>
        </w:tc>
        <w:tc>
          <w:tcPr>
            <w:tcW w:w="4225" w:type="pct"/>
            <w:noWrap w:val="0"/>
            <w:vAlign w:val="top"/>
          </w:tcPr>
          <w:p w14:paraId="4BD8EBDA">
            <w:pPr>
              <w:jc w:val="left"/>
              <w:rPr>
                <w:rFonts w:hint="eastAsia" w:ascii="Times New Roman" w:hAnsi="Times New Roman"/>
                <w:szCs w:val="21"/>
              </w:rPr>
            </w:pPr>
            <w:r>
              <w:rPr>
                <w:rFonts w:hint="eastAsia" w:ascii="Times New Roman" w:hAnsi="Times New Roman"/>
                <w:szCs w:val="21"/>
              </w:rPr>
              <w:t>1、工艺设计：</w:t>
            </w:r>
          </w:p>
          <w:p w14:paraId="06CBADF7">
            <w:pPr>
              <w:jc w:val="left"/>
              <w:rPr>
                <w:rFonts w:hint="eastAsia" w:ascii="Times New Roman" w:hAnsi="Times New Roman"/>
                <w:szCs w:val="21"/>
              </w:rPr>
            </w:pPr>
            <w:r>
              <w:rPr>
                <w:rFonts w:hint="eastAsia" w:ascii="Times New Roman" w:hAnsi="Times New Roman"/>
                <w:szCs w:val="21"/>
              </w:rPr>
              <w:t>（1）采用翻板活动轮工艺，移动/固定自由切换。</w:t>
            </w:r>
          </w:p>
          <w:p w14:paraId="233082BB">
            <w:pPr>
              <w:jc w:val="left"/>
              <w:rPr>
                <w:rFonts w:hint="eastAsia" w:ascii="Times New Roman" w:hAnsi="Times New Roman"/>
                <w:szCs w:val="21"/>
              </w:rPr>
            </w:pPr>
            <w:r>
              <w:rPr>
                <w:rFonts w:hint="eastAsia" w:ascii="Times New Roman" w:hAnsi="Times New Roman"/>
                <w:szCs w:val="21"/>
              </w:rPr>
              <w:t>（2）层板可调设计，提高空间利用率。</w:t>
            </w:r>
          </w:p>
          <w:p w14:paraId="6B77AB24">
            <w:pPr>
              <w:jc w:val="left"/>
              <w:rPr>
                <w:rFonts w:hint="eastAsia" w:ascii="Times New Roman" w:hAnsi="Times New Roman"/>
                <w:szCs w:val="21"/>
              </w:rPr>
            </w:pPr>
            <w:r>
              <w:rPr>
                <w:rFonts w:hint="eastAsia" w:ascii="Times New Roman" w:hAnsi="Times New Roman"/>
                <w:szCs w:val="21"/>
              </w:rPr>
              <w:t>（3）所有螺丝位无毛刺不刮手，四角及边沿采用圆角/圆边处理以及安全防撞设计，最大程度的避免儿童磕碰伤害，结构稳固。</w:t>
            </w:r>
          </w:p>
        </w:tc>
      </w:tr>
      <w:tr w14:paraId="796E4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3" w:type="pct"/>
            <w:vMerge w:val="continue"/>
            <w:noWrap w:val="0"/>
            <w:vAlign w:val="center"/>
          </w:tcPr>
          <w:p w14:paraId="64CED5F4">
            <w:pPr>
              <w:jc w:val="center"/>
              <w:rPr>
                <w:rFonts w:ascii="Times New Roman" w:hAnsi="Times New Roman"/>
                <w:szCs w:val="21"/>
              </w:rPr>
            </w:pPr>
          </w:p>
        </w:tc>
        <w:tc>
          <w:tcPr>
            <w:tcW w:w="440" w:type="pct"/>
            <w:vMerge w:val="continue"/>
            <w:noWrap w:val="0"/>
            <w:vAlign w:val="center"/>
          </w:tcPr>
          <w:p w14:paraId="53B0826E">
            <w:pPr>
              <w:jc w:val="center"/>
              <w:rPr>
                <w:rFonts w:hint="eastAsia" w:ascii="Times New Roman" w:hAnsi="Times New Roman"/>
                <w:szCs w:val="21"/>
              </w:rPr>
            </w:pPr>
          </w:p>
        </w:tc>
        <w:tc>
          <w:tcPr>
            <w:tcW w:w="4225" w:type="pct"/>
            <w:noWrap w:val="0"/>
            <w:vAlign w:val="top"/>
          </w:tcPr>
          <w:p w14:paraId="2008A27F">
            <w:pPr>
              <w:jc w:val="left"/>
              <w:rPr>
                <w:rFonts w:hint="eastAsia" w:ascii="Times New Roman" w:hAnsi="Times New Roman"/>
                <w:szCs w:val="21"/>
              </w:rPr>
            </w:pPr>
            <w:r>
              <w:rPr>
                <w:rFonts w:hint="eastAsia" w:ascii="Times New Roman" w:hAnsi="Times New Roman"/>
                <w:szCs w:val="21"/>
              </w:rPr>
              <w:t>2、外观结构及材质：</w:t>
            </w:r>
          </w:p>
          <w:p w14:paraId="0528DB75">
            <w:pPr>
              <w:jc w:val="left"/>
              <w:rPr>
                <w:rFonts w:hint="eastAsia" w:ascii="Times New Roman" w:hAnsi="Times New Roman"/>
                <w:szCs w:val="21"/>
              </w:rPr>
            </w:pPr>
            <w:r>
              <w:rPr>
                <w:rFonts w:hint="eastAsia" w:ascii="Times New Roman" w:hAnsi="Times New Roman"/>
                <w:szCs w:val="21"/>
              </w:rPr>
              <w:t>（1）柜体：采用16mm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szCs w:val="21"/>
              </w:rPr>
              <w:t>的橡胶木拼板。柜子长度内空：884mm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szCs w:val="21"/>
              </w:rPr>
              <w:t>，上中下三层，中间两块层板。柜子内侧配塑料一次成型呈浅咖色长度440mm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szCs w:val="21"/>
              </w:rPr>
              <w:t>的活动层板支撑条，内嵌式安装嵌入深度4.5mm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szCs w:val="21"/>
              </w:rPr>
              <w:t>，固定条凸11mm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szCs w:val="21"/>
              </w:rPr>
              <w:t>,灵活安全使用层板，不占用空间，共15个挡位、每挡28mm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szCs w:val="21"/>
              </w:rPr>
              <w:t>，可实现层板自选放置高度。</w:t>
            </w:r>
          </w:p>
          <w:p w14:paraId="6DFC79A2">
            <w:pPr>
              <w:jc w:val="left"/>
              <w:rPr>
                <w:rFonts w:hint="eastAsia" w:ascii="Times New Roman" w:hAnsi="Times New Roman"/>
                <w:szCs w:val="21"/>
              </w:rPr>
            </w:pPr>
            <w:r>
              <w:rPr>
                <w:rFonts w:hint="eastAsia" w:ascii="Times New Roman" w:hAnsi="Times New Roman"/>
                <w:szCs w:val="21"/>
              </w:rPr>
              <w:t>（2）围脚：采用厚度18mm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szCs w:val="21"/>
              </w:rPr>
              <w:t>的橡胶木拼板。柜体与底部围脚采用塑料连接件实现翻板功能，脚轮为静音万向轮，安装在围脚侧板内，当家具固定时，围脚侧板向下翻，万向轮则隐藏于侧板内；当家具需要移动时，围脚侧板向上翻，塑料连接件卡扣对侧板进行固定，万向轮支撑起家具的重量，无须抬起轻松实现家具位置转移。</w:t>
            </w:r>
          </w:p>
          <w:p w14:paraId="231A0034">
            <w:pPr>
              <w:jc w:val="left"/>
              <w:rPr>
                <w:rFonts w:hint="eastAsia" w:ascii="Times New Roman" w:hAnsi="Times New Roman"/>
                <w:szCs w:val="21"/>
              </w:rPr>
            </w:pPr>
            <w:r>
              <w:rPr>
                <w:rFonts w:hint="eastAsia" w:ascii="Times New Roman" w:hAnsi="Times New Roman"/>
                <w:szCs w:val="21"/>
              </w:rPr>
              <w:t>（3）采用的水性漆，全封闭涂装工艺，漆面光泽高透，颜色均匀。</w:t>
            </w:r>
          </w:p>
        </w:tc>
      </w:tr>
      <w:tr w14:paraId="214FA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3" w:type="pct"/>
            <w:vMerge w:val="restart"/>
            <w:noWrap w:val="0"/>
            <w:vAlign w:val="center"/>
          </w:tcPr>
          <w:p w14:paraId="3DA56B64">
            <w:pPr>
              <w:keepNext w:val="0"/>
              <w:keepLines w:val="0"/>
              <w:widowControl/>
              <w:suppressLineNumbers w:val="0"/>
              <w:jc w:val="center"/>
              <w:textAlignment w:val="center"/>
              <w:rPr>
                <w:rFonts w:ascii="Times New Roman" w:hAnsi="Times New Roman"/>
                <w:szCs w:val="21"/>
              </w:rPr>
            </w:pPr>
            <w:r>
              <w:rPr>
                <w:rFonts w:hint="default" w:ascii="Arial" w:hAnsi="Arial" w:eastAsia="宋体" w:cs="Arial"/>
                <w:i w:val="0"/>
                <w:iCs w:val="0"/>
                <w:color w:val="000000"/>
                <w:kern w:val="0"/>
                <w:sz w:val="20"/>
                <w:szCs w:val="20"/>
                <w:u w:val="none"/>
                <w:lang w:val="en-US" w:eastAsia="zh-CN" w:bidi="ar"/>
              </w:rPr>
              <w:t xml:space="preserve">23 </w:t>
            </w:r>
          </w:p>
        </w:tc>
        <w:tc>
          <w:tcPr>
            <w:tcW w:w="440" w:type="pct"/>
            <w:vMerge w:val="restart"/>
            <w:noWrap w:val="0"/>
            <w:vAlign w:val="center"/>
          </w:tcPr>
          <w:p w14:paraId="1C99F4FF">
            <w:pPr>
              <w:keepNext w:val="0"/>
              <w:keepLines w:val="0"/>
              <w:widowControl/>
              <w:suppressLineNumbers w:val="0"/>
              <w:jc w:val="center"/>
              <w:textAlignment w:val="center"/>
              <w:rPr>
                <w:rFonts w:hint="eastAsia" w:ascii="Times New Roman" w:hAnsi="Times New Roman"/>
                <w:szCs w:val="21"/>
              </w:rPr>
            </w:pPr>
            <w:r>
              <w:rPr>
                <w:rFonts w:hint="eastAsia" w:ascii="宋体" w:hAnsi="宋体" w:eastAsia="宋体" w:cs="宋体"/>
                <w:i w:val="0"/>
                <w:iCs w:val="0"/>
                <w:color w:val="000000"/>
                <w:kern w:val="0"/>
                <w:sz w:val="20"/>
                <w:szCs w:val="20"/>
                <w:u w:val="none"/>
                <w:lang w:val="en-US" w:eastAsia="zh-CN" w:bidi="ar"/>
              </w:rPr>
              <w:t>3层短柜高柜.半背板</w:t>
            </w:r>
          </w:p>
        </w:tc>
        <w:tc>
          <w:tcPr>
            <w:tcW w:w="4225" w:type="pct"/>
            <w:noWrap w:val="0"/>
            <w:vAlign w:val="center"/>
          </w:tcPr>
          <w:p w14:paraId="532BB313">
            <w:pPr>
              <w:jc w:val="left"/>
              <w:rPr>
                <w:rFonts w:hint="eastAsia" w:ascii="Times New Roman" w:hAnsi="Times New Roman"/>
                <w:szCs w:val="21"/>
              </w:rPr>
            </w:pPr>
            <w:r>
              <w:rPr>
                <w:rFonts w:hint="eastAsia" w:ascii="Times New Roman" w:hAnsi="Times New Roman"/>
                <w:szCs w:val="21"/>
              </w:rPr>
              <w:t>规格：L61.5xW30xH80cm（±3cm）</w:t>
            </w:r>
          </w:p>
        </w:tc>
      </w:tr>
      <w:tr w14:paraId="36C37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3" w:type="pct"/>
            <w:vMerge w:val="continue"/>
            <w:noWrap w:val="0"/>
            <w:vAlign w:val="center"/>
          </w:tcPr>
          <w:p w14:paraId="3F729213">
            <w:pPr>
              <w:jc w:val="center"/>
              <w:rPr>
                <w:rFonts w:ascii="Times New Roman" w:hAnsi="Times New Roman"/>
                <w:szCs w:val="21"/>
              </w:rPr>
            </w:pPr>
          </w:p>
        </w:tc>
        <w:tc>
          <w:tcPr>
            <w:tcW w:w="440" w:type="pct"/>
            <w:vMerge w:val="continue"/>
            <w:noWrap w:val="0"/>
            <w:vAlign w:val="center"/>
          </w:tcPr>
          <w:p w14:paraId="0881D3AE">
            <w:pPr>
              <w:jc w:val="center"/>
              <w:rPr>
                <w:rFonts w:hint="eastAsia" w:ascii="Times New Roman" w:hAnsi="Times New Roman"/>
                <w:szCs w:val="21"/>
              </w:rPr>
            </w:pPr>
          </w:p>
        </w:tc>
        <w:tc>
          <w:tcPr>
            <w:tcW w:w="4225" w:type="pct"/>
            <w:noWrap w:val="0"/>
            <w:vAlign w:val="top"/>
          </w:tcPr>
          <w:p w14:paraId="77EBFEA8">
            <w:pPr>
              <w:jc w:val="left"/>
              <w:rPr>
                <w:rFonts w:hint="eastAsia" w:ascii="Times New Roman" w:hAnsi="Times New Roman"/>
                <w:szCs w:val="21"/>
              </w:rPr>
            </w:pPr>
            <w:r>
              <w:rPr>
                <w:rFonts w:hint="eastAsia" w:ascii="Times New Roman" w:hAnsi="Times New Roman"/>
                <w:szCs w:val="21"/>
              </w:rPr>
              <w:t>1、工艺设计：</w:t>
            </w:r>
          </w:p>
          <w:p w14:paraId="2D88149C">
            <w:pPr>
              <w:jc w:val="left"/>
              <w:rPr>
                <w:rFonts w:hint="eastAsia" w:ascii="Times New Roman" w:hAnsi="Times New Roman"/>
                <w:szCs w:val="21"/>
              </w:rPr>
            </w:pPr>
            <w:r>
              <w:rPr>
                <w:rFonts w:hint="eastAsia" w:ascii="Times New Roman" w:hAnsi="Times New Roman"/>
                <w:szCs w:val="21"/>
              </w:rPr>
              <w:t>（1）采用翻板活动轮工艺，移动/固定自由切换。</w:t>
            </w:r>
          </w:p>
          <w:p w14:paraId="18C3B63E">
            <w:pPr>
              <w:jc w:val="left"/>
              <w:rPr>
                <w:rFonts w:hint="eastAsia" w:ascii="Times New Roman" w:hAnsi="Times New Roman"/>
                <w:szCs w:val="21"/>
              </w:rPr>
            </w:pPr>
            <w:r>
              <w:rPr>
                <w:rFonts w:hint="eastAsia" w:ascii="Times New Roman" w:hAnsi="Times New Roman"/>
                <w:szCs w:val="21"/>
              </w:rPr>
              <w:t>（2）所有螺丝位无毛刺不刮手，四角及边沿采用圆角/圆边处理以及安全防撞设计，最大程度的避免儿童磕碰伤害，结构稳固。</w:t>
            </w:r>
          </w:p>
        </w:tc>
      </w:tr>
      <w:tr w14:paraId="6056D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3" w:type="pct"/>
            <w:vMerge w:val="continue"/>
            <w:noWrap w:val="0"/>
            <w:vAlign w:val="center"/>
          </w:tcPr>
          <w:p w14:paraId="4AF4E962">
            <w:pPr>
              <w:jc w:val="center"/>
              <w:rPr>
                <w:rFonts w:ascii="Times New Roman" w:hAnsi="Times New Roman"/>
                <w:szCs w:val="21"/>
              </w:rPr>
            </w:pPr>
          </w:p>
        </w:tc>
        <w:tc>
          <w:tcPr>
            <w:tcW w:w="440" w:type="pct"/>
            <w:vMerge w:val="continue"/>
            <w:noWrap w:val="0"/>
            <w:vAlign w:val="center"/>
          </w:tcPr>
          <w:p w14:paraId="092FDF9F">
            <w:pPr>
              <w:jc w:val="center"/>
              <w:rPr>
                <w:rFonts w:hint="eastAsia" w:ascii="Times New Roman" w:hAnsi="Times New Roman"/>
                <w:szCs w:val="21"/>
              </w:rPr>
            </w:pPr>
          </w:p>
        </w:tc>
        <w:tc>
          <w:tcPr>
            <w:tcW w:w="4225" w:type="pct"/>
            <w:noWrap w:val="0"/>
            <w:vAlign w:val="top"/>
          </w:tcPr>
          <w:p w14:paraId="79C5B570">
            <w:pPr>
              <w:jc w:val="left"/>
              <w:rPr>
                <w:rFonts w:hint="eastAsia" w:ascii="Times New Roman" w:hAnsi="Times New Roman"/>
                <w:szCs w:val="21"/>
              </w:rPr>
            </w:pPr>
            <w:r>
              <w:rPr>
                <w:rFonts w:hint="eastAsia" w:ascii="Times New Roman" w:hAnsi="Times New Roman"/>
                <w:szCs w:val="21"/>
              </w:rPr>
              <w:t>2、外观结构及材质：</w:t>
            </w:r>
          </w:p>
          <w:p w14:paraId="7AF9B7B5">
            <w:pPr>
              <w:jc w:val="left"/>
              <w:rPr>
                <w:rFonts w:hint="eastAsia" w:ascii="Times New Roman" w:hAnsi="Times New Roman"/>
                <w:szCs w:val="21"/>
              </w:rPr>
            </w:pPr>
            <w:r>
              <w:rPr>
                <w:rFonts w:hint="eastAsia" w:ascii="Times New Roman" w:hAnsi="Times New Roman"/>
                <w:szCs w:val="21"/>
              </w:rPr>
              <w:t>（1）柜体：采用16mm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szCs w:val="21"/>
              </w:rPr>
              <w:t>的橡胶木拼板。共三层，属于短柜高柜，可用于补充区角空间，增加层次；上二层格子内空：586x300x222mm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szCs w:val="21"/>
              </w:rPr>
              <w:t>，下层格子内空：586x280x222mm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szCs w:val="21"/>
              </w:rPr>
              <w:t>。背板采用厚度5mm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szCs w:val="21"/>
              </w:rPr>
              <w:t>的饰面实木纤维板。</w:t>
            </w:r>
          </w:p>
          <w:p w14:paraId="3E923F55">
            <w:pPr>
              <w:jc w:val="left"/>
              <w:rPr>
                <w:rFonts w:hint="eastAsia" w:ascii="Times New Roman" w:hAnsi="Times New Roman"/>
                <w:szCs w:val="21"/>
              </w:rPr>
            </w:pPr>
            <w:r>
              <w:rPr>
                <w:rFonts w:hint="eastAsia" w:ascii="Times New Roman" w:hAnsi="Times New Roman"/>
                <w:szCs w:val="21"/>
              </w:rPr>
              <w:t>（2）围脚：采用厚度18mm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szCs w:val="21"/>
              </w:rPr>
              <w:t>的橡胶木拼板。柜体与底部围脚采用塑料连接件实现翻板功能，脚轮为静音万向轮，安装在围脚侧板内，当家具固定时，围脚侧板向下翻，万向轮则隐藏于侧板内；当家具需要移动时，围脚侧板向上翻，塑料连接件卡扣对侧板进行固定，万向轮支撑起家具的重量，无须抬起轻松实现家具位置转移。</w:t>
            </w:r>
          </w:p>
          <w:p w14:paraId="2FAEC855">
            <w:pPr>
              <w:jc w:val="left"/>
              <w:rPr>
                <w:rFonts w:hint="eastAsia" w:ascii="Times New Roman" w:hAnsi="Times New Roman"/>
                <w:szCs w:val="21"/>
              </w:rPr>
            </w:pPr>
            <w:r>
              <w:rPr>
                <w:rFonts w:hint="eastAsia" w:ascii="Times New Roman" w:hAnsi="Times New Roman"/>
                <w:szCs w:val="21"/>
              </w:rPr>
              <w:t>（3）采用的水性漆，全封闭涂装工艺，漆面光泽高透，颜色均匀。</w:t>
            </w:r>
          </w:p>
        </w:tc>
      </w:tr>
      <w:tr w14:paraId="30BD9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3" w:type="pct"/>
            <w:vMerge w:val="restart"/>
            <w:noWrap w:val="0"/>
            <w:vAlign w:val="center"/>
          </w:tcPr>
          <w:p w14:paraId="6E61C8BE">
            <w:pPr>
              <w:keepNext w:val="0"/>
              <w:keepLines w:val="0"/>
              <w:widowControl/>
              <w:suppressLineNumbers w:val="0"/>
              <w:jc w:val="center"/>
              <w:textAlignment w:val="center"/>
              <w:rPr>
                <w:rFonts w:ascii="Times New Roman" w:hAnsi="Times New Roman"/>
                <w:szCs w:val="21"/>
              </w:rPr>
            </w:pPr>
            <w:r>
              <w:rPr>
                <w:rFonts w:hint="default" w:ascii="Arial" w:hAnsi="Arial" w:eastAsia="宋体" w:cs="Arial"/>
                <w:i w:val="0"/>
                <w:iCs w:val="0"/>
                <w:color w:val="000000"/>
                <w:kern w:val="0"/>
                <w:sz w:val="20"/>
                <w:szCs w:val="20"/>
                <w:u w:val="none"/>
                <w:lang w:val="en-US" w:eastAsia="zh-CN" w:bidi="ar"/>
              </w:rPr>
              <w:t xml:space="preserve">24 </w:t>
            </w:r>
          </w:p>
        </w:tc>
        <w:tc>
          <w:tcPr>
            <w:tcW w:w="440" w:type="pct"/>
            <w:vMerge w:val="restart"/>
            <w:noWrap w:val="0"/>
            <w:vAlign w:val="center"/>
          </w:tcPr>
          <w:p w14:paraId="27CDC9A3">
            <w:pPr>
              <w:keepNext w:val="0"/>
              <w:keepLines w:val="0"/>
              <w:widowControl/>
              <w:suppressLineNumbers w:val="0"/>
              <w:jc w:val="center"/>
              <w:textAlignment w:val="center"/>
              <w:rPr>
                <w:rFonts w:hint="eastAsia" w:ascii="Times New Roman" w:hAnsi="Times New Roman"/>
                <w:szCs w:val="21"/>
              </w:rPr>
            </w:pPr>
            <w:r>
              <w:rPr>
                <w:rFonts w:hint="eastAsia" w:ascii="宋体" w:hAnsi="宋体" w:eastAsia="宋体" w:cs="宋体"/>
                <w:i w:val="0"/>
                <w:iCs w:val="0"/>
                <w:color w:val="000000"/>
                <w:kern w:val="0"/>
                <w:sz w:val="20"/>
                <w:szCs w:val="20"/>
                <w:u w:val="none"/>
                <w:lang w:val="en-US" w:eastAsia="zh-CN" w:bidi="ar"/>
              </w:rPr>
              <w:t>林中屋综合互动小厨房</w:t>
            </w:r>
          </w:p>
        </w:tc>
        <w:tc>
          <w:tcPr>
            <w:tcW w:w="4225" w:type="pct"/>
            <w:noWrap w:val="0"/>
            <w:vAlign w:val="center"/>
          </w:tcPr>
          <w:p w14:paraId="3BC5FBE6">
            <w:pPr>
              <w:jc w:val="left"/>
              <w:rPr>
                <w:rFonts w:hint="eastAsia" w:ascii="Times New Roman" w:hAnsi="Times New Roman"/>
                <w:szCs w:val="21"/>
              </w:rPr>
            </w:pPr>
            <w:r>
              <w:rPr>
                <w:rFonts w:hint="eastAsia" w:ascii="Times New Roman" w:hAnsi="Times New Roman"/>
                <w:szCs w:val="21"/>
              </w:rPr>
              <w:t>规格：L90xW32xH102cm（±3cm）</w:t>
            </w:r>
          </w:p>
        </w:tc>
      </w:tr>
      <w:tr w14:paraId="7A96D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3" w:type="pct"/>
            <w:vMerge w:val="continue"/>
            <w:noWrap w:val="0"/>
            <w:vAlign w:val="center"/>
          </w:tcPr>
          <w:p w14:paraId="753294E1">
            <w:pPr>
              <w:jc w:val="center"/>
              <w:rPr>
                <w:rFonts w:ascii="Times New Roman" w:hAnsi="Times New Roman"/>
                <w:szCs w:val="21"/>
              </w:rPr>
            </w:pPr>
          </w:p>
        </w:tc>
        <w:tc>
          <w:tcPr>
            <w:tcW w:w="440" w:type="pct"/>
            <w:vMerge w:val="continue"/>
            <w:noWrap w:val="0"/>
            <w:vAlign w:val="center"/>
          </w:tcPr>
          <w:p w14:paraId="7C5E88DE">
            <w:pPr>
              <w:jc w:val="center"/>
              <w:rPr>
                <w:rFonts w:hint="eastAsia" w:ascii="Times New Roman" w:hAnsi="Times New Roman"/>
                <w:szCs w:val="21"/>
              </w:rPr>
            </w:pPr>
          </w:p>
        </w:tc>
        <w:tc>
          <w:tcPr>
            <w:tcW w:w="4225" w:type="pct"/>
            <w:noWrap w:val="0"/>
            <w:vAlign w:val="top"/>
          </w:tcPr>
          <w:p w14:paraId="1F729620">
            <w:pPr>
              <w:jc w:val="left"/>
              <w:rPr>
                <w:rFonts w:hint="eastAsia" w:ascii="Times New Roman" w:hAnsi="Times New Roman"/>
                <w:szCs w:val="21"/>
              </w:rPr>
            </w:pPr>
            <w:r>
              <w:rPr>
                <w:rFonts w:hint="eastAsia" w:ascii="Times New Roman" w:hAnsi="Times New Roman"/>
                <w:szCs w:val="21"/>
              </w:rPr>
              <w:t>1、工艺设计：</w:t>
            </w:r>
          </w:p>
          <w:p w14:paraId="0E432BB6">
            <w:pPr>
              <w:jc w:val="left"/>
              <w:rPr>
                <w:rFonts w:hint="eastAsia" w:ascii="Times New Roman" w:hAnsi="Times New Roman"/>
                <w:szCs w:val="21"/>
              </w:rPr>
            </w:pPr>
            <w:r>
              <w:rPr>
                <w:rFonts w:hint="eastAsia" w:ascii="Times New Roman" w:hAnsi="Times New Roman"/>
                <w:szCs w:val="21"/>
              </w:rPr>
              <w:t>（1）逼真综合厨房功能设计，树屋元素造型，既能独立摆放模拟真实场景又易于搭配其他产品进行环创。</w:t>
            </w:r>
          </w:p>
          <w:p w14:paraId="42B75458">
            <w:pPr>
              <w:jc w:val="left"/>
              <w:rPr>
                <w:rFonts w:hint="eastAsia" w:ascii="Times New Roman" w:hAnsi="Times New Roman"/>
                <w:szCs w:val="21"/>
              </w:rPr>
            </w:pPr>
            <w:r>
              <w:rPr>
                <w:rFonts w:hint="eastAsia" w:ascii="Times New Roman" w:hAnsi="Times New Roman"/>
                <w:szCs w:val="21"/>
              </w:rPr>
              <w:t>（2）采用美工机喷绘工艺，搭配油墨，图案附着力好，生动立体不易褪色。</w:t>
            </w:r>
          </w:p>
          <w:p w14:paraId="624B0480">
            <w:pPr>
              <w:jc w:val="left"/>
              <w:rPr>
                <w:rFonts w:hint="eastAsia" w:ascii="Times New Roman" w:hAnsi="Times New Roman"/>
                <w:szCs w:val="21"/>
              </w:rPr>
            </w:pPr>
            <w:r>
              <w:rPr>
                <w:rFonts w:hint="eastAsia" w:ascii="Times New Roman" w:hAnsi="Times New Roman"/>
                <w:szCs w:val="21"/>
              </w:rPr>
              <w:t>（3）可旋转按钮仿真功能，可视化按键，增强游戏真实体验感。</w:t>
            </w:r>
          </w:p>
          <w:p w14:paraId="3780D99A">
            <w:pPr>
              <w:jc w:val="left"/>
              <w:rPr>
                <w:rFonts w:hint="eastAsia" w:ascii="Times New Roman" w:hAnsi="Times New Roman"/>
                <w:szCs w:val="21"/>
              </w:rPr>
            </w:pPr>
            <w:r>
              <w:rPr>
                <w:rFonts w:hint="eastAsia" w:ascii="Times New Roman" w:hAnsi="Times New Roman"/>
                <w:szCs w:val="21"/>
              </w:rPr>
              <w:t>（4）多功能带轮带刹车柜体，移动/固定便捷。</w:t>
            </w:r>
          </w:p>
          <w:p w14:paraId="4ECCE871">
            <w:pPr>
              <w:jc w:val="left"/>
              <w:rPr>
                <w:rFonts w:hint="eastAsia" w:ascii="Times New Roman" w:hAnsi="Times New Roman"/>
                <w:szCs w:val="21"/>
              </w:rPr>
            </w:pPr>
            <w:r>
              <w:rPr>
                <w:rFonts w:hint="eastAsia" w:ascii="Times New Roman" w:hAnsi="Times New Roman"/>
                <w:szCs w:val="21"/>
              </w:rPr>
              <w:t>（5）所有螺丝位无毛刺不刮手，边角采用圆边/圆角处理以及安全防撞设计，最大程度的避免儿童磕碰伤害，结构稳固。</w:t>
            </w:r>
          </w:p>
        </w:tc>
      </w:tr>
      <w:tr w14:paraId="3AE49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3" w:type="pct"/>
            <w:vMerge w:val="continue"/>
            <w:noWrap w:val="0"/>
            <w:vAlign w:val="center"/>
          </w:tcPr>
          <w:p w14:paraId="0577B951">
            <w:pPr>
              <w:jc w:val="center"/>
              <w:rPr>
                <w:rFonts w:ascii="Times New Roman" w:hAnsi="Times New Roman"/>
                <w:szCs w:val="21"/>
              </w:rPr>
            </w:pPr>
          </w:p>
        </w:tc>
        <w:tc>
          <w:tcPr>
            <w:tcW w:w="440" w:type="pct"/>
            <w:vMerge w:val="continue"/>
            <w:noWrap w:val="0"/>
            <w:vAlign w:val="center"/>
          </w:tcPr>
          <w:p w14:paraId="6572A6EC">
            <w:pPr>
              <w:jc w:val="center"/>
              <w:rPr>
                <w:rFonts w:hint="eastAsia" w:ascii="Times New Roman" w:hAnsi="Times New Roman"/>
                <w:szCs w:val="21"/>
              </w:rPr>
            </w:pPr>
          </w:p>
        </w:tc>
        <w:tc>
          <w:tcPr>
            <w:tcW w:w="4225" w:type="pct"/>
            <w:noWrap w:val="0"/>
            <w:vAlign w:val="top"/>
          </w:tcPr>
          <w:p w14:paraId="26AFBE68">
            <w:pPr>
              <w:jc w:val="left"/>
              <w:rPr>
                <w:rFonts w:hint="eastAsia" w:ascii="Times New Roman" w:hAnsi="Times New Roman"/>
                <w:szCs w:val="21"/>
              </w:rPr>
            </w:pPr>
            <w:r>
              <w:rPr>
                <w:rFonts w:hint="eastAsia" w:ascii="Times New Roman" w:hAnsi="Times New Roman"/>
                <w:szCs w:val="21"/>
              </w:rPr>
              <w:t>2、外观结构及材质：</w:t>
            </w:r>
          </w:p>
          <w:p w14:paraId="207B6997">
            <w:pPr>
              <w:jc w:val="left"/>
              <w:rPr>
                <w:rFonts w:hint="eastAsia" w:ascii="Times New Roman" w:hAnsi="Times New Roman"/>
                <w:szCs w:val="21"/>
              </w:rPr>
            </w:pPr>
            <w:r>
              <w:rPr>
                <w:rFonts w:hint="eastAsia" w:ascii="Times New Roman" w:hAnsi="Times New Roman"/>
                <w:szCs w:val="21"/>
              </w:rPr>
              <w:t>（1）基材：主体采用厚度12mm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szCs w:val="21"/>
              </w:rPr>
              <w:t>和15mm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szCs w:val="21"/>
              </w:rPr>
              <w:t>厚度的桦木纹饰面橡胶木拼板以及厚度12mm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szCs w:val="21"/>
              </w:rPr>
              <w:t>和15mm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szCs w:val="21"/>
              </w:rPr>
              <w:t>厚度的实木多层板，背板采用厚度5mm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szCs w:val="21"/>
              </w:rPr>
              <w:t>的饰面实木纤维板。</w:t>
            </w:r>
          </w:p>
          <w:p w14:paraId="5B99A0FA">
            <w:pPr>
              <w:jc w:val="left"/>
              <w:rPr>
                <w:rFonts w:hint="eastAsia" w:ascii="Times New Roman" w:hAnsi="Times New Roman"/>
                <w:szCs w:val="21"/>
              </w:rPr>
            </w:pPr>
            <w:r>
              <w:rPr>
                <w:rFonts w:hint="eastAsia" w:ascii="Times New Roman" w:hAnsi="Times New Roman"/>
                <w:szCs w:val="21"/>
              </w:rPr>
              <w:t>（2）柜体上方设置厨房储放功能，拉手为直径29mm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szCs w:val="21"/>
              </w:rPr>
              <w:t>白色锌合金拉手；门板采用透明亚克力板做通透处理。储存空间下方搭配塑料挂钩。</w:t>
            </w:r>
          </w:p>
          <w:p w14:paraId="0C05F9A0">
            <w:pPr>
              <w:jc w:val="left"/>
              <w:rPr>
                <w:rFonts w:hint="eastAsia" w:ascii="Times New Roman" w:hAnsi="Times New Roman"/>
                <w:szCs w:val="21"/>
              </w:rPr>
            </w:pPr>
            <w:r>
              <w:rPr>
                <w:rFonts w:hint="eastAsia" w:ascii="Times New Roman" w:hAnsi="Times New Roman"/>
                <w:szCs w:val="21"/>
              </w:rPr>
              <w:t>（3）柜面右侧为一个塑料一次成型呈奶白色的洗手台，尺寸L218xW218xH78mm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szCs w:val="21"/>
              </w:rPr>
              <w:t>；搭配可旋转的塑料成型2合1外直径35mm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szCs w:val="21"/>
              </w:rPr>
              <w:t>内直径18mm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szCs w:val="21"/>
              </w:rPr>
              <w:t>的旋转调节开关，一个长度70.5mm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szCs w:val="21"/>
              </w:rPr>
              <w:t>内径19mm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szCs w:val="21"/>
              </w:rPr>
              <w:t>的旋转水龙头；柜面左侧为两个φ124mm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szCs w:val="21"/>
              </w:rPr>
              <w:t>的仿真灶炉，搭配可旋转的塑料成型2合1外直径35mm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szCs w:val="21"/>
              </w:rPr>
              <w:t>内直径18mm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szCs w:val="21"/>
              </w:rPr>
              <w:t>的旋转调节开关。</w:t>
            </w:r>
          </w:p>
          <w:p w14:paraId="581FFA23">
            <w:pPr>
              <w:jc w:val="left"/>
              <w:rPr>
                <w:rFonts w:hint="eastAsia" w:ascii="Times New Roman" w:hAnsi="Times New Roman"/>
                <w:szCs w:val="21"/>
              </w:rPr>
            </w:pPr>
            <w:r>
              <w:rPr>
                <w:rFonts w:hint="eastAsia" w:ascii="Times New Roman" w:hAnsi="Times New Roman"/>
                <w:szCs w:val="21"/>
              </w:rPr>
              <w:t>（4）柜体下方为3个独立开合门，门板内装缓冲铰链，能实现门板开合；3个拉手均采用深咖色塑料L104.5xW32mm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szCs w:val="21"/>
              </w:rPr>
              <w:t>。</w:t>
            </w:r>
          </w:p>
          <w:p w14:paraId="09117F50">
            <w:pPr>
              <w:jc w:val="left"/>
              <w:rPr>
                <w:rFonts w:hint="eastAsia" w:ascii="Times New Roman" w:hAnsi="Times New Roman"/>
                <w:szCs w:val="21"/>
              </w:rPr>
            </w:pPr>
            <w:r>
              <w:rPr>
                <w:rFonts w:hint="eastAsia" w:ascii="Times New Roman" w:hAnsi="Times New Roman"/>
                <w:szCs w:val="21"/>
              </w:rPr>
              <w:t>（5）柜子底部安装4个静音万向脚轮，脚轮运行平稳无声，可360°旋转，转动顺滑，其中2个脚轮带刹车功能，刹车灵敏，踏板不易断裂。</w:t>
            </w:r>
          </w:p>
          <w:p w14:paraId="4C5C3C84">
            <w:pPr>
              <w:jc w:val="left"/>
              <w:rPr>
                <w:rFonts w:hint="eastAsia" w:ascii="Times New Roman" w:hAnsi="Times New Roman"/>
                <w:szCs w:val="21"/>
              </w:rPr>
            </w:pPr>
            <w:r>
              <w:rPr>
                <w:rFonts w:hint="eastAsia" w:ascii="Times New Roman" w:hAnsi="Times New Roman"/>
                <w:szCs w:val="21"/>
              </w:rPr>
              <w:t>（6）木蜡油：采用的水性木蜡油封边，成分天然，分子机构细小，成膜牢固，密封性好。</w:t>
            </w:r>
          </w:p>
          <w:p w14:paraId="177FAF7A">
            <w:pPr>
              <w:jc w:val="left"/>
              <w:rPr>
                <w:rFonts w:hint="eastAsia" w:ascii="Times New Roman" w:hAnsi="Times New Roman"/>
                <w:szCs w:val="21"/>
              </w:rPr>
            </w:pPr>
            <w:r>
              <w:rPr>
                <w:rFonts w:hint="eastAsia" w:ascii="Times New Roman" w:hAnsi="Times New Roman"/>
                <w:szCs w:val="21"/>
              </w:rPr>
              <w:t>（7）油漆：采用的水性漆，全封闭涂装工艺，漆面光泽高透，颜色均匀。</w:t>
            </w:r>
          </w:p>
          <w:p w14:paraId="7C28BC24">
            <w:pPr>
              <w:jc w:val="left"/>
              <w:rPr>
                <w:rFonts w:hint="eastAsia" w:ascii="Times New Roman" w:hAnsi="Times New Roman"/>
                <w:szCs w:val="21"/>
              </w:rPr>
            </w:pPr>
            <w:r>
              <w:rPr>
                <w:rFonts w:hint="eastAsia" w:ascii="Times New Roman" w:hAnsi="Times New Roman"/>
                <w:szCs w:val="21"/>
              </w:rPr>
              <w:t>（8）油墨：采用水性油墨，颜色饱满，无毒无异味。</w:t>
            </w:r>
          </w:p>
          <w:p w14:paraId="48CE3992">
            <w:pPr>
              <w:jc w:val="left"/>
              <w:rPr>
                <w:rFonts w:hint="eastAsia" w:ascii="Times New Roman" w:hAnsi="Times New Roman"/>
                <w:szCs w:val="21"/>
              </w:rPr>
            </w:pPr>
            <w:r>
              <w:rPr>
                <w:rFonts w:hint="eastAsia" w:ascii="Times New Roman" w:hAnsi="Times New Roman"/>
                <w:szCs w:val="21"/>
              </w:rPr>
              <w:t>（9）亚克力板：采用厚度5mm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szCs w:val="21"/>
              </w:rPr>
              <w:t>的透明亚克力板，表面光滑无缺陷，坚硬耐用，高透光性，无毒。</w:t>
            </w:r>
          </w:p>
          <w:p w14:paraId="40225832">
            <w:pPr>
              <w:jc w:val="left"/>
              <w:rPr>
                <w:rFonts w:hint="eastAsia" w:ascii="Times New Roman" w:hAnsi="Times New Roman"/>
                <w:szCs w:val="21"/>
              </w:rPr>
            </w:pPr>
            <w:r>
              <w:rPr>
                <w:rFonts w:hint="eastAsia" w:ascii="Times New Roman" w:hAnsi="Times New Roman"/>
                <w:szCs w:val="21"/>
              </w:rPr>
              <w:t>（10）塑料板：采用食品级的塑料材质，感官要求。</w:t>
            </w:r>
          </w:p>
        </w:tc>
      </w:tr>
      <w:tr w14:paraId="02F68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3" w:type="pct"/>
            <w:vMerge w:val="restart"/>
            <w:noWrap w:val="0"/>
            <w:vAlign w:val="center"/>
          </w:tcPr>
          <w:p w14:paraId="7762659A">
            <w:pPr>
              <w:keepNext w:val="0"/>
              <w:keepLines w:val="0"/>
              <w:widowControl/>
              <w:suppressLineNumbers w:val="0"/>
              <w:jc w:val="center"/>
              <w:textAlignment w:val="center"/>
              <w:rPr>
                <w:rFonts w:ascii="Times New Roman" w:hAnsi="Times New Roman"/>
                <w:szCs w:val="21"/>
              </w:rPr>
            </w:pPr>
            <w:r>
              <w:rPr>
                <w:rFonts w:hint="default" w:ascii="Arial" w:hAnsi="Arial" w:eastAsia="宋体" w:cs="Arial"/>
                <w:i w:val="0"/>
                <w:iCs w:val="0"/>
                <w:color w:val="000000"/>
                <w:kern w:val="0"/>
                <w:sz w:val="20"/>
                <w:szCs w:val="20"/>
                <w:u w:val="none"/>
                <w:lang w:val="en-US" w:eastAsia="zh-CN" w:bidi="ar"/>
              </w:rPr>
              <w:t xml:space="preserve">25 </w:t>
            </w:r>
          </w:p>
        </w:tc>
        <w:tc>
          <w:tcPr>
            <w:tcW w:w="440" w:type="pct"/>
            <w:vMerge w:val="restart"/>
            <w:noWrap w:val="0"/>
            <w:vAlign w:val="center"/>
          </w:tcPr>
          <w:p w14:paraId="25D2F48B">
            <w:pPr>
              <w:keepNext w:val="0"/>
              <w:keepLines w:val="0"/>
              <w:widowControl/>
              <w:suppressLineNumbers w:val="0"/>
              <w:jc w:val="center"/>
              <w:textAlignment w:val="center"/>
              <w:rPr>
                <w:rFonts w:hint="eastAsia" w:ascii="Times New Roman" w:hAnsi="Times New Roman"/>
                <w:szCs w:val="21"/>
              </w:rPr>
            </w:pPr>
            <w:r>
              <w:rPr>
                <w:rFonts w:hint="eastAsia" w:ascii="宋体" w:hAnsi="宋体" w:eastAsia="宋体" w:cs="宋体"/>
                <w:i w:val="0"/>
                <w:iCs w:val="0"/>
                <w:color w:val="000000"/>
                <w:kern w:val="0"/>
                <w:sz w:val="20"/>
                <w:szCs w:val="20"/>
                <w:u w:val="none"/>
                <w:lang w:val="en-US" w:eastAsia="zh-CN" w:bidi="ar"/>
              </w:rPr>
              <w:t>美术纸筒柜</w:t>
            </w:r>
          </w:p>
        </w:tc>
        <w:tc>
          <w:tcPr>
            <w:tcW w:w="4225" w:type="pct"/>
            <w:noWrap w:val="0"/>
            <w:vAlign w:val="center"/>
          </w:tcPr>
          <w:p w14:paraId="57EDFBF1">
            <w:pPr>
              <w:jc w:val="left"/>
              <w:rPr>
                <w:rFonts w:hint="eastAsia" w:ascii="Times New Roman" w:hAnsi="Times New Roman"/>
                <w:szCs w:val="21"/>
              </w:rPr>
            </w:pPr>
            <w:r>
              <w:rPr>
                <w:rFonts w:hint="eastAsia" w:ascii="Times New Roman" w:hAnsi="Times New Roman"/>
                <w:szCs w:val="21"/>
              </w:rPr>
              <w:t>规格：L40xW40xH58cm（±3cm）</w:t>
            </w:r>
          </w:p>
        </w:tc>
      </w:tr>
      <w:tr w14:paraId="62CDB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3" w:type="pct"/>
            <w:vMerge w:val="continue"/>
            <w:noWrap w:val="0"/>
            <w:vAlign w:val="center"/>
          </w:tcPr>
          <w:p w14:paraId="665BBE08">
            <w:pPr>
              <w:jc w:val="center"/>
              <w:rPr>
                <w:rFonts w:ascii="Times New Roman" w:hAnsi="Times New Roman"/>
                <w:szCs w:val="21"/>
              </w:rPr>
            </w:pPr>
          </w:p>
        </w:tc>
        <w:tc>
          <w:tcPr>
            <w:tcW w:w="440" w:type="pct"/>
            <w:vMerge w:val="continue"/>
            <w:noWrap w:val="0"/>
            <w:vAlign w:val="center"/>
          </w:tcPr>
          <w:p w14:paraId="45B7C30F">
            <w:pPr>
              <w:jc w:val="center"/>
              <w:rPr>
                <w:rFonts w:hint="eastAsia" w:ascii="Times New Roman" w:hAnsi="Times New Roman"/>
                <w:szCs w:val="21"/>
              </w:rPr>
            </w:pPr>
          </w:p>
        </w:tc>
        <w:tc>
          <w:tcPr>
            <w:tcW w:w="4225" w:type="pct"/>
            <w:noWrap w:val="0"/>
            <w:vAlign w:val="top"/>
          </w:tcPr>
          <w:p w14:paraId="124AC724">
            <w:pPr>
              <w:jc w:val="left"/>
              <w:rPr>
                <w:rFonts w:hint="eastAsia" w:ascii="Times New Roman" w:hAnsi="Times New Roman"/>
                <w:szCs w:val="21"/>
              </w:rPr>
            </w:pPr>
            <w:r>
              <w:rPr>
                <w:rFonts w:hint="eastAsia" w:ascii="Times New Roman" w:hAnsi="Times New Roman"/>
                <w:szCs w:val="21"/>
              </w:rPr>
              <w:t>1、工艺设计：</w:t>
            </w:r>
          </w:p>
          <w:p w14:paraId="623486C9">
            <w:pPr>
              <w:jc w:val="left"/>
              <w:rPr>
                <w:rFonts w:hint="eastAsia" w:ascii="Times New Roman" w:hAnsi="Times New Roman"/>
                <w:szCs w:val="21"/>
              </w:rPr>
            </w:pPr>
            <w:r>
              <w:rPr>
                <w:rFonts w:hint="eastAsia" w:ascii="Times New Roman" w:hAnsi="Times New Roman"/>
                <w:szCs w:val="21"/>
              </w:rPr>
              <w:t>（1）车头美工造型设计，兼具装饰与收纳功能。</w:t>
            </w:r>
          </w:p>
          <w:p w14:paraId="407CF82E">
            <w:pPr>
              <w:jc w:val="left"/>
              <w:rPr>
                <w:rFonts w:hint="eastAsia" w:ascii="Times New Roman" w:hAnsi="Times New Roman"/>
                <w:szCs w:val="21"/>
              </w:rPr>
            </w:pPr>
            <w:r>
              <w:rPr>
                <w:rFonts w:hint="eastAsia" w:ascii="Times New Roman" w:hAnsi="Times New Roman"/>
                <w:szCs w:val="21"/>
              </w:rPr>
              <w:t>（2）采用美工机喷绘工艺，搭配油墨，图案附着力好，生动立体不易褪色。</w:t>
            </w:r>
          </w:p>
          <w:p w14:paraId="3A3D9370">
            <w:pPr>
              <w:jc w:val="left"/>
              <w:rPr>
                <w:rFonts w:hint="eastAsia" w:ascii="Times New Roman" w:hAnsi="Times New Roman"/>
                <w:szCs w:val="21"/>
              </w:rPr>
            </w:pPr>
            <w:r>
              <w:rPr>
                <w:rFonts w:hint="eastAsia" w:ascii="Times New Roman" w:hAnsi="Times New Roman"/>
                <w:szCs w:val="21"/>
              </w:rPr>
              <w:t>（3）所有螺丝位无毛刺不刮手，边角采用圆边/圆角处理以及安全防撞设计，最大程度的避免儿童磕碰伤害，结构稳固。</w:t>
            </w:r>
          </w:p>
        </w:tc>
      </w:tr>
      <w:tr w14:paraId="4592B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3" w:type="pct"/>
            <w:vMerge w:val="continue"/>
            <w:noWrap w:val="0"/>
            <w:vAlign w:val="center"/>
          </w:tcPr>
          <w:p w14:paraId="0D313308">
            <w:pPr>
              <w:jc w:val="center"/>
              <w:rPr>
                <w:rFonts w:ascii="Times New Roman" w:hAnsi="Times New Roman"/>
                <w:szCs w:val="21"/>
              </w:rPr>
            </w:pPr>
          </w:p>
        </w:tc>
        <w:tc>
          <w:tcPr>
            <w:tcW w:w="440" w:type="pct"/>
            <w:vMerge w:val="continue"/>
            <w:noWrap w:val="0"/>
            <w:vAlign w:val="center"/>
          </w:tcPr>
          <w:p w14:paraId="36A3DFB8">
            <w:pPr>
              <w:jc w:val="center"/>
              <w:rPr>
                <w:rFonts w:hint="eastAsia" w:ascii="Times New Roman" w:hAnsi="Times New Roman"/>
                <w:szCs w:val="21"/>
              </w:rPr>
            </w:pPr>
          </w:p>
        </w:tc>
        <w:tc>
          <w:tcPr>
            <w:tcW w:w="4225" w:type="pct"/>
            <w:noWrap w:val="0"/>
            <w:vAlign w:val="top"/>
          </w:tcPr>
          <w:p w14:paraId="2CB8E3F1">
            <w:pPr>
              <w:jc w:val="left"/>
              <w:rPr>
                <w:rFonts w:hint="eastAsia" w:ascii="Times New Roman" w:hAnsi="Times New Roman"/>
                <w:szCs w:val="21"/>
              </w:rPr>
            </w:pPr>
            <w:r>
              <w:rPr>
                <w:rFonts w:hint="eastAsia" w:ascii="Times New Roman" w:hAnsi="Times New Roman"/>
                <w:szCs w:val="21"/>
              </w:rPr>
              <w:t>2、外观结构：</w:t>
            </w:r>
          </w:p>
          <w:p w14:paraId="4A700472">
            <w:pPr>
              <w:jc w:val="left"/>
              <w:rPr>
                <w:rFonts w:hint="eastAsia" w:ascii="Times New Roman" w:hAnsi="Times New Roman"/>
                <w:szCs w:val="21"/>
              </w:rPr>
            </w:pPr>
            <w:r>
              <w:rPr>
                <w:rFonts w:hint="eastAsia" w:ascii="Times New Roman" w:hAnsi="Times New Roman"/>
                <w:szCs w:val="21"/>
              </w:rPr>
              <w:t>（1）柜体：采用厚度12mm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szCs w:val="21"/>
              </w:rPr>
              <w:t>双贴桦木纹饰面的橡胶木拼板，柜体四块竖板呈半月形，嵌入式安装，保留高低错落弧度造型，形成9格分类，每个格子内空尺寸：115x115mm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szCs w:val="21"/>
              </w:rPr>
              <w:t>。</w:t>
            </w:r>
          </w:p>
          <w:p w14:paraId="21D7044C">
            <w:pPr>
              <w:jc w:val="left"/>
              <w:rPr>
                <w:rFonts w:hint="eastAsia" w:ascii="Times New Roman" w:hAnsi="Times New Roman"/>
                <w:szCs w:val="21"/>
              </w:rPr>
            </w:pPr>
            <w:r>
              <w:rPr>
                <w:rFonts w:hint="eastAsia" w:ascii="Times New Roman" w:hAnsi="Times New Roman"/>
                <w:szCs w:val="21"/>
              </w:rPr>
              <w:t>（2）柜子底部安装4个静音带刹车万向脚轮，脚轮运行平稳无声，可360°旋转，转动顺滑。</w:t>
            </w:r>
          </w:p>
          <w:p w14:paraId="6452162C">
            <w:pPr>
              <w:jc w:val="left"/>
              <w:rPr>
                <w:rFonts w:hint="eastAsia" w:ascii="Times New Roman" w:hAnsi="Times New Roman"/>
                <w:szCs w:val="21"/>
              </w:rPr>
            </w:pPr>
            <w:r>
              <w:rPr>
                <w:rFonts w:hint="eastAsia" w:ascii="Times New Roman" w:hAnsi="Times New Roman"/>
                <w:szCs w:val="21"/>
              </w:rPr>
              <w:t>（3）采用的水性木蜡油封边，成分天然，分子机构细小，成膜牢固，密封性好，无毒。</w:t>
            </w:r>
          </w:p>
          <w:p w14:paraId="030C60FA">
            <w:pPr>
              <w:jc w:val="left"/>
              <w:rPr>
                <w:rFonts w:hint="eastAsia" w:ascii="Times New Roman" w:hAnsi="Times New Roman"/>
                <w:szCs w:val="21"/>
              </w:rPr>
            </w:pPr>
            <w:r>
              <w:rPr>
                <w:rFonts w:hint="eastAsia" w:ascii="Times New Roman" w:hAnsi="Times New Roman"/>
                <w:szCs w:val="21"/>
              </w:rPr>
              <w:t>（4）油墨：车头造型采用美工机喷绘工艺，搭配水性油墨，图案附着力好，生动立体不易褪色。</w:t>
            </w:r>
          </w:p>
        </w:tc>
      </w:tr>
      <w:tr w14:paraId="5805A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3" w:type="pct"/>
            <w:vMerge w:val="restart"/>
            <w:noWrap w:val="0"/>
            <w:vAlign w:val="center"/>
          </w:tcPr>
          <w:p w14:paraId="3C81E34E">
            <w:pPr>
              <w:keepNext w:val="0"/>
              <w:keepLines w:val="0"/>
              <w:widowControl/>
              <w:suppressLineNumbers w:val="0"/>
              <w:jc w:val="center"/>
              <w:textAlignment w:val="center"/>
              <w:rPr>
                <w:rFonts w:ascii="Times New Roman" w:hAnsi="Times New Roman"/>
                <w:szCs w:val="21"/>
              </w:rPr>
            </w:pPr>
            <w:r>
              <w:rPr>
                <w:rFonts w:hint="default" w:ascii="Arial" w:hAnsi="Arial" w:eastAsia="宋体" w:cs="Arial"/>
                <w:i w:val="0"/>
                <w:iCs w:val="0"/>
                <w:color w:val="000000"/>
                <w:kern w:val="0"/>
                <w:sz w:val="20"/>
                <w:szCs w:val="20"/>
                <w:u w:val="none"/>
                <w:lang w:val="en-US" w:eastAsia="zh-CN" w:bidi="ar"/>
              </w:rPr>
              <w:t xml:space="preserve">26 </w:t>
            </w:r>
          </w:p>
        </w:tc>
        <w:tc>
          <w:tcPr>
            <w:tcW w:w="440" w:type="pct"/>
            <w:vMerge w:val="restart"/>
            <w:noWrap w:val="0"/>
            <w:vAlign w:val="center"/>
          </w:tcPr>
          <w:p w14:paraId="3A7991E1">
            <w:pPr>
              <w:keepNext w:val="0"/>
              <w:keepLines w:val="0"/>
              <w:widowControl/>
              <w:suppressLineNumbers w:val="0"/>
              <w:jc w:val="center"/>
              <w:textAlignment w:val="center"/>
              <w:rPr>
                <w:rFonts w:hint="eastAsia" w:ascii="Times New Roman" w:hAnsi="Times New Roman"/>
                <w:szCs w:val="21"/>
              </w:rPr>
            </w:pPr>
            <w:r>
              <w:rPr>
                <w:rFonts w:hint="eastAsia" w:ascii="宋体" w:hAnsi="宋体" w:eastAsia="宋体" w:cs="宋体"/>
                <w:i w:val="0"/>
                <w:iCs w:val="0"/>
                <w:color w:val="000000"/>
                <w:kern w:val="0"/>
                <w:sz w:val="20"/>
                <w:szCs w:val="20"/>
                <w:u w:val="none"/>
                <w:lang w:val="en-US" w:eastAsia="zh-CN" w:bidi="ar"/>
              </w:rPr>
              <w:t>美术用品收纳柜</w:t>
            </w:r>
          </w:p>
        </w:tc>
        <w:tc>
          <w:tcPr>
            <w:tcW w:w="4225" w:type="pct"/>
            <w:noWrap w:val="0"/>
            <w:vAlign w:val="center"/>
          </w:tcPr>
          <w:p w14:paraId="65D064A4">
            <w:pPr>
              <w:jc w:val="left"/>
              <w:rPr>
                <w:rFonts w:hint="eastAsia" w:ascii="Times New Roman" w:hAnsi="Times New Roman"/>
                <w:szCs w:val="21"/>
              </w:rPr>
            </w:pPr>
            <w:r>
              <w:rPr>
                <w:rFonts w:hint="eastAsia" w:ascii="Times New Roman" w:hAnsi="Times New Roman"/>
                <w:szCs w:val="21"/>
              </w:rPr>
              <w:t>规格：L100xW40xH61.5cm（±3cm）</w:t>
            </w:r>
          </w:p>
        </w:tc>
      </w:tr>
      <w:tr w14:paraId="09428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3" w:type="pct"/>
            <w:vMerge w:val="continue"/>
            <w:noWrap w:val="0"/>
            <w:vAlign w:val="center"/>
          </w:tcPr>
          <w:p w14:paraId="249B55BD">
            <w:pPr>
              <w:jc w:val="center"/>
              <w:rPr>
                <w:rFonts w:ascii="Times New Roman" w:hAnsi="Times New Roman"/>
                <w:szCs w:val="21"/>
              </w:rPr>
            </w:pPr>
          </w:p>
        </w:tc>
        <w:tc>
          <w:tcPr>
            <w:tcW w:w="440" w:type="pct"/>
            <w:vMerge w:val="continue"/>
            <w:noWrap w:val="0"/>
            <w:vAlign w:val="center"/>
          </w:tcPr>
          <w:p w14:paraId="561CEF4B">
            <w:pPr>
              <w:jc w:val="center"/>
              <w:rPr>
                <w:rFonts w:hint="eastAsia" w:ascii="Times New Roman" w:hAnsi="Times New Roman"/>
                <w:szCs w:val="21"/>
              </w:rPr>
            </w:pPr>
          </w:p>
        </w:tc>
        <w:tc>
          <w:tcPr>
            <w:tcW w:w="4225" w:type="pct"/>
            <w:noWrap w:val="0"/>
            <w:vAlign w:val="top"/>
          </w:tcPr>
          <w:p w14:paraId="058C7654">
            <w:pPr>
              <w:jc w:val="left"/>
              <w:rPr>
                <w:rFonts w:hint="eastAsia" w:ascii="Times New Roman" w:hAnsi="Times New Roman"/>
                <w:szCs w:val="21"/>
              </w:rPr>
            </w:pPr>
            <w:r>
              <w:rPr>
                <w:rFonts w:hint="eastAsia" w:ascii="Times New Roman" w:hAnsi="Times New Roman"/>
                <w:szCs w:val="21"/>
              </w:rPr>
              <w:t>1、工艺设计：</w:t>
            </w:r>
          </w:p>
          <w:p w14:paraId="1ABE32CC">
            <w:pPr>
              <w:jc w:val="left"/>
              <w:rPr>
                <w:rFonts w:hint="eastAsia" w:ascii="Times New Roman" w:hAnsi="Times New Roman"/>
                <w:szCs w:val="21"/>
              </w:rPr>
            </w:pPr>
            <w:r>
              <w:rPr>
                <w:rFonts w:hint="eastAsia" w:ascii="Times New Roman" w:hAnsi="Times New Roman"/>
                <w:szCs w:val="21"/>
              </w:rPr>
              <w:t>（1）卡槽定位设计，分布均匀，实现作品晾干架抽拉式取放，不易走位。</w:t>
            </w:r>
          </w:p>
          <w:p w14:paraId="003979C8">
            <w:pPr>
              <w:jc w:val="left"/>
              <w:rPr>
                <w:rFonts w:hint="eastAsia" w:ascii="Times New Roman" w:hAnsi="Times New Roman"/>
                <w:szCs w:val="21"/>
              </w:rPr>
            </w:pPr>
            <w:r>
              <w:rPr>
                <w:rFonts w:hint="eastAsia" w:ascii="Times New Roman" w:hAnsi="Times New Roman"/>
                <w:szCs w:val="21"/>
              </w:rPr>
              <w:t>（2）铁网表面采用静电粉末喷涂工艺，圆润光滑，防腐抗锈，坚固耐用。</w:t>
            </w:r>
          </w:p>
          <w:p w14:paraId="01E41FB0">
            <w:pPr>
              <w:jc w:val="left"/>
              <w:rPr>
                <w:rFonts w:hint="eastAsia" w:ascii="Times New Roman" w:hAnsi="Times New Roman"/>
                <w:szCs w:val="21"/>
              </w:rPr>
            </w:pPr>
            <w:r>
              <w:rPr>
                <w:rFonts w:hint="eastAsia" w:ascii="Times New Roman" w:hAnsi="Times New Roman"/>
                <w:szCs w:val="21"/>
              </w:rPr>
              <w:t>（3）配套塑料收纳盒，可满足不同类型材料的分类储存。</w:t>
            </w:r>
          </w:p>
          <w:p w14:paraId="70B8F0F2">
            <w:pPr>
              <w:jc w:val="left"/>
              <w:rPr>
                <w:rFonts w:hint="eastAsia" w:ascii="Times New Roman" w:hAnsi="Times New Roman"/>
                <w:szCs w:val="21"/>
              </w:rPr>
            </w:pPr>
            <w:r>
              <w:rPr>
                <w:rFonts w:hint="eastAsia" w:ascii="Times New Roman" w:hAnsi="Times New Roman"/>
                <w:szCs w:val="21"/>
              </w:rPr>
              <w:t>（4）所有螺丝位无毛刺不刮手，边角采用圆边/圆角处理以及安全防撞设计，最大程度的避免儿童磕碰伤害，结构稳固。</w:t>
            </w:r>
          </w:p>
        </w:tc>
      </w:tr>
      <w:tr w14:paraId="7D1A4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3" w:type="pct"/>
            <w:vMerge w:val="continue"/>
            <w:noWrap w:val="0"/>
            <w:vAlign w:val="center"/>
          </w:tcPr>
          <w:p w14:paraId="6C18BE9D">
            <w:pPr>
              <w:jc w:val="center"/>
              <w:rPr>
                <w:rFonts w:ascii="Times New Roman" w:hAnsi="Times New Roman"/>
                <w:szCs w:val="21"/>
              </w:rPr>
            </w:pPr>
          </w:p>
        </w:tc>
        <w:tc>
          <w:tcPr>
            <w:tcW w:w="440" w:type="pct"/>
            <w:vMerge w:val="continue"/>
            <w:noWrap w:val="0"/>
            <w:vAlign w:val="center"/>
          </w:tcPr>
          <w:p w14:paraId="34A7786E">
            <w:pPr>
              <w:jc w:val="center"/>
              <w:rPr>
                <w:rFonts w:hint="eastAsia" w:ascii="Times New Roman" w:hAnsi="Times New Roman"/>
                <w:szCs w:val="21"/>
              </w:rPr>
            </w:pPr>
          </w:p>
        </w:tc>
        <w:tc>
          <w:tcPr>
            <w:tcW w:w="4225" w:type="pct"/>
            <w:noWrap w:val="0"/>
            <w:vAlign w:val="top"/>
          </w:tcPr>
          <w:p w14:paraId="352F4FF6">
            <w:pPr>
              <w:jc w:val="left"/>
              <w:rPr>
                <w:rFonts w:hint="eastAsia" w:ascii="Times New Roman" w:hAnsi="Times New Roman"/>
                <w:szCs w:val="21"/>
              </w:rPr>
            </w:pPr>
            <w:r>
              <w:rPr>
                <w:rFonts w:hint="eastAsia" w:ascii="Times New Roman" w:hAnsi="Times New Roman"/>
                <w:szCs w:val="21"/>
              </w:rPr>
              <w:t>2、外观结构：</w:t>
            </w:r>
          </w:p>
          <w:p w14:paraId="3811141E">
            <w:pPr>
              <w:jc w:val="left"/>
              <w:rPr>
                <w:rFonts w:hint="eastAsia" w:ascii="Times New Roman" w:hAnsi="Times New Roman"/>
                <w:szCs w:val="21"/>
              </w:rPr>
            </w:pPr>
            <w:r>
              <w:rPr>
                <w:rFonts w:hint="eastAsia" w:ascii="Times New Roman" w:hAnsi="Times New Roman"/>
                <w:szCs w:val="21"/>
              </w:rPr>
              <w:t>（1）柜体：采用厚度12mm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szCs w:val="21"/>
              </w:rPr>
              <w:t>的桦木纹饰面橡胶木拼板。柜体中间是两层无背板设计。上层格子安装塑料材质U型槽，呈卡其色，尺寸为L370mm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szCs w:val="21"/>
              </w:rPr>
              <w:t>，有利于铁网能准确滑入槽中，左右两侧设有纸卷放置格1格， 短背板设计</w:t>
            </w:r>
            <w:r>
              <w:rPr>
                <w:rFonts w:hint="eastAsia" w:ascii="Times New Roman" w:hAnsi="Times New Roman"/>
                <w:szCs w:val="21"/>
                <w:lang w:eastAsia="zh-CN"/>
              </w:rPr>
              <w:t>，</w:t>
            </w:r>
            <w:r>
              <w:rPr>
                <w:rFonts w:hint="eastAsia" w:ascii="Times New Roman" w:hAnsi="Times New Roman"/>
                <w:szCs w:val="21"/>
              </w:rPr>
              <w:t>2层2格颜料收纳格。</w:t>
            </w:r>
          </w:p>
          <w:p w14:paraId="1DD7311E">
            <w:pPr>
              <w:jc w:val="left"/>
              <w:rPr>
                <w:rFonts w:hint="eastAsia" w:ascii="Times New Roman" w:hAnsi="Times New Roman"/>
                <w:szCs w:val="21"/>
              </w:rPr>
            </w:pPr>
            <w:r>
              <w:rPr>
                <w:rFonts w:hint="eastAsia" w:ascii="Times New Roman" w:hAnsi="Times New Roman"/>
                <w:szCs w:val="21"/>
              </w:rPr>
              <w:t>（2）搭配：4个大收纳盒尺寸：L245xW150xH60mm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szCs w:val="21"/>
              </w:rPr>
              <w:t>，4个小收纳盒尺寸：L150xW120xH60mm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szCs w:val="21"/>
              </w:rPr>
              <w:t>，教具收纳更轻松。收纳盒采用塑料材质，呈浅咖色，圆滑无毛刺，一体成型设计，结构稳固。1块铁质晾干网，尺寸：L590xW350xH8mm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szCs w:val="21"/>
              </w:rPr>
              <w:t>，铁网表面采用静电粉末喷涂工艺，圆润光滑，防腐抗锈。</w:t>
            </w:r>
          </w:p>
          <w:p w14:paraId="6D26A790">
            <w:pPr>
              <w:jc w:val="left"/>
              <w:rPr>
                <w:rFonts w:hint="eastAsia" w:ascii="Times New Roman" w:hAnsi="Times New Roman"/>
                <w:szCs w:val="21"/>
              </w:rPr>
            </w:pPr>
            <w:r>
              <w:rPr>
                <w:rFonts w:hint="eastAsia" w:ascii="Times New Roman" w:hAnsi="Times New Roman"/>
                <w:szCs w:val="21"/>
              </w:rPr>
              <w:t>（3）采用的水性木蜡油封边，成分天然，分子机构细小，成膜牢固，密封性好，无毒。</w:t>
            </w:r>
          </w:p>
          <w:p w14:paraId="333B828C">
            <w:pPr>
              <w:jc w:val="left"/>
              <w:rPr>
                <w:rFonts w:hint="eastAsia" w:ascii="Times New Roman" w:hAnsi="Times New Roman"/>
                <w:szCs w:val="21"/>
              </w:rPr>
            </w:pPr>
            <w:r>
              <w:rPr>
                <w:rFonts w:hint="eastAsia" w:ascii="Times New Roman" w:hAnsi="Times New Roman"/>
                <w:szCs w:val="21"/>
              </w:rPr>
              <w:t>（4）柜子底部安装4个静音带刹车万向脚轮，1个静音万向脚轮，脚轮运行平稳无声，可360°旋转，转动顺滑。</w:t>
            </w:r>
          </w:p>
        </w:tc>
      </w:tr>
      <w:tr w14:paraId="62380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3" w:type="pct"/>
            <w:vMerge w:val="restart"/>
            <w:noWrap w:val="0"/>
            <w:vAlign w:val="center"/>
          </w:tcPr>
          <w:p w14:paraId="7CCCE098">
            <w:pPr>
              <w:keepNext w:val="0"/>
              <w:keepLines w:val="0"/>
              <w:widowControl/>
              <w:suppressLineNumbers w:val="0"/>
              <w:jc w:val="center"/>
              <w:textAlignment w:val="center"/>
              <w:rPr>
                <w:rFonts w:ascii="Times New Roman" w:hAnsi="Times New Roman"/>
                <w:szCs w:val="21"/>
              </w:rPr>
            </w:pPr>
            <w:r>
              <w:rPr>
                <w:rFonts w:hint="default" w:ascii="Arial" w:hAnsi="Arial" w:eastAsia="宋体" w:cs="Arial"/>
                <w:i w:val="0"/>
                <w:iCs w:val="0"/>
                <w:color w:val="000000"/>
                <w:kern w:val="0"/>
                <w:sz w:val="20"/>
                <w:szCs w:val="20"/>
                <w:u w:val="none"/>
                <w:lang w:val="en-US" w:eastAsia="zh-CN" w:bidi="ar"/>
              </w:rPr>
              <w:t xml:space="preserve">27 </w:t>
            </w:r>
          </w:p>
        </w:tc>
        <w:tc>
          <w:tcPr>
            <w:tcW w:w="440" w:type="pct"/>
            <w:vMerge w:val="restart"/>
            <w:noWrap w:val="0"/>
            <w:vAlign w:val="center"/>
          </w:tcPr>
          <w:p w14:paraId="33B0F0DD">
            <w:pPr>
              <w:keepNext w:val="0"/>
              <w:keepLines w:val="0"/>
              <w:widowControl/>
              <w:suppressLineNumbers w:val="0"/>
              <w:jc w:val="center"/>
              <w:textAlignment w:val="center"/>
              <w:rPr>
                <w:rFonts w:hint="eastAsia" w:ascii="Times New Roman" w:hAnsi="Times New Roman"/>
                <w:szCs w:val="21"/>
              </w:rPr>
            </w:pPr>
            <w:r>
              <w:rPr>
                <w:rFonts w:hint="eastAsia" w:ascii="宋体" w:hAnsi="宋体" w:eastAsia="宋体" w:cs="宋体"/>
                <w:i w:val="0"/>
                <w:iCs w:val="0"/>
                <w:color w:val="auto"/>
                <w:kern w:val="0"/>
                <w:sz w:val="20"/>
                <w:szCs w:val="20"/>
                <w:u w:val="none"/>
                <w:lang w:val="en-US" w:eastAsia="zh-CN" w:bidi="ar"/>
              </w:rPr>
              <w:t>组合屏风</w:t>
            </w:r>
          </w:p>
        </w:tc>
        <w:tc>
          <w:tcPr>
            <w:tcW w:w="4225" w:type="pct"/>
            <w:noWrap w:val="0"/>
            <w:vAlign w:val="center"/>
          </w:tcPr>
          <w:p w14:paraId="27E5705B">
            <w:pPr>
              <w:jc w:val="left"/>
              <w:rPr>
                <w:rFonts w:hint="eastAsia" w:ascii="Times New Roman" w:hAnsi="Times New Roman"/>
                <w:szCs w:val="21"/>
              </w:rPr>
            </w:pPr>
            <w:r>
              <w:rPr>
                <w:rFonts w:hint="eastAsia" w:ascii="Times New Roman" w:hAnsi="Times New Roman"/>
                <w:szCs w:val="21"/>
              </w:rPr>
              <w:t>规格：L80xW35xH143cm（±3cm）</w:t>
            </w:r>
          </w:p>
        </w:tc>
      </w:tr>
      <w:tr w14:paraId="72D6B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3" w:type="pct"/>
            <w:vMerge w:val="continue"/>
            <w:noWrap w:val="0"/>
            <w:vAlign w:val="center"/>
          </w:tcPr>
          <w:p w14:paraId="6C627EF6">
            <w:pPr>
              <w:jc w:val="center"/>
              <w:rPr>
                <w:rFonts w:ascii="Times New Roman" w:hAnsi="Times New Roman"/>
                <w:szCs w:val="21"/>
              </w:rPr>
            </w:pPr>
          </w:p>
        </w:tc>
        <w:tc>
          <w:tcPr>
            <w:tcW w:w="440" w:type="pct"/>
            <w:vMerge w:val="continue"/>
            <w:noWrap w:val="0"/>
            <w:vAlign w:val="center"/>
          </w:tcPr>
          <w:p w14:paraId="61D42B0C">
            <w:pPr>
              <w:jc w:val="center"/>
              <w:rPr>
                <w:rFonts w:hint="eastAsia" w:ascii="Times New Roman" w:hAnsi="Times New Roman"/>
                <w:szCs w:val="21"/>
              </w:rPr>
            </w:pPr>
          </w:p>
        </w:tc>
        <w:tc>
          <w:tcPr>
            <w:tcW w:w="4225" w:type="pct"/>
            <w:noWrap w:val="0"/>
            <w:vAlign w:val="top"/>
          </w:tcPr>
          <w:p w14:paraId="12ECEC4E">
            <w:pPr>
              <w:jc w:val="left"/>
              <w:rPr>
                <w:rFonts w:hint="eastAsia" w:ascii="Times New Roman" w:hAnsi="Times New Roman"/>
                <w:szCs w:val="21"/>
              </w:rPr>
            </w:pPr>
            <w:r>
              <w:rPr>
                <w:rFonts w:hint="eastAsia" w:ascii="Times New Roman" w:hAnsi="Times New Roman"/>
                <w:szCs w:val="21"/>
              </w:rPr>
              <w:t>1、工艺设计：</w:t>
            </w:r>
          </w:p>
          <w:p w14:paraId="6E8DC96A">
            <w:pPr>
              <w:jc w:val="left"/>
              <w:rPr>
                <w:rFonts w:hint="eastAsia" w:ascii="Times New Roman" w:hAnsi="Times New Roman"/>
                <w:szCs w:val="21"/>
              </w:rPr>
            </w:pPr>
            <w:r>
              <w:rPr>
                <w:rFonts w:hint="eastAsia" w:ascii="Times New Roman" w:hAnsi="Times New Roman"/>
                <w:szCs w:val="21"/>
              </w:rPr>
              <w:t>（1）贯穿式连接器功能设计，可快速组合/拆卸屏风，无须任何工具。</w:t>
            </w:r>
          </w:p>
          <w:p w14:paraId="5B27D570">
            <w:pPr>
              <w:jc w:val="left"/>
              <w:rPr>
                <w:rFonts w:hint="eastAsia" w:ascii="Times New Roman" w:hAnsi="Times New Roman"/>
                <w:szCs w:val="21"/>
              </w:rPr>
            </w:pPr>
            <w:r>
              <w:rPr>
                <w:rFonts w:hint="eastAsia" w:ascii="Times New Roman" w:hAnsi="Times New Roman"/>
                <w:szCs w:val="21"/>
              </w:rPr>
              <w:t>（2）多功能带轮带刹车展示屏风，移动/固定便捷，能适用多场景下使用。</w:t>
            </w:r>
          </w:p>
          <w:p w14:paraId="6231174E">
            <w:pPr>
              <w:jc w:val="left"/>
              <w:rPr>
                <w:rFonts w:hint="eastAsia" w:ascii="Times New Roman" w:hAnsi="Times New Roman"/>
                <w:szCs w:val="21"/>
              </w:rPr>
            </w:pPr>
            <w:r>
              <w:rPr>
                <w:rFonts w:hint="eastAsia" w:ascii="Times New Roman" w:hAnsi="Times New Roman"/>
                <w:szCs w:val="21"/>
              </w:rPr>
              <w:t>（3）铁网表面采用静电粉末喷涂工艺，圆润光滑，防腐抗锈，坚固耐用。</w:t>
            </w:r>
          </w:p>
          <w:p w14:paraId="5A6DC581">
            <w:pPr>
              <w:jc w:val="left"/>
              <w:rPr>
                <w:rFonts w:hint="eastAsia" w:ascii="Times New Roman" w:hAnsi="Times New Roman"/>
                <w:szCs w:val="21"/>
              </w:rPr>
            </w:pPr>
            <w:r>
              <w:rPr>
                <w:rFonts w:hint="eastAsia" w:ascii="Times New Roman" w:hAnsi="Times New Roman"/>
                <w:szCs w:val="21"/>
              </w:rPr>
              <w:t>（4）所有螺丝位无毛刺不刮手，边角采用圆边/圆角处理以及安全防撞设计，最大程度的避免儿童磕碰伤害，结构稳固。</w:t>
            </w:r>
          </w:p>
        </w:tc>
      </w:tr>
      <w:tr w14:paraId="6F324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3" w:type="pct"/>
            <w:vMerge w:val="continue"/>
            <w:noWrap w:val="0"/>
            <w:vAlign w:val="center"/>
          </w:tcPr>
          <w:p w14:paraId="6D7F3F4E">
            <w:pPr>
              <w:jc w:val="center"/>
              <w:rPr>
                <w:rFonts w:ascii="Times New Roman" w:hAnsi="Times New Roman"/>
                <w:szCs w:val="21"/>
              </w:rPr>
            </w:pPr>
          </w:p>
        </w:tc>
        <w:tc>
          <w:tcPr>
            <w:tcW w:w="440" w:type="pct"/>
            <w:vMerge w:val="continue"/>
            <w:noWrap w:val="0"/>
            <w:vAlign w:val="center"/>
          </w:tcPr>
          <w:p w14:paraId="6B64694B">
            <w:pPr>
              <w:jc w:val="center"/>
              <w:rPr>
                <w:rFonts w:hint="eastAsia" w:ascii="Times New Roman" w:hAnsi="Times New Roman"/>
                <w:szCs w:val="21"/>
              </w:rPr>
            </w:pPr>
          </w:p>
        </w:tc>
        <w:tc>
          <w:tcPr>
            <w:tcW w:w="4225" w:type="pct"/>
            <w:noWrap w:val="0"/>
            <w:vAlign w:val="top"/>
          </w:tcPr>
          <w:p w14:paraId="0F7F28BD">
            <w:pPr>
              <w:jc w:val="left"/>
              <w:rPr>
                <w:rFonts w:hint="eastAsia" w:ascii="Times New Roman" w:hAnsi="Times New Roman"/>
                <w:szCs w:val="21"/>
              </w:rPr>
            </w:pPr>
            <w:r>
              <w:rPr>
                <w:rFonts w:hint="eastAsia" w:ascii="Times New Roman" w:hAnsi="Times New Roman"/>
                <w:szCs w:val="21"/>
              </w:rPr>
              <w:t>2、外观结构及材质：</w:t>
            </w:r>
          </w:p>
          <w:p w14:paraId="153D7AB5">
            <w:pPr>
              <w:jc w:val="left"/>
              <w:rPr>
                <w:rFonts w:hint="eastAsia" w:ascii="Times New Roman" w:hAnsi="Times New Roman"/>
                <w:szCs w:val="21"/>
              </w:rPr>
            </w:pPr>
            <w:r>
              <w:rPr>
                <w:rFonts w:hint="eastAsia" w:ascii="Times New Roman" w:hAnsi="Times New Roman"/>
                <w:szCs w:val="21"/>
              </w:rPr>
              <w:t>（1）主体采用厚度18mm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szCs w:val="21"/>
              </w:rPr>
              <w:t>的实木多层板，展示框架采用桦木原木，材质厚实坚固，纹理均匀细致。底部2个收纳格，内空尺寸：373x350x169mm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szCs w:val="21"/>
              </w:rPr>
              <w:t>。</w:t>
            </w:r>
          </w:p>
          <w:p w14:paraId="7DA521C5">
            <w:pPr>
              <w:jc w:val="left"/>
              <w:rPr>
                <w:rFonts w:hint="eastAsia" w:ascii="Times New Roman" w:hAnsi="Times New Roman"/>
                <w:szCs w:val="21"/>
              </w:rPr>
            </w:pPr>
            <w:r>
              <w:rPr>
                <w:rFonts w:hint="eastAsia" w:ascii="Times New Roman" w:hAnsi="Times New Roman"/>
                <w:szCs w:val="21"/>
              </w:rPr>
              <w:t>（2）底部安装4个静音万向脚轮，脚轮运行平稳无声，可360°旋转，转动顺滑，刹车灵敏，踏板不易断裂。</w:t>
            </w:r>
          </w:p>
          <w:p w14:paraId="50C7234F">
            <w:pPr>
              <w:jc w:val="left"/>
              <w:rPr>
                <w:rFonts w:hint="eastAsia" w:ascii="Times New Roman" w:hAnsi="Times New Roman"/>
                <w:szCs w:val="21"/>
              </w:rPr>
            </w:pPr>
            <w:r>
              <w:rPr>
                <w:rFonts w:hint="eastAsia" w:ascii="Times New Roman" w:hAnsi="Times New Roman"/>
                <w:szCs w:val="21"/>
              </w:rPr>
              <w:t>（3）展示框架内嵌一个内格60x60mm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szCs w:val="21"/>
              </w:rPr>
              <w:t>方格哑黑色铁网，可用尺寸为L674xH847mm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szCs w:val="21"/>
              </w:rPr>
              <w:t>，冷轧铁艺，表面采用静电粉末喷涂工艺，可悬挂各种装饰品或手工作品。</w:t>
            </w:r>
          </w:p>
          <w:p w14:paraId="4AA8600F">
            <w:pPr>
              <w:jc w:val="left"/>
              <w:rPr>
                <w:rFonts w:hint="eastAsia" w:ascii="Times New Roman" w:hAnsi="Times New Roman"/>
                <w:szCs w:val="21"/>
              </w:rPr>
            </w:pPr>
            <w:r>
              <w:rPr>
                <w:rFonts w:hint="eastAsia" w:ascii="Times New Roman" w:hAnsi="Times New Roman"/>
                <w:szCs w:val="21"/>
              </w:rPr>
              <w:t>（4）柜体两侧中间为镂空口，可使用配套的柜体连接开关与多个展示屏风组合；连接开关采用塑料材质，呈浅咖色，圆滑无毛刺，尺寸为：L88xW62xH25mm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szCs w:val="21"/>
              </w:rPr>
              <w:t>，带弹簧按钮，当旋转至“十”字型时，开关可锁紧，两边柜体可扣住，当旋转至“一”字型时，开关可从镂空口取出，两边柜体可分开。</w:t>
            </w:r>
          </w:p>
          <w:p w14:paraId="73FC4CC2">
            <w:pPr>
              <w:jc w:val="left"/>
              <w:rPr>
                <w:rFonts w:hint="eastAsia" w:ascii="Times New Roman" w:hAnsi="Times New Roman"/>
                <w:szCs w:val="21"/>
              </w:rPr>
            </w:pPr>
            <w:r>
              <w:rPr>
                <w:rFonts w:hint="eastAsia" w:ascii="Times New Roman" w:hAnsi="Times New Roman"/>
                <w:szCs w:val="21"/>
              </w:rPr>
              <w:t>（5）油漆：采用的水性漆，全封闭涂装工艺，漆面光泽高透，颜色均匀。</w:t>
            </w:r>
          </w:p>
        </w:tc>
      </w:tr>
      <w:tr w14:paraId="3F11C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3" w:type="pct"/>
            <w:vMerge w:val="restart"/>
            <w:noWrap w:val="0"/>
            <w:vAlign w:val="center"/>
          </w:tcPr>
          <w:p w14:paraId="5BCC3B52">
            <w:pPr>
              <w:keepNext w:val="0"/>
              <w:keepLines w:val="0"/>
              <w:widowControl/>
              <w:suppressLineNumbers w:val="0"/>
              <w:jc w:val="center"/>
              <w:textAlignment w:val="center"/>
              <w:rPr>
                <w:rFonts w:ascii="Times New Roman" w:hAnsi="Times New Roman"/>
                <w:szCs w:val="21"/>
              </w:rPr>
            </w:pPr>
            <w:r>
              <w:rPr>
                <w:rFonts w:hint="default" w:ascii="Arial" w:hAnsi="Arial" w:eastAsia="宋体" w:cs="Arial"/>
                <w:i w:val="0"/>
                <w:iCs w:val="0"/>
                <w:color w:val="000000"/>
                <w:kern w:val="0"/>
                <w:sz w:val="20"/>
                <w:szCs w:val="20"/>
                <w:u w:val="none"/>
                <w:lang w:val="en-US" w:eastAsia="zh-CN" w:bidi="ar"/>
              </w:rPr>
              <w:t xml:space="preserve">28 </w:t>
            </w:r>
          </w:p>
        </w:tc>
        <w:tc>
          <w:tcPr>
            <w:tcW w:w="440" w:type="pct"/>
            <w:vMerge w:val="restart"/>
            <w:noWrap w:val="0"/>
            <w:vAlign w:val="center"/>
          </w:tcPr>
          <w:p w14:paraId="55FD7AA6">
            <w:pPr>
              <w:keepNext w:val="0"/>
              <w:keepLines w:val="0"/>
              <w:widowControl/>
              <w:suppressLineNumbers w:val="0"/>
              <w:jc w:val="center"/>
              <w:textAlignment w:val="center"/>
              <w:rPr>
                <w:rFonts w:hint="eastAsia" w:ascii="Times New Roman" w:hAnsi="Times New Roman"/>
                <w:szCs w:val="21"/>
              </w:rPr>
            </w:pPr>
            <w:r>
              <w:rPr>
                <w:rFonts w:hint="eastAsia" w:ascii="宋体" w:hAnsi="宋体" w:eastAsia="宋体" w:cs="宋体"/>
                <w:i w:val="0"/>
                <w:iCs w:val="0"/>
                <w:color w:val="000000"/>
                <w:kern w:val="0"/>
                <w:sz w:val="20"/>
                <w:szCs w:val="20"/>
                <w:u w:val="none"/>
                <w:lang w:val="en-US" w:eastAsia="zh-CN" w:bidi="ar"/>
              </w:rPr>
              <w:t>8格万用高柜.无背板</w:t>
            </w:r>
          </w:p>
        </w:tc>
        <w:tc>
          <w:tcPr>
            <w:tcW w:w="4225" w:type="pct"/>
            <w:noWrap w:val="0"/>
            <w:vAlign w:val="center"/>
          </w:tcPr>
          <w:p w14:paraId="002FE7D2">
            <w:pPr>
              <w:jc w:val="left"/>
              <w:rPr>
                <w:rFonts w:hint="eastAsia" w:ascii="Times New Roman" w:hAnsi="Times New Roman"/>
                <w:szCs w:val="21"/>
              </w:rPr>
            </w:pPr>
            <w:r>
              <w:rPr>
                <w:rFonts w:hint="eastAsia" w:ascii="Times New Roman" w:hAnsi="Times New Roman"/>
                <w:szCs w:val="21"/>
              </w:rPr>
              <w:t>规格：L91.5xW30xH80cm（±3cm）</w:t>
            </w:r>
          </w:p>
        </w:tc>
      </w:tr>
      <w:tr w14:paraId="296B8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3" w:type="pct"/>
            <w:vMerge w:val="continue"/>
            <w:noWrap w:val="0"/>
            <w:vAlign w:val="center"/>
          </w:tcPr>
          <w:p w14:paraId="5FD07F49">
            <w:pPr>
              <w:jc w:val="center"/>
              <w:rPr>
                <w:rFonts w:ascii="Times New Roman" w:hAnsi="Times New Roman"/>
                <w:szCs w:val="21"/>
              </w:rPr>
            </w:pPr>
          </w:p>
        </w:tc>
        <w:tc>
          <w:tcPr>
            <w:tcW w:w="440" w:type="pct"/>
            <w:vMerge w:val="continue"/>
            <w:noWrap w:val="0"/>
            <w:vAlign w:val="center"/>
          </w:tcPr>
          <w:p w14:paraId="69334467">
            <w:pPr>
              <w:jc w:val="center"/>
              <w:rPr>
                <w:rFonts w:hint="eastAsia" w:ascii="Times New Roman" w:hAnsi="Times New Roman"/>
                <w:szCs w:val="21"/>
              </w:rPr>
            </w:pPr>
          </w:p>
        </w:tc>
        <w:tc>
          <w:tcPr>
            <w:tcW w:w="4225" w:type="pct"/>
            <w:noWrap w:val="0"/>
            <w:vAlign w:val="top"/>
          </w:tcPr>
          <w:p w14:paraId="48D29EC3">
            <w:pPr>
              <w:jc w:val="left"/>
              <w:rPr>
                <w:rFonts w:hint="eastAsia" w:ascii="Times New Roman" w:hAnsi="Times New Roman"/>
                <w:szCs w:val="21"/>
              </w:rPr>
            </w:pPr>
            <w:r>
              <w:rPr>
                <w:rFonts w:hint="eastAsia" w:ascii="Times New Roman" w:hAnsi="Times New Roman"/>
                <w:szCs w:val="21"/>
              </w:rPr>
              <w:t>1、工艺设计：</w:t>
            </w:r>
          </w:p>
          <w:p w14:paraId="695107E2">
            <w:pPr>
              <w:jc w:val="left"/>
              <w:rPr>
                <w:rFonts w:hint="eastAsia" w:ascii="Times New Roman" w:hAnsi="Times New Roman"/>
                <w:szCs w:val="21"/>
              </w:rPr>
            </w:pPr>
            <w:r>
              <w:rPr>
                <w:rFonts w:hint="eastAsia" w:ascii="Times New Roman" w:hAnsi="Times New Roman"/>
                <w:szCs w:val="21"/>
              </w:rPr>
              <w:t>（1）采用翻板活动轮工艺，移动/固定自由切换。</w:t>
            </w:r>
          </w:p>
          <w:p w14:paraId="6489D0AB">
            <w:pPr>
              <w:jc w:val="left"/>
              <w:rPr>
                <w:rFonts w:hint="eastAsia" w:ascii="Times New Roman" w:hAnsi="Times New Roman"/>
                <w:szCs w:val="21"/>
              </w:rPr>
            </w:pPr>
            <w:r>
              <w:rPr>
                <w:rFonts w:hint="eastAsia" w:ascii="Times New Roman" w:hAnsi="Times New Roman"/>
                <w:szCs w:val="21"/>
              </w:rPr>
              <w:t>（2）所有螺丝位无毛刺不刮手，四角及边沿采用圆角/圆边处理以及安全防撞设计，最大程度的避免儿童磕碰伤害，结构稳固。</w:t>
            </w:r>
          </w:p>
        </w:tc>
      </w:tr>
      <w:tr w14:paraId="1DF0D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3" w:type="pct"/>
            <w:vMerge w:val="continue"/>
            <w:noWrap w:val="0"/>
            <w:vAlign w:val="center"/>
          </w:tcPr>
          <w:p w14:paraId="71221F24">
            <w:pPr>
              <w:jc w:val="center"/>
              <w:rPr>
                <w:rFonts w:ascii="Times New Roman" w:hAnsi="Times New Roman"/>
                <w:szCs w:val="21"/>
              </w:rPr>
            </w:pPr>
          </w:p>
        </w:tc>
        <w:tc>
          <w:tcPr>
            <w:tcW w:w="440" w:type="pct"/>
            <w:vMerge w:val="continue"/>
            <w:noWrap w:val="0"/>
            <w:vAlign w:val="center"/>
          </w:tcPr>
          <w:p w14:paraId="32B7A363">
            <w:pPr>
              <w:jc w:val="center"/>
              <w:rPr>
                <w:rFonts w:hint="eastAsia" w:ascii="Times New Roman" w:hAnsi="Times New Roman"/>
                <w:szCs w:val="21"/>
              </w:rPr>
            </w:pPr>
          </w:p>
        </w:tc>
        <w:tc>
          <w:tcPr>
            <w:tcW w:w="4225" w:type="pct"/>
            <w:noWrap w:val="0"/>
            <w:vAlign w:val="top"/>
          </w:tcPr>
          <w:p w14:paraId="4ECF4E62">
            <w:pPr>
              <w:jc w:val="left"/>
              <w:rPr>
                <w:rFonts w:hint="eastAsia" w:ascii="Times New Roman" w:hAnsi="Times New Roman"/>
                <w:szCs w:val="21"/>
              </w:rPr>
            </w:pPr>
            <w:r>
              <w:rPr>
                <w:rFonts w:hint="eastAsia" w:ascii="Times New Roman" w:hAnsi="Times New Roman"/>
                <w:szCs w:val="21"/>
              </w:rPr>
              <w:t>2、外观结构及材质：</w:t>
            </w:r>
          </w:p>
          <w:p w14:paraId="07178B45">
            <w:pPr>
              <w:jc w:val="left"/>
              <w:rPr>
                <w:rFonts w:hint="eastAsia" w:ascii="Times New Roman" w:hAnsi="Times New Roman"/>
                <w:szCs w:val="21"/>
              </w:rPr>
            </w:pPr>
            <w:r>
              <w:rPr>
                <w:rFonts w:hint="eastAsia" w:ascii="Times New Roman" w:hAnsi="Times New Roman"/>
                <w:szCs w:val="21"/>
              </w:rPr>
              <w:t>（1）柜体：采用16mm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szCs w:val="21"/>
              </w:rPr>
              <w:t>的橡胶木拼板。通透三层8格高柜，上、下层格子内空：284x300x222mm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szCs w:val="21"/>
              </w:rPr>
              <w:t>,中层格子内空：434x300x222mm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szCs w:val="21"/>
              </w:rPr>
              <w:t>。</w:t>
            </w:r>
          </w:p>
          <w:p w14:paraId="541516B6">
            <w:pPr>
              <w:jc w:val="left"/>
              <w:rPr>
                <w:rFonts w:hint="eastAsia" w:ascii="Times New Roman" w:hAnsi="Times New Roman"/>
                <w:szCs w:val="21"/>
              </w:rPr>
            </w:pPr>
            <w:r>
              <w:rPr>
                <w:rFonts w:hint="eastAsia" w:ascii="Times New Roman" w:hAnsi="Times New Roman"/>
                <w:szCs w:val="21"/>
              </w:rPr>
              <w:t>（2）围脚：采用厚度18mm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szCs w:val="21"/>
              </w:rPr>
              <w:t>的橡胶木拼板。柜体与底部围脚采用塑料连接件实现翻板功能，脚轮为静音万向轮，安装在围脚侧板内，当家具固定时，围脚侧板向下翻，万向轮则隐藏于侧板内；当家具需要移动时，围脚侧板向上翻，塑料连接件卡扣对侧板进行固定，万向轮支撑起家具的重量，无须抬起轻松实现家具位置转移。</w:t>
            </w:r>
          </w:p>
          <w:p w14:paraId="6C1909F2">
            <w:pPr>
              <w:jc w:val="left"/>
              <w:rPr>
                <w:rFonts w:hint="eastAsia" w:ascii="Times New Roman" w:hAnsi="Times New Roman"/>
                <w:szCs w:val="21"/>
              </w:rPr>
            </w:pPr>
            <w:r>
              <w:rPr>
                <w:rFonts w:hint="eastAsia" w:ascii="Times New Roman" w:hAnsi="Times New Roman"/>
                <w:szCs w:val="21"/>
              </w:rPr>
              <w:t>（3）采用的水性漆，全封闭涂装工艺，漆面光泽高透，颜色均匀。</w:t>
            </w:r>
          </w:p>
        </w:tc>
      </w:tr>
      <w:tr w14:paraId="76B0E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3" w:type="pct"/>
            <w:vMerge w:val="restart"/>
            <w:noWrap w:val="0"/>
            <w:vAlign w:val="center"/>
          </w:tcPr>
          <w:p w14:paraId="3C0B74F0">
            <w:pPr>
              <w:keepNext w:val="0"/>
              <w:keepLines w:val="0"/>
              <w:widowControl/>
              <w:suppressLineNumbers w:val="0"/>
              <w:jc w:val="center"/>
              <w:textAlignment w:val="center"/>
              <w:rPr>
                <w:rFonts w:ascii="Times New Roman" w:hAnsi="Times New Roman"/>
                <w:szCs w:val="21"/>
              </w:rPr>
            </w:pPr>
            <w:r>
              <w:rPr>
                <w:rFonts w:hint="default" w:ascii="Arial" w:hAnsi="Arial" w:eastAsia="宋体" w:cs="Arial"/>
                <w:i w:val="0"/>
                <w:iCs w:val="0"/>
                <w:color w:val="000000"/>
                <w:kern w:val="0"/>
                <w:sz w:val="20"/>
                <w:szCs w:val="20"/>
                <w:u w:val="none"/>
                <w:lang w:val="en-US" w:eastAsia="zh-CN" w:bidi="ar"/>
              </w:rPr>
              <w:t xml:space="preserve">29 </w:t>
            </w:r>
          </w:p>
        </w:tc>
        <w:tc>
          <w:tcPr>
            <w:tcW w:w="440" w:type="pct"/>
            <w:vMerge w:val="restart"/>
            <w:noWrap w:val="0"/>
            <w:vAlign w:val="center"/>
          </w:tcPr>
          <w:p w14:paraId="0EB4D446">
            <w:pPr>
              <w:keepNext w:val="0"/>
              <w:keepLines w:val="0"/>
              <w:widowControl/>
              <w:suppressLineNumbers w:val="0"/>
              <w:jc w:val="center"/>
              <w:textAlignment w:val="center"/>
              <w:rPr>
                <w:rFonts w:hint="eastAsia" w:ascii="Times New Roman" w:hAnsi="Times New Roman"/>
                <w:szCs w:val="21"/>
              </w:rPr>
            </w:pPr>
            <w:r>
              <w:rPr>
                <w:rFonts w:hint="eastAsia" w:ascii="宋体" w:hAnsi="宋体" w:eastAsia="宋体" w:cs="宋体"/>
                <w:i w:val="0"/>
                <w:iCs w:val="0"/>
                <w:color w:val="000000"/>
                <w:kern w:val="0"/>
                <w:sz w:val="20"/>
                <w:szCs w:val="20"/>
                <w:u w:val="none"/>
                <w:lang w:val="en-US" w:eastAsia="zh-CN" w:bidi="ar"/>
              </w:rPr>
              <w:t>三层教具篮收纳柜</w:t>
            </w:r>
          </w:p>
        </w:tc>
        <w:tc>
          <w:tcPr>
            <w:tcW w:w="4225" w:type="pct"/>
            <w:noWrap w:val="0"/>
            <w:vAlign w:val="center"/>
          </w:tcPr>
          <w:p w14:paraId="5CD3DD0E">
            <w:pPr>
              <w:jc w:val="left"/>
              <w:rPr>
                <w:rFonts w:hint="eastAsia" w:ascii="Times New Roman" w:hAnsi="Times New Roman"/>
                <w:szCs w:val="21"/>
              </w:rPr>
            </w:pPr>
            <w:r>
              <w:rPr>
                <w:rFonts w:hint="eastAsia" w:ascii="Times New Roman" w:hAnsi="Times New Roman"/>
                <w:szCs w:val="21"/>
              </w:rPr>
              <w:t>规格：L91xW30xH59cm（±3cm）</w:t>
            </w:r>
          </w:p>
        </w:tc>
      </w:tr>
      <w:tr w14:paraId="387DB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3" w:type="pct"/>
            <w:vMerge w:val="continue"/>
            <w:noWrap w:val="0"/>
            <w:vAlign w:val="center"/>
          </w:tcPr>
          <w:p w14:paraId="04909189">
            <w:pPr>
              <w:jc w:val="center"/>
              <w:rPr>
                <w:rFonts w:ascii="Times New Roman" w:hAnsi="Times New Roman"/>
                <w:szCs w:val="21"/>
              </w:rPr>
            </w:pPr>
          </w:p>
        </w:tc>
        <w:tc>
          <w:tcPr>
            <w:tcW w:w="440" w:type="pct"/>
            <w:vMerge w:val="continue"/>
            <w:noWrap w:val="0"/>
            <w:vAlign w:val="center"/>
          </w:tcPr>
          <w:p w14:paraId="5418BF43">
            <w:pPr>
              <w:jc w:val="center"/>
              <w:rPr>
                <w:rFonts w:hint="eastAsia" w:ascii="Times New Roman" w:hAnsi="Times New Roman"/>
                <w:szCs w:val="21"/>
              </w:rPr>
            </w:pPr>
          </w:p>
        </w:tc>
        <w:tc>
          <w:tcPr>
            <w:tcW w:w="4225" w:type="pct"/>
            <w:noWrap w:val="0"/>
            <w:vAlign w:val="top"/>
          </w:tcPr>
          <w:p w14:paraId="77629DD1">
            <w:pPr>
              <w:jc w:val="left"/>
              <w:rPr>
                <w:rFonts w:hint="eastAsia" w:ascii="Times New Roman" w:hAnsi="Times New Roman"/>
                <w:szCs w:val="21"/>
              </w:rPr>
            </w:pPr>
            <w:r>
              <w:rPr>
                <w:rFonts w:hint="eastAsia" w:ascii="Times New Roman" w:hAnsi="Times New Roman"/>
                <w:szCs w:val="21"/>
              </w:rPr>
              <w:t>1、工艺设计：</w:t>
            </w:r>
          </w:p>
          <w:p w14:paraId="098DCF07">
            <w:pPr>
              <w:jc w:val="left"/>
              <w:rPr>
                <w:rFonts w:hint="eastAsia" w:ascii="Times New Roman" w:hAnsi="Times New Roman"/>
                <w:szCs w:val="21"/>
              </w:rPr>
            </w:pPr>
            <w:r>
              <w:rPr>
                <w:rFonts w:hint="eastAsia" w:ascii="Times New Roman" w:hAnsi="Times New Roman"/>
                <w:szCs w:val="21"/>
              </w:rPr>
              <w:t>（1）采用翻板活动轮工艺，移动/固定自由切换。</w:t>
            </w:r>
          </w:p>
          <w:p w14:paraId="65472019">
            <w:pPr>
              <w:jc w:val="left"/>
              <w:rPr>
                <w:rFonts w:hint="eastAsia" w:ascii="Times New Roman" w:hAnsi="Times New Roman"/>
                <w:szCs w:val="21"/>
              </w:rPr>
            </w:pPr>
            <w:r>
              <w:rPr>
                <w:rFonts w:hint="eastAsia" w:ascii="Times New Roman" w:hAnsi="Times New Roman"/>
                <w:szCs w:val="21"/>
              </w:rPr>
              <w:t>（2）所有螺丝位无毛刺不刮手，四角及边沿采用圆角/圆边处理以及安全防撞设计，最大程度的避免儿童磕碰伤害，结构稳固。</w:t>
            </w:r>
          </w:p>
        </w:tc>
      </w:tr>
      <w:tr w14:paraId="61372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3" w:type="pct"/>
            <w:vMerge w:val="continue"/>
            <w:noWrap w:val="0"/>
            <w:vAlign w:val="center"/>
          </w:tcPr>
          <w:p w14:paraId="3D01BA56">
            <w:pPr>
              <w:jc w:val="center"/>
              <w:rPr>
                <w:rFonts w:ascii="Times New Roman" w:hAnsi="Times New Roman"/>
                <w:szCs w:val="21"/>
              </w:rPr>
            </w:pPr>
          </w:p>
        </w:tc>
        <w:tc>
          <w:tcPr>
            <w:tcW w:w="440" w:type="pct"/>
            <w:vMerge w:val="continue"/>
            <w:noWrap w:val="0"/>
            <w:vAlign w:val="center"/>
          </w:tcPr>
          <w:p w14:paraId="4518864F">
            <w:pPr>
              <w:jc w:val="center"/>
              <w:rPr>
                <w:rFonts w:hint="eastAsia" w:ascii="Times New Roman" w:hAnsi="Times New Roman"/>
                <w:szCs w:val="21"/>
              </w:rPr>
            </w:pPr>
          </w:p>
        </w:tc>
        <w:tc>
          <w:tcPr>
            <w:tcW w:w="4225" w:type="pct"/>
            <w:noWrap w:val="0"/>
            <w:vAlign w:val="top"/>
          </w:tcPr>
          <w:p w14:paraId="52D6455B">
            <w:pPr>
              <w:jc w:val="left"/>
              <w:rPr>
                <w:rFonts w:hint="eastAsia" w:ascii="Times New Roman" w:hAnsi="Times New Roman"/>
                <w:szCs w:val="21"/>
              </w:rPr>
            </w:pPr>
            <w:r>
              <w:rPr>
                <w:rFonts w:hint="eastAsia" w:ascii="Times New Roman" w:hAnsi="Times New Roman"/>
                <w:szCs w:val="21"/>
              </w:rPr>
              <w:t>2、外观结构及材质：</w:t>
            </w:r>
          </w:p>
          <w:p w14:paraId="6B2316C6">
            <w:pPr>
              <w:jc w:val="left"/>
              <w:rPr>
                <w:rFonts w:hint="eastAsia" w:ascii="Times New Roman" w:hAnsi="Times New Roman"/>
                <w:szCs w:val="21"/>
              </w:rPr>
            </w:pPr>
            <w:r>
              <w:rPr>
                <w:rFonts w:hint="eastAsia" w:ascii="Times New Roman" w:hAnsi="Times New Roman"/>
                <w:szCs w:val="21"/>
              </w:rPr>
              <w:t>（1）柜体：采用15mm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szCs w:val="21"/>
              </w:rPr>
              <w:t>的橡胶木拼板。柜子长度内空：884mm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szCs w:val="21"/>
              </w:rPr>
              <w:t>，整体为3层，安装浅咖色铁质圆管用于固定教具篮，铁管尺寸为：φ19mm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szCs w:val="21"/>
              </w:rPr>
              <w:t>；包含9个教具篮，尺寸：L280xW260xH100mm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szCs w:val="21"/>
              </w:rPr>
              <w:t>，用于收纳各种教玩具物品，教具篮采用塑料材质，呈浅咖色，圆滑无毛刺，一体成型设计，结构稳固。</w:t>
            </w:r>
          </w:p>
          <w:p w14:paraId="3F1D1955">
            <w:pPr>
              <w:jc w:val="left"/>
              <w:rPr>
                <w:rFonts w:hint="eastAsia" w:ascii="Times New Roman" w:hAnsi="Times New Roman"/>
                <w:szCs w:val="21"/>
              </w:rPr>
            </w:pPr>
            <w:r>
              <w:rPr>
                <w:rFonts w:hint="eastAsia" w:ascii="Times New Roman" w:hAnsi="Times New Roman"/>
                <w:szCs w:val="21"/>
              </w:rPr>
              <w:t>（2）围脚：采用厚度18mm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szCs w:val="21"/>
              </w:rPr>
              <w:t>的橡胶木拼板。柜体与底部围脚采用塑料连接件实现翻板功能，脚轮为静音万向轮，安装在围脚侧板内，当家具固定时，围脚侧板向下翻，万向轮则隐藏于侧板内；当家具需要移动时，围脚侧板向上翻，塑料连接件卡扣对侧板进行固定，万向轮支撑起家具的重量，无须抬起轻松实现家具位置转移。</w:t>
            </w:r>
          </w:p>
          <w:p w14:paraId="6E579055">
            <w:pPr>
              <w:jc w:val="left"/>
              <w:rPr>
                <w:rFonts w:hint="eastAsia" w:ascii="Times New Roman" w:hAnsi="Times New Roman"/>
                <w:szCs w:val="21"/>
              </w:rPr>
            </w:pPr>
            <w:r>
              <w:rPr>
                <w:rFonts w:hint="eastAsia" w:ascii="Times New Roman" w:hAnsi="Times New Roman"/>
                <w:szCs w:val="21"/>
              </w:rPr>
              <w:t>（3）木蜡油：采用的水性木蜡油封边，成分天然，分子机构细小，成膜牢固，密封性好。</w:t>
            </w:r>
          </w:p>
        </w:tc>
      </w:tr>
      <w:tr w14:paraId="30D2B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3" w:type="pct"/>
            <w:vMerge w:val="restart"/>
            <w:noWrap w:val="0"/>
            <w:vAlign w:val="center"/>
          </w:tcPr>
          <w:p w14:paraId="206BE39E">
            <w:pPr>
              <w:keepNext w:val="0"/>
              <w:keepLines w:val="0"/>
              <w:widowControl/>
              <w:suppressLineNumbers w:val="0"/>
              <w:jc w:val="center"/>
              <w:textAlignment w:val="center"/>
              <w:rPr>
                <w:rFonts w:ascii="Times New Roman" w:hAnsi="Times New Roman"/>
                <w:szCs w:val="21"/>
              </w:rPr>
            </w:pPr>
            <w:r>
              <w:rPr>
                <w:rFonts w:hint="default" w:ascii="Arial" w:hAnsi="Arial" w:eastAsia="宋体" w:cs="Arial"/>
                <w:i w:val="0"/>
                <w:iCs w:val="0"/>
                <w:color w:val="000000"/>
                <w:kern w:val="0"/>
                <w:sz w:val="20"/>
                <w:szCs w:val="20"/>
                <w:u w:val="none"/>
                <w:lang w:val="en-US" w:eastAsia="zh-CN" w:bidi="ar"/>
              </w:rPr>
              <w:t xml:space="preserve">30 </w:t>
            </w:r>
          </w:p>
        </w:tc>
        <w:tc>
          <w:tcPr>
            <w:tcW w:w="440" w:type="pct"/>
            <w:vMerge w:val="restart"/>
            <w:noWrap w:val="0"/>
            <w:vAlign w:val="center"/>
          </w:tcPr>
          <w:p w14:paraId="376A698A">
            <w:pPr>
              <w:keepNext w:val="0"/>
              <w:keepLines w:val="0"/>
              <w:widowControl/>
              <w:suppressLineNumbers w:val="0"/>
              <w:jc w:val="center"/>
              <w:textAlignment w:val="center"/>
              <w:rPr>
                <w:rFonts w:hint="eastAsia" w:ascii="Times New Roman" w:hAnsi="Times New Roman"/>
                <w:szCs w:val="21"/>
              </w:rPr>
            </w:pPr>
            <w:r>
              <w:rPr>
                <w:rFonts w:hint="default" w:ascii="Arial" w:hAnsi="Arial" w:eastAsia="宋体" w:cs="Arial"/>
                <w:i w:val="0"/>
                <w:iCs w:val="0"/>
                <w:color w:val="000000"/>
                <w:kern w:val="0"/>
                <w:sz w:val="20"/>
                <w:szCs w:val="20"/>
                <w:u w:val="none"/>
                <w:lang w:val="en-US" w:eastAsia="zh-CN" w:bidi="ar"/>
              </w:rPr>
              <w:t>便携式可堆叠儿童床</w:t>
            </w:r>
          </w:p>
        </w:tc>
        <w:tc>
          <w:tcPr>
            <w:tcW w:w="4225" w:type="pct"/>
            <w:noWrap w:val="0"/>
            <w:vAlign w:val="center"/>
          </w:tcPr>
          <w:p w14:paraId="319AE38A">
            <w:pPr>
              <w:jc w:val="left"/>
              <w:rPr>
                <w:rFonts w:hint="eastAsia" w:ascii="Times New Roman" w:hAnsi="Times New Roman"/>
                <w:szCs w:val="21"/>
              </w:rPr>
            </w:pPr>
            <w:r>
              <w:rPr>
                <w:rFonts w:hint="eastAsia" w:ascii="Times New Roman" w:hAnsi="Times New Roman"/>
                <w:szCs w:val="21"/>
              </w:rPr>
              <w:t>1.规格：常规</w:t>
            </w:r>
          </w:p>
        </w:tc>
      </w:tr>
      <w:tr w14:paraId="0213A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3" w:type="pct"/>
            <w:vMerge w:val="continue"/>
            <w:noWrap w:val="0"/>
            <w:vAlign w:val="center"/>
          </w:tcPr>
          <w:p w14:paraId="2F58A8BD">
            <w:pPr>
              <w:jc w:val="center"/>
              <w:rPr>
                <w:rFonts w:ascii="Times New Roman" w:hAnsi="Times New Roman"/>
                <w:szCs w:val="21"/>
              </w:rPr>
            </w:pPr>
          </w:p>
        </w:tc>
        <w:tc>
          <w:tcPr>
            <w:tcW w:w="440" w:type="pct"/>
            <w:vMerge w:val="continue"/>
            <w:noWrap w:val="0"/>
            <w:vAlign w:val="center"/>
          </w:tcPr>
          <w:p w14:paraId="77CA8E7D">
            <w:pPr>
              <w:jc w:val="center"/>
              <w:rPr>
                <w:rFonts w:hint="eastAsia" w:ascii="Times New Roman" w:hAnsi="Times New Roman"/>
                <w:szCs w:val="21"/>
              </w:rPr>
            </w:pPr>
          </w:p>
        </w:tc>
        <w:tc>
          <w:tcPr>
            <w:tcW w:w="4225" w:type="pct"/>
            <w:noWrap w:val="0"/>
            <w:vAlign w:val="top"/>
          </w:tcPr>
          <w:p w14:paraId="28B05919">
            <w:pPr>
              <w:jc w:val="left"/>
              <w:rPr>
                <w:rFonts w:hint="eastAsia" w:ascii="Times New Roman" w:hAnsi="Times New Roman"/>
                <w:szCs w:val="21"/>
              </w:rPr>
            </w:pPr>
            <w:r>
              <w:rPr>
                <w:rFonts w:hint="eastAsia" w:ascii="Times New Roman" w:hAnsi="Times New Roman"/>
                <w:szCs w:val="21"/>
              </w:rPr>
              <w:t>2.工艺：床脚：采用ABS床脚，床面采用网布，邻苯二甲酸酯未检出，床架采用圆管烤漆制成</w:t>
            </w:r>
          </w:p>
        </w:tc>
      </w:tr>
      <w:tr w14:paraId="02DFD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333" w:type="pct"/>
            <w:vMerge w:val="restart"/>
            <w:noWrap w:val="0"/>
            <w:vAlign w:val="center"/>
          </w:tcPr>
          <w:p w14:paraId="224A245C">
            <w:pPr>
              <w:keepNext w:val="0"/>
              <w:keepLines w:val="0"/>
              <w:widowControl/>
              <w:suppressLineNumbers w:val="0"/>
              <w:jc w:val="center"/>
              <w:textAlignment w:val="center"/>
              <w:rPr>
                <w:rFonts w:hint="default" w:ascii="Times New Roman" w:hAnsi="Times New Roman"/>
                <w:szCs w:val="21"/>
                <w:lang w:val="en-US"/>
              </w:rPr>
            </w:pPr>
            <w:r>
              <w:rPr>
                <w:rFonts w:hint="eastAsia" w:ascii="Arial" w:hAnsi="Arial" w:eastAsia="宋体" w:cs="Arial"/>
                <w:i w:val="0"/>
                <w:iCs w:val="0"/>
                <w:color w:val="000000"/>
                <w:kern w:val="0"/>
                <w:sz w:val="20"/>
                <w:szCs w:val="20"/>
                <w:u w:val="none"/>
                <w:lang w:val="en-US" w:eastAsia="zh-CN" w:bidi="ar"/>
              </w:rPr>
              <w:t>31</w:t>
            </w:r>
          </w:p>
        </w:tc>
        <w:tc>
          <w:tcPr>
            <w:tcW w:w="440" w:type="pct"/>
            <w:vMerge w:val="restart"/>
            <w:noWrap w:val="0"/>
            <w:vAlign w:val="center"/>
          </w:tcPr>
          <w:p w14:paraId="6E1EAA2B">
            <w:pPr>
              <w:keepNext w:val="0"/>
              <w:keepLines w:val="0"/>
              <w:widowControl/>
              <w:suppressLineNumbers w:val="0"/>
              <w:jc w:val="center"/>
              <w:textAlignment w:val="center"/>
              <w:rPr>
                <w:rFonts w:hint="eastAsia" w:ascii="Times New Roman" w:hAnsi="Times New Roman"/>
                <w:szCs w:val="21"/>
              </w:rPr>
            </w:pPr>
            <w:r>
              <w:rPr>
                <w:rFonts w:hint="default" w:ascii="Arial" w:hAnsi="Arial" w:eastAsia="宋体" w:cs="Arial"/>
                <w:i w:val="0"/>
                <w:iCs w:val="0"/>
                <w:color w:val="000000"/>
                <w:kern w:val="0"/>
                <w:sz w:val="20"/>
                <w:szCs w:val="20"/>
                <w:u w:val="none"/>
                <w:lang w:val="en-US" w:eastAsia="zh-CN" w:bidi="ar"/>
              </w:rPr>
              <w:t>便携式儿童床架</w:t>
            </w:r>
          </w:p>
        </w:tc>
        <w:tc>
          <w:tcPr>
            <w:tcW w:w="4225" w:type="pct"/>
            <w:noWrap w:val="0"/>
            <w:vAlign w:val="center"/>
          </w:tcPr>
          <w:p w14:paraId="2F284963">
            <w:pPr>
              <w:jc w:val="left"/>
              <w:rPr>
                <w:rFonts w:hint="eastAsia" w:ascii="Times New Roman" w:hAnsi="Times New Roman"/>
                <w:szCs w:val="21"/>
              </w:rPr>
            </w:pPr>
            <w:r>
              <w:rPr>
                <w:rFonts w:hint="eastAsia" w:ascii="Times New Roman" w:hAnsi="Times New Roman"/>
                <w:szCs w:val="21"/>
              </w:rPr>
              <w:t>1.规格：常规</w:t>
            </w:r>
          </w:p>
        </w:tc>
      </w:tr>
      <w:tr w14:paraId="60C7C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3" w:type="pct"/>
            <w:vMerge w:val="continue"/>
            <w:noWrap w:val="0"/>
            <w:vAlign w:val="center"/>
          </w:tcPr>
          <w:p w14:paraId="1F79C082">
            <w:pPr>
              <w:jc w:val="center"/>
              <w:rPr>
                <w:rFonts w:ascii="Times New Roman" w:hAnsi="Times New Roman"/>
                <w:szCs w:val="21"/>
              </w:rPr>
            </w:pPr>
          </w:p>
        </w:tc>
        <w:tc>
          <w:tcPr>
            <w:tcW w:w="440" w:type="pct"/>
            <w:vMerge w:val="continue"/>
            <w:noWrap w:val="0"/>
            <w:vAlign w:val="center"/>
          </w:tcPr>
          <w:p w14:paraId="02C79BA7">
            <w:pPr>
              <w:jc w:val="center"/>
              <w:rPr>
                <w:rFonts w:hint="eastAsia" w:ascii="Times New Roman" w:hAnsi="Times New Roman"/>
                <w:szCs w:val="21"/>
              </w:rPr>
            </w:pPr>
          </w:p>
        </w:tc>
        <w:tc>
          <w:tcPr>
            <w:tcW w:w="4225" w:type="pct"/>
            <w:noWrap w:val="0"/>
            <w:vAlign w:val="top"/>
          </w:tcPr>
          <w:p w14:paraId="57540BD6">
            <w:pPr>
              <w:jc w:val="left"/>
              <w:rPr>
                <w:rFonts w:hint="eastAsia" w:ascii="Times New Roman" w:hAnsi="Times New Roman"/>
                <w:szCs w:val="21"/>
              </w:rPr>
            </w:pPr>
            <w:r>
              <w:rPr>
                <w:rFonts w:hint="eastAsia" w:ascii="Times New Roman" w:hAnsi="Times New Roman"/>
                <w:szCs w:val="21"/>
              </w:rPr>
              <w:t>2.采用钢管加工而成，成型后经过除油、磷化、抛光处理，表面喷涂户外聚酯喷沫涂料，喷涂设备采用计算机控制的静电粉末喷涂装置，粉沫回收采用小旋风和滤心，高效率、无污染。</w:t>
            </w:r>
          </w:p>
        </w:tc>
      </w:tr>
      <w:tr w14:paraId="212E8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 w:author="陈聪" w:date="2025-07-03T11:25:1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71" w:hRule="atLeast"/>
          <w:jc w:val="center"/>
          <w:trPrChange w:id="2" w:author="陈聪" w:date="2025-07-03T11:25:17Z">
            <w:trPr>
              <w:trHeight w:val="510" w:hRule="atLeast"/>
              <w:jc w:val="center"/>
            </w:trPr>
          </w:trPrChange>
        </w:trPr>
        <w:tc>
          <w:tcPr>
            <w:tcW w:w="333" w:type="pct"/>
            <w:vMerge w:val="continue"/>
            <w:noWrap w:val="0"/>
            <w:vAlign w:val="center"/>
            <w:tcPrChange w:id="3" w:author="陈聪" w:date="2025-07-03T11:25:17Z">
              <w:tcPr>
                <w:tcW w:w="333" w:type="pct"/>
                <w:vMerge w:val="continue"/>
                <w:noWrap w:val="0"/>
                <w:vAlign w:val="center"/>
              </w:tcPr>
            </w:tcPrChange>
          </w:tcPr>
          <w:p w14:paraId="0084A417">
            <w:pPr>
              <w:jc w:val="center"/>
              <w:rPr>
                <w:rFonts w:ascii="Times New Roman" w:hAnsi="Times New Roman"/>
                <w:szCs w:val="21"/>
              </w:rPr>
            </w:pPr>
          </w:p>
        </w:tc>
        <w:tc>
          <w:tcPr>
            <w:tcW w:w="440" w:type="pct"/>
            <w:vMerge w:val="continue"/>
            <w:noWrap w:val="0"/>
            <w:vAlign w:val="center"/>
            <w:tcPrChange w:id="4" w:author="陈聪" w:date="2025-07-03T11:25:17Z">
              <w:tcPr>
                <w:tcW w:w="440" w:type="pct"/>
                <w:vMerge w:val="continue"/>
                <w:noWrap w:val="0"/>
                <w:vAlign w:val="center"/>
              </w:tcPr>
            </w:tcPrChange>
          </w:tcPr>
          <w:p w14:paraId="57233AD7">
            <w:pPr>
              <w:jc w:val="center"/>
              <w:rPr>
                <w:rFonts w:hint="eastAsia" w:ascii="Times New Roman" w:hAnsi="Times New Roman"/>
                <w:szCs w:val="21"/>
              </w:rPr>
            </w:pPr>
          </w:p>
        </w:tc>
        <w:tc>
          <w:tcPr>
            <w:tcW w:w="4225" w:type="pct"/>
            <w:noWrap w:val="0"/>
            <w:vAlign w:val="top"/>
            <w:tcPrChange w:id="5" w:author="陈聪" w:date="2025-07-03T11:25:17Z">
              <w:tcPr>
                <w:tcW w:w="4225" w:type="pct"/>
                <w:noWrap w:val="0"/>
                <w:vAlign w:val="top"/>
              </w:tcPr>
            </w:tcPrChange>
          </w:tcPr>
          <w:p w14:paraId="546B6BAC">
            <w:pPr>
              <w:jc w:val="left"/>
              <w:rPr>
                <w:rFonts w:hint="eastAsia" w:ascii="Times New Roman" w:hAnsi="Times New Roman"/>
                <w:szCs w:val="21"/>
              </w:rPr>
            </w:pPr>
            <w:r>
              <w:rPr>
                <w:rFonts w:hint="eastAsia" w:ascii="Times New Roman" w:hAnsi="Times New Roman"/>
                <w:szCs w:val="21"/>
              </w:rPr>
              <w:t>3.工艺及结构：底脚带耐磨万向轮，组装后结构稳固，施加标准推力不摇晃.</w:t>
            </w:r>
          </w:p>
        </w:tc>
      </w:tr>
      <w:tr w14:paraId="4AE99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3" w:type="pct"/>
            <w:vMerge w:val="restart"/>
            <w:noWrap w:val="0"/>
            <w:vAlign w:val="center"/>
          </w:tcPr>
          <w:p w14:paraId="080707E8">
            <w:pPr>
              <w:keepNext w:val="0"/>
              <w:keepLines w:val="0"/>
              <w:widowControl/>
              <w:suppressLineNumbers w:val="0"/>
              <w:jc w:val="center"/>
              <w:textAlignment w:val="center"/>
              <w:rPr>
                <w:rFonts w:ascii="Times New Roman" w:hAnsi="Times New Roman"/>
                <w:szCs w:val="21"/>
              </w:rPr>
            </w:pPr>
            <w:r>
              <w:rPr>
                <w:rFonts w:hint="default" w:ascii="Arial" w:hAnsi="Arial" w:eastAsia="宋体" w:cs="Arial"/>
                <w:i w:val="0"/>
                <w:iCs w:val="0"/>
                <w:color w:val="000000"/>
                <w:kern w:val="0"/>
                <w:sz w:val="20"/>
                <w:szCs w:val="20"/>
                <w:u w:val="none"/>
                <w:lang w:val="en-US" w:eastAsia="zh-CN" w:bidi="ar"/>
              </w:rPr>
              <w:t xml:space="preserve">32 </w:t>
            </w:r>
          </w:p>
        </w:tc>
        <w:tc>
          <w:tcPr>
            <w:tcW w:w="440" w:type="pct"/>
            <w:vMerge w:val="restart"/>
            <w:noWrap w:val="0"/>
            <w:vAlign w:val="center"/>
          </w:tcPr>
          <w:p w14:paraId="26752B0E">
            <w:pPr>
              <w:keepNext w:val="0"/>
              <w:keepLines w:val="0"/>
              <w:widowControl/>
              <w:suppressLineNumbers w:val="0"/>
              <w:jc w:val="center"/>
              <w:textAlignment w:val="center"/>
              <w:rPr>
                <w:rFonts w:hint="default" w:ascii="Times New Roman" w:hAnsi="Times New Roman"/>
                <w:szCs w:val="21"/>
                <w:lang w:val="en-US"/>
              </w:rPr>
            </w:pPr>
            <w:r>
              <w:rPr>
                <w:rFonts w:hint="eastAsia" w:ascii="宋体" w:hAnsi="宋体" w:eastAsia="宋体" w:cs="宋体"/>
                <w:i w:val="0"/>
                <w:iCs w:val="0"/>
                <w:color w:val="auto"/>
                <w:kern w:val="0"/>
                <w:sz w:val="20"/>
                <w:szCs w:val="20"/>
                <w:u w:val="none"/>
                <w:lang w:val="en-US" w:eastAsia="zh-CN" w:bidi="ar"/>
              </w:rPr>
              <w:t>幼儿椅</w:t>
            </w:r>
          </w:p>
        </w:tc>
        <w:tc>
          <w:tcPr>
            <w:tcW w:w="4225" w:type="pct"/>
            <w:noWrap w:val="0"/>
            <w:vAlign w:val="center"/>
          </w:tcPr>
          <w:p w14:paraId="4A958D82">
            <w:pPr>
              <w:jc w:val="left"/>
              <w:rPr>
                <w:rFonts w:hint="eastAsia" w:ascii="Times New Roman" w:hAnsi="Times New Roman"/>
                <w:szCs w:val="21"/>
              </w:rPr>
            </w:pPr>
            <w:r>
              <w:rPr>
                <w:rFonts w:hint="eastAsia" w:ascii="Times New Roman" w:hAnsi="Times New Roman"/>
                <w:szCs w:val="21"/>
              </w:rPr>
              <w:t>规格：L30xW30xH53cm（±3cm）（座高27cm（±3cm））</w:t>
            </w:r>
          </w:p>
        </w:tc>
      </w:tr>
      <w:tr w14:paraId="78CC1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3" w:type="pct"/>
            <w:vMerge w:val="continue"/>
            <w:noWrap w:val="0"/>
            <w:vAlign w:val="center"/>
          </w:tcPr>
          <w:p w14:paraId="3A559A2E">
            <w:pPr>
              <w:jc w:val="center"/>
              <w:rPr>
                <w:rFonts w:ascii="Times New Roman" w:hAnsi="Times New Roman"/>
                <w:szCs w:val="21"/>
              </w:rPr>
            </w:pPr>
          </w:p>
        </w:tc>
        <w:tc>
          <w:tcPr>
            <w:tcW w:w="440" w:type="pct"/>
            <w:vMerge w:val="continue"/>
            <w:noWrap w:val="0"/>
            <w:vAlign w:val="center"/>
          </w:tcPr>
          <w:p w14:paraId="5F46EBF0">
            <w:pPr>
              <w:jc w:val="center"/>
              <w:rPr>
                <w:rFonts w:hint="eastAsia" w:ascii="Times New Roman" w:hAnsi="Times New Roman"/>
                <w:szCs w:val="21"/>
              </w:rPr>
            </w:pPr>
          </w:p>
        </w:tc>
        <w:tc>
          <w:tcPr>
            <w:tcW w:w="4225" w:type="pct"/>
            <w:noWrap w:val="0"/>
            <w:vAlign w:val="top"/>
          </w:tcPr>
          <w:p w14:paraId="6664FC6E">
            <w:pPr>
              <w:jc w:val="left"/>
              <w:rPr>
                <w:rFonts w:hint="eastAsia" w:ascii="Times New Roman" w:hAnsi="Times New Roman"/>
                <w:szCs w:val="21"/>
              </w:rPr>
            </w:pPr>
            <w:r>
              <w:rPr>
                <w:rFonts w:hint="eastAsia" w:ascii="Times New Roman" w:hAnsi="Times New Roman"/>
                <w:szCs w:val="21"/>
              </w:rPr>
              <w:t>1、工艺设计：</w:t>
            </w:r>
          </w:p>
          <w:p w14:paraId="41C2C12D">
            <w:pPr>
              <w:jc w:val="left"/>
              <w:rPr>
                <w:rFonts w:hint="eastAsia" w:ascii="Times New Roman" w:hAnsi="Times New Roman"/>
                <w:szCs w:val="21"/>
              </w:rPr>
            </w:pPr>
            <w:r>
              <w:rPr>
                <w:rFonts w:hint="eastAsia" w:ascii="Times New Roman" w:hAnsi="Times New Roman"/>
                <w:szCs w:val="21"/>
              </w:rPr>
              <w:t>（1）整体为工字框架，拆装结构，使用木梢做榫孔定位加固安装，使用二合一、自攻丝进行连接，组搭安装便捷。</w:t>
            </w:r>
          </w:p>
          <w:p w14:paraId="5003F1F0">
            <w:pPr>
              <w:jc w:val="left"/>
              <w:rPr>
                <w:rFonts w:hint="eastAsia" w:ascii="Times New Roman" w:hAnsi="Times New Roman"/>
                <w:szCs w:val="21"/>
              </w:rPr>
            </w:pPr>
            <w:r>
              <w:rPr>
                <w:rFonts w:hint="eastAsia" w:ascii="Times New Roman" w:hAnsi="Times New Roman"/>
                <w:szCs w:val="21"/>
              </w:rPr>
              <w:t xml:space="preserve">（2）背板拱桥元素造型、圆孔提手设计，兼具美观与实用。 </w:t>
            </w:r>
          </w:p>
          <w:p w14:paraId="7A8DFC19">
            <w:pPr>
              <w:jc w:val="left"/>
              <w:rPr>
                <w:rFonts w:hint="eastAsia" w:ascii="Times New Roman" w:hAnsi="Times New Roman"/>
                <w:szCs w:val="21"/>
              </w:rPr>
            </w:pPr>
            <w:r>
              <w:rPr>
                <w:rFonts w:hint="eastAsia" w:ascii="Times New Roman" w:hAnsi="Times New Roman"/>
                <w:szCs w:val="21"/>
              </w:rPr>
              <w:t>（3）所有螺丝位无毛刺不刮手，边角采用圆边/圆角处理以及安全防撞设计，最大程度的避免儿童磕碰伤害，结构稳固。</w:t>
            </w:r>
          </w:p>
        </w:tc>
      </w:tr>
      <w:tr w14:paraId="18221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3" w:type="pct"/>
            <w:vMerge w:val="continue"/>
            <w:noWrap w:val="0"/>
            <w:vAlign w:val="center"/>
          </w:tcPr>
          <w:p w14:paraId="00A82D0A">
            <w:pPr>
              <w:jc w:val="center"/>
              <w:rPr>
                <w:rFonts w:ascii="Times New Roman" w:hAnsi="Times New Roman"/>
                <w:szCs w:val="21"/>
              </w:rPr>
            </w:pPr>
          </w:p>
        </w:tc>
        <w:tc>
          <w:tcPr>
            <w:tcW w:w="440" w:type="pct"/>
            <w:vMerge w:val="continue"/>
            <w:noWrap w:val="0"/>
            <w:vAlign w:val="center"/>
          </w:tcPr>
          <w:p w14:paraId="7F5DF7F3">
            <w:pPr>
              <w:jc w:val="center"/>
              <w:rPr>
                <w:rFonts w:hint="eastAsia" w:ascii="Times New Roman" w:hAnsi="Times New Roman"/>
                <w:szCs w:val="21"/>
              </w:rPr>
            </w:pPr>
          </w:p>
        </w:tc>
        <w:tc>
          <w:tcPr>
            <w:tcW w:w="4225" w:type="pct"/>
            <w:noWrap w:val="0"/>
            <w:vAlign w:val="top"/>
          </w:tcPr>
          <w:p w14:paraId="48B73382">
            <w:pPr>
              <w:jc w:val="left"/>
              <w:rPr>
                <w:rFonts w:hint="eastAsia" w:ascii="Times New Roman" w:hAnsi="Times New Roman"/>
                <w:szCs w:val="21"/>
              </w:rPr>
            </w:pPr>
            <w:r>
              <w:rPr>
                <w:rFonts w:hint="eastAsia" w:ascii="Times New Roman" w:hAnsi="Times New Roman"/>
                <w:szCs w:val="21"/>
              </w:rPr>
              <w:t>2、外观结构及材质：</w:t>
            </w:r>
          </w:p>
          <w:p w14:paraId="7329BBFA">
            <w:pPr>
              <w:jc w:val="left"/>
              <w:rPr>
                <w:rFonts w:hint="eastAsia" w:ascii="Times New Roman" w:hAnsi="Times New Roman"/>
                <w:szCs w:val="21"/>
              </w:rPr>
            </w:pPr>
            <w:r>
              <w:rPr>
                <w:rFonts w:hint="eastAsia" w:ascii="Times New Roman" w:hAnsi="Times New Roman"/>
                <w:szCs w:val="21"/>
              </w:rPr>
              <w:t>（1）座板：采用厚度12mm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szCs w:val="21"/>
              </w:rPr>
              <w:t>的饰面实木多层板双贴橡胶木纹皮；座高:270mm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szCs w:val="21"/>
              </w:rPr>
              <w:t>；座深:270mm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szCs w:val="21"/>
              </w:rPr>
              <w:t>；座宽:290mm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szCs w:val="21"/>
              </w:rPr>
              <w:t>。</w:t>
            </w:r>
          </w:p>
          <w:p w14:paraId="70B8F97F">
            <w:pPr>
              <w:jc w:val="left"/>
              <w:rPr>
                <w:rFonts w:hint="eastAsia" w:ascii="Times New Roman" w:hAnsi="Times New Roman"/>
                <w:szCs w:val="21"/>
              </w:rPr>
            </w:pPr>
            <w:r>
              <w:rPr>
                <w:rFonts w:hint="eastAsia" w:ascii="Times New Roman" w:hAnsi="Times New Roman"/>
                <w:szCs w:val="21"/>
              </w:rPr>
              <w:t>（2）椅背：采用厚度18mm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szCs w:val="21"/>
              </w:rPr>
              <w:t>的饰面实木多层板双贴橡胶木纹皮，顶部为原木色木拱桥造型，中间椭圆提手孔设计手提便携；背板加宽，弧形修饰，使坐姿靠背更舒适。</w:t>
            </w:r>
          </w:p>
          <w:p w14:paraId="5175C15C">
            <w:pPr>
              <w:jc w:val="left"/>
              <w:rPr>
                <w:rFonts w:hint="eastAsia" w:ascii="Times New Roman" w:hAnsi="Times New Roman"/>
                <w:szCs w:val="21"/>
              </w:rPr>
            </w:pPr>
            <w:r>
              <w:rPr>
                <w:rFonts w:hint="eastAsia" w:ascii="Times New Roman" w:hAnsi="Times New Roman"/>
                <w:szCs w:val="21"/>
              </w:rPr>
              <w:t>（3）椅脚：椅脚厚度22mm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szCs w:val="21"/>
              </w:rPr>
              <w:t>、其余框架厚度18mm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szCs w:val="21"/>
              </w:rPr>
              <w:t>的橡胶木拼板，底部安装塑料脚垫，高度为H6.5mm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szCs w:val="21"/>
              </w:rPr>
              <w:t>，直径19mm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szCs w:val="21"/>
              </w:rPr>
              <w:t>，软性防滑，可有效保护地面刮花并降低噪音。</w:t>
            </w:r>
          </w:p>
          <w:p w14:paraId="499E7D32">
            <w:pPr>
              <w:jc w:val="left"/>
              <w:rPr>
                <w:rFonts w:hint="eastAsia" w:ascii="Times New Roman" w:hAnsi="Times New Roman"/>
                <w:szCs w:val="21"/>
              </w:rPr>
            </w:pPr>
            <w:r>
              <w:rPr>
                <w:rFonts w:hint="eastAsia" w:ascii="Times New Roman" w:hAnsi="Times New Roman"/>
                <w:szCs w:val="21"/>
              </w:rPr>
              <w:t>（4）产品整体采用的水性漆，全封闭涂装工艺，漆面光泽高透，颜色均匀，附着能力强，通透度高。座板及靠背采用的水性木蜡油封边，成分天然，分子机构细小，成膜牢固，密封性好。</w:t>
            </w:r>
          </w:p>
        </w:tc>
      </w:tr>
      <w:tr w14:paraId="6DD1F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3" w:type="pct"/>
            <w:vMerge w:val="restart"/>
            <w:noWrap w:val="0"/>
            <w:vAlign w:val="center"/>
          </w:tcPr>
          <w:p w14:paraId="188C2696">
            <w:pPr>
              <w:keepNext w:val="0"/>
              <w:keepLines w:val="0"/>
              <w:widowControl/>
              <w:suppressLineNumbers w:val="0"/>
              <w:jc w:val="center"/>
              <w:textAlignment w:val="center"/>
              <w:rPr>
                <w:rFonts w:ascii="Times New Roman" w:hAnsi="Times New Roman"/>
                <w:szCs w:val="21"/>
              </w:rPr>
            </w:pPr>
            <w:r>
              <w:rPr>
                <w:rFonts w:hint="default" w:ascii="Arial" w:hAnsi="Arial" w:eastAsia="宋体" w:cs="Arial"/>
                <w:i w:val="0"/>
                <w:iCs w:val="0"/>
                <w:color w:val="000000"/>
                <w:kern w:val="0"/>
                <w:sz w:val="20"/>
                <w:szCs w:val="20"/>
                <w:u w:val="none"/>
                <w:lang w:val="en-US" w:eastAsia="zh-CN" w:bidi="ar"/>
              </w:rPr>
              <w:t xml:space="preserve">33 </w:t>
            </w:r>
          </w:p>
        </w:tc>
        <w:tc>
          <w:tcPr>
            <w:tcW w:w="440" w:type="pct"/>
            <w:vMerge w:val="restart"/>
            <w:noWrap w:val="0"/>
            <w:vAlign w:val="center"/>
          </w:tcPr>
          <w:p w14:paraId="4F426AC5">
            <w:pPr>
              <w:keepNext w:val="0"/>
              <w:keepLines w:val="0"/>
              <w:widowControl/>
              <w:suppressLineNumbers w:val="0"/>
              <w:jc w:val="center"/>
              <w:textAlignment w:val="center"/>
              <w:rPr>
                <w:rFonts w:hint="default" w:ascii="Times New Roman" w:hAnsi="Times New Roman"/>
                <w:szCs w:val="21"/>
                <w:lang w:val="en-US"/>
              </w:rPr>
            </w:pPr>
            <w:r>
              <w:rPr>
                <w:rFonts w:hint="eastAsia" w:ascii="宋体" w:hAnsi="宋体" w:eastAsia="宋体" w:cs="宋体"/>
                <w:i w:val="0"/>
                <w:iCs w:val="0"/>
                <w:color w:val="auto"/>
                <w:kern w:val="0"/>
                <w:sz w:val="20"/>
                <w:szCs w:val="20"/>
                <w:u w:val="none"/>
                <w:lang w:val="en-US" w:eastAsia="zh-CN" w:bidi="ar"/>
              </w:rPr>
              <w:t>幼儿桌</w:t>
            </w:r>
          </w:p>
        </w:tc>
        <w:tc>
          <w:tcPr>
            <w:tcW w:w="4225" w:type="pct"/>
            <w:noWrap w:val="0"/>
            <w:vAlign w:val="center"/>
          </w:tcPr>
          <w:p w14:paraId="7A84A02E">
            <w:pPr>
              <w:jc w:val="left"/>
              <w:rPr>
                <w:rFonts w:hint="eastAsia" w:ascii="Times New Roman" w:hAnsi="Times New Roman"/>
                <w:szCs w:val="21"/>
              </w:rPr>
            </w:pPr>
            <w:r>
              <w:rPr>
                <w:rFonts w:hint="eastAsia" w:ascii="Times New Roman" w:hAnsi="Times New Roman"/>
                <w:szCs w:val="21"/>
              </w:rPr>
              <w:t>规格：L120xW60xH52cm（±3cm）</w:t>
            </w:r>
          </w:p>
        </w:tc>
      </w:tr>
      <w:tr w14:paraId="4777C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3" w:type="pct"/>
            <w:vMerge w:val="continue"/>
            <w:noWrap w:val="0"/>
            <w:vAlign w:val="center"/>
          </w:tcPr>
          <w:p w14:paraId="175ACAF3">
            <w:pPr>
              <w:jc w:val="center"/>
              <w:rPr>
                <w:rFonts w:ascii="Times New Roman" w:hAnsi="Times New Roman"/>
                <w:szCs w:val="21"/>
              </w:rPr>
            </w:pPr>
          </w:p>
        </w:tc>
        <w:tc>
          <w:tcPr>
            <w:tcW w:w="440" w:type="pct"/>
            <w:vMerge w:val="continue"/>
            <w:noWrap w:val="0"/>
            <w:vAlign w:val="center"/>
          </w:tcPr>
          <w:p w14:paraId="21F64EBE">
            <w:pPr>
              <w:jc w:val="center"/>
              <w:rPr>
                <w:rFonts w:hint="eastAsia" w:ascii="Times New Roman" w:hAnsi="Times New Roman"/>
                <w:szCs w:val="21"/>
              </w:rPr>
            </w:pPr>
          </w:p>
        </w:tc>
        <w:tc>
          <w:tcPr>
            <w:tcW w:w="4225" w:type="pct"/>
            <w:noWrap w:val="0"/>
            <w:vAlign w:val="top"/>
          </w:tcPr>
          <w:p w14:paraId="4A750B75">
            <w:pPr>
              <w:jc w:val="left"/>
              <w:rPr>
                <w:rFonts w:hint="eastAsia" w:ascii="Times New Roman" w:hAnsi="Times New Roman"/>
                <w:szCs w:val="21"/>
              </w:rPr>
            </w:pPr>
            <w:r>
              <w:rPr>
                <w:rFonts w:hint="eastAsia" w:ascii="Times New Roman" w:hAnsi="Times New Roman"/>
                <w:szCs w:val="21"/>
              </w:rPr>
              <w:t>1、工艺设计：</w:t>
            </w:r>
          </w:p>
          <w:p w14:paraId="27112111">
            <w:pPr>
              <w:jc w:val="left"/>
              <w:rPr>
                <w:rFonts w:hint="eastAsia" w:ascii="Times New Roman" w:hAnsi="Times New Roman"/>
                <w:szCs w:val="21"/>
              </w:rPr>
            </w:pPr>
            <w:r>
              <w:rPr>
                <w:rFonts w:hint="eastAsia" w:ascii="Times New Roman" w:hAnsi="Times New Roman"/>
                <w:szCs w:val="21"/>
              </w:rPr>
              <w:t>（1）采用立水工艺，结构支撑性强，防止桌面下沉。</w:t>
            </w:r>
          </w:p>
          <w:p w14:paraId="2681F76F">
            <w:pPr>
              <w:jc w:val="left"/>
              <w:rPr>
                <w:rFonts w:hint="eastAsia" w:ascii="Times New Roman" w:hAnsi="Times New Roman"/>
                <w:szCs w:val="21"/>
              </w:rPr>
            </w:pPr>
            <w:r>
              <w:rPr>
                <w:rFonts w:hint="eastAsia" w:ascii="Times New Roman" w:hAnsi="Times New Roman"/>
                <w:szCs w:val="21"/>
              </w:rPr>
              <w:t>（2）所有螺丝位无毛刺不刮手，桌角及边沿采用圆角/圆边处理以及安全防撞设计，最大程度的避免儿童磕碰伤害，结构稳固。</w:t>
            </w:r>
          </w:p>
        </w:tc>
      </w:tr>
      <w:tr w14:paraId="15E85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3" w:type="pct"/>
            <w:vMerge w:val="continue"/>
            <w:noWrap w:val="0"/>
            <w:vAlign w:val="center"/>
          </w:tcPr>
          <w:p w14:paraId="6B11C013">
            <w:pPr>
              <w:jc w:val="center"/>
              <w:rPr>
                <w:rFonts w:ascii="Times New Roman" w:hAnsi="Times New Roman"/>
                <w:szCs w:val="21"/>
              </w:rPr>
            </w:pPr>
          </w:p>
        </w:tc>
        <w:tc>
          <w:tcPr>
            <w:tcW w:w="440" w:type="pct"/>
            <w:vMerge w:val="continue"/>
            <w:noWrap w:val="0"/>
            <w:vAlign w:val="center"/>
          </w:tcPr>
          <w:p w14:paraId="278CEFC7">
            <w:pPr>
              <w:jc w:val="center"/>
              <w:rPr>
                <w:rFonts w:hint="eastAsia" w:ascii="Times New Roman" w:hAnsi="Times New Roman"/>
                <w:szCs w:val="21"/>
              </w:rPr>
            </w:pPr>
          </w:p>
        </w:tc>
        <w:tc>
          <w:tcPr>
            <w:tcW w:w="4225" w:type="pct"/>
            <w:noWrap w:val="0"/>
            <w:vAlign w:val="top"/>
          </w:tcPr>
          <w:p w14:paraId="31128CF2">
            <w:pPr>
              <w:jc w:val="left"/>
              <w:rPr>
                <w:rFonts w:hint="eastAsia" w:ascii="Times New Roman" w:hAnsi="Times New Roman"/>
                <w:szCs w:val="21"/>
              </w:rPr>
            </w:pPr>
            <w:r>
              <w:rPr>
                <w:rFonts w:hint="eastAsia" w:ascii="Times New Roman" w:hAnsi="Times New Roman"/>
                <w:szCs w:val="21"/>
              </w:rPr>
              <w:t>2、外观结构及材质：</w:t>
            </w:r>
          </w:p>
          <w:p w14:paraId="34FB1DE4">
            <w:pPr>
              <w:jc w:val="left"/>
              <w:rPr>
                <w:rFonts w:hint="eastAsia" w:ascii="Times New Roman" w:hAnsi="Times New Roman"/>
                <w:szCs w:val="21"/>
              </w:rPr>
            </w:pPr>
            <w:r>
              <w:rPr>
                <w:rFonts w:hint="eastAsia" w:ascii="Times New Roman" w:hAnsi="Times New Roman"/>
                <w:szCs w:val="21"/>
              </w:rPr>
              <w:t>（1）桌面：采用厚度30mm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szCs w:val="21"/>
              </w:rPr>
              <w:t>的橡胶木拼板搭配防火板贴面加工而成，耐刮耐磨，长时间使用不褪色、不容易开裂；长立水尺寸：L1062xW60xH18mm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szCs w:val="21"/>
              </w:rPr>
              <w:t>，短立水尺寸：L462xW60xH18mm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szCs w:val="21"/>
              </w:rPr>
              <w:t>。</w:t>
            </w:r>
          </w:p>
          <w:p w14:paraId="207D4FA1">
            <w:pPr>
              <w:jc w:val="left"/>
              <w:rPr>
                <w:rFonts w:hint="eastAsia" w:ascii="Times New Roman" w:hAnsi="Times New Roman"/>
                <w:szCs w:val="21"/>
              </w:rPr>
            </w:pPr>
            <w:r>
              <w:rPr>
                <w:rFonts w:hint="eastAsia" w:ascii="Times New Roman" w:hAnsi="Times New Roman"/>
                <w:szCs w:val="21"/>
              </w:rPr>
              <w:t>（2）桌脚：采橡胶木实木，厚实纹路清晰，边沿均采用圆边处理；底部安装塑料脚垫，软性防滑，可有效保护地面刮花并降低噪音。</w:t>
            </w:r>
          </w:p>
          <w:p w14:paraId="45B33857">
            <w:pPr>
              <w:jc w:val="left"/>
              <w:rPr>
                <w:rFonts w:hint="eastAsia" w:ascii="Times New Roman" w:hAnsi="Times New Roman"/>
                <w:szCs w:val="21"/>
              </w:rPr>
            </w:pPr>
            <w:r>
              <w:rPr>
                <w:rFonts w:hint="eastAsia" w:ascii="Times New Roman" w:hAnsi="Times New Roman"/>
                <w:szCs w:val="21"/>
              </w:rPr>
              <w:t>（3）产品整体采用的水性漆，全封闭涂装工艺，漆面光泽高透，颜色均匀，附着能力强，通透度高。桌面封边采用的水性木蜡油封边，成分天然，分子机构细小，成膜牢固，密封性好。</w:t>
            </w:r>
          </w:p>
        </w:tc>
      </w:tr>
      <w:tr w14:paraId="341C5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3" w:type="pct"/>
            <w:vMerge w:val="restart"/>
            <w:noWrap w:val="0"/>
            <w:vAlign w:val="center"/>
          </w:tcPr>
          <w:p w14:paraId="1AA100EA">
            <w:pPr>
              <w:keepNext w:val="0"/>
              <w:keepLines w:val="0"/>
              <w:widowControl/>
              <w:suppressLineNumbers w:val="0"/>
              <w:jc w:val="center"/>
              <w:textAlignment w:val="center"/>
              <w:rPr>
                <w:rFonts w:ascii="Times New Roman" w:hAnsi="Times New Roman"/>
                <w:szCs w:val="21"/>
              </w:rPr>
            </w:pPr>
            <w:r>
              <w:rPr>
                <w:rFonts w:hint="default" w:ascii="Arial" w:hAnsi="Arial" w:eastAsia="宋体" w:cs="Arial"/>
                <w:i w:val="0"/>
                <w:iCs w:val="0"/>
                <w:color w:val="000000"/>
                <w:kern w:val="0"/>
                <w:sz w:val="20"/>
                <w:szCs w:val="20"/>
                <w:u w:val="none"/>
                <w:lang w:val="en-US" w:eastAsia="zh-CN" w:bidi="ar"/>
              </w:rPr>
              <w:t xml:space="preserve">34 </w:t>
            </w:r>
          </w:p>
        </w:tc>
        <w:tc>
          <w:tcPr>
            <w:tcW w:w="440" w:type="pct"/>
            <w:vMerge w:val="restart"/>
            <w:noWrap w:val="0"/>
            <w:vAlign w:val="center"/>
          </w:tcPr>
          <w:p w14:paraId="7BA6A7A7">
            <w:pPr>
              <w:keepNext w:val="0"/>
              <w:keepLines w:val="0"/>
              <w:widowControl/>
              <w:suppressLineNumbers w:val="0"/>
              <w:jc w:val="center"/>
              <w:textAlignment w:val="center"/>
              <w:rPr>
                <w:rFonts w:hint="eastAsia" w:ascii="Times New Roman" w:hAnsi="Times New Roman"/>
                <w:szCs w:val="21"/>
              </w:rPr>
            </w:pPr>
            <w:r>
              <w:rPr>
                <w:rFonts w:hint="eastAsia" w:ascii="宋体" w:hAnsi="宋体" w:eastAsia="宋体" w:cs="宋体"/>
                <w:i w:val="0"/>
                <w:iCs w:val="0"/>
                <w:color w:val="000000"/>
                <w:kern w:val="0"/>
                <w:sz w:val="20"/>
                <w:szCs w:val="20"/>
                <w:u w:val="none"/>
                <w:lang w:val="en-US" w:eastAsia="zh-CN" w:bidi="ar"/>
              </w:rPr>
              <w:t>4人桌</w:t>
            </w:r>
          </w:p>
        </w:tc>
        <w:tc>
          <w:tcPr>
            <w:tcW w:w="4225" w:type="pct"/>
            <w:noWrap w:val="0"/>
            <w:vAlign w:val="center"/>
          </w:tcPr>
          <w:p w14:paraId="0853D365">
            <w:pPr>
              <w:jc w:val="left"/>
              <w:rPr>
                <w:rFonts w:hint="eastAsia" w:ascii="Times New Roman" w:hAnsi="Times New Roman"/>
                <w:szCs w:val="21"/>
              </w:rPr>
            </w:pPr>
            <w:r>
              <w:rPr>
                <w:rFonts w:hint="eastAsia" w:ascii="Times New Roman" w:hAnsi="Times New Roman"/>
                <w:szCs w:val="21"/>
              </w:rPr>
              <w:t>规格：L60xW60xH52cm（±3cm）</w:t>
            </w:r>
          </w:p>
        </w:tc>
      </w:tr>
      <w:tr w14:paraId="720BF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3" w:type="pct"/>
            <w:vMerge w:val="continue"/>
            <w:noWrap w:val="0"/>
            <w:vAlign w:val="center"/>
          </w:tcPr>
          <w:p w14:paraId="009721D8">
            <w:pPr>
              <w:jc w:val="center"/>
              <w:rPr>
                <w:rFonts w:ascii="Times New Roman" w:hAnsi="Times New Roman"/>
                <w:szCs w:val="21"/>
              </w:rPr>
            </w:pPr>
          </w:p>
        </w:tc>
        <w:tc>
          <w:tcPr>
            <w:tcW w:w="440" w:type="pct"/>
            <w:vMerge w:val="continue"/>
            <w:noWrap w:val="0"/>
            <w:vAlign w:val="center"/>
          </w:tcPr>
          <w:p w14:paraId="05DA6666">
            <w:pPr>
              <w:jc w:val="center"/>
              <w:rPr>
                <w:rFonts w:hint="eastAsia" w:ascii="Times New Roman" w:hAnsi="Times New Roman"/>
                <w:szCs w:val="21"/>
              </w:rPr>
            </w:pPr>
          </w:p>
        </w:tc>
        <w:tc>
          <w:tcPr>
            <w:tcW w:w="4225" w:type="pct"/>
            <w:noWrap w:val="0"/>
            <w:vAlign w:val="top"/>
          </w:tcPr>
          <w:p w14:paraId="0AC0260E">
            <w:pPr>
              <w:jc w:val="left"/>
              <w:rPr>
                <w:rFonts w:hint="eastAsia" w:ascii="Times New Roman" w:hAnsi="Times New Roman"/>
                <w:szCs w:val="21"/>
              </w:rPr>
            </w:pPr>
            <w:r>
              <w:rPr>
                <w:rFonts w:hint="eastAsia" w:ascii="Times New Roman" w:hAnsi="Times New Roman"/>
                <w:szCs w:val="21"/>
              </w:rPr>
              <w:t>1、工艺设计：</w:t>
            </w:r>
          </w:p>
          <w:p w14:paraId="74E1CFDB">
            <w:pPr>
              <w:jc w:val="left"/>
              <w:rPr>
                <w:rFonts w:hint="eastAsia" w:ascii="Times New Roman" w:hAnsi="Times New Roman"/>
                <w:szCs w:val="21"/>
              </w:rPr>
            </w:pPr>
            <w:r>
              <w:rPr>
                <w:rFonts w:hint="eastAsia" w:ascii="Times New Roman" w:hAnsi="Times New Roman"/>
                <w:szCs w:val="21"/>
              </w:rPr>
              <w:t>（1）采用立水工艺，结构支撑性强，防止桌面下沉。</w:t>
            </w:r>
          </w:p>
          <w:p w14:paraId="7305E946">
            <w:pPr>
              <w:jc w:val="left"/>
              <w:rPr>
                <w:rFonts w:hint="eastAsia" w:ascii="Times New Roman" w:hAnsi="Times New Roman"/>
                <w:szCs w:val="21"/>
              </w:rPr>
            </w:pPr>
            <w:r>
              <w:rPr>
                <w:rFonts w:hint="eastAsia" w:ascii="Times New Roman" w:hAnsi="Times New Roman"/>
                <w:szCs w:val="21"/>
              </w:rPr>
              <w:t>（2）所有螺丝位无毛刺不刮手，桌角及边沿采用圆角/圆边处理以及安全防撞设计，最大程度的避免儿童磕碰伤害，结构稳固。</w:t>
            </w:r>
          </w:p>
        </w:tc>
      </w:tr>
      <w:tr w14:paraId="37F67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3" w:type="pct"/>
            <w:vMerge w:val="continue"/>
            <w:noWrap w:val="0"/>
            <w:vAlign w:val="center"/>
          </w:tcPr>
          <w:p w14:paraId="43B511B0">
            <w:pPr>
              <w:jc w:val="center"/>
              <w:rPr>
                <w:rFonts w:ascii="Times New Roman" w:hAnsi="Times New Roman"/>
                <w:szCs w:val="21"/>
              </w:rPr>
            </w:pPr>
          </w:p>
        </w:tc>
        <w:tc>
          <w:tcPr>
            <w:tcW w:w="440" w:type="pct"/>
            <w:vMerge w:val="continue"/>
            <w:noWrap w:val="0"/>
            <w:vAlign w:val="center"/>
          </w:tcPr>
          <w:p w14:paraId="64120A9A">
            <w:pPr>
              <w:jc w:val="center"/>
              <w:rPr>
                <w:rFonts w:hint="eastAsia" w:ascii="Times New Roman" w:hAnsi="Times New Roman"/>
                <w:szCs w:val="21"/>
              </w:rPr>
            </w:pPr>
          </w:p>
        </w:tc>
        <w:tc>
          <w:tcPr>
            <w:tcW w:w="4225" w:type="pct"/>
            <w:noWrap w:val="0"/>
            <w:vAlign w:val="top"/>
          </w:tcPr>
          <w:p w14:paraId="16B15307">
            <w:pPr>
              <w:jc w:val="left"/>
              <w:rPr>
                <w:rFonts w:hint="eastAsia" w:ascii="Times New Roman" w:hAnsi="Times New Roman"/>
                <w:szCs w:val="21"/>
              </w:rPr>
            </w:pPr>
            <w:r>
              <w:rPr>
                <w:rFonts w:hint="eastAsia" w:ascii="Times New Roman" w:hAnsi="Times New Roman"/>
                <w:szCs w:val="21"/>
              </w:rPr>
              <w:t>2、外观结构及材质：</w:t>
            </w:r>
          </w:p>
          <w:p w14:paraId="7FD1E4F9">
            <w:pPr>
              <w:jc w:val="left"/>
              <w:rPr>
                <w:rFonts w:hint="eastAsia" w:ascii="Times New Roman" w:hAnsi="Times New Roman"/>
                <w:szCs w:val="21"/>
              </w:rPr>
            </w:pPr>
            <w:r>
              <w:rPr>
                <w:rFonts w:hint="eastAsia" w:ascii="Times New Roman" w:hAnsi="Times New Roman"/>
                <w:szCs w:val="21"/>
              </w:rPr>
              <w:t>（1）桌面：采用厚度30mm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szCs w:val="21"/>
              </w:rPr>
              <w:t>的橡胶木拼板搭配防火板贴面加工而成，耐刮耐磨，长时间使用不褪色、不容易开裂；立水尺寸L462xW60xH18mm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szCs w:val="21"/>
              </w:rPr>
              <w:t>结构稳固。</w:t>
            </w:r>
          </w:p>
          <w:p w14:paraId="4D7FB8B0">
            <w:pPr>
              <w:jc w:val="left"/>
              <w:rPr>
                <w:rFonts w:hint="eastAsia" w:ascii="Times New Roman" w:hAnsi="Times New Roman"/>
                <w:szCs w:val="21"/>
              </w:rPr>
            </w:pPr>
            <w:r>
              <w:rPr>
                <w:rFonts w:hint="eastAsia" w:ascii="Times New Roman" w:hAnsi="Times New Roman"/>
                <w:szCs w:val="21"/>
              </w:rPr>
              <w:t>（2）桌脚：采橡胶木实木，厚实纹路清晰，边沿均采用圆边处理；底部安装塑料脚垫，软性防滑，可有效保护地面刮花并降低噪音。</w:t>
            </w:r>
          </w:p>
          <w:p w14:paraId="196CEC9E">
            <w:pPr>
              <w:jc w:val="left"/>
              <w:rPr>
                <w:rFonts w:hint="eastAsia" w:ascii="Times New Roman" w:hAnsi="Times New Roman"/>
                <w:szCs w:val="21"/>
              </w:rPr>
            </w:pPr>
            <w:r>
              <w:rPr>
                <w:rFonts w:hint="eastAsia" w:ascii="Times New Roman" w:hAnsi="Times New Roman"/>
                <w:szCs w:val="21"/>
              </w:rPr>
              <w:t>（3）产品整体采用的水性漆，全封闭涂装工艺，漆面光泽高透，颜色均匀，附着能力强，通透度高。桌面封边采用的水性木蜡油封边，成分天然，分子机构细小，成膜牢固，密封性好。</w:t>
            </w:r>
          </w:p>
        </w:tc>
      </w:tr>
      <w:tr w14:paraId="0814E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3" w:type="pct"/>
            <w:vMerge w:val="restart"/>
            <w:noWrap w:val="0"/>
            <w:vAlign w:val="center"/>
          </w:tcPr>
          <w:p w14:paraId="0CC978BB">
            <w:pPr>
              <w:keepNext w:val="0"/>
              <w:keepLines w:val="0"/>
              <w:widowControl/>
              <w:suppressLineNumbers w:val="0"/>
              <w:jc w:val="center"/>
              <w:textAlignment w:val="center"/>
              <w:rPr>
                <w:rFonts w:ascii="Times New Roman" w:hAnsi="Times New Roman"/>
                <w:szCs w:val="21"/>
              </w:rPr>
            </w:pPr>
            <w:r>
              <w:rPr>
                <w:rFonts w:hint="default" w:ascii="Arial" w:hAnsi="Arial" w:eastAsia="宋体" w:cs="Arial"/>
                <w:i w:val="0"/>
                <w:iCs w:val="0"/>
                <w:color w:val="000000"/>
                <w:kern w:val="0"/>
                <w:sz w:val="20"/>
                <w:szCs w:val="20"/>
                <w:u w:val="none"/>
                <w:lang w:val="en-US" w:eastAsia="zh-CN" w:bidi="ar"/>
              </w:rPr>
              <w:t xml:space="preserve">35 </w:t>
            </w:r>
          </w:p>
        </w:tc>
        <w:tc>
          <w:tcPr>
            <w:tcW w:w="440" w:type="pct"/>
            <w:vMerge w:val="restart"/>
            <w:noWrap w:val="0"/>
            <w:vAlign w:val="center"/>
          </w:tcPr>
          <w:p w14:paraId="1F616A6E">
            <w:pPr>
              <w:keepNext w:val="0"/>
              <w:keepLines w:val="0"/>
              <w:widowControl/>
              <w:suppressLineNumbers w:val="0"/>
              <w:jc w:val="center"/>
              <w:textAlignment w:val="center"/>
              <w:rPr>
                <w:rFonts w:hint="eastAsia" w:ascii="Times New Roman" w:hAnsi="Times New Roman"/>
                <w:szCs w:val="21"/>
              </w:rPr>
            </w:pPr>
            <w:r>
              <w:rPr>
                <w:rFonts w:hint="eastAsia" w:ascii="宋体" w:hAnsi="宋体" w:eastAsia="宋体" w:cs="宋体"/>
                <w:i w:val="0"/>
                <w:iCs w:val="0"/>
                <w:color w:val="000000"/>
                <w:kern w:val="0"/>
                <w:sz w:val="20"/>
                <w:szCs w:val="20"/>
                <w:u w:val="none"/>
                <w:lang w:val="en-US" w:eastAsia="zh-CN" w:bidi="ar"/>
              </w:rPr>
              <w:t>圆桌</w:t>
            </w:r>
          </w:p>
        </w:tc>
        <w:tc>
          <w:tcPr>
            <w:tcW w:w="4225" w:type="pct"/>
            <w:noWrap w:val="0"/>
            <w:vAlign w:val="center"/>
          </w:tcPr>
          <w:p w14:paraId="1AAFC633">
            <w:pPr>
              <w:jc w:val="left"/>
              <w:rPr>
                <w:rFonts w:hint="default" w:ascii="Times New Roman" w:hAnsi="Times New Roman" w:eastAsia="宋体"/>
                <w:szCs w:val="21"/>
                <w:lang w:val="en-US" w:eastAsia="zh-CN"/>
              </w:rPr>
            </w:pPr>
            <w:r>
              <w:rPr>
                <w:rFonts w:hint="eastAsia" w:ascii="Times New Roman" w:hAnsi="Times New Roman"/>
                <w:szCs w:val="21"/>
                <w:lang w:val="en-US" w:eastAsia="zh-CN"/>
              </w:rPr>
              <w:t xml:space="preserve">  规格：Φ80xH52cm（±3cm）</w:t>
            </w:r>
          </w:p>
        </w:tc>
      </w:tr>
      <w:tr w14:paraId="2BFA8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3" w:type="pct"/>
            <w:vMerge w:val="continue"/>
            <w:noWrap w:val="0"/>
            <w:vAlign w:val="center"/>
          </w:tcPr>
          <w:p w14:paraId="799E8ACB">
            <w:pPr>
              <w:jc w:val="center"/>
              <w:rPr>
                <w:rFonts w:ascii="Times New Roman" w:hAnsi="Times New Roman"/>
                <w:szCs w:val="21"/>
              </w:rPr>
            </w:pPr>
          </w:p>
        </w:tc>
        <w:tc>
          <w:tcPr>
            <w:tcW w:w="440" w:type="pct"/>
            <w:vMerge w:val="continue"/>
            <w:noWrap w:val="0"/>
            <w:vAlign w:val="center"/>
          </w:tcPr>
          <w:p w14:paraId="3D12302E">
            <w:pPr>
              <w:jc w:val="center"/>
              <w:rPr>
                <w:rFonts w:hint="eastAsia" w:ascii="Times New Roman" w:hAnsi="Times New Roman"/>
                <w:szCs w:val="21"/>
              </w:rPr>
            </w:pPr>
          </w:p>
        </w:tc>
        <w:tc>
          <w:tcPr>
            <w:tcW w:w="4225" w:type="pct"/>
            <w:noWrap w:val="0"/>
            <w:vAlign w:val="top"/>
          </w:tcPr>
          <w:p w14:paraId="3C66B61B">
            <w:pPr>
              <w:jc w:val="left"/>
              <w:rPr>
                <w:rFonts w:hint="eastAsia" w:ascii="Times New Roman" w:hAnsi="Times New Roman"/>
                <w:szCs w:val="21"/>
                <w:lang w:val="en-US" w:eastAsia="zh-CN"/>
              </w:rPr>
            </w:pPr>
            <w:r>
              <w:rPr>
                <w:rFonts w:hint="eastAsia" w:ascii="Times New Roman" w:hAnsi="Times New Roman"/>
                <w:szCs w:val="21"/>
                <w:lang w:val="en-US" w:eastAsia="zh-CN"/>
              </w:rPr>
              <w:t>1、工艺设计：</w:t>
            </w:r>
          </w:p>
          <w:p w14:paraId="2DFF9DD0">
            <w:pPr>
              <w:jc w:val="left"/>
              <w:rPr>
                <w:rFonts w:hint="eastAsia" w:ascii="Times New Roman" w:hAnsi="Times New Roman"/>
                <w:szCs w:val="21"/>
                <w:lang w:val="en-US" w:eastAsia="zh-CN"/>
              </w:rPr>
            </w:pPr>
            <w:r>
              <w:rPr>
                <w:rFonts w:hint="eastAsia" w:ascii="Times New Roman" w:hAnsi="Times New Roman"/>
                <w:szCs w:val="21"/>
                <w:lang w:val="en-US" w:eastAsia="zh-CN"/>
              </w:rPr>
              <w:t>（1）采用立水工艺，结构支撑性强，防止桌面下沉。</w:t>
            </w:r>
          </w:p>
          <w:p w14:paraId="2C6F7CE3">
            <w:pPr>
              <w:jc w:val="left"/>
              <w:rPr>
                <w:rFonts w:hint="eastAsia" w:ascii="Times New Roman" w:hAnsi="Times New Roman"/>
                <w:szCs w:val="21"/>
              </w:rPr>
            </w:pPr>
            <w:r>
              <w:rPr>
                <w:rFonts w:hint="eastAsia" w:ascii="Times New Roman" w:hAnsi="Times New Roman"/>
                <w:szCs w:val="21"/>
                <w:lang w:val="en-US" w:eastAsia="zh-CN"/>
              </w:rPr>
              <w:t>（2）所有螺丝位无毛刺不刮手，桌角及边沿采用圆角/圆边处理以及安全防撞设计，最大程度的避免儿童磕碰伤害，结构稳固。</w:t>
            </w:r>
          </w:p>
        </w:tc>
      </w:tr>
      <w:tr w14:paraId="58EB4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3" w:type="pct"/>
            <w:vMerge w:val="continue"/>
            <w:noWrap w:val="0"/>
            <w:vAlign w:val="center"/>
          </w:tcPr>
          <w:p w14:paraId="4B2D5586">
            <w:pPr>
              <w:jc w:val="center"/>
              <w:rPr>
                <w:rFonts w:ascii="Times New Roman" w:hAnsi="Times New Roman"/>
                <w:szCs w:val="21"/>
              </w:rPr>
            </w:pPr>
          </w:p>
        </w:tc>
        <w:tc>
          <w:tcPr>
            <w:tcW w:w="440" w:type="pct"/>
            <w:vMerge w:val="continue"/>
            <w:noWrap w:val="0"/>
            <w:vAlign w:val="center"/>
          </w:tcPr>
          <w:p w14:paraId="118CEEFB">
            <w:pPr>
              <w:jc w:val="center"/>
              <w:rPr>
                <w:rFonts w:hint="eastAsia" w:ascii="Times New Roman" w:hAnsi="Times New Roman"/>
                <w:szCs w:val="21"/>
              </w:rPr>
            </w:pPr>
          </w:p>
        </w:tc>
        <w:tc>
          <w:tcPr>
            <w:tcW w:w="4225" w:type="pct"/>
            <w:noWrap w:val="0"/>
            <w:vAlign w:val="top"/>
          </w:tcPr>
          <w:p w14:paraId="5E88D0C2">
            <w:pPr>
              <w:jc w:val="left"/>
              <w:rPr>
                <w:rFonts w:hint="eastAsia" w:ascii="Times New Roman" w:hAnsi="Times New Roman"/>
                <w:szCs w:val="21"/>
                <w:lang w:val="en-US" w:eastAsia="zh-CN"/>
              </w:rPr>
            </w:pPr>
            <w:r>
              <w:rPr>
                <w:rFonts w:hint="eastAsia" w:ascii="Times New Roman" w:hAnsi="Times New Roman"/>
                <w:szCs w:val="21"/>
                <w:lang w:val="en-US" w:eastAsia="zh-CN"/>
              </w:rPr>
              <w:t>2、外观结构及材质：</w:t>
            </w:r>
          </w:p>
          <w:p w14:paraId="6739EA8E">
            <w:pPr>
              <w:jc w:val="left"/>
              <w:rPr>
                <w:rFonts w:hint="eastAsia" w:ascii="Times New Roman" w:hAnsi="Times New Roman"/>
                <w:szCs w:val="21"/>
                <w:lang w:val="en-US" w:eastAsia="zh-CN"/>
              </w:rPr>
            </w:pPr>
            <w:r>
              <w:rPr>
                <w:rFonts w:hint="eastAsia" w:ascii="Times New Roman" w:hAnsi="Times New Roman"/>
                <w:szCs w:val="21"/>
                <w:lang w:val="en-US" w:eastAsia="zh-CN"/>
              </w:rPr>
              <w:t>（1）桌面：采用厚度30mm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szCs w:val="21"/>
                <w:lang w:val="en-US" w:eastAsia="zh-CN"/>
              </w:rPr>
              <w:t>的橡胶木拼板搭配防火板贴面加工而成，耐刮耐磨，长时间使用不褪色、不容易开裂；立水尺寸L462xW60xH18mm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szCs w:val="21"/>
                <w:lang w:val="en-US" w:eastAsia="zh-CN"/>
              </w:rPr>
              <w:t>结构稳固。</w:t>
            </w:r>
          </w:p>
          <w:p w14:paraId="6930B5A6">
            <w:pPr>
              <w:jc w:val="left"/>
              <w:rPr>
                <w:rFonts w:hint="eastAsia" w:ascii="Times New Roman" w:hAnsi="Times New Roman"/>
                <w:szCs w:val="21"/>
                <w:lang w:val="en-US" w:eastAsia="zh-CN"/>
              </w:rPr>
            </w:pPr>
            <w:r>
              <w:rPr>
                <w:rFonts w:hint="eastAsia" w:ascii="Times New Roman" w:hAnsi="Times New Roman"/>
                <w:szCs w:val="21"/>
                <w:lang w:val="en-US" w:eastAsia="zh-CN"/>
              </w:rPr>
              <w:t>（2）桌脚：采橡胶木实木，厚实纹路清晰，边沿均采用圆边处理；底部安装塑料脚垫，软性防滑，可有效保护地面刮花并降低噪音。</w:t>
            </w:r>
          </w:p>
          <w:p w14:paraId="5D09B7E5">
            <w:pPr>
              <w:jc w:val="left"/>
              <w:rPr>
                <w:rFonts w:hint="eastAsia" w:ascii="Times New Roman" w:hAnsi="Times New Roman"/>
                <w:szCs w:val="21"/>
              </w:rPr>
            </w:pPr>
            <w:r>
              <w:rPr>
                <w:rFonts w:hint="eastAsia" w:ascii="Times New Roman" w:hAnsi="Times New Roman"/>
                <w:szCs w:val="21"/>
                <w:lang w:val="en-US" w:eastAsia="zh-CN"/>
              </w:rPr>
              <w:t>（3）产品整体采用的水性漆，全封闭涂装工艺，漆面光泽高透，颜色均匀，附着能力强，通透度高。桌面封边采用的水性木蜡油封边，成分天然，分子机构细小，成膜牢固，密封性好。</w:t>
            </w:r>
          </w:p>
        </w:tc>
      </w:tr>
      <w:tr w14:paraId="7959C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3" w:type="pct"/>
            <w:vMerge w:val="restart"/>
            <w:noWrap w:val="0"/>
            <w:vAlign w:val="center"/>
          </w:tcPr>
          <w:p w14:paraId="3849AC0B">
            <w:pPr>
              <w:keepNext w:val="0"/>
              <w:keepLines w:val="0"/>
              <w:widowControl/>
              <w:suppressLineNumbers w:val="0"/>
              <w:jc w:val="center"/>
              <w:textAlignment w:val="center"/>
              <w:rPr>
                <w:rFonts w:ascii="Times New Roman" w:hAnsi="Times New Roman"/>
                <w:szCs w:val="21"/>
              </w:rPr>
            </w:pPr>
            <w:r>
              <w:rPr>
                <w:rFonts w:hint="default" w:ascii="Arial" w:hAnsi="Arial" w:eastAsia="宋体" w:cs="Arial"/>
                <w:i w:val="0"/>
                <w:iCs w:val="0"/>
                <w:color w:val="000000"/>
                <w:kern w:val="0"/>
                <w:sz w:val="20"/>
                <w:szCs w:val="20"/>
                <w:u w:val="none"/>
                <w:lang w:val="en-US" w:eastAsia="zh-CN" w:bidi="ar"/>
              </w:rPr>
              <w:t xml:space="preserve">36 </w:t>
            </w:r>
          </w:p>
        </w:tc>
        <w:tc>
          <w:tcPr>
            <w:tcW w:w="440" w:type="pct"/>
            <w:vMerge w:val="restart"/>
            <w:noWrap w:val="0"/>
            <w:vAlign w:val="center"/>
          </w:tcPr>
          <w:p w14:paraId="3E6F5525">
            <w:pPr>
              <w:keepNext w:val="0"/>
              <w:keepLines w:val="0"/>
              <w:widowControl/>
              <w:suppressLineNumbers w:val="0"/>
              <w:jc w:val="center"/>
              <w:textAlignment w:val="center"/>
              <w:rPr>
                <w:rFonts w:hint="eastAsia" w:ascii="Times New Roman" w:hAnsi="Times New Roman"/>
                <w:szCs w:val="21"/>
              </w:rPr>
            </w:pPr>
            <w:r>
              <w:rPr>
                <w:rFonts w:hint="eastAsia" w:ascii="宋体" w:hAnsi="宋体" w:eastAsia="宋体" w:cs="宋体"/>
                <w:i w:val="0"/>
                <w:iCs w:val="0"/>
                <w:color w:val="000000"/>
                <w:kern w:val="0"/>
                <w:sz w:val="20"/>
                <w:szCs w:val="20"/>
                <w:u w:val="none"/>
                <w:lang w:val="en-US" w:eastAsia="zh-CN" w:bidi="ar"/>
              </w:rPr>
              <w:t>一体成型椅</w:t>
            </w:r>
          </w:p>
        </w:tc>
        <w:tc>
          <w:tcPr>
            <w:tcW w:w="4225" w:type="pct"/>
            <w:noWrap w:val="0"/>
            <w:vAlign w:val="center"/>
          </w:tcPr>
          <w:p w14:paraId="5A77E1FD">
            <w:pPr>
              <w:jc w:val="left"/>
              <w:rPr>
                <w:rFonts w:hint="eastAsia" w:ascii="Times New Roman" w:hAnsi="Times New Roman"/>
                <w:szCs w:val="21"/>
              </w:rPr>
            </w:pPr>
            <w:r>
              <w:rPr>
                <w:rFonts w:hint="eastAsia" w:ascii="Times New Roman" w:hAnsi="Times New Roman"/>
                <w:szCs w:val="21"/>
              </w:rPr>
              <w:t>规格：L47xW46.5xH73cm（±3cm）（座高41cm（±3cm））</w:t>
            </w:r>
          </w:p>
        </w:tc>
      </w:tr>
      <w:tr w14:paraId="297D5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3" w:type="pct"/>
            <w:vMerge w:val="continue"/>
            <w:noWrap w:val="0"/>
            <w:vAlign w:val="center"/>
          </w:tcPr>
          <w:p w14:paraId="7E8B8FDB">
            <w:pPr>
              <w:jc w:val="center"/>
              <w:rPr>
                <w:rFonts w:ascii="Times New Roman" w:hAnsi="Times New Roman"/>
                <w:szCs w:val="21"/>
              </w:rPr>
            </w:pPr>
          </w:p>
        </w:tc>
        <w:tc>
          <w:tcPr>
            <w:tcW w:w="440" w:type="pct"/>
            <w:vMerge w:val="continue"/>
            <w:noWrap w:val="0"/>
            <w:vAlign w:val="center"/>
          </w:tcPr>
          <w:p w14:paraId="3E2300B4">
            <w:pPr>
              <w:jc w:val="center"/>
              <w:rPr>
                <w:rFonts w:hint="eastAsia" w:ascii="Times New Roman" w:hAnsi="Times New Roman"/>
                <w:szCs w:val="21"/>
              </w:rPr>
            </w:pPr>
          </w:p>
        </w:tc>
        <w:tc>
          <w:tcPr>
            <w:tcW w:w="4225" w:type="pct"/>
            <w:noWrap w:val="0"/>
            <w:vAlign w:val="top"/>
          </w:tcPr>
          <w:p w14:paraId="4AEB84C7">
            <w:pPr>
              <w:jc w:val="left"/>
              <w:rPr>
                <w:rFonts w:hint="eastAsia" w:ascii="Times New Roman" w:hAnsi="Times New Roman"/>
                <w:szCs w:val="21"/>
              </w:rPr>
            </w:pPr>
            <w:r>
              <w:rPr>
                <w:rFonts w:hint="eastAsia" w:ascii="Times New Roman" w:hAnsi="Times New Roman"/>
                <w:szCs w:val="21"/>
              </w:rPr>
              <w:t>1、工艺设计：</w:t>
            </w:r>
          </w:p>
          <w:p w14:paraId="0A907638">
            <w:pPr>
              <w:jc w:val="left"/>
              <w:rPr>
                <w:rFonts w:hint="eastAsia" w:ascii="Times New Roman" w:hAnsi="Times New Roman"/>
                <w:szCs w:val="21"/>
              </w:rPr>
            </w:pPr>
            <w:r>
              <w:rPr>
                <w:rFonts w:hint="eastAsia" w:ascii="Times New Roman" w:hAnsi="Times New Roman"/>
                <w:szCs w:val="21"/>
              </w:rPr>
              <w:t>（1）椅子整体一次加工完成材料切割、一体成型，无须拼接，线条流畅。</w:t>
            </w:r>
          </w:p>
          <w:p w14:paraId="1A3AD339">
            <w:pPr>
              <w:jc w:val="left"/>
              <w:rPr>
                <w:rFonts w:hint="eastAsia" w:ascii="Times New Roman" w:hAnsi="Times New Roman"/>
                <w:szCs w:val="21"/>
              </w:rPr>
            </w:pPr>
            <w:r>
              <w:rPr>
                <w:rFonts w:hint="eastAsia" w:ascii="Times New Roman" w:hAnsi="Times New Roman"/>
                <w:szCs w:val="21"/>
              </w:rPr>
              <w:t>（2）几何图形挖孔设计，手提叠放轻松方便。</w:t>
            </w:r>
          </w:p>
          <w:p w14:paraId="6115EADD">
            <w:pPr>
              <w:jc w:val="left"/>
              <w:rPr>
                <w:rFonts w:hint="eastAsia" w:ascii="Times New Roman" w:hAnsi="Times New Roman"/>
                <w:szCs w:val="21"/>
              </w:rPr>
            </w:pPr>
            <w:r>
              <w:rPr>
                <w:rFonts w:hint="eastAsia" w:ascii="Times New Roman" w:hAnsi="Times New Roman"/>
                <w:szCs w:val="21"/>
              </w:rPr>
              <w:t>（3）座板前高后低倾角设计，靠背弧形贴合腰背，适应人体曲线，符合人体力学，呵护儿童脊椎发育，孩子久坐不累。</w:t>
            </w:r>
          </w:p>
          <w:p w14:paraId="08032924">
            <w:pPr>
              <w:jc w:val="left"/>
              <w:rPr>
                <w:rFonts w:hint="eastAsia" w:ascii="Times New Roman" w:hAnsi="Times New Roman"/>
                <w:szCs w:val="21"/>
              </w:rPr>
            </w:pPr>
            <w:r>
              <w:rPr>
                <w:rFonts w:hint="eastAsia" w:ascii="Times New Roman" w:hAnsi="Times New Roman"/>
                <w:szCs w:val="21"/>
              </w:rPr>
              <w:t>（4）所有螺丝位无毛刺不刮手，边角采用圆边/圆角处理以及安全防撞设计，最大程度的避免儿童磕碰伤害，结构稳固。</w:t>
            </w:r>
          </w:p>
        </w:tc>
      </w:tr>
      <w:tr w14:paraId="449D4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3" w:type="pct"/>
            <w:vMerge w:val="continue"/>
            <w:noWrap w:val="0"/>
            <w:vAlign w:val="center"/>
          </w:tcPr>
          <w:p w14:paraId="484E00F7">
            <w:pPr>
              <w:jc w:val="center"/>
              <w:rPr>
                <w:rFonts w:ascii="Times New Roman" w:hAnsi="Times New Roman"/>
                <w:szCs w:val="21"/>
              </w:rPr>
            </w:pPr>
          </w:p>
        </w:tc>
        <w:tc>
          <w:tcPr>
            <w:tcW w:w="440" w:type="pct"/>
            <w:vMerge w:val="continue"/>
            <w:noWrap w:val="0"/>
            <w:vAlign w:val="center"/>
          </w:tcPr>
          <w:p w14:paraId="4DC31C39">
            <w:pPr>
              <w:jc w:val="center"/>
              <w:rPr>
                <w:rFonts w:hint="eastAsia" w:ascii="Times New Roman" w:hAnsi="Times New Roman"/>
                <w:szCs w:val="21"/>
              </w:rPr>
            </w:pPr>
          </w:p>
        </w:tc>
        <w:tc>
          <w:tcPr>
            <w:tcW w:w="4225" w:type="pct"/>
            <w:noWrap w:val="0"/>
            <w:vAlign w:val="top"/>
          </w:tcPr>
          <w:p w14:paraId="6782EEC5">
            <w:pPr>
              <w:jc w:val="left"/>
              <w:rPr>
                <w:rFonts w:hint="eastAsia" w:ascii="Times New Roman" w:hAnsi="Times New Roman"/>
                <w:szCs w:val="21"/>
              </w:rPr>
            </w:pPr>
            <w:r>
              <w:rPr>
                <w:rFonts w:hint="eastAsia" w:ascii="Times New Roman" w:hAnsi="Times New Roman"/>
                <w:szCs w:val="21"/>
              </w:rPr>
              <w:t>2、外观结构及材质：</w:t>
            </w:r>
          </w:p>
          <w:p w14:paraId="3968E624">
            <w:pPr>
              <w:jc w:val="left"/>
              <w:rPr>
                <w:rFonts w:hint="eastAsia" w:ascii="Times New Roman" w:hAnsi="Times New Roman"/>
                <w:szCs w:val="21"/>
              </w:rPr>
            </w:pPr>
            <w:r>
              <w:rPr>
                <w:rFonts w:hint="eastAsia" w:ascii="Times New Roman" w:hAnsi="Times New Roman"/>
                <w:szCs w:val="21"/>
              </w:rPr>
              <w:t>（1）采用厚度15mm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szCs w:val="21"/>
              </w:rPr>
              <w:t>的实木多层板（弯板），椅子座高：410mm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szCs w:val="21"/>
              </w:rPr>
              <w:t>。座板底部与支撑脚弯曲处安装V型加固角码，角码采用塑料，打磨圆滑，尺寸为L127xW95xH27mm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szCs w:val="21"/>
              </w:rPr>
              <w:t>呈浅咖色，更好的还原自然原木色，有效增加支撑脚牢固强度。</w:t>
            </w:r>
          </w:p>
          <w:p w14:paraId="3DF4CB47">
            <w:pPr>
              <w:jc w:val="left"/>
              <w:rPr>
                <w:rFonts w:hint="eastAsia" w:ascii="Times New Roman" w:hAnsi="Times New Roman"/>
                <w:szCs w:val="21"/>
              </w:rPr>
            </w:pPr>
            <w:r>
              <w:rPr>
                <w:rFonts w:hint="eastAsia" w:ascii="Times New Roman" w:hAnsi="Times New Roman"/>
                <w:szCs w:val="21"/>
              </w:rPr>
              <w:t>（2）椅脚与座板弧形相连一体成型，底部使用塑料脚套包裹，尺寸为41.8x18x42.8mm(±</w:t>
            </w:r>
            <w:r>
              <w:rPr>
                <w:rFonts w:hint="eastAsia" w:ascii="Times New Roman" w:hAnsi="Times New Roman"/>
                <w:szCs w:val="21"/>
                <w:lang w:val="en-US" w:eastAsia="zh-CN"/>
              </w:rPr>
              <w:t>3</w:t>
            </w:r>
            <w:r>
              <w:rPr>
                <w:rFonts w:hint="eastAsia" w:ascii="Times New Roman" w:hAnsi="Times New Roman"/>
                <w:szCs w:val="21"/>
              </w:rPr>
              <w:t>mm)，加厚耐磨，防滑不易脱落，可有效保护地面刮花并降低噪音。</w:t>
            </w:r>
          </w:p>
          <w:p w14:paraId="2BF5B8AE">
            <w:pPr>
              <w:jc w:val="left"/>
              <w:rPr>
                <w:rFonts w:hint="eastAsia" w:ascii="Times New Roman" w:hAnsi="Times New Roman"/>
                <w:szCs w:val="21"/>
              </w:rPr>
            </w:pPr>
            <w:r>
              <w:rPr>
                <w:rFonts w:hint="eastAsia" w:ascii="Times New Roman" w:hAnsi="Times New Roman"/>
                <w:szCs w:val="21"/>
              </w:rPr>
              <w:t>（3）靠背圆矩形挖孔设计，手提叠放轻松方便。</w:t>
            </w:r>
          </w:p>
        </w:tc>
      </w:tr>
      <w:tr w14:paraId="70B87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3" w:type="pct"/>
            <w:vMerge w:val="restart"/>
            <w:noWrap w:val="0"/>
            <w:vAlign w:val="center"/>
          </w:tcPr>
          <w:p w14:paraId="5302D8E1">
            <w:pPr>
              <w:keepNext w:val="0"/>
              <w:keepLines w:val="0"/>
              <w:widowControl/>
              <w:suppressLineNumbers w:val="0"/>
              <w:jc w:val="center"/>
              <w:textAlignment w:val="center"/>
              <w:rPr>
                <w:rFonts w:ascii="Times New Roman" w:hAnsi="Times New Roman"/>
                <w:szCs w:val="21"/>
              </w:rPr>
            </w:pPr>
            <w:r>
              <w:rPr>
                <w:rFonts w:hint="default" w:ascii="Arial" w:hAnsi="Arial" w:eastAsia="宋体" w:cs="Arial"/>
                <w:i w:val="0"/>
                <w:iCs w:val="0"/>
                <w:color w:val="000000"/>
                <w:kern w:val="0"/>
                <w:sz w:val="20"/>
                <w:szCs w:val="20"/>
                <w:u w:val="none"/>
                <w:lang w:val="en-US" w:eastAsia="zh-CN" w:bidi="ar"/>
              </w:rPr>
              <w:t xml:space="preserve">37 </w:t>
            </w:r>
          </w:p>
        </w:tc>
        <w:tc>
          <w:tcPr>
            <w:tcW w:w="440" w:type="pct"/>
            <w:vMerge w:val="restart"/>
            <w:noWrap w:val="0"/>
            <w:vAlign w:val="center"/>
          </w:tcPr>
          <w:p w14:paraId="40E778B1">
            <w:pPr>
              <w:keepNext w:val="0"/>
              <w:keepLines w:val="0"/>
              <w:widowControl/>
              <w:suppressLineNumbers w:val="0"/>
              <w:jc w:val="center"/>
              <w:textAlignment w:val="center"/>
              <w:rPr>
                <w:rFonts w:hint="eastAsia" w:ascii="Times New Roman" w:hAnsi="Times New Roman"/>
                <w:szCs w:val="21"/>
              </w:rPr>
            </w:pPr>
            <w:r>
              <w:rPr>
                <w:rFonts w:hint="eastAsia" w:ascii="宋体" w:hAnsi="宋体" w:eastAsia="宋体" w:cs="宋体"/>
                <w:i w:val="0"/>
                <w:iCs w:val="0"/>
                <w:color w:val="000000"/>
                <w:kern w:val="0"/>
                <w:sz w:val="20"/>
                <w:szCs w:val="20"/>
                <w:u w:val="none"/>
                <w:lang w:val="en-US" w:eastAsia="zh-CN" w:bidi="ar"/>
              </w:rPr>
              <w:t>三层教具篮收纳柜</w:t>
            </w:r>
          </w:p>
        </w:tc>
        <w:tc>
          <w:tcPr>
            <w:tcW w:w="4225" w:type="pct"/>
            <w:noWrap w:val="0"/>
            <w:vAlign w:val="center"/>
          </w:tcPr>
          <w:p w14:paraId="32E5D997">
            <w:pPr>
              <w:jc w:val="left"/>
              <w:rPr>
                <w:rFonts w:hint="eastAsia" w:ascii="Times New Roman" w:hAnsi="Times New Roman"/>
                <w:szCs w:val="21"/>
              </w:rPr>
            </w:pPr>
            <w:r>
              <w:rPr>
                <w:rFonts w:hint="eastAsia" w:ascii="Times New Roman" w:hAnsi="Times New Roman"/>
                <w:szCs w:val="21"/>
              </w:rPr>
              <w:t>规格：L91xW30xH59cm（±3cm）</w:t>
            </w:r>
          </w:p>
        </w:tc>
      </w:tr>
      <w:tr w14:paraId="1EB2E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3" w:type="pct"/>
            <w:vMerge w:val="continue"/>
            <w:noWrap w:val="0"/>
            <w:vAlign w:val="center"/>
          </w:tcPr>
          <w:p w14:paraId="22E7C0B2">
            <w:pPr>
              <w:jc w:val="center"/>
              <w:rPr>
                <w:rFonts w:ascii="Times New Roman" w:hAnsi="Times New Roman"/>
                <w:szCs w:val="21"/>
              </w:rPr>
            </w:pPr>
          </w:p>
        </w:tc>
        <w:tc>
          <w:tcPr>
            <w:tcW w:w="440" w:type="pct"/>
            <w:vMerge w:val="continue"/>
            <w:noWrap w:val="0"/>
            <w:vAlign w:val="center"/>
          </w:tcPr>
          <w:p w14:paraId="20AF5F0C">
            <w:pPr>
              <w:jc w:val="center"/>
              <w:rPr>
                <w:rFonts w:hint="eastAsia" w:ascii="Times New Roman" w:hAnsi="Times New Roman"/>
                <w:szCs w:val="21"/>
              </w:rPr>
            </w:pPr>
          </w:p>
        </w:tc>
        <w:tc>
          <w:tcPr>
            <w:tcW w:w="4225" w:type="pct"/>
            <w:noWrap w:val="0"/>
            <w:vAlign w:val="top"/>
          </w:tcPr>
          <w:p w14:paraId="028F950B">
            <w:pPr>
              <w:jc w:val="left"/>
              <w:rPr>
                <w:rFonts w:hint="eastAsia" w:ascii="Times New Roman" w:hAnsi="Times New Roman"/>
                <w:szCs w:val="21"/>
              </w:rPr>
            </w:pPr>
            <w:r>
              <w:rPr>
                <w:rFonts w:hint="eastAsia" w:ascii="Times New Roman" w:hAnsi="Times New Roman"/>
                <w:szCs w:val="21"/>
              </w:rPr>
              <w:t>1、工艺设计：</w:t>
            </w:r>
          </w:p>
          <w:p w14:paraId="0197F1E8">
            <w:pPr>
              <w:jc w:val="left"/>
              <w:rPr>
                <w:rFonts w:hint="eastAsia" w:ascii="Times New Roman" w:hAnsi="Times New Roman"/>
                <w:szCs w:val="21"/>
              </w:rPr>
            </w:pPr>
            <w:r>
              <w:rPr>
                <w:rFonts w:hint="eastAsia" w:ascii="Times New Roman" w:hAnsi="Times New Roman"/>
                <w:szCs w:val="21"/>
              </w:rPr>
              <w:t>（1）采用翻板活动轮工艺，移动/固定自由切换。</w:t>
            </w:r>
          </w:p>
          <w:p w14:paraId="1CCB5CC3">
            <w:pPr>
              <w:jc w:val="left"/>
              <w:rPr>
                <w:rFonts w:hint="eastAsia" w:ascii="Times New Roman" w:hAnsi="Times New Roman"/>
                <w:szCs w:val="21"/>
              </w:rPr>
            </w:pPr>
            <w:r>
              <w:rPr>
                <w:rFonts w:hint="eastAsia" w:ascii="Times New Roman" w:hAnsi="Times New Roman"/>
                <w:szCs w:val="21"/>
              </w:rPr>
              <w:t>（2）所有螺丝位无毛刺不刮手，四角及边沿采用圆角/圆边处理以及安全防撞设计，最大程度的避免儿童磕碰伤害，结构稳固。</w:t>
            </w:r>
          </w:p>
        </w:tc>
      </w:tr>
      <w:tr w14:paraId="514FE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3" w:type="pct"/>
            <w:vMerge w:val="continue"/>
            <w:noWrap w:val="0"/>
            <w:vAlign w:val="center"/>
          </w:tcPr>
          <w:p w14:paraId="62DDF62F">
            <w:pPr>
              <w:jc w:val="center"/>
              <w:rPr>
                <w:rFonts w:ascii="Times New Roman" w:hAnsi="Times New Roman"/>
                <w:szCs w:val="21"/>
              </w:rPr>
            </w:pPr>
          </w:p>
        </w:tc>
        <w:tc>
          <w:tcPr>
            <w:tcW w:w="440" w:type="pct"/>
            <w:vMerge w:val="continue"/>
            <w:noWrap w:val="0"/>
            <w:vAlign w:val="center"/>
          </w:tcPr>
          <w:p w14:paraId="1318F818">
            <w:pPr>
              <w:jc w:val="center"/>
              <w:rPr>
                <w:rFonts w:hint="eastAsia" w:ascii="Times New Roman" w:hAnsi="Times New Roman"/>
                <w:szCs w:val="21"/>
              </w:rPr>
            </w:pPr>
          </w:p>
        </w:tc>
        <w:tc>
          <w:tcPr>
            <w:tcW w:w="4225" w:type="pct"/>
            <w:noWrap w:val="0"/>
            <w:vAlign w:val="top"/>
          </w:tcPr>
          <w:p w14:paraId="01BB6678">
            <w:pPr>
              <w:jc w:val="left"/>
              <w:rPr>
                <w:rFonts w:hint="eastAsia" w:ascii="Times New Roman" w:hAnsi="Times New Roman"/>
                <w:szCs w:val="21"/>
              </w:rPr>
            </w:pPr>
            <w:r>
              <w:rPr>
                <w:rFonts w:hint="eastAsia" w:ascii="Times New Roman" w:hAnsi="Times New Roman"/>
                <w:szCs w:val="21"/>
              </w:rPr>
              <w:t>2、外观结构及材质：</w:t>
            </w:r>
          </w:p>
          <w:p w14:paraId="1833D50B">
            <w:pPr>
              <w:jc w:val="left"/>
              <w:rPr>
                <w:rFonts w:hint="eastAsia" w:ascii="Times New Roman" w:hAnsi="Times New Roman"/>
                <w:szCs w:val="21"/>
              </w:rPr>
            </w:pPr>
            <w:r>
              <w:rPr>
                <w:rFonts w:hint="eastAsia" w:ascii="Times New Roman" w:hAnsi="Times New Roman"/>
                <w:szCs w:val="21"/>
              </w:rPr>
              <w:t>（1）柜体：采用15mm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szCs w:val="21"/>
              </w:rPr>
              <w:t>的橡胶木拼板。柜子长度内空：884mm，整体为3层，安装浅咖色铁质圆管用于固定教具篮，铁管尺寸为：φ19mm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szCs w:val="21"/>
              </w:rPr>
              <w:t>；包含9个教具篮，尺寸：L280xW260xH100mm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szCs w:val="21"/>
              </w:rPr>
              <w:t>，用于收纳各种教玩具物品，教具篮采用塑料材质，呈浅咖色，圆滑无毛刺，一体成型设计，结构稳固。</w:t>
            </w:r>
          </w:p>
          <w:p w14:paraId="7A47DDC0">
            <w:pPr>
              <w:jc w:val="left"/>
              <w:rPr>
                <w:rFonts w:hint="eastAsia" w:ascii="Times New Roman" w:hAnsi="Times New Roman"/>
                <w:szCs w:val="21"/>
              </w:rPr>
            </w:pPr>
            <w:r>
              <w:rPr>
                <w:rFonts w:hint="eastAsia" w:ascii="Times New Roman" w:hAnsi="Times New Roman"/>
                <w:szCs w:val="21"/>
              </w:rPr>
              <w:t>（2）围脚：采用厚度18mm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szCs w:val="21"/>
              </w:rPr>
              <w:t>的橡胶木拼板。柜体与底部围脚采用塑料连接件实现翻板功能，脚轮为静音万向轮，安装在围脚侧板内，当家具固定时，围脚侧板向下翻，万向轮则隐藏于侧板内；当家具需要移动时，围脚侧板向上翻，塑料连接件卡扣对侧板进行固定，万向轮支撑起家具的重量，无须抬起轻松实现家具位置转移。</w:t>
            </w:r>
          </w:p>
          <w:p w14:paraId="375E0892">
            <w:pPr>
              <w:jc w:val="left"/>
              <w:rPr>
                <w:rFonts w:hint="eastAsia" w:ascii="Times New Roman" w:hAnsi="Times New Roman"/>
                <w:szCs w:val="21"/>
              </w:rPr>
            </w:pPr>
            <w:r>
              <w:rPr>
                <w:rFonts w:hint="eastAsia" w:ascii="Times New Roman" w:hAnsi="Times New Roman"/>
                <w:szCs w:val="21"/>
              </w:rPr>
              <w:t>（3）木蜡油：采用的水性木蜡油封边，成分天然，分子机构细小，成膜牢固，密封性好。</w:t>
            </w:r>
          </w:p>
        </w:tc>
      </w:tr>
      <w:tr w14:paraId="73836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3" w:type="pct"/>
            <w:vMerge w:val="restart"/>
            <w:noWrap w:val="0"/>
            <w:vAlign w:val="center"/>
          </w:tcPr>
          <w:p w14:paraId="4A51B914">
            <w:pPr>
              <w:keepNext w:val="0"/>
              <w:keepLines w:val="0"/>
              <w:widowControl/>
              <w:suppressLineNumbers w:val="0"/>
              <w:jc w:val="center"/>
              <w:textAlignment w:val="center"/>
              <w:rPr>
                <w:rFonts w:ascii="Times New Roman" w:hAnsi="Times New Roman"/>
                <w:szCs w:val="21"/>
              </w:rPr>
            </w:pPr>
            <w:r>
              <w:rPr>
                <w:rFonts w:hint="default" w:ascii="Arial" w:hAnsi="Arial" w:eastAsia="宋体" w:cs="Arial"/>
                <w:i w:val="0"/>
                <w:iCs w:val="0"/>
                <w:color w:val="000000"/>
                <w:kern w:val="0"/>
                <w:sz w:val="20"/>
                <w:szCs w:val="20"/>
                <w:u w:val="none"/>
                <w:lang w:val="en-US" w:eastAsia="zh-CN" w:bidi="ar"/>
              </w:rPr>
              <w:t xml:space="preserve">38 </w:t>
            </w:r>
          </w:p>
        </w:tc>
        <w:tc>
          <w:tcPr>
            <w:tcW w:w="440" w:type="pct"/>
            <w:vMerge w:val="restart"/>
            <w:noWrap w:val="0"/>
            <w:vAlign w:val="center"/>
          </w:tcPr>
          <w:p w14:paraId="63EDBC33">
            <w:pPr>
              <w:keepNext w:val="0"/>
              <w:keepLines w:val="0"/>
              <w:widowControl/>
              <w:suppressLineNumbers w:val="0"/>
              <w:jc w:val="center"/>
              <w:textAlignment w:val="center"/>
              <w:rPr>
                <w:rFonts w:hint="eastAsia" w:ascii="Times New Roman" w:hAnsi="Times New Roman"/>
                <w:szCs w:val="21"/>
              </w:rPr>
            </w:pPr>
            <w:r>
              <w:rPr>
                <w:rFonts w:hint="eastAsia" w:ascii="宋体" w:hAnsi="宋体" w:eastAsia="宋体" w:cs="宋体"/>
                <w:i w:val="0"/>
                <w:iCs w:val="0"/>
                <w:color w:val="000000"/>
                <w:kern w:val="0"/>
                <w:sz w:val="20"/>
                <w:szCs w:val="20"/>
                <w:u w:val="none"/>
                <w:lang w:val="en-US" w:eastAsia="zh-CN" w:bidi="ar"/>
              </w:rPr>
              <w:t>幼儿柜</w:t>
            </w:r>
          </w:p>
        </w:tc>
        <w:tc>
          <w:tcPr>
            <w:tcW w:w="4225" w:type="pct"/>
            <w:noWrap w:val="0"/>
            <w:vAlign w:val="center"/>
          </w:tcPr>
          <w:p w14:paraId="1E859410">
            <w:pPr>
              <w:jc w:val="left"/>
              <w:rPr>
                <w:rFonts w:hint="eastAsia" w:ascii="Times New Roman" w:hAnsi="Times New Roman"/>
                <w:szCs w:val="21"/>
              </w:rPr>
            </w:pPr>
            <w:r>
              <w:rPr>
                <w:rFonts w:hint="eastAsia" w:ascii="Times New Roman" w:hAnsi="Times New Roman"/>
                <w:szCs w:val="21"/>
              </w:rPr>
              <w:t>规格：L91.5xW30xH80cm（±3cm）</w:t>
            </w:r>
          </w:p>
        </w:tc>
      </w:tr>
      <w:tr w14:paraId="37028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3" w:type="pct"/>
            <w:vMerge w:val="continue"/>
            <w:noWrap w:val="0"/>
            <w:vAlign w:val="center"/>
          </w:tcPr>
          <w:p w14:paraId="37117236">
            <w:pPr>
              <w:jc w:val="center"/>
              <w:rPr>
                <w:rFonts w:ascii="Times New Roman" w:hAnsi="Times New Roman"/>
                <w:szCs w:val="21"/>
              </w:rPr>
            </w:pPr>
          </w:p>
        </w:tc>
        <w:tc>
          <w:tcPr>
            <w:tcW w:w="440" w:type="pct"/>
            <w:vMerge w:val="continue"/>
            <w:noWrap w:val="0"/>
            <w:vAlign w:val="center"/>
          </w:tcPr>
          <w:p w14:paraId="4F4D7CD2">
            <w:pPr>
              <w:jc w:val="center"/>
              <w:rPr>
                <w:rFonts w:hint="eastAsia" w:ascii="Times New Roman" w:hAnsi="Times New Roman"/>
                <w:szCs w:val="21"/>
              </w:rPr>
            </w:pPr>
          </w:p>
        </w:tc>
        <w:tc>
          <w:tcPr>
            <w:tcW w:w="4225" w:type="pct"/>
            <w:noWrap w:val="0"/>
            <w:vAlign w:val="top"/>
          </w:tcPr>
          <w:p w14:paraId="59A1ED17">
            <w:pPr>
              <w:jc w:val="left"/>
              <w:rPr>
                <w:rFonts w:hint="eastAsia" w:ascii="Times New Roman" w:hAnsi="Times New Roman"/>
                <w:szCs w:val="21"/>
              </w:rPr>
            </w:pPr>
            <w:r>
              <w:rPr>
                <w:rFonts w:hint="eastAsia" w:ascii="Times New Roman" w:hAnsi="Times New Roman"/>
                <w:szCs w:val="21"/>
              </w:rPr>
              <w:t>1、工艺设计：</w:t>
            </w:r>
          </w:p>
          <w:p w14:paraId="7F79C045">
            <w:pPr>
              <w:jc w:val="left"/>
              <w:rPr>
                <w:rFonts w:hint="eastAsia" w:ascii="Times New Roman" w:hAnsi="Times New Roman"/>
                <w:szCs w:val="21"/>
              </w:rPr>
            </w:pPr>
            <w:r>
              <w:rPr>
                <w:rFonts w:hint="eastAsia" w:ascii="Times New Roman" w:hAnsi="Times New Roman"/>
                <w:szCs w:val="21"/>
              </w:rPr>
              <w:t>（1）采用翻板活动轮工艺，移动/固定自由切换。</w:t>
            </w:r>
          </w:p>
          <w:p w14:paraId="6E0F7820">
            <w:pPr>
              <w:jc w:val="left"/>
              <w:rPr>
                <w:rFonts w:hint="eastAsia" w:ascii="Times New Roman" w:hAnsi="Times New Roman"/>
                <w:szCs w:val="21"/>
              </w:rPr>
            </w:pPr>
            <w:r>
              <w:rPr>
                <w:rFonts w:hint="eastAsia" w:ascii="Times New Roman" w:hAnsi="Times New Roman"/>
                <w:szCs w:val="21"/>
              </w:rPr>
              <w:t>（2）所有螺丝位无毛刺不刮手，四角及边沿采用圆角/圆边处理以及安全防撞设计，最大程度的避免儿童磕碰伤害，结构稳固。</w:t>
            </w:r>
          </w:p>
        </w:tc>
      </w:tr>
      <w:tr w14:paraId="20180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3" w:type="pct"/>
            <w:vMerge w:val="continue"/>
            <w:noWrap w:val="0"/>
            <w:vAlign w:val="center"/>
          </w:tcPr>
          <w:p w14:paraId="11DD880E">
            <w:pPr>
              <w:jc w:val="center"/>
              <w:rPr>
                <w:rFonts w:ascii="Times New Roman" w:hAnsi="Times New Roman"/>
                <w:szCs w:val="21"/>
              </w:rPr>
            </w:pPr>
          </w:p>
        </w:tc>
        <w:tc>
          <w:tcPr>
            <w:tcW w:w="440" w:type="pct"/>
            <w:vMerge w:val="continue"/>
            <w:noWrap w:val="0"/>
            <w:vAlign w:val="center"/>
          </w:tcPr>
          <w:p w14:paraId="4AE9CA50">
            <w:pPr>
              <w:jc w:val="center"/>
              <w:rPr>
                <w:rFonts w:hint="eastAsia" w:ascii="Times New Roman" w:hAnsi="Times New Roman"/>
                <w:szCs w:val="21"/>
              </w:rPr>
            </w:pPr>
          </w:p>
        </w:tc>
        <w:tc>
          <w:tcPr>
            <w:tcW w:w="4225" w:type="pct"/>
            <w:noWrap w:val="0"/>
            <w:vAlign w:val="top"/>
          </w:tcPr>
          <w:p w14:paraId="722C1C24">
            <w:pPr>
              <w:jc w:val="left"/>
              <w:rPr>
                <w:rFonts w:hint="eastAsia" w:ascii="Times New Roman" w:hAnsi="Times New Roman"/>
                <w:szCs w:val="21"/>
              </w:rPr>
            </w:pPr>
            <w:r>
              <w:rPr>
                <w:rFonts w:hint="eastAsia" w:ascii="Times New Roman" w:hAnsi="Times New Roman"/>
                <w:szCs w:val="21"/>
              </w:rPr>
              <w:t>2、外观结构及材质：</w:t>
            </w:r>
          </w:p>
          <w:p w14:paraId="3C77A13C">
            <w:pPr>
              <w:jc w:val="left"/>
              <w:rPr>
                <w:rFonts w:hint="eastAsia" w:ascii="Times New Roman" w:hAnsi="Times New Roman"/>
                <w:szCs w:val="21"/>
              </w:rPr>
            </w:pPr>
            <w:r>
              <w:rPr>
                <w:rFonts w:hint="eastAsia" w:ascii="Times New Roman" w:hAnsi="Times New Roman"/>
                <w:szCs w:val="21"/>
              </w:rPr>
              <w:t>（1）柜体：采用16mm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szCs w:val="21"/>
              </w:rPr>
              <w:t>的橡胶木拼板。三层无竖板，层格内空均为：884x280x222mm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szCs w:val="21"/>
              </w:rPr>
              <w:t>，满足较大型玩教具收纳。背板采用厚度5mm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szCs w:val="21"/>
              </w:rPr>
              <w:t>的饰面实木纤维板。</w:t>
            </w:r>
          </w:p>
          <w:p w14:paraId="1E1E891B">
            <w:pPr>
              <w:jc w:val="left"/>
              <w:rPr>
                <w:rFonts w:hint="eastAsia" w:ascii="Times New Roman" w:hAnsi="Times New Roman"/>
                <w:szCs w:val="21"/>
              </w:rPr>
            </w:pPr>
            <w:r>
              <w:rPr>
                <w:rFonts w:hint="eastAsia" w:ascii="Times New Roman" w:hAnsi="Times New Roman"/>
                <w:szCs w:val="21"/>
              </w:rPr>
              <w:t>（2）围脚：采用厚度18mm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szCs w:val="21"/>
              </w:rPr>
              <w:t>的橡胶木拼板。柜体与底部围脚采用塑料连接件实现翻板功能，脚轮为静音万向轮，安装在围脚侧板内，当家具固定时，围脚侧板向下翻，万向轮则隐藏于侧板内；当家具需要移动时，围脚侧板向上翻，塑料连接件卡扣对侧板进行固定，万向轮支撑起家具的重量，无须抬起轻松实现家具位置转移。</w:t>
            </w:r>
          </w:p>
          <w:p w14:paraId="7064F89C">
            <w:pPr>
              <w:jc w:val="left"/>
              <w:rPr>
                <w:rFonts w:hint="eastAsia" w:ascii="Times New Roman" w:hAnsi="Times New Roman"/>
                <w:kern w:val="2"/>
                <w:sz w:val="21"/>
                <w:szCs w:val="21"/>
                <w:lang w:val="en-US" w:eastAsia="zh-CN" w:bidi="ar-SA"/>
              </w:rPr>
            </w:pPr>
            <w:r>
              <w:rPr>
                <w:rFonts w:hint="eastAsia" w:ascii="Times New Roman" w:hAnsi="Times New Roman"/>
                <w:szCs w:val="21"/>
              </w:rPr>
              <w:t>（3）采用的水性漆，全封闭涂装工艺，漆面光泽高透，颜色均匀。</w:t>
            </w:r>
          </w:p>
        </w:tc>
      </w:tr>
      <w:tr w14:paraId="54D74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3" w:type="pct"/>
            <w:vMerge w:val="continue"/>
            <w:noWrap w:val="0"/>
            <w:vAlign w:val="center"/>
          </w:tcPr>
          <w:p w14:paraId="25954A49">
            <w:pPr>
              <w:jc w:val="center"/>
              <w:rPr>
                <w:rFonts w:ascii="Times New Roman" w:hAnsi="Times New Roman"/>
                <w:szCs w:val="21"/>
              </w:rPr>
            </w:pPr>
          </w:p>
        </w:tc>
        <w:tc>
          <w:tcPr>
            <w:tcW w:w="440" w:type="pct"/>
            <w:vMerge w:val="continue"/>
            <w:noWrap w:val="0"/>
            <w:vAlign w:val="center"/>
          </w:tcPr>
          <w:p w14:paraId="7049A959">
            <w:pPr>
              <w:jc w:val="center"/>
              <w:rPr>
                <w:rFonts w:hint="eastAsia" w:ascii="Times New Roman" w:hAnsi="Times New Roman"/>
                <w:szCs w:val="21"/>
              </w:rPr>
            </w:pPr>
          </w:p>
        </w:tc>
        <w:tc>
          <w:tcPr>
            <w:tcW w:w="4225" w:type="pct"/>
            <w:noWrap w:val="0"/>
            <w:vAlign w:val="top"/>
          </w:tcPr>
          <w:p w14:paraId="47A679CB">
            <w:pPr>
              <w:pStyle w:val="8"/>
              <w:jc w:val="left"/>
              <w:rPr>
                <w:rFonts w:hint="eastAsia" w:ascii="Times New Roman" w:hAnsi="Times New Roman" w:eastAsia="宋体" w:cs="Times New Roman"/>
                <w:b/>
                <w:bCs/>
                <w:color w:val="FF0000"/>
                <w:szCs w:val="21"/>
                <w:highlight w:val="yellow"/>
              </w:rPr>
            </w:pPr>
            <w:r>
              <w:rPr>
                <w:rFonts w:hint="eastAsia" w:ascii="Times New Roman" w:hAnsi="Times New Roman" w:eastAsia="宋体" w:cs="Times New Roman"/>
                <w:b/>
                <w:bCs/>
                <w:color w:val="FF0000"/>
                <w:szCs w:val="21"/>
                <w:highlight w:val="none"/>
              </w:rPr>
              <w:t>▲成品幼儿柜符合GB/T17657-2022、GB/T43002-2023标准的合格检测报告，检测项目要求：外观要求（人造板件外观、五金件外观、塑料件外观、木工要求、漆膜外观要求）符合标准要求，柜类强度和耐久性符合标准要求，加速老化循环后静曲强度的顺纹≥40MPa,横纹≥35MPa，表面耐冷热循环后无开裂、无鼓泡，表面耐污染（污染物：可乐饮料、酒醋、用水稀释至 10%的碱溶液清洗剂，双氧水(3%的溶液)、指甲油、指甲油清洗剂、唇膏）≥4级，抗冲击性能后表面无开裂、剥落。</w:t>
            </w:r>
          </w:p>
          <w:p w14:paraId="2AA235E5">
            <w:pPr>
              <w:pStyle w:val="8"/>
              <w:rPr>
                <w:rFonts w:hint="eastAsia" w:ascii="Times New Roman" w:hAnsi="Times New Roman" w:eastAsia="宋体" w:cs="Times New Roman"/>
                <w:b/>
                <w:bCs/>
                <w:color w:val="FF0000"/>
                <w:szCs w:val="21"/>
              </w:rPr>
            </w:pPr>
            <w:r>
              <w:rPr>
                <w:rStyle w:val="46"/>
                <w:b/>
                <w:bCs/>
                <w:color w:val="FF0000"/>
                <w:highlight w:val="yellow"/>
                <w:lang w:bidi="ar"/>
              </w:rPr>
              <w:t>提供由投标截止前由第三方检验检测机构出具的具有</w:t>
            </w:r>
            <w:r>
              <w:rPr>
                <w:rStyle w:val="46"/>
                <w:rFonts w:eastAsia="宋体"/>
                <w:b/>
                <w:bCs/>
                <w:color w:val="FF0000"/>
                <w:highlight w:val="yellow"/>
                <w:lang w:eastAsia="zh-CN" w:bidi="ar"/>
              </w:rPr>
              <w:t>CMA</w:t>
            </w:r>
            <w:r>
              <w:rPr>
                <w:rStyle w:val="46"/>
                <w:b/>
                <w:bCs/>
                <w:color w:val="FF0000"/>
                <w:highlight w:val="yellow"/>
                <w:lang w:bidi="ar"/>
              </w:rPr>
              <w:t>标志的检验检测报告扫描件</w:t>
            </w:r>
            <w:r>
              <w:rPr>
                <w:rFonts w:hint="eastAsia" w:ascii="Times New Roman" w:hAnsi="Times New Roman" w:eastAsia="宋体" w:cs="Times New Roman"/>
                <w:b/>
                <w:bCs/>
                <w:color w:val="FF0000"/>
                <w:szCs w:val="21"/>
                <w:highlight w:val="yellow"/>
                <w:lang w:eastAsia="zh-CN"/>
              </w:rPr>
              <w:t>（</w:t>
            </w:r>
            <w:r>
              <w:rPr>
                <w:rFonts w:hint="eastAsia" w:ascii="Times New Roman" w:hAnsi="Times New Roman" w:eastAsia="宋体" w:cs="Times New Roman"/>
                <w:b/>
                <w:bCs/>
                <w:color w:val="FF0000"/>
                <w:szCs w:val="21"/>
                <w:highlight w:val="yellow"/>
                <w:lang w:val="en-US" w:eastAsia="zh-CN"/>
              </w:rPr>
              <w:t>原件备查</w:t>
            </w:r>
            <w:r>
              <w:rPr>
                <w:rFonts w:hint="eastAsia" w:ascii="Times New Roman" w:hAnsi="Times New Roman" w:eastAsia="宋体" w:cs="Times New Roman"/>
                <w:b/>
                <w:bCs/>
                <w:color w:val="FF0000"/>
                <w:szCs w:val="21"/>
                <w:highlight w:val="yellow"/>
                <w:lang w:eastAsia="zh-CN"/>
              </w:rPr>
              <w:t>）</w:t>
            </w:r>
            <w:r>
              <w:rPr>
                <w:rStyle w:val="46"/>
                <w:b/>
                <w:bCs/>
                <w:color w:val="FF0000"/>
                <w:highlight w:val="yellow"/>
                <w:lang w:bidi="ar"/>
              </w:rPr>
              <w:t>。（①送检单位（委托单位）需是投标人或所投产品制造商。②检验检测报告在全国认证认可信息公共服务平台(认e云)(http://cx.cnca.cn/)或检验检测官网的信息査询记录截图。③若检测报告要求的检测标准有更新的标准也予以认可。④对应参数(检验检测项)在检验检测报告中进行标注；如检验检测报告中明确备注说明相关检验检测项不在检验检测机构“</w:t>
            </w:r>
            <w:r>
              <w:rPr>
                <w:rStyle w:val="46"/>
                <w:rFonts w:eastAsia="宋体"/>
                <w:b/>
                <w:bCs/>
                <w:color w:val="FF0000"/>
                <w:highlight w:val="yellow"/>
                <w:lang w:eastAsia="zh-CN" w:bidi="ar"/>
              </w:rPr>
              <w:t>CMA</w:t>
            </w:r>
            <w:r>
              <w:rPr>
                <w:rStyle w:val="46"/>
                <w:b/>
                <w:bCs/>
                <w:color w:val="FF0000"/>
                <w:highlight w:val="yellow"/>
                <w:lang w:bidi="ar"/>
              </w:rPr>
              <w:t>”资质许可(认定)范围内的，相关检验检测项视为负偏离。）</w:t>
            </w:r>
          </w:p>
        </w:tc>
      </w:tr>
      <w:tr w14:paraId="09825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3" w:type="pct"/>
            <w:vMerge w:val="restart"/>
            <w:noWrap w:val="0"/>
            <w:vAlign w:val="center"/>
          </w:tcPr>
          <w:p w14:paraId="3B47617B">
            <w:pPr>
              <w:keepNext w:val="0"/>
              <w:keepLines w:val="0"/>
              <w:widowControl/>
              <w:suppressLineNumbers w:val="0"/>
              <w:jc w:val="center"/>
              <w:textAlignment w:val="center"/>
              <w:rPr>
                <w:rFonts w:ascii="Times New Roman" w:hAnsi="Times New Roman"/>
                <w:szCs w:val="21"/>
              </w:rPr>
            </w:pPr>
            <w:r>
              <w:rPr>
                <w:rFonts w:hint="default" w:ascii="Arial" w:hAnsi="Arial" w:eastAsia="宋体" w:cs="Arial"/>
                <w:i w:val="0"/>
                <w:iCs w:val="0"/>
                <w:color w:val="000000"/>
                <w:kern w:val="0"/>
                <w:sz w:val="20"/>
                <w:szCs w:val="20"/>
                <w:u w:val="none"/>
                <w:lang w:val="en-US" w:eastAsia="zh-CN" w:bidi="ar"/>
              </w:rPr>
              <w:t xml:space="preserve">39 </w:t>
            </w:r>
          </w:p>
        </w:tc>
        <w:tc>
          <w:tcPr>
            <w:tcW w:w="440" w:type="pct"/>
            <w:vMerge w:val="restart"/>
            <w:noWrap w:val="0"/>
            <w:vAlign w:val="center"/>
          </w:tcPr>
          <w:p w14:paraId="525E2A33">
            <w:pPr>
              <w:keepNext w:val="0"/>
              <w:keepLines w:val="0"/>
              <w:widowControl/>
              <w:suppressLineNumbers w:val="0"/>
              <w:jc w:val="center"/>
              <w:textAlignment w:val="center"/>
              <w:rPr>
                <w:rFonts w:hint="eastAsia" w:ascii="Times New Roman" w:hAnsi="Times New Roman"/>
                <w:szCs w:val="21"/>
              </w:rPr>
            </w:pPr>
            <w:r>
              <w:rPr>
                <w:rFonts w:hint="eastAsia" w:ascii="宋体" w:hAnsi="宋体" w:eastAsia="宋体" w:cs="宋体"/>
                <w:i w:val="0"/>
                <w:iCs w:val="0"/>
                <w:color w:val="000000"/>
                <w:kern w:val="0"/>
                <w:sz w:val="20"/>
                <w:szCs w:val="20"/>
                <w:u w:val="none"/>
                <w:lang w:val="en-US" w:eastAsia="zh-CN" w:bidi="ar"/>
              </w:rPr>
              <w:t>美术作品晾干柜</w:t>
            </w:r>
          </w:p>
        </w:tc>
        <w:tc>
          <w:tcPr>
            <w:tcW w:w="4225" w:type="pct"/>
            <w:noWrap w:val="0"/>
            <w:vAlign w:val="center"/>
          </w:tcPr>
          <w:p w14:paraId="39636D81">
            <w:pPr>
              <w:jc w:val="left"/>
              <w:rPr>
                <w:rFonts w:hint="eastAsia" w:ascii="Times New Roman" w:hAnsi="Times New Roman" w:eastAsia="宋体" w:cs="Times New Roman"/>
                <w:b/>
                <w:bCs/>
                <w:color w:val="FF0000"/>
                <w:szCs w:val="21"/>
              </w:rPr>
            </w:pPr>
            <w:r>
              <w:rPr>
                <w:rFonts w:hint="eastAsia" w:ascii="Times New Roman" w:hAnsi="Times New Roman" w:eastAsia="宋体" w:cs="Times New Roman"/>
                <w:b w:val="0"/>
                <w:bCs w:val="0"/>
                <w:color w:val="auto"/>
                <w:szCs w:val="21"/>
              </w:rPr>
              <w:t>规格：L50xW40xH76cm（±3cm）</w:t>
            </w:r>
          </w:p>
        </w:tc>
      </w:tr>
      <w:tr w14:paraId="4B8A2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3" w:type="pct"/>
            <w:vMerge w:val="continue"/>
            <w:noWrap w:val="0"/>
            <w:vAlign w:val="center"/>
          </w:tcPr>
          <w:p w14:paraId="58C9DE3E">
            <w:pPr>
              <w:jc w:val="center"/>
              <w:rPr>
                <w:rFonts w:ascii="Times New Roman" w:hAnsi="Times New Roman"/>
                <w:szCs w:val="21"/>
              </w:rPr>
            </w:pPr>
          </w:p>
        </w:tc>
        <w:tc>
          <w:tcPr>
            <w:tcW w:w="440" w:type="pct"/>
            <w:vMerge w:val="continue"/>
            <w:noWrap w:val="0"/>
            <w:vAlign w:val="center"/>
          </w:tcPr>
          <w:p w14:paraId="019CDCF8">
            <w:pPr>
              <w:jc w:val="center"/>
              <w:rPr>
                <w:rFonts w:hint="eastAsia" w:ascii="Times New Roman" w:hAnsi="Times New Roman"/>
                <w:szCs w:val="21"/>
              </w:rPr>
            </w:pPr>
          </w:p>
        </w:tc>
        <w:tc>
          <w:tcPr>
            <w:tcW w:w="4225" w:type="pct"/>
            <w:noWrap w:val="0"/>
            <w:vAlign w:val="top"/>
          </w:tcPr>
          <w:p w14:paraId="2CC7FD79">
            <w:pPr>
              <w:jc w:val="left"/>
              <w:rPr>
                <w:rFonts w:hint="eastAsia" w:ascii="Times New Roman" w:hAnsi="Times New Roman"/>
                <w:szCs w:val="21"/>
              </w:rPr>
            </w:pPr>
            <w:r>
              <w:rPr>
                <w:rFonts w:hint="eastAsia" w:ascii="Times New Roman" w:hAnsi="Times New Roman"/>
                <w:szCs w:val="21"/>
              </w:rPr>
              <w:t>1、工艺设计：</w:t>
            </w:r>
          </w:p>
          <w:p w14:paraId="61C97798">
            <w:pPr>
              <w:jc w:val="left"/>
              <w:rPr>
                <w:rFonts w:hint="eastAsia" w:ascii="Times New Roman" w:hAnsi="Times New Roman"/>
                <w:szCs w:val="21"/>
              </w:rPr>
            </w:pPr>
            <w:r>
              <w:rPr>
                <w:rFonts w:hint="eastAsia" w:ascii="Times New Roman" w:hAnsi="Times New Roman"/>
                <w:szCs w:val="21"/>
              </w:rPr>
              <w:t>（1）卡槽定位设计，分布均匀，实现作品晾干网抽拉式取放，不易走位。</w:t>
            </w:r>
          </w:p>
          <w:p w14:paraId="5F08F5ED">
            <w:pPr>
              <w:jc w:val="left"/>
              <w:rPr>
                <w:rFonts w:hint="eastAsia" w:ascii="Times New Roman" w:hAnsi="Times New Roman"/>
                <w:szCs w:val="21"/>
              </w:rPr>
            </w:pPr>
            <w:r>
              <w:rPr>
                <w:rFonts w:hint="eastAsia" w:ascii="Times New Roman" w:hAnsi="Times New Roman"/>
                <w:szCs w:val="21"/>
              </w:rPr>
              <w:t>（2）铁网表面采用静电粉末喷涂工艺，圆润光滑，防腐抗锈，坚固耐用。</w:t>
            </w:r>
          </w:p>
          <w:p w14:paraId="798C0F64">
            <w:pPr>
              <w:jc w:val="left"/>
              <w:rPr>
                <w:rFonts w:hint="eastAsia" w:ascii="Times New Roman" w:hAnsi="Times New Roman"/>
                <w:szCs w:val="21"/>
              </w:rPr>
            </w:pPr>
            <w:r>
              <w:rPr>
                <w:rFonts w:hint="eastAsia" w:ascii="Times New Roman" w:hAnsi="Times New Roman"/>
                <w:szCs w:val="21"/>
              </w:rPr>
              <w:t>（3）所有螺丝位无毛刺不刮手，边角采用圆边/圆角处理以及安全防撞设计，最大程度的避免儿童磕碰伤害，结构稳固。</w:t>
            </w:r>
          </w:p>
        </w:tc>
      </w:tr>
      <w:tr w14:paraId="3679B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3" w:type="pct"/>
            <w:vMerge w:val="continue"/>
            <w:noWrap w:val="0"/>
            <w:vAlign w:val="center"/>
          </w:tcPr>
          <w:p w14:paraId="7484A421">
            <w:pPr>
              <w:jc w:val="center"/>
              <w:rPr>
                <w:rFonts w:ascii="Times New Roman" w:hAnsi="Times New Roman"/>
                <w:szCs w:val="21"/>
              </w:rPr>
            </w:pPr>
          </w:p>
        </w:tc>
        <w:tc>
          <w:tcPr>
            <w:tcW w:w="440" w:type="pct"/>
            <w:vMerge w:val="continue"/>
            <w:noWrap w:val="0"/>
            <w:vAlign w:val="center"/>
          </w:tcPr>
          <w:p w14:paraId="25F413F1">
            <w:pPr>
              <w:jc w:val="center"/>
              <w:rPr>
                <w:rFonts w:hint="eastAsia" w:ascii="Times New Roman" w:hAnsi="Times New Roman"/>
                <w:szCs w:val="21"/>
              </w:rPr>
            </w:pPr>
          </w:p>
        </w:tc>
        <w:tc>
          <w:tcPr>
            <w:tcW w:w="4225" w:type="pct"/>
            <w:noWrap w:val="0"/>
            <w:vAlign w:val="top"/>
          </w:tcPr>
          <w:p w14:paraId="02971A83">
            <w:pPr>
              <w:jc w:val="left"/>
              <w:rPr>
                <w:rFonts w:hint="eastAsia" w:ascii="Times New Roman" w:hAnsi="Times New Roman"/>
                <w:szCs w:val="21"/>
              </w:rPr>
            </w:pPr>
            <w:r>
              <w:rPr>
                <w:rFonts w:hint="eastAsia" w:ascii="Times New Roman" w:hAnsi="Times New Roman"/>
                <w:szCs w:val="21"/>
              </w:rPr>
              <w:t>2、外观结构：</w:t>
            </w:r>
          </w:p>
          <w:p w14:paraId="1BC91AE9">
            <w:pPr>
              <w:jc w:val="left"/>
              <w:rPr>
                <w:rFonts w:hint="eastAsia" w:ascii="Times New Roman" w:hAnsi="Times New Roman"/>
                <w:szCs w:val="21"/>
              </w:rPr>
            </w:pPr>
            <w:r>
              <w:rPr>
                <w:rFonts w:hint="eastAsia" w:ascii="Times New Roman" w:hAnsi="Times New Roman"/>
                <w:szCs w:val="21"/>
              </w:rPr>
              <w:t>（1）柜体：采用厚度15mm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szCs w:val="21"/>
              </w:rPr>
              <w:t>双贴桦木纹饰面的橡胶木拼板。顶部收纳格内空尺寸：470x354x40mm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szCs w:val="21"/>
              </w:rPr>
              <w:t>；柜体内包含9个铁质晾干网，尺寸：L461xW388xH8mm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szCs w:val="21"/>
              </w:rPr>
              <w:t>，铁网每层均匀分布，层间距为：64mm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szCs w:val="21"/>
              </w:rPr>
              <w:t>；柜内安装9个塑料材质U型槽，呈卡其色，尺寸为L370mm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szCs w:val="21"/>
              </w:rPr>
              <w:t>，有利于柜体空间合理分布，铁网能准确滑入槽中，取放便捷。底部安装4个静音带刹车万向脚轮，脚轮运行平稳无声，可360°旋转，转动顺滑。</w:t>
            </w:r>
          </w:p>
          <w:p w14:paraId="3DAC9F60">
            <w:pPr>
              <w:jc w:val="left"/>
              <w:rPr>
                <w:rFonts w:hint="eastAsia" w:ascii="Times New Roman" w:hAnsi="Times New Roman"/>
                <w:szCs w:val="21"/>
              </w:rPr>
            </w:pPr>
            <w:r>
              <w:rPr>
                <w:rFonts w:hint="eastAsia" w:ascii="Times New Roman" w:hAnsi="Times New Roman"/>
                <w:szCs w:val="21"/>
              </w:rPr>
              <w:t>（2）采用的水性木蜡油封边，成分天然，分子机构细小，成膜牢固，密封性好，无毒。</w:t>
            </w:r>
          </w:p>
        </w:tc>
      </w:tr>
      <w:tr w14:paraId="3A86B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3" w:type="pct"/>
            <w:vMerge w:val="restart"/>
            <w:noWrap w:val="0"/>
            <w:vAlign w:val="center"/>
          </w:tcPr>
          <w:p w14:paraId="659BDA38">
            <w:pPr>
              <w:keepNext w:val="0"/>
              <w:keepLines w:val="0"/>
              <w:widowControl/>
              <w:suppressLineNumbers w:val="0"/>
              <w:jc w:val="center"/>
              <w:textAlignment w:val="center"/>
              <w:rPr>
                <w:rFonts w:ascii="Times New Roman" w:hAnsi="Times New Roman"/>
                <w:szCs w:val="21"/>
              </w:rPr>
            </w:pPr>
            <w:r>
              <w:rPr>
                <w:rFonts w:hint="default" w:ascii="Arial" w:hAnsi="Arial" w:eastAsia="宋体" w:cs="Arial"/>
                <w:i w:val="0"/>
                <w:iCs w:val="0"/>
                <w:color w:val="000000"/>
                <w:kern w:val="0"/>
                <w:sz w:val="20"/>
                <w:szCs w:val="20"/>
                <w:u w:val="none"/>
                <w:lang w:val="en-US" w:eastAsia="zh-CN" w:bidi="ar"/>
              </w:rPr>
              <w:t xml:space="preserve">40 </w:t>
            </w:r>
          </w:p>
        </w:tc>
        <w:tc>
          <w:tcPr>
            <w:tcW w:w="440" w:type="pct"/>
            <w:vMerge w:val="restart"/>
            <w:noWrap w:val="0"/>
            <w:vAlign w:val="center"/>
          </w:tcPr>
          <w:p w14:paraId="440648AB">
            <w:pPr>
              <w:keepNext w:val="0"/>
              <w:keepLines w:val="0"/>
              <w:widowControl/>
              <w:suppressLineNumbers w:val="0"/>
              <w:jc w:val="center"/>
              <w:textAlignment w:val="center"/>
              <w:rPr>
                <w:rFonts w:hint="eastAsia" w:ascii="Times New Roman" w:hAnsi="Times New Roman"/>
                <w:szCs w:val="21"/>
              </w:rPr>
            </w:pPr>
            <w:r>
              <w:rPr>
                <w:rFonts w:hint="eastAsia" w:ascii="宋体" w:hAnsi="宋体" w:eastAsia="宋体" w:cs="宋体"/>
                <w:i w:val="0"/>
                <w:iCs w:val="0"/>
                <w:color w:val="000000"/>
                <w:kern w:val="0"/>
                <w:sz w:val="20"/>
                <w:szCs w:val="20"/>
                <w:u w:val="none"/>
                <w:lang w:val="en-US" w:eastAsia="zh-CN" w:bidi="ar"/>
              </w:rPr>
              <w:t>美术用品收纳柜</w:t>
            </w:r>
          </w:p>
        </w:tc>
        <w:tc>
          <w:tcPr>
            <w:tcW w:w="4225" w:type="pct"/>
            <w:noWrap w:val="0"/>
            <w:vAlign w:val="center"/>
          </w:tcPr>
          <w:p w14:paraId="52A84C0D">
            <w:pPr>
              <w:jc w:val="left"/>
              <w:rPr>
                <w:rFonts w:hint="eastAsia" w:ascii="Times New Roman" w:hAnsi="Times New Roman"/>
                <w:szCs w:val="21"/>
              </w:rPr>
            </w:pPr>
            <w:r>
              <w:rPr>
                <w:rFonts w:hint="eastAsia" w:ascii="Times New Roman" w:hAnsi="Times New Roman"/>
                <w:szCs w:val="21"/>
              </w:rPr>
              <w:t>规格：L100xW40xH61.5cm（±3cm）</w:t>
            </w:r>
          </w:p>
        </w:tc>
      </w:tr>
      <w:tr w14:paraId="62462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3" w:type="pct"/>
            <w:vMerge w:val="continue"/>
            <w:noWrap w:val="0"/>
            <w:vAlign w:val="center"/>
          </w:tcPr>
          <w:p w14:paraId="2F33D3ED">
            <w:pPr>
              <w:jc w:val="center"/>
              <w:rPr>
                <w:rFonts w:ascii="Times New Roman" w:hAnsi="Times New Roman"/>
                <w:szCs w:val="21"/>
              </w:rPr>
            </w:pPr>
          </w:p>
        </w:tc>
        <w:tc>
          <w:tcPr>
            <w:tcW w:w="440" w:type="pct"/>
            <w:vMerge w:val="continue"/>
            <w:noWrap w:val="0"/>
            <w:vAlign w:val="center"/>
          </w:tcPr>
          <w:p w14:paraId="53512111">
            <w:pPr>
              <w:jc w:val="center"/>
              <w:rPr>
                <w:rFonts w:hint="eastAsia" w:ascii="Times New Roman" w:hAnsi="Times New Roman"/>
                <w:szCs w:val="21"/>
              </w:rPr>
            </w:pPr>
          </w:p>
        </w:tc>
        <w:tc>
          <w:tcPr>
            <w:tcW w:w="4225" w:type="pct"/>
            <w:noWrap w:val="0"/>
            <w:vAlign w:val="top"/>
          </w:tcPr>
          <w:p w14:paraId="78FCCACE">
            <w:pPr>
              <w:jc w:val="left"/>
              <w:rPr>
                <w:rFonts w:hint="eastAsia" w:ascii="Times New Roman" w:hAnsi="Times New Roman"/>
                <w:szCs w:val="21"/>
              </w:rPr>
            </w:pPr>
            <w:r>
              <w:rPr>
                <w:rFonts w:hint="eastAsia" w:ascii="Times New Roman" w:hAnsi="Times New Roman"/>
                <w:szCs w:val="21"/>
              </w:rPr>
              <w:t>1、工艺设计：</w:t>
            </w:r>
          </w:p>
          <w:p w14:paraId="3F2F708E">
            <w:pPr>
              <w:jc w:val="left"/>
              <w:rPr>
                <w:rFonts w:hint="eastAsia" w:ascii="Times New Roman" w:hAnsi="Times New Roman"/>
                <w:szCs w:val="21"/>
              </w:rPr>
            </w:pPr>
            <w:r>
              <w:rPr>
                <w:rFonts w:hint="eastAsia" w:ascii="Times New Roman" w:hAnsi="Times New Roman"/>
                <w:szCs w:val="21"/>
              </w:rPr>
              <w:t>（1）卡槽定位设计，分布均匀，实现作品晾干架抽拉式取放，不易走位。</w:t>
            </w:r>
          </w:p>
          <w:p w14:paraId="08E546F4">
            <w:pPr>
              <w:jc w:val="left"/>
              <w:rPr>
                <w:rFonts w:hint="eastAsia" w:ascii="Times New Roman" w:hAnsi="Times New Roman"/>
                <w:szCs w:val="21"/>
              </w:rPr>
            </w:pPr>
            <w:r>
              <w:rPr>
                <w:rFonts w:hint="eastAsia" w:ascii="Times New Roman" w:hAnsi="Times New Roman"/>
                <w:szCs w:val="21"/>
              </w:rPr>
              <w:t>（2）铁网表面采用静电粉末喷涂工艺，圆润光滑，防腐抗锈，坚固耐用。</w:t>
            </w:r>
          </w:p>
          <w:p w14:paraId="1D1DE6FA">
            <w:pPr>
              <w:jc w:val="left"/>
              <w:rPr>
                <w:rFonts w:hint="eastAsia" w:ascii="Times New Roman" w:hAnsi="Times New Roman"/>
                <w:szCs w:val="21"/>
              </w:rPr>
            </w:pPr>
            <w:r>
              <w:rPr>
                <w:rFonts w:hint="eastAsia" w:ascii="Times New Roman" w:hAnsi="Times New Roman"/>
                <w:szCs w:val="21"/>
              </w:rPr>
              <w:t>（3）配套塑料收纳盒，可满足不同类型材料的分类储存。</w:t>
            </w:r>
          </w:p>
          <w:p w14:paraId="38B9AD6E">
            <w:pPr>
              <w:jc w:val="left"/>
              <w:rPr>
                <w:rFonts w:hint="eastAsia" w:ascii="Times New Roman" w:hAnsi="Times New Roman"/>
                <w:szCs w:val="21"/>
              </w:rPr>
            </w:pPr>
            <w:r>
              <w:rPr>
                <w:rFonts w:hint="eastAsia" w:ascii="Times New Roman" w:hAnsi="Times New Roman"/>
                <w:szCs w:val="21"/>
              </w:rPr>
              <w:t>（4）所有螺丝位无毛刺不刮手，边角采用圆边/圆角处理以及安全防撞设计，最大程度的避免儿童磕碰伤害，结构稳固。</w:t>
            </w:r>
          </w:p>
        </w:tc>
      </w:tr>
      <w:tr w14:paraId="6E29D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3" w:type="pct"/>
            <w:vMerge w:val="continue"/>
            <w:noWrap w:val="0"/>
            <w:vAlign w:val="center"/>
          </w:tcPr>
          <w:p w14:paraId="630448F7">
            <w:pPr>
              <w:jc w:val="center"/>
              <w:rPr>
                <w:rFonts w:ascii="Times New Roman" w:hAnsi="Times New Roman"/>
                <w:szCs w:val="21"/>
              </w:rPr>
            </w:pPr>
          </w:p>
        </w:tc>
        <w:tc>
          <w:tcPr>
            <w:tcW w:w="440" w:type="pct"/>
            <w:vMerge w:val="continue"/>
            <w:noWrap w:val="0"/>
            <w:vAlign w:val="center"/>
          </w:tcPr>
          <w:p w14:paraId="75AA0777">
            <w:pPr>
              <w:jc w:val="center"/>
              <w:rPr>
                <w:rFonts w:hint="eastAsia" w:ascii="Times New Roman" w:hAnsi="Times New Roman"/>
                <w:szCs w:val="21"/>
              </w:rPr>
            </w:pPr>
          </w:p>
        </w:tc>
        <w:tc>
          <w:tcPr>
            <w:tcW w:w="4225" w:type="pct"/>
            <w:noWrap w:val="0"/>
            <w:vAlign w:val="top"/>
          </w:tcPr>
          <w:p w14:paraId="18545F58">
            <w:pPr>
              <w:jc w:val="left"/>
              <w:rPr>
                <w:rFonts w:hint="eastAsia" w:ascii="Times New Roman" w:hAnsi="Times New Roman"/>
                <w:szCs w:val="21"/>
              </w:rPr>
            </w:pPr>
            <w:r>
              <w:rPr>
                <w:rFonts w:hint="eastAsia" w:ascii="Times New Roman" w:hAnsi="Times New Roman"/>
                <w:szCs w:val="21"/>
              </w:rPr>
              <w:t>2、外观结构：</w:t>
            </w:r>
          </w:p>
          <w:p w14:paraId="0A3E9762">
            <w:pPr>
              <w:jc w:val="left"/>
              <w:rPr>
                <w:rFonts w:hint="eastAsia" w:ascii="Times New Roman" w:hAnsi="Times New Roman"/>
                <w:szCs w:val="21"/>
              </w:rPr>
            </w:pPr>
            <w:r>
              <w:rPr>
                <w:rFonts w:hint="eastAsia" w:ascii="Times New Roman" w:hAnsi="Times New Roman"/>
                <w:szCs w:val="21"/>
              </w:rPr>
              <w:t>（1）柜体：采用厚度12mm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szCs w:val="21"/>
              </w:rPr>
              <w:t>的桦木纹饰面橡胶木拼板。柜体中间是两层无背板设计，上层格子安装塑料材质U型槽，呈卡其色，尺寸为L370mm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szCs w:val="21"/>
              </w:rPr>
              <w:t>，有利于铁网能准确滑入槽中，左右两侧设有纸卷放置格1格， 短背板设计</w:t>
            </w:r>
            <w:r>
              <w:rPr>
                <w:rFonts w:hint="eastAsia" w:ascii="Times New Roman" w:hAnsi="Times New Roman"/>
                <w:szCs w:val="21"/>
                <w:lang w:eastAsia="zh-CN"/>
              </w:rPr>
              <w:t>，</w:t>
            </w:r>
            <w:r>
              <w:rPr>
                <w:rFonts w:hint="eastAsia" w:ascii="Times New Roman" w:hAnsi="Times New Roman"/>
                <w:szCs w:val="21"/>
              </w:rPr>
              <w:t>2层2格颜料收纳格。</w:t>
            </w:r>
          </w:p>
          <w:p w14:paraId="7CBAF1E6">
            <w:pPr>
              <w:jc w:val="left"/>
              <w:rPr>
                <w:rFonts w:hint="eastAsia" w:ascii="Times New Roman" w:hAnsi="Times New Roman"/>
                <w:szCs w:val="21"/>
              </w:rPr>
            </w:pPr>
            <w:r>
              <w:rPr>
                <w:rFonts w:hint="eastAsia" w:ascii="Times New Roman" w:hAnsi="Times New Roman"/>
                <w:szCs w:val="21"/>
              </w:rPr>
              <w:t>（2）搭配：4个大收纳盒尺寸：L245xW150xH60mm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szCs w:val="21"/>
              </w:rPr>
              <w:t>，4个小收纳盒尺寸：L150xW120xH60mm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szCs w:val="21"/>
              </w:rPr>
              <w:t>，教具收纳更轻松。收纳盒采用塑料材质，呈浅咖色，圆滑无毛刺，一体成型设计，结构稳固。1块铁质晾干网，尺寸：L590xW350xH8mm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szCs w:val="21"/>
              </w:rPr>
              <w:t>，铁网表面采用静电粉末喷涂工艺，圆润光滑，防腐抗锈。</w:t>
            </w:r>
          </w:p>
          <w:p w14:paraId="2C69F2C5">
            <w:pPr>
              <w:jc w:val="left"/>
              <w:rPr>
                <w:rFonts w:hint="eastAsia" w:ascii="Times New Roman" w:hAnsi="Times New Roman"/>
                <w:szCs w:val="21"/>
              </w:rPr>
            </w:pPr>
            <w:r>
              <w:rPr>
                <w:rFonts w:hint="eastAsia" w:ascii="Times New Roman" w:hAnsi="Times New Roman"/>
                <w:szCs w:val="21"/>
              </w:rPr>
              <w:t>（3）采用的水性木蜡油封边，成分天然，分子机构细小，成膜牢固，密封性好，无毒。</w:t>
            </w:r>
          </w:p>
          <w:p w14:paraId="0BDA31F4">
            <w:pPr>
              <w:jc w:val="left"/>
              <w:rPr>
                <w:rFonts w:hint="eastAsia" w:ascii="Times New Roman" w:hAnsi="Times New Roman"/>
                <w:szCs w:val="21"/>
              </w:rPr>
            </w:pPr>
            <w:r>
              <w:rPr>
                <w:rFonts w:hint="eastAsia" w:ascii="Times New Roman" w:hAnsi="Times New Roman"/>
                <w:szCs w:val="21"/>
              </w:rPr>
              <w:t>（4）柜子底部安装4个静音带刹车万向脚轮，1个静音万向脚轮，脚轮运行平稳无声，可360°旋转，转动顺滑。</w:t>
            </w:r>
          </w:p>
        </w:tc>
      </w:tr>
      <w:tr w14:paraId="047DF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3" w:type="pct"/>
            <w:vMerge w:val="restart"/>
            <w:noWrap w:val="0"/>
            <w:vAlign w:val="center"/>
          </w:tcPr>
          <w:p w14:paraId="14B712AD">
            <w:pPr>
              <w:keepNext w:val="0"/>
              <w:keepLines w:val="0"/>
              <w:widowControl/>
              <w:suppressLineNumbers w:val="0"/>
              <w:jc w:val="center"/>
              <w:textAlignment w:val="center"/>
              <w:rPr>
                <w:rFonts w:ascii="Times New Roman" w:hAnsi="Times New Roman"/>
                <w:szCs w:val="21"/>
              </w:rPr>
            </w:pPr>
            <w:r>
              <w:rPr>
                <w:rFonts w:hint="default" w:ascii="Arial" w:hAnsi="Arial" w:eastAsia="宋体" w:cs="Arial"/>
                <w:i w:val="0"/>
                <w:iCs w:val="0"/>
                <w:color w:val="000000"/>
                <w:kern w:val="0"/>
                <w:sz w:val="20"/>
                <w:szCs w:val="20"/>
                <w:u w:val="none"/>
                <w:lang w:val="en-US" w:eastAsia="zh-CN" w:bidi="ar"/>
              </w:rPr>
              <w:t xml:space="preserve">41 </w:t>
            </w:r>
          </w:p>
        </w:tc>
        <w:tc>
          <w:tcPr>
            <w:tcW w:w="440" w:type="pct"/>
            <w:vMerge w:val="restart"/>
            <w:noWrap w:val="0"/>
            <w:vAlign w:val="center"/>
          </w:tcPr>
          <w:p w14:paraId="4A44D193">
            <w:pPr>
              <w:keepNext w:val="0"/>
              <w:keepLines w:val="0"/>
              <w:widowControl/>
              <w:suppressLineNumbers w:val="0"/>
              <w:jc w:val="center"/>
              <w:textAlignment w:val="center"/>
              <w:rPr>
                <w:rFonts w:hint="eastAsia" w:ascii="Times New Roman" w:hAnsi="Times New Roman"/>
                <w:szCs w:val="21"/>
              </w:rPr>
            </w:pPr>
            <w:r>
              <w:rPr>
                <w:rFonts w:hint="eastAsia" w:ascii="宋体" w:hAnsi="宋体" w:eastAsia="宋体" w:cs="宋体"/>
                <w:i w:val="0"/>
                <w:iCs w:val="0"/>
                <w:color w:val="000000"/>
                <w:kern w:val="0"/>
                <w:sz w:val="20"/>
                <w:szCs w:val="20"/>
                <w:u w:val="none"/>
                <w:lang w:val="en-US" w:eastAsia="zh-CN" w:bidi="ar"/>
              </w:rPr>
              <w:t>3层短柜高柜.半背板</w:t>
            </w:r>
          </w:p>
        </w:tc>
        <w:tc>
          <w:tcPr>
            <w:tcW w:w="4225" w:type="pct"/>
            <w:noWrap w:val="0"/>
            <w:vAlign w:val="center"/>
          </w:tcPr>
          <w:p w14:paraId="4012FAA3">
            <w:pPr>
              <w:jc w:val="left"/>
              <w:rPr>
                <w:rFonts w:hint="eastAsia" w:ascii="Times New Roman" w:hAnsi="Times New Roman"/>
                <w:szCs w:val="21"/>
              </w:rPr>
            </w:pPr>
            <w:r>
              <w:rPr>
                <w:rFonts w:hint="eastAsia" w:ascii="Times New Roman" w:hAnsi="Times New Roman"/>
                <w:szCs w:val="21"/>
              </w:rPr>
              <w:t>规格：L61.5xW30xH80cm（±3cm）</w:t>
            </w:r>
          </w:p>
        </w:tc>
      </w:tr>
      <w:tr w14:paraId="193EF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3" w:type="pct"/>
            <w:vMerge w:val="continue"/>
            <w:noWrap w:val="0"/>
            <w:vAlign w:val="center"/>
          </w:tcPr>
          <w:p w14:paraId="74A8B13A">
            <w:pPr>
              <w:jc w:val="center"/>
              <w:rPr>
                <w:rFonts w:ascii="Times New Roman" w:hAnsi="Times New Roman"/>
                <w:szCs w:val="21"/>
              </w:rPr>
            </w:pPr>
          </w:p>
        </w:tc>
        <w:tc>
          <w:tcPr>
            <w:tcW w:w="440" w:type="pct"/>
            <w:vMerge w:val="continue"/>
            <w:noWrap w:val="0"/>
            <w:vAlign w:val="center"/>
          </w:tcPr>
          <w:p w14:paraId="01C01B31">
            <w:pPr>
              <w:jc w:val="center"/>
              <w:rPr>
                <w:rFonts w:hint="eastAsia" w:ascii="Times New Roman" w:hAnsi="Times New Roman"/>
                <w:szCs w:val="21"/>
              </w:rPr>
            </w:pPr>
          </w:p>
        </w:tc>
        <w:tc>
          <w:tcPr>
            <w:tcW w:w="4225" w:type="pct"/>
            <w:noWrap w:val="0"/>
            <w:vAlign w:val="top"/>
          </w:tcPr>
          <w:p w14:paraId="5C67E7DD">
            <w:pPr>
              <w:jc w:val="left"/>
              <w:rPr>
                <w:rFonts w:hint="eastAsia" w:ascii="Times New Roman" w:hAnsi="Times New Roman"/>
                <w:szCs w:val="21"/>
              </w:rPr>
            </w:pPr>
            <w:r>
              <w:rPr>
                <w:rFonts w:hint="eastAsia" w:ascii="Times New Roman" w:hAnsi="Times New Roman"/>
                <w:szCs w:val="21"/>
              </w:rPr>
              <w:t>1、工艺设计：</w:t>
            </w:r>
          </w:p>
          <w:p w14:paraId="5DB9480E">
            <w:pPr>
              <w:jc w:val="left"/>
              <w:rPr>
                <w:rFonts w:hint="eastAsia" w:ascii="Times New Roman" w:hAnsi="Times New Roman"/>
                <w:szCs w:val="21"/>
              </w:rPr>
            </w:pPr>
            <w:r>
              <w:rPr>
                <w:rFonts w:hint="eastAsia" w:ascii="Times New Roman" w:hAnsi="Times New Roman"/>
                <w:szCs w:val="21"/>
              </w:rPr>
              <w:t>（1）采用翻板活动轮工艺，移动/固定自由切换。</w:t>
            </w:r>
          </w:p>
          <w:p w14:paraId="3E29D6B0">
            <w:pPr>
              <w:jc w:val="left"/>
              <w:rPr>
                <w:rFonts w:hint="eastAsia" w:ascii="Times New Roman" w:hAnsi="Times New Roman"/>
                <w:szCs w:val="21"/>
              </w:rPr>
            </w:pPr>
            <w:r>
              <w:rPr>
                <w:rFonts w:hint="eastAsia" w:ascii="Times New Roman" w:hAnsi="Times New Roman"/>
                <w:szCs w:val="21"/>
              </w:rPr>
              <w:t>（2）所有螺丝位无毛刺不刮手，四角及边沿采用圆角/圆边处理以及安全防撞设计，最大程度的避免儿童磕碰伤害，结构稳固。</w:t>
            </w:r>
          </w:p>
        </w:tc>
      </w:tr>
      <w:tr w14:paraId="3806D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3" w:type="pct"/>
            <w:vMerge w:val="continue"/>
            <w:noWrap w:val="0"/>
            <w:vAlign w:val="center"/>
          </w:tcPr>
          <w:p w14:paraId="3B27544C">
            <w:pPr>
              <w:jc w:val="center"/>
              <w:rPr>
                <w:rFonts w:ascii="Times New Roman" w:hAnsi="Times New Roman"/>
                <w:szCs w:val="21"/>
              </w:rPr>
            </w:pPr>
          </w:p>
        </w:tc>
        <w:tc>
          <w:tcPr>
            <w:tcW w:w="440" w:type="pct"/>
            <w:vMerge w:val="continue"/>
            <w:noWrap w:val="0"/>
            <w:vAlign w:val="center"/>
          </w:tcPr>
          <w:p w14:paraId="6A298AB2">
            <w:pPr>
              <w:jc w:val="center"/>
              <w:rPr>
                <w:rFonts w:hint="eastAsia" w:ascii="Times New Roman" w:hAnsi="Times New Roman"/>
                <w:szCs w:val="21"/>
              </w:rPr>
            </w:pPr>
          </w:p>
        </w:tc>
        <w:tc>
          <w:tcPr>
            <w:tcW w:w="4225" w:type="pct"/>
            <w:noWrap w:val="0"/>
            <w:vAlign w:val="top"/>
          </w:tcPr>
          <w:p w14:paraId="1454A012">
            <w:pPr>
              <w:jc w:val="left"/>
              <w:rPr>
                <w:rFonts w:hint="eastAsia" w:ascii="Times New Roman" w:hAnsi="Times New Roman"/>
                <w:szCs w:val="21"/>
              </w:rPr>
            </w:pPr>
            <w:r>
              <w:rPr>
                <w:rFonts w:hint="eastAsia" w:ascii="Times New Roman" w:hAnsi="Times New Roman"/>
                <w:szCs w:val="21"/>
              </w:rPr>
              <w:t>2、外观结构及材质：</w:t>
            </w:r>
          </w:p>
          <w:p w14:paraId="0C9E00C3">
            <w:pPr>
              <w:jc w:val="left"/>
              <w:rPr>
                <w:rFonts w:hint="eastAsia" w:ascii="Times New Roman" w:hAnsi="Times New Roman"/>
                <w:szCs w:val="21"/>
              </w:rPr>
            </w:pPr>
            <w:r>
              <w:rPr>
                <w:rFonts w:hint="eastAsia" w:ascii="Times New Roman" w:hAnsi="Times New Roman"/>
                <w:szCs w:val="21"/>
              </w:rPr>
              <w:t>（1）柜体：采用16mm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szCs w:val="21"/>
              </w:rPr>
              <w:t>的橡胶木拼板。共三层，属于短柜高柜，可用于补充区角空间，增加层次；上二层格子内空：586x300x222mm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szCs w:val="21"/>
              </w:rPr>
              <w:t>，下层格子内空：586x280x222mm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szCs w:val="21"/>
              </w:rPr>
              <w:t>。背板采用厚度5mm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szCs w:val="21"/>
              </w:rPr>
              <w:t>的饰面实木纤维板。</w:t>
            </w:r>
          </w:p>
          <w:p w14:paraId="234BB4ED">
            <w:pPr>
              <w:jc w:val="left"/>
              <w:rPr>
                <w:rFonts w:hint="eastAsia" w:ascii="Times New Roman" w:hAnsi="Times New Roman"/>
                <w:szCs w:val="21"/>
              </w:rPr>
            </w:pPr>
            <w:r>
              <w:rPr>
                <w:rFonts w:hint="eastAsia" w:ascii="Times New Roman" w:hAnsi="Times New Roman"/>
                <w:szCs w:val="21"/>
              </w:rPr>
              <w:t>（2）围脚：采用厚度18mm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szCs w:val="21"/>
              </w:rPr>
              <w:t>的橡胶木拼板。柜体与底部围脚采用塑料连接件实现翻板功能，脚轮为静音万向轮，安装在围脚侧板内，当家具固定时，围脚侧板向下翻，万向轮则隐藏于侧板内；当家具需要移动时，围脚侧板向上翻，塑料连接件卡扣对侧板进行固定，万向轮支撑起家具的重量，无须抬起轻松实现家具位置转移。</w:t>
            </w:r>
          </w:p>
          <w:p w14:paraId="37276F8A">
            <w:pPr>
              <w:jc w:val="left"/>
              <w:rPr>
                <w:rFonts w:hint="eastAsia" w:ascii="Times New Roman" w:hAnsi="Times New Roman"/>
                <w:szCs w:val="21"/>
              </w:rPr>
            </w:pPr>
            <w:r>
              <w:rPr>
                <w:rFonts w:hint="eastAsia" w:ascii="Times New Roman" w:hAnsi="Times New Roman"/>
                <w:szCs w:val="21"/>
              </w:rPr>
              <w:t>（3）采用的水性漆，全封闭涂装工艺，漆面光泽高透，颜色均匀。</w:t>
            </w:r>
          </w:p>
        </w:tc>
      </w:tr>
      <w:tr w14:paraId="26790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3" w:type="pct"/>
            <w:vMerge w:val="restart"/>
            <w:noWrap w:val="0"/>
            <w:vAlign w:val="center"/>
          </w:tcPr>
          <w:p w14:paraId="5A7C0DFC">
            <w:pPr>
              <w:keepNext w:val="0"/>
              <w:keepLines w:val="0"/>
              <w:widowControl/>
              <w:suppressLineNumbers w:val="0"/>
              <w:jc w:val="center"/>
              <w:textAlignment w:val="center"/>
              <w:rPr>
                <w:rFonts w:ascii="Times New Roman" w:hAnsi="Times New Roman"/>
                <w:szCs w:val="21"/>
              </w:rPr>
            </w:pPr>
            <w:r>
              <w:rPr>
                <w:rFonts w:hint="default" w:ascii="Arial" w:hAnsi="Arial" w:eastAsia="宋体" w:cs="Arial"/>
                <w:i w:val="0"/>
                <w:iCs w:val="0"/>
                <w:color w:val="000000"/>
                <w:kern w:val="0"/>
                <w:sz w:val="20"/>
                <w:szCs w:val="20"/>
                <w:u w:val="none"/>
                <w:lang w:val="en-US" w:eastAsia="zh-CN" w:bidi="ar"/>
              </w:rPr>
              <w:t xml:space="preserve">42 </w:t>
            </w:r>
          </w:p>
        </w:tc>
        <w:tc>
          <w:tcPr>
            <w:tcW w:w="440" w:type="pct"/>
            <w:vMerge w:val="restart"/>
            <w:noWrap w:val="0"/>
            <w:vAlign w:val="center"/>
          </w:tcPr>
          <w:p w14:paraId="6B6B00DA">
            <w:pPr>
              <w:keepNext w:val="0"/>
              <w:keepLines w:val="0"/>
              <w:widowControl/>
              <w:suppressLineNumbers w:val="0"/>
              <w:jc w:val="center"/>
              <w:textAlignment w:val="center"/>
              <w:rPr>
                <w:rFonts w:hint="eastAsia" w:ascii="Times New Roman" w:hAnsi="Times New Roman"/>
                <w:szCs w:val="21"/>
              </w:rPr>
            </w:pPr>
            <w:r>
              <w:rPr>
                <w:rFonts w:hint="eastAsia" w:ascii="宋体" w:hAnsi="宋体" w:eastAsia="宋体" w:cs="宋体"/>
                <w:i w:val="0"/>
                <w:iCs w:val="0"/>
                <w:color w:val="000000"/>
                <w:kern w:val="0"/>
                <w:sz w:val="20"/>
                <w:szCs w:val="20"/>
                <w:u w:val="none"/>
                <w:lang w:val="en-US" w:eastAsia="zh-CN" w:bidi="ar"/>
              </w:rPr>
              <w:t>5格分区矮柜.无背板</w:t>
            </w:r>
          </w:p>
        </w:tc>
        <w:tc>
          <w:tcPr>
            <w:tcW w:w="4225" w:type="pct"/>
            <w:noWrap w:val="0"/>
            <w:vAlign w:val="center"/>
          </w:tcPr>
          <w:p w14:paraId="288F98C4">
            <w:pPr>
              <w:jc w:val="left"/>
              <w:rPr>
                <w:rFonts w:hint="eastAsia" w:ascii="Times New Roman" w:hAnsi="Times New Roman"/>
                <w:szCs w:val="21"/>
              </w:rPr>
            </w:pPr>
            <w:r>
              <w:rPr>
                <w:rFonts w:hint="eastAsia" w:ascii="Times New Roman" w:hAnsi="Times New Roman"/>
                <w:szCs w:val="21"/>
              </w:rPr>
              <w:t>规格：L91.5xW30xH59cm（±3cm）</w:t>
            </w:r>
          </w:p>
        </w:tc>
      </w:tr>
      <w:tr w14:paraId="0696E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3" w:type="pct"/>
            <w:vMerge w:val="continue"/>
            <w:noWrap w:val="0"/>
            <w:vAlign w:val="center"/>
          </w:tcPr>
          <w:p w14:paraId="21AC905D">
            <w:pPr>
              <w:jc w:val="center"/>
              <w:rPr>
                <w:rFonts w:ascii="Times New Roman" w:hAnsi="Times New Roman"/>
                <w:szCs w:val="21"/>
              </w:rPr>
            </w:pPr>
          </w:p>
        </w:tc>
        <w:tc>
          <w:tcPr>
            <w:tcW w:w="440" w:type="pct"/>
            <w:vMerge w:val="continue"/>
            <w:noWrap w:val="0"/>
            <w:vAlign w:val="center"/>
          </w:tcPr>
          <w:p w14:paraId="24DF34C6">
            <w:pPr>
              <w:jc w:val="center"/>
              <w:rPr>
                <w:rFonts w:hint="eastAsia" w:ascii="Times New Roman" w:hAnsi="Times New Roman"/>
                <w:szCs w:val="21"/>
              </w:rPr>
            </w:pPr>
          </w:p>
        </w:tc>
        <w:tc>
          <w:tcPr>
            <w:tcW w:w="4225" w:type="pct"/>
            <w:noWrap w:val="0"/>
            <w:vAlign w:val="top"/>
          </w:tcPr>
          <w:p w14:paraId="542F3377">
            <w:pPr>
              <w:jc w:val="left"/>
              <w:rPr>
                <w:rFonts w:hint="eastAsia" w:ascii="Times New Roman" w:hAnsi="Times New Roman"/>
                <w:szCs w:val="21"/>
              </w:rPr>
            </w:pPr>
            <w:r>
              <w:rPr>
                <w:rFonts w:hint="eastAsia" w:ascii="Times New Roman" w:hAnsi="Times New Roman"/>
                <w:szCs w:val="21"/>
                <w:lang w:val="en-US" w:eastAsia="zh-CN"/>
              </w:rPr>
              <w:t>1</w:t>
            </w:r>
            <w:r>
              <w:rPr>
                <w:rFonts w:hint="eastAsia" w:ascii="Times New Roman" w:hAnsi="Times New Roman"/>
                <w:szCs w:val="21"/>
              </w:rPr>
              <w:t>、工艺设计：</w:t>
            </w:r>
          </w:p>
          <w:p w14:paraId="62ED8D88">
            <w:pPr>
              <w:jc w:val="left"/>
              <w:rPr>
                <w:rFonts w:hint="eastAsia" w:ascii="Times New Roman" w:hAnsi="Times New Roman"/>
                <w:szCs w:val="21"/>
              </w:rPr>
            </w:pPr>
            <w:r>
              <w:rPr>
                <w:rFonts w:hint="eastAsia" w:ascii="Times New Roman" w:hAnsi="Times New Roman"/>
                <w:szCs w:val="21"/>
              </w:rPr>
              <w:t>（1）采用翻板活动轮工艺，移动/固定自由切换。</w:t>
            </w:r>
          </w:p>
          <w:p w14:paraId="3434846B">
            <w:pPr>
              <w:jc w:val="left"/>
              <w:rPr>
                <w:rFonts w:hint="eastAsia" w:ascii="Times New Roman" w:hAnsi="Times New Roman"/>
                <w:szCs w:val="21"/>
              </w:rPr>
            </w:pPr>
            <w:r>
              <w:rPr>
                <w:rFonts w:hint="eastAsia" w:ascii="Times New Roman" w:hAnsi="Times New Roman"/>
                <w:szCs w:val="21"/>
              </w:rPr>
              <w:t>（2）所有螺丝位无毛刺不刮手，四角及边沿采用圆角/圆边处理以及安全防撞设计，最大程度的避免儿童磕碰伤害，结构稳固。</w:t>
            </w:r>
          </w:p>
        </w:tc>
      </w:tr>
      <w:tr w14:paraId="35C91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3" w:type="pct"/>
            <w:vMerge w:val="continue"/>
            <w:noWrap w:val="0"/>
            <w:vAlign w:val="center"/>
          </w:tcPr>
          <w:p w14:paraId="56010CE3">
            <w:pPr>
              <w:jc w:val="center"/>
              <w:rPr>
                <w:rFonts w:ascii="Times New Roman" w:hAnsi="Times New Roman"/>
                <w:szCs w:val="21"/>
              </w:rPr>
            </w:pPr>
          </w:p>
        </w:tc>
        <w:tc>
          <w:tcPr>
            <w:tcW w:w="440" w:type="pct"/>
            <w:vMerge w:val="continue"/>
            <w:noWrap w:val="0"/>
            <w:vAlign w:val="center"/>
          </w:tcPr>
          <w:p w14:paraId="4702A064">
            <w:pPr>
              <w:jc w:val="center"/>
              <w:rPr>
                <w:rFonts w:hint="eastAsia" w:ascii="Times New Roman" w:hAnsi="Times New Roman"/>
                <w:szCs w:val="21"/>
              </w:rPr>
            </w:pPr>
          </w:p>
        </w:tc>
        <w:tc>
          <w:tcPr>
            <w:tcW w:w="4225" w:type="pct"/>
            <w:noWrap w:val="0"/>
            <w:vAlign w:val="top"/>
          </w:tcPr>
          <w:p w14:paraId="350FFCA5">
            <w:pPr>
              <w:jc w:val="left"/>
              <w:rPr>
                <w:rFonts w:hint="eastAsia" w:ascii="Times New Roman" w:hAnsi="Times New Roman"/>
                <w:szCs w:val="21"/>
              </w:rPr>
            </w:pPr>
            <w:r>
              <w:rPr>
                <w:rFonts w:hint="eastAsia" w:ascii="Times New Roman" w:hAnsi="Times New Roman"/>
                <w:szCs w:val="21"/>
              </w:rPr>
              <w:t>2、外观结构及材质：</w:t>
            </w:r>
          </w:p>
          <w:p w14:paraId="34BCC1AE">
            <w:pPr>
              <w:jc w:val="left"/>
              <w:rPr>
                <w:rFonts w:hint="eastAsia" w:ascii="Times New Roman" w:hAnsi="Times New Roman"/>
                <w:szCs w:val="21"/>
              </w:rPr>
            </w:pPr>
            <w:r>
              <w:rPr>
                <w:rFonts w:hint="eastAsia" w:ascii="Times New Roman" w:hAnsi="Times New Roman"/>
                <w:szCs w:val="21"/>
              </w:rPr>
              <w:t>（1）柜体：采用16mm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szCs w:val="21"/>
              </w:rPr>
              <w:t>的橡胶木拼板。上层两个格子，内空尺寸：434x300x236mm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szCs w:val="21"/>
              </w:rPr>
              <w:t>,下层三个格子，内空尺寸：284x300x236mm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szCs w:val="21"/>
              </w:rPr>
              <w:t>。</w:t>
            </w:r>
          </w:p>
          <w:p w14:paraId="15159D62">
            <w:pPr>
              <w:jc w:val="left"/>
              <w:rPr>
                <w:rFonts w:hint="eastAsia" w:ascii="Times New Roman" w:hAnsi="Times New Roman"/>
                <w:szCs w:val="21"/>
              </w:rPr>
            </w:pPr>
            <w:r>
              <w:rPr>
                <w:rFonts w:hint="eastAsia" w:ascii="Times New Roman" w:hAnsi="Times New Roman"/>
                <w:szCs w:val="21"/>
              </w:rPr>
              <w:t>（2）围脚：采用厚度18mm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szCs w:val="21"/>
              </w:rPr>
              <w:t>的橡胶木拼板。柜体与底部围脚采用塑料连接件实现翻板功能，脚轮为静音万向轮，安装在围脚侧板内，当家具固定时，围脚侧板向下翻，万向轮则隐藏于侧板内；当家具需要移动时，围脚侧板向上翻，塑料连接件卡扣对侧板进行固定，万向轮支撑起家具的重量，无须抬起轻松实现家具位置转移。</w:t>
            </w:r>
          </w:p>
          <w:p w14:paraId="3AC3F27D">
            <w:pPr>
              <w:jc w:val="left"/>
              <w:rPr>
                <w:rFonts w:hint="eastAsia" w:ascii="Times New Roman" w:hAnsi="Times New Roman"/>
                <w:szCs w:val="21"/>
              </w:rPr>
            </w:pPr>
            <w:r>
              <w:rPr>
                <w:rFonts w:hint="eastAsia" w:ascii="Times New Roman" w:hAnsi="Times New Roman"/>
                <w:szCs w:val="21"/>
              </w:rPr>
              <w:t>（3）采用的水性漆，全封闭涂装工艺，漆面光泽高透，颜色均匀。</w:t>
            </w:r>
          </w:p>
        </w:tc>
      </w:tr>
      <w:tr w14:paraId="4D7B3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3" w:type="pct"/>
            <w:vMerge w:val="restart"/>
            <w:noWrap w:val="0"/>
            <w:vAlign w:val="center"/>
          </w:tcPr>
          <w:p w14:paraId="572499D9">
            <w:pPr>
              <w:keepNext w:val="0"/>
              <w:keepLines w:val="0"/>
              <w:widowControl/>
              <w:suppressLineNumbers w:val="0"/>
              <w:jc w:val="center"/>
              <w:textAlignment w:val="center"/>
              <w:rPr>
                <w:rFonts w:ascii="Times New Roman" w:hAnsi="Times New Roman"/>
                <w:szCs w:val="21"/>
              </w:rPr>
            </w:pPr>
            <w:r>
              <w:rPr>
                <w:rFonts w:hint="default" w:ascii="Arial" w:hAnsi="Arial" w:eastAsia="宋体" w:cs="Arial"/>
                <w:i w:val="0"/>
                <w:iCs w:val="0"/>
                <w:color w:val="000000"/>
                <w:kern w:val="0"/>
                <w:sz w:val="20"/>
                <w:szCs w:val="20"/>
                <w:u w:val="none"/>
                <w:lang w:val="en-US" w:eastAsia="zh-CN" w:bidi="ar"/>
              </w:rPr>
              <w:t xml:space="preserve">43 </w:t>
            </w:r>
          </w:p>
        </w:tc>
        <w:tc>
          <w:tcPr>
            <w:tcW w:w="440" w:type="pct"/>
            <w:vMerge w:val="restart"/>
            <w:noWrap w:val="0"/>
            <w:vAlign w:val="center"/>
          </w:tcPr>
          <w:p w14:paraId="3148B69A">
            <w:pPr>
              <w:keepNext w:val="0"/>
              <w:keepLines w:val="0"/>
              <w:widowControl/>
              <w:suppressLineNumbers w:val="0"/>
              <w:jc w:val="center"/>
              <w:textAlignment w:val="center"/>
              <w:rPr>
                <w:rFonts w:hint="default" w:ascii="Times New Roman" w:hAnsi="Times New Roman"/>
                <w:szCs w:val="21"/>
                <w:lang w:val="en-US"/>
              </w:rPr>
            </w:pPr>
            <w:r>
              <w:rPr>
                <w:rFonts w:hint="eastAsia" w:ascii="宋体" w:hAnsi="宋体" w:eastAsia="宋体" w:cs="宋体"/>
                <w:i w:val="0"/>
                <w:iCs w:val="0"/>
                <w:color w:val="000000"/>
                <w:kern w:val="0"/>
                <w:sz w:val="20"/>
                <w:szCs w:val="20"/>
                <w:u w:val="none"/>
                <w:lang w:val="en-US" w:eastAsia="zh-CN" w:bidi="ar"/>
              </w:rPr>
              <w:t>组合屏风</w:t>
            </w:r>
          </w:p>
        </w:tc>
        <w:tc>
          <w:tcPr>
            <w:tcW w:w="4225" w:type="pct"/>
            <w:noWrap w:val="0"/>
            <w:vAlign w:val="center"/>
          </w:tcPr>
          <w:p w14:paraId="1D08C18B">
            <w:pPr>
              <w:jc w:val="left"/>
              <w:rPr>
                <w:rFonts w:hint="eastAsia" w:ascii="Times New Roman" w:hAnsi="Times New Roman"/>
                <w:szCs w:val="21"/>
              </w:rPr>
            </w:pPr>
            <w:r>
              <w:rPr>
                <w:rFonts w:hint="eastAsia" w:ascii="Times New Roman" w:hAnsi="Times New Roman"/>
                <w:szCs w:val="21"/>
              </w:rPr>
              <w:t>规格：L80xW35xH143cm（±3cm）</w:t>
            </w:r>
          </w:p>
        </w:tc>
      </w:tr>
      <w:tr w14:paraId="1B3BB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3" w:type="pct"/>
            <w:vMerge w:val="continue"/>
            <w:noWrap w:val="0"/>
            <w:vAlign w:val="center"/>
          </w:tcPr>
          <w:p w14:paraId="51621CE7">
            <w:pPr>
              <w:jc w:val="center"/>
              <w:rPr>
                <w:rFonts w:ascii="Times New Roman" w:hAnsi="Times New Roman"/>
                <w:szCs w:val="21"/>
              </w:rPr>
            </w:pPr>
          </w:p>
        </w:tc>
        <w:tc>
          <w:tcPr>
            <w:tcW w:w="440" w:type="pct"/>
            <w:vMerge w:val="continue"/>
            <w:noWrap w:val="0"/>
            <w:vAlign w:val="center"/>
          </w:tcPr>
          <w:p w14:paraId="31495243">
            <w:pPr>
              <w:jc w:val="center"/>
              <w:rPr>
                <w:rFonts w:hint="eastAsia" w:ascii="Times New Roman" w:hAnsi="Times New Roman"/>
                <w:szCs w:val="21"/>
              </w:rPr>
            </w:pPr>
          </w:p>
        </w:tc>
        <w:tc>
          <w:tcPr>
            <w:tcW w:w="4225" w:type="pct"/>
            <w:noWrap w:val="0"/>
            <w:vAlign w:val="top"/>
          </w:tcPr>
          <w:p w14:paraId="4DB1617C">
            <w:pPr>
              <w:jc w:val="left"/>
              <w:rPr>
                <w:rFonts w:hint="eastAsia" w:ascii="Times New Roman" w:hAnsi="Times New Roman"/>
                <w:szCs w:val="21"/>
              </w:rPr>
            </w:pPr>
            <w:r>
              <w:rPr>
                <w:rFonts w:hint="eastAsia" w:ascii="Times New Roman" w:hAnsi="Times New Roman"/>
                <w:szCs w:val="21"/>
              </w:rPr>
              <w:t>1、工艺设计：</w:t>
            </w:r>
          </w:p>
          <w:p w14:paraId="3D1B0DA5">
            <w:pPr>
              <w:jc w:val="left"/>
              <w:rPr>
                <w:rFonts w:hint="eastAsia" w:ascii="Times New Roman" w:hAnsi="Times New Roman"/>
                <w:szCs w:val="21"/>
              </w:rPr>
            </w:pPr>
            <w:r>
              <w:rPr>
                <w:rFonts w:hint="eastAsia" w:ascii="Times New Roman" w:hAnsi="Times New Roman"/>
                <w:szCs w:val="21"/>
              </w:rPr>
              <w:t>（1）贯穿式连接器功能设计，可快速组合/拆卸屏风，无须任何工具。</w:t>
            </w:r>
          </w:p>
          <w:p w14:paraId="3E079468">
            <w:pPr>
              <w:jc w:val="left"/>
              <w:rPr>
                <w:rFonts w:hint="eastAsia" w:ascii="Times New Roman" w:hAnsi="Times New Roman"/>
                <w:szCs w:val="21"/>
              </w:rPr>
            </w:pPr>
            <w:r>
              <w:rPr>
                <w:rFonts w:hint="eastAsia" w:ascii="Times New Roman" w:hAnsi="Times New Roman"/>
                <w:szCs w:val="21"/>
              </w:rPr>
              <w:t>（2）多功能带轮带刹车展示屏风，移动/固定便捷，能适用多场景下使用。</w:t>
            </w:r>
          </w:p>
          <w:p w14:paraId="0F506419">
            <w:pPr>
              <w:jc w:val="left"/>
              <w:rPr>
                <w:rFonts w:hint="eastAsia" w:ascii="Times New Roman" w:hAnsi="Times New Roman"/>
                <w:szCs w:val="21"/>
              </w:rPr>
            </w:pPr>
            <w:r>
              <w:rPr>
                <w:rFonts w:hint="eastAsia" w:ascii="Times New Roman" w:hAnsi="Times New Roman"/>
                <w:szCs w:val="21"/>
              </w:rPr>
              <w:t>（3）铁网表面采用静电粉末喷涂工艺，圆润光滑，防腐抗锈，坚固耐用。</w:t>
            </w:r>
          </w:p>
          <w:p w14:paraId="1CB44034">
            <w:pPr>
              <w:jc w:val="left"/>
              <w:rPr>
                <w:rFonts w:hint="eastAsia" w:ascii="Times New Roman" w:hAnsi="Times New Roman"/>
                <w:szCs w:val="21"/>
              </w:rPr>
            </w:pPr>
            <w:r>
              <w:rPr>
                <w:rFonts w:hint="eastAsia" w:ascii="Times New Roman" w:hAnsi="Times New Roman"/>
                <w:szCs w:val="21"/>
              </w:rPr>
              <w:t>（4）所有螺丝位无毛刺不刮手，边角采用圆边/圆角处理以及安全防撞设计，最大程度的避免儿童磕碰伤害，结构稳固。</w:t>
            </w:r>
          </w:p>
        </w:tc>
      </w:tr>
      <w:tr w14:paraId="0E9AC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3" w:type="pct"/>
            <w:vMerge w:val="continue"/>
            <w:noWrap w:val="0"/>
            <w:vAlign w:val="center"/>
          </w:tcPr>
          <w:p w14:paraId="55C261CF">
            <w:pPr>
              <w:widowControl/>
              <w:jc w:val="center"/>
              <w:textAlignment w:val="center"/>
              <w:rPr>
                <w:rFonts w:ascii="Times New Roman" w:hAnsi="Times New Roman"/>
                <w:szCs w:val="21"/>
              </w:rPr>
            </w:pPr>
          </w:p>
        </w:tc>
        <w:tc>
          <w:tcPr>
            <w:tcW w:w="440" w:type="pct"/>
            <w:vMerge w:val="continue"/>
            <w:noWrap w:val="0"/>
            <w:vAlign w:val="center"/>
          </w:tcPr>
          <w:p w14:paraId="7AFFACC9">
            <w:pPr>
              <w:jc w:val="center"/>
              <w:rPr>
                <w:rFonts w:hint="eastAsia" w:ascii="Times New Roman" w:hAnsi="Times New Roman"/>
                <w:szCs w:val="21"/>
              </w:rPr>
            </w:pPr>
          </w:p>
        </w:tc>
        <w:tc>
          <w:tcPr>
            <w:tcW w:w="4225" w:type="pct"/>
            <w:noWrap w:val="0"/>
            <w:vAlign w:val="top"/>
          </w:tcPr>
          <w:p w14:paraId="61282BB9">
            <w:pPr>
              <w:jc w:val="left"/>
              <w:rPr>
                <w:rFonts w:hint="eastAsia" w:ascii="Times New Roman" w:hAnsi="Times New Roman"/>
                <w:szCs w:val="21"/>
              </w:rPr>
            </w:pPr>
            <w:r>
              <w:rPr>
                <w:rFonts w:hint="eastAsia" w:ascii="Times New Roman" w:hAnsi="Times New Roman"/>
                <w:szCs w:val="21"/>
              </w:rPr>
              <w:t>2、外观结构及材质：</w:t>
            </w:r>
          </w:p>
          <w:p w14:paraId="77C5D0AB">
            <w:pPr>
              <w:jc w:val="left"/>
              <w:rPr>
                <w:rFonts w:hint="eastAsia" w:ascii="Times New Roman" w:hAnsi="Times New Roman"/>
                <w:szCs w:val="21"/>
              </w:rPr>
            </w:pPr>
            <w:r>
              <w:rPr>
                <w:rFonts w:hint="eastAsia" w:ascii="Times New Roman" w:hAnsi="Times New Roman"/>
                <w:szCs w:val="21"/>
              </w:rPr>
              <w:t>（1）主体采用厚度18mm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szCs w:val="21"/>
              </w:rPr>
              <w:t>的实木多层板，展示框架采用桦木原木，材质厚实坚固，纹理均匀细致。底部2个收纳格，内空尺寸：373x350x169mm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szCs w:val="21"/>
              </w:rPr>
              <w:t>。</w:t>
            </w:r>
          </w:p>
          <w:p w14:paraId="07ADBB40">
            <w:pPr>
              <w:jc w:val="left"/>
              <w:rPr>
                <w:rFonts w:hint="eastAsia" w:ascii="Times New Roman" w:hAnsi="Times New Roman"/>
                <w:szCs w:val="21"/>
              </w:rPr>
            </w:pPr>
            <w:r>
              <w:rPr>
                <w:rFonts w:hint="eastAsia" w:ascii="Times New Roman" w:hAnsi="Times New Roman"/>
                <w:szCs w:val="21"/>
              </w:rPr>
              <w:t>（2）底部安装4个静音万向脚轮，脚轮运行平稳无声，可360°旋转，转动顺滑，刹车灵敏，踏板不易断裂。</w:t>
            </w:r>
          </w:p>
          <w:p w14:paraId="46A49599">
            <w:pPr>
              <w:jc w:val="left"/>
              <w:rPr>
                <w:rFonts w:hint="eastAsia" w:ascii="Times New Roman" w:hAnsi="Times New Roman"/>
                <w:szCs w:val="21"/>
              </w:rPr>
            </w:pPr>
            <w:r>
              <w:rPr>
                <w:rFonts w:hint="eastAsia" w:ascii="Times New Roman" w:hAnsi="Times New Roman"/>
                <w:szCs w:val="21"/>
              </w:rPr>
              <w:t>（3）展示框架内嵌一个内格60x60mm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szCs w:val="21"/>
              </w:rPr>
              <w:t>方格哑黑色铁网，可用尺寸为L674xH847mm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szCs w:val="21"/>
              </w:rPr>
              <w:t>，冷轧铁艺，表面采用静电粉末喷涂工艺，可悬挂各种装饰品或手工作品。</w:t>
            </w:r>
          </w:p>
          <w:p w14:paraId="0D282429">
            <w:pPr>
              <w:jc w:val="left"/>
              <w:rPr>
                <w:rFonts w:hint="eastAsia" w:ascii="Times New Roman" w:hAnsi="Times New Roman"/>
                <w:szCs w:val="21"/>
              </w:rPr>
            </w:pPr>
            <w:r>
              <w:rPr>
                <w:rFonts w:hint="eastAsia" w:ascii="Times New Roman" w:hAnsi="Times New Roman"/>
                <w:szCs w:val="21"/>
              </w:rPr>
              <w:t>（4）柜体两侧中间为镂空口，可使用配套的柜体连接开关与多个展示屏风组合；连接开关采用塑料材质，呈浅咖色，圆滑无毛刺，尺寸为：L88xW62xH25mm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szCs w:val="21"/>
              </w:rPr>
              <w:t>，带弹簧按钮，当旋转至“十”字型时，开关可锁紧，两边柜体可扣住，当旋转至“一”字型时，开关可从镂空口取出，两边柜体可分开。</w:t>
            </w:r>
          </w:p>
          <w:p w14:paraId="7BF8A573">
            <w:pPr>
              <w:jc w:val="left"/>
              <w:rPr>
                <w:rFonts w:hint="eastAsia" w:ascii="Times New Roman" w:hAnsi="Times New Roman"/>
                <w:szCs w:val="21"/>
              </w:rPr>
            </w:pPr>
            <w:r>
              <w:rPr>
                <w:rFonts w:hint="eastAsia" w:ascii="Times New Roman" w:hAnsi="Times New Roman"/>
                <w:szCs w:val="21"/>
              </w:rPr>
              <w:t>（5）油漆：采用的水性漆，全封闭涂装工艺，漆面光泽高透，颜色均匀。</w:t>
            </w:r>
          </w:p>
        </w:tc>
      </w:tr>
      <w:tr w14:paraId="4EDEC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3" w:type="pct"/>
            <w:vMerge w:val="continue"/>
            <w:noWrap w:val="0"/>
            <w:vAlign w:val="center"/>
          </w:tcPr>
          <w:p w14:paraId="2665D7F9">
            <w:pPr>
              <w:jc w:val="center"/>
              <w:rPr>
                <w:b/>
                <w:szCs w:val="21"/>
              </w:rPr>
            </w:pPr>
          </w:p>
        </w:tc>
        <w:tc>
          <w:tcPr>
            <w:tcW w:w="440" w:type="pct"/>
            <w:vMerge w:val="continue"/>
            <w:noWrap w:val="0"/>
            <w:vAlign w:val="center"/>
          </w:tcPr>
          <w:p w14:paraId="2518A9A2">
            <w:pPr>
              <w:jc w:val="center"/>
              <w:rPr>
                <w:rFonts w:hint="eastAsia" w:ascii="Times New Roman" w:hAnsi="Times New Roman"/>
                <w:szCs w:val="21"/>
              </w:rPr>
            </w:pPr>
          </w:p>
        </w:tc>
        <w:tc>
          <w:tcPr>
            <w:tcW w:w="4225" w:type="pct"/>
            <w:noWrap w:val="0"/>
            <w:vAlign w:val="top"/>
          </w:tcPr>
          <w:p w14:paraId="2951332B">
            <w:pPr>
              <w:pStyle w:val="8"/>
              <w:jc w:val="left"/>
              <w:rPr>
                <w:rFonts w:hint="eastAsia" w:ascii="Times New Roman" w:hAnsi="Times New Roman" w:eastAsia="宋体" w:cs="Times New Roman"/>
                <w:b/>
                <w:bCs/>
                <w:color w:val="FF0000"/>
                <w:szCs w:val="21"/>
                <w:highlight w:val="yellow"/>
                <w:lang w:eastAsia="zh-CN"/>
              </w:rPr>
            </w:pPr>
            <w:r>
              <w:rPr>
                <w:rFonts w:hint="eastAsia" w:ascii="Times New Roman" w:hAnsi="Times New Roman" w:eastAsia="宋体" w:cs="Times New Roman"/>
                <w:color w:val="FF0000"/>
                <w:szCs w:val="21"/>
                <w:highlight w:val="none"/>
              </w:rPr>
              <w:t>▲</w:t>
            </w:r>
            <w:r>
              <w:rPr>
                <w:rFonts w:hint="eastAsia" w:ascii="Times New Roman" w:hAnsi="Times New Roman" w:eastAsia="宋体" w:cs="Times New Roman"/>
                <w:b/>
                <w:bCs/>
                <w:color w:val="FF0000"/>
                <w:szCs w:val="21"/>
                <w:highlight w:val="none"/>
                <w:lang w:val="en-US" w:eastAsia="zh-CN"/>
              </w:rPr>
              <w:t>水性漆</w:t>
            </w:r>
            <w:r>
              <w:rPr>
                <w:rFonts w:hint="eastAsia" w:ascii="Times New Roman" w:hAnsi="Times New Roman" w:eastAsia="宋体" w:cs="Times New Roman"/>
                <w:b/>
                <w:bCs/>
                <w:color w:val="FF0000"/>
                <w:szCs w:val="21"/>
                <w:highlight w:val="none"/>
              </w:rPr>
              <w:t>用GB/T23999-2009、GB/T 33394-2016标准的合格检测报告，检测项应满足：挥发性有机化合物（VOC）含量≤70g/L,甲醛含量≤5mg/kg，苯、甲苯、二甲苯、乙苯的总量≤50mg/kg，卤代烃≤100mg/kg，乙二醇醚及其酯类的总量≤50mg/kg，可溶性元素含量（锑、砷、铅、硒≤2mg/kg，钡、铬、汞≤1mg/kg，镉≤0.5mg/kg），邻苯二甲酸酯含量（邻苯二甲酸二异辛酯、邻苯二甲酸二丁酯、邻苯二甲酸丁苄酯含量总和≤0.006%，邻苯二甲酸二异壬酯、邻苯二甲酸二异癸酯、邻苯二甲酸二正辛酯含量总和≤0.022%），烷基酚聚氧乙烯醚含量≤0.005%，通过耐污染性（汗渍(2h)、唾沫(2h)）判定合格，防涂鸦性（黑色墨水、蓝色白板笔、红色水彩笔、绿色水彩笔、紫色水彩笔）≤3级，细度≤40μm，不挥发物≥30%，通过耐冻融性测试不变质，抗粘连性（MM:A-0,MB:A-0)符合标准要求，耐水性（耐水性24h，耐沸水性15min）符合标准要求，耐碱性、耐醇性符合标准要求，耐污染性（醋、绿茶）24H无异常，耐干热性≤2级，≥48H耐黄变性≤3级</w:t>
            </w:r>
            <w:r>
              <w:rPr>
                <w:rFonts w:hint="eastAsia" w:ascii="Times New Roman" w:hAnsi="Times New Roman" w:eastAsia="宋体" w:cs="Times New Roman"/>
                <w:b/>
                <w:bCs/>
                <w:color w:val="FF0000"/>
                <w:szCs w:val="21"/>
                <w:highlight w:val="none"/>
                <w:lang w:eastAsia="zh-CN"/>
              </w:rPr>
              <w:t>。</w:t>
            </w:r>
          </w:p>
          <w:p w14:paraId="59ED4066">
            <w:pPr>
              <w:pStyle w:val="8"/>
              <w:rPr>
                <w:rFonts w:hint="eastAsia"/>
                <w:lang w:eastAsia="zh-CN"/>
              </w:rPr>
            </w:pPr>
            <w:r>
              <w:rPr>
                <w:rStyle w:val="46"/>
                <w:b/>
                <w:bCs/>
                <w:color w:val="FF0000"/>
                <w:highlight w:val="yellow"/>
                <w:lang w:bidi="ar"/>
              </w:rPr>
              <w:t>提供由投标截止前由第三方检验检测机构出具的具有</w:t>
            </w:r>
            <w:r>
              <w:rPr>
                <w:rStyle w:val="46"/>
                <w:rFonts w:eastAsia="宋体"/>
                <w:b/>
                <w:bCs/>
                <w:color w:val="FF0000"/>
                <w:highlight w:val="yellow"/>
                <w:lang w:eastAsia="zh-CN" w:bidi="ar"/>
              </w:rPr>
              <w:t>CMA</w:t>
            </w:r>
            <w:r>
              <w:rPr>
                <w:rStyle w:val="46"/>
                <w:b/>
                <w:bCs/>
                <w:color w:val="FF0000"/>
                <w:highlight w:val="yellow"/>
                <w:lang w:bidi="ar"/>
              </w:rPr>
              <w:t>标志的检验检测报告扫描件</w:t>
            </w:r>
            <w:r>
              <w:rPr>
                <w:rFonts w:hint="eastAsia" w:ascii="Times New Roman" w:hAnsi="Times New Roman" w:eastAsia="宋体" w:cs="Times New Roman"/>
                <w:b/>
                <w:bCs/>
                <w:color w:val="FF0000"/>
                <w:szCs w:val="21"/>
                <w:highlight w:val="yellow"/>
                <w:lang w:eastAsia="zh-CN"/>
              </w:rPr>
              <w:t>（</w:t>
            </w:r>
            <w:r>
              <w:rPr>
                <w:rFonts w:hint="eastAsia" w:ascii="Times New Roman" w:hAnsi="Times New Roman" w:eastAsia="宋体" w:cs="Times New Roman"/>
                <w:b/>
                <w:bCs/>
                <w:color w:val="FF0000"/>
                <w:szCs w:val="21"/>
                <w:highlight w:val="yellow"/>
                <w:lang w:val="en-US" w:eastAsia="zh-CN"/>
              </w:rPr>
              <w:t>原件备查</w:t>
            </w:r>
            <w:r>
              <w:rPr>
                <w:rFonts w:hint="eastAsia" w:ascii="Times New Roman" w:hAnsi="Times New Roman" w:eastAsia="宋体" w:cs="Times New Roman"/>
                <w:b/>
                <w:bCs/>
                <w:color w:val="FF0000"/>
                <w:szCs w:val="21"/>
                <w:highlight w:val="yellow"/>
                <w:lang w:eastAsia="zh-CN"/>
              </w:rPr>
              <w:t>）</w:t>
            </w:r>
            <w:r>
              <w:rPr>
                <w:rStyle w:val="46"/>
                <w:b/>
                <w:bCs/>
                <w:color w:val="FF0000"/>
                <w:highlight w:val="yellow"/>
                <w:lang w:bidi="ar"/>
              </w:rPr>
              <w:t>。（①送检单位（委托单位）需是投标人或所投产品制造商。②检验检测报告在全国认证认可信息公共服务平台(认e云)(http://cx.cnca.cn/)或检验检测官网的信息査询记录截图。③若检测报告要求的检测标准有更新的标准也予以认可。④对应参数(检验检测项)在检验检测报告中进行标注；如检验检测报告中明确备注说明相关检验检测项不在检验检测机构“</w:t>
            </w:r>
            <w:r>
              <w:rPr>
                <w:rStyle w:val="46"/>
                <w:rFonts w:eastAsia="宋体"/>
                <w:b/>
                <w:bCs/>
                <w:color w:val="FF0000"/>
                <w:highlight w:val="yellow"/>
                <w:lang w:eastAsia="zh-CN" w:bidi="ar"/>
              </w:rPr>
              <w:t>CMA</w:t>
            </w:r>
            <w:r>
              <w:rPr>
                <w:rStyle w:val="46"/>
                <w:b/>
                <w:bCs/>
                <w:color w:val="FF0000"/>
                <w:highlight w:val="yellow"/>
                <w:lang w:bidi="ar"/>
              </w:rPr>
              <w:t>”资质许可(认定)范围内的，相关检验检测项视为负偏离。）</w:t>
            </w:r>
          </w:p>
        </w:tc>
      </w:tr>
      <w:tr w14:paraId="7F991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3" w:type="pct"/>
            <w:vMerge w:val="restart"/>
            <w:noWrap w:val="0"/>
            <w:vAlign w:val="center"/>
          </w:tcPr>
          <w:p w14:paraId="275932BF">
            <w:pPr>
              <w:keepNext w:val="0"/>
              <w:keepLines w:val="0"/>
              <w:widowControl/>
              <w:suppressLineNumbers w:val="0"/>
              <w:jc w:val="center"/>
              <w:textAlignment w:val="center"/>
              <w:rPr>
                <w:b/>
                <w:szCs w:val="21"/>
              </w:rPr>
            </w:pPr>
            <w:r>
              <w:rPr>
                <w:rFonts w:hint="default" w:ascii="Arial" w:hAnsi="Arial" w:eastAsia="宋体" w:cs="Arial"/>
                <w:i w:val="0"/>
                <w:iCs w:val="0"/>
                <w:color w:val="000000"/>
                <w:kern w:val="0"/>
                <w:sz w:val="20"/>
                <w:szCs w:val="20"/>
                <w:u w:val="none"/>
                <w:lang w:val="en-US" w:eastAsia="zh-CN" w:bidi="ar"/>
              </w:rPr>
              <w:t xml:space="preserve">44 </w:t>
            </w:r>
          </w:p>
        </w:tc>
        <w:tc>
          <w:tcPr>
            <w:tcW w:w="440" w:type="pct"/>
            <w:vMerge w:val="restart"/>
            <w:noWrap w:val="0"/>
            <w:vAlign w:val="center"/>
          </w:tcPr>
          <w:p w14:paraId="7E7A250B">
            <w:pPr>
              <w:keepNext w:val="0"/>
              <w:keepLines w:val="0"/>
              <w:widowControl/>
              <w:suppressLineNumbers w:val="0"/>
              <w:jc w:val="center"/>
              <w:textAlignment w:val="center"/>
              <w:rPr>
                <w:rFonts w:hint="eastAsia" w:ascii="Times New Roman" w:hAnsi="Times New Roman"/>
                <w:szCs w:val="21"/>
              </w:rPr>
            </w:pPr>
            <w:r>
              <w:rPr>
                <w:rFonts w:hint="eastAsia" w:ascii="宋体" w:hAnsi="宋体" w:eastAsia="宋体" w:cs="宋体"/>
                <w:i w:val="0"/>
                <w:iCs w:val="0"/>
                <w:color w:val="000000"/>
                <w:kern w:val="0"/>
                <w:sz w:val="20"/>
                <w:szCs w:val="20"/>
                <w:u w:val="none"/>
                <w:lang w:val="en-US" w:eastAsia="zh-CN" w:bidi="ar"/>
              </w:rPr>
              <w:t>阶梯组合柜.无背板</w:t>
            </w:r>
          </w:p>
        </w:tc>
        <w:tc>
          <w:tcPr>
            <w:tcW w:w="4225" w:type="pct"/>
            <w:noWrap w:val="0"/>
            <w:vAlign w:val="top"/>
          </w:tcPr>
          <w:p w14:paraId="66780E3C">
            <w:pPr>
              <w:jc w:val="left"/>
              <w:rPr>
                <w:rFonts w:hint="eastAsia" w:ascii="Times New Roman" w:hAnsi="Times New Roman"/>
                <w:szCs w:val="21"/>
              </w:rPr>
            </w:pPr>
            <w:r>
              <w:rPr>
                <w:rFonts w:hint="eastAsia" w:ascii="Times New Roman" w:hAnsi="Times New Roman"/>
                <w:szCs w:val="21"/>
              </w:rPr>
              <w:t>规格：</w:t>
            </w:r>
          </w:p>
          <w:p w14:paraId="78FB9BB0">
            <w:pPr>
              <w:jc w:val="left"/>
              <w:rPr>
                <w:rFonts w:hint="eastAsia" w:ascii="Times New Roman" w:hAnsi="Times New Roman"/>
                <w:szCs w:val="21"/>
              </w:rPr>
            </w:pPr>
            <w:r>
              <w:rPr>
                <w:rFonts w:hint="eastAsia" w:ascii="Times New Roman" w:hAnsi="Times New Roman"/>
                <w:szCs w:val="21"/>
              </w:rPr>
              <w:t>3层：L30xW30xH80cm（±3cm）</w:t>
            </w:r>
          </w:p>
          <w:p w14:paraId="05CBDD4A">
            <w:pPr>
              <w:jc w:val="left"/>
              <w:rPr>
                <w:rFonts w:hint="eastAsia" w:ascii="Times New Roman" w:hAnsi="Times New Roman"/>
                <w:szCs w:val="21"/>
              </w:rPr>
            </w:pPr>
            <w:r>
              <w:rPr>
                <w:rFonts w:hint="eastAsia" w:ascii="Times New Roman" w:hAnsi="Times New Roman"/>
                <w:szCs w:val="21"/>
              </w:rPr>
              <w:t>2层：L30xW30xH59cm（±3cm）</w:t>
            </w:r>
          </w:p>
          <w:p w14:paraId="750BC34C">
            <w:pPr>
              <w:jc w:val="left"/>
              <w:rPr>
                <w:rFonts w:hint="eastAsia" w:ascii="Times New Roman" w:hAnsi="Times New Roman"/>
                <w:szCs w:val="21"/>
              </w:rPr>
            </w:pPr>
            <w:r>
              <w:rPr>
                <w:rFonts w:hint="eastAsia" w:ascii="Times New Roman" w:hAnsi="Times New Roman"/>
                <w:szCs w:val="21"/>
              </w:rPr>
              <w:t>1层：L30xW30xH34cm（±3cm）</w:t>
            </w:r>
          </w:p>
        </w:tc>
      </w:tr>
      <w:tr w14:paraId="75035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3" w:type="pct"/>
            <w:vMerge w:val="continue"/>
            <w:noWrap w:val="0"/>
            <w:vAlign w:val="center"/>
          </w:tcPr>
          <w:p w14:paraId="182198FC">
            <w:pPr>
              <w:jc w:val="center"/>
              <w:rPr>
                <w:b/>
                <w:szCs w:val="21"/>
              </w:rPr>
            </w:pPr>
          </w:p>
        </w:tc>
        <w:tc>
          <w:tcPr>
            <w:tcW w:w="440" w:type="pct"/>
            <w:vMerge w:val="continue"/>
            <w:noWrap w:val="0"/>
            <w:vAlign w:val="center"/>
          </w:tcPr>
          <w:p w14:paraId="29F12BF1">
            <w:pPr>
              <w:jc w:val="center"/>
              <w:rPr>
                <w:rFonts w:hint="eastAsia" w:ascii="Times New Roman" w:hAnsi="Times New Roman"/>
                <w:szCs w:val="21"/>
              </w:rPr>
            </w:pPr>
          </w:p>
        </w:tc>
        <w:tc>
          <w:tcPr>
            <w:tcW w:w="4225" w:type="pct"/>
            <w:noWrap w:val="0"/>
            <w:vAlign w:val="top"/>
          </w:tcPr>
          <w:p w14:paraId="3B556496">
            <w:pPr>
              <w:jc w:val="left"/>
              <w:rPr>
                <w:rFonts w:hint="eastAsia" w:ascii="Times New Roman" w:hAnsi="Times New Roman"/>
                <w:szCs w:val="21"/>
              </w:rPr>
            </w:pPr>
            <w:r>
              <w:rPr>
                <w:rFonts w:hint="eastAsia" w:ascii="Times New Roman" w:hAnsi="Times New Roman"/>
                <w:szCs w:val="21"/>
              </w:rPr>
              <w:t>1、工艺设计：</w:t>
            </w:r>
          </w:p>
          <w:p w14:paraId="3410F0D5">
            <w:pPr>
              <w:jc w:val="left"/>
              <w:rPr>
                <w:rFonts w:hint="eastAsia" w:ascii="Times New Roman" w:hAnsi="Times New Roman"/>
                <w:szCs w:val="21"/>
              </w:rPr>
            </w:pPr>
            <w:r>
              <w:rPr>
                <w:rFonts w:hint="eastAsia" w:ascii="Times New Roman" w:hAnsi="Times New Roman"/>
                <w:szCs w:val="21"/>
              </w:rPr>
              <w:t>（1）三个柜体可独立使用，灵活搭配，高低错落，可满足不同层次区角搭配。</w:t>
            </w:r>
          </w:p>
          <w:p w14:paraId="188D1E1A">
            <w:pPr>
              <w:jc w:val="left"/>
              <w:rPr>
                <w:rFonts w:hint="eastAsia" w:ascii="Times New Roman" w:hAnsi="Times New Roman"/>
                <w:szCs w:val="21"/>
              </w:rPr>
            </w:pPr>
            <w:r>
              <w:rPr>
                <w:rFonts w:hint="eastAsia" w:ascii="Times New Roman" w:hAnsi="Times New Roman"/>
                <w:szCs w:val="21"/>
              </w:rPr>
              <w:t>（2）所有螺丝位无毛刺不刮手，四角及边沿采用圆角/圆边处理以及安全防撞设计，最大程度的避免儿童磕碰伤害，结构稳固。</w:t>
            </w:r>
          </w:p>
        </w:tc>
      </w:tr>
      <w:tr w14:paraId="5C0FA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3" w:type="pct"/>
            <w:vMerge w:val="continue"/>
            <w:noWrap w:val="0"/>
            <w:vAlign w:val="center"/>
          </w:tcPr>
          <w:p w14:paraId="3E4D3F40">
            <w:pPr>
              <w:jc w:val="center"/>
              <w:rPr>
                <w:b/>
                <w:szCs w:val="21"/>
              </w:rPr>
            </w:pPr>
          </w:p>
        </w:tc>
        <w:tc>
          <w:tcPr>
            <w:tcW w:w="440" w:type="pct"/>
            <w:vMerge w:val="continue"/>
            <w:noWrap w:val="0"/>
            <w:vAlign w:val="center"/>
          </w:tcPr>
          <w:p w14:paraId="10A6BC74">
            <w:pPr>
              <w:jc w:val="center"/>
              <w:rPr>
                <w:rFonts w:hint="eastAsia" w:ascii="Times New Roman" w:hAnsi="Times New Roman"/>
                <w:szCs w:val="21"/>
              </w:rPr>
            </w:pPr>
          </w:p>
        </w:tc>
        <w:tc>
          <w:tcPr>
            <w:tcW w:w="4225" w:type="pct"/>
            <w:noWrap w:val="0"/>
            <w:vAlign w:val="top"/>
          </w:tcPr>
          <w:p w14:paraId="5369ECFC">
            <w:pPr>
              <w:jc w:val="left"/>
              <w:rPr>
                <w:rFonts w:hint="eastAsia" w:ascii="Times New Roman" w:hAnsi="Times New Roman"/>
                <w:szCs w:val="21"/>
              </w:rPr>
            </w:pPr>
            <w:r>
              <w:rPr>
                <w:rFonts w:hint="eastAsia" w:ascii="Times New Roman" w:hAnsi="Times New Roman"/>
                <w:szCs w:val="21"/>
              </w:rPr>
              <w:t>2、外观结构及材质：</w:t>
            </w:r>
          </w:p>
          <w:p w14:paraId="4C9CEB49">
            <w:pPr>
              <w:jc w:val="left"/>
              <w:rPr>
                <w:rFonts w:hint="eastAsia" w:ascii="Times New Roman" w:hAnsi="Times New Roman"/>
                <w:szCs w:val="21"/>
              </w:rPr>
            </w:pPr>
            <w:r>
              <w:rPr>
                <w:rFonts w:hint="eastAsia" w:ascii="Times New Roman" w:hAnsi="Times New Roman"/>
                <w:szCs w:val="21"/>
              </w:rPr>
              <w:t>（1）柜体：采用16mm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szCs w:val="21"/>
              </w:rPr>
              <w:t>的橡胶木拼板。所有柜子组合使用呈阶梯状，格子内空长均为：267mm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szCs w:val="21"/>
              </w:rPr>
              <w:t>。</w:t>
            </w:r>
          </w:p>
          <w:p w14:paraId="6CC15EF1">
            <w:pPr>
              <w:jc w:val="left"/>
              <w:rPr>
                <w:rFonts w:hint="eastAsia" w:ascii="Times New Roman" w:hAnsi="Times New Roman"/>
                <w:szCs w:val="21"/>
              </w:rPr>
            </w:pPr>
            <w:r>
              <w:rPr>
                <w:rFonts w:hint="eastAsia" w:ascii="Times New Roman" w:hAnsi="Times New Roman"/>
                <w:szCs w:val="21"/>
              </w:rPr>
              <w:t>（2）围脚：柜子底部安装塑料脚垫，高度为H10mm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szCs w:val="21"/>
              </w:rPr>
              <w:t>，直径17mm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szCs w:val="21"/>
              </w:rPr>
              <w:t>，软性防滑，可有效保护地面刮花并降低噪音。</w:t>
            </w:r>
          </w:p>
          <w:p w14:paraId="425FF037">
            <w:pPr>
              <w:jc w:val="left"/>
              <w:rPr>
                <w:rFonts w:hint="eastAsia" w:ascii="Times New Roman" w:hAnsi="Times New Roman"/>
                <w:szCs w:val="21"/>
              </w:rPr>
            </w:pPr>
            <w:r>
              <w:rPr>
                <w:rFonts w:hint="eastAsia" w:ascii="Times New Roman" w:hAnsi="Times New Roman"/>
                <w:szCs w:val="21"/>
              </w:rPr>
              <w:t>（3）采用的水性漆，全封闭涂装工艺，漆面光泽高透，颜色均匀。</w:t>
            </w:r>
          </w:p>
        </w:tc>
      </w:tr>
      <w:tr w14:paraId="1E8DD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3" w:type="pct"/>
            <w:vMerge w:val="continue"/>
            <w:noWrap w:val="0"/>
            <w:vAlign w:val="center"/>
          </w:tcPr>
          <w:p w14:paraId="679EFFF4">
            <w:pPr>
              <w:jc w:val="center"/>
              <w:rPr>
                <w:b/>
                <w:szCs w:val="21"/>
              </w:rPr>
            </w:pPr>
          </w:p>
        </w:tc>
        <w:tc>
          <w:tcPr>
            <w:tcW w:w="440" w:type="pct"/>
            <w:vMerge w:val="continue"/>
            <w:noWrap w:val="0"/>
            <w:vAlign w:val="center"/>
          </w:tcPr>
          <w:p w14:paraId="2DE3F854">
            <w:pPr>
              <w:jc w:val="center"/>
              <w:rPr>
                <w:rFonts w:hint="eastAsia" w:ascii="Times New Roman" w:hAnsi="Times New Roman"/>
                <w:szCs w:val="21"/>
              </w:rPr>
            </w:pPr>
          </w:p>
        </w:tc>
        <w:tc>
          <w:tcPr>
            <w:tcW w:w="4225" w:type="pct"/>
            <w:noWrap w:val="0"/>
            <w:vAlign w:val="top"/>
          </w:tcPr>
          <w:p w14:paraId="254D7464">
            <w:pPr>
              <w:jc w:val="left"/>
              <w:rPr>
                <w:rFonts w:hint="eastAsia" w:ascii="Times New Roman" w:hAnsi="Times New Roman" w:eastAsia="宋体" w:cs="Times New Roman"/>
                <w:b/>
                <w:bCs/>
                <w:color w:val="FF0000"/>
                <w:szCs w:val="21"/>
                <w:highlight w:val="none"/>
              </w:rPr>
            </w:pPr>
            <w:r>
              <w:rPr>
                <w:rFonts w:hint="eastAsia" w:ascii="Times New Roman" w:hAnsi="Times New Roman" w:eastAsia="宋体" w:cs="Times New Roman"/>
                <w:b/>
                <w:bCs/>
                <w:color w:val="FF0000"/>
                <w:szCs w:val="21"/>
                <w:highlight w:val="none"/>
              </w:rPr>
              <w:t>▲橡胶木拼板符合GB/T 31762-2015</w:t>
            </w:r>
            <w:r>
              <w:rPr>
                <w:rFonts w:hint="eastAsia" w:ascii="Times New Roman" w:hAnsi="Times New Roman" w:eastAsia="宋体" w:cs="Times New Roman"/>
                <w:b/>
                <w:bCs/>
                <w:color w:val="FF0000"/>
                <w:szCs w:val="21"/>
                <w:highlight w:val="none"/>
                <w:lang w:eastAsia="zh-CN"/>
              </w:rPr>
              <w:t>、</w:t>
            </w:r>
            <w:r>
              <w:rPr>
                <w:rFonts w:hint="eastAsia" w:ascii="Times New Roman" w:hAnsi="Times New Roman" w:eastAsia="宋体" w:cs="Times New Roman"/>
                <w:b/>
                <w:bCs/>
                <w:color w:val="FF0000"/>
                <w:szCs w:val="21"/>
                <w:highlight w:val="none"/>
              </w:rPr>
              <w:t>GB/T 20284-2006、GB/T 8626-2007、LY/T 2488-2015、GB/T 20285-2006、GB/T 34722-2017、GB/T 39600-2021标准的合格检测报告，检测项目要求：外观质量要求（节子、贯通裂缝、裂纹、腐朽、髓心、孔洞（含虫眼）、边角缺损、夹皮、树脂道、色差、拼接缝隙、胶缝、指接残损、修补）符合标准要求；含水率6-15%；指接抗弯强度(气干密度＞0.47g/cm³：平均值≥35MPa，最小值≥28MPa）；侧拼抗剪强度（气干密度＞0.47g/cm³：最小的木破率≤70%：平均值≥8MPa，最小值≥5MPa）；</w:t>
            </w:r>
          </w:p>
          <w:p w14:paraId="0A11896E">
            <w:pPr>
              <w:pStyle w:val="8"/>
              <w:rPr>
                <w:rFonts w:hint="eastAsia" w:ascii="Times New Roman" w:hAnsi="Times New Roman" w:eastAsia="宋体" w:cs="Times New Roman"/>
                <w:b/>
                <w:bCs/>
                <w:color w:val="FF0000"/>
                <w:szCs w:val="21"/>
                <w:lang w:eastAsia="zh-CN"/>
              </w:rPr>
            </w:pPr>
            <w:r>
              <w:rPr>
                <w:rFonts w:hint="eastAsia" w:ascii="Times New Roman" w:hAnsi="Times New Roman" w:eastAsia="宋体" w:cs="Times New Roman"/>
                <w:b/>
                <w:bCs/>
                <w:color w:val="FF0000"/>
                <w:szCs w:val="21"/>
                <w:highlight w:val="none"/>
              </w:rPr>
              <w:t>甲醛释放量≤0.025mg/m³；表面耐划痕符合标准要求；表面耐磨磨耗值≤80mg/100r，磨100r之后留有花纹且不露底；表面耐干热、表面耐水蒸气、耐光色牢度、表面耐香烟灼烧≥4级；表面耐污染腐蚀、表面耐龟裂≥5级；苯酚释放量＜0.01mg/m³；燃烧滴落物/微粒与烟气毒性符合标准要求。</w:t>
            </w:r>
            <w:r>
              <w:rPr>
                <w:rStyle w:val="19"/>
                <w:rFonts w:ascii="Times New Roman" w:hAnsi="Times New Roman" w:cs="Times New Roman"/>
                <w:b/>
                <w:bCs/>
                <w:color w:val="FF0000"/>
                <w:szCs w:val="21"/>
                <w:highlight w:val="yellow"/>
                <w:lang w:bidi="ar"/>
              </w:rPr>
              <w:t>提供由投标截止前由第三方检验检测机构出具的具有</w:t>
            </w:r>
            <w:r>
              <w:rPr>
                <w:rStyle w:val="19"/>
                <w:rFonts w:ascii="Times New Roman" w:hAnsi="Times New Roman" w:eastAsia="宋体" w:cs="Times New Roman"/>
                <w:b/>
                <w:bCs/>
                <w:color w:val="FF0000"/>
                <w:szCs w:val="21"/>
                <w:highlight w:val="yellow"/>
                <w:lang w:eastAsia="zh-CN" w:bidi="ar"/>
              </w:rPr>
              <w:t>CMA</w:t>
            </w:r>
            <w:r>
              <w:rPr>
                <w:rStyle w:val="19"/>
                <w:rFonts w:ascii="Times New Roman" w:hAnsi="Times New Roman" w:cs="Times New Roman"/>
                <w:b/>
                <w:bCs/>
                <w:color w:val="FF0000"/>
                <w:szCs w:val="21"/>
                <w:highlight w:val="yellow"/>
                <w:lang w:bidi="ar"/>
              </w:rPr>
              <w:t>标志的检验检测报告扫描件</w:t>
            </w:r>
            <w:r>
              <w:rPr>
                <w:rFonts w:hint="eastAsia" w:ascii="Times New Roman" w:hAnsi="Times New Roman" w:eastAsia="宋体" w:cs="Times New Roman"/>
                <w:b/>
                <w:bCs/>
                <w:color w:val="FF0000"/>
                <w:szCs w:val="21"/>
                <w:highlight w:val="yellow"/>
                <w:lang w:eastAsia="zh-CN"/>
              </w:rPr>
              <w:t>（</w:t>
            </w:r>
            <w:r>
              <w:rPr>
                <w:rFonts w:hint="eastAsia" w:ascii="Times New Roman" w:hAnsi="Times New Roman" w:eastAsia="宋体" w:cs="Times New Roman"/>
                <w:b/>
                <w:bCs/>
                <w:color w:val="FF0000"/>
                <w:szCs w:val="21"/>
                <w:highlight w:val="yellow"/>
                <w:lang w:val="en-US" w:eastAsia="zh-CN"/>
              </w:rPr>
              <w:t>原件备查</w:t>
            </w:r>
            <w:r>
              <w:rPr>
                <w:rFonts w:hint="eastAsia" w:ascii="Times New Roman" w:hAnsi="Times New Roman" w:eastAsia="宋体" w:cs="Times New Roman"/>
                <w:b/>
                <w:bCs/>
                <w:color w:val="FF0000"/>
                <w:szCs w:val="21"/>
                <w:highlight w:val="yellow"/>
                <w:lang w:eastAsia="zh-CN"/>
              </w:rPr>
              <w:t>）</w:t>
            </w:r>
            <w:r>
              <w:rPr>
                <w:rStyle w:val="19"/>
                <w:rFonts w:ascii="Times New Roman" w:hAnsi="Times New Roman" w:cs="Times New Roman"/>
                <w:b/>
                <w:bCs/>
                <w:color w:val="FF0000"/>
                <w:szCs w:val="21"/>
                <w:highlight w:val="yellow"/>
                <w:lang w:bidi="ar"/>
              </w:rPr>
              <w:t>。（①送检单位（委托单位）需是投标人或所投产品制造商。②检验检测报告在全国认证认可信息公共服务平台(认e云)(http://cx.cnca.cn/)或检验检测官网的信息査询记录截图。③若检测报告要求的检测标准有更新的标准也予以认可。④对应参数(检验检测项)在检验检测报告中进行标注；如检验检测报告中明确备注说明相关检验检测项不在检验检测机构“</w:t>
            </w:r>
            <w:r>
              <w:rPr>
                <w:rStyle w:val="19"/>
                <w:rFonts w:ascii="Times New Roman" w:hAnsi="Times New Roman" w:eastAsia="宋体" w:cs="Times New Roman"/>
                <w:b/>
                <w:bCs/>
                <w:color w:val="FF0000"/>
                <w:szCs w:val="21"/>
                <w:highlight w:val="yellow"/>
                <w:lang w:eastAsia="zh-CN" w:bidi="ar"/>
              </w:rPr>
              <w:t>CMA</w:t>
            </w:r>
            <w:r>
              <w:rPr>
                <w:rStyle w:val="19"/>
                <w:rFonts w:ascii="Times New Roman" w:hAnsi="Times New Roman" w:cs="Times New Roman"/>
                <w:b/>
                <w:bCs/>
                <w:color w:val="FF0000"/>
                <w:szCs w:val="21"/>
                <w:highlight w:val="yellow"/>
                <w:lang w:bidi="ar"/>
              </w:rPr>
              <w:t>”资质许可(认定)范围内的，相关检验检测项视为负偏离。）</w:t>
            </w:r>
          </w:p>
        </w:tc>
      </w:tr>
      <w:tr w14:paraId="75998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3" w:type="pct"/>
            <w:vMerge w:val="restart"/>
            <w:noWrap w:val="0"/>
            <w:vAlign w:val="center"/>
          </w:tcPr>
          <w:p w14:paraId="6EEA903B">
            <w:pPr>
              <w:keepNext w:val="0"/>
              <w:keepLines w:val="0"/>
              <w:widowControl/>
              <w:suppressLineNumbers w:val="0"/>
              <w:jc w:val="center"/>
              <w:textAlignment w:val="center"/>
              <w:rPr>
                <w:b/>
                <w:szCs w:val="21"/>
              </w:rPr>
            </w:pPr>
            <w:r>
              <w:rPr>
                <w:rFonts w:hint="default" w:ascii="Arial" w:hAnsi="Arial" w:eastAsia="宋体" w:cs="Arial"/>
                <w:i w:val="0"/>
                <w:iCs w:val="0"/>
                <w:color w:val="000000"/>
                <w:kern w:val="0"/>
                <w:sz w:val="20"/>
                <w:szCs w:val="20"/>
                <w:u w:val="none"/>
                <w:lang w:val="en-US" w:eastAsia="zh-CN" w:bidi="ar"/>
              </w:rPr>
              <w:t xml:space="preserve">45 </w:t>
            </w:r>
          </w:p>
        </w:tc>
        <w:tc>
          <w:tcPr>
            <w:tcW w:w="440" w:type="pct"/>
            <w:vMerge w:val="restart"/>
            <w:noWrap w:val="0"/>
            <w:vAlign w:val="center"/>
          </w:tcPr>
          <w:p w14:paraId="29E6097C">
            <w:pPr>
              <w:keepNext w:val="0"/>
              <w:keepLines w:val="0"/>
              <w:widowControl/>
              <w:suppressLineNumbers w:val="0"/>
              <w:jc w:val="center"/>
              <w:textAlignment w:val="center"/>
              <w:rPr>
                <w:rFonts w:hint="eastAsia" w:ascii="Times New Roman" w:hAnsi="Times New Roman"/>
                <w:szCs w:val="21"/>
              </w:rPr>
            </w:pPr>
            <w:r>
              <w:rPr>
                <w:rFonts w:hint="eastAsia" w:ascii="宋体" w:hAnsi="宋体" w:eastAsia="宋体" w:cs="宋体"/>
                <w:i w:val="0"/>
                <w:iCs w:val="0"/>
                <w:color w:val="000000"/>
                <w:kern w:val="0"/>
                <w:sz w:val="20"/>
                <w:szCs w:val="20"/>
                <w:u w:val="none"/>
                <w:lang w:val="en-US" w:eastAsia="zh-CN" w:bidi="ar"/>
              </w:rPr>
              <w:t>互动造型柜</w:t>
            </w:r>
          </w:p>
        </w:tc>
        <w:tc>
          <w:tcPr>
            <w:tcW w:w="4225" w:type="pct"/>
            <w:noWrap w:val="0"/>
            <w:vAlign w:val="center"/>
          </w:tcPr>
          <w:p w14:paraId="16BFC8F2">
            <w:pPr>
              <w:jc w:val="left"/>
              <w:rPr>
                <w:rFonts w:hint="eastAsia" w:ascii="Times New Roman" w:hAnsi="Times New Roman" w:eastAsia="宋体" w:cs="Times New Roman"/>
                <w:b/>
                <w:bCs/>
                <w:color w:val="FF0000"/>
                <w:szCs w:val="21"/>
              </w:rPr>
            </w:pPr>
            <w:r>
              <w:rPr>
                <w:rFonts w:hint="eastAsia" w:ascii="Times New Roman" w:hAnsi="Times New Roman" w:eastAsia="宋体" w:cs="Times New Roman"/>
                <w:b w:val="0"/>
                <w:bCs w:val="0"/>
                <w:color w:val="auto"/>
                <w:szCs w:val="21"/>
              </w:rPr>
              <w:t>规格：L98xW40xH136cm（±3cm）</w:t>
            </w:r>
          </w:p>
        </w:tc>
      </w:tr>
      <w:tr w14:paraId="64394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3" w:type="pct"/>
            <w:vMerge w:val="continue"/>
            <w:noWrap w:val="0"/>
            <w:vAlign w:val="center"/>
          </w:tcPr>
          <w:p w14:paraId="6604E0C4">
            <w:pPr>
              <w:jc w:val="center"/>
              <w:rPr>
                <w:b/>
                <w:szCs w:val="21"/>
              </w:rPr>
            </w:pPr>
          </w:p>
        </w:tc>
        <w:tc>
          <w:tcPr>
            <w:tcW w:w="440" w:type="pct"/>
            <w:vMerge w:val="continue"/>
            <w:noWrap w:val="0"/>
            <w:vAlign w:val="center"/>
          </w:tcPr>
          <w:p w14:paraId="5BAAFE19">
            <w:pPr>
              <w:jc w:val="center"/>
              <w:rPr>
                <w:rFonts w:hint="eastAsia" w:ascii="Times New Roman" w:hAnsi="Times New Roman"/>
                <w:szCs w:val="21"/>
              </w:rPr>
            </w:pPr>
          </w:p>
        </w:tc>
        <w:tc>
          <w:tcPr>
            <w:tcW w:w="4225" w:type="pct"/>
            <w:noWrap w:val="0"/>
            <w:vAlign w:val="top"/>
          </w:tcPr>
          <w:p w14:paraId="60607A7D">
            <w:pPr>
              <w:jc w:val="left"/>
              <w:rPr>
                <w:rFonts w:hint="eastAsia" w:ascii="Times New Roman" w:hAnsi="Times New Roman"/>
                <w:szCs w:val="21"/>
              </w:rPr>
            </w:pPr>
            <w:r>
              <w:rPr>
                <w:rFonts w:hint="eastAsia" w:ascii="Times New Roman" w:hAnsi="Times New Roman"/>
                <w:szCs w:val="21"/>
              </w:rPr>
              <w:t>1、工艺设计：</w:t>
            </w:r>
          </w:p>
          <w:p w14:paraId="50A61C45">
            <w:pPr>
              <w:jc w:val="left"/>
              <w:rPr>
                <w:rFonts w:hint="eastAsia" w:ascii="Times New Roman" w:hAnsi="Times New Roman"/>
                <w:szCs w:val="21"/>
              </w:rPr>
            </w:pPr>
            <w:r>
              <w:rPr>
                <w:rFonts w:hint="eastAsia" w:ascii="Times New Roman" w:hAnsi="Times New Roman"/>
                <w:szCs w:val="21"/>
              </w:rPr>
              <w:t>（1）特色屋顶+篷布造型设计，吊牌黑板可擦写，既能独立摆放模拟真实场景又易于搭配其他产品进行环创。</w:t>
            </w:r>
          </w:p>
          <w:p w14:paraId="21D5DF0D">
            <w:pPr>
              <w:jc w:val="left"/>
              <w:rPr>
                <w:rFonts w:hint="eastAsia" w:ascii="Times New Roman" w:hAnsi="Times New Roman"/>
                <w:szCs w:val="21"/>
              </w:rPr>
            </w:pPr>
            <w:r>
              <w:rPr>
                <w:rFonts w:hint="eastAsia" w:ascii="Times New Roman" w:hAnsi="Times New Roman"/>
                <w:szCs w:val="21"/>
              </w:rPr>
              <w:t>（2）所有螺丝位无毛刺不刮手，边角采用圆边/圆角处理以及安全防撞设计，最大程度的避免儿童磕碰伤害，结构稳固。</w:t>
            </w:r>
          </w:p>
        </w:tc>
      </w:tr>
      <w:tr w14:paraId="696C2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3" w:type="pct"/>
            <w:vMerge w:val="continue"/>
            <w:noWrap w:val="0"/>
            <w:vAlign w:val="center"/>
          </w:tcPr>
          <w:p w14:paraId="5783908A">
            <w:pPr>
              <w:jc w:val="center"/>
              <w:rPr>
                <w:b/>
                <w:szCs w:val="21"/>
              </w:rPr>
            </w:pPr>
          </w:p>
        </w:tc>
        <w:tc>
          <w:tcPr>
            <w:tcW w:w="440" w:type="pct"/>
            <w:vMerge w:val="continue"/>
            <w:noWrap w:val="0"/>
            <w:vAlign w:val="center"/>
          </w:tcPr>
          <w:p w14:paraId="66B72705">
            <w:pPr>
              <w:jc w:val="center"/>
              <w:rPr>
                <w:rFonts w:hint="eastAsia" w:ascii="Times New Roman" w:hAnsi="Times New Roman"/>
                <w:szCs w:val="21"/>
              </w:rPr>
            </w:pPr>
          </w:p>
        </w:tc>
        <w:tc>
          <w:tcPr>
            <w:tcW w:w="4225" w:type="pct"/>
            <w:noWrap w:val="0"/>
            <w:vAlign w:val="top"/>
          </w:tcPr>
          <w:p w14:paraId="18E864E0">
            <w:pPr>
              <w:jc w:val="left"/>
              <w:rPr>
                <w:rFonts w:hint="eastAsia" w:ascii="Times New Roman" w:hAnsi="Times New Roman"/>
                <w:szCs w:val="21"/>
              </w:rPr>
            </w:pPr>
            <w:r>
              <w:rPr>
                <w:rFonts w:hint="eastAsia" w:ascii="Times New Roman" w:hAnsi="Times New Roman"/>
                <w:szCs w:val="21"/>
              </w:rPr>
              <w:t>2、外观结构及材质：</w:t>
            </w:r>
          </w:p>
          <w:p w14:paraId="4D160F13">
            <w:pPr>
              <w:jc w:val="left"/>
              <w:rPr>
                <w:rFonts w:hint="eastAsia" w:ascii="Times New Roman" w:hAnsi="Times New Roman"/>
                <w:szCs w:val="21"/>
              </w:rPr>
            </w:pPr>
            <w:r>
              <w:rPr>
                <w:rFonts w:hint="eastAsia" w:ascii="Times New Roman" w:hAnsi="Times New Roman"/>
                <w:szCs w:val="21"/>
              </w:rPr>
              <w:t>（1）基材：柜体采用厚度15mm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szCs w:val="21"/>
              </w:rPr>
              <w:t>的桦木纹饰面橡胶木拼板，部分采用厚度12mm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szCs w:val="21"/>
              </w:rPr>
              <w:t>及18mm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szCs w:val="21"/>
              </w:rPr>
              <w:t>的实木多层板喷涂水性漆，铭牌采用厚度9mm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szCs w:val="21"/>
              </w:rPr>
              <w:t>实木多层板喷涂水性漆。屋顶离柜面高770mm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szCs w:val="21"/>
              </w:rPr>
              <w:t>，面板离地高度为590mm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szCs w:val="21"/>
              </w:rPr>
              <w:t>，柜体内空尺寸：884x300x237.5mm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szCs w:val="21"/>
              </w:rPr>
              <w:t>；下层柜体正面安装长方形可吸附磁铁的黑板，尺寸为910x520mm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szCs w:val="21"/>
              </w:rPr>
              <w:t>，柜体上方两边挂杆可挂吊牌黑板，尺寸为200x150mm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szCs w:val="21"/>
              </w:rPr>
              <w:t xml:space="preserve">，可使用粉笔进行擦写；产品顶部搭配安装由涤纶纤维织造的仿棉麻材质篷布，尺寸：L990xW800mm </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szCs w:val="21"/>
              </w:rPr>
              <w:t>篷布可拆洗。</w:t>
            </w:r>
          </w:p>
          <w:p w14:paraId="26E56799">
            <w:pPr>
              <w:jc w:val="left"/>
              <w:rPr>
                <w:rFonts w:hint="eastAsia" w:ascii="Times New Roman" w:hAnsi="Times New Roman"/>
                <w:szCs w:val="21"/>
              </w:rPr>
            </w:pPr>
            <w:r>
              <w:rPr>
                <w:rFonts w:hint="eastAsia" w:ascii="Times New Roman" w:hAnsi="Times New Roman"/>
                <w:szCs w:val="21"/>
              </w:rPr>
              <w:t>（2）围脚：底部安装塑料脚垫，高度为H10mm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szCs w:val="21"/>
              </w:rPr>
              <w:t>，直径17mm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szCs w:val="21"/>
              </w:rPr>
              <w:t>,软性防滑，可有效保护地面刮花并降低噪音。</w:t>
            </w:r>
          </w:p>
          <w:p w14:paraId="2ED612A7">
            <w:pPr>
              <w:jc w:val="left"/>
              <w:rPr>
                <w:rFonts w:hint="eastAsia" w:ascii="Times New Roman" w:hAnsi="Times New Roman"/>
                <w:szCs w:val="21"/>
              </w:rPr>
            </w:pPr>
            <w:r>
              <w:rPr>
                <w:rFonts w:hint="eastAsia" w:ascii="Times New Roman" w:hAnsi="Times New Roman"/>
                <w:szCs w:val="21"/>
              </w:rPr>
              <w:t>（3）木蜡油：采用的水性木蜡油封边，成分天然，分子机构细小，成膜牢固，密封性好。</w:t>
            </w:r>
          </w:p>
          <w:p w14:paraId="6887D8BF">
            <w:pPr>
              <w:jc w:val="left"/>
              <w:rPr>
                <w:rFonts w:hint="eastAsia" w:ascii="Times New Roman" w:hAnsi="Times New Roman"/>
                <w:szCs w:val="21"/>
              </w:rPr>
            </w:pPr>
            <w:r>
              <w:rPr>
                <w:rFonts w:hint="eastAsia" w:ascii="Times New Roman" w:hAnsi="Times New Roman"/>
                <w:szCs w:val="21"/>
              </w:rPr>
              <w:t>（4）油漆：采用的水性漆，全封闭涂装工艺，漆面光泽高透，颜色均匀。</w:t>
            </w:r>
          </w:p>
        </w:tc>
      </w:tr>
      <w:tr w14:paraId="1690F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3" w:type="pct"/>
            <w:vMerge w:val="restart"/>
            <w:noWrap w:val="0"/>
            <w:vAlign w:val="center"/>
          </w:tcPr>
          <w:p w14:paraId="3621D158">
            <w:pPr>
              <w:keepNext w:val="0"/>
              <w:keepLines w:val="0"/>
              <w:widowControl/>
              <w:suppressLineNumbers w:val="0"/>
              <w:jc w:val="center"/>
              <w:textAlignment w:val="center"/>
              <w:rPr>
                <w:b/>
                <w:szCs w:val="21"/>
              </w:rPr>
            </w:pPr>
            <w:r>
              <w:rPr>
                <w:rFonts w:hint="default" w:ascii="Arial" w:hAnsi="Arial" w:eastAsia="宋体" w:cs="Arial"/>
                <w:i w:val="0"/>
                <w:iCs w:val="0"/>
                <w:color w:val="000000"/>
                <w:kern w:val="0"/>
                <w:sz w:val="20"/>
                <w:szCs w:val="20"/>
                <w:u w:val="none"/>
                <w:lang w:val="en-US" w:eastAsia="zh-CN" w:bidi="ar"/>
              </w:rPr>
              <w:t xml:space="preserve">46 </w:t>
            </w:r>
          </w:p>
        </w:tc>
        <w:tc>
          <w:tcPr>
            <w:tcW w:w="440" w:type="pct"/>
            <w:vMerge w:val="restart"/>
            <w:noWrap w:val="0"/>
            <w:vAlign w:val="center"/>
          </w:tcPr>
          <w:p w14:paraId="3F1FA6B8">
            <w:pPr>
              <w:keepNext w:val="0"/>
              <w:keepLines w:val="0"/>
              <w:widowControl/>
              <w:suppressLineNumbers w:val="0"/>
              <w:jc w:val="center"/>
              <w:textAlignment w:val="center"/>
              <w:rPr>
                <w:rFonts w:hint="eastAsia" w:ascii="Times New Roman" w:hAnsi="Times New Roman"/>
                <w:szCs w:val="21"/>
              </w:rPr>
            </w:pPr>
            <w:r>
              <w:rPr>
                <w:rFonts w:hint="eastAsia" w:ascii="宋体" w:hAnsi="宋体" w:eastAsia="宋体" w:cs="宋体"/>
                <w:i w:val="0"/>
                <w:iCs w:val="0"/>
                <w:color w:val="000000"/>
                <w:kern w:val="0"/>
                <w:sz w:val="20"/>
                <w:szCs w:val="20"/>
                <w:u w:val="none"/>
                <w:lang w:val="en-US" w:eastAsia="zh-CN" w:bidi="ar"/>
              </w:rPr>
              <w:t>弧形波纹挡板</w:t>
            </w:r>
          </w:p>
        </w:tc>
        <w:tc>
          <w:tcPr>
            <w:tcW w:w="4225" w:type="pct"/>
            <w:noWrap w:val="0"/>
            <w:vAlign w:val="center"/>
          </w:tcPr>
          <w:p w14:paraId="74D744A1">
            <w:pPr>
              <w:jc w:val="left"/>
              <w:rPr>
                <w:rFonts w:hint="eastAsia" w:ascii="Times New Roman" w:hAnsi="Times New Roman"/>
                <w:szCs w:val="21"/>
              </w:rPr>
            </w:pPr>
            <w:r>
              <w:rPr>
                <w:rFonts w:hint="eastAsia" w:ascii="Times New Roman" w:hAnsi="Times New Roman"/>
                <w:szCs w:val="21"/>
              </w:rPr>
              <w:t>规格：L87xW22.5xH59cm（±3cm）</w:t>
            </w:r>
          </w:p>
        </w:tc>
      </w:tr>
      <w:tr w14:paraId="28BBC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3" w:type="pct"/>
            <w:vMerge w:val="continue"/>
            <w:noWrap w:val="0"/>
            <w:vAlign w:val="center"/>
          </w:tcPr>
          <w:p w14:paraId="389ED106">
            <w:pPr>
              <w:jc w:val="center"/>
              <w:rPr>
                <w:b/>
                <w:szCs w:val="21"/>
              </w:rPr>
            </w:pPr>
          </w:p>
        </w:tc>
        <w:tc>
          <w:tcPr>
            <w:tcW w:w="440" w:type="pct"/>
            <w:vMerge w:val="continue"/>
            <w:noWrap w:val="0"/>
            <w:vAlign w:val="center"/>
          </w:tcPr>
          <w:p w14:paraId="40C2F9CC">
            <w:pPr>
              <w:jc w:val="center"/>
              <w:rPr>
                <w:rFonts w:hint="eastAsia" w:ascii="Times New Roman" w:hAnsi="Times New Roman"/>
                <w:szCs w:val="21"/>
              </w:rPr>
            </w:pPr>
          </w:p>
        </w:tc>
        <w:tc>
          <w:tcPr>
            <w:tcW w:w="4225" w:type="pct"/>
            <w:noWrap w:val="0"/>
            <w:vAlign w:val="top"/>
          </w:tcPr>
          <w:p w14:paraId="40B3EF08">
            <w:pPr>
              <w:jc w:val="left"/>
              <w:rPr>
                <w:rFonts w:hint="eastAsia" w:ascii="Times New Roman" w:hAnsi="Times New Roman"/>
                <w:szCs w:val="21"/>
              </w:rPr>
            </w:pPr>
            <w:r>
              <w:rPr>
                <w:rFonts w:hint="eastAsia" w:ascii="Times New Roman" w:hAnsi="Times New Roman"/>
                <w:szCs w:val="21"/>
              </w:rPr>
              <w:t>1、工艺设计：</w:t>
            </w:r>
          </w:p>
          <w:p w14:paraId="27E3F88F">
            <w:pPr>
              <w:jc w:val="left"/>
              <w:rPr>
                <w:rFonts w:hint="eastAsia" w:ascii="Times New Roman" w:hAnsi="Times New Roman"/>
                <w:szCs w:val="21"/>
              </w:rPr>
            </w:pPr>
            <w:r>
              <w:rPr>
                <w:rFonts w:hint="eastAsia" w:ascii="Times New Roman" w:hAnsi="Times New Roman"/>
                <w:szCs w:val="21"/>
              </w:rPr>
              <w:t>（1）半透明通透波纹板，能搭配其他产品形成围合区域，增强独立性与互动性。</w:t>
            </w:r>
          </w:p>
          <w:p w14:paraId="71C8E5CD">
            <w:pPr>
              <w:jc w:val="left"/>
              <w:rPr>
                <w:rFonts w:hint="eastAsia" w:ascii="Times New Roman" w:hAnsi="Times New Roman"/>
                <w:szCs w:val="21"/>
              </w:rPr>
            </w:pPr>
            <w:r>
              <w:rPr>
                <w:rFonts w:hint="eastAsia" w:ascii="Times New Roman" w:hAnsi="Times New Roman"/>
                <w:szCs w:val="21"/>
              </w:rPr>
              <w:t>（2）所有螺丝位无毛刺不刮手，边角采用圆边/圆角处理以及安全防撞设计，最大程度的避免儿童磕碰伤害，结构稳固。</w:t>
            </w:r>
          </w:p>
        </w:tc>
      </w:tr>
      <w:tr w14:paraId="5D3C3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3" w:type="pct"/>
            <w:vMerge w:val="continue"/>
            <w:noWrap w:val="0"/>
            <w:vAlign w:val="center"/>
          </w:tcPr>
          <w:p w14:paraId="41674275">
            <w:pPr>
              <w:jc w:val="center"/>
              <w:rPr>
                <w:b/>
                <w:szCs w:val="21"/>
              </w:rPr>
            </w:pPr>
          </w:p>
        </w:tc>
        <w:tc>
          <w:tcPr>
            <w:tcW w:w="440" w:type="pct"/>
            <w:vMerge w:val="continue"/>
            <w:noWrap w:val="0"/>
            <w:vAlign w:val="center"/>
          </w:tcPr>
          <w:p w14:paraId="35E7C7B0">
            <w:pPr>
              <w:jc w:val="center"/>
              <w:rPr>
                <w:rFonts w:hint="eastAsia" w:ascii="Times New Roman" w:hAnsi="Times New Roman"/>
                <w:szCs w:val="21"/>
              </w:rPr>
            </w:pPr>
          </w:p>
        </w:tc>
        <w:tc>
          <w:tcPr>
            <w:tcW w:w="4225" w:type="pct"/>
            <w:noWrap w:val="0"/>
            <w:vAlign w:val="top"/>
          </w:tcPr>
          <w:p w14:paraId="0845AA68">
            <w:pPr>
              <w:jc w:val="left"/>
              <w:rPr>
                <w:rFonts w:hint="eastAsia" w:ascii="Times New Roman" w:hAnsi="Times New Roman"/>
                <w:szCs w:val="21"/>
              </w:rPr>
            </w:pPr>
            <w:r>
              <w:rPr>
                <w:rFonts w:hint="eastAsia" w:ascii="Times New Roman" w:hAnsi="Times New Roman"/>
                <w:szCs w:val="21"/>
              </w:rPr>
              <w:t>2、外观结构及材质：</w:t>
            </w:r>
          </w:p>
          <w:p w14:paraId="30BD1C5B">
            <w:pPr>
              <w:jc w:val="left"/>
              <w:rPr>
                <w:rFonts w:hint="eastAsia" w:ascii="Times New Roman" w:hAnsi="Times New Roman"/>
                <w:szCs w:val="21"/>
              </w:rPr>
            </w:pPr>
            <w:r>
              <w:rPr>
                <w:rFonts w:hint="eastAsia" w:ascii="Times New Roman" w:hAnsi="Times New Roman"/>
                <w:szCs w:val="21"/>
              </w:rPr>
              <w:t>（1）采用厚度24mm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szCs w:val="21"/>
              </w:rPr>
              <w:t>的实木多层板，整体挡板呈1/4圆弧，整体挡板用于90°转角连接。</w:t>
            </w:r>
          </w:p>
          <w:p w14:paraId="2FCCC58A">
            <w:pPr>
              <w:jc w:val="left"/>
              <w:rPr>
                <w:rFonts w:hint="eastAsia" w:ascii="Times New Roman" w:hAnsi="Times New Roman"/>
                <w:szCs w:val="21"/>
              </w:rPr>
            </w:pPr>
            <w:r>
              <w:rPr>
                <w:rFonts w:hint="eastAsia" w:ascii="Times New Roman" w:hAnsi="Times New Roman"/>
                <w:szCs w:val="21"/>
              </w:rPr>
              <w:t>（2）波纹板：芯板采用厚度8mm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szCs w:val="21"/>
              </w:rPr>
              <w:t>双层中空波纹板，共2块，表面光滑无缺陷，中空结构抗压性强，无毒。</w:t>
            </w:r>
          </w:p>
          <w:p w14:paraId="13FB7B7B">
            <w:pPr>
              <w:jc w:val="left"/>
              <w:rPr>
                <w:rFonts w:hint="eastAsia" w:ascii="Times New Roman" w:hAnsi="Times New Roman"/>
                <w:szCs w:val="21"/>
              </w:rPr>
            </w:pPr>
            <w:r>
              <w:rPr>
                <w:rFonts w:hint="eastAsia" w:ascii="Times New Roman" w:hAnsi="Times New Roman"/>
                <w:szCs w:val="21"/>
              </w:rPr>
              <w:t>（3）油漆：采用的水性漆，全封闭涂装工艺，漆面光泽高透，颜色均匀。</w:t>
            </w:r>
          </w:p>
        </w:tc>
      </w:tr>
      <w:tr w14:paraId="75CB1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3" w:type="pct"/>
            <w:vMerge w:val="restart"/>
            <w:noWrap w:val="0"/>
            <w:vAlign w:val="center"/>
          </w:tcPr>
          <w:p w14:paraId="2497E036">
            <w:pPr>
              <w:keepNext w:val="0"/>
              <w:keepLines w:val="0"/>
              <w:widowControl/>
              <w:suppressLineNumbers w:val="0"/>
              <w:jc w:val="center"/>
              <w:textAlignment w:val="center"/>
              <w:rPr>
                <w:b/>
                <w:szCs w:val="21"/>
              </w:rPr>
            </w:pPr>
            <w:r>
              <w:rPr>
                <w:rFonts w:hint="default" w:ascii="Arial" w:hAnsi="Arial" w:eastAsia="宋体" w:cs="Arial"/>
                <w:i w:val="0"/>
                <w:iCs w:val="0"/>
                <w:color w:val="000000"/>
                <w:kern w:val="0"/>
                <w:sz w:val="20"/>
                <w:szCs w:val="20"/>
                <w:u w:val="none"/>
                <w:lang w:val="en-US" w:eastAsia="zh-CN" w:bidi="ar"/>
              </w:rPr>
              <w:t xml:space="preserve">47 </w:t>
            </w:r>
          </w:p>
        </w:tc>
        <w:tc>
          <w:tcPr>
            <w:tcW w:w="440" w:type="pct"/>
            <w:vMerge w:val="restart"/>
            <w:noWrap w:val="0"/>
            <w:vAlign w:val="center"/>
          </w:tcPr>
          <w:p w14:paraId="557420AC">
            <w:pPr>
              <w:keepNext w:val="0"/>
              <w:keepLines w:val="0"/>
              <w:widowControl/>
              <w:suppressLineNumbers w:val="0"/>
              <w:jc w:val="center"/>
              <w:textAlignment w:val="center"/>
              <w:rPr>
                <w:rFonts w:hint="eastAsia" w:ascii="Times New Roman" w:hAnsi="Times New Roman"/>
                <w:szCs w:val="21"/>
              </w:rPr>
            </w:pPr>
            <w:r>
              <w:rPr>
                <w:rFonts w:hint="eastAsia" w:ascii="宋体" w:hAnsi="宋体" w:eastAsia="宋体" w:cs="宋体"/>
                <w:i w:val="0"/>
                <w:iCs w:val="0"/>
                <w:color w:val="000000"/>
                <w:kern w:val="0"/>
                <w:sz w:val="20"/>
                <w:szCs w:val="20"/>
                <w:u w:val="none"/>
                <w:lang w:val="en-US" w:eastAsia="zh-CN" w:bidi="ar"/>
              </w:rPr>
              <w:t>百变场景小屋</w:t>
            </w:r>
          </w:p>
        </w:tc>
        <w:tc>
          <w:tcPr>
            <w:tcW w:w="4225" w:type="pct"/>
            <w:noWrap w:val="0"/>
            <w:vAlign w:val="center"/>
          </w:tcPr>
          <w:p w14:paraId="3676857D">
            <w:pPr>
              <w:jc w:val="left"/>
              <w:rPr>
                <w:rFonts w:hint="eastAsia" w:ascii="Times New Roman" w:hAnsi="Times New Roman"/>
                <w:szCs w:val="21"/>
              </w:rPr>
            </w:pPr>
            <w:r>
              <w:rPr>
                <w:rFonts w:hint="eastAsia" w:ascii="Times New Roman" w:hAnsi="Times New Roman"/>
                <w:szCs w:val="21"/>
              </w:rPr>
              <w:t>规格：L100xW63xH131.5cm（±3cm）（含盒）</w:t>
            </w:r>
          </w:p>
        </w:tc>
      </w:tr>
      <w:tr w14:paraId="1A06A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3" w:type="pct"/>
            <w:vMerge w:val="continue"/>
            <w:noWrap w:val="0"/>
            <w:vAlign w:val="center"/>
          </w:tcPr>
          <w:p w14:paraId="03D95EA6">
            <w:pPr>
              <w:jc w:val="center"/>
              <w:rPr>
                <w:b/>
                <w:szCs w:val="21"/>
              </w:rPr>
            </w:pPr>
          </w:p>
        </w:tc>
        <w:tc>
          <w:tcPr>
            <w:tcW w:w="440" w:type="pct"/>
            <w:vMerge w:val="continue"/>
            <w:noWrap w:val="0"/>
            <w:vAlign w:val="center"/>
          </w:tcPr>
          <w:p w14:paraId="5159AEFD">
            <w:pPr>
              <w:jc w:val="center"/>
              <w:rPr>
                <w:rFonts w:hint="eastAsia" w:ascii="Times New Roman" w:hAnsi="Times New Roman"/>
                <w:szCs w:val="21"/>
              </w:rPr>
            </w:pPr>
          </w:p>
        </w:tc>
        <w:tc>
          <w:tcPr>
            <w:tcW w:w="4225" w:type="pct"/>
            <w:noWrap w:val="0"/>
            <w:vAlign w:val="top"/>
          </w:tcPr>
          <w:p w14:paraId="00206E5C">
            <w:pPr>
              <w:jc w:val="left"/>
              <w:rPr>
                <w:rFonts w:hint="eastAsia" w:ascii="Times New Roman" w:hAnsi="Times New Roman"/>
                <w:szCs w:val="21"/>
              </w:rPr>
            </w:pPr>
            <w:r>
              <w:rPr>
                <w:rFonts w:hint="eastAsia" w:ascii="Times New Roman" w:hAnsi="Times New Roman"/>
                <w:szCs w:val="21"/>
              </w:rPr>
              <w:t>1、工艺设计：</w:t>
            </w:r>
          </w:p>
          <w:p w14:paraId="732C9973">
            <w:pPr>
              <w:jc w:val="left"/>
              <w:rPr>
                <w:rFonts w:hint="eastAsia" w:ascii="Times New Roman" w:hAnsi="Times New Roman"/>
                <w:szCs w:val="21"/>
              </w:rPr>
            </w:pPr>
            <w:r>
              <w:rPr>
                <w:rFonts w:hint="eastAsia" w:ascii="Times New Roman" w:hAnsi="Times New Roman"/>
                <w:szCs w:val="21"/>
              </w:rPr>
              <w:t>（1）特色小屋+售卖台造型设计，屋顶板可开合，前档条可擦写，既能独立摆放模拟真实场景又易于搭配其他产品进行环创。</w:t>
            </w:r>
          </w:p>
          <w:p w14:paraId="19FE4EFC">
            <w:pPr>
              <w:jc w:val="left"/>
              <w:rPr>
                <w:rFonts w:hint="eastAsia" w:ascii="Times New Roman" w:hAnsi="Times New Roman"/>
                <w:szCs w:val="21"/>
              </w:rPr>
            </w:pPr>
            <w:r>
              <w:rPr>
                <w:rFonts w:hint="eastAsia" w:ascii="Times New Roman" w:hAnsi="Times New Roman"/>
                <w:szCs w:val="21"/>
              </w:rPr>
              <w:t>（2）配套塑料收纳盒，可满足不同类型材料的分类储存及展示。</w:t>
            </w:r>
          </w:p>
          <w:p w14:paraId="510A2E16">
            <w:pPr>
              <w:jc w:val="left"/>
              <w:rPr>
                <w:rFonts w:hint="eastAsia" w:ascii="Times New Roman" w:hAnsi="Times New Roman"/>
                <w:szCs w:val="21"/>
              </w:rPr>
            </w:pPr>
            <w:r>
              <w:rPr>
                <w:rFonts w:hint="eastAsia" w:ascii="Times New Roman" w:hAnsi="Times New Roman"/>
                <w:szCs w:val="21"/>
              </w:rPr>
              <w:t>（3）配套的美工椅座板为黑板漆贴面设计，可擦写，儿童可在椅子上书写绘画。</w:t>
            </w:r>
          </w:p>
          <w:p w14:paraId="2D3CD4D1">
            <w:pPr>
              <w:jc w:val="left"/>
              <w:rPr>
                <w:rFonts w:hint="eastAsia" w:ascii="Times New Roman" w:hAnsi="Times New Roman"/>
                <w:szCs w:val="21"/>
              </w:rPr>
            </w:pPr>
            <w:r>
              <w:rPr>
                <w:rFonts w:hint="eastAsia" w:ascii="Times New Roman" w:hAnsi="Times New Roman"/>
                <w:szCs w:val="21"/>
              </w:rPr>
              <w:t>（4）所有螺丝位无毛刺不刮手，边角采用圆边/圆角处理以及安全防撞设计，最大程度的避免儿童磕碰伤害，结构稳固。</w:t>
            </w:r>
          </w:p>
        </w:tc>
      </w:tr>
      <w:tr w14:paraId="658F9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3" w:type="pct"/>
            <w:vMerge w:val="continue"/>
            <w:noWrap w:val="0"/>
            <w:vAlign w:val="center"/>
          </w:tcPr>
          <w:p w14:paraId="54264700">
            <w:pPr>
              <w:jc w:val="center"/>
              <w:rPr>
                <w:b/>
                <w:szCs w:val="21"/>
              </w:rPr>
            </w:pPr>
          </w:p>
        </w:tc>
        <w:tc>
          <w:tcPr>
            <w:tcW w:w="440" w:type="pct"/>
            <w:vMerge w:val="continue"/>
            <w:noWrap w:val="0"/>
            <w:vAlign w:val="center"/>
          </w:tcPr>
          <w:p w14:paraId="40649E88">
            <w:pPr>
              <w:jc w:val="center"/>
              <w:rPr>
                <w:rFonts w:hint="eastAsia" w:ascii="Times New Roman" w:hAnsi="Times New Roman"/>
                <w:szCs w:val="21"/>
              </w:rPr>
            </w:pPr>
          </w:p>
        </w:tc>
        <w:tc>
          <w:tcPr>
            <w:tcW w:w="4225" w:type="pct"/>
            <w:noWrap w:val="0"/>
            <w:vAlign w:val="top"/>
          </w:tcPr>
          <w:p w14:paraId="2B88CA0D">
            <w:pPr>
              <w:jc w:val="left"/>
              <w:rPr>
                <w:rFonts w:hint="eastAsia" w:ascii="Times New Roman" w:hAnsi="Times New Roman"/>
                <w:szCs w:val="21"/>
              </w:rPr>
            </w:pPr>
            <w:r>
              <w:rPr>
                <w:rFonts w:hint="eastAsia" w:ascii="Times New Roman" w:hAnsi="Times New Roman"/>
                <w:szCs w:val="21"/>
              </w:rPr>
              <w:t>2、外观结构及材质：</w:t>
            </w:r>
          </w:p>
          <w:p w14:paraId="318B26BE">
            <w:pPr>
              <w:jc w:val="left"/>
              <w:rPr>
                <w:rFonts w:hint="eastAsia" w:ascii="Times New Roman" w:hAnsi="Times New Roman"/>
                <w:szCs w:val="21"/>
              </w:rPr>
            </w:pPr>
            <w:r>
              <w:rPr>
                <w:rFonts w:hint="eastAsia" w:ascii="Times New Roman" w:hAnsi="Times New Roman"/>
                <w:szCs w:val="21"/>
              </w:rPr>
              <w:t>（1）整体设计为娃娃家售卖造型柜，屋顶波浪造型，左侧为可开合窗户，尺寸：300x310mm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szCs w:val="21"/>
              </w:rPr>
              <w:t>。两面侧板均有镂空窗户，错落有致形成一个售卖空间。</w:t>
            </w:r>
          </w:p>
          <w:p w14:paraId="2356A7DE">
            <w:pPr>
              <w:jc w:val="left"/>
              <w:rPr>
                <w:rFonts w:hint="eastAsia" w:ascii="Times New Roman" w:hAnsi="Times New Roman"/>
                <w:szCs w:val="21"/>
              </w:rPr>
            </w:pPr>
            <w:r>
              <w:rPr>
                <w:rFonts w:hint="eastAsia" w:ascii="Times New Roman" w:hAnsi="Times New Roman"/>
                <w:szCs w:val="21"/>
              </w:rPr>
              <w:t>（2）左侧售卖层架内空长度：560mm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szCs w:val="21"/>
              </w:rPr>
              <w:t>，与水平夹角25°层架黑色前档条单面可粉笔书写,便于物品的展示；搭配4个大收纳盒，尺寸：L245xW150xH60mm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szCs w:val="21"/>
              </w:rPr>
              <w:t>，4个小收纳盒，尺寸：L150xW120xH60mm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szCs w:val="21"/>
              </w:rPr>
              <w:t>；收纳盒采用塑料材质，呈浅咖色，圆滑无毛刺，一体成型设计。右侧为咨询台设计，座台高度：485mm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szCs w:val="21"/>
              </w:rPr>
              <w:t>，搭配2张美工椅，尺寸：L360xW240xH260mm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szCs w:val="21"/>
              </w:rPr>
              <w:t>。搭配直径19mm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szCs w:val="21"/>
              </w:rPr>
              <w:t>铁艺圆棒，链接由涤纶纤维织造的仿棉麻材质可拆洗的小窗帘。</w:t>
            </w:r>
          </w:p>
          <w:p w14:paraId="78E415BC">
            <w:pPr>
              <w:jc w:val="left"/>
              <w:rPr>
                <w:rFonts w:hint="eastAsia" w:ascii="Times New Roman" w:hAnsi="Times New Roman"/>
                <w:szCs w:val="21"/>
              </w:rPr>
            </w:pPr>
            <w:r>
              <w:rPr>
                <w:rFonts w:hint="eastAsia" w:ascii="Times New Roman" w:hAnsi="Times New Roman"/>
                <w:szCs w:val="21"/>
              </w:rPr>
              <w:t>（3）底部安装塑料脚垫，高度为H10mm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szCs w:val="21"/>
              </w:rPr>
              <w:t>，直径17mm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szCs w:val="21"/>
              </w:rPr>
              <w:t>,软性防滑，可有效保护地面刮花并降低噪音。</w:t>
            </w:r>
          </w:p>
          <w:p w14:paraId="6003A281">
            <w:pPr>
              <w:jc w:val="left"/>
              <w:rPr>
                <w:rFonts w:hint="eastAsia" w:ascii="Times New Roman" w:hAnsi="Times New Roman"/>
                <w:szCs w:val="21"/>
              </w:rPr>
            </w:pPr>
            <w:r>
              <w:rPr>
                <w:rFonts w:hint="eastAsia" w:ascii="Times New Roman" w:hAnsi="Times New Roman"/>
                <w:szCs w:val="21"/>
              </w:rPr>
              <w:t>（4）木蜡油：采用的水性木蜡油封边，成分天然，分子机构细小，成膜牢固，密封性好。</w:t>
            </w:r>
          </w:p>
          <w:p w14:paraId="26DC7C03">
            <w:pPr>
              <w:jc w:val="left"/>
              <w:rPr>
                <w:rFonts w:hint="eastAsia" w:ascii="Times New Roman" w:hAnsi="Times New Roman"/>
                <w:szCs w:val="21"/>
              </w:rPr>
            </w:pPr>
            <w:r>
              <w:rPr>
                <w:rFonts w:hint="eastAsia" w:ascii="Times New Roman" w:hAnsi="Times New Roman"/>
                <w:szCs w:val="21"/>
              </w:rPr>
              <w:t>（5）油漆：采用的水性漆，全封闭涂装工艺，漆面光泽高透，颜色均匀。</w:t>
            </w:r>
          </w:p>
        </w:tc>
      </w:tr>
      <w:tr w14:paraId="15EAF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3" w:type="pct"/>
            <w:vMerge w:val="restart"/>
            <w:noWrap w:val="0"/>
            <w:vAlign w:val="center"/>
          </w:tcPr>
          <w:p w14:paraId="3FC1A9AA">
            <w:pPr>
              <w:keepNext w:val="0"/>
              <w:keepLines w:val="0"/>
              <w:widowControl/>
              <w:suppressLineNumbers w:val="0"/>
              <w:jc w:val="center"/>
              <w:textAlignment w:val="center"/>
              <w:rPr>
                <w:b/>
                <w:szCs w:val="21"/>
              </w:rPr>
            </w:pPr>
            <w:r>
              <w:rPr>
                <w:rFonts w:hint="default" w:ascii="Arial" w:hAnsi="Arial" w:eastAsia="宋体" w:cs="Arial"/>
                <w:i w:val="0"/>
                <w:iCs w:val="0"/>
                <w:color w:val="000000"/>
                <w:kern w:val="0"/>
                <w:sz w:val="20"/>
                <w:szCs w:val="20"/>
                <w:u w:val="none"/>
                <w:lang w:val="en-US" w:eastAsia="zh-CN" w:bidi="ar"/>
              </w:rPr>
              <w:t xml:space="preserve">48 </w:t>
            </w:r>
          </w:p>
        </w:tc>
        <w:tc>
          <w:tcPr>
            <w:tcW w:w="440" w:type="pct"/>
            <w:vMerge w:val="restart"/>
            <w:noWrap w:val="0"/>
            <w:vAlign w:val="center"/>
          </w:tcPr>
          <w:p w14:paraId="3FCD84BA">
            <w:pPr>
              <w:keepNext w:val="0"/>
              <w:keepLines w:val="0"/>
              <w:widowControl/>
              <w:suppressLineNumbers w:val="0"/>
              <w:jc w:val="center"/>
              <w:textAlignment w:val="center"/>
              <w:rPr>
                <w:rFonts w:hint="eastAsia" w:ascii="Times New Roman" w:hAnsi="Times New Roman"/>
                <w:szCs w:val="21"/>
              </w:rPr>
            </w:pPr>
            <w:r>
              <w:rPr>
                <w:rFonts w:hint="eastAsia" w:ascii="宋体" w:hAnsi="宋体" w:eastAsia="宋体" w:cs="宋体"/>
                <w:i w:val="0"/>
                <w:iCs w:val="0"/>
                <w:color w:val="000000"/>
                <w:kern w:val="0"/>
                <w:sz w:val="20"/>
                <w:szCs w:val="20"/>
                <w:u w:val="none"/>
                <w:lang w:val="en-US" w:eastAsia="zh-CN" w:bidi="ar"/>
              </w:rPr>
              <w:t>2层90°弧形矮柜</w:t>
            </w:r>
          </w:p>
        </w:tc>
        <w:tc>
          <w:tcPr>
            <w:tcW w:w="4225" w:type="pct"/>
            <w:noWrap w:val="0"/>
            <w:vAlign w:val="center"/>
          </w:tcPr>
          <w:p w14:paraId="086E74EB">
            <w:pPr>
              <w:jc w:val="left"/>
              <w:rPr>
                <w:rFonts w:hint="eastAsia" w:ascii="Times New Roman" w:hAnsi="Times New Roman"/>
                <w:szCs w:val="21"/>
              </w:rPr>
            </w:pPr>
            <w:r>
              <w:rPr>
                <w:rFonts w:hint="eastAsia" w:ascii="Times New Roman" w:hAnsi="Times New Roman"/>
                <w:szCs w:val="21"/>
              </w:rPr>
              <w:t>规格：L84xW38.5xH59cm（±3cm）</w:t>
            </w:r>
          </w:p>
        </w:tc>
      </w:tr>
      <w:tr w14:paraId="48D66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3" w:type="pct"/>
            <w:vMerge w:val="continue"/>
            <w:noWrap w:val="0"/>
            <w:vAlign w:val="center"/>
          </w:tcPr>
          <w:p w14:paraId="06667D0B">
            <w:pPr>
              <w:jc w:val="center"/>
              <w:rPr>
                <w:b/>
                <w:szCs w:val="21"/>
              </w:rPr>
            </w:pPr>
          </w:p>
        </w:tc>
        <w:tc>
          <w:tcPr>
            <w:tcW w:w="440" w:type="pct"/>
            <w:vMerge w:val="continue"/>
            <w:noWrap w:val="0"/>
            <w:vAlign w:val="center"/>
          </w:tcPr>
          <w:p w14:paraId="6EC2EAA8">
            <w:pPr>
              <w:jc w:val="center"/>
              <w:rPr>
                <w:rFonts w:hint="eastAsia" w:ascii="Times New Roman" w:hAnsi="Times New Roman"/>
                <w:szCs w:val="21"/>
              </w:rPr>
            </w:pPr>
          </w:p>
        </w:tc>
        <w:tc>
          <w:tcPr>
            <w:tcW w:w="4225" w:type="pct"/>
            <w:noWrap w:val="0"/>
            <w:vAlign w:val="top"/>
          </w:tcPr>
          <w:p w14:paraId="1593AA84">
            <w:pPr>
              <w:jc w:val="left"/>
              <w:rPr>
                <w:rFonts w:hint="eastAsia" w:ascii="Times New Roman" w:hAnsi="Times New Roman"/>
                <w:b w:val="0"/>
                <w:bCs w:val="0"/>
                <w:szCs w:val="21"/>
              </w:rPr>
            </w:pPr>
            <w:r>
              <w:rPr>
                <w:rFonts w:hint="eastAsia" w:ascii="Times New Roman" w:hAnsi="Times New Roman"/>
                <w:b w:val="0"/>
                <w:bCs w:val="0"/>
                <w:szCs w:val="21"/>
              </w:rPr>
              <w:t>1、工艺设计：</w:t>
            </w:r>
          </w:p>
          <w:p w14:paraId="39E54362">
            <w:pPr>
              <w:jc w:val="left"/>
              <w:rPr>
                <w:rFonts w:hint="eastAsia" w:ascii="Times New Roman" w:hAnsi="Times New Roman"/>
                <w:b w:val="0"/>
                <w:bCs w:val="0"/>
                <w:szCs w:val="21"/>
              </w:rPr>
            </w:pPr>
            <w:r>
              <w:rPr>
                <w:rFonts w:hint="eastAsia" w:ascii="Times New Roman" w:hAnsi="Times New Roman"/>
                <w:b w:val="0"/>
                <w:bCs w:val="0"/>
                <w:szCs w:val="21"/>
              </w:rPr>
              <w:t>（1）90°弧形设计，可搭配区角使用作转角连接。</w:t>
            </w:r>
          </w:p>
          <w:p w14:paraId="6D4E898F">
            <w:pPr>
              <w:jc w:val="left"/>
              <w:rPr>
                <w:rFonts w:hint="eastAsia" w:ascii="Times New Roman" w:hAnsi="Times New Roman"/>
                <w:b w:val="0"/>
                <w:bCs w:val="0"/>
                <w:szCs w:val="21"/>
              </w:rPr>
            </w:pPr>
            <w:r>
              <w:rPr>
                <w:rFonts w:hint="eastAsia" w:ascii="Times New Roman" w:hAnsi="Times New Roman"/>
                <w:b w:val="0"/>
                <w:bCs w:val="0"/>
                <w:szCs w:val="21"/>
              </w:rPr>
              <w:t>（2）所有螺丝位无毛刺不刮手，四角及边沿采用圆角/圆边处理以及安全防撞设计，最大程度的避免儿童磕碰伤害，结构稳固。</w:t>
            </w:r>
          </w:p>
        </w:tc>
      </w:tr>
      <w:tr w14:paraId="0340E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3" w:type="pct"/>
            <w:vMerge w:val="continue"/>
            <w:noWrap w:val="0"/>
            <w:vAlign w:val="center"/>
          </w:tcPr>
          <w:p w14:paraId="43E9C6CB">
            <w:pPr>
              <w:jc w:val="center"/>
              <w:rPr>
                <w:b/>
                <w:szCs w:val="21"/>
              </w:rPr>
            </w:pPr>
          </w:p>
        </w:tc>
        <w:tc>
          <w:tcPr>
            <w:tcW w:w="440" w:type="pct"/>
            <w:vMerge w:val="continue"/>
            <w:noWrap w:val="0"/>
            <w:vAlign w:val="center"/>
          </w:tcPr>
          <w:p w14:paraId="74ACF1B6">
            <w:pPr>
              <w:jc w:val="center"/>
              <w:rPr>
                <w:rFonts w:hint="eastAsia" w:ascii="Times New Roman" w:hAnsi="Times New Roman"/>
                <w:szCs w:val="21"/>
              </w:rPr>
            </w:pPr>
          </w:p>
        </w:tc>
        <w:tc>
          <w:tcPr>
            <w:tcW w:w="4225" w:type="pct"/>
            <w:noWrap w:val="0"/>
            <w:vAlign w:val="top"/>
          </w:tcPr>
          <w:p w14:paraId="6972141C">
            <w:pPr>
              <w:jc w:val="left"/>
              <w:rPr>
                <w:rFonts w:hint="eastAsia" w:ascii="Times New Roman" w:hAnsi="Times New Roman"/>
                <w:b w:val="0"/>
                <w:bCs w:val="0"/>
                <w:szCs w:val="21"/>
              </w:rPr>
            </w:pPr>
            <w:r>
              <w:rPr>
                <w:rFonts w:hint="eastAsia" w:ascii="Times New Roman" w:hAnsi="Times New Roman"/>
                <w:b w:val="0"/>
                <w:bCs w:val="0"/>
                <w:szCs w:val="21"/>
              </w:rPr>
              <w:t>2、外观结构：</w:t>
            </w:r>
          </w:p>
          <w:p w14:paraId="52A4A3F3">
            <w:pPr>
              <w:jc w:val="left"/>
              <w:rPr>
                <w:rFonts w:hint="eastAsia" w:ascii="Times New Roman" w:hAnsi="Times New Roman"/>
                <w:b w:val="0"/>
                <w:bCs w:val="0"/>
                <w:szCs w:val="21"/>
              </w:rPr>
            </w:pPr>
            <w:r>
              <w:rPr>
                <w:rFonts w:hint="eastAsia" w:ascii="Times New Roman" w:hAnsi="Times New Roman"/>
                <w:b w:val="0"/>
                <w:bCs w:val="0"/>
                <w:szCs w:val="21"/>
              </w:rPr>
              <w:t>（1）柜体：采用16mm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b w:val="0"/>
                <w:bCs w:val="0"/>
                <w:szCs w:val="21"/>
              </w:rPr>
              <w:t>的橡胶木拼板。通透2层矮柜，上下内空高度为236mm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b w:val="0"/>
                <w:bCs w:val="0"/>
                <w:szCs w:val="21"/>
              </w:rPr>
              <w:t>，柜体呈90°弧形。</w:t>
            </w:r>
          </w:p>
          <w:p w14:paraId="5DEE3943">
            <w:pPr>
              <w:jc w:val="left"/>
              <w:rPr>
                <w:rFonts w:hint="eastAsia" w:ascii="Times New Roman" w:hAnsi="Times New Roman"/>
                <w:b w:val="0"/>
                <w:bCs w:val="0"/>
                <w:szCs w:val="21"/>
              </w:rPr>
            </w:pPr>
            <w:r>
              <w:rPr>
                <w:rFonts w:hint="eastAsia" w:ascii="Times New Roman" w:hAnsi="Times New Roman"/>
                <w:b w:val="0"/>
                <w:bCs w:val="0"/>
                <w:szCs w:val="21"/>
              </w:rPr>
              <w:t>（2）围脚：采用厚度18mm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b w:val="0"/>
                <w:bCs w:val="0"/>
                <w:szCs w:val="21"/>
              </w:rPr>
              <w:t>的多层胶合弯板，柜子底部安装塑料脚垫，高度为H10mm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b w:val="0"/>
                <w:bCs w:val="0"/>
                <w:szCs w:val="21"/>
              </w:rPr>
              <w:t>，直径17mm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b w:val="0"/>
                <w:bCs w:val="0"/>
                <w:szCs w:val="21"/>
              </w:rPr>
              <w:t>，软性防滑，可有效保护地面刮花并降低噪音。</w:t>
            </w:r>
          </w:p>
          <w:p w14:paraId="167FE253">
            <w:pPr>
              <w:jc w:val="left"/>
              <w:rPr>
                <w:rFonts w:hint="eastAsia" w:ascii="Times New Roman" w:hAnsi="Times New Roman"/>
                <w:b w:val="0"/>
                <w:bCs w:val="0"/>
                <w:szCs w:val="21"/>
              </w:rPr>
            </w:pPr>
            <w:r>
              <w:rPr>
                <w:rFonts w:hint="eastAsia" w:ascii="Times New Roman" w:hAnsi="Times New Roman"/>
                <w:b w:val="0"/>
                <w:bCs w:val="0"/>
                <w:szCs w:val="21"/>
              </w:rPr>
              <w:t>（3）采用的水性漆，全封闭涂装工艺，漆面光泽高透，颜色均匀。</w:t>
            </w:r>
          </w:p>
        </w:tc>
      </w:tr>
      <w:tr w14:paraId="0161D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3" w:type="pct"/>
            <w:vMerge w:val="restart"/>
            <w:noWrap w:val="0"/>
            <w:vAlign w:val="center"/>
          </w:tcPr>
          <w:p w14:paraId="518A32A6">
            <w:pPr>
              <w:keepNext w:val="0"/>
              <w:keepLines w:val="0"/>
              <w:widowControl/>
              <w:suppressLineNumbers w:val="0"/>
              <w:jc w:val="center"/>
              <w:textAlignment w:val="center"/>
              <w:rPr>
                <w:b/>
                <w:szCs w:val="21"/>
              </w:rPr>
            </w:pPr>
            <w:r>
              <w:rPr>
                <w:rFonts w:hint="default" w:ascii="Arial" w:hAnsi="Arial" w:eastAsia="宋体" w:cs="Arial"/>
                <w:i w:val="0"/>
                <w:iCs w:val="0"/>
                <w:color w:val="000000"/>
                <w:kern w:val="0"/>
                <w:sz w:val="20"/>
                <w:szCs w:val="20"/>
                <w:u w:val="none"/>
                <w:lang w:val="en-US" w:eastAsia="zh-CN" w:bidi="ar"/>
              </w:rPr>
              <w:t xml:space="preserve">49 </w:t>
            </w:r>
          </w:p>
        </w:tc>
        <w:tc>
          <w:tcPr>
            <w:tcW w:w="440" w:type="pct"/>
            <w:vMerge w:val="restart"/>
            <w:noWrap w:val="0"/>
            <w:vAlign w:val="center"/>
          </w:tcPr>
          <w:p w14:paraId="05A2CE4D">
            <w:pPr>
              <w:keepNext w:val="0"/>
              <w:keepLines w:val="0"/>
              <w:widowControl/>
              <w:suppressLineNumbers w:val="0"/>
              <w:jc w:val="center"/>
              <w:textAlignment w:val="center"/>
              <w:rPr>
                <w:rFonts w:hint="eastAsia" w:ascii="Times New Roman" w:hAnsi="Times New Roman"/>
                <w:szCs w:val="21"/>
              </w:rPr>
            </w:pPr>
            <w:r>
              <w:rPr>
                <w:rFonts w:hint="eastAsia" w:ascii="宋体" w:hAnsi="宋体" w:eastAsia="宋体" w:cs="宋体"/>
                <w:i w:val="0"/>
                <w:iCs w:val="0"/>
                <w:color w:val="000000"/>
                <w:kern w:val="0"/>
                <w:sz w:val="20"/>
                <w:szCs w:val="20"/>
                <w:u w:val="none"/>
                <w:lang w:val="en-US" w:eastAsia="zh-CN" w:bidi="ar"/>
              </w:rPr>
              <w:t>3层矮柜.可调节.无背板</w:t>
            </w:r>
          </w:p>
        </w:tc>
        <w:tc>
          <w:tcPr>
            <w:tcW w:w="4225" w:type="pct"/>
            <w:noWrap w:val="0"/>
            <w:vAlign w:val="center"/>
          </w:tcPr>
          <w:p w14:paraId="0A623F3A">
            <w:pPr>
              <w:jc w:val="left"/>
              <w:rPr>
                <w:rFonts w:hint="eastAsia" w:ascii="Times New Roman" w:hAnsi="Times New Roman"/>
                <w:b w:val="0"/>
                <w:bCs w:val="0"/>
                <w:szCs w:val="21"/>
              </w:rPr>
            </w:pPr>
            <w:r>
              <w:rPr>
                <w:rFonts w:hint="eastAsia" w:ascii="Times New Roman" w:hAnsi="Times New Roman"/>
                <w:b w:val="0"/>
                <w:bCs w:val="0"/>
                <w:szCs w:val="21"/>
              </w:rPr>
              <w:t>规格：L91.5xW30xH59cm（±3cm）</w:t>
            </w:r>
          </w:p>
        </w:tc>
      </w:tr>
      <w:tr w14:paraId="53934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3" w:type="pct"/>
            <w:vMerge w:val="continue"/>
            <w:noWrap w:val="0"/>
            <w:vAlign w:val="center"/>
          </w:tcPr>
          <w:p w14:paraId="42EAC0AC">
            <w:pPr>
              <w:jc w:val="center"/>
              <w:rPr>
                <w:b/>
                <w:szCs w:val="21"/>
              </w:rPr>
            </w:pPr>
          </w:p>
        </w:tc>
        <w:tc>
          <w:tcPr>
            <w:tcW w:w="440" w:type="pct"/>
            <w:vMerge w:val="continue"/>
            <w:noWrap w:val="0"/>
            <w:vAlign w:val="center"/>
          </w:tcPr>
          <w:p w14:paraId="4511C35A">
            <w:pPr>
              <w:jc w:val="center"/>
              <w:rPr>
                <w:rFonts w:hint="eastAsia" w:ascii="Times New Roman" w:hAnsi="Times New Roman"/>
                <w:szCs w:val="21"/>
              </w:rPr>
            </w:pPr>
          </w:p>
        </w:tc>
        <w:tc>
          <w:tcPr>
            <w:tcW w:w="4225" w:type="pct"/>
            <w:noWrap w:val="0"/>
            <w:vAlign w:val="top"/>
          </w:tcPr>
          <w:p w14:paraId="6D83CA37">
            <w:pPr>
              <w:jc w:val="left"/>
              <w:rPr>
                <w:rFonts w:hint="eastAsia" w:ascii="Times New Roman" w:hAnsi="Times New Roman"/>
                <w:b w:val="0"/>
                <w:bCs w:val="0"/>
                <w:szCs w:val="21"/>
              </w:rPr>
            </w:pPr>
            <w:r>
              <w:rPr>
                <w:rFonts w:hint="eastAsia" w:ascii="Times New Roman" w:hAnsi="Times New Roman"/>
                <w:b w:val="0"/>
                <w:bCs w:val="0"/>
                <w:szCs w:val="21"/>
              </w:rPr>
              <w:t>1、工艺设计：</w:t>
            </w:r>
          </w:p>
          <w:p w14:paraId="45521773">
            <w:pPr>
              <w:jc w:val="left"/>
              <w:rPr>
                <w:rFonts w:hint="eastAsia" w:ascii="Times New Roman" w:hAnsi="Times New Roman"/>
                <w:b w:val="0"/>
                <w:bCs w:val="0"/>
                <w:szCs w:val="21"/>
              </w:rPr>
            </w:pPr>
            <w:r>
              <w:rPr>
                <w:rFonts w:hint="eastAsia" w:ascii="Times New Roman" w:hAnsi="Times New Roman"/>
                <w:b w:val="0"/>
                <w:bCs w:val="0"/>
                <w:szCs w:val="21"/>
              </w:rPr>
              <w:t>（1）采用翻板活动轮工艺，移动/固定自由切换。</w:t>
            </w:r>
          </w:p>
          <w:p w14:paraId="1A08D4CC">
            <w:pPr>
              <w:jc w:val="left"/>
              <w:rPr>
                <w:rFonts w:hint="eastAsia" w:ascii="Times New Roman" w:hAnsi="Times New Roman"/>
                <w:b w:val="0"/>
                <w:bCs w:val="0"/>
                <w:szCs w:val="21"/>
              </w:rPr>
            </w:pPr>
            <w:r>
              <w:rPr>
                <w:rFonts w:hint="eastAsia" w:ascii="Times New Roman" w:hAnsi="Times New Roman"/>
                <w:b w:val="0"/>
                <w:bCs w:val="0"/>
                <w:szCs w:val="21"/>
              </w:rPr>
              <w:t>（2）层板可调设计，提高空间利用率。</w:t>
            </w:r>
          </w:p>
          <w:p w14:paraId="0347C6A7">
            <w:pPr>
              <w:jc w:val="left"/>
              <w:rPr>
                <w:rFonts w:hint="eastAsia" w:ascii="Times New Roman" w:hAnsi="Times New Roman"/>
                <w:b w:val="0"/>
                <w:bCs w:val="0"/>
                <w:szCs w:val="21"/>
              </w:rPr>
            </w:pPr>
            <w:r>
              <w:rPr>
                <w:rFonts w:hint="eastAsia" w:ascii="Times New Roman" w:hAnsi="Times New Roman"/>
                <w:b w:val="0"/>
                <w:bCs w:val="0"/>
                <w:szCs w:val="21"/>
              </w:rPr>
              <w:t>（3）所有螺丝位无毛刺不刮手，四角及边沿采用圆角/圆边处理以及安全防撞设计，最大程度的避免儿童磕碰伤害，结构稳固。</w:t>
            </w:r>
          </w:p>
        </w:tc>
      </w:tr>
      <w:tr w14:paraId="7A531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3" w:type="pct"/>
            <w:vMerge w:val="continue"/>
            <w:noWrap w:val="0"/>
            <w:vAlign w:val="center"/>
          </w:tcPr>
          <w:p w14:paraId="3381BE16">
            <w:pPr>
              <w:jc w:val="center"/>
              <w:rPr>
                <w:b/>
                <w:szCs w:val="21"/>
              </w:rPr>
            </w:pPr>
          </w:p>
        </w:tc>
        <w:tc>
          <w:tcPr>
            <w:tcW w:w="440" w:type="pct"/>
            <w:vMerge w:val="continue"/>
            <w:noWrap w:val="0"/>
            <w:vAlign w:val="center"/>
          </w:tcPr>
          <w:p w14:paraId="00CB77A6">
            <w:pPr>
              <w:jc w:val="center"/>
              <w:rPr>
                <w:rFonts w:hint="eastAsia" w:ascii="Times New Roman" w:hAnsi="Times New Roman"/>
                <w:szCs w:val="21"/>
              </w:rPr>
            </w:pPr>
          </w:p>
        </w:tc>
        <w:tc>
          <w:tcPr>
            <w:tcW w:w="4225" w:type="pct"/>
            <w:noWrap w:val="0"/>
            <w:vAlign w:val="top"/>
          </w:tcPr>
          <w:p w14:paraId="19743F68">
            <w:pPr>
              <w:jc w:val="left"/>
              <w:rPr>
                <w:rFonts w:hint="eastAsia" w:ascii="Times New Roman" w:hAnsi="Times New Roman"/>
                <w:b w:val="0"/>
                <w:bCs w:val="0"/>
                <w:szCs w:val="21"/>
              </w:rPr>
            </w:pPr>
            <w:r>
              <w:rPr>
                <w:rFonts w:hint="eastAsia" w:ascii="Times New Roman" w:hAnsi="Times New Roman"/>
                <w:b w:val="0"/>
                <w:bCs w:val="0"/>
                <w:szCs w:val="21"/>
              </w:rPr>
              <w:t>2、外观结构及材质：</w:t>
            </w:r>
          </w:p>
          <w:p w14:paraId="6CF3203E">
            <w:pPr>
              <w:jc w:val="left"/>
              <w:rPr>
                <w:rFonts w:hint="eastAsia" w:ascii="Times New Roman" w:hAnsi="Times New Roman"/>
                <w:b w:val="0"/>
                <w:bCs w:val="0"/>
                <w:szCs w:val="21"/>
              </w:rPr>
            </w:pPr>
            <w:r>
              <w:rPr>
                <w:rFonts w:hint="eastAsia" w:ascii="Times New Roman" w:hAnsi="Times New Roman"/>
                <w:b w:val="0"/>
                <w:bCs w:val="0"/>
                <w:szCs w:val="21"/>
              </w:rPr>
              <w:t>（1）柜体：采用16mm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b w:val="0"/>
                <w:bCs w:val="0"/>
                <w:szCs w:val="21"/>
              </w:rPr>
              <w:t>的橡胶木拼板。柜子长度内空：884mm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b w:val="0"/>
                <w:bCs w:val="0"/>
                <w:szCs w:val="21"/>
              </w:rPr>
              <w:t>，上中下三层，中间两块层板。柜子内侧配塑料一次成型呈浅咖色长度440mm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b w:val="0"/>
                <w:bCs w:val="0"/>
                <w:szCs w:val="21"/>
              </w:rPr>
              <w:t>的活动层板支撑条，内嵌式安装嵌入深度4.5mm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b w:val="0"/>
                <w:bCs w:val="0"/>
                <w:szCs w:val="21"/>
              </w:rPr>
              <w:t>，固定条凸11mm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b w:val="0"/>
                <w:bCs w:val="0"/>
                <w:szCs w:val="21"/>
              </w:rPr>
              <w:t>,灵活安全使用层板，不占用空间，共15个挡位、每挡28mm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b w:val="0"/>
                <w:bCs w:val="0"/>
                <w:szCs w:val="21"/>
              </w:rPr>
              <w:t>，可实现层板自选放置高度。</w:t>
            </w:r>
          </w:p>
          <w:p w14:paraId="2BBE3E63">
            <w:pPr>
              <w:jc w:val="left"/>
              <w:rPr>
                <w:rFonts w:hint="eastAsia" w:ascii="Times New Roman" w:hAnsi="Times New Roman"/>
                <w:b w:val="0"/>
                <w:bCs w:val="0"/>
                <w:szCs w:val="21"/>
              </w:rPr>
            </w:pPr>
            <w:r>
              <w:rPr>
                <w:rFonts w:hint="eastAsia" w:ascii="Times New Roman" w:hAnsi="Times New Roman"/>
                <w:b w:val="0"/>
                <w:bCs w:val="0"/>
                <w:szCs w:val="21"/>
              </w:rPr>
              <w:t>（2）围脚：采用厚度18mm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b w:val="0"/>
                <w:bCs w:val="0"/>
                <w:szCs w:val="21"/>
              </w:rPr>
              <w:t>的橡胶木拼板。柜体与底部围脚采用塑料连接件实现翻板功能，脚轮为静音万向轮，安装在围脚侧板内，当家具固定时，围脚侧板向下翻，万向轮则隐藏于侧板内；当家具需要移动时，围脚侧板向上翻，塑料连接件卡扣对侧板进行固定，万向轮支撑起家具的重量，无须抬起轻松实现家具位置转移。</w:t>
            </w:r>
          </w:p>
          <w:p w14:paraId="57024450">
            <w:pPr>
              <w:jc w:val="left"/>
              <w:rPr>
                <w:rFonts w:hint="eastAsia" w:ascii="Times New Roman" w:hAnsi="Times New Roman"/>
                <w:b w:val="0"/>
                <w:bCs w:val="0"/>
                <w:szCs w:val="21"/>
              </w:rPr>
            </w:pPr>
            <w:r>
              <w:rPr>
                <w:rFonts w:hint="eastAsia" w:ascii="Times New Roman" w:hAnsi="Times New Roman"/>
                <w:b w:val="0"/>
                <w:bCs w:val="0"/>
                <w:szCs w:val="21"/>
              </w:rPr>
              <w:t>（3）采用的水性漆，全封闭涂装工艺，漆面光泽高透，颜色均匀。</w:t>
            </w:r>
          </w:p>
        </w:tc>
      </w:tr>
      <w:tr w14:paraId="1517E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3" w:type="pct"/>
            <w:vMerge w:val="restart"/>
            <w:noWrap w:val="0"/>
            <w:vAlign w:val="center"/>
          </w:tcPr>
          <w:p w14:paraId="1A096C5A">
            <w:pPr>
              <w:keepNext w:val="0"/>
              <w:keepLines w:val="0"/>
              <w:widowControl/>
              <w:suppressLineNumbers w:val="0"/>
              <w:jc w:val="center"/>
              <w:textAlignment w:val="center"/>
              <w:rPr>
                <w:b/>
                <w:szCs w:val="21"/>
              </w:rPr>
            </w:pPr>
            <w:r>
              <w:rPr>
                <w:rFonts w:hint="default" w:ascii="Arial" w:hAnsi="Arial" w:eastAsia="宋体" w:cs="Arial"/>
                <w:i w:val="0"/>
                <w:iCs w:val="0"/>
                <w:color w:val="000000"/>
                <w:kern w:val="0"/>
                <w:sz w:val="20"/>
                <w:szCs w:val="20"/>
                <w:u w:val="none"/>
                <w:lang w:val="en-US" w:eastAsia="zh-CN" w:bidi="ar"/>
              </w:rPr>
              <w:t xml:space="preserve">50 </w:t>
            </w:r>
          </w:p>
        </w:tc>
        <w:tc>
          <w:tcPr>
            <w:tcW w:w="440" w:type="pct"/>
            <w:vMerge w:val="restart"/>
            <w:noWrap w:val="0"/>
            <w:vAlign w:val="center"/>
          </w:tcPr>
          <w:p w14:paraId="1ED86D66">
            <w:pPr>
              <w:keepNext w:val="0"/>
              <w:keepLines w:val="0"/>
              <w:widowControl/>
              <w:suppressLineNumbers w:val="0"/>
              <w:jc w:val="center"/>
              <w:textAlignment w:val="center"/>
              <w:rPr>
                <w:rFonts w:hint="eastAsia" w:ascii="Times New Roman" w:hAnsi="Times New Roman"/>
                <w:szCs w:val="21"/>
              </w:rPr>
            </w:pPr>
            <w:r>
              <w:rPr>
                <w:rFonts w:hint="eastAsia" w:ascii="宋体" w:hAnsi="宋体" w:eastAsia="宋体" w:cs="宋体"/>
                <w:i w:val="0"/>
                <w:iCs w:val="0"/>
                <w:color w:val="000000"/>
                <w:kern w:val="0"/>
                <w:sz w:val="20"/>
                <w:szCs w:val="20"/>
                <w:u w:val="none"/>
                <w:lang w:val="en-US" w:eastAsia="zh-CN" w:bidi="ar"/>
              </w:rPr>
              <w:t>简约书架</w:t>
            </w:r>
          </w:p>
        </w:tc>
        <w:tc>
          <w:tcPr>
            <w:tcW w:w="4225" w:type="pct"/>
            <w:noWrap w:val="0"/>
            <w:vAlign w:val="center"/>
          </w:tcPr>
          <w:p w14:paraId="36ECF8E9">
            <w:pPr>
              <w:jc w:val="left"/>
              <w:rPr>
                <w:rFonts w:hint="eastAsia" w:ascii="Times New Roman" w:hAnsi="Times New Roman"/>
                <w:b w:val="0"/>
                <w:bCs w:val="0"/>
                <w:szCs w:val="21"/>
              </w:rPr>
            </w:pPr>
            <w:r>
              <w:rPr>
                <w:rFonts w:hint="eastAsia" w:ascii="Times New Roman" w:hAnsi="Times New Roman"/>
                <w:b w:val="0"/>
                <w:bCs w:val="0"/>
                <w:szCs w:val="21"/>
              </w:rPr>
              <w:t>规格：L93xW30xH81cm（±3cm）</w:t>
            </w:r>
          </w:p>
        </w:tc>
      </w:tr>
      <w:tr w14:paraId="3EA9D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3" w:type="pct"/>
            <w:vMerge w:val="continue"/>
            <w:noWrap w:val="0"/>
            <w:vAlign w:val="center"/>
          </w:tcPr>
          <w:p w14:paraId="60C0E09B">
            <w:pPr>
              <w:jc w:val="center"/>
              <w:rPr>
                <w:b/>
                <w:szCs w:val="21"/>
              </w:rPr>
            </w:pPr>
          </w:p>
        </w:tc>
        <w:tc>
          <w:tcPr>
            <w:tcW w:w="440" w:type="pct"/>
            <w:vMerge w:val="continue"/>
            <w:noWrap w:val="0"/>
            <w:vAlign w:val="center"/>
          </w:tcPr>
          <w:p w14:paraId="79C3B161">
            <w:pPr>
              <w:jc w:val="center"/>
              <w:rPr>
                <w:rFonts w:hint="eastAsia" w:ascii="Times New Roman" w:hAnsi="Times New Roman"/>
                <w:szCs w:val="21"/>
              </w:rPr>
            </w:pPr>
          </w:p>
        </w:tc>
        <w:tc>
          <w:tcPr>
            <w:tcW w:w="4225" w:type="pct"/>
            <w:noWrap w:val="0"/>
            <w:vAlign w:val="top"/>
          </w:tcPr>
          <w:p w14:paraId="74FDA1B8">
            <w:pPr>
              <w:jc w:val="left"/>
              <w:rPr>
                <w:rFonts w:hint="eastAsia" w:ascii="Times New Roman" w:hAnsi="Times New Roman"/>
                <w:b w:val="0"/>
                <w:bCs w:val="0"/>
                <w:szCs w:val="21"/>
              </w:rPr>
            </w:pPr>
            <w:r>
              <w:rPr>
                <w:rFonts w:hint="eastAsia" w:ascii="Times New Roman" w:hAnsi="Times New Roman"/>
                <w:b w:val="0"/>
                <w:bCs w:val="0"/>
                <w:szCs w:val="21"/>
              </w:rPr>
              <w:t>1、工艺设计：</w:t>
            </w:r>
          </w:p>
          <w:p w14:paraId="18B391E3">
            <w:pPr>
              <w:jc w:val="left"/>
              <w:rPr>
                <w:rFonts w:hint="eastAsia" w:ascii="Times New Roman" w:hAnsi="Times New Roman"/>
                <w:b w:val="0"/>
                <w:bCs w:val="0"/>
                <w:szCs w:val="21"/>
              </w:rPr>
            </w:pPr>
            <w:r>
              <w:rPr>
                <w:rFonts w:hint="eastAsia" w:ascii="Times New Roman" w:hAnsi="Times New Roman"/>
                <w:b w:val="0"/>
                <w:bCs w:val="0"/>
                <w:szCs w:val="21"/>
              </w:rPr>
              <w:t>（1）书架与收纳柜结合，兼具收纳与学习功能。</w:t>
            </w:r>
          </w:p>
          <w:p w14:paraId="68D2930B">
            <w:pPr>
              <w:jc w:val="left"/>
              <w:rPr>
                <w:rFonts w:hint="eastAsia" w:ascii="Times New Roman" w:hAnsi="Times New Roman"/>
                <w:b w:val="0"/>
                <w:bCs w:val="0"/>
                <w:szCs w:val="21"/>
              </w:rPr>
            </w:pPr>
            <w:r>
              <w:rPr>
                <w:rFonts w:hint="eastAsia" w:ascii="Times New Roman" w:hAnsi="Times New Roman"/>
                <w:b w:val="0"/>
                <w:bCs w:val="0"/>
                <w:szCs w:val="21"/>
              </w:rPr>
              <w:t>（2）所有螺丝位无毛刺不刮手，边角采用圆边/圆角处理以及安全防撞设计，最大程度的避免儿童磕碰伤害，结构稳固。</w:t>
            </w:r>
          </w:p>
        </w:tc>
      </w:tr>
      <w:tr w14:paraId="5B8EA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3" w:type="pct"/>
            <w:vMerge w:val="continue"/>
            <w:noWrap w:val="0"/>
            <w:vAlign w:val="center"/>
          </w:tcPr>
          <w:p w14:paraId="3372E070">
            <w:pPr>
              <w:jc w:val="center"/>
              <w:rPr>
                <w:b/>
                <w:szCs w:val="21"/>
              </w:rPr>
            </w:pPr>
          </w:p>
        </w:tc>
        <w:tc>
          <w:tcPr>
            <w:tcW w:w="440" w:type="pct"/>
            <w:vMerge w:val="continue"/>
            <w:noWrap w:val="0"/>
            <w:vAlign w:val="center"/>
          </w:tcPr>
          <w:p w14:paraId="2D5E57FE">
            <w:pPr>
              <w:jc w:val="center"/>
              <w:rPr>
                <w:rFonts w:hint="eastAsia" w:ascii="Times New Roman" w:hAnsi="Times New Roman"/>
                <w:szCs w:val="21"/>
              </w:rPr>
            </w:pPr>
          </w:p>
        </w:tc>
        <w:tc>
          <w:tcPr>
            <w:tcW w:w="4225" w:type="pct"/>
            <w:noWrap w:val="0"/>
            <w:vAlign w:val="top"/>
          </w:tcPr>
          <w:p w14:paraId="0B4918C0">
            <w:pPr>
              <w:jc w:val="left"/>
              <w:rPr>
                <w:rFonts w:hint="eastAsia" w:ascii="Times New Roman" w:hAnsi="Times New Roman"/>
                <w:b w:val="0"/>
                <w:bCs w:val="0"/>
                <w:szCs w:val="21"/>
              </w:rPr>
            </w:pPr>
            <w:r>
              <w:rPr>
                <w:rFonts w:hint="eastAsia" w:ascii="Times New Roman" w:hAnsi="Times New Roman"/>
                <w:b w:val="0"/>
                <w:bCs w:val="0"/>
                <w:szCs w:val="21"/>
              </w:rPr>
              <w:t>2、外观结构及材质：</w:t>
            </w:r>
          </w:p>
          <w:p w14:paraId="136C2561">
            <w:pPr>
              <w:jc w:val="left"/>
              <w:rPr>
                <w:rFonts w:hint="eastAsia" w:ascii="Times New Roman" w:hAnsi="Times New Roman"/>
                <w:b w:val="0"/>
                <w:bCs w:val="0"/>
                <w:szCs w:val="21"/>
              </w:rPr>
            </w:pPr>
            <w:r>
              <w:rPr>
                <w:rFonts w:hint="eastAsia" w:ascii="Times New Roman" w:hAnsi="Times New Roman"/>
                <w:b w:val="0"/>
                <w:bCs w:val="0"/>
                <w:szCs w:val="21"/>
              </w:rPr>
              <w:t>（1）架体：采用厚度16mm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b w:val="0"/>
                <w:bCs w:val="0"/>
                <w:szCs w:val="21"/>
              </w:rPr>
              <w:t>的桦木纹双饰面浸渍胶膜纸饰面刨花板。共四层书本搁置槽，内空长900mm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b w:val="0"/>
                <w:bCs w:val="0"/>
                <w:szCs w:val="21"/>
              </w:rPr>
              <w:t>，内空宽分别40mm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b w:val="0"/>
                <w:bCs w:val="0"/>
                <w:szCs w:val="21"/>
              </w:rPr>
              <w:t>和38mm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b w:val="0"/>
                <w:bCs w:val="0"/>
                <w:szCs w:val="21"/>
              </w:rPr>
              <w:t>；底层空间：900x300x196mm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b w:val="0"/>
                <w:bCs w:val="0"/>
                <w:szCs w:val="21"/>
              </w:rPr>
              <w:t>。</w:t>
            </w:r>
          </w:p>
          <w:p w14:paraId="1145A66E">
            <w:pPr>
              <w:jc w:val="left"/>
              <w:rPr>
                <w:rFonts w:hint="eastAsia" w:ascii="Times New Roman" w:hAnsi="Times New Roman"/>
                <w:b w:val="0"/>
                <w:bCs w:val="0"/>
                <w:szCs w:val="21"/>
              </w:rPr>
            </w:pPr>
            <w:r>
              <w:rPr>
                <w:rFonts w:hint="eastAsia" w:ascii="Times New Roman" w:hAnsi="Times New Roman"/>
                <w:b w:val="0"/>
                <w:bCs w:val="0"/>
                <w:szCs w:val="21"/>
              </w:rPr>
              <w:t>（2）围脚：底部安装塑料脚垫，高度为H10mm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b w:val="0"/>
                <w:bCs w:val="0"/>
                <w:szCs w:val="21"/>
              </w:rPr>
              <w:t>，直径17mm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b w:val="0"/>
                <w:bCs w:val="0"/>
                <w:szCs w:val="21"/>
              </w:rPr>
              <w:t>，软性防滑，可有效保护地面刮花并降低噪音。</w:t>
            </w:r>
          </w:p>
          <w:p w14:paraId="45D9154D">
            <w:pPr>
              <w:jc w:val="left"/>
              <w:rPr>
                <w:rFonts w:hint="eastAsia" w:ascii="Times New Roman" w:hAnsi="Times New Roman"/>
                <w:b w:val="0"/>
                <w:bCs w:val="0"/>
                <w:szCs w:val="21"/>
              </w:rPr>
            </w:pPr>
            <w:r>
              <w:rPr>
                <w:rFonts w:hint="eastAsia" w:ascii="Times New Roman" w:hAnsi="Times New Roman"/>
                <w:b w:val="0"/>
                <w:bCs w:val="0"/>
                <w:szCs w:val="21"/>
              </w:rPr>
              <w:t>（3）封边条：采用PVC封边条，表面光滑平整，封边细腻硬度高，线条均匀，转角过渡自然，无脱胶，表面光滑平整无胶渍。</w:t>
            </w:r>
          </w:p>
        </w:tc>
      </w:tr>
      <w:tr w14:paraId="362F0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3" w:type="pct"/>
            <w:vMerge w:val="continue"/>
            <w:noWrap w:val="0"/>
            <w:vAlign w:val="center"/>
          </w:tcPr>
          <w:p w14:paraId="0B8E9CA9">
            <w:pPr>
              <w:jc w:val="center"/>
              <w:rPr>
                <w:b/>
                <w:szCs w:val="21"/>
              </w:rPr>
            </w:pPr>
          </w:p>
        </w:tc>
        <w:tc>
          <w:tcPr>
            <w:tcW w:w="440" w:type="pct"/>
            <w:vMerge w:val="continue"/>
            <w:noWrap w:val="0"/>
            <w:vAlign w:val="center"/>
          </w:tcPr>
          <w:p w14:paraId="65A1E60E">
            <w:pPr>
              <w:jc w:val="center"/>
              <w:rPr>
                <w:rFonts w:hint="eastAsia" w:ascii="Times New Roman" w:hAnsi="Times New Roman"/>
                <w:szCs w:val="21"/>
              </w:rPr>
            </w:pPr>
          </w:p>
        </w:tc>
        <w:tc>
          <w:tcPr>
            <w:tcW w:w="4225" w:type="pct"/>
            <w:noWrap w:val="0"/>
            <w:vAlign w:val="top"/>
          </w:tcPr>
          <w:p w14:paraId="2368CFAC">
            <w:pPr>
              <w:jc w:val="left"/>
              <w:rPr>
                <w:rFonts w:hint="eastAsia" w:ascii="Times New Roman" w:hAnsi="Times New Roman" w:eastAsia="宋体" w:cs="Times New Roman"/>
                <w:b/>
                <w:bCs/>
                <w:color w:val="FF0000"/>
                <w:szCs w:val="21"/>
                <w:highlight w:val="yellow"/>
              </w:rPr>
            </w:pPr>
            <w:r>
              <w:rPr>
                <w:rFonts w:hint="eastAsia" w:ascii="Times New Roman" w:hAnsi="Times New Roman" w:eastAsia="宋体" w:cs="Times New Roman"/>
                <w:b/>
                <w:bCs/>
                <w:color w:val="FF0000"/>
                <w:szCs w:val="21"/>
                <w:highlight w:val="none"/>
              </w:rPr>
              <w:t>▲浸渍胶膜纸饰面刨花板符合GB/T 31762-2015、GB/T 20284-2006、GB/T 8626-2007、GB/T20285-2006、GB/T4897-2015、GB/T 39600-2021标准的合格检测报告，检测项目要求：含水率3-13%；密度≥0.65g/cm³；板内密度偏差、静曲强度、弹性模量、内胶合强度、表面胶合强度符合标准要求；潮湿状态下24h吸水厚度膨胀率≤14%；握螺钉力（板面≥900N，板边≥600N）；甲醛释放量≤0.025mg/m³；苯酚释放量＜0.01mg/m³</w:t>
            </w:r>
            <w:r>
              <w:rPr>
                <w:rFonts w:hint="eastAsia" w:ascii="Times New Roman" w:hAnsi="Times New Roman" w:eastAsia="宋体" w:cs="Times New Roman"/>
                <w:b/>
                <w:bCs/>
                <w:color w:val="FF0000"/>
                <w:szCs w:val="21"/>
                <w:highlight w:val="none"/>
                <w:lang w:eastAsia="zh-CN"/>
              </w:rPr>
              <w:t>；</w:t>
            </w:r>
            <w:r>
              <w:rPr>
                <w:rFonts w:hint="eastAsia" w:ascii="Times New Roman" w:hAnsi="Times New Roman" w:eastAsia="宋体" w:cs="Times New Roman"/>
                <w:b/>
                <w:bCs/>
                <w:color w:val="FF0000"/>
                <w:szCs w:val="21"/>
                <w:highlight w:val="none"/>
              </w:rPr>
              <w:t>燃烧滴落物/微粒与烟气毒性符合标准要求。</w:t>
            </w:r>
          </w:p>
          <w:p w14:paraId="7B7363B1">
            <w:pPr>
              <w:pStyle w:val="8"/>
              <w:rPr>
                <w:rFonts w:hint="eastAsia"/>
                <w:b/>
                <w:bCs/>
                <w:color w:val="FF0000"/>
              </w:rPr>
            </w:pPr>
            <w:r>
              <w:rPr>
                <w:rStyle w:val="46"/>
                <w:b/>
                <w:bCs/>
                <w:color w:val="FF0000"/>
                <w:highlight w:val="yellow"/>
                <w:lang w:bidi="ar"/>
              </w:rPr>
              <w:t>提供由投标截止前由第三方检验检测机构出具的具有</w:t>
            </w:r>
            <w:r>
              <w:rPr>
                <w:rStyle w:val="46"/>
                <w:rFonts w:eastAsia="宋体"/>
                <w:b/>
                <w:bCs/>
                <w:color w:val="FF0000"/>
                <w:highlight w:val="yellow"/>
                <w:lang w:eastAsia="zh-CN" w:bidi="ar"/>
              </w:rPr>
              <w:t>CMA</w:t>
            </w:r>
            <w:r>
              <w:rPr>
                <w:rStyle w:val="46"/>
                <w:b/>
                <w:bCs/>
                <w:color w:val="FF0000"/>
                <w:highlight w:val="yellow"/>
                <w:lang w:bidi="ar"/>
              </w:rPr>
              <w:t>标志的检验检测报告扫描件</w:t>
            </w:r>
            <w:r>
              <w:rPr>
                <w:rFonts w:hint="eastAsia" w:ascii="Times New Roman" w:hAnsi="Times New Roman" w:eastAsia="宋体" w:cs="Times New Roman"/>
                <w:b/>
                <w:bCs/>
                <w:color w:val="FF0000"/>
                <w:szCs w:val="21"/>
                <w:highlight w:val="yellow"/>
                <w:lang w:eastAsia="zh-CN"/>
              </w:rPr>
              <w:t>（</w:t>
            </w:r>
            <w:r>
              <w:rPr>
                <w:rFonts w:hint="eastAsia" w:ascii="Times New Roman" w:hAnsi="Times New Roman" w:eastAsia="宋体" w:cs="Times New Roman"/>
                <w:b/>
                <w:bCs/>
                <w:color w:val="FF0000"/>
                <w:szCs w:val="21"/>
                <w:highlight w:val="yellow"/>
                <w:lang w:val="en-US" w:eastAsia="zh-CN"/>
              </w:rPr>
              <w:t>原件备查</w:t>
            </w:r>
            <w:r>
              <w:rPr>
                <w:rFonts w:hint="eastAsia" w:ascii="Times New Roman" w:hAnsi="Times New Roman" w:eastAsia="宋体" w:cs="Times New Roman"/>
                <w:b/>
                <w:bCs/>
                <w:color w:val="FF0000"/>
                <w:szCs w:val="21"/>
                <w:highlight w:val="yellow"/>
                <w:lang w:eastAsia="zh-CN"/>
              </w:rPr>
              <w:t>）</w:t>
            </w:r>
            <w:r>
              <w:rPr>
                <w:rStyle w:val="46"/>
                <w:b/>
                <w:bCs/>
                <w:color w:val="FF0000"/>
                <w:highlight w:val="yellow"/>
                <w:lang w:bidi="ar"/>
              </w:rPr>
              <w:t>。（①送检单位（委托单位）需是投标人或所投产品制造商。②检验检测报告在全国认证认可信息公共服务平台(认e云)(http://cx.cnca.cn/)或检验检测官网的信息査询记录截图。③若检测报告要求的检测标准有更新的标准也予以认可。④对应参数(检验检测项)在检验检测报告中进行标注；如检验检测报告中明确备注说明相关检验检测项不在检验检测机构“</w:t>
            </w:r>
            <w:r>
              <w:rPr>
                <w:rStyle w:val="46"/>
                <w:rFonts w:eastAsia="宋体"/>
                <w:b/>
                <w:bCs/>
                <w:color w:val="FF0000"/>
                <w:highlight w:val="yellow"/>
                <w:lang w:eastAsia="zh-CN" w:bidi="ar"/>
              </w:rPr>
              <w:t>CMA</w:t>
            </w:r>
            <w:r>
              <w:rPr>
                <w:rStyle w:val="46"/>
                <w:b/>
                <w:bCs/>
                <w:color w:val="FF0000"/>
                <w:highlight w:val="yellow"/>
                <w:lang w:bidi="ar"/>
              </w:rPr>
              <w:t>”资质许可(认定)范围内的，相关检验检测项视为负偏离。）</w:t>
            </w:r>
          </w:p>
        </w:tc>
      </w:tr>
      <w:tr w14:paraId="2C87B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3" w:type="pct"/>
            <w:vMerge w:val="restart"/>
            <w:noWrap w:val="0"/>
            <w:vAlign w:val="center"/>
          </w:tcPr>
          <w:p w14:paraId="40492288">
            <w:pPr>
              <w:keepNext w:val="0"/>
              <w:keepLines w:val="0"/>
              <w:widowControl/>
              <w:suppressLineNumbers w:val="0"/>
              <w:jc w:val="center"/>
              <w:textAlignment w:val="center"/>
              <w:rPr>
                <w:b/>
                <w:szCs w:val="21"/>
              </w:rPr>
            </w:pPr>
            <w:r>
              <w:rPr>
                <w:rFonts w:hint="default" w:ascii="Arial" w:hAnsi="Arial" w:eastAsia="宋体" w:cs="Arial"/>
                <w:i w:val="0"/>
                <w:iCs w:val="0"/>
                <w:color w:val="000000"/>
                <w:kern w:val="0"/>
                <w:sz w:val="20"/>
                <w:szCs w:val="20"/>
                <w:u w:val="none"/>
                <w:lang w:val="en-US" w:eastAsia="zh-CN" w:bidi="ar"/>
              </w:rPr>
              <w:t xml:space="preserve">51 </w:t>
            </w:r>
          </w:p>
        </w:tc>
        <w:tc>
          <w:tcPr>
            <w:tcW w:w="440" w:type="pct"/>
            <w:vMerge w:val="restart"/>
            <w:noWrap w:val="0"/>
            <w:vAlign w:val="center"/>
          </w:tcPr>
          <w:p w14:paraId="08FFACA8">
            <w:pPr>
              <w:keepNext w:val="0"/>
              <w:keepLines w:val="0"/>
              <w:widowControl/>
              <w:suppressLineNumbers w:val="0"/>
              <w:jc w:val="center"/>
              <w:textAlignment w:val="center"/>
              <w:rPr>
                <w:rFonts w:hint="eastAsia" w:ascii="Times New Roman" w:hAnsi="Times New Roman"/>
                <w:szCs w:val="21"/>
              </w:rPr>
            </w:pPr>
            <w:r>
              <w:rPr>
                <w:rFonts w:hint="eastAsia" w:ascii="宋体" w:hAnsi="宋体" w:eastAsia="宋体" w:cs="宋体"/>
                <w:i w:val="0"/>
                <w:iCs w:val="0"/>
                <w:color w:val="000000"/>
                <w:kern w:val="0"/>
                <w:sz w:val="20"/>
                <w:szCs w:val="20"/>
                <w:u w:val="none"/>
                <w:lang w:val="en-US" w:eastAsia="zh-CN" w:bidi="ar"/>
              </w:rPr>
              <w:t>秘密游戏树洞</w:t>
            </w:r>
          </w:p>
        </w:tc>
        <w:tc>
          <w:tcPr>
            <w:tcW w:w="4225" w:type="pct"/>
            <w:noWrap w:val="0"/>
            <w:vAlign w:val="center"/>
          </w:tcPr>
          <w:p w14:paraId="707D6822">
            <w:pPr>
              <w:jc w:val="left"/>
              <w:rPr>
                <w:rFonts w:hint="eastAsia" w:ascii="Times New Roman" w:hAnsi="Times New Roman"/>
                <w:b/>
                <w:bCs/>
                <w:color w:val="FF0000"/>
                <w:szCs w:val="21"/>
              </w:rPr>
            </w:pPr>
            <w:r>
              <w:rPr>
                <w:rFonts w:hint="eastAsia" w:ascii="Times New Roman" w:hAnsi="Times New Roman"/>
                <w:b w:val="0"/>
                <w:bCs w:val="0"/>
                <w:color w:val="auto"/>
                <w:szCs w:val="21"/>
              </w:rPr>
              <w:t>规格：L103xW42xH150cm（±3cm）</w:t>
            </w:r>
          </w:p>
        </w:tc>
      </w:tr>
      <w:tr w14:paraId="26B18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3" w:type="pct"/>
            <w:vMerge w:val="continue"/>
            <w:noWrap w:val="0"/>
            <w:vAlign w:val="center"/>
          </w:tcPr>
          <w:p w14:paraId="09DD02F1">
            <w:pPr>
              <w:jc w:val="center"/>
              <w:rPr>
                <w:b/>
                <w:szCs w:val="21"/>
              </w:rPr>
            </w:pPr>
          </w:p>
        </w:tc>
        <w:tc>
          <w:tcPr>
            <w:tcW w:w="440" w:type="pct"/>
            <w:vMerge w:val="continue"/>
            <w:noWrap w:val="0"/>
            <w:vAlign w:val="center"/>
          </w:tcPr>
          <w:p w14:paraId="2A3BA924">
            <w:pPr>
              <w:jc w:val="center"/>
              <w:rPr>
                <w:rFonts w:hint="eastAsia" w:ascii="Times New Roman" w:hAnsi="Times New Roman"/>
                <w:szCs w:val="21"/>
              </w:rPr>
            </w:pPr>
          </w:p>
        </w:tc>
        <w:tc>
          <w:tcPr>
            <w:tcW w:w="4225" w:type="pct"/>
            <w:noWrap w:val="0"/>
            <w:vAlign w:val="top"/>
          </w:tcPr>
          <w:p w14:paraId="192CEA34">
            <w:pPr>
              <w:jc w:val="left"/>
              <w:rPr>
                <w:rFonts w:hint="eastAsia" w:ascii="Times New Roman" w:hAnsi="Times New Roman"/>
                <w:b w:val="0"/>
                <w:bCs w:val="0"/>
                <w:szCs w:val="21"/>
              </w:rPr>
            </w:pPr>
            <w:r>
              <w:rPr>
                <w:rFonts w:hint="eastAsia" w:ascii="Times New Roman" w:hAnsi="Times New Roman"/>
                <w:b w:val="0"/>
                <w:bCs w:val="0"/>
                <w:szCs w:val="21"/>
              </w:rPr>
              <w:t>1、工艺设计：</w:t>
            </w:r>
          </w:p>
          <w:p w14:paraId="4EA000C9">
            <w:pPr>
              <w:jc w:val="left"/>
              <w:rPr>
                <w:rFonts w:hint="eastAsia" w:ascii="Times New Roman" w:hAnsi="Times New Roman"/>
                <w:b w:val="0"/>
                <w:bCs w:val="0"/>
                <w:szCs w:val="21"/>
              </w:rPr>
            </w:pPr>
            <w:r>
              <w:rPr>
                <w:rFonts w:hint="eastAsia" w:ascii="Times New Roman" w:hAnsi="Times New Roman"/>
                <w:b w:val="0"/>
                <w:bCs w:val="0"/>
                <w:szCs w:val="21"/>
              </w:rPr>
              <w:t>（1）特色高顶松元素造型设计，吊牌黑板可擦写，既能独立摆放模拟真实场景又易于搭配其他产品进行环创。</w:t>
            </w:r>
          </w:p>
          <w:p w14:paraId="69745BCA">
            <w:pPr>
              <w:jc w:val="left"/>
              <w:rPr>
                <w:rFonts w:hint="eastAsia" w:ascii="Times New Roman" w:hAnsi="Times New Roman"/>
                <w:b w:val="0"/>
                <w:bCs w:val="0"/>
                <w:szCs w:val="21"/>
              </w:rPr>
            </w:pPr>
            <w:r>
              <w:rPr>
                <w:rFonts w:hint="eastAsia" w:ascii="Times New Roman" w:hAnsi="Times New Roman"/>
                <w:b w:val="0"/>
                <w:bCs w:val="0"/>
                <w:szCs w:val="21"/>
              </w:rPr>
              <w:t>（2）配件丰富，布艺装饰，软化环境，能适用多场景下使用，提高趣味性。</w:t>
            </w:r>
          </w:p>
          <w:p w14:paraId="1148642A">
            <w:pPr>
              <w:jc w:val="left"/>
              <w:rPr>
                <w:rFonts w:hint="eastAsia" w:ascii="Times New Roman" w:hAnsi="Times New Roman"/>
                <w:b w:val="0"/>
                <w:bCs w:val="0"/>
                <w:szCs w:val="21"/>
              </w:rPr>
            </w:pPr>
            <w:r>
              <w:rPr>
                <w:rFonts w:hint="eastAsia" w:ascii="Times New Roman" w:hAnsi="Times New Roman"/>
                <w:b w:val="0"/>
                <w:bCs w:val="0"/>
                <w:szCs w:val="21"/>
              </w:rPr>
              <w:t>（3）所有螺丝位无毛刺不刮手，边角采用圆边/圆角处理以及安全防撞设计，最大程度的避免儿童磕碰伤害，结构稳固。</w:t>
            </w:r>
          </w:p>
        </w:tc>
      </w:tr>
      <w:tr w14:paraId="1C852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3" w:type="pct"/>
            <w:vMerge w:val="continue"/>
            <w:noWrap w:val="0"/>
            <w:vAlign w:val="center"/>
          </w:tcPr>
          <w:p w14:paraId="0E8A36AE">
            <w:pPr>
              <w:jc w:val="center"/>
              <w:rPr>
                <w:b/>
                <w:szCs w:val="21"/>
              </w:rPr>
            </w:pPr>
          </w:p>
        </w:tc>
        <w:tc>
          <w:tcPr>
            <w:tcW w:w="440" w:type="pct"/>
            <w:vMerge w:val="continue"/>
            <w:noWrap w:val="0"/>
            <w:vAlign w:val="center"/>
          </w:tcPr>
          <w:p w14:paraId="66CEF9E7">
            <w:pPr>
              <w:jc w:val="center"/>
              <w:rPr>
                <w:rFonts w:hint="eastAsia" w:ascii="Times New Roman" w:hAnsi="Times New Roman"/>
                <w:szCs w:val="21"/>
              </w:rPr>
            </w:pPr>
          </w:p>
        </w:tc>
        <w:tc>
          <w:tcPr>
            <w:tcW w:w="4225" w:type="pct"/>
            <w:noWrap w:val="0"/>
            <w:vAlign w:val="top"/>
          </w:tcPr>
          <w:p w14:paraId="7B7BEE52">
            <w:pPr>
              <w:jc w:val="left"/>
              <w:rPr>
                <w:rFonts w:hint="eastAsia" w:ascii="Times New Roman" w:hAnsi="Times New Roman"/>
                <w:b w:val="0"/>
                <w:bCs w:val="0"/>
                <w:szCs w:val="21"/>
              </w:rPr>
            </w:pPr>
            <w:r>
              <w:rPr>
                <w:rFonts w:hint="eastAsia" w:ascii="Times New Roman" w:hAnsi="Times New Roman"/>
                <w:b w:val="0"/>
                <w:bCs w:val="0"/>
                <w:szCs w:val="21"/>
              </w:rPr>
              <w:t>2、外观结构及材质：</w:t>
            </w:r>
          </w:p>
          <w:p w14:paraId="24F4001E">
            <w:pPr>
              <w:jc w:val="left"/>
              <w:rPr>
                <w:rFonts w:hint="eastAsia" w:ascii="Times New Roman" w:hAnsi="Times New Roman"/>
                <w:b w:val="0"/>
                <w:bCs w:val="0"/>
                <w:szCs w:val="21"/>
              </w:rPr>
            </w:pPr>
            <w:r>
              <w:rPr>
                <w:rFonts w:hint="eastAsia" w:ascii="Times New Roman" w:hAnsi="Times New Roman"/>
                <w:b w:val="0"/>
                <w:bCs w:val="0"/>
                <w:szCs w:val="21"/>
              </w:rPr>
              <w:t>(1)柜体采用厚度18mm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b w:val="0"/>
                <w:bCs w:val="0"/>
                <w:szCs w:val="21"/>
              </w:rPr>
              <w:t>的实木多层板，前后造型挡板采用厚度12mm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b w:val="0"/>
                <w:bCs w:val="0"/>
                <w:szCs w:val="21"/>
              </w:rPr>
              <w:t>的实木多层板。前后造型板呈两层高顶松元素造型，最顶部（即树顶）采用圆角处理，造型板前后可挂小黑板。支撑圆棒采用桦木原木，共6条，尺寸为：φ22x396mm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b w:val="0"/>
                <w:bCs w:val="0"/>
                <w:szCs w:val="21"/>
              </w:rPr>
              <w:t>，屋顶搭配1条浅绿色半透帐纱以及1条白色半透帐纱，顶部使用一条魔术贴（无魔术贴）可轻松拆卸清洗。</w:t>
            </w:r>
          </w:p>
          <w:p w14:paraId="28276673">
            <w:pPr>
              <w:jc w:val="left"/>
              <w:rPr>
                <w:rFonts w:hint="eastAsia" w:ascii="Times New Roman" w:hAnsi="Times New Roman"/>
                <w:b w:val="0"/>
                <w:bCs w:val="0"/>
                <w:szCs w:val="21"/>
              </w:rPr>
            </w:pPr>
            <w:r>
              <w:rPr>
                <w:rFonts w:hint="eastAsia" w:ascii="Times New Roman" w:hAnsi="Times New Roman"/>
                <w:b w:val="0"/>
                <w:bCs w:val="0"/>
                <w:szCs w:val="21"/>
              </w:rPr>
              <w:t>(2）坐垫面离地高度：280mm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b w:val="0"/>
                <w:bCs w:val="0"/>
                <w:szCs w:val="21"/>
              </w:rPr>
              <w:t>，坐垫呈灰白色，尺寸为L770xW390xH30mm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b w:val="0"/>
                <w:bCs w:val="0"/>
                <w:szCs w:val="21"/>
              </w:rPr>
              <w:t>，面料柔软透气不闷热，坐垫内部填充高弹海绵，回弹性强，能拆卸清洗；坐柜下是2个左右对称的收纳格，内空尺寸为L376xW396xH145mm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b w:val="0"/>
                <w:bCs w:val="0"/>
                <w:szCs w:val="21"/>
              </w:rPr>
              <w:t>。</w:t>
            </w:r>
          </w:p>
          <w:p w14:paraId="16FBC621">
            <w:pPr>
              <w:jc w:val="left"/>
              <w:rPr>
                <w:rFonts w:hint="eastAsia" w:ascii="Times New Roman" w:hAnsi="Times New Roman"/>
                <w:b w:val="0"/>
                <w:bCs w:val="0"/>
                <w:szCs w:val="21"/>
              </w:rPr>
            </w:pPr>
            <w:r>
              <w:rPr>
                <w:rFonts w:hint="eastAsia" w:ascii="Times New Roman" w:hAnsi="Times New Roman"/>
                <w:b w:val="0"/>
                <w:bCs w:val="0"/>
                <w:szCs w:val="21"/>
              </w:rPr>
              <w:t>(3)底部安装塑料脚垫，高度为H10mm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b w:val="0"/>
                <w:bCs w:val="0"/>
                <w:szCs w:val="21"/>
              </w:rPr>
              <w:t>，直径17mm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b w:val="0"/>
                <w:bCs w:val="0"/>
                <w:szCs w:val="21"/>
              </w:rPr>
              <w:t>,可有效保护地面刮花并降低噪音。</w:t>
            </w:r>
          </w:p>
          <w:p w14:paraId="7BD3BFA7">
            <w:pPr>
              <w:jc w:val="left"/>
              <w:rPr>
                <w:rFonts w:hint="eastAsia" w:ascii="Times New Roman" w:hAnsi="Times New Roman"/>
                <w:b w:val="0"/>
                <w:bCs w:val="0"/>
                <w:szCs w:val="21"/>
              </w:rPr>
            </w:pPr>
            <w:r>
              <w:rPr>
                <w:rFonts w:hint="eastAsia" w:ascii="Times New Roman" w:hAnsi="Times New Roman"/>
                <w:b w:val="0"/>
                <w:bCs w:val="0"/>
                <w:szCs w:val="21"/>
              </w:rPr>
              <w:t>(4)搭配：产品包含1块尺寸为L200xW150mm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b w:val="0"/>
                <w:bCs w:val="0"/>
                <w:szCs w:val="21"/>
              </w:rPr>
              <w:t>的吊牌黑板，表面贴黑色防火板，可使用粉笔进行擦写；1个450x450mm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b w:val="0"/>
                <w:bCs w:val="0"/>
                <w:szCs w:val="21"/>
              </w:rPr>
              <w:t>大小流苏方形抱枕，颜色姜黄色；1条浅绿色半透帐纱；1条白色半透帐纱；收纳布袋尺寸L300xW220mm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b w:val="0"/>
                <w:bCs w:val="0"/>
                <w:szCs w:val="21"/>
              </w:rPr>
              <w:t>。</w:t>
            </w:r>
          </w:p>
          <w:p w14:paraId="73580643">
            <w:pPr>
              <w:jc w:val="left"/>
              <w:rPr>
                <w:rFonts w:hint="eastAsia" w:ascii="Times New Roman" w:hAnsi="Times New Roman"/>
                <w:b w:val="0"/>
                <w:bCs w:val="0"/>
                <w:szCs w:val="21"/>
              </w:rPr>
            </w:pPr>
            <w:r>
              <w:rPr>
                <w:rFonts w:hint="eastAsia" w:ascii="Times New Roman" w:hAnsi="Times New Roman"/>
                <w:b w:val="0"/>
                <w:bCs w:val="0"/>
                <w:szCs w:val="21"/>
              </w:rPr>
              <w:t>（5）油漆：采用的水性漆，全封闭涂装工艺，漆面光泽高透，颜色均匀。</w:t>
            </w:r>
          </w:p>
        </w:tc>
      </w:tr>
      <w:tr w14:paraId="25838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3" w:type="pct"/>
            <w:vMerge w:val="restart"/>
            <w:noWrap w:val="0"/>
            <w:vAlign w:val="center"/>
          </w:tcPr>
          <w:p w14:paraId="052513EB">
            <w:pPr>
              <w:keepNext w:val="0"/>
              <w:keepLines w:val="0"/>
              <w:widowControl/>
              <w:suppressLineNumbers w:val="0"/>
              <w:jc w:val="center"/>
              <w:textAlignment w:val="center"/>
              <w:rPr>
                <w:b/>
                <w:szCs w:val="21"/>
              </w:rPr>
            </w:pPr>
            <w:r>
              <w:rPr>
                <w:rFonts w:hint="default" w:ascii="Arial" w:hAnsi="Arial" w:eastAsia="宋体" w:cs="Arial"/>
                <w:i w:val="0"/>
                <w:iCs w:val="0"/>
                <w:color w:val="000000"/>
                <w:kern w:val="0"/>
                <w:sz w:val="20"/>
                <w:szCs w:val="20"/>
                <w:u w:val="none"/>
                <w:lang w:val="en-US" w:eastAsia="zh-CN" w:bidi="ar"/>
              </w:rPr>
              <w:t xml:space="preserve">52 </w:t>
            </w:r>
          </w:p>
        </w:tc>
        <w:tc>
          <w:tcPr>
            <w:tcW w:w="440" w:type="pct"/>
            <w:vMerge w:val="restart"/>
            <w:noWrap w:val="0"/>
            <w:vAlign w:val="center"/>
          </w:tcPr>
          <w:p w14:paraId="5EF4F90F">
            <w:pPr>
              <w:keepNext w:val="0"/>
              <w:keepLines w:val="0"/>
              <w:widowControl/>
              <w:suppressLineNumbers w:val="0"/>
              <w:jc w:val="center"/>
              <w:textAlignment w:val="center"/>
              <w:rPr>
                <w:rFonts w:hint="eastAsia" w:ascii="Times New Roman" w:hAnsi="Times New Roman"/>
                <w:szCs w:val="21"/>
              </w:rPr>
            </w:pPr>
            <w:r>
              <w:rPr>
                <w:rFonts w:hint="eastAsia" w:ascii="宋体" w:hAnsi="宋体" w:eastAsia="宋体" w:cs="宋体"/>
                <w:i w:val="0"/>
                <w:iCs w:val="0"/>
                <w:color w:val="000000"/>
                <w:kern w:val="0"/>
                <w:sz w:val="20"/>
                <w:szCs w:val="20"/>
                <w:u w:val="none"/>
                <w:lang w:val="en-US" w:eastAsia="zh-CN" w:bidi="ar"/>
              </w:rPr>
              <w:t>2层矮柜.可调节.无背板</w:t>
            </w:r>
          </w:p>
        </w:tc>
        <w:tc>
          <w:tcPr>
            <w:tcW w:w="4225" w:type="pct"/>
            <w:noWrap w:val="0"/>
            <w:vAlign w:val="center"/>
          </w:tcPr>
          <w:p w14:paraId="19C5089A">
            <w:pPr>
              <w:jc w:val="left"/>
              <w:rPr>
                <w:rFonts w:hint="eastAsia" w:ascii="Times New Roman" w:hAnsi="Times New Roman"/>
                <w:b w:val="0"/>
                <w:bCs w:val="0"/>
                <w:szCs w:val="21"/>
              </w:rPr>
            </w:pPr>
            <w:r>
              <w:rPr>
                <w:rFonts w:hint="eastAsia" w:ascii="Times New Roman" w:hAnsi="Times New Roman"/>
                <w:b w:val="0"/>
                <w:bCs w:val="0"/>
                <w:szCs w:val="21"/>
              </w:rPr>
              <w:t>规格：规格：L91.5xW30xH59cm（±3cm）</w:t>
            </w:r>
          </w:p>
        </w:tc>
      </w:tr>
      <w:tr w14:paraId="18FA1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3" w:type="pct"/>
            <w:vMerge w:val="continue"/>
            <w:noWrap w:val="0"/>
            <w:vAlign w:val="center"/>
          </w:tcPr>
          <w:p w14:paraId="7BBF9ABE">
            <w:pPr>
              <w:jc w:val="center"/>
              <w:rPr>
                <w:b/>
                <w:szCs w:val="21"/>
              </w:rPr>
            </w:pPr>
          </w:p>
        </w:tc>
        <w:tc>
          <w:tcPr>
            <w:tcW w:w="440" w:type="pct"/>
            <w:vMerge w:val="continue"/>
            <w:noWrap w:val="0"/>
            <w:vAlign w:val="center"/>
          </w:tcPr>
          <w:p w14:paraId="5462C31A">
            <w:pPr>
              <w:jc w:val="center"/>
              <w:rPr>
                <w:rFonts w:hint="eastAsia" w:ascii="Times New Roman" w:hAnsi="Times New Roman"/>
                <w:szCs w:val="21"/>
              </w:rPr>
            </w:pPr>
          </w:p>
        </w:tc>
        <w:tc>
          <w:tcPr>
            <w:tcW w:w="4225" w:type="pct"/>
            <w:noWrap w:val="0"/>
            <w:vAlign w:val="top"/>
          </w:tcPr>
          <w:p w14:paraId="4E4F8586">
            <w:pPr>
              <w:jc w:val="left"/>
              <w:rPr>
                <w:rFonts w:hint="eastAsia" w:ascii="Times New Roman" w:hAnsi="Times New Roman"/>
                <w:b w:val="0"/>
                <w:bCs w:val="0"/>
                <w:szCs w:val="21"/>
              </w:rPr>
            </w:pPr>
            <w:r>
              <w:rPr>
                <w:rFonts w:hint="eastAsia" w:ascii="Times New Roman" w:hAnsi="Times New Roman"/>
                <w:b w:val="0"/>
                <w:bCs w:val="0"/>
                <w:szCs w:val="21"/>
              </w:rPr>
              <w:t>1、工艺设计：</w:t>
            </w:r>
          </w:p>
          <w:p w14:paraId="38B937FE">
            <w:pPr>
              <w:jc w:val="left"/>
              <w:rPr>
                <w:rFonts w:hint="eastAsia" w:ascii="Times New Roman" w:hAnsi="Times New Roman"/>
                <w:b w:val="0"/>
                <w:bCs w:val="0"/>
                <w:szCs w:val="21"/>
              </w:rPr>
            </w:pPr>
            <w:r>
              <w:rPr>
                <w:rFonts w:hint="eastAsia" w:ascii="Times New Roman" w:hAnsi="Times New Roman"/>
                <w:b w:val="0"/>
                <w:bCs w:val="0"/>
                <w:szCs w:val="21"/>
              </w:rPr>
              <w:t>（1）采用翻板活动轮工艺，移动/固定自由切换。</w:t>
            </w:r>
          </w:p>
          <w:p w14:paraId="2FD3B2AA">
            <w:pPr>
              <w:jc w:val="left"/>
              <w:rPr>
                <w:rFonts w:hint="eastAsia" w:ascii="Times New Roman" w:hAnsi="Times New Roman"/>
                <w:b w:val="0"/>
                <w:bCs w:val="0"/>
                <w:szCs w:val="21"/>
              </w:rPr>
            </w:pPr>
            <w:r>
              <w:rPr>
                <w:rFonts w:hint="eastAsia" w:ascii="Times New Roman" w:hAnsi="Times New Roman"/>
                <w:b w:val="0"/>
                <w:bCs w:val="0"/>
                <w:szCs w:val="21"/>
              </w:rPr>
              <w:t>（2）层板可调设计，提高空间利用率。</w:t>
            </w:r>
          </w:p>
          <w:p w14:paraId="49CAA581">
            <w:pPr>
              <w:jc w:val="left"/>
              <w:rPr>
                <w:rFonts w:hint="eastAsia" w:ascii="Times New Roman" w:hAnsi="Times New Roman"/>
                <w:b w:val="0"/>
                <w:bCs w:val="0"/>
                <w:szCs w:val="21"/>
              </w:rPr>
            </w:pPr>
            <w:r>
              <w:rPr>
                <w:rFonts w:hint="eastAsia" w:ascii="Times New Roman" w:hAnsi="Times New Roman"/>
                <w:b w:val="0"/>
                <w:bCs w:val="0"/>
                <w:szCs w:val="21"/>
              </w:rPr>
              <w:t>（3）所有螺丝位无毛刺不刮手，四角及边沿采用圆角/圆边处理以及安全防撞设计，最大程度的避免儿童磕碰伤害，结构稳固。</w:t>
            </w:r>
          </w:p>
        </w:tc>
      </w:tr>
      <w:tr w14:paraId="08EEF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3" w:type="pct"/>
            <w:vMerge w:val="continue"/>
            <w:noWrap w:val="0"/>
            <w:vAlign w:val="center"/>
          </w:tcPr>
          <w:p w14:paraId="26A9D0FF">
            <w:pPr>
              <w:jc w:val="center"/>
              <w:rPr>
                <w:b/>
                <w:szCs w:val="21"/>
              </w:rPr>
            </w:pPr>
          </w:p>
        </w:tc>
        <w:tc>
          <w:tcPr>
            <w:tcW w:w="440" w:type="pct"/>
            <w:vMerge w:val="continue"/>
            <w:noWrap w:val="0"/>
            <w:vAlign w:val="center"/>
          </w:tcPr>
          <w:p w14:paraId="4F793247">
            <w:pPr>
              <w:jc w:val="center"/>
              <w:rPr>
                <w:rFonts w:hint="eastAsia" w:ascii="Times New Roman" w:hAnsi="Times New Roman"/>
                <w:szCs w:val="21"/>
              </w:rPr>
            </w:pPr>
          </w:p>
        </w:tc>
        <w:tc>
          <w:tcPr>
            <w:tcW w:w="4225" w:type="pct"/>
            <w:noWrap w:val="0"/>
            <w:vAlign w:val="top"/>
          </w:tcPr>
          <w:p w14:paraId="00D20B92">
            <w:pPr>
              <w:jc w:val="left"/>
              <w:rPr>
                <w:rFonts w:hint="eastAsia" w:ascii="Times New Roman" w:hAnsi="Times New Roman"/>
                <w:b w:val="0"/>
                <w:bCs w:val="0"/>
                <w:szCs w:val="21"/>
              </w:rPr>
            </w:pPr>
            <w:r>
              <w:rPr>
                <w:rFonts w:hint="eastAsia" w:ascii="Times New Roman" w:hAnsi="Times New Roman"/>
                <w:b w:val="0"/>
                <w:bCs w:val="0"/>
                <w:szCs w:val="21"/>
              </w:rPr>
              <w:t>2、外观结构及材质：</w:t>
            </w:r>
          </w:p>
          <w:p w14:paraId="1CA47F4B">
            <w:pPr>
              <w:jc w:val="left"/>
              <w:rPr>
                <w:rFonts w:hint="eastAsia" w:ascii="Times New Roman" w:hAnsi="Times New Roman"/>
                <w:b w:val="0"/>
                <w:bCs w:val="0"/>
                <w:szCs w:val="21"/>
              </w:rPr>
            </w:pPr>
            <w:r>
              <w:rPr>
                <w:rFonts w:hint="eastAsia" w:ascii="Times New Roman" w:hAnsi="Times New Roman"/>
                <w:b w:val="0"/>
                <w:bCs w:val="0"/>
                <w:szCs w:val="21"/>
              </w:rPr>
              <w:t>（1）柜体：采用16mm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b w:val="0"/>
                <w:bCs w:val="0"/>
                <w:szCs w:val="21"/>
              </w:rPr>
              <w:t>的橡胶木拼板。柜子长度内空：884mm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b w:val="0"/>
                <w:bCs w:val="0"/>
                <w:szCs w:val="21"/>
              </w:rPr>
              <w:t>，上下两层，中间一块层板。柜子内侧配塑料一次成型呈浅咖色长度440mm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b w:val="0"/>
                <w:bCs w:val="0"/>
                <w:szCs w:val="21"/>
              </w:rPr>
              <w:t>的活动层板支撑条，内嵌式安装嵌入深度4.5mm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b w:val="0"/>
                <w:bCs w:val="0"/>
                <w:szCs w:val="21"/>
              </w:rPr>
              <w:t>，固定条凸11mm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b w:val="0"/>
                <w:bCs w:val="0"/>
                <w:szCs w:val="21"/>
              </w:rPr>
              <w:t>,灵活安全使用层板，不占用空间，共15个挡位、每挡28mm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b w:val="0"/>
                <w:bCs w:val="0"/>
                <w:szCs w:val="21"/>
              </w:rPr>
              <w:t>，可实现层板自选放置高度。</w:t>
            </w:r>
          </w:p>
          <w:p w14:paraId="61D2B05E">
            <w:pPr>
              <w:jc w:val="left"/>
              <w:rPr>
                <w:rFonts w:hint="eastAsia" w:ascii="Times New Roman" w:hAnsi="Times New Roman"/>
                <w:b w:val="0"/>
                <w:bCs w:val="0"/>
                <w:szCs w:val="21"/>
              </w:rPr>
            </w:pPr>
            <w:r>
              <w:rPr>
                <w:rFonts w:hint="eastAsia" w:ascii="Times New Roman" w:hAnsi="Times New Roman"/>
                <w:b w:val="0"/>
                <w:bCs w:val="0"/>
                <w:szCs w:val="21"/>
              </w:rPr>
              <w:t>（2）围脚：采用厚度18mm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b w:val="0"/>
                <w:bCs w:val="0"/>
                <w:szCs w:val="21"/>
              </w:rPr>
              <w:t>的橡胶木拼板。柜体与底部围脚采用塑料连接件实现翻板功能，脚轮为静音万向轮，安装在围脚侧板内，当家具固定时，围脚侧板向下翻，万向轮则隐藏于侧板内；当家具需要移动时，围脚侧板向上翻，塑料连接件卡扣对侧板进行固定，万向轮支撑起家具的重量，无须抬起轻松实现家具位置转移。</w:t>
            </w:r>
          </w:p>
          <w:p w14:paraId="2B3A6363">
            <w:pPr>
              <w:jc w:val="left"/>
              <w:rPr>
                <w:rFonts w:hint="eastAsia" w:ascii="Times New Roman" w:hAnsi="Times New Roman"/>
                <w:b w:val="0"/>
                <w:bCs w:val="0"/>
                <w:szCs w:val="21"/>
              </w:rPr>
            </w:pPr>
            <w:r>
              <w:rPr>
                <w:rFonts w:hint="eastAsia" w:ascii="Times New Roman" w:hAnsi="Times New Roman"/>
                <w:b w:val="0"/>
                <w:bCs w:val="0"/>
                <w:szCs w:val="21"/>
              </w:rPr>
              <w:t>（3）采用的水性漆，全封闭涂装工艺，漆面光泽高透，颜色均匀。</w:t>
            </w:r>
          </w:p>
        </w:tc>
      </w:tr>
      <w:tr w14:paraId="69EA6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333" w:type="pct"/>
            <w:vMerge w:val="restart"/>
            <w:noWrap w:val="0"/>
            <w:vAlign w:val="center"/>
          </w:tcPr>
          <w:p w14:paraId="1CC60112">
            <w:pPr>
              <w:keepNext w:val="0"/>
              <w:keepLines w:val="0"/>
              <w:widowControl/>
              <w:suppressLineNumbers w:val="0"/>
              <w:jc w:val="center"/>
              <w:textAlignment w:val="center"/>
              <w:rPr>
                <w:b/>
                <w:szCs w:val="21"/>
              </w:rPr>
            </w:pPr>
            <w:r>
              <w:rPr>
                <w:rFonts w:hint="default" w:ascii="Arial" w:hAnsi="Arial" w:eastAsia="宋体" w:cs="Arial"/>
                <w:i w:val="0"/>
                <w:iCs w:val="0"/>
                <w:color w:val="000000"/>
                <w:kern w:val="0"/>
                <w:sz w:val="20"/>
                <w:szCs w:val="20"/>
                <w:u w:val="none"/>
                <w:lang w:val="en-US" w:eastAsia="zh-CN" w:bidi="ar"/>
              </w:rPr>
              <w:t xml:space="preserve">53 </w:t>
            </w:r>
          </w:p>
        </w:tc>
        <w:tc>
          <w:tcPr>
            <w:tcW w:w="440" w:type="pct"/>
            <w:vMerge w:val="restart"/>
            <w:noWrap w:val="0"/>
            <w:vAlign w:val="center"/>
          </w:tcPr>
          <w:p w14:paraId="004B0A29">
            <w:pPr>
              <w:keepNext w:val="0"/>
              <w:keepLines w:val="0"/>
              <w:widowControl/>
              <w:suppressLineNumbers w:val="0"/>
              <w:jc w:val="center"/>
              <w:textAlignment w:val="center"/>
              <w:rPr>
                <w:rFonts w:hint="eastAsia" w:ascii="Times New Roman" w:hAnsi="Times New Roman"/>
                <w:szCs w:val="21"/>
              </w:rPr>
            </w:pPr>
            <w:r>
              <w:rPr>
                <w:rFonts w:hint="eastAsia" w:ascii="宋体" w:hAnsi="宋体" w:eastAsia="宋体" w:cs="宋体"/>
                <w:i w:val="0"/>
                <w:iCs w:val="0"/>
                <w:color w:val="000000"/>
                <w:kern w:val="0"/>
                <w:sz w:val="20"/>
                <w:szCs w:val="20"/>
                <w:u w:val="none"/>
                <w:lang w:val="en-US" w:eastAsia="zh-CN" w:bidi="ar"/>
              </w:rPr>
              <w:t>直线波纹挡板</w:t>
            </w:r>
          </w:p>
        </w:tc>
        <w:tc>
          <w:tcPr>
            <w:tcW w:w="4225" w:type="pct"/>
            <w:noWrap w:val="0"/>
            <w:vAlign w:val="center"/>
          </w:tcPr>
          <w:p w14:paraId="2389CF56">
            <w:pPr>
              <w:jc w:val="left"/>
              <w:rPr>
                <w:rFonts w:hint="eastAsia" w:ascii="Times New Roman" w:hAnsi="Times New Roman"/>
                <w:b w:val="0"/>
                <w:bCs w:val="0"/>
                <w:szCs w:val="21"/>
              </w:rPr>
            </w:pPr>
            <w:r>
              <w:rPr>
                <w:rFonts w:hint="eastAsia" w:ascii="Times New Roman" w:hAnsi="Times New Roman"/>
                <w:b w:val="0"/>
                <w:bCs w:val="0"/>
                <w:szCs w:val="21"/>
              </w:rPr>
              <w:t>规格：L89xW2.5xH59cm（±3cm）</w:t>
            </w:r>
          </w:p>
        </w:tc>
      </w:tr>
      <w:tr w14:paraId="4B854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3" w:type="pct"/>
            <w:vMerge w:val="continue"/>
            <w:noWrap w:val="0"/>
            <w:vAlign w:val="center"/>
          </w:tcPr>
          <w:p w14:paraId="3E2FA0A9">
            <w:pPr>
              <w:jc w:val="center"/>
              <w:rPr>
                <w:b/>
                <w:szCs w:val="21"/>
              </w:rPr>
            </w:pPr>
          </w:p>
        </w:tc>
        <w:tc>
          <w:tcPr>
            <w:tcW w:w="440" w:type="pct"/>
            <w:vMerge w:val="continue"/>
            <w:noWrap w:val="0"/>
            <w:vAlign w:val="center"/>
          </w:tcPr>
          <w:p w14:paraId="149AB452">
            <w:pPr>
              <w:jc w:val="center"/>
              <w:rPr>
                <w:rFonts w:hint="eastAsia" w:ascii="Times New Roman" w:hAnsi="Times New Roman"/>
                <w:szCs w:val="21"/>
              </w:rPr>
            </w:pPr>
          </w:p>
        </w:tc>
        <w:tc>
          <w:tcPr>
            <w:tcW w:w="4225" w:type="pct"/>
            <w:noWrap w:val="0"/>
            <w:vAlign w:val="top"/>
          </w:tcPr>
          <w:p w14:paraId="6336FA6F">
            <w:pPr>
              <w:jc w:val="left"/>
              <w:rPr>
                <w:rFonts w:hint="eastAsia" w:ascii="Times New Roman" w:hAnsi="Times New Roman"/>
                <w:b w:val="0"/>
                <w:bCs w:val="0"/>
                <w:szCs w:val="21"/>
              </w:rPr>
            </w:pPr>
            <w:r>
              <w:rPr>
                <w:rFonts w:hint="eastAsia" w:ascii="Times New Roman" w:hAnsi="Times New Roman"/>
                <w:b w:val="0"/>
                <w:bCs w:val="0"/>
                <w:szCs w:val="21"/>
              </w:rPr>
              <w:t>1、工艺设计：</w:t>
            </w:r>
          </w:p>
          <w:p w14:paraId="003AF0EB">
            <w:pPr>
              <w:jc w:val="left"/>
              <w:rPr>
                <w:rFonts w:hint="eastAsia" w:ascii="Times New Roman" w:hAnsi="Times New Roman"/>
                <w:b w:val="0"/>
                <w:bCs w:val="0"/>
                <w:szCs w:val="21"/>
              </w:rPr>
            </w:pPr>
            <w:r>
              <w:rPr>
                <w:rFonts w:hint="eastAsia" w:ascii="Times New Roman" w:hAnsi="Times New Roman"/>
                <w:b w:val="0"/>
                <w:bCs w:val="0"/>
                <w:szCs w:val="21"/>
              </w:rPr>
              <w:t>（1）半透明通透波纹板，能搭配其他产品形成围合区域，增强独立性与互动性。</w:t>
            </w:r>
          </w:p>
          <w:p w14:paraId="45B29878">
            <w:pPr>
              <w:jc w:val="left"/>
              <w:rPr>
                <w:rFonts w:hint="eastAsia" w:ascii="Times New Roman" w:hAnsi="Times New Roman"/>
                <w:b w:val="0"/>
                <w:bCs w:val="0"/>
                <w:szCs w:val="21"/>
              </w:rPr>
            </w:pPr>
            <w:r>
              <w:rPr>
                <w:rFonts w:hint="eastAsia" w:ascii="Times New Roman" w:hAnsi="Times New Roman"/>
                <w:b w:val="0"/>
                <w:bCs w:val="0"/>
                <w:szCs w:val="21"/>
              </w:rPr>
              <w:t>（2）所有螺丝位无毛刺不刮手，边角采用圆边/圆角处理以及安全防撞设计，最大程度的避免儿童磕碰伤害，结构稳固。</w:t>
            </w:r>
          </w:p>
        </w:tc>
      </w:tr>
      <w:tr w14:paraId="41C1E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3" w:type="pct"/>
            <w:vMerge w:val="continue"/>
            <w:noWrap w:val="0"/>
            <w:vAlign w:val="center"/>
          </w:tcPr>
          <w:p w14:paraId="17F42079">
            <w:pPr>
              <w:jc w:val="center"/>
              <w:rPr>
                <w:b/>
                <w:szCs w:val="21"/>
              </w:rPr>
            </w:pPr>
          </w:p>
        </w:tc>
        <w:tc>
          <w:tcPr>
            <w:tcW w:w="440" w:type="pct"/>
            <w:vMerge w:val="continue"/>
            <w:noWrap w:val="0"/>
            <w:vAlign w:val="center"/>
          </w:tcPr>
          <w:p w14:paraId="25DB5B9E">
            <w:pPr>
              <w:jc w:val="center"/>
              <w:rPr>
                <w:rFonts w:hint="eastAsia" w:ascii="Times New Roman" w:hAnsi="Times New Roman"/>
                <w:szCs w:val="21"/>
              </w:rPr>
            </w:pPr>
          </w:p>
        </w:tc>
        <w:tc>
          <w:tcPr>
            <w:tcW w:w="4225" w:type="pct"/>
            <w:noWrap w:val="0"/>
            <w:vAlign w:val="top"/>
          </w:tcPr>
          <w:p w14:paraId="673D1DDA">
            <w:pPr>
              <w:jc w:val="left"/>
              <w:rPr>
                <w:rFonts w:hint="eastAsia" w:ascii="Times New Roman" w:hAnsi="Times New Roman"/>
                <w:b w:val="0"/>
                <w:bCs w:val="0"/>
                <w:szCs w:val="21"/>
              </w:rPr>
            </w:pPr>
            <w:r>
              <w:rPr>
                <w:rFonts w:hint="eastAsia" w:ascii="Times New Roman" w:hAnsi="Times New Roman"/>
                <w:b w:val="0"/>
                <w:bCs w:val="0"/>
                <w:szCs w:val="21"/>
              </w:rPr>
              <w:t>2、外观结构及材质：</w:t>
            </w:r>
          </w:p>
          <w:p w14:paraId="2E13CB34">
            <w:pPr>
              <w:jc w:val="left"/>
              <w:rPr>
                <w:rFonts w:hint="eastAsia" w:ascii="Times New Roman" w:hAnsi="Times New Roman"/>
                <w:b w:val="0"/>
                <w:bCs w:val="0"/>
                <w:szCs w:val="21"/>
              </w:rPr>
            </w:pPr>
            <w:r>
              <w:rPr>
                <w:rFonts w:hint="eastAsia" w:ascii="Times New Roman" w:hAnsi="Times New Roman"/>
                <w:b w:val="0"/>
                <w:bCs w:val="0"/>
                <w:szCs w:val="21"/>
              </w:rPr>
              <w:t>（1）边框采用厚度24mm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b w:val="0"/>
                <w:bCs w:val="0"/>
                <w:szCs w:val="21"/>
              </w:rPr>
              <w:t>的实木多层板，边框宽度45mm，长方形直线造型。</w:t>
            </w:r>
          </w:p>
          <w:p w14:paraId="1F756873">
            <w:pPr>
              <w:jc w:val="left"/>
              <w:rPr>
                <w:rFonts w:hint="eastAsia" w:ascii="Times New Roman" w:hAnsi="Times New Roman"/>
                <w:b w:val="0"/>
                <w:bCs w:val="0"/>
                <w:szCs w:val="21"/>
              </w:rPr>
            </w:pPr>
            <w:r>
              <w:rPr>
                <w:rFonts w:hint="eastAsia" w:ascii="Times New Roman" w:hAnsi="Times New Roman"/>
                <w:b w:val="0"/>
                <w:bCs w:val="0"/>
                <w:szCs w:val="21"/>
              </w:rPr>
              <w:t>（2）芯板采用厚度8mm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b w:val="0"/>
                <w:bCs w:val="0"/>
                <w:szCs w:val="21"/>
              </w:rPr>
              <w:t>双层中空波纹板，表面光滑无缺陷，中空结构抗压性强。</w:t>
            </w:r>
          </w:p>
          <w:p w14:paraId="48333E30">
            <w:pPr>
              <w:jc w:val="left"/>
              <w:rPr>
                <w:rFonts w:hint="eastAsia" w:ascii="Times New Roman" w:hAnsi="Times New Roman"/>
                <w:b w:val="0"/>
                <w:bCs w:val="0"/>
                <w:szCs w:val="21"/>
              </w:rPr>
            </w:pPr>
            <w:r>
              <w:rPr>
                <w:rFonts w:hint="eastAsia" w:ascii="Times New Roman" w:hAnsi="Times New Roman"/>
                <w:b w:val="0"/>
                <w:bCs w:val="0"/>
                <w:szCs w:val="21"/>
              </w:rPr>
              <w:t>（3）油漆：采用的水性漆，全封闭涂装工艺，漆面光泽高透，颜色均匀。</w:t>
            </w:r>
          </w:p>
        </w:tc>
      </w:tr>
      <w:tr w14:paraId="3FC3A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3" w:type="pct"/>
            <w:vMerge w:val="restart"/>
            <w:noWrap w:val="0"/>
            <w:vAlign w:val="center"/>
          </w:tcPr>
          <w:p w14:paraId="34F24282">
            <w:pPr>
              <w:keepNext w:val="0"/>
              <w:keepLines w:val="0"/>
              <w:widowControl/>
              <w:suppressLineNumbers w:val="0"/>
              <w:jc w:val="center"/>
              <w:textAlignment w:val="center"/>
              <w:rPr>
                <w:b/>
                <w:szCs w:val="21"/>
              </w:rPr>
            </w:pPr>
            <w:r>
              <w:rPr>
                <w:rFonts w:hint="default" w:ascii="Arial" w:hAnsi="Arial" w:eastAsia="宋体" w:cs="Arial"/>
                <w:i w:val="0"/>
                <w:iCs w:val="0"/>
                <w:color w:val="000000"/>
                <w:kern w:val="0"/>
                <w:sz w:val="20"/>
                <w:szCs w:val="20"/>
                <w:u w:val="none"/>
                <w:lang w:val="en-US" w:eastAsia="zh-CN" w:bidi="ar"/>
              </w:rPr>
              <w:t xml:space="preserve">54 </w:t>
            </w:r>
          </w:p>
        </w:tc>
        <w:tc>
          <w:tcPr>
            <w:tcW w:w="440" w:type="pct"/>
            <w:vMerge w:val="restart"/>
            <w:noWrap w:val="0"/>
            <w:vAlign w:val="center"/>
          </w:tcPr>
          <w:p w14:paraId="794D7572">
            <w:pPr>
              <w:keepNext w:val="0"/>
              <w:keepLines w:val="0"/>
              <w:widowControl/>
              <w:suppressLineNumbers w:val="0"/>
              <w:jc w:val="center"/>
              <w:textAlignment w:val="center"/>
              <w:rPr>
                <w:rFonts w:hint="eastAsia" w:ascii="Times New Roman" w:hAnsi="Times New Roman"/>
                <w:szCs w:val="21"/>
              </w:rPr>
            </w:pPr>
            <w:r>
              <w:rPr>
                <w:rFonts w:hint="eastAsia" w:ascii="宋体" w:hAnsi="宋体" w:eastAsia="宋体" w:cs="宋体"/>
                <w:i w:val="0"/>
                <w:iCs w:val="0"/>
                <w:color w:val="000000"/>
                <w:kern w:val="0"/>
                <w:sz w:val="20"/>
                <w:szCs w:val="20"/>
                <w:u w:val="none"/>
                <w:lang w:val="en-US" w:eastAsia="zh-CN" w:bidi="ar"/>
              </w:rPr>
              <w:t>山峰小屋收纳柜</w:t>
            </w:r>
          </w:p>
        </w:tc>
        <w:tc>
          <w:tcPr>
            <w:tcW w:w="4225" w:type="pct"/>
            <w:noWrap w:val="0"/>
            <w:vAlign w:val="center"/>
          </w:tcPr>
          <w:p w14:paraId="50A2AD68">
            <w:pPr>
              <w:jc w:val="left"/>
              <w:rPr>
                <w:rFonts w:hint="eastAsia" w:ascii="Times New Roman" w:hAnsi="Times New Roman"/>
                <w:b w:val="0"/>
                <w:bCs w:val="0"/>
                <w:szCs w:val="21"/>
              </w:rPr>
            </w:pPr>
            <w:r>
              <w:rPr>
                <w:rFonts w:hint="eastAsia" w:ascii="Times New Roman" w:hAnsi="Times New Roman"/>
                <w:b w:val="0"/>
                <w:bCs w:val="0"/>
                <w:szCs w:val="21"/>
              </w:rPr>
              <w:t>规格：L50xW30xH110.5cm（±3cm）</w:t>
            </w:r>
          </w:p>
        </w:tc>
      </w:tr>
      <w:tr w14:paraId="17FA8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3" w:type="pct"/>
            <w:vMerge w:val="continue"/>
            <w:noWrap w:val="0"/>
            <w:vAlign w:val="center"/>
          </w:tcPr>
          <w:p w14:paraId="1A8CD023">
            <w:pPr>
              <w:jc w:val="center"/>
              <w:rPr>
                <w:b/>
                <w:szCs w:val="21"/>
              </w:rPr>
            </w:pPr>
          </w:p>
        </w:tc>
        <w:tc>
          <w:tcPr>
            <w:tcW w:w="440" w:type="pct"/>
            <w:vMerge w:val="continue"/>
            <w:noWrap w:val="0"/>
            <w:vAlign w:val="center"/>
          </w:tcPr>
          <w:p w14:paraId="2486C086">
            <w:pPr>
              <w:jc w:val="center"/>
              <w:rPr>
                <w:rFonts w:hint="eastAsia" w:ascii="Times New Roman" w:hAnsi="Times New Roman"/>
                <w:szCs w:val="21"/>
              </w:rPr>
            </w:pPr>
          </w:p>
        </w:tc>
        <w:tc>
          <w:tcPr>
            <w:tcW w:w="4225" w:type="pct"/>
            <w:noWrap w:val="0"/>
            <w:vAlign w:val="top"/>
          </w:tcPr>
          <w:p w14:paraId="370FFA87">
            <w:pPr>
              <w:jc w:val="left"/>
              <w:rPr>
                <w:rFonts w:hint="eastAsia" w:ascii="Times New Roman" w:hAnsi="Times New Roman"/>
                <w:b w:val="0"/>
                <w:bCs w:val="0"/>
                <w:szCs w:val="21"/>
              </w:rPr>
            </w:pPr>
            <w:r>
              <w:rPr>
                <w:rFonts w:hint="eastAsia" w:ascii="Times New Roman" w:hAnsi="Times New Roman"/>
                <w:b w:val="0"/>
                <w:bCs w:val="0"/>
                <w:szCs w:val="21"/>
              </w:rPr>
              <w:t>1、工艺设计：</w:t>
            </w:r>
          </w:p>
          <w:p w14:paraId="68AA233E">
            <w:pPr>
              <w:jc w:val="left"/>
              <w:rPr>
                <w:rFonts w:hint="eastAsia" w:ascii="Times New Roman" w:hAnsi="Times New Roman"/>
                <w:b w:val="0"/>
                <w:bCs w:val="0"/>
                <w:szCs w:val="21"/>
              </w:rPr>
            </w:pPr>
            <w:r>
              <w:rPr>
                <w:rFonts w:hint="eastAsia" w:ascii="Times New Roman" w:hAnsi="Times New Roman"/>
                <w:b w:val="0"/>
                <w:bCs w:val="0"/>
                <w:szCs w:val="21"/>
              </w:rPr>
              <w:t>（1）小屋造型设计，兼具装饰与收纳功能。</w:t>
            </w:r>
          </w:p>
          <w:p w14:paraId="563BD1C3">
            <w:pPr>
              <w:jc w:val="left"/>
              <w:rPr>
                <w:rFonts w:hint="eastAsia" w:ascii="Times New Roman" w:hAnsi="Times New Roman"/>
                <w:b w:val="0"/>
                <w:bCs w:val="0"/>
                <w:szCs w:val="21"/>
              </w:rPr>
            </w:pPr>
            <w:r>
              <w:rPr>
                <w:rFonts w:hint="eastAsia" w:ascii="Times New Roman" w:hAnsi="Times New Roman"/>
                <w:b w:val="0"/>
                <w:bCs w:val="0"/>
                <w:szCs w:val="21"/>
              </w:rPr>
              <w:t>（2）采用美工机喷绘工艺，搭配油墨，图案附着力好，生动立体不易褪色。</w:t>
            </w:r>
          </w:p>
          <w:p w14:paraId="0BF86C99">
            <w:pPr>
              <w:jc w:val="left"/>
              <w:rPr>
                <w:rFonts w:hint="eastAsia" w:ascii="Times New Roman" w:hAnsi="Times New Roman"/>
                <w:b w:val="0"/>
                <w:bCs w:val="0"/>
                <w:szCs w:val="21"/>
              </w:rPr>
            </w:pPr>
            <w:r>
              <w:rPr>
                <w:rFonts w:hint="eastAsia" w:ascii="Times New Roman" w:hAnsi="Times New Roman"/>
                <w:b w:val="0"/>
                <w:bCs w:val="0"/>
                <w:szCs w:val="21"/>
              </w:rPr>
              <w:t>（3）底格收纳抽斗采用可移动带滑轮设计，便于教玩具的转移与储藏。</w:t>
            </w:r>
          </w:p>
          <w:p w14:paraId="699AE6D1">
            <w:pPr>
              <w:jc w:val="left"/>
              <w:rPr>
                <w:rFonts w:hint="eastAsia" w:ascii="Times New Roman" w:hAnsi="Times New Roman"/>
                <w:b w:val="0"/>
                <w:bCs w:val="0"/>
                <w:szCs w:val="21"/>
              </w:rPr>
            </w:pPr>
            <w:r>
              <w:rPr>
                <w:rFonts w:hint="eastAsia" w:ascii="Times New Roman" w:hAnsi="Times New Roman"/>
                <w:b w:val="0"/>
                <w:bCs w:val="0"/>
                <w:szCs w:val="21"/>
              </w:rPr>
              <w:t>（4）所有螺丝位无毛刺不刮手，边角采用圆边/圆角处理以及安全防撞设计，最大程度的避免儿童磕碰伤害，结构稳固。</w:t>
            </w:r>
          </w:p>
        </w:tc>
      </w:tr>
      <w:tr w14:paraId="5A32E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3" w:type="pct"/>
            <w:vMerge w:val="continue"/>
            <w:noWrap w:val="0"/>
            <w:vAlign w:val="center"/>
          </w:tcPr>
          <w:p w14:paraId="57C40853">
            <w:pPr>
              <w:jc w:val="center"/>
              <w:rPr>
                <w:b/>
                <w:szCs w:val="21"/>
              </w:rPr>
            </w:pPr>
          </w:p>
        </w:tc>
        <w:tc>
          <w:tcPr>
            <w:tcW w:w="440" w:type="pct"/>
            <w:vMerge w:val="continue"/>
            <w:noWrap w:val="0"/>
            <w:vAlign w:val="center"/>
          </w:tcPr>
          <w:p w14:paraId="35F65821">
            <w:pPr>
              <w:jc w:val="center"/>
              <w:rPr>
                <w:rFonts w:hint="eastAsia" w:ascii="Times New Roman" w:hAnsi="Times New Roman"/>
                <w:szCs w:val="21"/>
              </w:rPr>
            </w:pPr>
          </w:p>
        </w:tc>
        <w:tc>
          <w:tcPr>
            <w:tcW w:w="4225" w:type="pct"/>
            <w:noWrap w:val="0"/>
            <w:vAlign w:val="top"/>
          </w:tcPr>
          <w:p w14:paraId="00DCDCB3">
            <w:pPr>
              <w:jc w:val="left"/>
              <w:rPr>
                <w:rFonts w:hint="eastAsia" w:ascii="Times New Roman" w:hAnsi="Times New Roman"/>
                <w:b w:val="0"/>
                <w:bCs w:val="0"/>
                <w:szCs w:val="21"/>
              </w:rPr>
            </w:pPr>
            <w:r>
              <w:rPr>
                <w:rFonts w:hint="eastAsia" w:ascii="Times New Roman" w:hAnsi="Times New Roman"/>
                <w:b w:val="0"/>
                <w:bCs w:val="0"/>
                <w:szCs w:val="21"/>
              </w:rPr>
              <w:t>2、外观结构及材质：</w:t>
            </w:r>
          </w:p>
          <w:p w14:paraId="77C7FC76">
            <w:pPr>
              <w:jc w:val="left"/>
              <w:rPr>
                <w:rFonts w:hint="eastAsia" w:ascii="Times New Roman" w:hAnsi="Times New Roman"/>
                <w:b w:val="0"/>
                <w:bCs w:val="0"/>
                <w:szCs w:val="21"/>
              </w:rPr>
            </w:pPr>
            <w:r>
              <w:rPr>
                <w:rFonts w:hint="eastAsia" w:ascii="Times New Roman" w:hAnsi="Times New Roman"/>
                <w:b w:val="0"/>
                <w:bCs w:val="0"/>
                <w:szCs w:val="21"/>
              </w:rPr>
              <w:t>（1）柜体：用厚度15mm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b w:val="0"/>
                <w:bCs w:val="0"/>
                <w:szCs w:val="21"/>
              </w:rPr>
              <w:t>的桦木纹饰面橡胶木拼板。柜体顶部屋顶造型，2层通透，顶层内空尺寸：470x300x303mm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b w:val="0"/>
                <w:bCs w:val="0"/>
                <w:szCs w:val="21"/>
              </w:rPr>
              <w:t>，中层内控尺寸470x300x224mm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b w:val="0"/>
                <w:bCs w:val="0"/>
                <w:szCs w:val="21"/>
              </w:rPr>
              <w:t>；下层带背板内空尺寸：470x280x224mm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b w:val="0"/>
                <w:bCs w:val="0"/>
                <w:szCs w:val="21"/>
              </w:rPr>
              <w:t>。</w:t>
            </w:r>
          </w:p>
          <w:p w14:paraId="485FBC05">
            <w:pPr>
              <w:jc w:val="left"/>
              <w:rPr>
                <w:rFonts w:hint="eastAsia" w:ascii="Times New Roman" w:hAnsi="Times New Roman"/>
                <w:b w:val="0"/>
                <w:bCs w:val="0"/>
                <w:szCs w:val="21"/>
              </w:rPr>
            </w:pPr>
            <w:r>
              <w:rPr>
                <w:rFonts w:hint="eastAsia" w:ascii="Times New Roman" w:hAnsi="Times New Roman"/>
                <w:b w:val="0"/>
                <w:bCs w:val="0"/>
                <w:szCs w:val="21"/>
              </w:rPr>
              <w:t>（2）柜子最底格为移动式收纳抽斗，抽斗内空尺寸：420x249x178mm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b w:val="0"/>
                <w:bCs w:val="0"/>
                <w:szCs w:val="21"/>
              </w:rPr>
              <w:t>，抽斗底部安装4个静音万向脚轮，脚轮运行平稳无声，可360°旋转，转动顺滑。抽斗面板手握弧度舒适面板增加几何造型图案。造型部分采用美工机喷绘工艺，搭配油墨，图案附着力好，生动立体不易褪色。</w:t>
            </w:r>
          </w:p>
          <w:p w14:paraId="541B70E7">
            <w:pPr>
              <w:jc w:val="left"/>
              <w:rPr>
                <w:rFonts w:hint="eastAsia" w:ascii="Times New Roman" w:hAnsi="Times New Roman"/>
                <w:b w:val="0"/>
                <w:bCs w:val="0"/>
                <w:szCs w:val="21"/>
              </w:rPr>
            </w:pPr>
            <w:r>
              <w:rPr>
                <w:rFonts w:hint="eastAsia" w:ascii="Times New Roman" w:hAnsi="Times New Roman"/>
                <w:b w:val="0"/>
                <w:bCs w:val="0"/>
                <w:szCs w:val="21"/>
              </w:rPr>
              <w:t>（3）柜子底部安装塑料脚垫，高度为H10mm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b w:val="0"/>
                <w:bCs w:val="0"/>
                <w:szCs w:val="21"/>
              </w:rPr>
              <w:t>，直径17mm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b w:val="0"/>
                <w:bCs w:val="0"/>
                <w:szCs w:val="21"/>
              </w:rPr>
              <w:t>，软性防滑，可有效保护地面刮花并降低噪音。</w:t>
            </w:r>
          </w:p>
          <w:p w14:paraId="26DA89D6">
            <w:pPr>
              <w:jc w:val="left"/>
              <w:rPr>
                <w:rFonts w:hint="eastAsia" w:ascii="Times New Roman" w:hAnsi="Times New Roman"/>
                <w:b w:val="0"/>
                <w:bCs w:val="0"/>
                <w:szCs w:val="21"/>
              </w:rPr>
            </w:pPr>
            <w:r>
              <w:rPr>
                <w:rFonts w:hint="eastAsia" w:ascii="Times New Roman" w:hAnsi="Times New Roman"/>
                <w:b w:val="0"/>
                <w:bCs w:val="0"/>
                <w:szCs w:val="21"/>
              </w:rPr>
              <w:t>（4）木蜡油：采用的水性木蜡油封边，成分天然，分子机构细小，成膜牢固，密封性好。</w:t>
            </w:r>
          </w:p>
          <w:p w14:paraId="38FE9876">
            <w:pPr>
              <w:jc w:val="left"/>
              <w:rPr>
                <w:rFonts w:hint="eastAsia" w:ascii="Times New Roman" w:hAnsi="Times New Roman"/>
                <w:b w:val="0"/>
                <w:bCs w:val="0"/>
                <w:szCs w:val="21"/>
              </w:rPr>
            </w:pPr>
            <w:r>
              <w:rPr>
                <w:rFonts w:hint="eastAsia" w:ascii="Times New Roman" w:hAnsi="Times New Roman"/>
                <w:b w:val="0"/>
                <w:bCs w:val="0"/>
                <w:szCs w:val="21"/>
              </w:rPr>
              <w:t>（5）油墨：采用水性油墨，颜色饱满，无毒无异味。</w:t>
            </w:r>
          </w:p>
        </w:tc>
      </w:tr>
      <w:tr w14:paraId="23361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3" w:type="pct"/>
            <w:vMerge w:val="continue"/>
            <w:noWrap w:val="0"/>
            <w:vAlign w:val="center"/>
          </w:tcPr>
          <w:p w14:paraId="30B29727">
            <w:pPr>
              <w:jc w:val="center"/>
              <w:rPr>
                <w:b/>
                <w:szCs w:val="21"/>
              </w:rPr>
            </w:pPr>
          </w:p>
        </w:tc>
        <w:tc>
          <w:tcPr>
            <w:tcW w:w="440" w:type="pct"/>
            <w:vMerge w:val="continue"/>
            <w:noWrap w:val="0"/>
            <w:vAlign w:val="center"/>
          </w:tcPr>
          <w:p w14:paraId="65F1FAF2">
            <w:pPr>
              <w:jc w:val="center"/>
              <w:rPr>
                <w:rFonts w:hint="eastAsia" w:ascii="Times New Roman" w:hAnsi="Times New Roman"/>
                <w:szCs w:val="21"/>
              </w:rPr>
            </w:pPr>
          </w:p>
        </w:tc>
        <w:tc>
          <w:tcPr>
            <w:tcW w:w="4225" w:type="pct"/>
            <w:noWrap w:val="0"/>
            <w:vAlign w:val="top"/>
          </w:tcPr>
          <w:p w14:paraId="78A2B19B">
            <w:pPr>
              <w:jc w:val="left"/>
              <w:rPr>
                <w:rFonts w:hint="eastAsia" w:ascii="Times New Roman" w:hAnsi="Times New Roman" w:eastAsia="宋体" w:cs="Times New Roman"/>
                <w:b/>
                <w:bCs/>
                <w:color w:val="FF0000"/>
                <w:szCs w:val="21"/>
                <w:highlight w:val="yellow"/>
              </w:rPr>
            </w:pPr>
            <w:r>
              <w:rPr>
                <w:rFonts w:hint="eastAsia" w:ascii="Times New Roman" w:hAnsi="Times New Roman" w:eastAsia="宋体" w:cs="Times New Roman"/>
                <w:b/>
                <w:bCs/>
                <w:color w:val="FF0000"/>
                <w:szCs w:val="21"/>
                <w:highlight w:val="none"/>
              </w:rPr>
              <w:t>▲</w:t>
            </w:r>
            <w:r>
              <w:rPr>
                <w:rFonts w:hint="eastAsia" w:ascii="Times New Roman" w:hAnsi="Times New Roman" w:eastAsia="宋体" w:cs="Times New Roman"/>
                <w:b/>
                <w:bCs/>
                <w:color w:val="FF0000"/>
                <w:szCs w:val="21"/>
                <w:highlight w:val="none"/>
                <w:lang w:val="en-US" w:eastAsia="zh-CN"/>
              </w:rPr>
              <w:t>实木多层板</w:t>
            </w:r>
            <w:r>
              <w:rPr>
                <w:rFonts w:hint="eastAsia" w:ascii="Times New Roman" w:hAnsi="Times New Roman" w:eastAsia="宋体" w:cs="Times New Roman"/>
                <w:b/>
                <w:bCs/>
                <w:color w:val="FF0000"/>
                <w:szCs w:val="21"/>
                <w:highlight w:val="none"/>
              </w:rPr>
              <w:t>检测报告，采用GB/T31762-2015、GB/T 34722-2017、GB/T 17657-2022、GB/T 9846-2015、LY/T 1417-2023、GB/T 20285-2006、GB/T 39600-2021、GB/T 34722-2017，检测项应满足：表面耐磨磨耗值≤50mg/100r，磨350r以后应无露底现象；表面耐干热、表面耐水蒸气、表面耐香烟灼烧，耐光色牢度≥4级；表面耐污染腐蚀、表面耐龟裂≥5级；甲醛释放量≤0.025mg/m³；抗拉强度≥55MPa；苯酚释放量＜0.01mg/m³；胶合强度、含水率、浸渍剥离、静曲强度（顺纹与横纹）、弹性模量（顺纹与横纹）符合标准要求，加速老化循环后静曲强度的顺纹≥40MPa,横纹≥35MPa；燃烧滴落物/微粒与烟气毒性符合标准要求。</w:t>
            </w:r>
          </w:p>
          <w:p w14:paraId="4D81F698">
            <w:pPr>
              <w:jc w:val="left"/>
              <w:rPr>
                <w:rFonts w:hint="eastAsia" w:ascii="Times New Roman" w:hAnsi="Times New Roman" w:eastAsia="宋体" w:cs="Times New Roman"/>
                <w:b/>
                <w:bCs/>
                <w:color w:val="FF0000"/>
                <w:szCs w:val="21"/>
              </w:rPr>
            </w:pPr>
            <w:r>
              <w:rPr>
                <w:rFonts w:hint="eastAsia" w:ascii="Times New Roman" w:hAnsi="Times New Roman" w:eastAsia="宋体" w:cs="Times New Roman"/>
                <w:b/>
                <w:bCs/>
                <w:color w:val="FF0000"/>
                <w:szCs w:val="21"/>
                <w:highlight w:val="yellow"/>
              </w:rPr>
              <w:t>提供由投标截止前由第三方检验检测机构出具的具有CMA标志的检验检测报告扫描件</w:t>
            </w:r>
            <w:bookmarkStart w:id="16" w:name="OLE_LINK4"/>
            <w:r>
              <w:rPr>
                <w:rFonts w:hint="eastAsia" w:ascii="Times New Roman" w:hAnsi="Times New Roman" w:eastAsia="宋体" w:cs="Times New Roman"/>
                <w:b/>
                <w:bCs/>
                <w:color w:val="FF0000"/>
                <w:szCs w:val="21"/>
                <w:highlight w:val="yellow"/>
                <w:lang w:eastAsia="zh-CN"/>
              </w:rPr>
              <w:t>（</w:t>
            </w:r>
            <w:r>
              <w:rPr>
                <w:rFonts w:hint="eastAsia" w:ascii="Times New Roman" w:hAnsi="Times New Roman" w:eastAsia="宋体" w:cs="Times New Roman"/>
                <w:b/>
                <w:bCs/>
                <w:color w:val="FF0000"/>
                <w:szCs w:val="21"/>
                <w:highlight w:val="yellow"/>
                <w:lang w:val="en-US" w:eastAsia="zh-CN"/>
              </w:rPr>
              <w:t>原件备查</w:t>
            </w:r>
            <w:r>
              <w:rPr>
                <w:rFonts w:hint="eastAsia" w:ascii="Times New Roman" w:hAnsi="Times New Roman" w:eastAsia="宋体" w:cs="Times New Roman"/>
                <w:b/>
                <w:bCs/>
                <w:color w:val="FF0000"/>
                <w:szCs w:val="21"/>
                <w:highlight w:val="yellow"/>
                <w:lang w:eastAsia="zh-CN"/>
              </w:rPr>
              <w:t>）</w:t>
            </w:r>
            <w:bookmarkEnd w:id="16"/>
            <w:r>
              <w:rPr>
                <w:rFonts w:hint="eastAsia" w:ascii="Times New Roman" w:hAnsi="Times New Roman" w:eastAsia="宋体" w:cs="Times New Roman"/>
                <w:b/>
                <w:bCs/>
                <w:color w:val="FF0000"/>
                <w:szCs w:val="21"/>
                <w:highlight w:val="yellow"/>
              </w:rPr>
              <w:t>。（①送检单位（委托单位）需是投标人或所投产品制造商。②检验检测报告在全国认证认可信息公共服务平台(认e云)(http://cx.cnca.cn/)或检验检测官网的信息査询记录截图。③若检测报告要求的检测标准有更新的标准也予以认可。④对应参数(检验检测项)在检验检测报告中进行标注；如检验检测报告中明确备注说明相关检验检测项不在检验检测机构“CMA”资质许可(认定)范围内的，相关检验检测项视为负偏离。）</w:t>
            </w:r>
          </w:p>
        </w:tc>
      </w:tr>
      <w:tr w14:paraId="2B2A6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3" w:type="pct"/>
            <w:vMerge w:val="restart"/>
            <w:noWrap w:val="0"/>
            <w:vAlign w:val="center"/>
          </w:tcPr>
          <w:p w14:paraId="3B8A8D90">
            <w:pPr>
              <w:keepNext w:val="0"/>
              <w:keepLines w:val="0"/>
              <w:widowControl/>
              <w:suppressLineNumbers w:val="0"/>
              <w:jc w:val="center"/>
              <w:textAlignment w:val="center"/>
              <w:rPr>
                <w:b/>
                <w:szCs w:val="21"/>
              </w:rPr>
            </w:pPr>
            <w:r>
              <w:rPr>
                <w:rFonts w:hint="default" w:ascii="Arial" w:hAnsi="Arial" w:eastAsia="宋体" w:cs="Arial"/>
                <w:i w:val="0"/>
                <w:iCs w:val="0"/>
                <w:color w:val="000000"/>
                <w:kern w:val="0"/>
                <w:sz w:val="20"/>
                <w:szCs w:val="20"/>
                <w:u w:val="none"/>
                <w:lang w:val="en-US" w:eastAsia="zh-CN" w:bidi="ar"/>
              </w:rPr>
              <w:t xml:space="preserve">55 </w:t>
            </w:r>
          </w:p>
        </w:tc>
        <w:tc>
          <w:tcPr>
            <w:tcW w:w="440" w:type="pct"/>
            <w:vMerge w:val="restart"/>
            <w:noWrap w:val="0"/>
            <w:vAlign w:val="center"/>
          </w:tcPr>
          <w:p w14:paraId="3AC44D53">
            <w:pPr>
              <w:keepNext w:val="0"/>
              <w:keepLines w:val="0"/>
              <w:widowControl/>
              <w:suppressLineNumbers w:val="0"/>
              <w:jc w:val="center"/>
              <w:textAlignment w:val="center"/>
              <w:rPr>
                <w:rFonts w:hint="eastAsia" w:ascii="Times New Roman" w:hAnsi="Times New Roman"/>
                <w:szCs w:val="21"/>
              </w:rPr>
            </w:pPr>
            <w:r>
              <w:rPr>
                <w:rFonts w:hint="eastAsia" w:ascii="宋体" w:hAnsi="宋体" w:eastAsia="宋体" w:cs="宋体"/>
                <w:i w:val="0"/>
                <w:iCs w:val="0"/>
                <w:color w:val="000000"/>
                <w:kern w:val="0"/>
                <w:sz w:val="20"/>
                <w:szCs w:val="20"/>
                <w:u w:val="none"/>
                <w:lang w:val="en-US" w:eastAsia="zh-CN" w:bidi="ar"/>
              </w:rPr>
              <w:t>小方桌</w:t>
            </w:r>
          </w:p>
        </w:tc>
        <w:tc>
          <w:tcPr>
            <w:tcW w:w="4225" w:type="pct"/>
            <w:noWrap w:val="0"/>
            <w:vAlign w:val="center"/>
          </w:tcPr>
          <w:p w14:paraId="0F437403">
            <w:pPr>
              <w:jc w:val="left"/>
              <w:rPr>
                <w:rFonts w:hint="eastAsia" w:ascii="Times New Roman" w:hAnsi="Times New Roman" w:eastAsia="宋体" w:cs="Times New Roman"/>
                <w:b/>
                <w:bCs/>
                <w:color w:val="FF0000"/>
                <w:szCs w:val="21"/>
              </w:rPr>
            </w:pPr>
            <w:r>
              <w:rPr>
                <w:rFonts w:hint="eastAsia" w:ascii="Times New Roman" w:hAnsi="Times New Roman" w:eastAsia="宋体" w:cs="Times New Roman"/>
                <w:b w:val="0"/>
                <w:bCs w:val="0"/>
                <w:color w:val="auto"/>
                <w:szCs w:val="21"/>
              </w:rPr>
              <w:t>规格：L60xW60xH30cm（±3cm）</w:t>
            </w:r>
          </w:p>
        </w:tc>
      </w:tr>
      <w:tr w14:paraId="0FAFF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3" w:type="pct"/>
            <w:vMerge w:val="continue"/>
            <w:noWrap w:val="0"/>
            <w:vAlign w:val="center"/>
          </w:tcPr>
          <w:p w14:paraId="5E531F9D">
            <w:pPr>
              <w:jc w:val="center"/>
              <w:rPr>
                <w:b/>
                <w:szCs w:val="21"/>
              </w:rPr>
            </w:pPr>
          </w:p>
        </w:tc>
        <w:tc>
          <w:tcPr>
            <w:tcW w:w="440" w:type="pct"/>
            <w:vMerge w:val="continue"/>
            <w:noWrap w:val="0"/>
            <w:vAlign w:val="center"/>
          </w:tcPr>
          <w:p w14:paraId="4D7A2A83">
            <w:pPr>
              <w:jc w:val="center"/>
              <w:rPr>
                <w:rFonts w:hint="eastAsia" w:ascii="Times New Roman" w:hAnsi="Times New Roman"/>
                <w:szCs w:val="21"/>
              </w:rPr>
            </w:pPr>
          </w:p>
        </w:tc>
        <w:tc>
          <w:tcPr>
            <w:tcW w:w="4225" w:type="pct"/>
            <w:noWrap w:val="0"/>
            <w:vAlign w:val="top"/>
          </w:tcPr>
          <w:p w14:paraId="06A408FC">
            <w:pPr>
              <w:jc w:val="left"/>
              <w:rPr>
                <w:rFonts w:hint="eastAsia" w:ascii="Times New Roman" w:hAnsi="Times New Roman" w:eastAsia="宋体" w:cs="Times New Roman"/>
                <w:b w:val="0"/>
                <w:bCs w:val="0"/>
                <w:szCs w:val="21"/>
              </w:rPr>
            </w:pPr>
            <w:r>
              <w:rPr>
                <w:rFonts w:hint="eastAsia" w:ascii="Times New Roman" w:hAnsi="Times New Roman" w:eastAsia="宋体" w:cs="Times New Roman"/>
                <w:b w:val="0"/>
                <w:bCs w:val="0"/>
                <w:szCs w:val="21"/>
              </w:rPr>
              <w:t>1、工艺设计：</w:t>
            </w:r>
          </w:p>
          <w:p w14:paraId="7C46AF85">
            <w:pPr>
              <w:jc w:val="left"/>
              <w:rPr>
                <w:rFonts w:hint="eastAsia" w:ascii="Times New Roman" w:hAnsi="Times New Roman" w:eastAsia="宋体" w:cs="Times New Roman"/>
                <w:b w:val="0"/>
                <w:bCs w:val="0"/>
                <w:szCs w:val="21"/>
              </w:rPr>
            </w:pPr>
            <w:r>
              <w:rPr>
                <w:rFonts w:hint="eastAsia" w:ascii="Times New Roman" w:hAnsi="Times New Roman" w:eastAsia="宋体" w:cs="Times New Roman"/>
                <w:b w:val="0"/>
                <w:bCs w:val="0"/>
                <w:szCs w:val="21"/>
              </w:rPr>
              <w:t>（1）桌面背面设置有4个塑料连接件，桌脚使用螺旋安装方式与桌面连接，方便拆卸。</w:t>
            </w:r>
          </w:p>
          <w:p w14:paraId="47524013">
            <w:pPr>
              <w:jc w:val="left"/>
              <w:rPr>
                <w:rFonts w:hint="eastAsia" w:ascii="Times New Roman" w:hAnsi="Times New Roman" w:eastAsia="宋体" w:cs="Times New Roman"/>
                <w:b w:val="0"/>
                <w:bCs w:val="0"/>
                <w:szCs w:val="21"/>
              </w:rPr>
            </w:pPr>
            <w:r>
              <w:rPr>
                <w:rFonts w:hint="eastAsia" w:ascii="Times New Roman" w:hAnsi="Times New Roman" w:eastAsia="宋体" w:cs="Times New Roman"/>
                <w:b w:val="0"/>
                <w:bCs w:val="0"/>
                <w:szCs w:val="21"/>
              </w:rPr>
              <w:t>（2）所有螺丝位无毛刺不刮手，桌角及边沿采用圆角/圆边处理以及安全防撞设计，最大程度的避免儿童磕碰伤害，结构稳固。</w:t>
            </w:r>
          </w:p>
        </w:tc>
      </w:tr>
      <w:tr w14:paraId="1061C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3" w:type="pct"/>
            <w:vMerge w:val="continue"/>
            <w:noWrap w:val="0"/>
            <w:vAlign w:val="center"/>
          </w:tcPr>
          <w:p w14:paraId="58A77D6B">
            <w:pPr>
              <w:jc w:val="center"/>
              <w:rPr>
                <w:b/>
                <w:szCs w:val="21"/>
              </w:rPr>
            </w:pPr>
          </w:p>
        </w:tc>
        <w:tc>
          <w:tcPr>
            <w:tcW w:w="440" w:type="pct"/>
            <w:vMerge w:val="continue"/>
            <w:noWrap w:val="0"/>
            <w:vAlign w:val="center"/>
          </w:tcPr>
          <w:p w14:paraId="17B3F64F">
            <w:pPr>
              <w:jc w:val="center"/>
              <w:rPr>
                <w:rFonts w:hint="eastAsia" w:ascii="Times New Roman" w:hAnsi="Times New Roman"/>
                <w:szCs w:val="21"/>
              </w:rPr>
            </w:pPr>
          </w:p>
        </w:tc>
        <w:tc>
          <w:tcPr>
            <w:tcW w:w="4225" w:type="pct"/>
            <w:noWrap w:val="0"/>
            <w:vAlign w:val="top"/>
          </w:tcPr>
          <w:p w14:paraId="4BBDF42E">
            <w:pPr>
              <w:jc w:val="left"/>
              <w:rPr>
                <w:rFonts w:hint="eastAsia" w:ascii="Times New Roman" w:hAnsi="Times New Roman"/>
                <w:b w:val="0"/>
                <w:bCs w:val="0"/>
                <w:szCs w:val="21"/>
              </w:rPr>
            </w:pPr>
            <w:r>
              <w:rPr>
                <w:rFonts w:hint="eastAsia" w:ascii="Times New Roman" w:hAnsi="Times New Roman"/>
                <w:b w:val="0"/>
                <w:bCs w:val="0"/>
                <w:szCs w:val="21"/>
              </w:rPr>
              <w:t>2、外观结构及材质：</w:t>
            </w:r>
          </w:p>
          <w:p w14:paraId="68FD17AE">
            <w:pPr>
              <w:jc w:val="left"/>
              <w:rPr>
                <w:rFonts w:hint="eastAsia" w:ascii="Times New Roman" w:hAnsi="Times New Roman"/>
                <w:b w:val="0"/>
                <w:bCs w:val="0"/>
                <w:szCs w:val="21"/>
              </w:rPr>
            </w:pPr>
            <w:r>
              <w:rPr>
                <w:rFonts w:hint="eastAsia" w:ascii="Times New Roman" w:hAnsi="Times New Roman"/>
                <w:b w:val="0"/>
                <w:bCs w:val="0"/>
                <w:szCs w:val="21"/>
              </w:rPr>
              <w:t>（1）桌面：采用厚度24mm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b w:val="0"/>
                <w:bCs w:val="0"/>
                <w:szCs w:val="21"/>
              </w:rPr>
              <w:t>的实木多层板。底部安装4个塑料连接件，尺寸为L187xW150xH66mm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b w:val="0"/>
                <w:bCs w:val="0"/>
                <w:szCs w:val="21"/>
              </w:rPr>
              <w:t>的扇形脚座连接件，脚座设置一个外直径50mm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b w:val="0"/>
                <w:bCs w:val="0"/>
                <w:szCs w:val="21"/>
              </w:rPr>
              <w:t>连接桌脚呈浅咖色类扇形，表面光滑无毛刺，线条圆润，结实耐用，桌脚直接螺旋拧上即完成安装，既省时省力又提高产品的互换性，延长使用寿命。</w:t>
            </w:r>
          </w:p>
          <w:p w14:paraId="0185E01D">
            <w:pPr>
              <w:jc w:val="left"/>
              <w:rPr>
                <w:rFonts w:hint="eastAsia" w:ascii="Times New Roman" w:hAnsi="Times New Roman"/>
                <w:b w:val="0"/>
                <w:bCs w:val="0"/>
                <w:szCs w:val="21"/>
              </w:rPr>
            </w:pPr>
            <w:r>
              <w:rPr>
                <w:rFonts w:hint="eastAsia" w:ascii="Times New Roman" w:hAnsi="Times New Roman"/>
                <w:b w:val="0"/>
                <w:bCs w:val="0"/>
                <w:szCs w:val="21"/>
              </w:rPr>
              <w:t>（2）桌脚：采用直径φ48mm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b w:val="0"/>
                <w:bCs w:val="0"/>
                <w:szCs w:val="21"/>
              </w:rPr>
              <w:t>的桦木原木，底部安装塑料脚垫，高度为H10mm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b w:val="0"/>
                <w:bCs w:val="0"/>
                <w:szCs w:val="21"/>
              </w:rPr>
              <w:t>，直径40mm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b w:val="0"/>
                <w:bCs w:val="0"/>
                <w:szCs w:val="21"/>
              </w:rPr>
              <w:t>，软性防滑，可有效保护地面刮花并降低噪音。</w:t>
            </w:r>
          </w:p>
          <w:p w14:paraId="769107A0">
            <w:pPr>
              <w:jc w:val="left"/>
              <w:rPr>
                <w:rFonts w:hint="eastAsia" w:ascii="Times New Roman" w:hAnsi="Times New Roman"/>
                <w:b w:val="0"/>
                <w:bCs w:val="0"/>
                <w:szCs w:val="21"/>
              </w:rPr>
            </w:pPr>
            <w:r>
              <w:rPr>
                <w:rFonts w:hint="eastAsia" w:ascii="Times New Roman" w:hAnsi="Times New Roman"/>
                <w:b w:val="0"/>
                <w:bCs w:val="0"/>
                <w:szCs w:val="21"/>
              </w:rPr>
              <w:t>（3）油漆：采用的水性漆，全封闭涂装工艺，漆面光泽高透，颜色均匀。</w:t>
            </w:r>
          </w:p>
        </w:tc>
      </w:tr>
      <w:tr w14:paraId="6E982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3" w:type="pct"/>
            <w:vMerge w:val="restart"/>
            <w:noWrap w:val="0"/>
            <w:vAlign w:val="center"/>
          </w:tcPr>
          <w:p w14:paraId="0E1ED2C8">
            <w:pPr>
              <w:keepNext w:val="0"/>
              <w:keepLines w:val="0"/>
              <w:widowControl/>
              <w:suppressLineNumbers w:val="0"/>
              <w:jc w:val="center"/>
              <w:textAlignment w:val="center"/>
              <w:rPr>
                <w:b/>
                <w:szCs w:val="21"/>
              </w:rPr>
            </w:pPr>
            <w:r>
              <w:rPr>
                <w:rFonts w:hint="default" w:ascii="Arial" w:hAnsi="Arial" w:eastAsia="宋体" w:cs="Arial"/>
                <w:i w:val="0"/>
                <w:iCs w:val="0"/>
                <w:color w:val="000000"/>
                <w:kern w:val="0"/>
                <w:sz w:val="20"/>
                <w:szCs w:val="20"/>
                <w:u w:val="none"/>
                <w:lang w:val="en-US" w:eastAsia="zh-CN" w:bidi="ar"/>
              </w:rPr>
              <w:t xml:space="preserve">56 </w:t>
            </w:r>
          </w:p>
        </w:tc>
        <w:tc>
          <w:tcPr>
            <w:tcW w:w="440" w:type="pct"/>
            <w:vMerge w:val="restart"/>
            <w:noWrap w:val="0"/>
            <w:vAlign w:val="center"/>
          </w:tcPr>
          <w:p w14:paraId="69E62A57">
            <w:pPr>
              <w:keepNext w:val="0"/>
              <w:keepLines w:val="0"/>
              <w:widowControl/>
              <w:suppressLineNumbers w:val="0"/>
              <w:jc w:val="center"/>
              <w:textAlignment w:val="center"/>
              <w:rPr>
                <w:rFonts w:hint="eastAsia" w:ascii="Times New Roman" w:hAnsi="Times New Roman"/>
                <w:szCs w:val="21"/>
              </w:rPr>
            </w:pPr>
            <w:r>
              <w:rPr>
                <w:rFonts w:hint="eastAsia" w:ascii="宋体" w:hAnsi="宋体" w:eastAsia="宋体" w:cs="宋体"/>
                <w:i w:val="0"/>
                <w:iCs w:val="0"/>
                <w:color w:val="000000"/>
                <w:kern w:val="0"/>
                <w:sz w:val="20"/>
                <w:szCs w:val="20"/>
                <w:u w:val="none"/>
                <w:lang w:val="en-US" w:eastAsia="zh-CN" w:bidi="ar"/>
              </w:rPr>
              <w:t>彩虹云朵无扶手双人皮沙发</w:t>
            </w:r>
          </w:p>
        </w:tc>
        <w:tc>
          <w:tcPr>
            <w:tcW w:w="4225" w:type="pct"/>
            <w:noWrap w:val="0"/>
            <w:vAlign w:val="center"/>
          </w:tcPr>
          <w:p w14:paraId="5AC59878">
            <w:pPr>
              <w:jc w:val="left"/>
              <w:rPr>
                <w:rFonts w:hint="eastAsia" w:ascii="Times New Roman" w:hAnsi="Times New Roman"/>
                <w:b w:val="0"/>
                <w:bCs w:val="0"/>
                <w:szCs w:val="21"/>
              </w:rPr>
            </w:pPr>
            <w:r>
              <w:rPr>
                <w:rFonts w:hint="eastAsia" w:ascii="Times New Roman" w:hAnsi="Times New Roman"/>
                <w:b w:val="0"/>
                <w:bCs w:val="0"/>
                <w:szCs w:val="21"/>
              </w:rPr>
              <w:t>规格：L110xW60xH60cm（±3cm）</w:t>
            </w:r>
          </w:p>
        </w:tc>
      </w:tr>
      <w:tr w14:paraId="266F4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3" w:type="pct"/>
            <w:vMerge w:val="continue"/>
            <w:noWrap w:val="0"/>
            <w:vAlign w:val="center"/>
          </w:tcPr>
          <w:p w14:paraId="3C9F3612">
            <w:pPr>
              <w:jc w:val="center"/>
              <w:rPr>
                <w:b/>
                <w:szCs w:val="21"/>
              </w:rPr>
            </w:pPr>
          </w:p>
        </w:tc>
        <w:tc>
          <w:tcPr>
            <w:tcW w:w="440" w:type="pct"/>
            <w:vMerge w:val="continue"/>
            <w:noWrap w:val="0"/>
            <w:vAlign w:val="center"/>
          </w:tcPr>
          <w:p w14:paraId="7E19DCE5">
            <w:pPr>
              <w:jc w:val="center"/>
              <w:rPr>
                <w:rFonts w:hint="eastAsia" w:ascii="Times New Roman" w:hAnsi="Times New Roman"/>
                <w:szCs w:val="21"/>
              </w:rPr>
            </w:pPr>
          </w:p>
        </w:tc>
        <w:tc>
          <w:tcPr>
            <w:tcW w:w="4225" w:type="pct"/>
            <w:noWrap w:val="0"/>
            <w:vAlign w:val="center"/>
          </w:tcPr>
          <w:p w14:paraId="5EFA4A4E">
            <w:pPr>
              <w:jc w:val="left"/>
              <w:rPr>
                <w:rFonts w:hint="eastAsia" w:ascii="Times New Roman" w:hAnsi="Times New Roman"/>
                <w:b w:val="0"/>
                <w:bCs w:val="0"/>
                <w:szCs w:val="21"/>
              </w:rPr>
            </w:pPr>
            <w:r>
              <w:rPr>
                <w:rFonts w:hint="eastAsia" w:ascii="Times New Roman" w:hAnsi="Times New Roman"/>
                <w:b w:val="0"/>
                <w:bCs w:val="0"/>
                <w:szCs w:val="21"/>
              </w:rPr>
              <w:t>1.框架材质：采用实木内框架，坚实牢固。</w:t>
            </w:r>
          </w:p>
        </w:tc>
      </w:tr>
      <w:tr w14:paraId="61BC1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3" w:type="pct"/>
            <w:vMerge w:val="continue"/>
            <w:noWrap w:val="0"/>
            <w:vAlign w:val="center"/>
          </w:tcPr>
          <w:p w14:paraId="7C1EFFD9">
            <w:pPr>
              <w:jc w:val="center"/>
              <w:rPr>
                <w:b/>
                <w:szCs w:val="21"/>
              </w:rPr>
            </w:pPr>
          </w:p>
        </w:tc>
        <w:tc>
          <w:tcPr>
            <w:tcW w:w="440" w:type="pct"/>
            <w:vMerge w:val="continue"/>
            <w:noWrap w:val="0"/>
            <w:vAlign w:val="center"/>
          </w:tcPr>
          <w:p w14:paraId="02EFACAF">
            <w:pPr>
              <w:jc w:val="center"/>
              <w:rPr>
                <w:rFonts w:hint="eastAsia" w:ascii="Times New Roman" w:hAnsi="Times New Roman"/>
                <w:szCs w:val="21"/>
              </w:rPr>
            </w:pPr>
          </w:p>
        </w:tc>
        <w:tc>
          <w:tcPr>
            <w:tcW w:w="4225" w:type="pct"/>
            <w:noWrap w:val="0"/>
            <w:vAlign w:val="center"/>
          </w:tcPr>
          <w:p w14:paraId="66FB01F1">
            <w:pPr>
              <w:jc w:val="left"/>
              <w:rPr>
                <w:rFonts w:hint="eastAsia" w:ascii="Times New Roman" w:hAnsi="Times New Roman"/>
                <w:b w:val="0"/>
                <w:bCs w:val="0"/>
                <w:szCs w:val="21"/>
              </w:rPr>
            </w:pPr>
            <w:r>
              <w:rPr>
                <w:rFonts w:hint="eastAsia" w:ascii="Times New Roman" w:hAnsi="Times New Roman"/>
                <w:b w:val="0"/>
                <w:bCs w:val="0"/>
                <w:szCs w:val="21"/>
              </w:rPr>
              <w:t>2.面料材质：采用聚氨酯合成革超柔皮，触感轻柔，绿色，耐磨耐用。</w:t>
            </w:r>
          </w:p>
        </w:tc>
      </w:tr>
      <w:tr w14:paraId="330A1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3" w:type="pct"/>
            <w:vMerge w:val="continue"/>
            <w:noWrap w:val="0"/>
            <w:vAlign w:val="center"/>
          </w:tcPr>
          <w:p w14:paraId="04F45E64">
            <w:pPr>
              <w:jc w:val="center"/>
              <w:rPr>
                <w:b/>
                <w:szCs w:val="21"/>
              </w:rPr>
            </w:pPr>
          </w:p>
        </w:tc>
        <w:tc>
          <w:tcPr>
            <w:tcW w:w="440" w:type="pct"/>
            <w:vMerge w:val="continue"/>
            <w:noWrap w:val="0"/>
            <w:vAlign w:val="center"/>
          </w:tcPr>
          <w:p w14:paraId="778F630B">
            <w:pPr>
              <w:jc w:val="center"/>
              <w:rPr>
                <w:rFonts w:hint="eastAsia" w:ascii="Times New Roman" w:hAnsi="Times New Roman"/>
                <w:szCs w:val="21"/>
              </w:rPr>
            </w:pPr>
          </w:p>
        </w:tc>
        <w:tc>
          <w:tcPr>
            <w:tcW w:w="4225" w:type="pct"/>
            <w:noWrap w:val="0"/>
            <w:vAlign w:val="center"/>
          </w:tcPr>
          <w:p w14:paraId="4439D576">
            <w:pPr>
              <w:jc w:val="left"/>
              <w:rPr>
                <w:rFonts w:hint="eastAsia" w:ascii="Times New Roman" w:hAnsi="Times New Roman"/>
                <w:b w:val="0"/>
                <w:bCs w:val="0"/>
                <w:szCs w:val="21"/>
              </w:rPr>
            </w:pPr>
            <w:r>
              <w:rPr>
                <w:rFonts w:hint="eastAsia" w:ascii="Times New Roman" w:hAnsi="Times New Roman"/>
                <w:b w:val="0"/>
                <w:bCs w:val="0"/>
                <w:szCs w:val="21"/>
              </w:rPr>
              <w:t>3.填充材质：海绵，密度≥30kg/m³，回弹性强，不易变形。</w:t>
            </w:r>
          </w:p>
        </w:tc>
      </w:tr>
      <w:tr w14:paraId="7DD88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3" w:type="pct"/>
            <w:vMerge w:val="continue"/>
            <w:noWrap w:val="0"/>
            <w:vAlign w:val="center"/>
          </w:tcPr>
          <w:p w14:paraId="407B1EE6">
            <w:pPr>
              <w:jc w:val="center"/>
              <w:rPr>
                <w:b/>
                <w:szCs w:val="21"/>
              </w:rPr>
            </w:pPr>
          </w:p>
        </w:tc>
        <w:tc>
          <w:tcPr>
            <w:tcW w:w="440" w:type="pct"/>
            <w:vMerge w:val="continue"/>
            <w:noWrap w:val="0"/>
            <w:vAlign w:val="center"/>
          </w:tcPr>
          <w:p w14:paraId="7FE34A3E">
            <w:pPr>
              <w:jc w:val="center"/>
              <w:rPr>
                <w:rFonts w:hint="eastAsia" w:ascii="Times New Roman" w:hAnsi="Times New Roman"/>
                <w:szCs w:val="21"/>
              </w:rPr>
            </w:pPr>
          </w:p>
        </w:tc>
        <w:tc>
          <w:tcPr>
            <w:tcW w:w="4225" w:type="pct"/>
            <w:noWrap w:val="0"/>
            <w:vAlign w:val="center"/>
          </w:tcPr>
          <w:p w14:paraId="4A5C52E0">
            <w:pPr>
              <w:jc w:val="both"/>
              <w:rPr>
                <w:rFonts w:hint="eastAsia" w:ascii="Times New Roman" w:hAnsi="Times New Roman"/>
                <w:b w:val="0"/>
                <w:bCs w:val="0"/>
                <w:szCs w:val="21"/>
              </w:rPr>
            </w:pPr>
            <w:r>
              <w:rPr>
                <w:rFonts w:hint="eastAsia" w:ascii="Times New Roman" w:hAnsi="Times New Roman"/>
                <w:b w:val="0"/>
                <w:bCs w:val="0"/>
                <w:szCs w:val="21"/>
              </w:rPr>
              <w:t>4.产品特点：双人可坐；沙发脚采用原木，经抛光上黑色清漆。</w:t>
            </w:r>
          </w:p>
        </w:tc>
      </w:tr>
      <w:tr w14:paraId="34B23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3" w:type="pct"/>
            <w:vMerge w:val="continue"/>
            <w:noWrap w:val="0"/>
            <w:vAlign w:val="center"/>
          </w:tcPr>
          <w:p w14:paraId="6EB599A4">
            <w:pPr>
              <w:jc w:val="center"/>
              <w:rPr>
                <w:b/>
                <w:szCs w:val="21"/>
              </w:rPr>
            </w:pPr>
          </w:p>
        </w:tc>
        <w:tc>
          <w:tcPr>
            <w:tcW w:w="440" w:type="pct"/>
            <w:vMerge w:val="continue"/>
            <w:noWrap w:val="0"/>
            <w:vAlign w:val="center"/>
          </w:tcPr>
          <w:p w14:paraId="2321EA92">
            <w:pPr>
              <w:jc w:val="center"/>
              <w:rPr>
                <w:rFonts w:hint="eastAsia" w:ascii="Times New Roman" w:hAnsi="Times New Roman"/>
                <w:szCs w:val="21"/>
              </w:rPr>
            </w:pPr>
          </w:p>
        </w:tc>
        <w:tc>
          <w:tcPr>
            <w:tcW w:w="4225" w:type="pct"/>
            <w:noWrap w:val="0"/>
            <w:vAlign w:val="center"/>
          </w:tcPr>
          <w:p w14:paraId="6798E927">
            <w:pPr>
              <w:jc w:val="both"/>
              <w:rPr>
                <w:rFonts w:hint="eastAsia" w:ascii="Times New Roman" w:hAnsi="Times New Roman" w:eastAsia="宋体" w:cs="Times New Roman"/>
                <w:b/>
                <w:bCs/>
                <w:color w:val="FF0000"/>
                <w:highlight w:val="yellow"/>
              </w:rPr>
            </w:pPr>
            <w:r>
              <w:rPr>
                <w:rFonts w:hint="eastAsia" w:ascii="Times New Roman" w:hAnsi="Times New Roman" w:eastAsia="宋体" w:cs="Times New Roman"/>
                <w:b/>
                <w:bCs/>
                <w:color w:val="FF0000"/>
                <w:highlight w:val="none"/>
              </w:rPr>
              <w:t>▲</w:t>
            </w:r>
            <w:r>
              <w:rPr>
                <w:rFonts w:hint="eastAsia" w:ascii="Times New Roman" w:hAnsi="Times New Roman" w:eastAsia="宋体" w:cs="Times New Roman"/>
                <w:b/>
                <w:bCs/>
                <w:color w:val="FF0000"/>
                <w:highlight w:val="none"/>
                <w:lang w:val="en-US" w:eastAsia="zh-CN"/>
              </w:rPr>
              <w:t>成品沙发</w:t>
            </w:r>
            <w:r>
              <w:rPr>
                <w:rFonts w:hint="eastAsia" w:ascii="Times New Roman" w:hAnsi="Times New Roman" w:eastAsia="宋体" w:cs="Times New Roman"/>
                <w:b/>
                <w:bCs/>
                <w:color w:val="FF0000"/>
                <w:highlight w:val="none"/>
              </w:rPr>
              <w:t>采用GB/T 40904-2021、GB/T 27717-2011、GB/T 35607-2024、GB/T24253-2009标准的合格检测报告，检测项应满足：甲醛释放量≤0.01mg/m³，苯、甲苯、二甲苯≤0.002mg/m³，TVOC≤0.5mg/m³，可分解芳香胺染料≤5mg/kg,富马酸二甲酯≤0.05mg/kg,多溴联苯、多溴二苯醚≤5mg/kg，纺织品和皮革中五氯苯酚≤0.1mg/kg，防螨性能≥80%。</w:t>
            </w:r>
          </w:p>
          <w:p w14:paraId="008D38E3">
            <w:pPr>
              <w:jc w:val="both"/>
              <w:rPr>
                <w:rFonts w:hint="eastAsia" w:ascii="Times New Roman" w:hAnsi="Times New Roman"/>
                <w:b/>
                <w:bCs/>
                <w:color w:val="FF0000"/>
                <w:szCs w:val="21"/>
              </w:rPr>
            </w:pPr>
            <w:r>
              <w:rPr>
                <w:rFonts w:hint="eastAsia" w:ascii="Times New Roman" w:hAnsi="Times New Roman" w:eastAsia="宋体" w:cs="Times New Roman"/>
                <w:b/>
                <w:bCs/>
                <w:color w:val="FF0000"/>
                <w:highlight w:val="yellow"/>
              </w:rPr>
              <w:t>提供由投标截止前由第三方检验检测机构出具的具有CMA标志的检验检测报告扫描件（原件备查）。（①送检单位（委托单位）需是投标人或所投产品制造商。②检验检测报告在全国认证认可信息公共服务平台(认e云)(http://cx.cnca.cn/)或检验检测官网的信息査询记录截图。③若检测报告要求的检测标准有更新的标准也予以认可。④对应参数(检验检测项)在检验检测报告中进行标注；如检验检测报告中明确备注说明相关检验检测项不在检验检测机构“CMA”资质许可(认定)范围内的，相关检验检测项视为负偏离。）</w:t>
            </w:r>
          </w:p>
        </w:tc>
      </w:tr>
      <w:tr w14:paraId="457FA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3" w:type="pct"/>
            <w:vMerge w:val="restart"/>
            <w:noWrap w:val="0"/>
            <w:vAlign w:val="center"/>
          </w:tcPr>
          <w:p w14:paraId="4F6823B5">
            <w:pPr>
              <w:keepNext w:val="0"/>
              <w:keepLines w:val="0"/>
              <w:widowControl/>
              <w:suppressLineNumbers w:val="0"/>
              <w:jc w:val="center"/>
              <w:textAlignment w:val="center"/>
              <w:rPr>
                <w:b/>
                <w:szCs w:val="21"/>
              </w:rPr>
            </w:pPr>
            <w:r>
              <w:rPr>
                <w:rFonts w:hint="default" w:ascii="Arial" w:hAnsi="Arial" w:eastAsia="宋体" w:cs="Arial"/>
                <w:i w:val="0"/>
                <w:iCs w:val="0"/>
                <w:color w:val="000000"/>
                <w:kern w:val="0"/>
                <w:sz w:val="20"/>
                <w:szCs w:val="20"/>
                <w:u w:val="none"/>
                <w:lang w:val="en-US" w:eastAsia="zh-CN" w:bidi="ar"/>
              </w:rPr>
              <w:t xml:space="preserve">57 </w:t>
            </w:r>
          </w:p>
        </w:tc>
        <w:tc>
          <w:tcPr>
            <w:tcW w:w="440" w:type="pct"/>
            <w:vMerge w:val="restart"/>
            <w:noWrap w:val="0"/>
            <w:vAlign w:val="center"/>
          </w:tcPr>
          <w:p w14:paraId="65620689">
            <w:pPr>
              <w:keepNext w:val="0"/>
              <w:keepLines w:val="0"/>
              <w:widowControl/>
              <w:suppressLineNumbers w:val="0"/>
              <w:jc w:val="center"/>
              <w:textAlignment w:val="center"/>
              <w:rPr>
                <w:rFonts w:hint="eastAsia" w:ascii="Times New Roman" w:hAnsi="Times New Roman"/>
                <w:szCs w:val="21"/>
              </w:rPr>
            </w:pPr>
            <w:r>
              <w:rPr>
                <w:rFonts w:hint="eastAsia" w:ascii="宋体" w:hAnsi="宋体" w:eastAsia="宋体" w:cs="宋体"/>
                <w:i w:val="0"/>
                <w:iCs w:val="0"/>
                <w:color w:val="000000"/>
                <w:kern w:val="0"/>
                <w:sz w:val="20"/>
                <w:szCs w:val="20"/>
                <w:u w:val="none"/>
                <w:lang w:val="en-US" w:eastAsia="zh-CN" w:bidi="ar"/>
              </w:rPr>
              <w:t>方块百宝箱A款.3个</w:t>
            </w:r>
          </w:p>
        </w:tc>
        <w:tc>
          <w:tcPr>
            <w:tcW w:w="4225" w:type="pct"/>
            <w:noWrap w:val="0"/>
            <w:vAlign w:val="center"/>
          </w:tcPr>
          <w:p w14:paraId="1D9A3E63">
            <w:pPr>
              <w:jc w:val="left"/>
              <w:rPr>
                <w:rFonts w:hint="eastAsia" w:ascii="Times New Roman" w:hAnsi="Times New Roman"/>
                <w:b/>
                <w:bCs/>
                <w:color w:val="FF0000"/>
                <w:szCs w:val="21"/>
              </w:rPr>
            </w:pPr>
            <w:r>
              <w:rPr>
                <w:rFonts w:hint="eastAsia" w:ascii="Times New Roman" w:hAnsi="Times New Roman"/>
                <w:b w:val="0"/>
                <w:bCs w:val="0"/>
                <w:color w:val="auto"/>
                <w:szCs w:val="21"/>
              </w:rPr>
              <w:t>规格：L99xW33xH28cm（±3cm）</w:t>
            </w:r>
          </w:p>
        </w:tc>
      </w:tr>
      <w:tr w14:paraId="55ACF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3" w:type="pct"/>
            <w:vMerge w:val="continue"/>
            <w:noWrap w:val="0"/>
            <w:vAlign w:val="center"/>
          </w:tcPr>
          <w:p w14:paraId="555AFE4C">
            <w:pPr>
              <w:jc w:val="center"/>
              <w:rPr>
                <w:b/>
                <w:szCs w:val="21"/>
              </w:rPr>
            </w:pPr>
          </w:p>
        </w:tc>
        <w:tc>
          <w:tcPr>
            <w:tcW w:w="440" w:type="pct"/>
            <w:vMerge w:val="continue"/>
            <w:noWrap w:val="0"/>
            <w:vAlign w:val="center"/>
          </w:tcPr>
          <w:p w14:paraId="0115912E">
            <w:pPr>
              <w:jc w:val="center"/>
              <w:rPr>
                <w:rFonts w:hint="eastAsia" w:ascii="Times New Roman" w:hAnsi="Times New Roman"/>
                <w:szCs w:val="21"/>
              </w:rPr>
            </w:pPr>
          </w:p>
        </w:tc>
        <w:tc>
          <w:tcPr>
            <w:tcW w:w="4225" w:type="pct"/>
            <w:noWrap w:val="0"/>
            <w:vAlign w:val="top"/>
          </w:tcPr>
          <w:p w14:paraId="71FFEADF">
            <w:pPr>
              <w:jc w:val="left"/>
              <w:rPr>
                <w:rFonts w:hint="eastAsia" w:ascii="Times New Roman" w:hAnsi="Times New Roman"/>
                <w:b w:val="0"/>
                <w:bCs w:val="0"/>
                <w:szCs w:val="21"/>
              </w:rPr>
            </w:pPr>
            <w:r>
              <w:rPr>
                <w:rFonts w:hint="eastAsia" w:ascii="Times New Roman" w:hAnsi="Times New Roman"/>
                <w:b w:val="0"/>
                <w:bCs w:val="0"/>
                <w:szCs w:val="21"/>
              </w:rPr>
              <w:t>1、工艺设计：</w:t>
            </w:r>
          </w:p>
          <w:p w14:paraId="0BFF3101">
            <w:pPr>
              <w:jc w:val="left"/>
              <w:rPr>
                <w:rFonts w:hint="eastAsia" w:ascii="Times New Roman" w:hAnsi="Times New Roman"/>
                <w:b w:val="0"/>
                <w:bCs w:val="0"/>
                <w:szCs w:val="21"/>
              </w:rPr>
            </w:pPr>
            <w:r>
              <w:rPr>
                <w:rFonts w:hint="eastAsia" w:ascii="Times New Roman" w:hAnsi="Times New Roman"/>
                <w:b w:val="0"/>
                <w:bCs w:val="0"/>
                <w:szCs w:val="21"/>
              </w:rPr>
              <w:t>（1）储物式建构箱，收纳空间大，箱体可自由堆叠，通过旋钮塑料开关可横向延伸拼搭，可收纳，可坐；可搭配脚轮带刹车设计，操作便捷。</w:t>
            </w:r>
          </w:p>
          <w:p w14:paraId="76EE8D91">
            <w:pPr>
              <w:jc w:val="left"/>
              <w:rPr>
                <w:rFonts w:hint="eastAsia" w:ascii="Times New Roman" w:hAnsi="Times New Roman"/>
                <w:b w:val="0"/>
                <w:bCs w:val="0"/>
                <w:szCs w:val="21"/>
              </w:rPr>
            </w:pPr>
            <w:r>
              <w:rPr>
                <w:rFonts w:hint="eastAsia" w:ascii="Times New Roman" w:hAnsi="Times New Roman"/>
                <w:b w:val="0"/>
                <w:bCs w:val="0"/>
                <w:szCs w:val="21"/>
              </w:rPr>
              <w:t>（2）所有螺丝位无毛刺不刮手，边角采用圆边/圆角处理以及安全防撞设计，最大程度的避免儿童磕碰伤害，结构稳固，不易倾倒。</w:t>
            </w:r>
          </w:p>
        </w:tc>
      </w:tr>
      <w:tr w14:paraId="2D514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3" w:type="pct"/>
            <w:vMerge w:val="continue"/>
            <w:noWrap w:val="0"/>
            <w:vAlign w:val="center"/>
          </w:tcPr>
          <w:p w14:paraId="16AF8917">
            <w:pPr>
              <w:jc w:val="center"/>
              <w:rPr>
                <w:b/>
                <w:szCs w:val="21"/>
              </w:rPr>
            </w:pPr>
          </w:p>
        </w:tc>
        <w:tc>
          <w:tcPr>
            <w:tcW w:w="440" w:type="pct"/>
            <w:vMerge w:val="continue"/>
            <w:noWrap w:val="0"/>
            <w:vAlign w:val="center"/>
          </w:tcPr>
          <w:p w14:paraId="133047A8">
            <w:pPr>
              <w:jc w:val="center"/>
              <w:rPr>
                <w:rFonts w:hint="eastAsia" w:ascii="Times New Roman" w:hAnsi="Times New Roman"/>
                <w:szCs w:val="21"/>
              </w:rPr>
            </w:pPr>
          </w:p>
        </w:tc>
        <w:tc>
          <w:tcPr>
            <w:tcW w:w="4225" w:type="pct"/>
            <w:noWrap w:val="0"/>
            <w:vAlign w:val="top"/>
          </w:tcPr>
          <w:p w14:paraId="3DD31AC3">
            <w:pPr>
              <w:jc w:val="left"/>
              <w:rPr>
                <w:rFonts w:hint="eastAsia" w:ascii="Times New Roman" w:hAnsi="Times New Roman"/>
                <w:b w:val="0"/>
                <w:bCs w:val="0"/>
                <w:szCs w:val="21"/>
              </w:rPr>
            </w:pPr>
            <w:r>
              <w:rPr>
                <w:rFonts w:hint="eastAsia" w:ascii="Times New Roman" w:hAnsi="Times New Roman"/>
                <w:b w:val="0"/>
                <w:bCs w:val="0"/>
                <w:szCs w:val="21"/>
              </w:rPr>
              <w:t>2、外观结构及材质：</w:t>
            </w:r>
          </w:p>
          <w:p w14:paraId="12F00937">
            <w:pPr>
              <w:jc w:val="left"/>
              <w:rPr>
                <w:rFonts w:hint="eastAsia" w:ascii="Times New Roman" w:hAnsi="Times New Roman"/>
                <w:b w:val="0"/>
                <w:bCs w:val="0"/>
                <w:szCs w:val="21"/>
              </w:rPr>
            </w:pPr>
            <w:r>
              <w:rPr>
                <w:rFonts w:hint="eastAsia" w:ascii="Times New Roman" w:hAnsi="Times New Roman"/>
                <w:b w:val="0"/>
                <w:bCs w:val="0"/>
                <w:szCs w:val="21"/>
              </w:rPr>
              <w:t>（1）采用厚度12mm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b w:val="0"/>
                <w:bCs w:val="0"/>
                <w:szCs w:val="21"/>
              </w:rPr>
              <w:t>的实木多层板，12mm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b w:val="0"/>
                <w:bCs w:val="0"/>
                <w:szCs w:val="21"/>
              </w:rPr>
              <w:t>乳白饰面实木多层板。3个独立储物盒，搭配塑料件可以进行建构搭配，面板为活动面板。单个箱体尺寸330x330x280mm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b w:val="0"/>
                <w:bCs w:val="0"/>
                <w:szCs w:val="21"/>
              </w:rPr>
              <w:t>，内控299x299x237mm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b w:val="0"/>
                <w:bCs w:val="0"/>
                <w:szCs w:val="21"/>
              </w:rPr>
              <w:t>，3面椭圆形提手孔</w:t>
            </w:r>
            <w:r>
              <w:rPr>
                <w:rFonts w:hint="eastAsia" w:ascii="Times New Roman" w:hAnsi="Times New Roman"/>
                <w:b w:val="0"/>
                <w:bCs w:val="0"/>
                <w:szCs w:val="21"/>
                <w:lang w:val="en-US" w:eastAsia="zh-CN"/>
              </w:rPr>
              <w:t>设计</w:t>
            </w:r>
            <w:r>
              <w:rPr>
                <w:rFonts w:hint="eastAsia" w:ascii="Times New Roman" w:hAnsi="Times New Roman"/>
                <w:b w:val="0"/>
                <w:bCs w:val="0"/>
                <w:szCs w:val="21"/>
              </w:rPr>
              <w:t>，</w:t>
            </w:r>
            <w:r>
              <w:rPr>
                <w:rFonts w:hint="eastAsia" w:ascii="Times New Roman" w:hAnsi="Times New Roman"/>
                <w:b w:val="0"/>
                <w:bCs w:val="0"/>
                <w:szCs w:val="21"/>
                <w:lang w:val="en-US" w:eastAsia="zh-CN"/>
              </w:rPr>
              <w:t>1面为</w:t>
            </w:r>
            <w:r>
              <w:rPr>
                <w:rFonts w:hint="eastAsia" w:ascii="Times New Roman" w:hAnsi="Times New Roman"/>
                <w:b w:val="0"/>
                <w:bCs w:val="0"/>
                <w:szCs w:val="21"/>
              </w:rPr>
              <w:t>拱门</w:t>
            </w:r>
            <w:r>
              <w:rPr>
                <w:rFonts w:hint="eastAsia" w:ascii="Times New Roman" w:hAnsi="Times New Roman"/>
                <w:b w:val="0"/>
                <w:bCs w:val="0"/>
                <w:szCs w:val="21"/>
                <w:lang w:val="en-US" w:eastAsia="zh-CN"/>
              </w:rPr>
              <w:t>设计</w:t>
            </w:r>
            <w:r>
              <w:rPr>
                <w:rFonts w:hint="eastAsia" w:ascii="Times New Roman" w:hAnsi="Times New Roman"/>
                <w:b w:val="0"/>
                <w:bCs w:val="0"/>
                <w:szCs w:val="21"/>
              </w:rPr>
              <w:t>。</w:t>
            </w:r>
          </w:p>
          <w:p w14:paraId="4FC0C526">
            <w:pPr>
              <w:jc w:val="left"/>
              <w:rPr>
                <w:rFonts w:hint="eastAsia" w:ascii="Times New Roman" w:hAnsi="Times New Roman"/>
                <w:b w:val="0"/>
                <w:bCs w:val="0"/>
                <w:szCs w:val="21"/>
              </w:rPr>
            </w:pPr>
            <w:r>
              <w:rPr>
                <w:rFonts w:hint="eastAsia" w:ascii="Times New Roman" w:hAnsi="Times New Roman"/>
                <w:b w:val="0"/>
                <w:bCs w:val="0"/>
                <w:szCs w:val="21"/>
              </w:rPr>
              <w:t>（2）底部可选配安装4个平底万向脚轮，脚轮运行平稳无声，可360°旋转，转动顺滑，刹车灵敏，踏板不易断裂。</w:t>
            </w:r>
          </w:p>
          <w:p w14:paraId="0630898B">
            <w:pPr>
              <w:jc w:val="left"/>
              <w:rPr>
                <w:rFonts w:hint="eastAsia" w:ascii="Times New Roman" w:hAnsi="Times New Roman"/>
                <w:b w:val="0"/>
                <w:bCs w:val="0"/>
                <w:szCs w:val="21"/>
              </w:rPr>
            </w:pPr>
            <w:r>
              <w:rPr>
                <w:rFonts w:hint="eastAsia" w:ascii="Times New Roman" w:hAnsi="Times New Roman"/>
                <w:b w:val="0"/>
                <w:bCs w:val="0"/>
                <w:szCs w:val="21"/>
              </w:rPr>
              <w:t>（3）单个箱体之间的侧板链接采用4条塑料一次成型的链接条，呈浅咖色，尺寸为39x39x250mm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b w:val="0"/>
                <w:bCs w:val="0"/>
                <w:szCs w:val="21"/>
              </w:rPr>
              <w:t>；塑料一次成型的卡扣件，呈浅咖色，尺寸为39x39x18.5mm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b w:val="0"/>
                <w:bCs w:val="0"/>
                <w:szCs w:val="21"/>
              </w:rPr>
              <w:t>共8个；塑料一次成型的链接开关件，呈浅咖色，尺寸88x25x52mm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b w:val="0"/>
                <w:bCs w:val="0"/>
                <w:szCs w:val="21"/>
              </w:rPr>
              <w:t>，带弹簧按钮，当旋转至“十”字型时，开关可锁紧，两边柜体可扣住，当旋转至“一”字型时，开关可从镂空口取出，两边柜体可分开。</w:t>
            </w:r>
          </w:p>
          <w:p w14:paraId="46C669EC">
            <w:pPr>
              <w:jc w:val="left"/>
              <w:rPr>
                <w:rFonts w:hint="eastAsia" w:ascii="Times New Roman" w:hAnsi="Times New Roman"/>
                <w:b w:val="0"/>
                <w:bCs w:val="0"/>
                <w:szCs w:val="21"/>
              </w:rPr>
            </w:pPr>
            <w:r>
              <w:rPr>
                <w:rFonts w:hint="eastAsia" w:ascii="Times New Roman" w:hAnsi="Times New Roman"/>
                <w:b w:val="0"/>
                <w:bCs w:val="0"/>
                <w:szCs w:val="21"/>
              </w:rPr>
              <w:t>（4）油漆：采用的水性漆，全封闭涂装工艺，漆面光泽高透，颜色均匀。</w:t>
            </w:r>
          </w:p>
          <w:p w14:paraId="46E97A3B">
            <w:pPr>
              <w:jc w:val="left"/>
              <w:rPr>
                <w:rFonts w:hint="eastAsia" w:ascii="Times New Roman" w:hAnsi="Times New Roman"/>
                <w:b w:val="0"/>
                <w:bCs w:val="0"/>
                <w:szCs w:val="21"/>
              </w:rPr>
            </w:pPr>
            <w:r>
              <w:rPr>
                <w:rFonts w:hint="eastAsia" w:ascii="Times New Roman" w:hAnsi="Times New Roman"/>
                <w:b w:val="0"/>
                <w:bCs w:val="0"/>
                <w:szCs w:val="21"/>
              </w:rPr>
              <w:t>（5）木蜡油：采用的水性木蜡油封边，成分天然，分子机构细小，成膜牢固，密封性好。</w:t>
            </w:r>
          </w:p>
        </w:tc>
      </w:tr>
      <w:tr w14:paraId="19793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3" w:type="pct"/>
            <w:vMerge w:val="restart"/>
            <w:noWrap w:val="0"/>
            <w:vAlign w:val="center"/>
          </w:tcPr>
          <w:p w14:paraId="4E453FFD">
            <w:pPr>
              <w:keepNext w:val="0"/>
              <w:keepLines w:val="0"/>
              <w:widowControl/>
              <w:suppressLineNumbers w:val="0"/>
              <w:jc w:val="center"/>
              <w:textAlignment w:val="center"/>
              <w:rPr>
                <w:b/>
                <w:szCs w:val="21"/>
              </w:rPr>
            </w:pPr>
            <w:r>
              <w:rPr>
                <w:rFonts w:hint="default" w:ascii="Arial" w:hAnsi="Arial" w:eastAsia="宋体" w:cs="Arial"/>
                <w:i w:val="0"/>
                <w:iCs w:val="0"/>
                <w:color w:val="000000"/>
                <w:kern w:val="0"/>
                <w:sz w:val="20"/>
                <w:szCs w:val="20"/>
                <w:u w:val="none"/>
                <w:lang w:val="en-US" w:eastAsia="zh-CN" w:bidi="ar"/>
              </w:rPr>
              <w:t xml:space="preserve">58 </w:t>
            </w:r>
          </w:p>
        </w:tc>
        <w:tc>
          <w:tcPr>
            <w:tcW w:w="440" w:type="pct"/>
            <w:vMerge w:val="restart"/>
            <w:noWrap w:val="0"/>
            <w:vAlign w:val="center"/>
          </w:tcPr>
          <w:p w14:paraId="62957889">
            <w:pPr>
              <w:keepNext w:val="0"/>
              <w:keepLines w:val="0"/>
              <w:widowControl/>
              <w:suppressLineNumbers w:val="0"/>
              <w:jc w:val="center"/>
              <w:textAlignment w:val="center"/>
              <w:rPr>
                <w:rFonts w:hint="eastAsia" w:ascii="Times New Roman" w:hAnsi="Times New Roman"/>
                <w:szCs w:val="21"/>
              </w:rPr>
            </w:pPr>
            <w:r>
              <w:rPr>
                <w:rFonts w:hint="eastAsia" w:ascii="宋体" w:hAnsi="宋体" w:eastAsia="宋体" w:cs="宋体"/>
                <w:i w:val="0"/>
                <w:iCs w:val="0"/>
                <w:color w:val="000000"/>
                <w:kern w:val="0"/>
                <w:sz w:val="20"/>
                <w:szCs w:val="20"/>
                <w:u w:val="none"/>
                <w:lang w:val="en-US" w:eastAsia="zh-CN" w:bidi="ar"/>
              </w:rPr>
              <w:t>方块百宝箱A款.4个</w:t>
            </w:r>
          </w:p>
        </w:tc>
        <w:tc>
          <w:tcPr>
            <w:tcW w:w="4225" w:type="pct"/>
            <w:noWrap w:val="0"/>
            <w:vAlign w:val="center"/>
          </w:tcPr>
          <w:p w14:paraId="669BFC88">
            <w:pPr>
              <w:jc w:val="left"/>
              <w:rPr>
                <w:rFonts w:hint="eastAsia" w:ascii="Times New Roman" w:hAnsi="Times New Roman"/>
                <w:b w:val="0"/>
                <w:bCs w:val="0"/>
                <w:szCs w:val="21"/>
              </w:rPr>
            </w:pPr>
            <w:r>
              <w:rPr>
                <w:rFonts w:hint="eastAsia" w:ascii="Times New Roman" w:hAnsi="Times New Roman"/>
                <w:b w:val="0"/>
                <w:bCs w:val="0"/>
                <w:szCs w:val="21"/>
              </w:rPr>
              <w:t>规格：L132xW33xH28cm（±3cm）</w:t>
            </w:r>
          </w:p>
        </w:tc>
      </w:tr>
      <w:tr w14:paraId="10917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3" w:type="pct"/>
            <w:vMerge w:val="continue"/>
            <w:noWrap w:val="0"/>
            <w:vAlign w:val="center"/>
          </w:tcPr>
          <w:p w14:paraId="3EE7DAD9">
            <w:pPr>
              <w:jc w:val="center"/>
              <w:rPr>
                <w:b/>
                <w:szCs w:val="21"/>
              </w:rPr>
            </w:pPr>
          </w:p>
        </w:tc>
        <w:tc>
          <w:tcPr>
            <w:tcW w:w="440" w:type="pct"/>
            <w:vMerge w:val="continue"/>
            <w:noWrap w:val="0"/>
            <w:vAlign w:val="center"/>
          </w:tcPr>
          <w:p w14:paraId="2AEF1BCD">
            <w:pPr>
              <w:jc w:val="center"/>
              <w:rPr>
                <w:rFonts w:hint="eastAsia" w:ascii="Times New Roman" w:hAnsi="Times New Roman"/>
                <w:szCs w:val="21"/>
              </w:rPr>
            </w:pPr>
          </w:p>
        </w:tc>
        <w:tc>
          <w:tcPr>
            <w:tcW w:w="4225" w:type="pct"/>
            <w:noWrap w:val="0"/>
            <w:vAlign w:val="top"/>
          </w:tcPr>
          <w:p w14:paraId="08743BF8">
            <w:pPr>
              <w:jc w:val="left"/>
              <w:rPr>
                <w:rFonts w:hint="eastAsia" w:ascii="Times New Roman" w:hAnsi="Times New Roman"/>
                <w:b w:val="0"/>
                <w:bCs w:val="0"/>
                <w:szCs w:val="21"/>
              </w:rPr>
            </w:pPr>
            <w:r>
              <w:rPr>
                <w:rFonts w:hint="eastAsia" w:ascii="Times New Roman" w:hAnsi="Times New Roman"/>
                <w:b w:val="0"/>
                <w:bCs w:val="0"/>
                <w:szCs w:val="21"/>
              </w:rPr>
              <w:t>1、工艺设计：</w:t>
            </w:r>
          </w:p>
          <w:p w14:paraId="23EB6B7B">
            <w:pPr>
              <w:jc w:val="left"/>
              <w:rPr>
                <w:rFonts w:hint="eastAsia" w:ascii="Times New Roman" w:hAnsi="Times New Roman"/>
                <w:b w:val="0"/>
                <w:bCs w:val="0"/>
                <w:szCs w:val="21"/>
              </w:rPr>
            </w:pPr>
            <w:r>
              <w:rPr>
                <w:rFonts w:hint="eastAsia" w:ascii="Times New Roman" w:hAnsi="Times New Roman"/>
                <w:b w:val="0"/>
                <w:bCs w:val="0"/>
                <w:szCs w:val="21"/>
              </w:rPr>
              <w:t>（1）储物式建构箱，收纳空间大，箱体可自由堆叠，通过旋钮塑料开关可横向延伸拼搭，可收纳，可坐；可搭配脚轮带刹车设计，操作便捷。</w:t>
            </w:r>
          </w:p>
          <w:p w14:paraId="52BFBD26">
            <w:pPr>
              <w:jc w:val="left"/>
              <w:rPr>
                <w:rFonts w:hint="eastAsia" w:ascii="Times New Roman" w:hAnsi="Times New Roman"/>
                <w:b w:val="0"/>
                <w:bCs w:val="0"/>
                <w:szCs w:val="21"/>
              </w:rPr>
            </w:pPr>
            <w:r>
              <w:rPr>
                <w:rFonts w:hint="eastAsia" w:ascii="Times New Roman" w:hAnsi="Times New Roman"/>
                <w:b w:val="0"/>
                <w:bCs w:val="0"/>
                <w:szCs w:val="21"/>
              </w:rPr>
              <w:t>（2）所有螺丝位无毛刺不刮手，边角采用圆边/圆角处理以及安全防撞设计，最大程度的避免儿童磕碰伤害，结构稳固，不易倾倒。</w:t>
            </w:r>
          </w:p>
        </w:tc>
      </w:tr>
      <w:tr w14:paraId="02FFB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3" w:type="pct"/>
            <w:vMerge w:val="continue"/>
            <w:noWrap w:val="0"/>
            <w:vAlign w:val="center"/>
          </w:tcPr>
          <w:p w14:paraId="22EE64A4">
            <w:pPr>
              <w:jc w:val="center"/>
              <w:rPr>
                <w:b/>
                <w:szCs w:val="21"/>
              </w:rPr>
            </w:pPr>
          </w:p>
        </w:tc>
        <w:tc>
          <w:tcPr>
            <w:tcW w:w="440" w:type="pct"/>
            <w:vMerge w:val="continue"/>
            <w:noWrap w:val="0"/>
            <w:vAlign w:val="center"/>
          </w:tcPr>
          <w:p w14:paraId="74876357">
            <w:pPr>
              <w:jc w:val="center"/>
              <w:rPr>
                <w:rFonts w:hint="eastAsia" w:ascii="Times New Roman" w:hAnsi="Times New Roman"/>
                <w:szCs w:val="21"/>
              </w:rPr>
            </w:pPr>
          </w:p>
        </w:tc>
        <w:tc>
          <w:tcPr>
            <w:tcW w:w="4225" w:type="pct"/>
            <w:noWrap w:val="0"/>
            <w:vAlign w:val="top"/>
          </w:tcPr>
          <w:p w14:paraId="3C9A6C2E">
            <w:pPr>
              <w:jc w:val="left"/>
              <w:rPr>
                <w:rFonts w:hint="eastAsia" w:ascii="Times New Roman" w:hAnsi="Times New Roman"/>
                <w:b w:val="0"/>
                <w:bCs w:val="0"/>
                <w:szCs w:val="21"/>
              </w:rPr>
            </w:pPr>
            <w:r>
              <w:rPr>
                <w:rFonts w:hint="eastAsia" w:ascii="Times New Roman" w:hAnsi="Times New Roman"/>
                <w:b w:val="0"/>
                <w:bCs w:val="0"/>
                <w:szCs w:val="21"/>
              </w:rPr>
              <w:t>2、外观结构及材质：</w:t>
            </w:r>
          </w:p>
          <w:p w14:paraId="0D0476EA">
            <w:pPr>
              <w:jc w:val="left"/>
              <w:rPr>
                <w:rFonts w:hint="eastAsia" w:ascii="Times New Roman" w:hAnsi="Times New Roman"/>
                <w:b w:val="0"/>
                <w:bCs w:val="0"/>
                <w:szCs w:val="21"/>
              </w:rPr>
            </w:pPr>
            <w:r>
              <w:rPr>
                <w:rFonts w:hint="eastAsia" w:ascii="Times New Roman" w:hAnsi="Times New Roman"/>
                <w:b w:val="0"/>
                <w:bCs w:val="0"/>
                <w:szCs w:val="21"/>
              </w:rPr>
              <w:t>（1）采用厚度12mm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b w:val="0"/>
                <w:bCs w:val="0"/>
                <w:szCs w:val="21"/>
              </w:rPr>
              <w:t>的实木多层板，12mm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b w:val="0"/>
                <w:bCs w:val="0"/>
                <w:szCs w:val="21"/>
              </w:rPr>
              <w:t>乳白饰面实木多层板。4个独立储物盒，搭配塑料件可以进行建构搭配，面板为活动面板。箱体内控299x299x237mm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b w:val="0"/>
                <w:bCs w:val="0"/>
                <w:szCs w:val="21"/>
              </w:rPr>
              <w:t>，3面椭圆形提手孔</w:t>
            </w:r>
            <w:r>
              <w:rPr>
                <w:rFonts w:hint="eastAsia" w:ascii="Times New Roman" w:hAnsi="Times New Roman"/>
                <w:b w:val="0"/>
                <w:bCs w:val="0"/>
                <w:szCs w:val="21"/>
                <w:lang w:val="en-US" w:eastAsia="zh-CN"/>
              </w:rPr>
              <w:t>设计</w:t>
            </w:r>
            <w:r>
              <w:rPr>
                <w:rFonts w:hint="eastAsia" w:ascii="Times New Roman" w:hAnsi="Times New Roman"/>
                <w:b w:val="0"/>
                <w:bCs w:val="0"/>
                <w:szCs w:val="21"/>
              </w:rPr>
              <w:t>，</w:t>
            </w:r>
            <w:r>
              <w:rPr>
                <w:rFonts w:hint="eastAsia" w:ascii="Times New Roman" w:hAnsi="Times New Roman"/>
                <w:b w:val="0"/>
                <w:bCs w:val="0"/>
                <w:szCs w:val="21"/>
                <w:lang w:val="en-US" w:eastAsia="zh-CN"/>
              </w:rPr>
              <w:t>1面为</w:t>
            </w:r>
            <w:r>
              <w:rPr>
                <w:rFonts w:hint="eastAsia" w:ascii="Times New Roman" w:hAnsi="Times New Roman"/>
                <w:b w:val="0"/>
                <w:bCs w:val="0"/>
                <w:szCs w:val="21"/>
              </w:rPr>
              <w:t>拱门</w:t>
            </w:r>
            <w:r>
              <w:rPr>
                <w:rFonts w:hint="eastAsia" w:ascii="Times New Roman" w:hAnsi="Times New Roman"/>
                <w:b w:val="0"/>
                <w:bCs w:val="0"/>
                <w:szCs w:val="21"/>
                <w:lang w:val="en-US" w:eastAsia="zh-CN"/>
              </w:rPr>
              <w:t>设计</w:t>
            </w:r>
            <w:r>
              <w:rPr>
                <w:rFonts w:hint="eastAsia" w:ascii="Times New Roman" w:hAnsi="Times New Roman"/>
                <w:b w:val="0"/>
                <w:bCs w:val="0"/>
                <w:szCs w:val="21"/>
              </w:rPr>
              <w:t>。</w:t>
            </w:r>
          </w:p>
          <w:p w14:paraId="2E8F204E">
            <w:pPr>
              <w:jc w:val="left"/>
              <w:rPr>
                <w:rFonts w:hint="eastAsia" w:ascii="Times New Roman" w:hAnsi="Times New Roman"/>
                <w:b w:val="0"/>
                <w:bCs w:val="0"/>
                <w:szCs w:val="21"/>
              </w:rPr>
            </w:pPr>
            <w:r>
              <w:rPr>
                <w:rFonts w:hint="eastAsia" w:ascii="Times New Roman" w:hAnsi="Times New Roman"/>
                <w:b w:val="0"/>
                <w:bCs w:val="0"/>
                <w:szCs w:val="21"/>
              </w:rPr>
              <w:t>（2）底部可选配安装4个平底万向脚轮，脚轮运行平稳无声，可360°旋转，转动顺滑，刹车灵敏，踏板不易断裂。</w:t>
            </w:r>
          </w:p>
          <w:p w14:paraId="5776FF44">
            <w:pPr>
              <w:jc w:val="left"/>
              <w:rPr>
                <w:rFonts w:hint="eastAsia" w:ascii="Times New Roman" w:hAnsi="Times New Roman"/>
                <w:b w:val="0"/>
                <w:bCs w:val="0"/>
                <w:szCs w:val="21"/>
              </w:rPr>
            </w:pPr>
            <w:r>
              <w:rPr>
                <w:rFonts w:hint="eastAsia" w:ascii="Times New Roman" w:hAnsi="Times New Roman"/>
                <w:b w:val="0"/>
                <w:bCs w:val="0"/>
                <w:szCs w:val="21"/>
              </w:rPr>
              <w:t>（3）单个箱体之间的面板链接采用4条塑料一次成型的链接条，呈浅咖色，尺寸为39x39x250mm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b w:val="0"/>
                <w:bCs w:val="0"/>
                <w:szCs w:val="21"/>
              </w:rPr>
              <w:t>；塑料一次成型的卡扣件，呈浅咖色，尺寸为39x39x18.5mm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b w:val="0"/>
                <w:bCs w:val="0"/>
                <w:szCs w:val="21"/>
              </w:rPr>
              <w:t>共8个；塑料一次成型的链接开关件，呈浅咖色，尺寸88x25x52mm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b w:val="0"/>
                <w:bCs w:val="0"/>
                <w:szCs w:val="21"/>
              </w:rPr>
              <w:t>。</w:t>
            </w:r>
          </w:p>
          <w:p w14:paraId="2517641E">
            <w:pPr>
              <w:jc w:val="left"/>
              <w:rPr>
                <w:rFonts w:hint="eastAsia" w:ascii="Times New Roman" w:hAnsi="Times New Roman"/>
                <w:b w:val="0"/>
                <w:bCs w:val="0"/>
                <w:szCs w:val="21"/>
              </w:rPr>
            </w:pPr>
            <w:r>
              <w:rPr>
                <w:rFonts w:hint="eastAsia" w:ascii="Times New Roman" w:hAnsi="Times New Roman"/>
                <w:b w:val="0"/>
                <w:bCs w:val="0"/>
                <w:szCs w:val="21"/>
              </w:rPr>
              <w:t>（4）油漆：采用的水性漆，全封闭涂装工艺，漆面光泽高透，颜色均匀。</w:t>
            </w:r>
          </w:p>
          <w:p w14:paraId="34D9757D">
            <w:pPr>
              <w:jc w:val="left"/>
              <w:rPr>
                <w:rFonts w:hint="eastAsia" w:ascii="Times New Roman" w:hAnsi="Times New Roman"/>
                <w:b w:val="0"/>
                <w:bCs w:val="0"/>
                <w:szCs w:val="21"/>
              </w:rPr>
            </w:pPr>
            <w:r>
              <w:rPr>
                <w:rFonts w:hint="eastAsia" w:ascii="Times New Roman" w:hAnsi="Times New Roman"/>
                <w:b w:val="0"/>
                <w:bCs w:val="0"/>
                <w:szCs w:val="21"/>
              </w:rPr>
              <w:t>（5）木蜡油：采用的水性木蜡油封边，成分天然，分子机构细小，成膜牢固，密封性好。</w:t>
            </w:r>
          </w:p>
        </w:tc>
      </w:tr>
      <w:tr w14:paraId="06634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3" w:type="pct"/>
            <w:vMerge w:val="continue"/>
            <w:noWrap w:val="0"/>
            <w:vAlign w:val="center"/>
          </w:tcPr>
          <w:p w14:paraId="173BA5F7">
            <w:pPr>
              <w:jc w:val="center"/>
              <w:rPr>
                <w:b/>
                <w:szCs w:val="21"/>
              </w:rPr>
            </w:pPr>
          </w:p>
        </w:tc>
        <w:tc>
          <w:tcPr>
            <w:tcW w:w="440" w:type="pct"/>
            <w:vMerge w:val="continue"/>
            <w:noWrap w:val="0"/>
            <w:vAlign w:val="center"/>
          </w:tcPr>
          <w:p w14:paraId="7C1CEF89">
            <w:pPr>
              <w:jc w:val="center"/>
              <w:rPr>
                <w:rFonts w:hint="eastAsia" w:ascii="Times New Roman" w:hAnsi="Times New Roman"/>
                <w:szCs w:val="21"/>
              </w:rPr>
            </w:pPr>
          </w:p>
        </w:tc>
        <w:tc>
          <w:tcPr>
            <w:tcW w:w="4225" w:type="pct"/>
            <w:noWrap w:val="0"/>
            <w:vAlign w:val="top"/>
          </w:tcPr>
          <w:p w14:paraId="4EC275F4">
            <w:pPr>
              <w:jc w:val="left"/>
              <w:rPr>
                <w:rFonts w:hint="eastAsia" w:ascii="Times New Roman" w:hAnsi="Times New Roman" w:eastAsia="宋体" w:cs="Times New Roman"/>
                <w:b/>
                <w:bCs/>
                <w:color w:val="FF0000"/>
                <w:szCs w:val="21"/>
                <w:highlight w:val="yellow"/>
              </w:rPr>
            </w:pPr>
            <w:r>
              <w:rPr>
                <w:rFonts w:hint="eastAsia" w:ascii="Times New Roman" w:hAnsi="Times New Roman" w:eastAsia="宋体" w:cs="Times New Roman"/>
                <w:b w:val="0"/>
                <w:bCs w:val="0"/>
                <w:color w:val="FF0000"/>
                <w:szCs w:val="21"/>
                <w:highlight w:val="none"/>
              </w:rPr>
              <w:t>▲</w:t>
            </w:r>
            <w:r>
              <w:rPr>
                <w:rFonts w:hint="eastAsia" w:ascii="Times New Roman" w:hAnsi="Times New Roman" w:eastAsia="宋体" w:cs="Times New Roman"/>
                <w:b/>
                <w:bCs/>
                <w:color w:val="FF0000"/>
                <w:szCs w:val="21"/>
                <w:highlight w:val="none"/>
              </w:rPr>
              <w:t>成品百宝箱（收纳箱）采用GB/T1634.1-2019标准检测报告，测试项目至少包含：负荷变形温度，判定基准：≥90℃。</w:t>
            </w:r>
          </w:p>
          <w:p w14:paraId="58FCD3B6">
            <w:pPr>
              <w:jc w:val="left"/>
              <w:rPr>
                <w:rFonts w:hint="eastAsia"/>
              </w:rPr>
            </w:pPr>
            <w:r>
              <w:rPr>
                <w:rFonts w:hint="eastAsia" w:ascii="Times New Roman" w:hAnsi="Times New Roman" w:eastAsia="宋体" w:cs="Times New Roman"/>
                <w:b/>
                <w:bCs/>
                <w:color w:val="FF0000"/>
                <w:szCs w:val="21"/>
                <w:highlight w:val="yellow"/>
              </w:rPr>
              <w:t>提供由投标截止前由第三方检验检测机构出具的具有CMA标志的检验检测报告扫描件（原件备查）。（①送检单位（委托单位）需是投标人或所投产品制造商。②检验检测报告在全国认证认可信息公共服务平台(认e云)(http://cx.cnca.cn/)或检验检测官网的信息査询记录截图。③若检测报告要求的检测标准有更新的标准也予以认可。④对应参数(检验检测项)在检验检测报告中进行标注；如检验检测报告中明确备注说明相关检验检测项不在检验检测机构“CMA”资质许可(认定)范围内的，相关检验检测项视为负偏离。）</w:t>
            </w:r>
          </w:p>
        </w:tc>
      </w:tr>
      <w:tr w14:paraId="50663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3" w:type="pct"/>
            <w:vMerge w:val="restart"/>
            <w:noWrap w:val="0"/>
            <w:vAlign w:val="center"/>
          </w:tcPr>
          <w:p w14:paraId="2CDA1D34">
            <w:pPr>
              <w:keepNext w:val="0"/>
              <w:keepLines w:val="0"/>
              <w:widowControl/>
              <w:suppressLineNumbers w:val="0"/>
              <w:jc w:val="center"/>
              <w:textAlignment w:val="center"/>
              <w:rPr>
                <w:rFonts w:ascii="宋体" w:hAnsi="宋体" w:cs="宋体"/>
                <w:color w:val="000000"/>
                <w:kern w:val="0"/>
                <w:sz w:val="20"/>
                <w:szCs w:val="20"/>
                <w:lang w:bidi="ar"/>
              </w:rPr>
            </w:pPr>
            <w:r>
              <w:rPr>
                <w:rFonts w:hint="default" w:ascii="Arial" w:hAnsi="Arial" w:eastAsia="宋体" w:cs="Arial"/>
                <w:i w:val="0"/>
                <w:iCs w:val="0"/>
                <w:color w:val="000000"/>
                <w:kern w:val="0"/>
                <w:sz w:val="20"/>
                <w:szCs w:val="20"/>
                <w:u w:val="none"/>
                <w:lang w:val="en-US" w:eastAsia="zh-CN" w:bidi="ar"/>
              </w:rPr>
              <w:t xml:space="preserve">59 </w:t>
            </w:r>
          </w:p>
        </w:tc>
        <w:tc>
          <w:tcPr>
            <w:tcW w:w="440" w:type="pct"/>
            <w:vMerge w:val="restart"/>
            <w:noWrap w:val="0"/>
            <w:vAlign w:val="center"/>
          </w:tcPr>
          <w:p w14:paraId="4635B290">
            <w:pPr>
              <w:keepNext w:val="0"/>
              <w:keepLines w:val="0"/>
              <w:widowControl/>
              <w:suppressLineNumbers w:val="0"/>
              <w:jc w:val="center"/>
              <w:textAlignment w:val="center"/>
              <w:rPr>
                <w:rFonts w:hint="eastAsia" w:ascii="Times New Roman" w:hAnsi="Times New Roman"/>
                <w:szCs w:val="21"/>
              </w:rPr>
            </w:pPr>
            <w:r>
              <w:rPr>
                <w:rFonts w:hint="default" w:ascii="Arial" w:hAnsi="Arial" w:eastAsia="宋体" w:cs="Arial"/>
                <w:i w:val="0"/>
                <w:iCs w:val="0"/>
                <w:color w:val="000000"/>
                <w:kern w:val="0"/>
                <w:sz w:val="20"/>
                <w:szCs w:val="20"/>
                <w:u w:val="none"/>
                <w:lang w:val="en-US" w:eastAsia="zh-CN" w:bidi="ar"/>
              </w:rPr>
              <w:t>便携式可堆叠儿童床</w:t>
            </w:r>
          </w:p>
        </w:tc>
        <w:tc>
          <w:tcPr>
            <w:tcW w:w="4225" w:type="pct"/>
            <w:noWrap w:val="0"/>
            <w:vAlign w:val="center"/>
          </w:tcPr>
          <w:p w14:paraId="1A23D7E1">
            <w:pPr>
              <w:jc w:val="left"/>
              <w:rPr>
                <w:rFonts w:hint="eastAsia" w:ascii="Times New Roman" w:hAnsi="Times New Roman"/>
                <w:b w:val="0"/>
                <w:bCs w:val="0"/>
                <w:szCs w:val="21"/>
              </w:rPr>
            </w:pPr>
            <w:r>
              <w:rPr>
                <w:rFonts w:hint="eastAsia" w:ascii="Times New Roman" w:hAnsi="Times New Roman"/>
                <w:szCs w:val="21"/>
              </w:rPr>
              <w:t>1.规格：常规</w:t>
            </w:r>
          </w:p>
        </w:tc>
      </w:tr>
      <w:tr w14:paraId="7C4A6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3" w:type="pct"/>
            <w:vMerge w:val="continue"/>
            <w:noWrap w:val="0"/>
            <w:vAlign w:val="center"/>
          </w:tcPr>
          <w:p w14:paraId="66CD4C9F">
            <w:pPr>
              <w:widowControl/>
              <w:jc w:val="center"/>
              <w:textAlignment w:val="center"/>
              <w:rPr>
                <w:rFonts w:ascii="宋体" w:hAnsi="宋体" w:cs="宋体"/>
                <w:color w:val="000000"/>
                <w:kern w:val="0"/>
                <w:sz w:val="20"/>
                <w:szCs w:val="20"/>
                <w:lang w:bidi="ar"/>
              </w:rPr>
            </w:pPr>
          </w:p>
        </w:tc>
        <w:tc>
          <w:tcPr>
            <w:tcW w:w="440" w:type="pct"/>
            <w:vMerge w:val="continue"/>
            <w:noWrap w:val="0"/>
            <w:vAlign w:val="center"/>
          </w:tcPr>
          <w:p w14:paraId="3943246F">
            <w:pPr>
              <w:jc w:val="center"/>
              <w:rPr>
                <w:rFonts w:hint="eastAsia" w:ascii="Times New Roman" w:hAnsi="Times New Roman"/>
                <w:szCs w:val="21"/>
              </w:rPr>
            </w:pPr>
          </w:p>
        </w:tc>
        <w:tc>
          <w:tcPr>
            <w:tcW w:w="4225" w:type="pct"/>
            <w:noWrap w:val="0"/>
            <w:vAlign w:val="top"/>
          </w:tcPr>
          <w:p w14:paraId="78D74069">
            <w:pPr>
              <w:jc w:val="left"/>
              <w:rPr>
                <w:rFonts w:hint="eastAsia" w:ascii="Times New Roman" w:hAnsi="Times New Roman"/>
                <w:b w:val="0"/>
                <w:bCs w:val="0"/>
                <w:szCs w:val="21"/>
              </w:rPr>
            </w:pPr>
            <w:r>
              <w:rPr>
                <w:rFonts w:hint="eastAsia" w:ascii="Times New Roman" w:hAnsi="Times New Roman"/>
                <w:szCs w:val="21"/>
              </w:rPr>
              <w:t>2.工艺：床脚：采用ABS床脚，床面采用网布，邻苯二甲酸酯未检出，床架采用圆管烤漆制成</w:t>
            </w:r>
          </w:p>
        </w:tc>
      </w:tr>
      <w:tr w14:paraId="7C04C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3" w:type="pct"/>
            <w:vMerge w:val="restart"/>
            <w:noWrap w:val="0"/>
            <w:vAlign w:val="center"/>
          </w:tcPr>
          <w:p w14:paraId="6E09EC45">
            <w:pPr>
              <w:keepNext w:val="0"/>
              <w:keepLines w:val="0"/>
              <w:widowControl/>
              <w:suppressLineNumbers w:val="0"/>
              <w:jc w:val="center"/>
              <w:textAlignment w:val="center"/>
              <w:rPr>
                <w:rFonts w:ascii="宋体" w:hAnsi="宋体" w:cs="宋体"/>
                <w:color w:val="000000"/>
                <w:kern w:val="0"/>
                <w:sz w:val="20"/>
                <w:szCs w:val="20"/>
                <w:lang w:bidi="ar"/>
              </w:rPr>
            </w:pPr>
            <w:r>
              <w:rPr>
                <w:rFonts w:hint="default" w:ascii="Arial" w:hAnsi="Arial" w:eastAsia="宋体" w:cs="Arial"/>
                <w:i w:val="0"/>
                <w:iCs w:val="0"/>
                <w:color w:val="000000"/>
                <w:kern w:val="0"/>
                <w:sz w:val="20"/>
                <w:szCs w:val="20"/>
                <w:u w:val="none"/>
                <w:lang w:val="en-US" w:eastAsia="zh-CN" w:bidi="ar"/>
              </w:rPr>
              <w:t xml:space="preserve">60 </w:t>
            </w:r>
          </w:p>
        </w:tc>
        <w:tc>
          <w:tcPr>
            <w:tcW w:w="440" w:type="pct"/>
            <w:vMerge w:val="restart"/>
            <w:noWrap w:val="0"/>
            <w:vAlign w:val="center"/>
          </w:tcPr>
          <w:p w14:paraId="76123C92">
            <w:pPr>
              <w:keepNext w:val="0"/>
              <w:keepLines w:val="0"/>
              <w:widowControl/>
              <w:suppressLineNumbers w:val="0"/>
              <w:jc w:val="center"/>
              <w:textAlignment w:val="center"/>
              <w:rPr>
                <w:rFonts w:hint="eastAsia" w:ascii="Times New Roman" w:hAnsi="Times New Roman"/>
                <w:szCs w:val="21"/>
              </w:rPr>
            </w:pPr>
            <w:r>
              <w:rPr>
                <w:rFonts w:hint="default" w:ascii="Arial" w:hAnsi="Arial" w:eastAsia="宋体" w:cs="Arial"/>
                <w:i w:val="0"/>
                <w:iCs w:val="0"/>
                <w:color w:val="000000"/>
                <w:kern w:val="0"/>
                <w:sz w:val="20"/>
                <w:szCs w:val="20"/>
                <w:u w:val="none"/>
                <w:lang w:val="en-US" w:eastAsia="zh-CN" w:bidi="ar"/>
              </w:rPr>
              <w:t>便携式儿童床架</w:t>
            </w:r>
          </w:p>
        </w:tc>
        <w:tc>
          <w:tcPr>
            <w:tcW w:w="4225" w:type="pct"/>
            <w:noWrap w:val="0"/>
            <w:vAlign w:val="center"/>
          </w:tcPr>
          <w:p w14:paraId="406758BB">
            <w:pPr>
              <w:jc w:val="left"/>
              <w:rPr>
                <w:rFonts w:hint="eastAsia" w:ascii="Times New Roman" w:hAnsi="Times New Roman"/>
                <w:b w:val="0"/>
                <w:bCs w:val="0"/>
                <w:kern w:val="2"/>
                <w:sz w:val="21"/>
                <w:szCs w:val="21"/>
                <w:lang w:val="en-US" w:eastAsia="zh-CN" w:bidi="ar-SA"/>
              </w:rPr>
            </w:pPr>
            <w:r>
              <w:rPr>
                <w:rFonts w:hint="eastAsia" w:ascii="Times New Roman" w:hAnsi="Times New Roman"/>
                <w:szCs w:val="21"/>
              </w:rPr>
              <w:t>1.规格：常规</w:t>
            </w:r>
          </w:p>
        </w:tc>
      </w:tr>
      <w:tr w14:paraId="71CB6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3" w:type="pct"/>
            <w:vMerge w:val="continue"/>
            <w:noWrap w:val="0"/>
            <w:vAlign w:val="center"/>
          </w:tcPr>
          <w:p w14:paraId="631480BB">
            <w:pPr>
              <w:jc w:val="center"/>
              <w:rPr>
                <w:b/>
                <w:szCs w:val="21"/>
              </w:rPr>
            </w:pPr>
          </w:p>
        </w:tc>
        <w:tc>
          <w:tcPr>
            <w:tcW w:w="440" w:type="pct"/>
            <w:vMerge w:val="continue"/>
            <w:noWrap w:val="0"/>
            <w:vAlign w:val="top"/>
          </w:tcPr>
          <w:p w14:paraId="035F1703">
            <w:pPr>
              <w:jc w:val="center"/>
              <w:rPr>
                <w:rFonts w:hint="eastAsia" w:ascii="Times New Roman" w:hAnsi="Times New Roman"/>
                <w:szCs w:val="21"/>
              </w:rPr>
            </w:pPr>
          </w:p>
        </w:tc>
        <w:tc>
          <w:tcPr>
            <w:tcW w:w="4225" w:type="pct"/>
            <w:noWrap w:val="0"/>
            <w:vAlign w:val="top"/>
          </w:tcPr>
          <w:p w14:paraId="388A5F6C">
            <w:pPr>
              <w:jc w:val="left"/>
              <w:rPr>
                <w:rFonts w:hint="eastAsia" w:ascii="Times New Roman" w:hAnsi="Times New Roman"/>
                <w:b w:val="0"/>
                <w:bCs w:val="0"/>
                <w:kern w:val="2"/>
                <w:sz w:val="21"/>
                <w:szCs w:val="21"/>
                <w:lang w:val="en-US" w:eastAsia="zh-CN" w:bidi="ar-SA"/>
              </w:rPr>
            </w:pPr>
            <w:r>
              <w:rPr>
                <w:rFonts w:hint="eastAsia" w:ascii="Times New Roman" w:hAnsi="Times New Roman"/>
                <w:szCs w:val="21"/>
              </w:rPr>
              <w:t>2.采用钢管加工而成，成型后经过除油、磷化、抛光处理，表面喷涂户外聚酯喷沫涂料，喷涂设备采用计算机控制的静电粉末喷涂装置，粉沫回收采用小旋风和滤心，高效率、无污染。</w:t>
            </w:r>
          </w:p>
        </w:tc>
      </w:tr>
      <w:tr w14:paraId="7715D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3" w:type="pct"/>
            <w:vMerge w:val="continue"/>
            <w:noWrap w:val="0"/>
            <w:vAlign w:val="center"/>
          </w:tcPr>
          <w:p w14:paraId="1DB6B660">
            <w:pPr>
              <w:jc w:val="center"/>
              <w:rPr>
                <w:b/>
                <w:szCs w:val="21"/>
              </w:rPr>
            </w:pPr>
          </w:p>
        </w:tc>
        <w:tc>
          <w:tcPr>
            <w:tcW w:w="440" w:type="pct"/>
            <w:vMerge w:val="continue"/>
            <w:noWrap w:val="0"/>
            <w:vAlign w:val="top"/>
          </w:tcPr>
          <w:p w14:paraId="3FDCDC5E">
            <w:pPr>
              <w:jc w:val="center"/>
              <w:rPr>
                <w:rFonts w:hint="eastAsia" w:ascii="Times New Roman" w:hAnsi="Times New Roman"/>
                <w:szCs w:val="21"/>
              </w:rPr>
            </w:pPr>
          </w:p>
        </w:tc>
        <w:tc>
          <w:tcPr>
            <w:tcW w:w="4225" w:type="pct"/>
            <w:noWrap w:val="0"/>
            <w:vAlign w:val="top"/>
          </w:tcPr>
          <w:p w14:paraId="1C4D7D97">
            <w:pPr>
              <w:jc w:val="left"/>
              <w:rPr>
                <w:rFonts w:hint="eastAsia" w:ascii="Times New Roman" w:hAnsi="Times New Roman"/>
                <w:b w:val="0"/>
                <w:bCs w:val="0"/>
                <w:kern w:val="2"/>
                <w:sz w:val="21"/>
                <w:szCs w:val="21"/>
                <w:lang w:val="en-US" w:eastAsia="zh-CN" w:bidi="ar-SA"/>
              </w:rPr>
            </w:pPr>
            <w:r>
              <w:rPr>
                <w:rFonts w:hint="eastAsia" w:ascii="Times New Roman" w:hAnsi="Times New Roman"/>
                <w:szCs w:val="21"/>
              </w:rPr>
              <w:t>3.工艺及结构：底脚带耐磨万向轮，组装后结构稳固，施加标准推力不摇晃.</w:t>
            </w:r>
          </w:p>
        </w:tc>
      </w:tr>
      <w:tr w14:paraId="7C456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3" w:type="pct"/>
            <w:vMerge w:val="restart"/>
            <w:noWrap w:val="0"/>
            <w:vAlign w:val="center"/>
          </w:tcPr>
          <w:p w14:paraId="098978A3">
            <w:pPr>
              <w:keepNext w:val="0"/>
              <w:keepLines w:val="0"/>
              <w:widowControl/>
              <w:suppressLineNumbers w:val="0"/>
              <w:jc w:val="center"/>
              <w:textAlignment w:val="center"/>
              <w:rPr>
                <w:b/>
                <w:szCs w:val="21"/>
              </w:rPr>
            </w:pPr>
            <w:r>
              <w:rPr>
                <w:rFonts w:hint="default" w:ascii="Arial" w:hAnsi="Arial" w:eastAsia="宋体" w:cs="Arial"/>
                <w:i w:val="0"/>
                <w:iCs w:val="0"/>
                <w:color w:val="000000"/>
                <w:kern w:val="0"/>
                <w:sz w:val="20"/>
                <w:szCs w:val="20"/>
                <w:u w:val="none"/>
                <w:lang w:val="en-US" w:eastAsia="zh-CN" w:bidi="ar"/>
              </w:rPr>
              <w:t xml:space="preserve">61 </w:t>
            </w:r>
          </w:p>
        </w:tc>
        <w:tc>
          <w:tcPr>
            <w:tcW w:w="440" w:type="pct"/>
            <w:vMerge w:val="restart"/>
            <w:noWrap w:val="0"/>
            <w:vAlign w:val="center"/>
          </w:tcPr>
          <w:p w14:paraId="789AD8FF">
            <w:pPr>
              <w:keepNext w:val="0"/>
              <w:keepLines w:val="0"/>
              <w:widowControl/>
              <w:suppressLineNumbers w:val="0"/>
              <w:jc w:val="center"/>
              <w:textAlignment w:val="center"/>
              <w:rPr>
                <w:rFonts w:hint="default" w:ascii="Times New Roman" w:hAnsi="Times New Roman"/>
                <w:color w:val="auto"/>
                <w:szCs w:val="21"/>
                <w:lang w:val="en-US"/>
              </w:rPr>
            </w:pPr>
            <w:r>
              <w:rPr>
                <w:rFonts w:hint="eastAsia" w:ascii="宋体" w:hAnsi="宋体" w:eastAsia="宋体" w:cs="宋体"/>
                <w:i w:val="0"/>
                <w:iCs w:val="0"/>
                <w:color w:val="auto"/>
                <w:kern w:val="0"/>
                <w:sz w:val="20"/>
                <w:szCs w:val="20"/>
                <w:u w:val="none"/>
                <w:lang w:val="en-US" w:eastAsia="zh-CN" w:bidi="ar"/>
              </w:rPr>
              <w:t>幼儿椅</w:t>
            </w:r>
          </w:p>
        </w:tc>
        <w:tc>
          <w:tcPr>
            <w:tcW w:w="4225" w:type="pct"/>
            <w:noWrap w:val="0"/>
            <w:vAlign w:val="center"/>
          </w:tcPr>
          <w:p w14:paraId="03F1ECB7">
            <w:pPr>
              <w:jc w:val="left"/>
              <w:rPr>
                <w:rFonts w:hint="eastAsia" w:ascii="Times New Roman" w:hAnsi="Times New Roman"/>
                <w:b w:val="0"/>
                <w:bCs w:val="0"/>
                <w:szCs w:val="21"/>
              </w:rPr>
            </w:pPr>
            <w:r>
              <w:rPr>
                <w:rFonts w:hint="eastAsia" w:ascii="Times New Roman" w:hAnsi="Times New Roman"/>
                <w:b w:val="0"/>
                <w:bCs w:val="0"/>
                <w:szCs w:val="21"/>
              </w:rPr>
              <w:t>规格：L30xW30xH56cm（±3cm）（座高29cm（±3cm））</w:t>
            </w:r>
          </w:p>
        </w:tc>
      </w:tr>
      <w:tr w14:paraId="3D223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3" w:type="pct"/>
            <w:vMerge w:val="continue"/>
            <w:noWrap w:val="0"/>
            <w:vAlign w:val="center"/>
          </w:tcPr>
          <w:p w14:paraId="0BD01B82">
            <w:pPr>
              <w:jc w:val="center"/>
              <w:rPr>
                <w:b/>
                <w:szCs w:val="21"/>
              </w:rPr>
            </w:pPr>
          </w:p>
        </w:tc>
        <w:tc>
          <w:tcPr>
            <w:tcW w:w="440" w:type="pct"/>
            <w:vMerge w:val="continue"/>
            <w:noWrap w:val="0"/>
            <w:vAlign w:val="top"/>
          </w:tcPr>
          <w:p w14:paraId="1232E9B9">
            <w:pPr>
              <w:jc w:val="center"/>
              <w:rPr>
                <w:rFonts w:hint="eastAsia" w:ascii="Times New Roman" w:hAnsi="Times New Roman"/>
                <w:color w:val="auto"/>
                <w:szCs w:val="21"/>
              </w:rPr>
            </w:pPr>
          </w:p>
        </w:tc>
        <w:tc>
          <w:tcPr>
            <w:tcW w:w="4225" w:type="pct"/>
            <w:noWrap w:val="0"/>
            <w:vAlign w:val="top"/>
          </w:tcPr>
          <w:p w14:paraId="3F37FAA5">
            <w:pPr>
              <w:jc w:val="left"/>
              <w:rPr>
                <w:rFonts w:hint="eastAsia" w:ascii="Times New Roman" w:hAnsi="Times New Roman"/>
                <w:b w:val="0"/>
                <w:bCs w:val="0"/>
                <w:szCs w:val="21"/>
              </w:rPr>
            </w:pPr>
            <w:r>
              <w:rPr>
                <w:rFonts w:hint="eastAsia" w:ascii="Times New Roman" w:hAnsi="Times New Roman"/>
                <w:b w:val="0"/>
                <w:bCs w:val="0"/>
                <w:szCs w:val="21"/>
              </w:rPr>
              <w:t>1、工艺设计：</w:t>
            </w:r>
          </w:p>
          <w:p w14:paraId="7F6651DD">
            <w:pPr>
              <w:jc w:val="left"/>
              <w:rPr>
                <w:rFonts w:hint="eastAsia" w:ascii="Times New Roman" w:hAnsi="Times New Roman"/>
                <w:b w:val="0"/>
                <w:bCs w:val="0"/>
                <w:szCs w:val="21"/>
              </w:rPr>
            </w:pPr>
            <w:r>
              <w:rPr>
                <w:rFonts w:hint="eastAsia" w:ascii="Times New Roman" w:hAnsi="Times New Roman"/>
                <w:b w:val="0"/>
                <w:bCs w:val="0"/>
                <w:szCs w:val="21"/>
              </w:rPr>
              <w:t>（1）整体为工字框架，拆装结构，使用木梢做榫孔定位加固安装，使用二合一、自攻丝进行连接，组搭安装便捷。</w:t>
            </w:r>
          </w:p>
          <w:p w14:paraId="7697F785">
            <w:pPr>
              <w:jc w:val="left"/>
              <w:rPr>
                <w:rFonts w:hint="eastAsia" w:ascii="Times New Roman" w:hAnsi="Times New Roman"/>
                <w:b w:val="0"/>
                <w:bCs w:val="0"/>
                <w:szCs w:val="21"/>
              </w:rPr>
            </w:pPr>
            <w:r>
              <w:rPr>
                <w:rFonts w:hint="eastAsia" w:ascii="Times New Roman" w:hAnsi="Times New Roman"/>
                <w:b w:val="0"/>
                <w:bCs w:val="0"/>
                <w:szCs w:val="21"/>
              </w:rPr>
              <w:t xml:space="preserve">（2）背板拱桥元素造型、圆孔提手设计，兼具美观与实用。 </w:t>
            </w:r>
          </w:p>
          <w:p w14:paraId="26C4012B">
            <w:pPr>
              <w:jc w:val="left"/>
              <w:rPr>
                <w:rFonts w:hint="eastAsia" w:ascii="Times New Roman" w:hAnsi="Times New Roman"/>
                <w:b w:val="0"/>
                <w:bCs w:val="0"/>
                <w:szCs w:val="21"/>
              </w:rPr>
            </w:pPr>
            <w:r>
              <w:rPr>
                <w:rFonts w:hint="eastAsia" w:ascii="Times New Roman" w:hAnsi="Times New Roman"/>
                <w:b w:val="0"/>
                <w:bCs w:val="0"/>
                <w:szCs w:val="21"/>
              </w:rPr>
              <w:t>（3）所有螺丝位无毛刺不刮手，边角采用圆边/圆角处理以及安全防撞设计，最大程度的避免儿童磕碰伤害，结构稳固。</w:t>
            </w:r>
          </w:p>
        </w:tc>
      </w:tr>
      <w:tr w14:paraId="47F9B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3" w:type="pct"/>
            <w:vMerge w:val="continue"/>
            <w:noWrap w:val="0"/>
            <w:vAlign w:val="center"/>
          </w:tcPr>
          <w:p w14:paraId="14124996">
            <w:pPr>
              <w:jc w:val="center"/>
              <w:rPr>
                <w:b/>
                <w:szCs w:val="21"/>
              </w:rPr>
            </w:pPr>
          </w:p>
        </w:tc>
        <w:tc>
          <w:tcPr>
            <w:tcW w:w="440" w:type="pct"/>
            <w:vMerge w:val="continue"/>
            <w:noWrap w:val="0"/>
            <w:vAlign w:val="top"/>
          </w:tcPr>
          <w:p w14:paraId="34BB6DA3">
            <w:pPr>
              <w:jc w:val="center"/>
              <w:rPr>
                <w:rFonts w:hint="eastAsia" w:ascii="Times New Roman" w:hAnsi="Times New Roman"/>
                <w:color w:val="auto"/>
                <w:szCs w:val="21"/>
              </w:rPr>
            </w:pPr>
          </w:p>
        </w:tc>
        <w:tc>
          <w:tcPr>
            <w:tcW w:w="4225" w:type="pct"/>
            <w:noWrap w:val="0"/>
            <w:vAlign w:val="top"/>
          </w:tcPr>
          <w:p w14:paraId="121BFFA7">
            <w:pPr>
              <w:jc w:val="left"/>
              <w:rPr>
                <w:rFonts w:hint="eastAsia" w:ascii="Times New Roman" w:hAnsi="Times New Roman"/>
                <w:b w:val="0"/>
                <w:bCs w:val="0"/>
                <w:szCs w:val="21"/>
              </w:rPr>
            </w:pPr>
            <w:r>
              <w:rPr>
                <w:rFonts w:hint="eastAsia" w:ascii="Times New Roman" w:hAnsi="Times New Roman"/>
                <w:b w:val="0"/>
                <w:bCs w:val="0"/>
                <w:szCs w:val="21"/>
              </w:rPr>
              <w:t>2、外观结构及材质：</w:t>
            </w:r>
          </w:p>
          <w:p w14:paraId="2F09EC3F">
            <w:pPr>
              <w:jc w:val="left"/>
              <w:rPr>
                <w:rFonts w:hint="eastAsia" w:ascii="Times New Roman" w:hAnsi="Times New Roman"/>
                <w:b w:val="0"/>
                <w:bCs w:val="0"/>
                <w:szCs w:val="21"/>
              </w:rPr>
            </w:pPr>
            <w:r>
              <w:rPr>
                <w:rFonts w:hint="eastAsia" w:ascii="Times New Roman" w:hAnsi="Times New Roman"/>
                <w:b w:val="0"/>
                <w:bCs w:val="0"/>
                <w:szCs w:val="21"/>
              </w:rPr>
              <w:t>（1）座板：采用厚度12mm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b w:val="0"/>
                <w:bCs w:val="0"/>
                <w:szCs w:val="21"/>
              </w:rPr>
              <w:t>的饰面实木多层板双贴橡胶木纹皮；座高:290mm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b w:val="0"/>
                <w:bCs w:val="0"/>
                <w:szCs w:val="21"/>
              </w:rPr>
              <w:t>；座深:270mm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b w:val="0"/>
                <w:bCs w:val="0"/>
                <w:szCs w:val="21"/>
              </w:rPr>
              <w:t>；座宽:290mm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b w:val="0"/>
                <w:bCs w:val="0"/>
                <w:szCs w:val="21"/>
              </w:rPr>
              <w:t>。</w:t>
            </w:r>
          </w:p>
          <w:p w14:paraId="6098D284">
            <w:pPr>
              <w:jc w:val="left"/>
              <w:rPr>
                <w:rFonts w:hint="eastAsia" w:ascii="Times New Roman" w:hAnsi="Times New Roman"/>
                <w:b w:val="0"/>
                <w:bCs w:val="0"/>
                <w:szCs w:val="21"/>
              </w:rPr>
            </w:pPr>
            <w:r>
              <w:rPr>
                <w:rFonts w:hint="eastAsia" w:ascii="Times New Roman" w:hAnsi="Times New Roman"/>
                <w:b w:val="0"/>
                <w:bCs w:val="0"/>
                <w:szCs w:val="21"/>
              </w:rPr>
              <w:t>（2）椅背：采用厚度18mm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b w:val="0"/>
                <w:bCs w:val="0"/>
                <w:szCs w:val="21"/>
              </w:rPr>
              <w:t>的饰面实木多层板双贴橡胶木纹皮，顶部为原木色木拱桥造型</w:t>
            </w:r>
            <w:r>
              <w:rPr>
                <w:rFonts w:hint="eastAsia" w:ascii="Times New Roman" w:hAnsi="Times New Roman"/>
                <w:b w:val="0"/>
                <w:bCs w:val="0"/>
                <w:szCs w:val="21"/>
                <w:lang w:eastAsia="zh-CN"/>
              </w:rPr>
              <w:t>，</w:t>
            </w:r>
            <w:r>
              <w:rPr>
                <w:rFonts w:hint="eastAsia" w:ascii="Times New Roman" w:hAnsi="Times New Roman"/>
                <w:b w:val="0"/>
                <w:bCs w:val="0"/>
                <w:szCs w:val="21"/>
              </w:rPr>
              <w:t>中间椭圆提手孔设计手提便携；背板加宽，弧形修饰，使坐姿靠背更舒适。</w:t>
            </w:r>
          </w:p>
          <w:p w14:paraId="1B89806B">
            <w:pPr>
              <w:jc w:val="left"/>
              <w:rPr>
                <w:rFonts w:hint="eastAsia" w:ascii="Times New Roman" w:hAnsi="Times New Roman"/>
                <w:b w:val="0"/>
                <w:bCs w:val="0"/>
                <w:szCs w:val="21"/>
              </w:rPr>
            </w:pPr>
            <w:r>
              <w:rPr>
                <w:rFonts w:hint="eastAsia" w:ascii="Times New Roman" w:hAnsi="Times New Roman"/>
                <w:b w:val="0"/>
                <w:bCs w:val="0"/>
                <w:szCs w:val="21"/>
              </w:rPr>
              <w:t>（3）椅脚：椅脚厚度22mm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b w:val="0"/>
                <w:bCs w:val="0"/>
                <w:szCs w:val="21"/>
              </w:rPr>
              <w:t>、其余框架厚度18mm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b w:val="0"/>
                <w:bCs w:val="0"/>
                <w:szCs w:val="21"/>
              </w:rPr>
              <w:t>的橡胶木拼板，底部安装塑料脚垫，高度为H6.5mm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b w:val="0"/>
                <w:bCs w:val="0"/>
                <w:szCs w:val="21"/>
              </w:rPr>
              <w:t>，直径19mm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b w:val="0"/>
                <w:bCs w:val="0"/>
                <w:szCs w:val="21"/>
              </w:rPr>
              <w:t>，软性防滑，可有效保护地面刮花并降低噪音。</w:t>
            </w:r>
          </w:p>
          <w:p w14:paraId="58837188">
            <w:pPr>
              <w:jc w:val="left"/>
              <w:rPr>
                <w:rFonts w:hint="eastAsia" w:ascii="Times New Roman" w:hAnsi="Times New Roman"/>
                <w:b w:val="0"/>
                <w:bCs w:val="0"/>
                <w:szCs w:val="21"/>
              </w:rPr>
            </w:pPr>
            <w:r>
              <w:rPr>
                <w:rFonts w:hint="eastAsia" w:ascii="Times New Roman" w:hAnsi="Times New Roman"/>
                <w:b w:val="0"/>
                <w:bCs w:val="0"/>
                <w:szCs w:val="21"/>
              </w:rPr>
              <w:t>（4）产品整体采用的水性漆，全封闭涂装工艺，漆面光泽高透，颜色均匀，附着能力强，通透度高。座板及靠背采用的水性木蜡油封边，成分天然，分子机构细小，成膜牢固，密封性好。</w:t>
            </w:r>
          </w:p>
        </w:tc>
      </w:tr>
      <w:tr w14:paraId="31F26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3" w:type="pct"/>
            <w:vMerge w:val="restart"/>
            <w:noWrap w:val="0"/>
            <w:vAlign w:val="center"/>
          </w:tcPr>
          <w:p w14:paraId="6EC171A8">
            <w:pPr>
              <w:keepNext w:val="0"/>
              <w:keepLines w:val="0"/>
              <w:widowControl/>
              <w:suppressLineNumbers w:val="0"/>
              <w:jc w:val="center"/>
              <w:textAlignment w:val="center"/>
              <w:rPr>
                <w:b/>
                <w:szCs w:val="21"/>
              </w:rPr>
            </w:pPr>
            <w:r>
              <w:rPr>
                <w:rFonts w:hint="default" w:ascii="Arial" w:hAnsi="Arial" w:eastAsia="宋体" w:cs="Arial"/>
                <w:i w:val="0"/>
                <w:iCs w:val="0"/>
                <w:color w:val="000000"/>
                <w:kern w:val="0"/>
                <w:sz w:val="20"/>
                <w:szCs w:val="20"/>
                <w:u w:val="none"/>
                <w:lang w:val="en-US" w:eastAsia="zh-CN" w:bidi="ar"/>
              </w:rPr>
              <w:t xml:space="preserve">62 </w:t>
            </w:r>
          </w:p>
        </w:tc>
        <w:tc>
          <w:tcPr>
            <w:tcW w:w="440" w:type="pct"/>
            <w:vMerge w:val="restart"/>
            <w:noWrap w:val="0"/>
            <w:vAlign w:val="center"/>
          </w:tcPr>
          <w:p w14:paraId="4998AD21">
            <w:pPr>
              <w:keepNext w:val="0"/>
              <w:keepLines w:val="0"/>
              <w:widowControl/>
              <w:suppressLineNumbers w:val="0"/>
              <w:jc w:val="center"/>
              <w:textAlignment w:val="center"/>
              <w:rPr>
                <w:rFonts w:hint="default" w:ascii="Times New Roman" w:hAnsi="Times New Roman"/>
                <w:color w:val="auto"/>
                <w:szCs w:val="21"/>
                <w:lang w:val="en-US"/>
              </w:rPr>
            </w:pPr>
            <w:r>
              <w:rPr>
                <w:rFonts w:hint="eastAsia" w:ascii="宋体" w:hAnsi="宋体" w:eastAsia="宋体" w:cs="宋体"/>
                <w:i w:val="0"/>
                <w:iCs w:val="0"/>
                <w:color w:val="auto"/>
                <w:kern w:val="0"/>
                <w:sz w:val="20"/>
                <w:szCs w:val="20"/>
                <w:u w:val="none"/>
                <w:lang w:val="en-US" w:eastAsia="zh-CN" w:bidi="ar"/>
              </w:rPr>
              <w:t>幼儿桌</w:t>
            </w:r>
          </w:p>
        </w:tc>
        <w:tc>
          <w:tcPr>
            <w:tcW w:w="4225" w:type="pct"/>
            <w:noWrap w:val="0"/>
            <w:vAlign w:val="center"/>
          </w:tcPr>
          <w:p w14:paraId="731DA83A">
            <w:pPr>
              <w:jc w:val="left"/>
              <w:rPr>
                <w:rFonts w:hint="eastAsia" w:ascii="Times New Roman" w:hAnsi="Times New Roman"/>
                <w:b w:val="0"/>
                <w:bCs w:val="0"/>
                <w:szCs w:val="21"/>
              </w:rPr>
            </w:pPr>
            <w:r>
              <w:rPr>
                <w:rFonts w:hint="eastAsia" w:ascii="Times New Roman" w:hAnsi="Times New Roman"/>
                <w:b w:val="0"/>
                <w:bCs w:val="0"/>
                <w:szCs w:val="21"/>
              </w:rPr>
              <w:t>规格：L120xW60xH55cm（±3cm）</w:t>
            </w:r>
          </w:p>
        </w:tc>
      </w:tr>
      <w:tr w14:paraId="4DE7B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3" w:type="pct"/>
            <w:vMerge w:val="continue"/>
            <w:noWrap w:val="0"/>
            <w:vAlign w:val="center"/>
          </w:tcPr>
          <w:p w14:paraId="20294114">
            <w:pPr>
              <w:jc w:val="center"/>
              <w:rPr>
                <w:b/>
                <w:szCs w:val="21"/>
              </w:rPr>
            </w:pPr>
          </w:p>
        </w:tc>
        <w:tc>
          <w:tcPr>
            <w:tcW w:w="440" w:type="pct"/>
            <w:vMerge w:val="continue"/>
            <w:noWrap w:val="0"/>
            <w:vAlign w:val="top"/>
          </w:tcPr>
          <w:p w14:paraId="502C5C3C">
            <w:pPr>
              <w:jc w:val="center"/>
              <w:rPr>
                <w:rFonts w:hint="eastAsia" w:ascii="Times New Roman" w:hAnsi="Times New Roman"/>
                <w:szCs w:val="21"/>
              </w:rPr>
            </w:pPr>
          </w:p>
        </w:tc>
        <w:tc>
          <w:tcPr>
            <w:tcW w:w="4225" w:type="pct"/>
            <w:noWrap w:val="0"/>
            <w:vAlign w:val="top"/>
          </w:tcPr>
          <w:p w14:paraId="5870A3F0">
            <w:pPr>
              <w:jc w:val="left"/>
              <w:rPr>
                <w:rFonts w:hint="eastAsia" w:ascii="Times New Roman" w:hAnsi="Times New Roman"/>
                <w:b w:val="0"/>
                <w:bCs w:val="0"/>
                <w:szCs w:val="21"/>
              </w:rPr>
            </w:pPr>
            <w:r>
              <w:rPr>
                <w:rFonts w:hint="eastAsia" w:ascii="Times New Roman" w:hAnsi="Times New Roman"/>
                <w:b w:val="0"/>
                <w:bCs w:val="0"/>
                <w:szCs w:val="21"/>
              </w:rPr>
              <w:t>1、工艺设计：</w:t>
            </w:r>
          </w:p>
          <w:p w14:paraId="26CB895D">
            <w:pPr>
              <w:jc w:val="left"/>
              <w:rPr>
                <w:rFonts w:hint="eastAsia" w:ascii="Times New Roman" w:hAnsi="Times New Roman"/>
                <w:b w:val="0"/>
                <w:bCs w:val="0"/>
                <w:szCs w:val="21"/>
              </w:rPr>
            </w:pPr>
            <w:r>
              <w:rPr>
                <w:rFonts w:hint="eastAsia" w:ascii="Times New Roman" w:hAnsi="Times New Roman"/>
                <w:b w:val="0"/>
                <w:bCs w:val="0"/>
                <w:szCs w:val="21"/>
              </w:rPr>
              <w:t>（1）采用立水工艺，结构支撑性强，防止桌面下沉。</w:t>
            </w:r>
          </w:p>
          <w:p w14:paraId="1889CDE8">
            <w:pPr>
              <w:jc w:val="left"/>
              <w:rPr>
                <w:rFonts w:hint="eastAsia" w:ascii="Times New Roman" w:hAnsi="Times New Roman"/>
                <w:b w:val="0"/>
                <w:bCs w:val="0"/>
                <w:szCs w:val="21"/>
              </w:rPr>
            </w:pPr>
            <w:r>
              <w:rPr>
                <w:rFonts w:hint="eastAsia" w:ascii="Times New Roman" w:hAnsi="Times New Roman"/>
                <w:b w:val="0"/>
                <w:bCs w:val="0"/>
                <w:szCs w:val="21"/>
              </w:rPr>
              <w:t>（2）所有螺丝位无毛刺不刮手，桌角及边沿采用圆角/圆边处理以及安全防撞设计，最大程度的避免儿童磕碰伤害，结构稳固。</w:t>
            </w:r>
          </w:p>
        </w:tc>
      </w:tr>
      <w:tr w14:paraId="0AA51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3" w:type="pct"/>
            <w:vMerge w:val="continue"/>
            <w:noWrap w:val="0"/>
            <w:vAlign w:val="center"/>
          </w:tcPr>
          <w:p w14:paraId="30B9FDF1">
            <w:pPr>
              <w:jc w:val="center"/>
              <w:rPr>
                <w:b/>
                <w:szCs w:val="21"/>
              </w:rPr>
            </w:pPr>
          </w:p>
        </w:tc>
        <w:tc>
          <w:tcPr>
            <w:tcW w:w="440" w:type="pct"/>
            <w:vMerge w:val="continue"/>
            <w:noWrap w:val="0"/>
            <w:vAlign w:val="top"/>
          </w:tcPr>
          <w:p w14:paraId="0AF4EB8E">
            <w:pPr>
              <w:jc w:val="center"/>
              <w:rPr>
                <w:rFonts w:hint="eastAsia" w:ascii="Times New Roman" w:hAnsi="Times New Roman"/>
                <w:szCs w:val="21"/>
              </w:rPr>
            </w:pPr>
          </w:p>
        </w:tc>
        <w:tc>
          <w:tcPr>
            <w:tcW w:w="4225" w:type="pct"/>
            <w:noWrap w:val="0"/>
            <w:vAlign w:val="center"/>
          </w:tcPr>
          <w:p w14:paraId="66157372">
            <w:pPr>
              <w:jc w:val="left"/>
              <w:rPr>
                <w:rFonts w:hint="eastAsia" w:ascii="Times New Roman" w:hAnsi="Times New Roman"/>
                <w:b w:val="0"/>
                <w:bCs w:val="0"/>
                <w:szCs w:val="21"/>
              </w:rPr>
            </w:pPr>
            <w:r>
              <w:rPr>
                <w:rFonts w:hint="eastAsia" w:ascii="Times New Roman" w:hAnsi="Times New Roman"/>
                <w:b w:val="0"/>
                <w:bCs w:val="0"/>
                <w:szCs w:val="21"/>
              </w:rPr>
              <w:t>2、外观结构及材质：</w:t>
            </w:r>
          </w:p>
          <w:p w14:paraId="1CCF1999">
            <w:pPr>
              <w:jc w:val="left"/>
              <w:rPr>
                <w:rFonts w:hint="eastAsia" w:ascii="Times New Roman" w:hAnsi="Times New Roman"/>
                <w:b w:val="0"/>
                <w:bCs w:val="0"/>
                <w:szCs w:val="21"/>
              </w:rPr>
            </w:pPr>
            <w:r>
              <w:rPr>
                <w:rFonts w:hint="eastAsia" w:ascii="Times New Roman" w:hAnsi="Times New Roman"/>
                <w:b w:val="0"/>
                <w:bCs w:val="0"/>
                <w:szCs w:val="21"/>
              </w:rPr>
              <w:t>（1）桌面：采用厚度30mm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b w:val="0"/>
                <w:bCs w:val="0"/>
                <w:szCs w:val="21"/>
              </w:rPr>
              <w:t>的橡胶木拼板搭配防火板贴面加工而成，耐刮耐磨，长时间使用不褪色、不容易开裂；长立水尺寸：L1062xW60xH18mm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b w:val="0"/>
                <w:bCs w:val="0"/>
                <w:szCs w:val="21"/>
              </w:rPr>
              <w:t>，短立水尺寸：L462xW60xH18mm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b w:val="0"/>
                <w:bCs w:val="0"/>
                <w:szCs w:val="21"/>
              </w:rPr>
              <w:t>。</w:t>
            </w:r>
          </w:p>
          <w:p w14:paraId="21E588A1">
            <w:pPr>
              <w:jc w:val="left"/>
              <w:rPr>
                <w:rFonts w:hint="eastAsia" w:ascii="Times New Roman" w:hAnsi="Times New Roman"/>
                <w:b w:val="0"/>
                <w:bCs w:val="0"/>
                <w:szCs w:val="21"/>
              </w:rPr>
            </w:pPr>
            <w:r>
              <w:rPr>
                <w:rFonts w:hint="eastAsia" w:ascii="Times New Roman" w:hAnsi="Times New Roman"/>
                <w:b w:val="0"/>
                <w:bCs w:val="0"/>
                <w:szCs w:val="21"/>
              </w:rPr>
              <w:t>（2）桌脚：采橡胶木实木，厚实纹路清晰，边沿均采用圆边处理；底部安装塑料脚垫，软性防滑，可有效保护地面刮花并降低噪音。</w:t>
            </w:r>
          </w:p>
          <w:p w14:paraId="37F85B2D">
            <w:pPr>
              <w:jc w:val="left"/>
              <w:rPr>
                <w:rFonts w:hint="eastAsia" w:ascii="Times New Roman" w:hAnsi="Times New Roman"/>
                <w:b w:val="0"/>
                <w:bCs w:val="0"/>
                <w:szCs w:val="21"/>
              </w:rPr>
            </w:pPr>
            <w:r>
              <w:rPr>
                <w:rFonts w:hint="eastAsia" w:ascii="Times New Roman" w:hAnsi="Times New Roman"/>
                <w:b w:val="0"/>
                <w:bCs w:val="0"/>
                <w:szCs w:val="21"/>
              </w:rPr>
              <w:t>（3）产品整体采用的水性漆，全封闭涂装工艺，漆面光泽高透，颜色均匀，附着能力强，通透度高。桌面封边采用的水性木蜡油封边，成分天然，分子机构细小，成膜牢固，密封性好。</w:t>
            </w:r>
          </w:p>
        </w:tc>
      </w:tr>
      <w:tr w14:paraId="3C8EB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3" w:type="pct"/>
            <w:vMerge w:val="restart"/>
            <w:noWrap w:val="0"/>
            <w:vAlign w:val="center"/>
          </w:tcPr>
          <w:p w14:paraId="2FB33EA7">
            <w:pPr>
              <w:keepNext w:val="0"/>
              <w:keepLines w:val="0"/>
              <w:widowControl/>
              <w:suppressLineNumbers w:val="0"/>
              <w:jc w:val="center"/>
              <w:textAlignment w:val="center"/>
              <w:rPr>
                <w:b/>
                <w:szCs w:val="21"/>
              </w:rPr>
            </w:pPr>
            <w:r>
              <w:rPr>
                <w:rFonts w:hint="default" w:ascii="Arial" w:hAnsi="Arial" w:eastAsia="宋体" w:cs="Arial"/>
                <w:i w:val="0"/>
                <w:iCs w:val="0"/>
                <w:color w:val="000000"/>
                <w:kern w:val="0"/>
                <w:sz w:val="20"/>
                <w:szCs w:val="20"/>
                <w:u w:val="none"/>
                <w:lang w:val="en-US" w:eastAsia="zh-CN" w:bidi="ar"/>
              </w:rPr>
              <w:t xml:space="preserve">63 </w:t>
            </w:r>
          </w:p>
        </w:tc>
        <w:tc>
          <w:tcPr>
            <w:tcW w:w="440" w:type="pct"/>
            <w:vMerge w:val="restart"/>
            <w:noWrap w:val="0"/>
            <w:vAlign w:val="center"/>
          </w:tcPr>
          <w:p w14:paraId="194E953D">
            <w:pPr>
              <w:keepNext w:val="0"/>
              <w:keepLines w:val="0"/>
              <w:widowControl/>
              <w:suppressLineNumbers w:val="0"/>
              <w:jc w:val="center"/>
              <w:textAlignment w:val="center"/>
              <w:rPr>
                <w:rFonts w:hint="eastAsia" w:ascii="Times New Roman" w:hAnsi="Times New Roman"/>
                <w:szCs w:val="21"/>
              </w:rPr>
            </w:pPr>
            <w:r>
              <w:rPr>
                <w:rFonts w:hint="eastAsia" w:ascii="宋体" w:hAnsi="宋体" w:eastAsia="宋体" w:cs="宋体"/>
                <w:i w:val="0"/>
                <w:iCs w:val="0"/>
                <w:color w:val="000000"/>
                <w:kern w:val="0"/>
                <w:sz w:val="20"/>
                <w:szCs w:val="20"/>
                <w:u w:val="none"/>
                <w:lang w:val="en-US" w:eastAsia="zh-CN" w:bidi="ar"/>
              </w:rPr>
              <w:t>4人桌</w:t>
            </w:r>
          </w:p>
        </w:tc>
        <w:tc>
          <w:tcPr>
            <w:tcW w:w="4225" w:type="pct"/>
            <w:noWrap w:val="0"/>
            <w:vAlign w:val="center"/>
          </w:tcPr>
          <w:p w14:paraId="37C8A9A1">
            <w:pPr>
              <w:jc w:val="left"/>
              <w:rPr>
                <w:rFonts w:hint="eastAsia" w:ascii="Times New Roman" w:hAnsi="Times New Roman"/>
                <w:b w:val="0"/>
                <w:bCs w:val="0"/>
                <w:szCs w:val="21"/>
              </w:rPr>
            </w:pPr>
            <w:r>
              <w:rPr>
                <w:rFonts w:hint="eastAsia" w:ascii="Times New Roman" w:hAnsi="Times New Roman"/>
                <w:b w:val="0"/>
                <w:bCs w:val="0"/>
                <w:szCs w:val="21"/>
              </w:rPr>
              <w:t>规格：L60xW60xH55cm（±3cm）</w:t>
            </w:r>
          </w:p>
        </w:tc>
      </w:tr>
      <w:tr w14:paraId="2003C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3" w:type="pct"/>
            <w:vMerge w:val="continue"/>
            <w:noWrap w:val="0"/>
            <w:vAlign w:val="center"/>
          </w:tcPr>
          <w:p w14:paraId="0C9A6EC1">
            <w:pPr>
              <w:jc w:val="center"/>
              <w:rPr>
                <w:b/>
                <w:szCs w:val="21"/>
              </w:rPr>
            </w:pPr>
          </w:p>
        </w:tc>
        <w:tc>
          <w:tcPr>
            <w:tcW w:w="440" w:type="pct"/>
            <w:vMerge w:val="continue"/>
            <w:noWrap w:val="0"/>
            <w:vAlign w:val="top"/>
          </w:tcPr>
          <w:p w14:paraId="59FF3022">
            <w:pPr>
              <w:jc w:val="center"/>
              <w:rPr>
                <w:rFonts w:hint="eastAsia" w:ascii="Times New Roman" w:hAnsi="Times New Roman"/>
                <w:szCs w:val="21"/>
              </w:rPr>
            </w:pPr>
          </w:p>
        </w:tc>
        <w:tc>
          <w:tcPr>
            <w:tcW w:w="4225" w:type="pct"/>
            <w:noWrap w:val="0"/>
            <w:vAlign w:val="top"/>
          </w:tcPr>
          <w:p w14:paraId="6FE22A87">
            <w:pPr>
              <w:jc w:val="left"/>
              <w:rPr>
                <w:rFonts w:hint="eastAsia" w:ascii="Times New Roman" w:hAnsi="Times New Roman"/>
                <w:b w:val="0"/>
                <w:bCs w:val="0"/>
                <w:szCs w:val="21"/>
              </w:rPr>
            </w:pPr>
            <w:r>
              <w:rPr>
                <w:rFonts w:hint="eastAsia" w:ascii="Times New Roman" w:hAnsi="Times New Roman"/>
                <w:b w:val="0"/>
                <w:bCs w:val="0"/>
                <w:szCs w:val="21"/>
              </w:rPr>
              <w:t>1、工艺设计：</w:t>
            </w:r>
          </w:p>
          <w:p w14:paraId="78843378">
            <w:pPr>
              <w:jc w:val="left"/>
              <w:rPr>
                <w:rFonts w:hint="eastAsia" w:ascii="Times New Roman" w:hAnsi="Times New Roman"/>
                <w:b w:val="0"/>
                <w:bCs w:val="0"/>
                <w:szCs w:val="21"/>
              </w:rPr>
            </w:pPr>
            <w:r>
              <w:rPr>
                <w:rFonts w:hint="eastAsia" w:ascii="Times New Roman" w:hAnsi="Times New Roman"/>
                <w:b w:val="0"/>
                <w:bCs w:val="0"/>
                <w:szCs w:val="21"/>
              </w:rPr>
              <w:t>（1）采用立水工艺，结构支撑性强，防止桌面下沉。</w:t>
            </w:r>
          </w:p>
          <w:p w14:paraId="10ACDBDB">
            <w:pPr>
              <w:jc w:val="left"/>
              <w:rPr>
                <w:rFonts w:hint="eastAsia" w:ascii="Times New Roman" w:hAnsi="Times New Roman"/>
                <w:b w:val="0"/>
                <w:bCs w:val="0"/>
                <w:szCs w:val="21"/>
              </w:rPr>
            </w:pPr>
            <w:r>
              <w:rPr>
                <w:rFonts w:hint="eastAsia" w:ascii="Times New Roman" w:hAnsi="Times New Roman"/>
                <w:b w:val="0"/>
                <w:bCs w:val="0"/>
                <w:szCs w:val="21"/>
              </w:rPr>
              <w:t>（2）所有螺丝位无毛刺不刮手，桌角及边沿采用圆角/圆边处理以及安全防撞设计，最大程度的避免儿童磕碰伤害，结构稳固。</w:t>
            </w:r>
          </w:p>
        </w:tc>
      </w:tr>
      <w:tr w14:paraId="6573E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3" w:type="pct"/>
            <w:vMerge w:val="continue"/>
            <w:noWrap w:val="0"/>
            <w:vAlign w:val="center"/>
          </w:tcPr>
          <w:p w14:paraId="1E7DE6AE">
            <w:pPr>
              <w:jc w:val="center"/>
              <w:rPr>
                <w:b/>
                <w:szCs w:val="21"/>
              </w:rPr>
            </w:pPr>
          </w:p>
        </w:tc>
        <w:tc>
          <w:tcPr>
            <w:tcW w:w="440" w:type="pct"/>
            <w:vMerge w:val="continue"/>
            <w:noWrap w:val="0"/>
            <w:vAlign w:val="top"/>
          </w:tcPr>
          <w:p w14:paraId="7D287E06">
            <w:pPr>
              <w:jc w:val="center"/>
              <w:rPr>
                <w:rFonts w:hint="eastAsia" w:ascii="Times New Roman" w:hAnsi="Times New Roman"/>
                <w:szCs w:val="21"/>
              </w:rPr>
            </w:pPr>
          </w:p>
        </w:tc>
        <w:tc>
          <w:tcPr>
            <w:tcW w:w="4225" w:type="pct"/>
            <w:noWrap w:val="0"/>
            <w:vAlign w:val="top"/>
          </w:tcPr>
          <w:p w14:paraId="7D44A8C1">
            <w:pPr>
              <w:jc w:val="left"/>
              <w:rPr>
                <w:rFonts w:hint="eastAsia" w:ascii="Times New Roman" w:hAnsi="Times New Roman"/>
                <w:b w:val="0"/>
                <w:bCs w:val="0"/>
                <w:szCs w:val="21"/>
              </w:rPr>
            </w:pPr>
            <w:r>
              <w:rPr>
                <w:rFonts w:hint="eastAsia" w:ascii="Times New Roman" w:hAnsi="Times New Roman"/>
                <w:b w:val="0"/>
                <w:bCs w:val="0"/>
                <w:szCs w:val="21"/>
              </w:rPr>
              <w:t>2、外观结构及材质：</w:t>
            </w:r>
          </w:p>
          <w:p w14:paraId="14C2CB8F">
            <w:pPr>
              <w:jc w:val="left"/>
              <w:rPr>
                <w:rFonts w:hint="eastAsia" w:ascii="Times New Roman" w:hAnsi="Times New Roman"/>
                <w:b w:val="0"/>
                <w:bCs w:val="0"/>
                <w:szCs w:val="21"/>
              </w:rPr>
            </w:pPr>
            <w:r>
              <w:rPr>
                <w:rFonts w:hint="eastAsia" w:ascii="Times New Roman" w:hAnsi="Times New Roman"/>
                <w:b w:val="0"/>
                <w:bCs w:val="0"/>
                <w:szCs w:val="21"/>
              </w:rPr>
              <w:t>（1）桌面：采用厚度30mm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b w:val="0"/>
                <w:bCs w:val="0"/>
                <w:szCs w:val="21"/>
              </w:rPr>
              <w:t>的橡胶木拼板搭配防火板贴面加工而成，耐刮耐磨，长时间使用不褪色、不容易开裂；立水尺寸L462xW60xH18mm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b w:val="0"/>
                <w:bCs w:val="0"/>
                <w:szCs w:val="21"/>
              </w:rPr>
              <w:t>结构稳固。</w:t>
            </w:r>
          </w:p>
          <w:p w14:paraId="43EF4BF3">
            <w:pPr>
              <w:jc w:val="left"/>
              <w:rPr>
                <w:rFonts w:hint="eastAsia" w:ascii="Times New Roman" w:hAnsi="Times New Roman"/>
                <w:b w:val="0"/>
                <w:bCs w:val="0"/>
                <w:szCs w:val="21"/>
              </w:rPr>
            </w:pPr>
            <w:r>
              <w:rPr>
                <w:rFonts w:hint="eastAsia" w:ascii="Times New Roman" w:hAnsi="Times New Roman"/>
                <w:b w:val="0"/>
                <w:bCs w:val="0"/>
                <w:szCs w:val="21"/>
              </w:rPr>
              <w:t>（2）桌脚：采橡胶木实木，厚实纹路清晰，边沿均采用圆边处理；底部安装塑料脚垫，软性防滑，可有效保护地面刮花并降低噪音。</w:t>
            </w:r>
          </w:p>
          <w:p w14:paraId="38C26E87">
            <w:pPr>
              <w:jc w:val="left"/>
              <w:rPr>
                <w:rFonts w:hint="eastAsia" w:ascii="Times New Roman" w:hAnsi="Times New Roman"/>
                <w:b w:val="0"/>
                <w:bCs w:val="0"/>
                <w:szCs w:val="21"/>
              </w:rPr>
            </w:pPr>
            <w:r>
              <w:rPr>
                <w:rFonts w:hint="eastAsia" w:ascii="Times New Roman" w:hAnsi="Times New Roman"/>
                <w:b w:val="0"/>
                <w:bCs w:val="0"/>
                <w:szCs w:val="21"/>
              </w:rPr>
              <w:t>（3）产品整体采用的水性漆，全封闭涂装工艺，漆面光泽高透，颜色均匀，附着能力强，通透度高。桌面封边采用的水性木蜡油封边，成分天然，分子机构细小，成膜牢固，密封性好。</w:t>
            </w:r>
          </w:p>
        </w:tc>
      </w:tr>
      <w:tr w14:paraId="61C85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3" w:type="pct"/>
            <w:vMerge w:val="restart"/>
            <w:noWrap w:val="0"/>
            <w:vAlign w:val="center"/>
          </w:tcPr>
          <w:p w14:paraId="22D960AE">
            <w:pPr>
              <w:keepNext w:val="0"/>
              <w:keepLines w:val="0"/>
              <w:widowControl/>
              <w:suppressLineNumbers w:val="0"/>
              <w:jc w:val="center"/>
              <w:textAlignment w:val="center"/>
              <w:rPr>
                <w:b/>
                <w:szCs w:val="21"/>
              </w:rPr>
            </w:pPr>
            <w:r>
              <w:rPr>
                <w:rFonts w:hint="default" w:ascii="Arial" w:hAnsi="Arial" w:eastAsia="宋体" w:cs="Arial"/>
                <w:i w:val="0"/>
                <w:iCs w:val="0"/>
                <w:color w:val="000000"/>
                <w:kern w:val="0"/>
                <w:sz w:val="20"/>
                <w:szCs w:val="20"/>
                <w:u w:val="none"/>
                <w:lang w:val="en-US" w:eastAsia="zh-CN" w:bidi="ar"/>
              </w:rPr>
              <w:t xml:space="preserve">64 </w:t>
            </w:r>
          </w:p>
        </w:tc>
        <w:tc>
          <w:tcPr>
            <w:tcW w:w="440" w:type="pct"/>
            <w:vMerge w:val="restart"/>
            <w:noWrap w:val="0"/>
            <w:vAlign w:val="center"/>
          </w:tcPr>
          <w:p w14:paraId="3431EFF0">
            <w:pPr>
              <w:keepNext w:val="0"/>
              <w:keepLines w:val="0"/>
              <w:widowControl/>
              <w:suppressLineNumbers w:val="0"/>
              <w:jc w:val="center"/>
              <w:textAlignment w:val="center"/>
              <w:rPr>
                <w:rFonts w:hint="eastAsia" w:ascii="Times New Roman" w:hAnsi="Times New Roman"/>
                <w:szCs w:val="21"/>
              </w:rPr>
            </w:pPr>
            <w:r>
              <w:rPr>
                <w:rFonts w:hint="eastAsia" w:ascii="宋体" w:hAnsi="宋体" w:eastAsia="宋体" w:cs="宋体"/>
                <w:i w:val="0"/>
                <w:iCs w:val="0"/>
                <w:color w:val="000000"/>
                <w:kern w:val="0"/>
                <w:sz w:val="20"/>
                <w:szCs w:val="20"/>
                <w:u w:val="none"/>
                <w:lang w:val="en-US" w:eastAsia="zh-CN" w:bidi="ar"/>
              </w:rPr>
              <w:t>圆桌</w:t>
            </w:r>
          </w:p>
        </w:tc>
        <w:tc>
          <w:tcPr>
            <w:tcW w:w="4225" w:type="pct"/>
            <w:noWrap w:val="0"/>
            <w:vAlign w:val="center"/>
          </w:tcPr>
          <w:p w14:paraId="56D4335A">
            <w:pPr>
              <w:jc w:val="left"/>
              <w:rPr>
                <w:rFonts w:hint="eastAsia" w:ascii="Times New Roman" w:hAnsi="Times New Roman"/>
                <w:b w:val="0"/>
                <w:bCs w:val="0"/>
                <w:szCs w:val="21"/>
              </w:rPr>
            </w:pPr>
            <w:r>
              <w:rPr>
                <w:rFonts w:hint="eastAsia" w:ascii="Times New Roman" w:hAnsi="Times New Roman"/>
                <w:b w:val="0"/>
                <w:bCs w:val="0"/>
                <w:szCs w:val="21"/>
              </w:rPr>
              <w:t>规格：Φ80xH55cm（±3cm）</w:t>
            </w:r>
          </w:p>
        </w:tc>
      </w:tr>
      <w:tr w14:paraId="5A425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3" w:type="pct"/>
            <w:vMerge w:val="continue"/>
            <w:noWrap w:val="0"/>
            <w:vAlign w:val="center"/>
          </w:tcPr>
          <w:p w14:paraId="6BD0A83D">
            <w:pPr>
              <w:jc w:val="center"/>
              <w:rPr>
                <w:b/>
                <w:szCs w:val="21"/>
              </w:rPr>
            </w:pPr>
          </w:p>
        </w:tc>
        <w:tc>
          <w:tcPr>
            <w:tcW w:w="440" w:type="pct"/>
            <w:vMerge w:val="continue"/>
            <w:noWrap w:val="0"/>
            <w:vAlign w:val="top"/>
          </w:tcPr>
          <w:p w14:paraId="032F0FB6">
            <w:pPr>
              <w:jc w:val="center"/>
              <w:rPr>
                <w:rFonts w:hint="eastAsia" w:ascii="Times New Roman" w:hAnsi="Times New Roman"/>
                <w:szCs w:val="21"/>
              </w:rPr>
            </w:pPr>
          </w:p>
        </w:tc>
        <w:tc>
          <w:tcPr>
            <w:tcW w:w="4225" w:type="pct"/>
            <w:noWrap w:val="0"/>
            <w:vAlign w:val="top"/>
          </w:tcPr>
          <w:p w14:paraId="2755E089">
            <w:pPr>
              <w:jc w:val="left"/>
              <w:rPr>
                <w:rFonts w:hint="eastAsia" w:ascii="Times New Roman" w:hAnsi="Times New Roman"/>
                <w:b w:val="0"/>
                <w:bCs w:val="0"/>
                <w:szCs w:val="21"/>
              </w:rPr>
            </w:pPr>
            <w:r>
              <w:rPr>
                <w:rFonts w:hint="eastAsia" w:ascii="Times New Roman" w:hAnsi="Times New Roman"/>
                <w:b w:val="0"/>
                <w:bCs w:val="0"/>
                <w:szCs w:val="21"/>
              </w:rPr>
              <w:t>1、工艺设计：</w:t>
            </w:r>
          </w:p>
          <w:p w14:paraId="16139F25">
            <w:pPr>
              <w:jc w:val="left"/>
              <w:rPr>
                <w:rFonts w:hint="eastAsia" w:ascii="Times New Roman" w:hAnsi="Times New Roman"/>
                <w:b w:val="0"/>
                <w:bCs w:val="0"/>
                <w:szCs w:val="21"/>
              </w:rPr>
            </w:pPr>
            <w:r>
              <w:rPr>
                <w:rFonts w:hint="eastAsia" w:ascii="Times New Roman" w:hAnsi="Times New Roman"/>
                <w:b w:val="0"/>
                <w:bCs w:val="0"/>
                <w:szCs w:val="21"/>
              </w:rPr>
              <w:t>（1）采用立水工艺，结构支撑性强，防止桌面下沉。</w:t>
            </w:r>
          </w:p>
          <w:p w14:paraId="431C2ECE">
            <w:pPr>
              <w:jc w:val="left"/>
              <w:rPr>
                <w:rFonts w:hint="eastAsia" w:ascii="Times New Roman" w:hAnsi="Times New Roman"/>
                <w:b w:val="0"/>
                <w:bCs w:val="0"/>
                <w:szCs w:val="21"/>
              </w:rPr>
            </w:pPr>
            <w:r>
              <w:rPr>
                <w:rFonts w:hint="eastAsia" w:ascii="Times New Roman" w:hAnsi="Times New Roman"/>
                <w:b w:val="0"/>
                <w:bCs w:val="0"/>
                <w:szCs w:val="21"/>
              </w:rPr>
              <w:t>（2）所有螺丝位无毛刺不刮手，桌角及边沿采用圆角/圆边处理以及安全防撞设计，最大程度的避免儿童磕碰伤害，结构稳固。</w:t>
            </w:r>
          </w:p>
        </w:tc>
      </w:tr>
      <w:tr w14:paraId="16A43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3" w:type="pct"/>
            <w:vMerge w:val="continue"/>
            <w:noWrap w:val="0"/>
            <w:vAlign w:val="center"/>
          </w:tcPr>
          <w:p w14:paraId="3B0891E0">
            <w:pPr>
              <w:jc w:val="center"/>
              <w:rPr>
                <w:b/>
                <w:szCs w:val="21"/>
              </w:rPr>
            </w:pPr>
          </w:p>
        </w:tc>
        <w:tc>
          <w:tcPr>
            <w:tcW w:w="440" w:type="pct"/>
            <w:vMerge w:val="continue"/>
            <w:noWrap w:val="0"/>
            <w:vAlign w:val="top"/>
          </w:tcPr>
          <w:p w14:paraId="36E6A032">
            <w:pPr>
              <w:jc w:val="center"/>
              <w:rPr>
                <w:rFonts w:hint="eastAsia" w:ascii="Times New Roman" w:hAnsi="Times New Roman"/>
                <w:szCs w:val="21"/>
              </w:rPr>
            </w:pPr>
          </w:p>
        </w:tc>
        <w:tc>
          <w:tcPr>
            <w:tcW w:w="4225" w:type="pct"/>
            <w:noWrap w:val="0"/>
            <w:vAlign w:val="top"/>
          </w:tcPr>
          <w:p w14:paraId="222B8064">
            <w:pPr>
              <w:jc w:val="left"/>
              <w:rPr>
                <w:rFonts w:hint="eastAsia" w:ascii="Times New Roman" w:hAnsi="Times New Roman"/>
                <w:b w:val="0"/>
                <w:bCs w:val="0"/>
                <w:szCs w:val="21"/>
              </w:rPr>
            </w:pPr>
            <w:r>
              <w:rPr>
                <w:rFonts w:hint="eastAsia" w:ascii="Times New Roman" w:hAnsi="Times New Roman"/>
                <w:b w:val="0"/>
                <w:bCs w:val="0"/>
                <w:szCs w:val="21"/>
              </w:rPr>
              <w:t>2、外观结构及材质：</w:t>
            </w:r>
          </w:p>
          <w:p w14:paraId="7341A644">
            <w:pPr>
              <w:jc w:val="left"/>
              <w:rPr>
                <w:rFonts w:hint="eastAsia" w:ascii="Times New Roman" w:hAnsi="Times New Roman"/>
                <w:b w:val="0"/>
                <w:bCs w:val="0"/>
                <w:szCs w:val="21"/>
              </w:rPr>
            </w:pPr>
            <w:r>
              <w:rPr>
                <w:rFonts w:hint="eastAsia" w:ascii="Times New Roman" w:hAnsi="Times New Roman"/>
                <w:b w:val="0"/>
                <w:bCs w:val="0"/>
                <w:szCs w:val="21"/>
              </w:rPr>
              <w:t>（1）桌面：采用厚度30mm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b w:val="0"/>
                <w:bCs w:val="0"/>
                <w:szCs w:val="21"/>
              </w:rPr>
              <w:t>的橡胶木拼板搭配防火板贴面加工而成，耐刮耐磨，长时间使用不褪色、不容易开裂；立水尺寸L462xW60xH18mm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b w:val="0"/>
                <w:bCs w:val="0"/>
                <w:szCs w:val="21"/>
              </w:rPr>
              <w:t>结构稳固。</w:t>
            </w:r>
          </w:p>
          <w:p w14:paraId="0D2B2417">
            <w:pPr>
              <w:jc w:val="left"/>
              <w:rPr>
                <w:rFonts w:hint="eastAsia" w:ascii="Times New Roman" w:hAnsi="Times New Roman"/>
                <w:b w:val="0"/>
                <w:bCs w:val="0"/>
                <w:szCs w:val="21"/>
              </w:rPr>
            </w:pPr>
            <w:r>
              <w:rPr>
                <w:rFonts w:hint="eastAsia" w:ascii="Times New Roman" w:hAnsi="Times New Roman"/>
                <w:b w:val="0"/>
                <w:bCs w:val="0"/>
                <w:szCs w:val="21"/>
              </w:rPr>
              <w:t>（2）桌脚：采橡胶木实木，厚实纹路清晰，边沿均采用圆边处理；底部安装塑料脚垫，软性防滑，可有效保护地面刮花并降低噪音。</w:t>
            </w:r>
          </w:p>
          <w:p w14:paraId="42B9DA0D">
            <w:pPr>
              <w:jc w:val="left"/>
              <w:rPr>
                <w:rFonts w:hint="eastAsia" w:ascii="Times New Roman" w:hAnsi="Times New Roman"/>
                <w:b w:val="0"/>
                <w:bCs w:val="0"/>
                <w:szCs w:val="21"/>
              </w:rPr>
            </w:pPr>
            <w:r>
              <w:rPr>
                <w:rFonts w:hint="eastAsia" w:ascii="Times New Roman" w:hAnsi="Times New Roman"/>
                <w:b w:val="0"/>
                <w:bCs w:val="0"/>
                <w:szCs w:val="21"/>
              </w:rPr>
              <w:t>（3）产品整体采用的水性漆，全封闭涂装工艺，漆面光泽高透，颜色均匀，附着能力强，通透度高。桌面封边采用的水性木蜡油封边，成分天然，分子机构细小，成膜牢固，密封性好。</w:t>
            </w:r>
          </w:p>
        </w:tc>
      </w:tr>
      <w:tr w14:paraId="5CB7F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3" w:type="pct"/>
            <w:vMerge w:val="restart"/>
            <w:noWrap w:val="0"/>
            <w:vAlign w:val="center"/>
          </w:tcPr>
          <w:p w14:paraId="7D8F61D1">
            <w:pPr>
              <w:keepNext w:val="0"/>
              <w:keepLines w:val="0"/>
              <w:widowControl/>
              <w:suppressLineNumbers w:val="0"/>
              <w:jc w:val="center"/>
              <w:textAlignment w:val="center"/>
              <w:rPr>
                <w:b/>
                <w:szCs w:val="21"/>
              </w:rPr>
            </w:pPr>
            <w:r>
              <w:rPr>
                <w:rFonts w:hint="default" w:ascii="Arial" w:hAnsi="Arial" w:eastAsia="宋体" w:cs="Arial"/>
                <w:i w:val="0"/>
                <w:iCs w:val="0"/>
                <w:color w:val="000000"/>
                <w:kern w:val="0"/>
                <w:sz w:val="20"/>
                <w:szCs w:val="20"/>
                <w:u w:val="none"/>
                <w:lang w:val="en-US" w:eastAsia="zh-CN" w:bidi="ar"/>
              </w:rPr>
              <w:t xml:space="preserve">65 </w:t>
            </w:r>
          </w:p>
        </w:tc>
        <w:tc>
          <w:tcPr>
            <w:tcW w:w="440" w:type="pct"/>
            <w:vMerge w:val="restart"/>
            <w:noWrap w:val="0"/>
            <w:vAlign w:val="center"/>
          </w:tcPr>
          <w:p w14:paraId="4562F70D">
            <w:pPr>
              <w:keepNext w:val="0"/>
              <w:keepLines w:val="0"/>
              <w:widowControl/>
              <w:suppressLineNumbers w:val="0"/>
              <w:jc w:val="center"/>
              <w:textAlignment w:val="center"/>
              <w:rPr>
                <w:rFonts w:hint="eastAsia" w:ascii="Times New Roman" w:hAnsi="Times New Roman"/>
                <w:szCs w:val="21"/>
              </w:rPr>
            </w:pPr>
            <w:r>
              <w:rPr>
                <w:rFonts w:hint="eastAsia" w:ascii="宋体" w:hAnsi="宋体" w:eastAsia="宋体" w:cs="宋体"/>
                <w:i w:val="0"/>
                <w:iCs w:val="0"/>
                <w:color w:val="000000"/>
                <w:kern w:val="0"/>
                <w:sz w:val="20"/>
                <w:szCs w:val="20"/>
                <w:u w:val="none"/>
                <w:lang w:val="en-US" w:eastAsia="zh-CN" w:bidi="ar"/>
              </w:rPr>
              <w:t>一体成型椅</w:t>
            </w:r>
          </w:p>
        </w:tc>
        <w:tc>
          <w:tcPr>
            <w:tcW w:w="4225" w:type="pct"/>
            <w:noWrap w:val="0"/>
            <w:vAlign w:val="center"/>
          </w:tcPr>
          <w:p w14:paraId="7456F22C">
            <w:pPr>
              <w:jc w:val="left"/>
              <w:rPr>
                <w:rFonts w:hint="eastAsia" w:ascii="Times New Roman" w:hAnsi="Times New Roman"/>
                <w:b w:val="0"/>
                <w:bCs w:val="0"/>
                <w:szCs w:val="21"/>
              </w:rPr>
            </w:pPr>
            <w:r>
              <w:rPr>
                <w:rFonts w:hint="eastAsia" w:ascii="Times New Roman" w:hAnsi="Times New Roman"/>
                <w:b w:val="0"/>
                <w:bCs w:val="0"/>
                <w:szCs w:val="21"/>
              </w:rPr>
              <w:t>规格：L47xW46.5xH73cm（±3cm）（座高41cm（±3cm））</w:t>
            </w:r>
          </w:p>
        </w:tc>
      </w:tr>
      <w:tr w14:paraId="204BF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3" w:type="pct"/>
            <w:vMerge w:val="continue"/>
            <w:noWrap w:val="0"/>
            <w:vAlign w:val="center"/>
          </w:tcPr>
          <w:p w14:paraId="4912F8F0">
            <w:pPr>
              <w:jc w:val="center"/>
              <w:rPr>
                <w:b/>
                <w:szCs w:val="21"/>
              </w:rPr>
            </w:pPr>
          </w:p>
        </w:tc>
        <w:tc>
          <w:tcPr>
            <w:tcW w:w="440" w:type="pct"/>
            <w:vMerge w:val="continue"/>
            <w:noWrap w:val="0"/>
            <w:vAlign w:val="top"/>
          </w:tcPr>
          <w:p w14:paraId="344888BD">
            <w:pPr>
              <w:jc w:val="center"/>
              <w:rPr>
                <w:rFonts w:hint="eastAsia" w:ascii="Times New Roman" w:hAnsi="Times New Roman"/>
                <w:szCs w:val="21"/>
              </w:rPr>
            </w:pPr>
          </w:p>
        </w:tc>
        <w:tc>
          <w:tcPr>
            <w:tcW w:w="4225" w:type="pct"/>
            <w:noWrap w:val="0"/>
            <w:vAlign w:val="top"/>
          </w:tcPr>
          <w:p w14:paraId="21D818F7">
            <w:pPr>
              <w:jc w:val="left"/>
              <w:rPr>
                <w:rFonts w:hint="eastAsia" w:ascii="Times New Roman" w:hAnsi="Times New Roman"/>
                <w:b w:val="0"/>
                <w:bCs w:val="0"/>
                <w:szCs w:val="21"/>
              </w:rPr>
            </w:pPr>
            <w:r>
              <w:rPr>
                <w:rFonts w:hint="eastAsia" w:ascii="Times New Roman" w:hAnsi="Times New Roman"/>
                <w:b w:val="0"/>
                <w:bCs w:val="0"/>
                <w:szCs w:val="21"/>
              </w:rPr>
              <w:t>1、工艺设计：</w:t>
            </w:r>
          </w:p>
          <w:p w14:paraId="61775969">
            <w:pPr>
              <w:jc w:val="left"/>
              <w:rPr>
                <w:rFonts w:hint="eastAsia" w:ascii="Times New Roman" w:hAnsi="Times New Roman"/>
                <w:b w:val="0"/>
                <w:bCs w:val="0"/>
                <w:szCs w:val="21"/>
              </w:rPr>
            </w:pPr>
            <w:r>
              <w:rPr>
                <w:rFonts w:hint="eastAsia" w:ascii="Times New Roman" w:hAnsi="Times New Roman"/>
                <w:b w:val="0"/>
                <w:bCs w:val="0"/>
                <w:szCs w:val="21"/>
              </w:rPr>
              <w:t>（1）椅子整体一次加工完成材料切割、一体成型，无须拼接，线条流畅。</w:t>
            </w:r>
          </w:p>
          <w:p w14:paraId="783185D2">
            <w:pPr>
              <w:jc w:val="left"/>
              <w:rPr>
                <w:rFonts w:hint="eastAsia" w:ascii="Times New Roman" w:hAnsi="Times New Roman"/>
                <w:b w:val="0"/>
                <w:bCs w:val="0"/>
                <w:szCs w:val="21"/>
              </w:rPr>
            </w:pPr>
            <w:r>
              <w:rPr>
                <w:rFonts w:hint="eastAsia" w:ascii="Times New Roman" w:hAnsi="Times New Roman"/>
                <w:b w:val="0"/>
                <w:bCs w:val="0"/>
                <w:szCs w:val="21"/>
              </w:rPr>
              <w:t>（2）几何图形挖孔设计，手提叠放轻松方便。</w:t>
            </w:r>
          </w:p>
          <w:p w14:paraId="14DCBD65">
            <w:pPr>
              <w:jc w:val="left"/>
              <w:rPr>
                <w:rFonts w:hint="eastAsia" w:ascii="Times New Roman" w:hAnsi="Times New Roman"/>
                <w:b w:val="0"/>
                <w:bCs w:val="0"/>
                <w:szCs w:val="21"/>
              </w:rPr>
            </w:pPr>
            <w:r>
              <w:rPr>
                <w:rFonts w:hint="eastAsia" w:ascii="Times New Roman" w:hAnsi="Times New Roman"/>
                <w:b w:val="0"/>
                <w:bCs w:val="0"/>
                <w:szCs w:val="21"/>
              </w:rPr>
              <w:t>（3）座板前高后低倾角设计，靠背弧形贴合腰背，适应人体曲线，符合人体力学，呵护儿童脊椎发育，孩子久坐不累。</w:t>
            </w:r>
          </w:p>
          <w:p w14:paraId="4798EEB9">
            <w:pPr>
              <w:jc w:val="left"/>
              <w:rPr>
                <w:rFonts w:hint="eastAsia" w:ascii="Times New Roman" w:hAnsi="Times New Roman"/>
                <w:b w:val="0"/>
                <w:bCs w:val="0"/>
                <w:szCs w:val="21"/>
              </w:rPr>
            </w:pPr>
            <w:r>
              <w:rPr>
                <w:rFonts w:hint="eastAsia" w:ascii="Times New Roman" w:hAnsi="Times New Roman"/>
                <w:b w:val="0"/>
                <w:bCs w:val="0"/>
                <w:szCs w:val="21"/>
              </w:rPr>
              <w:t>（4）所有螺丝位无毛刺不刮手，边角采用圆边/圆角处理以及安全防撞设计，最大程度的避免儿童磕碰伤害，结构稳固。</w:t>
            </w:r>
          </w:p>
          <w:p w14:paraId="36D98A67">
            <w:pPr>
              <w:jc w:val="left"/>
              <w:rPr>
                <w:rFonts w:hint="eastAsia" w:ascii="Times New Roman" w:hAnsi="Times New Roman"/>
                <w:b w:val="0"/>
                <w:bCs w:val="0"/>
                <w:szCs w:val="21"/>
              </w:rPr>
            </w:pPr>
          </w:p>
        </w:tc>
      </w:tr>
      <w:tr w14:paraId="7FDAB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3" w:type="pct"/>
            <w:vMerge w:val="continue"/>
            <w:noWrap w:val="0"/>
            <w:vAlign w:val="center"/>
          </w:tcPr>
          <w:p w14:paraId="3676750F">
            <w:pPr>
              <w:jc w:val="center"/>
              <w:rPr>
                <w:b/>
                <w:szCs w:val="21"/>
              </w:rPr>
            </w:pPr>
          </w:p>
        </w:tc>
        <w:tc>
          <w:tcPr>
            <w:tcW w:w="440" w:type="pct"/>
            <w:vMerge w:val="continue"/>
            <w:noWrap w:val="0"/>
            <w:vAlign w:val="top"/>
          </w:tcPr>
          <w:p w14:paraId="29F00DE2">
            <w:pPr>
              <w:jc w:val="center"/>
              <w:rPr>
                <w:rFonts w:hint="eastAsia" w:ascii="Times New Roman" w:hAnsi="Times New Roman"/>
                <w:szCs w:val="21"/>
              </w:rPr>
            </w:pPr>
          </w:p>
        </w:tc>
        <w:tc>
          <w:tcPr>
            <w:tcW w:w="4225" w:type="pct"/>
            <w:noWrap w:val="0"/>
            <w:vAlign w:val="top"/>
          </w:tcPr>
          <w:p w14:paraId="72320823">
            <w:pPr>
              <w:jc w:val="left"/>
              <w:rPr>
                <w:rFonts w:hint="eastAsia" w:ascii="Times New Roman" w:hAnsi="Times New Roman"/>
                <w:b w:val="0"/>
                <w:bCs w:val="0"/>
                <w:szCs w:val="21"/>
              </w:rPr>
            </w:pPr>
            <w:r>
              <w:rPr>
                <w:rFonts w:hint="eastAsia" w:ascii="Times New Roman" w:hAnsi="Times New Roman"/>
                <w:b w:val="0"/>
                <w:bCs w:val="0"/>
                <w:szCs w:val="21"/>
              </w:rPr>
              <w:t>2、外观结构及材质：</w:t>
            </w:r>
          </w:p>
          <w:p w14:paraId="7B011F73">
            <w:pPr>
              <w:jc w:val="left"/>
              <w:rPr>
                <w:rFonts w:hint="eastAsia" w:ascii="Times New Roman" w:hAnsi="Times New Roman"/>
                <w:b w:val="0"/>
                <w:bCs w:val="0"/>
                <w:szCs w:val="21"/>
              </w:rPr>
            </w:pPr>
            <w:r>
              <w:rPr>
                <w:rFonts w:hint="eastAsia" w:ascii="Times New Roman" w:hAnsi="Times New Roman"/>
                <w:b w:val="0"/>
                <w:bCs w:val="0"/>
                <w:szCs w:val="21"/>
              </w:rPr>
              <w:t>（1）采用厚度15mm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b w:val="0"/>
                <w:bCs w:val="0"/>
                <w:szCs w:val="21"/>
              </w:rPr>
              <w:t>的实木多层板（弯板），椅子座高：410mm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b w:val="0"/>
                <w:bCs w:val="0"/>
                <w:szCs w:val="21"/>
              </w:rPr>
              <w:t>。座板底部与支撑脚弯曲处安装V型加固角码，角码采用塑料，打磨圆滑，尺寸为L127xW95xH27mm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b w:val="0"/>
                <w:bCs w:val="0"/>
                <w:szCs w:val="21"/>
              </w:rPr>
              <w:t>呈浅咖色，更好的还原自然原木色，有效增加支撑脚牢固强度。</w:t>
            </w:r>
          </w:p>
          <w:p w14:paraId="7E821A3F">
            <w:pPr>
              <w:jc w:val="left"/>
              <w:rPr>
                <w:rFonts w:hint="eastAsia" w:ascii="Times New Roman" w:hAnsi="Times New Roman"/>
                <w:b w:val="0"/>
                <w:bCs w:val="0"/>
                <w:szCs w:val="21"/>
              </w:rPr>
            </w:pPr>
            <w:r>
              <w:rPr>
                <w:rFonts w:hint="eastAsia" w:ascii="Times New Roman" w:hAnsi="Times New Roman"/>
                <w:b w:val="0"/>
                <w:bCs w:val="0"/>
                <w:szCs w:val="21"/>
              </w:rPr>
              <w:t>（2）椅脚与座板弧形相连一体成型，底部使用塑料脚套包裹，尺寸为41.8x18x42.8mm(±</w:t>
            </w:r>
            <w:r>
              <w:rPr>
                <w:rFonts w:hint="eastAsia" w:ascii="Times New Roman" w:hAnsi="Times New Roman"/>
                <w:b w:val="0"/>
                <w:bCs w:val="0"/>
                <w:szCs w:val="21"/>
                <w:lang w:val="en-US" w:eastAsia="zh-CN"/>
              </w:rPr>
              <w:t>3</w:t>
            </w:r>
            <w:r>
              <w:rPr>
                <w:rFonts w:hint="eastAsia" w:ascii="Times New Roman" w:hAnsi="Times New Roman"/>
                <w:b w:val="0"/>
                <w:bCs w:val="0"/>
                <w:szCs w:val="21"/>
              </w:rPr>
              <w:t>mm)，加厚耐磨，防滑不易脱落，可有效保护地面刮花并降低噪音。</w:t>
            </w:r>
          </w:p>
          <w:p w14:paraId="392C2326">
            <w:pPr>
              <w:jc w:val="left"/>
              <w:rPr>
                <w:rFonts w:hint="eastAsia" w:ascii="Times New Roman" w:hAnsi="Times New Roman"/>
                <w:b w:val="0"/>
                <w:bCs w:val="0"/>
                <w:szCs w:val="21"/>
              </w:rPr>
            </w:pPr>
            <w:r>
              <w:rPr>
                <w:rFonts w:hint="eastAsia" w:ascii="Times New Roman" w:hAnsi="Times New Roman"/>
                <w:b w:val="0"/>
                <w:bCs w:val="0"/>
                <w:szCs w:val="21"/>
              </w:rPr>
              <w:t>（3）靠背圆矩形挖孔设计，手提叠放轻松方便。</w:t>
            </w:r>
          </w:p>
        </w:tc>
      </w:tr>
      <w:tr w14:paraId="68E28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3" w:type="pct"/>
            <w:vMerge w:val="restart"/>
            <w:noWrap w:val="0"/>
            <w:vAlign w:val="center"/>
          </w:tcPr>
          <w:p w14:paraId="6E24631B">
            <w:pPr>
              <w:keepNext w:val="0"/>
              <w:keepLines w:val="0"/>
              <w:widowControl/>
              <w:suppressLineNumbers w:val="0"/>
              <w:jc w:val="center"/>
              <w:textAlignment w:val="center"/>
              <w:rPr>
                <w:b/>
                <w:szCs w:val="21"/>
              </w:rPr>
            </w:pPr>
            <w:r>
              <w:rPr>
                <w:rFonts w:hint="default" w:ascii="Arial" w:hAnsi="Arial" w:eastAsia="宋体" w:cs="Arial"/>
                <w:i w:val="0"/>
                <w:iCs w:val="0"/>
                <w:color w:val="000000"/>
                <w:kern w:val="0"/>
                <w:sz w:val="20"/>
                <w:szCs w:val="20"/>
                <w:u w:val="none"/>
                <w:lang w:val="en-US" w:eastAsia="zh-CN" w:bidi="ar"/>
              </w:rPr>
              <w:t xml:space="preserve">66 </w:t>
            </w:r>
          </w:p>
        </w:tc>
        <w:tc>
          <w:tcPr>
            <w:tcW w:w="440" w:type="pct"/>
            <w:vMerge w:val="restart"/>
            <w:noWrap w:val="0"/>
            <w:vAlign w:val="center"/>
          </w:tcPr>
          <w:p w14:paraId="412E598C">
            <w:pPr>
              <w:keepNext w:val="0"/>
              <w:keepLines w:val="0"/>
              <w:widowControl/>
              <w:suppressLineNumbers w:val="0"/>
              <w:jc w:val="center"/>
              <w:textAlignment w:val="center"/>
              <w:rPr>
                <w:rFonts w:hint="eastAsia" w:ascii="Times New Roman" w:hAnsi="Times New Roman"/>
                <w:szCs w:val="21"/>
              </w:rPr>
            </w:pPr>
            <w:r>
              <w:rPr>
                <w:rFonts w:hint="eastAsia" w:ascii="宋体" w:hAnsi="宋体" w:eastAsia="宋体" w:cs="宋体"/>
                <w:i w:val="0"/>
                <w:iCs w:val="0"/>
                <w:color w:val="000000"/>
                <w:kern w:val="0"/>
                <w:sz w:val="20"/>
                <w:szCs w:val="20"/>
                <w:u w:val="none"/>
                <w:lang w:val="en-US" w:eastAsia="zh-CN" w:bidi="ar"/>
              </w:rPr>
              <w:t>3层短柜高柜.半背板</w:t>
            </w:r>
          </w:p>
        </w:tc>
        <w:tc>
          <w:tcPr>
            <w:tcW w:w="4225" w:type="pct"/>
            <w:noWrap w:val="0"/>
            <w:vAlign w:val="center"/>
          </w:tcPr>
          <w:p w14:paraId="4254B824">
            <w:pPr>
              <w:jc w:val="left"/>
              <w:rPr>
                <w:rFonts w:hint="eastAsia" w:ascii="Times New Roman" w:hAnsi="Times New Roman"/>
                <w:b w:val="0"/>
                <w:bCs w:val="0"/>
                <w:szCs w:val="21"/>
              </w:rPr>
            </w:pPr>
            <w:r>
              <w:rPr>
                <w:rFonts w:hint="eastAsia" w:ascii="Times New Roman" w:hAnsi="Times New Roman"/>
                <w:b w:val="0"/>
                <w:bCs w:val="0"/>
                <w:szCs w:val="21"/>
              </w:rPr>
              <w:t>规格：L61.5xW30xH80cm（±3cm）</w:t>
            </w:r>
          </w:p>
        </w:tc>
      </w:tr>
      <w:tr w14:paraId="50AF8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3" w:type="pct"/>
            <w:vMerge w:val="continue"/>
            <w:noWrap w:val="0"/>
            <w:vAlign w:val="center"/>
          </w:tcPr>
          <w:p w14:paraId="33E84A17">
            <w:pPr>
              <w:jc w:val="center"/>
              <w:rPr>
                <w:b/>
                <w:szCs w:val="21"/>
              </w:rPr>
            </w:pPr>
          </w:p>
        </w:tc>
        <w:tc>
          <w:tcPr>
            <w:tcW w:w="440" w:type="pct"/>
            <w:vMerge w:val="continue"/>
            <w:noWrap w:val="0"/>
            <w:vAlign w:val="top"/>
          </w:tcPr>
          <w:p w14:paraId="54E51FD9">
            <w:pPr>
              <w:jc w:val="center"/>
              <w:rPr>
                <w:rFonts w:hint="eastAsia" w:ascii="Times New Roman" w:hAnsi="Times New Roman"/>
                <w:szCs w:val="21"/>
              </w:rPr>
            </w:pPr>
          </w:p>
        </w:tc>
        <w:tc>
          <w:tcPr>
            <w:tcW w:w="4225" w:type="pct"/>
            <w:noWrap w:val="0"/>
            <w:vAlign w:val="top"/>
          </w:tcPr>
          <w:p w14:paraId="52F152E3">
            <w:pPr>
              <w:jc w:val="left"/>
              <w:rPr>
                <w:rFonts w:hint="eastAsia" w:ascii="Times New Roman" w:hAnsi="Times New Roman"/>
                <w:b w:val="0"/>
                <w:bCs w:val="0"/>
                <w:szCs w:val="21"/>
              </w:rPr>
            </w:pPr>
            <w:r>
              <w:rPr>
                <w:rFonts w:hint="eastAsia" w:ascii="Times New Roman" w:hAnsi="Times New Roman"/>
                <w:b w:val="0"/>
                <w:bCs w:val="0"/>
                <w:szCs w:val="21"/>
              </w:rPr>
              <w:t>1、工艺设计：</w:t>
            </w:r>
          </w:p>
          <w:p w14:paraId="36C094E2">
            <w:pPr>
              <w:jc w:val="left"/>
              <w:rPr>
                <w:rFonts w:hint="eastAsia" w:ascii="Times New Roman" w:hAnsi="Times New Roman"/>
                <w:b w:val="0"/>
                <w:bCs w:val="0"/>
                <w:szCs w:val="21"/>
              </w:rPr>
            </w:pPr>
            <w:r>
              <w:rPr>
                <w:rFonts w:hint="eastAsia" w:ascii="Times New Roman" w:hAnsi="Times New Roman"/>
                <w:b w:val="0"/>
                <w:bCs w:val="0"/>
                <w:szCs w:val="21"/>
              </w:rPr>
              <w:t>（1）采用翻板活动轮工艺，移动/固定自由切换。</w:t>
            </w:r>
          </w:p>
          <w:p w14:paraId="6A153A76">
            <w:pPr>
              <w:jc w:val="left"/>
              <w:rPr>
                <w:rFonts w:hint="eastAsia" w:ascii="Times New Roman" w:hAnsi="Times New Roman"/>
                <w:b w:val="0"/>
                <w:bCs w:val="0"/>
                <w:szCs w:val="21"/>
              </w:rPr>
            </w:pPr>
            <w:r>
              <w:rPr>
                <w:rFonts w:hint="eastAsia" w:ascii="Times New Roman" w:hAnsi="Times New Roman"/>
                <w:b w:val="0"/>
                <w:bCs w:val="0"/>
                <w:szCs w:val="21"/>
              </w:rPr>
              <w:t>（2）所有螺丝位无毛刺不刮手，四角及边沿采用圆角/圆边处理以及安全防撞设计，最大程度的避免儿童磕碰伤害，结构稳固。</w:t>
            </w:r>
          </w:p>
        </w:tc>
      </w:tr>
      <w:tr w14:paraId="45499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3" w:type="pct"/>
            <w:vMerge w:val="continue"/>
            <w:noWrap w:val="0"/>
            <w:vAlign w:val="center"/>
          </w:tcPr>
          <w:p w14:paraId="73888095">
            <w:pPr>
              <w:jc w:val="center"/>
              <w:rPr>
                <w:b/>
                <w:szCs w:val="21"/>
              </w:rPr>
            </w:pPr>
          </w:p>
        </w:tc>
        <w:tc>
          <w:tcPr>
            <w:tcW w:w="440" w:type="pct"/>
            <w:vMerge w:val="continue"/>
            <w:noWrap w:val="0"/>
            <w:vAlign w:val="top"/>
          </w:tcPr>
          <w:p w14:paraId="4E3C2645">
            <w:pPr>
              <w:jc w:val="center"/>
              <w:rPr>
                <w:rFonts w:hint="eastAsia" w:ascii="Times New Roman" w:hAnsi="Times New Roman"/>
                <w:szCs w:val="21"/>
              </w:rPr>
            </w:pPr>
          </w:p>
        </w:tc>
        <w:tc>
          <w:tcPr>
            <w:tcW w:w="4225" w:type="pct"/>
            <w:noWrap w:val="0"/>
            <w:vAlign w:val="top"/>
          </w:tcPr>
          <w:p w14:paraId="604D4615">
            <w:pPr>
              <w:jc w:val="left"/>
              <w:rPr>
                <w:rFonts w:hint="eastAsia" w:ascii="Times New Roman" w:hAnsi="Times New Roman"/>
                <w:b w:val="0"/>
                <w:bCs w:val="0"/>
                <w:szCs w:val="21"/>
              </w:rPr>
            </w:pPr>
            <w:r>
              <w:rPr>
                <w:rFonts w:hint="eastAsia" w:ascii="Times New Roman" w:hAnsi="Times New Roman"/>
                <w:b w:val="0"/>
                <w:bCs w:val="0"/>
                <w:szCs w:val="21"/>
              </w:rPr>
              <w:t>2、外观结构及材质：</w:t>
            </w:r>
          </w:p>
          <w:p w14:paraId="2DE5C544">
            <w:pPr>
              <w:jc w:val="left"/>
              <w:rPr>
                <w:rFonts w:hint="eastAsia" w:ascii="Times New Roman" w:hAnsi="Times New Roman"/>
                <w:b w:val="0"/>
                <w:bCs w:val="0"/>
                <w:szCs w:val="21"/>
              </w:rPr>
            </w:pPr>
            <w:r>
              <w:rPr>
                <w:rFonts w:hint="eastAsia" w:ascii="Times New Roman" w:hAnsi="Times New Roman"/>
                <w:b w:val="0"/>
                <w:bCs w:val="0"/>
                <w:szCs w:val="21"/>
              </w:rPr>
              <w:t>（1）柜体：采用16mm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b w:val="0"/>
                <w:bCs w:val="0"/>
                <w:szCs w:val="21"/>
              </w:rPr>
              <w:t>的橡胶木拼板。共三层，属于短柜高柜，可用于补充区角空间，增加层次；上二层格子内空：586x300x222mm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b w:val="0"/>
                <w:bCs w:val="0"/>
                <w:szCs w:val="21"/>
              </w:rPr>
              <w:t>，下层格子内空：586x280x222mm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b w:val="0"/>
                <w:bCs w:val="0"/>
                <w:szCs w:val="21"/>
              </w:rPr>
              <w:t>。背板采用厚度5mm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b w:val="0"/>
                <w:bCs w:val="0"/>
                <w:szCs w:val="21"/>
              </w:rPr>
              <w:t>的饰面实木纤维板。</w:t>
            </w:r>
          </w:p>
          <w:p w14:paraId="5EB30BFD">
            <w:pPr>
              <w:jc w:val="left"/>
              <w:rPr>
                <w:rFonts w:hint="eastAsia" w:ascii="Times New Roman" w:hAnsi="Times New Roman"/>
                <w:b w:val="0"/>
                <w:bCs w:val="0"/>
                <w:szCs w:val="21"/>
              </w:rPr>
            </w:pPr>
            <w:r>
              <w:rPr>
                <w:rFonts w:hint="eastAsia" w:ascii="Times New Roman" w:hAnsi="Times New Roman"/>
                <w:b w:val="0"/>
                <w:bCs w:val="0"/>
                <w:szCs w:val="21"/>
              </w:rPr>
              <w:t>（2）围脚：采用厚度18mm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b w:val="0"/>
                <w:bCs w:val="0"/>
                <w:szCs w:val="21"/>
              </w:rPr>
              <w:t>的橡胶木拼板。柜体与底部围脚采用塑料连接件实现翻板功能，脚轮为静音万向轮，安装在围脚侧板内，当家具固定时，围脚侧板向下翻，万向轮则隐藏于侧板内；当家具需要移动时，围脚侧板向上翻，塑料连接件卡扣对侧板进行固定，万向轮支撑起家具的重量，无须抬起轻松实现家具位置转移。</w:t>
            </w:r>
          </w:p>
          <w:p w14:paraId="105F9AD5">
            <w:pPr>
              <w:jc w:val="left"/>
              <w:rPr>
                <w:rFonts w:hint="eastAsia" w:ascii="Times New Roman" w:hAnsi="Times New Roman"/>
                <w:b w:val="0"/>
                <w:bCs w:val="0"/>
                <w:szCs w:val="21"/>
              </w:rPr>
            </w:pPr>
            <w:r>
              <w:rPr>
                <w:rFonts w:hint="eastAsia" w:ascii="Times New Roman" w:hAnsi="Times New Roman"/>
                <w:b w:val="0"/>
                <w:bCs w:val="0"/>
                <w:szCs w:val="21"/>
              </w:rPr>
              <w:t>（3）采用的水性漆，全封闭涂装工艺，漆面光泽高透，颜色均匀。</w:t>
            </w:r>
          </w:p>
        </w:tc>
      </w:tr>
      <w:tr w14:paraId="0346B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3" w:type="pct"/>
            <w:vMerge w:val="restart"/>
            <w:noWrap w:val="0"/>
            <w:vAlign w:val="center"/>
          </w:tcPr>
          <w:p w14:paraId="4FC1FFCC">
            <w:pPr>
              <w:keepNext w:val="0"/>
              <w:keepLines w:val="0"/>
              <w:widowControl/>
              <w:suppressLineNumbers w:val="0"/>
              <w:jc w:val="center"/>
              <w:textAlignment w:val="center"/>
              <w:rPr>
                <w:b/>
                <w:szCs w:val="21"/>
              </w:rPr>
            </w:pPr>
            <w:r>
              <w:rPr>
                <w:rFonts w:hint="default" w:ascii="Arial" w:hAnsi="Arial" w:eastAsia="宋体" w:cs="Arial"/>
                <w:i w:val="0"/>
                <w:iCs w:val="0"/>
                <w:color w:val="000000"/>
                <w:kern w:val="0"/>
                <w:sz w:val="20"/>
                <w:szCs w:val="20"/>
                <w:u w:val="none"/>
                <w:lang w:val="en-US" w:eastAsia="zh-CN" w:bidi="ar"/>
              </w:rPr>
              <w:t xml:space="preserve">67 </w:t>
            </w:r>
          </w:p>
        </w:tc>
        <w:tc>
          <w:tcPr>
            <w:tcW w:w="440" w:type="pct"/>
            <w:vMerge w:val="restart"/>
            <w:noWrap w:val="0"/>
            <w:vAlign w:val="center"/>
          </w:tcPr>
          <w:p w14:paraId="23714413">
            <w:pPr>
              <w:keepNext w:val="0"/>
              <w:keepLines w:val="0"/>
              <w:widowControl/>
              <w:suppressLineNumbers w:val="0"/>
              <w:jc w:val="center"/>
              <w:textAlignment w:val="center"/>
              <w:rPr>
                <w:rFonts w:hint="eastAsia" w:ascii="Times New Roman" w:hAnsi="Times New Roman"/>
                <w:szCs w:val="21"/>
              </w:rPr>
            </w:pPr>
            <w:r>
              <w:rPr>
                <w:rFonts w:hint="eastAsia" w:ascii="宋体" w:hAnsi="宋体" w:eastAsia="宋体" w:cs="宋体"/>
                <w:i w:val="0"/>
                <w:iCs w:val="0"/>
                <w:color w:val="000000"/>
                <w:kern w:val="0"/>
                <w:sz w:val="20"/>
                <w:szCs w:val="20"/>
                <w:u w:val="none"/>
                <w:lang w:val="en-US" w:eastAsia="zh-CN" w:bidi="ar"/>
              </w:rPr>
              <w:t>3层矮柜.可调节.无背板</w:t>
            </w:r>
          </w:p>
        </w:tc>
        <w:tc>
          <w:tcPr>
            <w:tcW w:w="4225" w:type="pct"/>
            <w:noWrap w:val="0"/>
            <w:vAlign w:val="center"/>
          </w:tcPr>
          <w:p w14:paraId="20EADB3D">
            <w:pPr>
              <w:jc w:val="left"/>
              <w:rPr>
                <w:rFonts w:hint="eastAsia" w:ascii="Times New Roman" w:hAnsi="Times New Roman"/>
                <w:b w:val="0"/>
                <w:bCs w:val="0"/>
                <w:szCs w:val="21"/>
              </w:rPr>
            </w:pPr>
            <w:r>
              <w:rPr>
                <w:rFonts w:hint="eastAsia" w:ascii="Times New Roman" w:hAnsi="Times New Roman"/>
                <w:b w:val="0"/>
                <w:bCs w:val="0"/>
                <w:szCs w:val="21"/>
              </w:rPr>
              <w:t>规格：L91.5xW30xH59cm（±3cm）</w:t>
            </w:r>
          </w:p>
        </w:tc>
      </w:tr>
      <w:tr w14:paraId="4A346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333" w:type="pct"/>
            <w:vMerge w:val="continue"/>
            <w:noWrap w:val="0"/>
            <w:vAlign w:val="center"/>
          </w:tcPr>
          <w:p w14:paraId="3A3DC724">
            <w:pPr>
              <w:jc w:val="center"/>
              <w:rPr>
                <w:b/>
                <w:szCs w:val="21"/>
              </w:rPr>
            </w:pPr>
          </w:p>
        </w:tc>
        <w:tc>
          <w:tcPr>
            <w:tcW w:w="440" w:type="pct"/>
            <w:vMerge w:val="continue"/>
            <w:noWrap w:val="0"/>
            <w:vAlign w:val="top"/>
          </w:tcPr>
          <w:p w14:paraId="5754D846">
            <w:pPr>
              <w:jc w:val="center"/>
              <w:rPr>
                <w:rFonts w:hint="eastAsia" w:ascii="Times New Roman" w:hAnsi="Times New Roman"/>
                <w:szCs w:val="21"/>
              </w:rPr>
            </w:pPr>
          </w:p>
        </w:tc>
        <w:tc>
          <w:tcPr>
            <w:tcW w:w="4225" w:type="pct"/>
            <w:noWrap w:val="0"/>
            <w:vAlign w:val="top"/>
          </w:tcPr>
          <w:p w14:paraId="1F359341">
            <w:pPr>
              <w:jc w:val="left"/>
              <w:rPr>
                <w:rFonts w:hint="eastAsia" w:ascii="Times New Roman" w:hAnsi="Times New Roman"/>
                <w:b w:val="0"/>
                <w:bCs w:val="0"/>
                <w:szCs w:val="21"/>
              </w:rPr>
            </w:pPr>
            <w:r>
              <w:rPr>
                <w:rFonts w:hint="eastAsia" w:ascii="Times New Roman" w:hAnsi="Times New Roman"/>
                <w:b w:val="0"/>
                <w:bCs w:val="0"/>
                <w:szCs w:val="21"/>
              </w:rPr>
              <w:t>1、工艺设计：</w:t>
            </w:r>
          </w:p>
          <w:p w14:paraId="3F581C3E">
            <w:pPr>
              <w:jc w:val="left"/>
              <w:rPr>
                <w:rFonts w:hint="eastAsia" w:ascii="Times New Roman" w:hAnsi="Times New Roman"/>
                <w:b w:val="0"/>
                <w:bCs w:val="0"/>
                <w:szCs w:val="21"/>
              </w:rPr>
            </w:pPr>
            <w:r>
              <w:rPr>
                <w:rFonts w:hint="eastAsia" w:ascii="Times New Roman" w:hAnsi="Times New Roman"/>
                <w:b w:val="0"/>
                <w:bCs w:val="0"/>
                <w:szCs w:val="21"/>
              </w:rPr>
              <w:t>（1）采用翻板活动轮工艺，移动/固定自由切换。</w:t>
            </w:r>
          </w:p>
          <w:p w14:paraId="6B2FDFC8">
            <w:pPr>
              <w:jc w:val="left"/>
              <w:rPr>
                <w:rFonts w:hint="eastAsia" w:ascii="Times New Roman" w:hAnsi="Times New Roman"/>
                <w:b w:val="0"/>
                <w:bCs w:val="0"/>
                <w:szCs w:val="21"/>
              </w:rPr>
            </w:pPr>
            <w:r>
              <w:rPr>
                <w:rFonts w:hint="eastAsia" w:ascii="Times New Roman" w:hAnsi="Times New Roman"/>
                <w:b w:val="0"/>
                <w:bCs w:val="0"/>
                <w:szCs w:val="21"/>
              </w:rPr>
              <w:t>（2）层板可调设计，提高空间利用率。</w:t>
            </w:r>
          </w:p>
          <w:p w14:paraId="6E1D0253">
            <w:pPr>
              <w:jc w:val="left"/>
              <w:rPr>
                <w:rFonts w:hint="eastAsia" w:ascii="Times New Roman" w:hAnsi="Times New Roman"/>
                <w:b w:val="0"/>
                <w:bCs w:val="0"/>
                <w:szCs w:val="21"/>
              </w:rPr>
            </w:pPr>
            <w:r>
              <w:rPr>
                <w:rFonts w:hint="eastAsia" w:ascii="Times New Roman" w:hAnsi="Times New Roman"/>
                <w:b w:val="0"/>
                <w:bCs w:val="0"/>
                <w:szCs w:val="21"/>
              </w:rPr>
              <w:t>（3）所有螺丝位无毛刺不刮手，四角及边沿采用圆角/圆边处理以及安全防撞设计，最大程度的避免儿童磕碰伤害，结构稳固。</w:t>
            </w:r>
          </w:p>
        </w:tc>
      </w:tr>
      <w:tr w14:paraId="626B0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3" w:type="pct"/>
            <w:vMerge w:val="continue"/>
            <w:noWrap w:val="0"/>
            <w:vAlign w:val="center"/>
          </w:tcPr>
          <w:p w14:paraId="1F357F6E">
            <w:pPr>
              <w:jc w:val="center"/>
              <w:rPr>
                <w:b/>
                <w:szCs w:val="21"/>
              </w:rPr>
            </w:pPr>
          </w:p>
        </w:tc>
        <w:tc>
          <w:tcPr>
            <w:tcW w:w="440" w:type="pct"/>
            <w:vMerge w:val="continue"/>
            <w:noWrap w:val="0"/>
            <w:vAlign w:val="top"/>
          </w:tcPr>
          <w:p w14:paraId="30048D73">
            <w:pPr>
              <w:jc w:val="center"/>
              <w:rPr>
                <w:rFonts w:hint="eastAsia" w:ascii="Times New Roman" w:hAnsi="Times New Roman"/>
                <w:szCs w:val="21"/>
              </w:rPr>
            </w:pPr>
          </w:p>
        </w:tc>
        <w:tc>
          <w:tcPr>
            <w:tcW w:w="4225" w:type="pct"/>
            <w:noWrap w:val="0"/>
            <w:vAlign w:val="top"/>
          </w:tcPr>
          <w:p w14:paraId="18C43DC6">
            <w:pPr>
              <w:jc w:val="left"/>
              <w:rPr>
                <w:rFonts w:hint="eastAsia" w:ascii="Times New Roman" w:hAnsi="Times New Roman"/>
                <w:b w:val="0"/>
                <w:bCs w:val="0"/>
                <w:szCs w:val="21"/>
              </w:rPr>
            </w:pPr>
            <w:r>
              <w:rPr>
                <w:rFonts w:hint="eastAsia" w:ascii="Times New Roman" w:hAnsi="Times New Roman"/>
                <w:b w:val="0"/>
                <w:bCs w:val="0"/>
                <w:szCs w:val="21"/>
              </w:rPr>
              <w:t>2、外观结构及材质：</w:t>
            </w:r>
          </w:p>
          <w:p w14:paraId="495873A0">
            <w:pPr>
              <w:jc w:val="left"/>
              <w:rPr>
                <w:rFonts w:hint="eastAsia" w:ascii="Times New Roman" w:hAnsi="Times New Roman"/>
                <w:b w:val="0"/>
                <w:bCs w:val="0"/>
                <w:szCs w:val="21"/>
              </w:rPr>
            </w:pPr>
            <w:r>
              <w:rPr>
                <w:rFonts w:hint="eastAsia" w:ascii="Times New Roman" w:hAnsi="Times New Roman"/>
                <w:b w:val="0"/>
                <w:bCs w:val="0"/>
                <w:szCs w:val="21"/>
              </w:rPr>
              <w:t>（1）柜体：采用16mm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b w:val="0"/>
                <w:bCs w:val="0"/>
                <w:szCs w:val="21"/>
              </w:rPr>
              <w:t>的橡胶木拼板。柜子长度内空：884mm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b w:val="0"/>
                <w:bCs w:val="0"/>
                <w:szCs w:val="21"/>
              </w:rPr>
              <w:t>，上中下三层，中间两块层板。柜子内侧配塑料一次成型呈浅咖色长度440mm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b w:val="0"/>
                <w:bCs w:val="0"/>
                <w:szCs w:val="21"/>
              </w:rPr>
              <w:t>的活动层板支撑条，内嵌式安装嵌入深度4.5mm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b w:val="0"/>
                <w:bCs w:val="0"/>
                <w:szCs w:val="21"/>
              </w:rPr>
              <w:t>，固定条凸11mm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b w:val="0"/>
                <w:bCs w:val="0"/>
                <w:szCs w:val="21"/>
              </w:rPr>
              <w:t>,灵活安全使用层板，不占用空间，共15个挡位、每挡28mm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b w:val="0"/>
                <w:bCs w:val="0"/>
                <w:szCs w:val="21"/>
              </w:rPr>
              <w:t>，可实现层板自选放置高度。</w:t>
            </w:r>
          </w:p>
          <w:p w14:paraId="4E0EE3A6">
            <w:pPr>
              <w:jc w:val="left"/>
              <w:rPr>
                <w:rFonts w:hint="eastAsia" w:ascii="Times New Roman" w:hAnsi="Times New Roman"/>
                <w:b w:val="0"/>
                <w:bCs w:val="0"/>
                <w:szCs w:val="21"/>
              </w:rPr>
            </w:pPr>
            <w:r>
              <w:rPr>
                <w:rFonts w:hint="eastAsia" w:ascii="Times New Roman" w:hAnsi="Times New Roman"/>
                <w:b w:val="0"/>
                <w:bCs w:val="0"/>
                <w:szCs w:val="21"/>
              </w:rPr>
              <w:t>（2）围脚：采用厚度18mm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b w:val="0"/>
                <w:bCs w:val="0"/>
                <w:szCs w:val="21"/>
              </w:rPr>
              <w:t>的橡胶木拼板。柜体与底部围脚采用塑料连接件实现翻板功能，脚轮为静音万向轮，安装在围脚侧板内，当家具固定时，围脚侧板向下翻，万向轮则隐藏于侧板内；当家具需要移动时，围脚侧板向上翻，塑料连接件卡扣对侧板进行固定，万向轮支撑起家具的重量，无须抬起轻松实现家具位置转移。</w:t>
            </w:r>
          </w:p>
          <w:p w14:paraId="59551A40">
            <w:pPr>
              <w:jc w:val="left"/>
              <w:rPr>
                <w:rFonts w:hint="eastAsia" w:ascii="Times New Roman" w:hAnsi="Times New Roman"/>
                <w:b w:val="0"/>
                <w:bCs w:val="0"/>
                <w:szCs w:val="21"/>
              </w:rPr>
            </w:pPr>
            <w:r>
              <w:rPr>
                <w:rFonts w:hint="eastAsia" w:ascii="Times New Roman" w:hAnsi="Times New Roman"/>
                <w:b w:val="0"/>
                <w:bCs w:val="0"/>
                <w:szCs w:val="21"/>
              </w:rPr>
              <w:t>（3）采用的水性漆，全封闭涂装工艺，漆面光泽高透，颜色均匀。</w:t>
            </w:r>
          </w:p>
        </w:tc>
      </w:tr>
      <w:tr w14:paraId="4BDAF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3" w:type="pct"/>
            <w:vMerge w:val="restart"/>
            <w:noWrap w:val="0"/>
            <w:vAlign w:val="center"/>
          </w:tcPr>
          <w:p w14:paraId="654D635F">
            <w:pPr>
              <w:keepNext w:val="0"/>
              <w:keepLines w:val="0"/>
              <w:widowControl/>
              <w:suppressLineNumbers w:val="0"/>
              <w:jc w:val="center"/>
              <w:textAlignment w:val="center"/>
              <w:rPr>
                <w:b/>
                <w:szCs w:val="21"/>
              </w:rPr>
            </w:pPr>
            <w:r>
              <w:rPr>
                <w:rFonts w:hint="default" w:ascii="Arial" w:hAnsi="Arial" w:eastAsia="宋体" w:cs="Arial"/>
                <w:i w:val="0"/>
                <w:iCs w:val="0"/>
                <w:color w:val="000000"/>
                <w:kern w:val="0"/>
                <w:sz w:val="20"/>
                <w:szCs w:val="20"/>
                <w:u w:val="none"/>
                <w:lang w:val="en-US" w:eastAsia="zh-CN" w:bidi="ar"/>
              </w:rPr>
              <w:t xml:space="preserve">68 </w:t>
            </w:r>
          </w:p>
        </w:tc>
        <w:tc>
          <w:tcPr>
            <w:tcW w:w="440" w:type="pct"/>
            <w:vMerge w:val="restart"/>
            <w:noWrap w:val="0"/>
            <w:vAlign w:val="center"/>
          </w:tcPr>
          <w:p w14:paraId="0E5CEBFD">
            <w:pPr>
              <w:keepNext w:val="0"/>
              <w:keepLines w:val="0"/>
              <w:widowControl/>
              <w:suppressLineNumbers w:val="0"/>
              <w:jc w:val="center"/>
              <w:textAlignment w:val="center"/>
              <w:rPr>
                <w:rFonts w:hint="eastAsia" w:ascii="Times New Roman" w:hAnsi="Times New Roman"/>
                <w:szCs w:val="21"/>
              </w:rPr>
            </w:pPr>
            <w:r>
              <w:rPr>
                <w:rFonts w:hint="eastAsia" w:ascii="宋体" w:hAnsi="宋体" w:eastAsia="宋体" w:cs="宋体"/>
                <w:i w:val="0"/>
                <w:iCs w:val="0"/>
                <w:color w:val="000000"/>
                <w:kern w:val="0"/>
                <w:sz w:val="20"/>
                <w:szCs w:val="20"/>
                <w:u w:val="none"/>
                <w:lang w:val="en-US" w:eastAsia="zh-CN" w:bidi="ar"/>
              </w:rPr>
              <w:t>2层90°转角矮柜</w:t>
            </w:r>
          </w:p>
        </w:tc>
        <w:tc>
          <w:tcPr>
            <w:tcW w:w="4225" w:type="pct"/>
            <w:noWrap w:val="0"/>
            <w:vAlign w:val="center"/>
          </w:tcPr>
          <w:p w14:paraId="417DBCB7">
            <w:pPr>
              <w:jc w:val="left"/>
              <w:rPr>
                <w:rFonts w:hint="eastAsia" w:ascii="Times New Roman" w:hAnsi="Times New Roman"/>
                <w:b w:val="0"/>
                <w:bCs w:val="0"/>
                <w:szCs w:val="21"/>
              </w:rPr>
            </w:pPr>
            <w:r>
              <w:rPr>
                <w:rFonts w:hint="eastAsia" w:ascii="Times New Roman" w:hAnsi="Times New Roman"/>
                <w:b w:val="0"/>
                <w:bCs w:val="0"/>
                <w:szCs w:val="21"/>
              </w:rPr>
              <w:t>规格：L30xW30xH59cm（±3cm）</w:t>
            </w:r>
          </w:p>
        </w:tc>
      </w:tr>
      <w:tr w14:paraId="0C29C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3" w:type="pct"/>
            <w:vMerge w:val="continue"/>
            <w:noWrap w:val="0"/>
            <w:vAlign w:val="center"/>
          </w:tcPr>
          <w:p w14:paraId="280F841C">
            <w:pPr>
              <w:jc w:val="center"/>
              <w:rPr>
                <w:b/>
                <w:szCs w:val="21"/>
              </w:rPr>
            </w:pPr>
          </w:p>
        </w:tc>
        <w:tc>
          <w:tcPr>
            <w:tcW w:w="440" w:type="pct"/>
            <w:vMerge w:val="continue"/>
            <w:noWrap w:val="0"/>
            <w:vAlign w:val="top"/>
          </w:tcPr>
          <w:p w14:paraId="6C9B056D">
            <w:pPr>
              <w:jc w:val="center"/>
              <w:rPr>
                <w:rFonts w:hint="eastAsia" w:ascii="Times New Roman" w:hAnsi="Times New Roman"/>
                <w:szCs w:val="21"/>
              </w:rPr>
            </w:pPr>
          </w:p>
        </w:tc>
        <w:tc>
          <w:tcPr>
            <w:tcW w:w="4225" w:type="pct"/>
            <w:noWrap w:val="0"/>
            <w:vAlign w:val="top"/>
          </w:tcPr>
          <w:p w14:paraId="0FDFCEEC">
            <w:pPr>
              <w:jc w:val="left"/>
              <w:rPr>
                <w:rFonts w:hint="eastAsia" w:ascii="Times New Roman" w:hAnsi="Times New Roman"/>
                <w:b w:val="0"/>
                <w:bCs w:val="0"/>
                <w:szCs w:val="21"/>
              </w:rPr>
            </w:pPr>
            <w:r>
              <w:rPr>
                <w:rFonts w:hint="eastAsia" w:ascii="Times New Roman" w:hAnsi="Times New Roman"/>
                <w:b w:val="0"/>
                <w:bCs w:val="0"/>
                <w:szCs w:val="21"/>
              </w:rPr>
              <w:t>1、工艺设计：</w:t>
            </w:r>
          </w:p>
          <w:p w14:paraId="0834E43B">
            <w:pPr>
              <w:jc w:val="left"/>
              <w:rPr>
                <w:rFonts w:hint="eastAsia" w:ascii="Times New Roman" w:hAnsi="Times New Roman"/>
                <w:b w:val="0"/>
                <w:bCs w:val="0"/>
                <w:szCs w:val="21"/>
              </w:rPr>
            </w:pPr>
            <w:r>
              <w:rPr>
                <w:rFonts w:hint="eastAsia" w:ascii="Times New Roman" w:hAnsi="Times New Roman"/>
                <w:b w:val="0"/>
                <w:bCs w:val="0"/>
                <w:szCs w:val="21"/>
              </w:rPr>
              <w:t>（1）90°转角设计，可搭配区角使用作转角连接。</w:t>
            </w:r>
          </w:p>
          <w:p w14:paraId="409C9572">
            <w:pPr>
              <w:jc w:val="left"/>
              <w:rPr>
                <w:rFonts w:hint="eastAsia" w:ascii="Times New Roman" w:hAnsi="Times New Roman"/>
                <w:b w:val="0"/>
                <w:bCs w:val="0"/>
                <w:szCs w:val="21"/>
              </w:rPr>
            </w:pPr>
            <w:r>
              <w:rPr>
                <w:rFonts w:hint="eastAsia" w:ascii="Times New Roman" w:hAnsi="Times New Roman"/>
                <w:b w:val="0"/>
                <w:bCs w:val="0"/>
                <w:szCs w:val="21"/>
              </w:rPr>
              <w:t>（2）所有螺丝位无毛刺不刮手，四角及边沿采用圆角/圆边处理以及安全防撞设计，最大程度的避免儿童磕碰伤害，结构稳固。</w:t>
            </w:r>
          </w:p>
        </w:tc>
      </w:tr>
      <w:tr w14:paraId="7438A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3" w:type="pct"/>
            <w:vMerge w:val="continue"/>
            <w:noWrap w:val="0"/>
            <w:vAlign w:val="center"/>
          </w:tcPr>
          <w:p w14:paraId="60520BC9">
            <w:pPr>
              <w:jc w:val="center"/>
              <w:rPr>
                <w:b/>
                <w:szCs w:val="21"/>
              </w:rPr>
            </w:pPr>
          </w:p>
        </w:tc>
        <w:tc>
          <w:tcPr>
            <w:tcW w:w="440" w:type="pct"/>
            <w:vMerge w:val="continue"/>
            <w:noWrap w:val="0"/>
            <w:vAlign w:val="top"/>
          </w:tcPr>
          <w:p w14:paraId="4EA8ACA6">
            <w:pPr>
              <w:jc w:val="center"/>
              <w:rPr>
                <w:rFonts w:hint="eastAsia" w:ascii="Times New Roman" w:hAnsi="Times New Roman"/>
                <w:szCs w:val="21"/>
              </w:rPr>
            </w:pPr>
          </w:p>
        </w:tc>
        <w:tc>
          <w:tcPr>
            <w:tcW w:w="4225" w:type="pct"/>
            <w:noWrap w:val="0"/>
            <w:vAlign w:val="top"/>
          </w:tcPr>
          <w:p w14:paraId="14CEC053">
            <w:pPr>
              <w:jc w:val="left"/>
              <w:rPr>
                <w:rFonts w:hint="eastAsia" w:ascii="Times New Roman" w:hAnsi="Times New Roman"/>
                <w:b w:val="0"/>
                <w:bCs w:val="0"/>
                <w:szCs w:val="21"/>
              </w:rPr>
            </w:pPr>
            <w:r>
              <w:rPr>
                <w:rFonts w:hint="eastAsia" w:ascii="Times New Roman" w:hAnsi="Times New Roman"/>
                <w:b w:val="0"/>
                <w:bCs w:val="0"/>
                <w:szCs w:val="21"/>
              </w:rPr>
              <w:t>2、外观结构及材质：</w:t>
            </w:r>
          </w:p>
          <w:p w14:paraId="69A7D3FA">
            <w:pPr>
              <w:jc w:val="left"/>
              <w:rPr>
                <w:rFonts w:hint="eastAsia" w:ascii="Times New Roman" w:hAnsi="Times New Roman"/>
                <w:b w:val="0"/>
                <w:bCs w:val="0"/>
                <w:szCs w:val="21"/>
              </w:rPr>
            </w:pPr>
            <w:r>
              <w:rPr>
                <w:rFonts w:hint="eastAsia" w:ascii="Times New Roman" w:hAnsi="Times New Roman"/>
                <w:b w:val="0"/>
                <w:bCs w:val="0"/>
                <w:szCs w:val="21"/>
              </w:rPr>
              <w:t>（1）柜体：采用16mm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b w:val="0"/>
                <w:bCs w:val="0"/>
                <w:szCs w:val="21"/>
              </w:rPr>
              <w:t>的橡胶木拼板。全背板2层矮柜，上下内空高度为236mm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b w:val="0"/>
                <w:bCs w:val="0"/>
                <w:szCs w:val="21"/>
              </w:rPr>
              <w:t>，柜体呈90°转角。可搭配L25xW25xH15cm（±3cm）的三角藤编教具篮，实用性更强。</w:t>
            </w:r>
          </w:p>
          <w:p w14:paraId="714CDB52">
            <w:pPr>
              <w:jc w:val="left"/>
              <w:rPr>
                <w:rFonts w:hint="eastAsia" w:ascii="Times New Roman" w:hAnsi="Times New Roman"/>
                <w:b w:val="0"/>
                <w:bCs w:val="0"/>
                <w:szCs w:val="21"/>
              </w:rPr>
            </w:pPr>
            <w:r>
              <w:rPr>
                <w:rFonts w:hint="eastAsia" w:ascii="Times New Roman" w:hAnsi="Times New Roman"/>
                <w:b w:val="0"/>
                <w:bCs w:val="0"/>
                <w:szCs w:val="21"/>
              </w:rPr>
              <w:t>（2）围脚：采用厚度18mm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b w:val="0"/>
                <w:bCs w:val="0"/>
                <w:szCs w:val="21"/>
              </w:rPr>
              <w:t>的多层胶合弯板，柜子底部安装塑料脚垫，H10mm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b w:val="0"/>
                <w:bCs w:val="0"/>
                <w:szCs w:val="21"/>
              </w:rPr>
              <w:t>，直径17mm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b w:val="0"/>
                <w:bCs w:val="0"/>
                <w:szCs w:val="21"/>
              </w:rPr>
              <w:t>，软性防滑，可有效保护地面刮花并降低噪音。</w:t>
            </w:r>
          </w:p>
          <w:p w14:paraId="1317AE45">
            <w:pPr>
              <w:jc w:val="left"/>
              <w:rPr>
                <w:rFonts w:hint="eastAsia" w:ascii="Times New Roman" w:hAnsi="Times New Roman"/>
                <w:b w:val="0"/>
                <w:bCs w:val="0"/>
                <w:szCs w:val="21"/>
              </w:rPr>
            </w:pPr>
            <w:r>
              <w:rPr>
                <w:rFonts w:hint="eastAsia" w:ascii="Times New Roman" w:hAnsi="Times New Roman"/>
                <w:b w:val="0"/>
                <w:bCs w:val="0"/>
                <w:szCs w:val="21"/>
              </w:rPr>
              <w:t>（3）采用的水性漆，全封闭涂装工艺，漆面光泽高透，颜色均匀。</w:t>
            </w:r>
          </w:p>
        </w:tc>
      </w:tr>
      <w:tr w14:paraId="7F018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3" w:type="pct"/>
            <w:vMerge w:val="restart"/>
            <w:noWrap w:val="0"/>
            <w:vAlign w:val="center"/>
          </w:tcPr>
          <w:p w14:paraId="778C45CA">
            <w:pPr>
              <w:keepNext w:val="0"/>
              <w:keepLines w:val="0"/>
              <w:widowControl/>
              <w:suppressLineNumbers w:val="0"/>
              <w:jc w:val="center"/>
              <w:textAlignment w:val="center"/>
              <w:rPr>
                <w:b/>
                <w:szCs w:val="21"/>
              </w:rPr>
            </w:pPr>
            <w:r>
              <w:rPr>
                <w:rFonts w:hint="default" w:ascii="Arial" w:hAnsi="Arial" w:eastAsia="宋体" w:cs="Arial"/>
                <w:i w:val="0"/>
                <w:iCs w:val="0"/>
                <w:color w:val="000000"/>
                <w:kern w:val="0"/>
                <w:sz w:val="20"/>
                <w:szCs w:val="20"/>
                <w:u w:val="none"/>
                <w:lang w:val="en-US" w:eastAsia="zh-CN" w:bidi="ar"/>
              </w:rPr>
              <w:t xml:space="preserve">69 </w:t>
            </w:r>
          </w:p>
        </w:tc>
        <w:tc>
          <w:tcPr>
            <w:tcW w:w="440" w:type="pct"/>
            <w:vMerge w:val="restart"/>
            <w:noWrap w:val="0"/>
            <w:vAlign w:val="center"/>
          </w:tcPr>
          <w:p w14:paraId="6707E907">
            <w:pPr>
              <w:keepNext w:val="0"/>
              <w:keepLines w:val="0"/>
              <w:widowControl/>
              <w:suppressLineNumbers w:val="0"/>
              <w:jc w:val="center"/>
              <w:textAlignment w:val="center"/>
              <w:rPr>
                <w:rFonts w:hint="eastAsia" w:ascii="Times New Roman" w:hAnsi="Times New Roman"/>
                <w:szCs w:val="21"/>
              </w:rPr>
            </w:pPr>
            <w:r>
              <w:rPr>
                <w:rFonts w:hint="eastAsia" w:ascii="宋体" w:hAnsi="宋体" w:eastAsia="宋体" w:cs="宋体"/>
                <w:i w:val="0"/>
                <w:iCs w:val="0"/>
                <w:color w:val="000000"/>
                <w:kern w:val="0"/>
                <w:sz w:val="20"/>
                <w:szCs w:val="20"/>
                <w:u w:val="none"/>
                <w:lang w:val="en-US" w:eastAsia="zh-CN" w:bidi="ar"/>
              </w:rPr>
              <w:t>互动展示柜</w:t>
            </w:r>
          </w:p>
        </w:tc>
        <w:tc>
          <w:tcPr>
            <w:tcW w:w="4225" w:type="pct"/>
            <w:noWrap w:val="0"/>
            <w:vAlign w:val="center"/>
          </w:tcPr>
          <w:p w14:paraId="44D3BECC">
            <w:pPr>
              <w:jc w:val="left"/>
              <w:rPr>
                <w:rFonts w:hint="eastAsia" w:ascii="Times New Roman" w:hAnsi="Times New Roman"/>
                <w:b w:val="0"/>
                <w:bCs w:val="0"/>
                <w:szCs w:val="21"/>
              </w:rPr>
            </w:pPr>
            <w:r>
              <w:rPr>
                <w:rFonts w:hint="eastAsia" w:ascii="Times New Roman" w:hAnsi="Times New Roman"/>
                <w:b w:val="0"/>
                <w:bCs w:val="0"/>
                <w:szCs w:val="21"/>
              </w:rPr>
              <w:t>规格：L91.5xW30xH114cm（±3cm）</w:t>
            </w:r>
          </w:p>
        </w:tc>
      </w:tr>
      <w:tr w14:paraId="4ED82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3" w:type="pct"/>
            <w:vMerge w:val="continue"/>
            <w:noWrap w:val="0"/>
            <w:vAlign w:val="center"/>
          </w:tcPr>
          <w:p w14:paraId="7F5E391D">
            <w:pPr>
              <w:jc w:val="center"/>
              <w:rPr>
                <w:b/>
                <w:szCs w:val="21"/>
              </w:rPr>
            </w:pPr>
          </w:p>
        </w:tc>
        <w:tc>
          <w:tcPr>
            <w:tcW w:w="440" w:type="pct"/>
            <w:vMerge w:val="continue"/>
            <w:noWrap w:val="0"/>
            <w:vAlign w:val="top"/>
          </w:tcPr>
          <w:p w14:paraId="3669480E">
            <w:pPr>
              <w:jc w:val="center"/>
              <w:rPr>
                <w:rFonts w:hint="eastAsia" w:ascii="Times New Roman" w:hAnsi="Times New Roman"/>
                <w:szCs w:val="21"/>
              </w:rPr>
            </w:pPr>
          </w:p>
        </w:tc>
        <w:tc>
          <w:tcPr>
            <w:tcW w:w="4225" w:type="pct"/>
            <w:noWrap w:val="0"/>
            <w:vAlign w:val="top"/>
          </w:tcPr>
          <w:p w14:paraId="0DA3E4CA">
            <w:pPr>
              <w:jc w:val="left"/>
              <w:rPr>
                <w:rFonts w:hint="eastAsia" w:ascii="Times New Roman" w:hAnsi="Times New Roman"/>
                <w:b w:val="0"/>
                <w:bCs w:val="0"/>
                <w:szCs w:val="21"/>
              </w:rPr>
            </w:pPr>
            <w:r>
              <w:rPr>
                <w:rFonts w:hint="eastAsia" w:ascii="Times New Roman" w:hAnsi="Times New Roman"/>
                <w:b w:val="0"/>
                <w:bCs w:val="0"/>
                <w:szCs w:val="21"/>
              </w:rPr>
              <w:t>1、工艺设计：</w:t>
            </w:r>
          </w:p>
          <w:p w14:paraId="54D5AB40">
            <w:pPr>
              <w:jc w:val="left"/>
              <w:rPr>
                <w:rFonts w:hint="eastAsia" w:ascii="Times New Roman" w:hAnsi="Times New Roman"/>
                <w:b w:val="0"/>
                <w:bCs w:val="0"/>
                <w:szCs w:val="21"/>
              </w:rPr>
            </w:pPr>
            <w:r>
              <w:rPr>
                <w:rFonts w:hint="eastAsia" w:ascii="Times New Roman" w:hAnsi="Times New Roman"/>
                <w:b w:val="0"/>
                <w:bCs w:val="0"/>
                <w:szCs w:val="21"/>
              </w:rPr>
              <w:t>（1）可收纳、可书写、可钉设计，兼具多方式展示与收纳功能。</w:t>
            </w:r>
          </w:p>
          <w:p w14:paraId="5F76F89A">
            <w:pPr>
              <w:jc w:val="left"/>
              <w:rPr>
                <w:rFonts w:hint="eastAsia" w:ascii="Times New Roman" w:hAnsi="Times New Roman"/>
                <w:b w:val="0"/>
                <w:bCs w:val="0"/>
                <w:szCs w:val="21"/>
              </w:rPr>
            </w:pPr>
            <w:r>
              <w:rPr>
                <w:rFonts w:hint="eastAsia" w:ascii="Times New Roman" w:hAnsi="Times New Roman"/>
                <w:b w:val="0"/>
                <w:bCs w:val="0"/>
                <w:szCs w:val="21"/>
              </w:rPr>
              <w:t>（2）采用翻板活动轮工艺，移动/固定自由切换。</w:t>
            </w:r>
          </w:p>
          <w:p w14:paraId="4B0C9A0F">
            <w:pPr>
              <w:jc w:val="left"/>
              <w:rPr>
                <w:rFonts w:hint="eastAsia" w:ascii="Times New Roman" w:hAnsi="Times New Roman"/>
                <w:b w:val="0"/>
                <w:bCs w:val="0"/>
                <w:szCs w:val="21"/>
              </w:rPr>
            </w:pPr>
            <w:r>
              <w:rPr>
                <w:rFonts w:hint="eastAsia" w:ascii="Times New Roman" w:hAnsi="Times New Roman"/>
                <w:b w:val="0"/>
                <w:bCs w:val="0"/>
                <w:szCs w:val="21"/>
              </w:rPr>
              <w:t>（3）所有螺丝位无毛刺不刮手，边角采用圆边/圆角处理以及安全防撞设计，最大程度的避免儿童磕碰伤害，结构稳固。</w:t>
            </w:r>
          </w:p>
        </w:tc>
      </w:tr>
      <w:tr w14:paraId="59185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3" w:type="pct"/>
            <w:vMerge w:val="continue"/>
            <w:noWrap w:val="0"/>
            <w:vAlign w:val="center"/>
          </w:tcPr>
          <w:p w14:paraId="2C826483">
            <w:pPr>
              <w:jc w:val="center"/>
              <w:rPr>
                <w:b/>
                <w:szCs w:val="21"/>
              </w:rPr>
            </w:pPr>
          </w:p>
        </w:tc>
        <w:tc>
          <w:tcPr>
            <w:tcW w:w="440" w:type="pct"/>
            <w:vMerge w:val="continue"/>
            <w:noWrap w:val="0"/>
            <w:vAlign w:val="top"/>
          </w:tcPr>
          <w:p w14:paraId="7BF72F70">
            <w:pPr>
              <w:jc w:val="center"/>
              <w:rPr>
                <w:rFonts w:hint="eastAsia" w:ascii="Times New Roman" w:hAnsi="Times New Roman"/>
                <w:szCs w:val="21"/>
              </w:rPr>
            </w:pPr>
          </w:p>
        </w:tc>
        <w:tc>
          <w:tcPr>
            <w:tcW w:w="4225" w:type="pct"/>
            <w:noWrap w:val="0"/>
            <w:vAlign w:val="top"/>
          </w:tcPr>
          <w:p w14:paraId="35B66478">
            <w:pPr>
              <w:jc w:val="left"/>
              <w:rPr>
                <w:rFonts w:hint="eastAsia" w:ascii="Times New Roman" w:hAnsi="Times New Roman"/>
                <w:b w:val="0"/>
                <w:bCs w:val="0"/>
                <w:szCs w:val="21"/>
              </w:rPr>
            </w:pPr>
            <w:r>
              <w:rPr>
                <w:rFonts w:hint="eastAsia" w:ascii="Times New Roman" w:hAnsi="Times New Roman"/>
                <w:b w:val="0"/>
                <w:bCs w:val="0"/>
                <w:szCs w:val="21"/>
              </w:rPr>
              <w:t>2、外观结构及材质：</w:t>
            </w:r>
          </w:p>
          <w:p w14:paraId="7B2D1E0F">
            <w:pPr>
              <w:jc w:val="left"/>
              <w:rPr>
                <w:rFonts w:hint="eastAsia" w:ascii="Times New Roman" w:hAnsi="Times New Roman"/>
                <w:b w:val="0"/>
                <w:bCs w:val="0"/>
                <w:szCs w:val="21"/>
              </w:rPr>
            </w:pPr>
            <w:r>
              <w:rPr>
                <w:rFonts w:hint="eastAsia" w:ascii="Times New Roman" w:hAnsi="Times New Roman"/>
                <w:b w:val="0"/>
                <w:bCs w:val="0"/>
                <w:szCs w:val="21"/>
              </w:rPr>
              <w:t>（1）柜体采用厚度15mm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b w:val="0"/>
                <w:bCs w:val="0"/>
                <w:szCs w:val="21"/>
              </w:rPr>
              <w:t>的桦木纹饰面橡胶木拼板，画板框采用厚度24mm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b w:val="0"/>
                <w:bCs w:val="0"/>
                <w:szCs w:val="21"/>
              </w:rPr>
              <w:t>的实木多层板。柜体格子内空尺寸分别为292x300x240mm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b w:val="0"/>
                <w:bCs w:val="0"/>
                <w:szCs w:val="21"/>
              </w:rPr>
              <w:t>和270x300x490mm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b w:val="0"/>
                <w:bCs w:val="0"/>
                <w:szCs w:val="21"/>
              </w:rPr>
              <w:t>；柜体面板离地高度：590mm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b w:val="0"/>
                <w:bCs w:val="0"/>
                <w:szCs w:val="21"/>
              </w:rPr>
              <w:t>，面共四个φ70mm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b w:val="0"/>
                <w:bCs w:val="0"/>
                <w:szCs w:val="21"/>
              </w:rPr>
              <w:t>开孔，用于笔筒杯放置；中间格子内置6条塑料一次成型L270mm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b w:val="0"/>
                <w:bCs w:val="0"/>
                <w:szCs w:val="21"/>
              </w:rPr>
              <w:t>的U型槽，呈卡其色，有利于柜体空间合理分布，教具篮能准确滑入槽中，取放便捷。画板尺寸为双面设计；一面白色书写磁铁皮；一面为吸音板展示板；可使用尺寸均为712x430mm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b w:val="0"/>
                <w:bCs w:val="0"/>
                <w:szCs w:val="21"/>
              </w:rPr>
              <w:t>。</w:t>
            </w:r>
          </w:p>
          <w:p w14:paraId="7089FD06">
            <w:pPr>
              <w:jc w:val="left"/>
              <w:rPr>
                <w:rFonts w:hint="eastAsia" w:ascii="Times New Roman" w:hAnsi="Times New Roman"/>
                <w:b w:val="0"/>
                <w:bCs w:val="0"/>
                <w:szCs w:val="21"/>
              </w:rPr>
            </w:pPr>
            <w:r>
              <w:rPr>
                <w:rFonts w:hint="eastAsia" w:ascii="Times New Roman" w:hAnsi="Times New Roman"/>
                <w:b w:val="0"/>
                <w:bCs w:val="0"/>
                <w:szCs w:val="21"/>
              </w:rPr>
              <w:t>（2）搭配L26xW28xH19cm（±3cm）浅咖色教具盒2个，L26xW28xH10cm（±3cm）浅咖色教具盒2个，L26xW28xH10cm（±3cm）透明教具盒4个；配套4个φ79x95mm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b w:val="0"/>
                <w:bCs w:val="0"/>
                <w:szCs w:val="21"/>
              </w:rPr>
              <w:t>烟灰橄榄绿颜料杯/笔筒。</w:t>
            </w:r>
          </w:p>
          <w:p w14:paraId="3D97C0D3">
            <w:pPr>
              <w:jc w:val="left"/>
              <w:rPr>
                <w:rFonts w:hint="eastAsia" w:ascii="Times New Roman" w:hAnsi="Times New Roman"/>
                <w:b w:val="0"/>
                <w:bCs w:val="0"/>
                <w:szCs w:val="21"/>
              </w:rPr>
            </w:pPr>
            <w:r>
              <w:rPr>
                <w:rFonts w:hint="eastAsia" w:ascii="Times New Roman" w:hAnsi="Times New Roman"/>
                <w:b w:val="0"/>
                <w:bCs w:val="0"/>
                <w:szCs w:val="21"/>
              </w:rPr>
              <w:t>（3）围脚：柜体与底部围脚采用材质的塑料连接件实现翻板功能，脚轮为2寸静音万向轮，安装在围脚侧板内，当家具固定时，围脚侧板向下翻，万向轮则隐藏于侧板内；当家具需要移动时，围脚侧板向上翻，塑料连接件卡扣对侧板进行固定，万向轮支撑起家具的重量，无须抬起轻松实现家具位置转移。</w:t>
            </w:r>
          </w:p>
          <w:p w14:paraId="2CB7A1AC">
            <w:pPr>
              <w:jc w:val="left"/>
              <w:rPr>
                <w:rFonts w:hint="eastAsia" w:ascii="Times New Roman" w:hAnsi="Times New Roman"/>
                <w:b w:val="0"/>
                <w:bCs w:val="0"/>
                <w:szCs w:val="21"/>
              </w:rPr>
            </w:pPr>
            <w:r>
              <w:rPr>
                <w:rFonts w:hint="eastAsia" w:ascii="Times New Roman" w:hAnsi="Times New Roman"/>
                <w:b w:val="0"/>
                <w:bCs w:val="0"/>
                <w:szCs w:val="21"/>
              </w:rPr>
              <w:t>（4）木蜡油：采用的水性木蜡油封边，成分天然，分子机构细小，成膜牢固，密封性好。</w:t>
            </w:r>
          </w:p>
          <w:p w14:paraId="105A7556">
            <w:pPr>
              <w:jc w:val="left"/>
              <w:rPr>
                <w:rFonts w:hint="eastAsia" w:ascii="Times New Roman" w:hAnsi="Times New Roman"/>
                <w:b w:val="0"/>
                <w:bCs w:val="0"/>
                <w:szCs w:val="21"/>
              </w:rPr>
            </w:pPr>
            <w:r>
              <w:rPr>
                <w:rFonts w:hint="eastAsia" w:ascii="Times New Roman" w:hAnsi="Times New Roman"/>
                <w:b w:val="0"/>
                <w:bCs w:val="0"/>
                <w:szCs w:val="21"/>
              </w:rPr>
              <w:t>（5）油漆：采用的水性漆，全封闭涂装工艺，漆面光泽高透，颜色均匀。</w:t>
            </w:r>
          </w:p>
          <w:p w14:paraId="12F9B969">
            <w:pPr>
              <w:jc w:val="left"/>
              <w:rPr>
                <w:rFonts w:hint="eastAsia" w:ascii="Times New Roman" w:hAnsi="Times New Roman"/>
                <w:b w:val="0"/>
                <w:bCs w:val="0"/>
                <w:szCs w:val="21"/>
              </w:rPr>
            </w:pPr>
            <w:r>
              <w:rPr>
                <w:rFonts w:hint="eastAsia" w:ascii="Times New Roman" w:hAnsi="Times New Roman"/>
                <w:b w:val="0"/>
                <w:bCs w:val="0"/>
                <w:szCs w:val="21"/>
              </w:rPr>
              <w:t>（6）聚酯纤维吸音板:选用安全聚酯纤维材质厚度9mm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b w:val="0"/>
                <w:bCs w:val="0"/>
                <w:szCs w:val="21"/>
              </w:rPr>
              <w:t>的吸音板，对中高频噪声的吸声效果优异，适合吸收乐器声、户外声等中高频噪声，提升语音清晰度并降低噪声干扰；低频声音并无明显吸声，不影响正常的活动交流；中高低频声音智能吸纳，符合幼儿区角活动课室使用。</w:t>
            </w:r>
          </w:p>
        </w:tc>
      </w:tr>
      <w:tr w14:paraId="0FFB7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3" w:type="pct"/>
            <w:vMerge w:val="restart"/>
            <w:noWrap w:val="0"/>
            <w:vAlign w:val="center"/>
          </w:tcPr>
          <w:p w14:paraId="0A43F67C">
            <w:pPr>
              <w:keepNext w:val="0"/>
              <w:keepLines w:val="0"/>
              <w:widowControl/>
              <w:suppressLineNumbers w:val="0"/>
              <w:jc w:val="center"/>
              <w:textAlignment w:val="center"/>
              <w:rPr>
                <w:b/>
                <w:szCs w:val="21"/>
              </w:rPr>
            </w:pPr>
            <w:r>
              <w:rPr>
                <w:rFonts w:hint="default" w:ascii="Arial" w:hAnsi="Arial" w:eastAsia="宋体" w:cs="Arial"/>
                <w:i w:val="0"/>
                <w:iCs w:val="0"/>
                <w:color w:val="000000"/>
                <w:kern w:val="0"/>
                <w:sz w:val="20"/>
                <w:szCs w:val="20"/>
                <w:u w:val="none"/>
                <w:lang w:val="en-US" w:eastAsia="zh-CN" w:bidi="ar"/>
              </w:rPr>
              <w:t xml:space="preserve">70 </w:t>
            </w:r>
          </w:p>
        </w:tc>
        <w:tc>
          <w:tcPr>
            <w:tcW w:w="440" w:type="pct"/>
            <w:vMerge w:val="restart"/>
            <w:noWrap w:val="0"/>
            <w:vAlign w:val="center"/>
          </w:tcPr>
          <w:p w14:paraId="14D3B599">
            <w:pPr>
              <w:keepNext w:val="0"/>
              <w:keepLines w:val="0"/>
              <w:widowControl/>
              <w:suppressLineNumbers w:val="0"/>
              <w:jc w:val="center"/>
              <w:textAlignment w:val="center"/>
              <w:rPr>
                <w:rFonts w:hint="eastAsia" w:ascii="Times New Roman" w:hAnsi="Times New Roman"/>
                <w:szCs w:val="21"/>
              </w:rPr>
            </w:pPr>
            <w:r>
              <w:rPr>
                <w:rFonts w:hint="eastAsia" w:ascii="宋体" w:hAnsi="宋体" w:eastAsia="宋体" w:cs="宋体"/>
                <w:i w:val="0"/>
                <w:iCs w:val="0"/>
                <w:color w:val="000000"/>
                <w:kern w:val="0"/>
                <w:sz w:val="20"/>
                <w:szCs w:val="20"/>
                <w:u w:val="none"/>
                <w:lang w:val="en-US" w:eastAsia="zh-CN" w:bidi="ar"/>
              </w:rPr>
              <w:t>美术作品晾干柜</w:t>
            </w:r>
          </w:p>
        </w:tc>
        <w:tc>
          <w:tcPr>
            <w:tcW w:w="4225" w:type="pct"/>
            <w:noWrap w:val="0"/>
            <w:vAlign w:val="center"/>
          </w:tcPr>
          <w:p w14:paraId="3C4008CE">
            <w:pPr>
              <w:jc w:val="left"/>
              <w:rPr>
                <w:rFonts w:hint="eastAsia" w:ascii="Times New Roman" w:hAnsi="Times New Roman"/>
                <w:b w:val="0"/>
                <w:bCs w:val="0"/>
                <w:szCs w:val="21"/>
              </w:rPr>
            </w:pPr>
            <w:r>
              <w:rPr>
                <w:rFonts w:hint="eastAsia" w:ascii="Times New Roman" w:hAnsi="Times New Roman"/>
                <w:b w:val="0"/>
                <w:bCs w:val="0"/>
                <w:szCs w:val="21"/>
              </w:rPr>
              <w:t>规格：L50xW40xH76cm（±3cm）</w:t>
            </w:r>
          </w:p>
        </w:tc>
      </w:tr>
      <w:tr w14:paraId="5CF63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3" w:type="pct"/>
            <w:vMerge w:val="continue"/>
            <w:noWrap w:val="0"/>
            <w:vAlign w:val="center"/>
          </w:tcPr>
          <w:p w14:paraId="0E15364C">
            <w:pPr>
              <w:jc w:val="center"/>
              <w:rPr>
                <w:b/>
                <w:szCs w:val="21"/>
              </w:rPr>
            </w:pPr>
          </w:p>
        </w:tc>
        <w:tc>
          <w:tcPr>
            <w:tcW w:w="440" w:type="pct"/>
            <w:vMerge w:val="continue"/>
            <w:noWrap w:val="0"/>
            <w:vAlign w:val="top"/>
          </w:tcPr>
          <w:p w14:paraId="10F74495">
            <w:pPr>
              <w:jc w:val="center"/>
              <w:rPr>
                <w:rFonts w:hint="eastAsia" w:ascii="Times New Roman" w:hAnsi="Times New Roman"/>
                <w:szCs w:val="21"/>
              </w:rPr>
            </w:pPr>
          </w:p>
        </w:tc>
        <w:tc>
          <w:tcPr>
            <w:tcW w:w="4225" w:type="pct"/>
            <w:noWrap w:val="0"/>
            <w:vAlign w:val="top"/>
          </w:tcPr>
          <w:p w14:paraId="64C5D3D9">
            <w:pPr>
              <w:jc w:val="left"/>
              <w:rPr>
                <w:rFonts w:hint="eastAsia" w:ascii="Times New Roman" w:hAnsi="Times New Roman"/>
                <w:b w:val="0"/>
                <w:bCs w:val="0"/>
                <w:szCs w:val="21"/>
              </w:rPr>
            </w:pPr>
            <w:r>
              <w:rPr>
                <w:rFonts w:hint="eastAsia" w:ascii="Times New Roman" w:hAnsi="Times New Roman"/>
                <w:b w:val="0"/>
                <w:bCs w:val="0"/>
                <w:szCs w:val="21"/>
              </w:rPr>
              <w:t>1、工艺设计：</w:t>
            </w:r>
          </w:p>
          <w:p w14:paraId="2ECD966B">
            <w:pPr>
              <w:jc w:val="left"/>
              <w:rPr>
                <w:rFonts w:hint="eastAsia" w:ascii="Times New Roman" w:hAnsi="Times New Roman"/>
                <w:b w:val="0"/>
                <w:bCs w:val="0"/>
                <w:szCs w:val="21"/>
              </w:rPr>
            </w:pPr>
            <w:r>
              <w:rPr>
                <w:rFonts w:hint="eastAsia" w:ascii="Times New Roman" w:hAnsi="Times New Roman"/>
                <w:b w:val="0"/>
                <w:bCs w:val="0"/>
                <w:szCs w:val="21"/>
              </w:rPr>
              <w:t>（1）卡槽定位设计，分布均匀，实现作品晾干网抽拉式取放，不易走位。</w:t>
            </w:r>
          </w:p>
          <w:p w14:paraId="6D10047E">
            <w:pPr>
              <w:jc w:val="left"/>
              <w:rPr>
                <w:rFonts w:hint="eastAsia" w:ascii="Times New Roman" w:hAnsi="Times New Roman"/>
                <w:b w:val="0"/>
                <w:bCs w:val="0"/>
                <w:szCs w:val="21"/>
              </w:rPr>
            </w:pPr>
            <w:r>
              <w:rPr>
                <w:rFonts w:hint="eastAsia" w:ascii="Times New Roman" w:hAnsi="Times New Roman"/>
                <w:b w:val="0"/>
                <w:bCs w:val="0"/>
                <w:szCs w:val="21"/>
              </w:rPr>
              <w:t>（2）铁网表面采用静电粉末喷涂工艺，圆润光滑，防腐抗锈，坚固耐用。</w:t>
            </w:r>
          </w:p>
          <w:p w14:paraId="319C1C29">
            <w:pPr>
              <w:jc w:val="left"/>
              <w:rPr>
                <w:rFonts w:hint="eastAsia" w:ascii="Times New Roman" w:hAnsi="Times New Roman"/>
                <w:b w:val="0"/>
                <w:bCs w:val="0"/>
                <w:szCs w:val="21"/>
              </w:rPr>
            </w:pPr>
            <w:r>
              <w:rPr>
                <w:rFonts w:hint="eastAsia" w:ascii="Times New Roman" w:hAnsi="Times New Roman"/>
                <w:b w:val="0"/>
                <w:bCs w:val="0"/>
                <w:szCs w:val="21"/>
              </w:rPr>
              <w:t>（3）所有螺丝位无毛刺不刮手，边角采用圆边/圆角处理以及安全防撞设计，最大程度的避免儿童磕碰伤害，结构稳固。</w:t>
            </w:r>
          </w:p>
        </w:tc>
      </w:tr>
      <w:tr w14:paraId="660EA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3" w:type="pct"/>
            <w:vMerge w:val="continue"/>
            <w:noWrap w:val="0"/>
            <w:vAlign w:val="center"/>
          </w:tcPr>
          <w:p w14:paraId="347F02BB">
            <w:pPr>
              <w:jc w:val="center"/>
              <w:rPr>
                <w:b/>
                <w:szCs w:val="21"/>
              </w:rPr>
            </w:pPr>
          </w:p>
        </w:tc>
        <w:tc>
          <w:tcPr>
            <w:tcW w:w="440" w:type="pct"/>
            <w:vMerge w:val="continue"/>
            <w:noWrap w:val="0"/>
            <w:vAlign w:val="top"/>
          </w:tcPr>
          <w:p w14:paraId="2BEF8E6C">
            <w:pPr>
              <w:jc w:val="center"/>
              <w:rPr>
                <w:rFonts w:hint="eastAsia" w:ascii="Times New Roman" w:hAnsi="Times New Roman"/>
                <w:szCs w:val="21"/>
              </w:rPr>
            </w:pPr>
          </w:p>
        </w:tc>
        <w:tc>
          <w:tcPr>
            <w:tcW w:w="4225" w:type="pct"/>
            <w:noWrap w:val="0"/>
            <w:vAlign w:val="top"/>
          </w:tcPr>
          <w:p w14:paraId="18F662B9">
            <w:pPr>
              <w:jc w:val="left"/>
              <w:rPr>
                <w:rFonts w:hint="eastAsia" w:ascii="Times New Roman" w:hAnsi="Times New Roman"/>
                <w:b w:val="0"/>
                <w:bCs w:val="0"/>
                <w:szCs w:val="21"/>
              </w:rPr>
            </w:pPr>
            <w:r>
              <w:rPr>
                <w:rFonts w:hint="eastAsia" w:ascii="Times New Roman" w:hAnsi="Times New Roman"/>
                <w:b w:val="0"/>
                <w:bCs w:val="0"/>
                <w:szCs w:val="21"/>
              </w:rPr>
              <w:t>2、外观结构：</w:t>
            </w:r>
          </w:p>
          <w:p w14:paraId="0F040488">
            <w:pPr>
              <w:jc w:val="left"/>
              <w:rPr>
                <w:rFonts w:hint="eastAsia" w:ascii="Times New Roman" w:hAnsi="Times New Roman"/>
                <w:b w:val="0"/>
                <w:bCs w:val="0"/>
                <w:szCs w:val="21"/>
              </w:rPr>
            </w:pPr>
            <w:r>
              <w:rPr>
                <w:rFonts w:hint="eastAsia" w:ascii="Times New Roman" w:hAnsi="Times New Roman"/>
                <w:b w:val="0"/>
                <w:bCs w:val="0"/>
                <w:szCs w:val="21"/>
              </w:rPr>
              <w:t>（1）柜体：采用厚度15mm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b w:val="0"/>
                <w:bCs w:val="0"/>
                <w:szCs w:val="21"/>
              </w:rPr>
              <w:t>双贴桦木纹饰面的橡胶木拼板。顶部收纳格内空尺寸：470x354x40mm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b w:val="0"/>
                <w:bCs w:val="0"/>
                <w:szCs w:val="21"/>
              </w:rPr>
              <w:t>；柜体内包含9个铁质晾干网，尺寸：L461xW388xH8mm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b w:val="0"/>
                <w:bCs w:val="0"/>
                <w:szCs w:val="21"/>
              </w:rPr>
              <w:t>，铁网每层均匀分布，层间距为：64mm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b w:val="0"/>
                <w:bCs w:val="0"/>
                <w:szCs w:val="21"/>
              </w:rPr>
              <w:t>；柜内安装9个塑料材质U型槽，呈卡其色，尺寸为L370mm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b w:val="0"/>
                <w:bCs w:val="0"/>
                <w:szCs w:val="21"/>
              </w:rPr>
              <w:t>，有利于柜体空间合理分布，铁网能准确滑入槽中，取放便捷。底部安装4个静音带刹车万向脚轮，脚轮运行平稳无声，可360°旋转，转动顺滑。</w:t>
            </w:r>
          </w:p>
          <w:p w14:paraId="60D0E1FA">
            <w:pPr>
              <w:jc w:val="left"/>
              <w:rPr>
                <w:rFonts w:hint="eastAsia" w:ascii="Times New Roman" w:hAnsi="Times New Roman"/>
                <w:b w:val="0"/>
                <w:bCs w:val="0"/>
                <w:szCs w:val="21"/>
              </w:rPr>
            </w:pPr>
            <w:r>
              <w:rPr>
                <w:rFonts w:hint="eastAsia" w:ascii="Times New Roman" w:hAnsi="Times New Roman"/>
                <w:b w:val="0"/>
                <w:bCs w:val="0"/>
                <w:szCs w:val="21"/>
              </w:rPr>
              <w:t>（2）采用的水性木蜡油封边，成分天然，分子机构细小，成膜牢固，密封性好，无毒。</w:t>
            </w:r>
          </w:p>
        </w:tc>
      </w:tr>
      <w:tr w14:paraId="71C5B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3" w:type="pct"/>
            <w:vMerge w:val="restart"/>
            <w:noWrap w:val="0"/>
            <w:vAlign w:val="center"/>
          </w:tcPr>
          <w:p w14:paraId="2F3D11CE">
            <w:pPr>
              <w:keepNext w:val="0"/>
              <w:keepLines w:val="0"/>
              <w:widowControl/>
              <w:suppressLineNumbers w:val="0"/>
              <w:jc w:val="center"/>
              <w:textAlignment w:val="center"/>
              <w:rPr>
                <w:b/>
                <w:szCs w:val="21"/>
              </w:rPr>
            </w:pPr>
            <w:r>
              <w:rPr>
                <w:rFonts w:hint="default" w:ascii="Arial" w:hAnsi="Arial" w:eastAsia="宋体" w:cs="Arial"/>
                <w:i w:val="0"/>
                <w:iCs w:val="0"/>
                <w:color w:val="000000"/>
                <w:kern w:val="0"/>
                <w:sz w:val="20"/>
                <w:szCs w:val="20"/>
                <w:u w:val="none"/>
                <w:lang w:val="en-US" w:eastAsia="zh-CN" w:bidi="ar"/>
              </w:rPr>
              <w:t xml:space="preserve">71 </w:t>
            </w:r>
          </w:p>
        </w:tc>
        <w:tc>
          <w:tcPr>
            <w:tcW w:w="440" w:type="pct"/>
            <w:vMerge w:val="restart"/>
            <w:noWrap w:val="0"/>
            <w:vAlign w:val="center"/>
          </w:tcPr>
          <w:p w14:paraId="1131DF4C">
            <w:pPr>
              <w:keepNext w:val="0"/>
              <w:keepLines w:val="0"/>
              <w:widowControl/>
              <w:suppressLineNumbers w:val="0"/>
              <w:jc w:val="center"/>
              <w:textAlignment w:val="center"/>
              <w:rPr>
                <w:rFonts w:hint="eastAsia" w:ascii="Times New Roman" w:hAnsi="Times New Roman"/>
                <w:szCs w:val="21"/>
              </w:rPr>
            </w:pPr>
            <w:r>
              <w:rPr>
                <w:rFonts w:hint="eastAsia" w:ascii="宋体" w:hAnsi="宋体" w:eastAsia="宋体" w:cs="宋体"/>
                <w:i w:val="0"/>
                <w:iCs w:val="0"/>
                <w:color w:val="000000"/>
                <w:kern w:val="0"/>
                <w:sz w:val="20"/>
                <w:szCs w:val="20"/>
                <w:u w:val="none"/>
                <w:lang w:val="en-US" w:eastAsia="zh-CN" w:bidi="ar"/>
              </w:rPr>
              <w:t>2层90°弧形矮柜</w:t>
            </w:r>
          </w:p>
        </w:tc>
        <w:tc>
          <w:tcPr>
            <w:tcW w:w="4225" w:type="pct"/>
            <w:noWrap w:val="0"/>
            <w:vAlign w:val="center"/>
          </w:tcPr>
          <w:p w14:paraId="4BB584E8">
            <w:pPr>
              <w:jc w:val="left"/>
              <w:rPr>
                <w:rFonts w:hint="eastAsia" w:ascii="Times New Roman" w:hAnsi="Times New Roman"/>
                <w:b w:val="0"/>
                <w:bCs w:val="0"/>
                <w:szCs w:val="21"/>
              </w:rPr>
            </w:pPr>
            <w:r>
              <w:rPr>
                <w:rFonts w:hint="eastAsia" w:ascii="Times New Roman" w:hAnsi="Times New Roman"/>
                <w:b w:val="0"/>
                <w:bCs w:val="0"/>
                <w:szCs w:val="21"/>
              </w:rPr>
              <w:t>规格：L84xW38.5xH59cm（±3cm）</w:t>
            </w:r>
          </w:p>
        </w:tc>
      </w:tr>
      <w:tr w14:paraId="7E9A3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3" w:type="pct"/>
            <w:vMerge w:val="continue"/>
            <w:noWrap w:val="0"/>
            <w:vAlign w:val="center"/>
          </w:tcPr>
          <w:p w14:paraId="661F4CFA">
            <w:pPr>
              <w:jc w:val="center"/>
              <w:rPr>
                <w:b/>
                <w:szCs w:val="21"/>
              </w:rPr>
            </w:pPr>
          </w:p>
        </w:tc>
        <w:tc>
          <w:tcPr>
            <w:tcW w:w="440" w:type="pct"/>
            <w:vMerge w:val="continue"/>
            <w:noWrap w:val="0"/>
            <w:vAlign w:val="top"/>
          </w:tcPr>
          <w:p w14:paraId="5694CDD2">
            <w:pPr>
              <w:jc w:val="center"/>
              <w:rPr>
                <w:rFonts w:hint="eastAsia" w:ascii="Times New Roman" w:hAnsi="Times New Roman"/>
                <w:szCs w:val="21"/>
              </w:rPr>
            </w:pPr>
          </w:p>
        </w:tc>
        <w:tc>
          <w:tcPr>
            <w:tcW w:w="4225" w:type="pct"/>
            <w:noWrap w:val="0"/>
            <w:vAlign w:val="top"/>
          </w:tcPr>
          <w:p w14:paraId="339BA90D">
            <w:pPr>
              <w:jc w:val="left"/>
              <w:rPr>
                <w:rFonts w:hint="eastAsia" w:ascii="Times New Roman" w:hAnsi="Times New Roman"/>
                <w:b w:val="0"/>
                <w:bCs w:val="0"/>
                <w:szCs w:val="21"/>
              </w:rPr>
            </w:pPr>
            <w:r>
              <w:rPr>
                <w:rFonts w:hint="eastAsia" w:ascii="Times New Roman" w:hAnsi="Times New Roman"/>
                <w:b w:val="0"/>
                <w:bCs w:val="0"/>
                <w:szCs w:val="21"/>
              </w:rPr>
              <w:t>1、工艺设计：</w:t>
            </w:r>
          </w:p>
          <w:p w14:paraId="5B020130">
            <w:pPr>
              <w:jc w:val="left"/>
              <w:rPr>
                <w:rFonts w:hint="eastAsia" w:ascii="Times New Roman" w:hAnsi="Times New Roman"/>
                <w:b w:val="0"/>
                <w:bCs w:val="0"/>
                <w:szCs w:val="21"/>
              </w:rPr>
            </w:pPr>
            <w:r>
              <w:rPr>
                <w:rFonts w:hint="eastAsia" w:ascii="Times New Roman" w:hAnsi="Times New Roman"/>
                <w:b w:val="0"/>
                <w:bCs w:val="0"/>
                <w:szCs w:val="21"/>
              </w:rPr>
              <w:t>（1）90°弧形设计，可搭配区角使用作转角连接。</w:t>
            </w:r>
          </w:p>
          <w:p w14:paraId="0D9ADDA6">
            <w:pPr>
              <w:jc w:val="left"/>
              <w:rPr>
                <w:rFonts w:hint="eastAsia" w:ascii="Times New Roman" w:hAnsi="Times New Roman"/>
                <w:b w:val="0"/>
                <w:bCs w:val="0"/>
                <w:szCs w:val="21"/>
              </w:rPr>
            </w:pPr>
            <w:r>
              <w:rPr>
                <w:rFonts w:hint="eastAsia" w:ascii="Times New Roman" w:hAnsi="Times New Roman"/>
                <w:b w:val="0"/>
                <w:bCs w:val="0"/>
                <w:szCs w:val="21"/>
              </w:rPr>
              <w:t>（2）所有螺丝位无毛刺不刮手，四角及边沿采用圆角/圆边处理以及安全防撞设计，最大程度的避免儿童磕碰伤害，结构稳固。</w:t>
            </w:r>
          </w:p>
        </w:tc>
      </w:tr>
      <w:tr w14:paraId="58DFB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3" w:type="pct"/>
            <w:vMerge w:val="continue"/>
            <w:noWrap w:val="0"/>
            <w:vAlign w:val="center"/>
          </w:tcPr>
          <w:p w14:paraId="22A69975">
            <w:pPr>
              <w:jc w:val="center"/>
              <w:rPr>
                <w:b/>
                <w:szCs w:val="21"/>
              </w:rPr>
            </w:pPr>
          </w:p>
        </w:tc>
        <w:tc>
          <w:tcPr>
            <w:tcW w:w="440" w:type="pct"/>
            <w:vMerge w:val="continue"/>
            <w:noWrap w:val="0"/>
            <w:vAlign w:val="top"/>
          </w:tcPr>
          <w:p w14:paraId="25CD2F1C">
            <w:pPr>
              <w:jc w:val="center"/>
              <w:rPr>
                <w:rFonts w:hint="eastAsia" w:ascii="Times New Roman" w:hAnsi="Times New Roman"/>
                <w:szCs w:val="21"/>
              </w:rPr>
            </w:pPr>
          </w:p>
        </w:tc>
        <w:tc>
          <w:tcPr>
            <w:tcW w:w="4225" w:type="pct"/>
            <w:noWrap w:val="0"/>
            <w:vAlign w:val="top"/>
          </w:tcPr>
          <w:p w14:paraId="6E46CFBE">
            <w:pPr>
              <w:jc w:val="left"/>
              <w:rPr>
                <w:rFonts w:hint="eastAsia" w:ascii="Times New Roman" w:hAnsi="Times New Roman"/>
                <w:b w:val="0"/>
                <w:bCs w:val="0"/>
                <w:szCs w:val="21"/>
              </w:rPr>
            </w:pPr>
            <w:r>
              <w:rPr>
                <w:rFonts w:hint="eastAsia" w:ascii="Times New Roman" w:hAnsi="Times New Roman"/>
                <w:b w:val="0"/>
                <w:bCs w:val="0"/>
                <w:szCs w:val="21"/>
              </w:rPr>
              <w:t>2、外观结构：</w:t>
            </w:r>
          </w:p>
          <w:p w14:paraId="0EEDDF1B">
            <w:pPr>
              <w:jc w:val="left"/>
              <w:rPr>
                <w:rFonts w:hint="eastAsia" w:ascii="Times New Roman" w:hAnsi="Times New Roman"/>
                <w:b w:val="0"/>
                <w:bCs w:val="0"/>
                <w:szCs w:val="21"/>
              </w:rPr>
            </w:pPr>
            <w:r>
              <w:rPr>
                <w:rFonts w:hint="eastAsia" w:ascii="Times New Roman" w:hAnsi="Times New Roman"/>
                <w:b w:val="0"/>
                <w:bCs w:val="0"/>
                <w:szCs w:val="21"/>
              </w:rPr>
              <w:t>（1）柜体：采用16mm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b w:val="0"/>
                <w:bCs w:val="0"/>
                <w:szCs w:val="21"/>
              </w:rPr>
              <w:t>的橡胶木拼板。通透2层矮柜，上下内空高度为236mm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b w:val="0"/>
                <w:bCs w:val="0"/>
                <w:szCs w:val="21"/>
              </w:rPr>
              <w:t>，柜体呈90°弧形。</w:t>
            </w:r>
          </w:p>
          <w:p w14:paraId="58AB976A">
            <w:pPr>
              <w:jc w:val="left"/>
              <w:rPr>
                <w:rFonts w:hint="eastAsia" w:ascii="Times New Roman" w:hAnsi="Times New Roman"/>
                <w:b w:val="0"/>
                <w:bCs w:val="0"/>
                <w:szCs w:val="21"/>
              </w:rPr>
            </w:pPr>
            <w:r>
              <w:rPr>
                <w:rFonts w:hint="eastAsia" w:ascii="Times New Roman" w:hAnsi="Times New Roman"/>
                <w:b w:val="0"/>
                <w:bCs w:val="0"/>
                <w:szCs w:val="21"/>
              </w:rPr>
              <w:t>（2）围脚：采用厚度18mm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b w:val="0"/>
                <w:bCs w:val="0"/>
                <w:szCs w:val="21"/>
              </w:rPr>
              <w:t>的多层胶合弯板，柜子底部安装塑料脚垫，高度为H10mm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b w:val="0"/>
                <w:bCs w:val="0"/>
                <w:szCs w:val="21"/>
              </w:rPr>
              <w:t>，直径17mm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b w:val="0"/>
                <w:bCs w:val="0"/>
                <w:szCs w:val="21"/>
              </w:rPr>
              <w:t>，软性防滑，可有效保护地面刮花并降低噪音。</w:t>
            </w:r>
          </w:p>
          <w:p w14:paraId="55FB92B6">
            <w:pPr>
              <w:jc w:val="left"/>
              <w:rPr>
                <w:rFonts w:hint="eastAsia" w:ascii="Times New Roman" w:hAnsi="Times New Roman"/>
                <w:b w:val="0"/>
                <w:bCs w:val="0"/>
                <w:szCs w:val="21"/>
              </w:rPr>
            </w:pPr>
            <w:r>
              <w:rPr>
                <w:rFonts w:hint="eastAsia" w:ascii="Times New Roman" w:hAnsi="Times New Roman"/>
                <w:b w:val="0"/>
                <w:bCs w:val="0"/>
                <w:szCs w:val="21"/>
              </w:rPr>
              <w:t>（3）采用的水性漆，全封闭涂装工艺，漆面光泽高透，颜色均匀。</w:t>
            </w:r>
          </w:p>
        </w:tc>
      </w:tr>
      <w:tr w14:paraId="2DC35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3" w:type="pct"/>
            <w:vMerge w:val="restart"/>
            <w:noWrap w:val="0"/>
            <w:vAlign w:val="center"/>
          </w:tcPr>
          <w:p w14:paraId="7E497F1A">
            <w:pPr>
              <w:keepNext w:val="0"/>
              <w:keepLines w:val="0"/>
              <w:widowControl/>
              <w:suppressLineNumbers w:val="0"/>
              <w:jc w:val="center"/>
              <w:textAlignment w:val="center"/>
              <w:rPr>
                <w:b/>
                <w:szCs w:val="21"/>
              </w:rPr>
            </w:pPr>
            <w:r>
              <w:rPr>
                <w:rFonts w:hint="default" w:ascii="Arial" w:hAnsi="Arial" w:eastAsia="宋体" w:cs="Arial"/>
                <w:i w:val="0"/>
                <w:iCs w:val="0"/>
                <w:color w:val="000000"/>
                <w:kern w:val="0"/>
                <w:sz w:val="20"/>
                <w:szCs w:val="20"/>
                <w:u w:val="none"/>
                <w:lang w:val="en-US" w:eastAsia="zh-CN" w:bidi="ar"/>
              </w:rPr>
              <w:t xml:space="preserve">72 </w:t>
            </w:r>
          </w:p>
        </w:tc>
        <w:tc>
          <w:tcPr>
            <w:tcW w:w="440" w:type="pct"/>
            <w:vMerge w:val="restart"/>
            <w:noWrap w:val="0"/>
            <w:vAlign w:val="center"/>
          </w:tcPr>
          <w:p w14:paraId="42C47EC0">
            <w:pPr>
              <w:keepNext w:val="0"/>
              <w:keepLines w:val="0"/>
              <w:widowControl/>
              <w:suppressLineNumbers w:val="0"/>
              <w:jc w:val="center"/>
              <w:textAlignment w:val="center"/>
              <w:rPr>
                <w:rFonts w:hint="eastAsia" w:ascii="Times New Roman" w:hAnsi="Times New Roman"/>
                <w:szCs w:val="21"/>
              </w:rPr>
            </w:pPr>
            <w:r>
              <w:rPr>
                <w:rFonts w:hint="eastAsia" w:ascii="宋体" w:hAnsi="宋体" w:eastAsia="宋体" w:cs="宋体"/>
                <w:i w:val="0"/>
                <w:iCs w:val="0"/>
                <w:color w:val="000000"/>
                <w:kern w:val="0"/>
                <w:sz w:val="20"/>
                <w:szCs w:val="20"/>
                <w:u w:val="none"/>
                <w:lang w:val="en-US" w:eastAsia="zh-CN" w:bidi="ar"/>
              </w:rPr>
              <w:t>美术用品收纳柜</w:t>
            </w:r>
          </w:p>
        </w:tc>
        <w:tc>
          <w:tcPr>
            <w:tcW w:w="4225" w:type="pct"/>
            <w:noWrap w:val="0"/>
            <w:vAlign w:val="center"/>
          </w:tcPr>
          <w:p w14:paraId="13EAB80D">
            <w:pPr>
              <w:jc w:val="left"/>
              <w:rPr>
                <w:rFonts w:hint="eastAsia" w:ascii="Times New Roman" w:hAnsi="Times New Roman"/>
                <w:b w:val="0"/>
                <w:bCs w:val="0"/>
                <w:szCs w:val="21"/>
              </w:rPr>
            </w:pPr>
            <w:r>
              <w:rPr>
                <w:rFonts w:hint="eastAsia" w:ascii="Times New Roman" w:hAnsi="Times New Roman"/>
                <w:b w:val="0"/>
                <w:bCs w:val="0"/>
                <w:szCs w:val="21"/>
              </w:rPr>
              <w:t>规格：L100xW40xH61.5cm（±3cm）</w:t>
            </w:r>
          </w:p>
        </w:tc>
      </w:tr>
      <w:tr w14:paraId="62491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3" w:type="pct"/>
            <w:vMerge w:val="continue"/>
            <w:noWrap w:val="0"/>
            <w:vAlign w:val="center"/>
          </w:tcPr>
          <w:p w14:paraId="23BFA7A7">
            <w:pPr>
              <w:jc w:val="center"/>
              <w:rPr>
                <w:b/>
                <w:szCs w:val="21"/>
              </w:rPr>
            </w:pPr>
          </w:p>
        </w:tc>
        <w:tc>
          <w:tcPr>
            <w:tcW w:w="440" w:type="pct"/>
            <w:vMerge w:val="continue"/>
            <w:noWrap w:val="0"/>
            <w:vAlign w:val="top"/>
          </w:tcPr>
          <w:p w14:paraId="6DEE08C8">
            <w:pPr>
              <w:jc w:val="center"/>
              <w:rPr>
                <w:rFonts w:hint="eastAsia" w:ascii="Times New Roman" w:hAnsi="Times New Roman"/>
                <w:szCs w:val="21"/>
              </w:rPr>
            </w:pPr>
          </w:p>
        </w:tc>
        <w:tc>
          <w:tcPr>
            <w:tcW w:w="4225" w:type="pct"/>
            <w:noWrap w:val="0"/>
            <w:vAlign w:val="top"/>
          </w:tcPr>
          <w:p w14:paraId="3A0932D4">
            <w:pPr>
              <w:jc w:val="left"/>
              <w:rPr>
                <w:rFonts w:hint="eastAsia" w:ascii="Times New Roman" w:hAnsi="Times New Roman"/>
                <w:b w:val="0"/>
                <w:bCs w:val="0"/>
                <w:szCs w:val="21"/>
              </w:rPr>
            </w:pPr>
            <w:r>
              <w:rPr>
                <w:rFonts w:hint="eastAsia" w:ascii="Times New Roman" w:hAnsi="Times New Roman"/>
                <w:b w:val="0"/>
                <w:bCs w:val="0"/>
                <w:szCs w:val="21"/>
              </w:rPr>
              <w:t>1、工艺设计：</w:t>
            </w:r>
          </w:p>
          <w:p w14:paraId="57B755C1">
            <w:pPr>
              <w:jc w:val="left"/>
              <w:rPr>
                <w:rFonts w:hint="eastAsia" w:ascii="Times New Roman" w:hAnsi="Times New Roman"/>
                <w:b w:val="0"/>
                <w:bCs w:val="0"/>
                <w:szCs w:val="21"/>
              </w:rPr>
            </w:pPr>
            <w:r>
              <w:rPr>
                <w:rFonts w:hint="eastAsia" w:ascii="Times New Roman" w:hAnsi="Times New Roman"/>
                <w:b w:val="0"/>
                <w:bCs w:val="0"/>
                <w:szCs w:val="21"/>
              </w:rPr>
              <w:t>（1）卡槽定位设计，分布均匀，实现作品晾干架抽拉式取放，不易走位。</w:t>
            </w:r>
          </w:p>
          <w:p w14:paraId="79A3BEE2">
            <w:pPr>
              <w:jc w:val="left"/>
              <w:rPr>
                <w:rFonts w:hint="eastAsia" w:ascii="Times New Roman" w:hAnsi="Times New Roman"/>
                <w:b w:val="0"/>
                <w:bCs w:val="0"/>
                <w:szCs w:val="21"/>
              </w:rPr>
            </w:pPr>
            <w:r>
              <w:rPr>
                <w:rFonts w:hint="eastAsia" w:ascii="Times New Roman" w:hAnsi="Times New Roman"/>
                <w:b w:val="0"/>
                <w:bCs w:val="0"/>
                <w:szCs w:val="21"/>
              </w:rPr>
              <w:t>（2）铁网表面采用静电粉末喷涂工艺，圆润光滑，防腐抗锈，坚固耐用。</w:t>
            </w:r>
          </w:p>
          <w:p w14:paraId="1EEAF041">
            <w:pPr>
              <w:jc w:val="left"/>
              <w:rPr>
                <w:rFonts w:hint="eastAsia" w:ascii="Times New Roman" w:hAnsi="Times New Roman"/>
                <w:b w:val="0"/>
                <w:bCs w:val="0"/>
                <w:szCs w:val="21"/>
              </w:rPr>
            </w:pPr>
            <w:r>
              <w:rPr>
                <w:rFonts w:hint="eastAsia" w:ascii="Times New Roman" w:hAnsi="Times New Roman"/>
                <w:b w:val="0"/>
                <w:bCs w:val="0"/>
                <w:szCs w:val="21"/>
              </w:rPr>
              <w:t>（3）配套塑料收纳盒，可满足不同类型材料的分类储存。</w:t>
            </w:r>
          </w:p>
          <w:p w14:paraId="69F6CC5C">
            <w:pPr>
              <w:jc w:val="left"/>
              <w:rPr>
                <w:rFonts w:hint="eastAsia" w:ascii="Times New Roman" w:hAnsi="Times New Roman"/>
                <w:b w:val="0"/>
                <w:bCs w:val="0"/>
                <w:szCs w:val="21"/>
              </w:rPr>
            </w:pPr>
            <w:r>
              <w:rPr>
                <w:rFonts w:hint="eastAsia" w:ascii="Times New Roman" w:hAnsi="Times New Roman"/>
                <w:b w:val="0"/>
                <w:bCs w:val="0"/>
                <w:szCs w:val="21"/>
              </w:rPr>
              <w:t>（4）所有螺丝位无毛刺不刮手，边角采用圆边/圆角处理以及安全防撞设计，最大程度的避免儿童磕碰伤害，结构稳固。</w:t>
            </w:r>
          </w:p>
        </w:tc>
      </w:tr>
      <w:tr w14:paraId="20F1A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3" w:type="pct"/>
            <w:vMerge w:val="continue"/>
            <w:noWrap w:val="0"/>
            <w:vAlign w:val="center"/>
          </w:tcPr>
          <w:p w14:paraId="569F4826">
            <w:pPr>
              <w:jc w:val="center"/>
              <w:rPr>
                <w:b/>
                <w:szCs w:val="21"/>
              </w:rPr>
            </w:pPr>
          </w:p>
        </w:tc>
        <w:tc>
          <w:tcPr>
            <w:tcW w:w="440" w:type="pct"/>
            <w:vMerge w:val="continue"/>
            <w:noWrap w:val="0"/>
            <w:vAlign w:val="top"/>
          </w:tcPr>
          <w:p w14:paraId="14122ABC">
            <w:pPr>
              <w:jc w:val="center"/>
              <w:rPr>
                <w:rFonts w:hint="eastAsia" w:ascii="Times New Roman" w:hAnsi="Times New Roman"/>
                <w:szCs w:val="21"/>
              </w:rPr>
            </w:pPr>
          </w:p>
        </w:tc>
        <w:tc>
          <w:tcPr>
            <w:tcW w:w="4225" w:type="pct"/>
            <w:noWrap w:val="0"/>
            <w:vAlign w:val="top"/>
          </w:tcPr>
          <w:p w14:paraId="2019DF96">
            <w:pPr>
              <w:jc w:val="left"/>
              <w:rPr>
                <w:rFonts w:hint="eastAsia" w:ascii="Times New Roman" w:hAnsi="Times New Roman"/>
                <w:b w:val="0"/>
                <w:bCs w:val="0"/>
                <w:szCs w:val="21"/>
              </w:rPr>
            </w:pPr>
            <w:r>
              <w:rPr>
                <w:rFonts w:hint="eastAsia" w:ascii="Times New Roman" w:hAnsi="Times New Roman"/>
                <w:b w:val="0"/>
                <w:bCs w:val="0"/>
                <w:szCs w:val="21"/>
              </w:rPr>
              <w:t>2、外观结构：</w:t>
            </w:r>
          </w:p>
          <w:p w14:paraId="2C767AB1">
            <w:pPr>
              <w:jc w:val="left"/>
              <w:rPr>
                <w:rFonts w:hint="eastAsia" w:ascii="Times New Roman" w:hAnsi="Times New Roman"/>
                <w:b w:val="0"/>
                <w:bCs w:val="0"/>
                <w:szCs w:val="21"/>
              </w:rPr>
            </w:pPr>
            <w:r>
              <w:rPr>
                <w:rFonts w:hint="eastAsia" w:ascii="Times New Roman" w:hAnsi="Times New Roman"/>
                <w:b w:val="0"/>
                <w:bCs w:val="0"/>
                <w:szCs w:val="21"/>
              </w:rPr>
              <w:t>（1）</w:t>
            </w:r>
            <w:r>
              <w:rPr>
                <w:rFonts w:ascii="宋体" w:hAnsi="宋体" w:eastAsia="宋体" w:cs="宋体"/>
                <w:sz w:val="24"/>
                <w:szCs w:val="24"/>
              </w:rPr>
              <w:t>柜体：采用厚度12mm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ascii="宋体" w:hAnsi="宋体" w:eastAsia="宋体" w:cs="宋体"/>
                <w:sz w:val="24"/>
                <w:szCs w:val="24"/>
              </w:rPr>
              <w:t>的桦木纹饰面橡胶木拼板。柜体中间是两层无背板设计。上层格子安装塑料材质U型槽，呈卡其色，尺寸为L370mm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ascii="宋体" w:hAnsi="宋体" w:eastAsia="宋体" w:cs="宋体"/>
                <w:sz w:val="24"/>
                <w:szCs w:val="24"/>
              </w:rPr>
              <w:t>，有利于铁网能准确滑入槽中，左右两侧设有纸卷放置格1格， 短背板设计，2层2格颜料收纳格。</w:t>
            </w:r>
          </w:p>
          <w:p w14:paraId="5CDDBC06">
            <w:pPr>
              <w:jc w:val="left"/>
              <w:rPr>
                <w:rFonts w:hint="eastAsia" w:ascii="Times New Roman" w:hAnsi="Times New Roman"/>
                <w:b w:val="0"/>
                <w:bCs w:val="0"/>
                <w:szCs w:val="21"/>
              </w:rPr>
            </w:pPr>
            <w:r>
              <w:rPr>
                <w:rFonts w:hint="eastAsia" w:ascii="Times New Roman" w:hAnsi="Times New Roman"/>
                <w:b w:val="0"/>
                <w:bCs w:val="0"/>
                <w:szCs w:val="21"/>
              </w:rPr>
              <w:t>（2）搭配：4个大收纳盒尺寸：L245xW150xH60mm</w:t>
            </w:r>
            <w:r>
              <w:rPr>
                <w:rFonts w:ascii="宋体" w:hAnsi="宋体" w:eastAsia="宋体" w:cs="宋体"/>
                <w:sz w:val="24"/>
                <w:szCs w:val="24"/>
              </w:rPr>
              <w:t>（±3mm）</w:t>
            </w:r>
            <w:r>
              <w:rPr>
                <w:rFonts w:hint="eastAsia" w:ascii="Times New Roman" w:hAnsi="Times New Roman"/>
                <w:b w:val="0"/>
                <w:bCs w:val="0"/>
                <w:szCs w:val="21"/>
              </w:rPr>
              <w:t>，4个小收纳盒尺寸：L150xW120xH60mm</w:t>
            </w:r>
            <w:r>
              <w:rPr>
                <w:rFonts w:ascii="宋体" w:hAnsi="宋体" w:eastAsia="宋体" w:cs="宋体"/>
                <w:sz w:val="24"/>
                <w:szCs w:val="24"/>
              </w:rPr>
              <w:t>（±3mm）</w:t>
            </w:r>
            <w:r>
              <w:rPr>
                <w:rFonts w:hint="eastAsia" w:ascii="Times New Roman" w:hAnsi="Times New Roman"/>
                <w:b w:val="0"/>
                <w:bCs w:val="0"/>
                <w:szCs w:val="21"/>
              </w:rPr>
              <w:t>，教具收纳更轻松。收纳盒采用塑料材质，呈浅咖色，圆滑无毛刺，一体成型设计，结构稳固。1块铁质晾干网，尺寸：L590xW350xH8mm</w:t>
            </w:r>
            <w:r>
              <w:rPr>
                <w:rFonts w:ascii="宋体" w:hAnsi="宋体" w:eastAsia="宋体" w:cs="宋体"/>
                <w:sz w:val="24"/>
                <w:szCs w:val="24"/>
              </w:rPr>
              <w:t>（±3mm）</w:t>
            </w:r>
            <w:r>
              <w:rPr>
                <w:rFonts w:hint="eastAsia" w:ascii="Times New Roman" w:hAnsi="Times New Roman"/>
                <w:b w:val="0"/>
                <w:bCs w:val="0"/>
                <w:szCs w:val="21"/>
              </w:rPr>
              <w:t>，铁网表面采用静电粉末喷涂工艺，圆润光滑，防腐抗锈。</w:t>
            </w:r>
          </w:p>
          <w:p w14:paraId="6F1E62C1">
            <w:pPr>
              <w:jc w:val="left"/>
              <w:rPr>
                <w:rFonts w:hint="eastAsia" w:ascii="Times New Roman" w:hAnsi="Times New Roman"/>
                <w:b w:val="0"/>
                <w:bCs w:val="0"/>
                <w:szCs w:val="21"/>
              </w:rPr>
            </w:pPr>
            <w:r>
              <w:rPr>
                <w:rFonts w:hint="eastAsia" w:ascii="Times New Roman" w:hAnsi="Times New Roman"/>
                <w:b w:val="0"/>
                <w:bCs w:val="0"/>
                <w:szCs w:val="21"/>
              </w:rPr>
              <w:t>（3）采用的水性木蜡油封边，成分天然，分子机构细小，成膜牢固，密封性好，无毒。</w:t>
            </w:r>
          </w:p>
          <w:p w14:paraId="53383ECA">
            <w:pPr>
              <w:jc w:val="left"/>
              <w:rPr>
                <w:rFonts w:hint="eastAsia" w:ascii="Times New Roman" w:hAnsi="Times New Roman"/>
                <w:b w:val="0"/>
                <w:bCs w:val="0"/>
                <w:szCs w:val="21"/>
              </w:rPr>
            </w:pPr>
            <w:r>
              <w:rPr>
                <w:rFonts w:hint="eastAsia" w:ascii="Times New Roman" w:hAnsi="Times New Roman"/>
                <w:b w:val="0"/>
                <w:bCs w:val="0"/>
                <w:szCs w:val="21"/>
              </w:rPr>
              <w:t>（4）柜子底部安装4个静音带刹车万向脚轮，1个静音万向脚轮，脚轮运行平稳无声，可360°旋转，转动顺滑。</w:t>
            </w:r>
          </w:p>
        </w:tc>
      </w:tr>
      <w:tr w14:paraId="0DAD9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3" w:type="pct"/>
            <w:vMerge w:val="restart"/>
            <w:noWrap w:val="0"/>
            <w:vAlign w:val="center"/>
          </w:tcPr>
          <w:p w14:paraId="30F23E90">
            <w:pPr>
              <w:keepNext w:val="0"/>
              <w:keepLines w:val="0"/>
              <w:widowControl/>
              <w:suppressLineNumbers w:val="0"/>
              <w:jc w:val="center"/>
              <w:textAlignment w:val="center"/>
              <w:rPr>
                <w:b/>
                <w:szCs w:val="21"/>
              </w:rPr>
            </w:pPr>
            <w:r>
              <w:rPr>
                <w:rFonts w:hint="default" w:ascii="Arial" w:hAnsi="Arial" w:eastAsia="宋体" w:cs="Arial"/>
                <w:i w:val="0"/>
                <w:iCs w:val="0"/>
                <w:color w:val="000000"/>
                <w:kern w:val="0"/>
                <w:sz w:val="20"/>
                <w:szCs w:val="20"/>
                <w:u w:val="none"/>
                <w:lang w:val="en-US" w:eastAsia="zh-CN" w:bidi="ar"/>
              </w:rPr>
              <w:t xml:space="preserve">73 </w:t>
            </w:r>
          </w:p>
        </w:tc>
        <w:tc>
          <w:tcPr>
            <w:tcW w:w="440" w:type="pct"/>
            <w:vMerge w:val="restart"/>
            <w:noWrap w:val="0"/>
            <w:vAlign w:val="center"/>
          </w:tcPr>
          <w:p w14:paraId="1AF32553">
            <w:pPr>
              <w:keepNext w:val="0"/>
              <w:keepLines w:val="0"/>
              <w:widowControl/>
              <w:suppressLineNumbers w:val="0"/>
              <w:jc w:val="center"/>
              <w:textAlignment w:val="center"/>
              <w:rPr>
                <w:rFonts w:hint="eastAsia" w:ascii="Times New Roman" w:hAnsi="Times New Roman"/>
                <w:szCs w:val="21"/>
              </w:rPr>
            </w:pPr>
            <w:r>
              <w:rPr>
                <w:rFonts w:hint="eastAsia" w:ascii="宋体" w:hAnsi="宋体" w:eastAsia="宋体" w:cs="宋体"/>
                <w:i w:val="0"/>
                <w:iCs w:val="0"/>
                <w:color w:val="000000"/>
                <w:kern w:val="0"/>
                <w:sz w:val="20"/>
                <w:szCs w:val="20"/>
                <w:u w:val="none"/>
                <w:lang w:val="en-US" w:eastAsia="zh-CN" w:bidi="ar"/>
              </w:rPr>
              <w:t>多功能组合展示屏风A</w:t>
            </w:r>
          </w:p>
        </w:tc>
        <w:tc>
          <w:tcPr>
            <w:tcW w:w="4225" w:type="pct"/>
            <w:noWrap w:val="0"/>
            <w:vAlign w:val="center"/>
          </w:tcPr>
          <w:p w14:paraId="0D3B9EBE">
            <w:pPr>
              <w:jc w:val="left"/>
              <w:rPr>
                <w:rFonts w:hint="eastAsia" w:ascii="Times New Roman" w:hAnsi="Times New Roman"/>
                <w:b w:val="0"/>
                <w:bCs w:val="0"/>
                <w:szCs w:val="21"/>
              </w:rPr>
            </w:pPr>
            <w:r>
              <w:rPr>
                <w:rFonts w:hint="eastAsia" w:ascii="Times New Roman" w:hAnsi="Times New Roman"/>
                <w:b w:val="0"/>
                <w:bCs w:val="0"/>
                <w:szCs w:val="21"/>
              </w:rPr>
              <w:t>规格：L80xW35xH143cm（±3cm）（含配件）</w:t>
            </w:r>
          </w:p>
        </w:tc>
      </w:tr>
      <w:tr w14:paraId="3AB11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3" w:type="pct"/>
            <w:vMerge w:val="continue"/>
            <w:noWrap w:val="0"/>
            <w:vAlign w:val="center"/>
          </w:tcPr>
          <w:p w14:paraId="14A9348E">
            <w:pPr>
              <w:jc w:val="center"/>
              <w:rPr>
                <w:b/>
                <w:szCs w:val="21"/>
              </w:rPr>
            </w:pPr>
          </w:p>
        </w:tc>
        <w:tc>
          <w:tcPr>
            <w:tcW w:w="440" w:type="pct"/>
            <w:vMerge w:val="continue"/>
            <w:noWrap w:val="0"/>
            <w:vAlign w:val="top"/>
          </w:tcPr>
          <w:p w14:paraId="1C289D05">
            <w:pPr>
              <w:jc w:val="center"/>
              <w:rPr>
                <w:rFonts w:hint="eastAsia" w:ascii="Times New Roman" w:hAnsi="Times New Roman"/>
                <w:szCs w:val="21"/>
              </w:rPr>
            </w:pPr>
          </w:p>
        </w:tc>
        <w:tc>
          <w:tcPr>
            <w:tcW w:w="4225" w:type="pct"/>
            <w:noWrap w:val="0"/>
            <w:vAlign w:val="top"/>
          </w:tcPr>
          <w:p w14:paraId="743D5D6B">
            <w:pPr>
              <w:jc w:val="left"/>
              <w:rPr>
                <w:rFonts w:hint="eastAsia" w:ascii="Times New Roman" w:hAnsi="Times New Roman"/>
                <w:b w:val="0"/>
                <w:bCs w:val="0"/>
                <w:szCs w:val="21"/>
              </w:rPr>
            </w:pPr>
            <w:r>
              <w:rPr>
                <w:rFonts w:hint="eastAsia" w:ascii="Times New Roman" w:hAnsi="Times New Roman"/>
                <w:b w:val="0"/>
                <w:bCs w:val="0"/>
                <w:szCs w:val="21"/>
              </w:rPr>
              <w:t>1、工艺设计：</w:t>
            </w:r>
          </w:p>
          <w:p w14:paraId="45148833">
            <w:pPr>
              <w:jc w:val="left"/>
              <w:rPr>
                <w:rFonts w:hint="eastAsia" w:ascii="Times New Roman" w:hAnsi="Times New Roman"/>
                <w:b w:val="0"/>
                <w:bCs w:val="0"/>
                <w:szCs w:val="21"/>
              </w:rPr>
            </w:pPr>
            <w:r>
              <w:rPr>
                <w:rFonts w:hint="eastAsia" w:ascii="Times New Roman" w:hAnsi="Times New Roman"/>
                <w:b w:val="0"/>
                <w:bCs w:val="0"/>
                <w:szCs w:val="21"/>
              </w:rPr>
              <w:t>（1）双面使用、展示方式多样、可收纳，能满足不同的教学需要。</w:t>
            </w:r>
          </w:p>
          <w:p w14:paraId="47CF7B81">
            <w:pPr>
              <w:jc w:val="left"/>
              <w:rPr>
                <w:rFonts w:hint="eastAsia" w:ascii="Times New Roman" w:hAnsi="Times New Roman"/>
                <w:b w:val="0"/>
                <w:bCs w:val="0"/>
                <w:szCs w:val="21"/>
              </w:rPr>
            </w:pPr>
            <w:r>
              <w:rPr>
                <w:rFonts w:hint="eastAsia" w:ascii="Times New Roman" w:hAnsi="Times New Roman"/>
                <w:b w:val="0"/>
                <w:bCs w:val="0"/>
                <w:szCs w:val="21"/>
              </w:rPr>
              <w:t>（2）贯穿式连接器功能设计，可快速组合/拆卸屏风，无须任何工具。</w:t>
            </w:r>
          </w:p>
          <w:p w14:paraId="73ABA863">
            <w:pPr>
              <w:jc w:val="left"/>
              <w:rPr>
                <w:rFonts w:hint="eastAsia" w:ascii="Times New Roman" w:hAnsi="Times New Roman"/>
                <w:b w:val="0"/>
                <w:bCs w:val="0"/>
                <w:szCs w:val="21"/>
              </w:rPr>
            </w:pPr>
            <w:r>
              <w:rPr>
                <w:rFonts w:hint="eastAsia" w:ascii="Times New Roman" w:hAnsi="Times New Roman"/>
                <w:b w:val="0"/>
                <w:bCs w:val="0"/>
                <w:szCs w:val="21"/>
              </w:rPr>
              <w:t>（3）多功能带轮带刹车展示屏风，移动/固定便捷，能适用多场景下使用。</w:t>
            </w:r>
          </w:p>
          <w:p w14:paraId="16527327">
            <w:pPr>
              <w:jc w:val="left"/>
              <w:rPr>
                <w:rFonts w:hint="eastAsia" w:ascii="Times New Roman" w:hAnsi="Times New Roman"/>
                <w:b w:val="0"/>
                <w:bCs w:val="0"/>
                <w:szCs w:val="21"/>
              </w:rPr>
            </w:pPr>
            <w:r>
              <w:rPr>
                <w:rFonts w:hint="eastAsia" w:ascii="Times New Roman" w:hAnsi="Times New Roman"/>
                <w:b w:val="0"/>
                <w:bCs w:val="0"/>
                <w:szCs w:val="21"/>
              </w:rPr>
              <w:t>（4）洞洞挂板、铁质配件表面采用静电粉末喷涂工艺，圆润光滑，防腐抗锈，坚固耐用。</w:t>
            </w:r>
          </w:p>
          <w:p w14:paraId="6BE59309">
            <w:pPr>
              <w:jc w:val="left"/>
              <w:rPr>
                <w:rFonts w:hint="eastAsia" w:ascii="Times New Roman" w:hAnsi="Times New Roman"/>
                <w:b w:val="0"/>
                <w:bCs w:val="0"/>
                <w:szCs w:val="21"/>
              </w:rPr>
            </w:pPr>
            <w:r>
              <w:rPr>
                <w:rFonts w:hint="eastAsia" w:ascii="Times New Roman" w:hAnsi="Times New Roman"/>
                <w:b w:val="0"/>
                <w:bCs w:val="0"/>
                <w:szCs w:val="21"/>
              </w:rPr>
              <w:t>（5）配套多种配件，可满足不同方式的储存及展示。</w:t>
            </w:r>
          </w:p>
          <w:p w14:paraId="7E1A9CDD">
            <w:pPr>
              <w:jc w:val="left"/>
              <w:rPr>
                <w:rFonts w:hint="eastAsia" w:ascii="Times New Roman" w:hAnsi="Times New Roman"/>
                <w:b w:val="0"/>
                <w:bCs w:val="0"/>
                <w:szCs w:val="21"/>
              </w:rPr>
            </w:pPr>
            <w:r>
              <w:rPr>
                <w:rFonts w:hint="eastAsia" w:ascii="Times New Roman" w:hAnsi="Times New Roman"/>
                <w:b w:val="0"/>
                <w:bCs w:val="0"/>
                <w:szCs w:val="21"/>
              </w:rPr>
              <w:t>（6）所有螺丝位无毛刺不刮手，边角采用圆边/圆角处理以及安全防撞设计，最大程度的避免儿童磕碰伤害，结构稳固。</w:t>
            </w:r>
          </w:p>
        </w:tc>
      </w:tr>
      <w:tr w14:paraId="149FF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3" w:type="pct"/>
            <w:vMerge w:val="continue"/>
            <w:noWrap w:val="0"/>
            <w:vAlign w:val="center"/>
          </w:tcPr>
          <w:p w14:paraId="7C3AABA0">
            <w:pPr>
              <w:jc w:val="center"/>
              <w:rPr>
                <w:b/>
                <w:szCs w:val="21"/>
              </w:rPr>
            </w:pPr>
          </w:p>
        </w:tc>
        <w:tc>
          <w:tcPr>
            <w:tcW w:w="440" w:type="pct"/>
            <w:vMerge w:val="continue"/>
            <w:noWrap w:val="0"/>
            <w:vAlign w:val="top"/>
          </w:tcPr>
          <w:p w14:paraId="0C9C1164">
            <w:pPr>
              <w:jc w:val="center"/>
              <w:rPr>
                <w:rFonts w:hint="eastAsia" w:ascii="Times New Roman" w:hAnsi="Times New Roman"/>
                <w:szCs w:val="21"/>
              </w:rPr>
            </w:pPr>
          </w:p>
        </w:tc>
        <w:tc>
          <w:tcPr>
            <w:tcW w:w="4225" w:type="pct"/>
            <w:noWrap w:val="0"/>
            <w:vAlign w:val="top"/>
          </w:tcPr>
          <w:p w14:paraId="1725A439">
            <w:pPr>
              <w:jc w:val="left"/>
              <w:rPr>
                <w:rFonts w:hint="eastAsia" w:ascii="Times New Roman" w:hAnsi="Times New Roman"/>
                <w:b w:val="0"/>
                <w:bCs w:val="0"/>
                <w:szCs w:val="21"/>
              </w:rPr>
            </w:pPr>
            <w:r>
              <w:rPr>
                <w:rFonts w:hint="eastAsia" w:ascii="Times New Roman" w:hAnsi="Times New Roman"/>
                <w:b w:val="0"/>
                <w:bCs w:val="0"/>
                <w:szCs w:val="21"/>
              </w:rPr>
              <w:t>2、外观结构及材质：</w:t>
            </w:r>
          </w:p>
          <w:p w14:paraId="21EB93D4">
            <w:pPr>
              <w:jc w:val="left"/>
              <w:rPr>
                <w:rFonts w:hint="eastAsia" w:ascii="Times New Roman" w:hAnsi="Times New Roman"/>
                <w:b w:val="0"/>
                <w:bCs w:val="0"/>
                <w:szCs w:val="21"/>
              </w:rPr>
            </w:pPr>
            <w:r>
              <w:rPr>
                <w:rFonts w:hint="eastAsia" w:ascii="Times New Roman" w:hAnsi="Times New Roman"/>
                <w:b w:val="0"/>
                <w:bCs w:val="0"/>
                <w:szCs w:val="21"/>
              </w:rPr>
              <w:t>（1）主体采用厚度18mm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b w:val="0"/>
                <w:bCs w:val="0"/>
                <w:szCs w:val="21"/>
              </w:rPr>
              <w:t>的实木多层板，画板芯材采用厚度9mm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b w:val="0"/>
                <w:bCs w:val="0"/>
                <w:szCs w:val="21"/>
              </w:rPr>
              <w:t>的实木纤维板。底部2个收纳格，内空尺寸：373x350x169mm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b w:val="0"/>
                <w:bCs w:val="0"/>
                <w:szCs w:val="21"/>
              </w:rPr>
              <w:t>。</w:t>
            </w:r>
          </w:p>
          <w:p w14:paraId="4CCCB1CB">
            <w:pPr>
              <w:jc w:val="left"/>
              <w:rPr>
                <w:rFonts w:hint="eastAsia" w:ascii="Times New Roman" w:hAnsi="Times New Roman"/>
                <w:b w:val="0"/>
                <w:bCs w:val="0"/>
                <w:szCs w:val="21"/>
              </w:rPr>
            </w:pPr>
            <w:r>
              <w:rPr>
                <w:rFonts w:hint="eastAsia" w:ascii="Times New Roman" w:hAnsi="Times New Roman"/>
                <w:b w:val="0"/>
                <w:bCs w:val="0"/>
                <w:szCs w:val="21"/>
              </w:rPr>
              <w:t>（2）底部安装4个静音万向脚轮，脚轮运行平稳无声，可360°旋转，转动顺滑，刹车灵敏，踏板不易断裂。</w:t>
            </w:r>
          </w:p>
          <w:p w14:paraId="6A83FA08">
            <w:pPr>
              <w:jc w:val="left"/>
              <w:rPr>
                <w:rFonts w:hint="eastAsia" w:ascii="Times New Roman" w:hAnsi="Times New Roman"/>
                <w:b w:val="0"/>
                <w:bCs w:val="0"/>
                <w:szCs w:val="21"/>
              </w:rPr>
            </w:pPr>
            <w:r>
              <w:rPr>
                <w:rFonts w:hint="eastAsia" w:ascii="Times New Roman" w:hAnsi="Times New Roman"/>
                <w:b w:val="0"/>
                <w:bCs w:val="0"/>
                <w:szCs w:val="21"/>
              </w:rPr>
              <w:t>（3）展示框架一面安装长方形黑板，可使用粉笔进行擦写；一面安装长方形白色方孔洞洞挂板，冷轧铁艺，表面采用静电粉末喷涂工艺可挂各种配件。</w:t>
            </w:r>
          </w:p>
          <w:p w14:paraId="3EB62E57">
            <w:pPr>
              <w:jc w:val="left"/>
              <w:rPr>
                <w:rFonts w:hint="eastAsia" w:ascii="Times New Roman" w:hAnsi="Times New Roman"/>
                <w:b w:val="0"/>
                <w:bCs w:val="0"/>
                <w:szCs w:val="21"/>
              </w:rPr>
            </w:pPr>
            <w:r>
              <w:rPr>
                <w:rFonts w:hint="eastAsia" w:ascii="Times New Roman" w:hAnsi="Times New Roman"/>
                <w:b w:val="0"/>
                <w:bCs w:val="0"/>
                <w:szCs w:val="21"/>
              </w:rPr>
              <w:t>（4）柜体两侧中间为镂空口，可使用配套的柜体连接开关与多个展示屏风组合；连接开关采用塑料材质，呈浅咖色，圆滑无毛刺，尺寸为：L88xW62xH25mm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b w:val="0"/>
                <w:bCs w:val="0"/>
                <w:szCs w:val="21"/>
              </w:rPr>
              <w:t>，带弹簧按钮，当旋转至“十”字型时，开关可锁紧，两边柜体可扣住，当旋转至“一”字型时，开关可从镂空口取出，两边柜体可分开。</w:t>
            </w:r>
          </w:p>
          <w:p w14:paraId="0636A914">
            <w:pPr>
              <w:jc w:val="left"/>
              <w:rPr>
                <w:rFonts w:hint="eastAsia" w:ascii="Times New Roman" w:hAnsi="Times New Roman"/>
                <w:b w:val="0"/>
                <w:bCs w:val="0"/>
                <w:szCs w:val="21"/>
              </w:rPr>
            </w:pPr>
            <w:r>
              <w:rPr>
                <w:rFonts w:hint="eastAsia" w:ascii="Times New Roman" w:hAnsi="Times New Roman"/>
                <w:b w:val="0"/>
                <w:bCs w:val="0"/>
                <w:szCs w:val="21"/>
              </w:rPr>
              <w:t>（5）搭配：产品包含4个铁质收纳盒，尺寸：L230xW90xH50mm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b w:val="0"/>
                <w:bCs w:val="0"/>
                <w:szCs w:val="21"/>
              </w:rPr>
              <w:t>，2个铁质笔筒，尺寸：L75xW65xH110mm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b w:val="0"/>
                <w:bCs w:val="0"/>
                <w:szCs w:val="21"/>
              </w:rPr>
              <w:t>，2个铁质挂钩，采用冷轧铁艺，表面采用静电粉末喷涂工艺。</w:t>
            </w:r>
          </w:p>
          <w:p w14:paraId="3C632BFF">
            <w:pPr>
              <w:jc w:val="left"/>
              <w:rPr>
                <w:rFonts w:hint="eastAsia" w:ascii="Times New Roman" w:hAnsi="Times New Roman"/>
                <w:b w:val="0"/>
                <w:bCs w:val="0"/>
                <w:szCs w:val="21"/>
              </w:rPr>
            </w:pPr>
            <w:r>
              <w:rPr>
                <w:rFonts w:hint="eastAsia" w:ascii="Times New Roman" w:hAnsi="Times New Roman"/>
                <w:b w:val="0"/>
                <w:bCs w:val="0"/>
                <w:szCs w:val="21"/>
              </w:rPr>
              <w:t>（6）油漆：采用的水性漆，全封闭涂装工艺，漆面光泽高透，颜色均匀。</w:t>
            </w:r>
          </w:p>
        </w:tc>
      </w:tr>
      <w:tr w14:paraId="25AC0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3" w:type="pct"/>
            <w:vMerge w:val="restart"/>
            <w:noWrap w:val="0"/>
            <w:vAlign w:val="center"/>
          </w:tcPr>
          <w:p w14:paraId="025A2CA0">
            <w:pPr>
              <w:keepNext w:val="0"/>
              <w:keepLines w:val="0"/>
              <w:widowControl/>
              <w:suppressLineNumbers w:val="0"/>
              <w:jc w:val="center"/>
              <w:textAlignment w:val="center"/>
              <w:rPr>
                <w:b/>
                <w:szCs w:val="21"/>
              </w:rPr>
            </w:pPr>
            <w:r>
              <w:rPr>
                <w:rFonts w:hint="default" w:ascii="Arial" w:hAnsi="Arial" w:eastAsia="宋体" w:cs="Arial"/>
                <w:i w:val="0"/>
                <w:iCs w:val="0"/>
                <w:color w:val="000000"/>
                <w:kern w:val="0"/>
                <w:sz w:val="20"/>
                <w:szCs w:val="20"/>
                <w:u w:val="none"/>
                <w:lang w:val="en-US" w:eastAsia="zh-CN" w:bidi="ar"/>
              </w:rPr>
              <w:t xml:space="preserve">74 </w:t>
            </w:r>
          </w:p>
        </w:tc>
        <w:tc>
          <w:tcPr>
            <w:tcW w:w="440" w:type="pct"/>
            <w:vMerge w:val="restart"/>
            <w:noWrap w:val="0"/>
            <w:vAlign w:val="center"/>
          </w:tcPr>
          <w:p w14:paraId="168332AD">
            <w:pPr>
              <w:keepNext w:val="0"/>
              <w:keepLines w:val="0"/>
              <w:widowControl/>
              <w:suppressLineNumbers w:val="0"/>
              <w:jc w:val="center"/>
              <w:textAlignment w:val="center"/>
              <w:rPr>
                <w:rFonts w:hint="eastAsia" w:ascii="Times New Roman" w:hAnsi="Times New Roman"/>
                <w:szCs w:val="21"/>
              </w:rPr>
            </w:pPr>
            <w:r>
              <w:rPr>
                <w:rFonts w:hint="eastAsia" w:ascii="宋体" w:hAnsi="宋体" w:eastAsia="宋体" w:cs="宋体"/>
                <w:i w:val="0"/>
                <w:iCs w:val="0"/>
                <w:color w:val="auto"/>
                <w:kern w:val="0"/>
                <w:sz w:val="20"/>
                <w:szCs w:val="20"/>
                <w:u w:val="none"/>
                <w:lang w:val="en-US" w:eastAsia="zh-CN" w:bidi="ar"/>
              </w:rPr>
              <w:t>组合屏风</w:t>
            </w:r>
          </w:p>
        </w:tc>
        <w:tc>
          <w:tcPr>
            <w:tcW w:w="4225" w:type="pct"/>
            <w:noWrap w:val="0"/>
            <w:vAlign w:val="center"/>
          </w:tcPr>
          <w:p w14:paraId="594EA72A">
            <w:pPr>
              <w:jc w:val="left"/>
              <w:rPr>
                <w:rFonts w:hint="eastAsia" w:ascii="Times New Roman" w:hAnsi="Times New Roman"/>
                <w:b w:val="0"/>
                <w:bCs w:val="0"/>
                <w:szCs w:val="21"/>
              </w:rPr>
            </w:pPr>
            <w:r>
              <w:rPr>
                <w:rFonts w:hint="eastAsia" w:ascii="Times New Roman" w:hAnsi="Times New Roman"/>
                <w:b w:val="0"/>
                <w:bCs w:val="0"/>
                <w:szCs w:val="21"/>
              </w:rPr>
              <w:t>规格：L80xW35xH143cm（±3cm）</w:t>
            </w:r>
          </w:p>
        </w:tc>
      </w:tr>
      <w:tr w14:paraId="5605F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3" w:type="pct"/>
            <w:vMerge w:val="continue"/>
            <w:noWrap w:val="0"/>
            <w:vAlign w:val="center"/>
          </w:tcPr>
          <w:p w14:paraId="3DDD0FE5">
            <w:pPr>
              <w:jc w:val="center"/>
              <w:rPr>
                <w:b/>
                <w:szCs w:val="21"/>
              </w:rPr>
            </w:pPr>
          </w:p>
        </w:tc>
        <w:tc>
          <w:tcPr>
            <w:tcW w:w="440" w:type="pct"/>
            <w:vMerge w:val="continue"/>
            <w:noWrap w:val="0"/>
            <w:vAlign w:val="top"/>
          </w:tcPr>
          <w:p w14:paraId="4DB5C224">
            <w:pPr>
              <w:jc w:val="center"/>
              <w:rPr>
                <w:rFonts w:hint="eastAsia" w:ascii="Times New Roman" w:hAnsi="Times New Roman"/>
                <w:szCs w:val="21"/>
              </w:rPr>
            </w:pPr>
          </w:p>
        </w:tc>
        <w:tc>
          <w:tcPr>
            <w:tcW w:w="4225" w:type="pct"/>
            <w:noWrap w:val="0"/>
            <w:vAlign w:val="top"/>
          </w:tcPr>
          <w:p w14:paraId="5AC6352A">
            <w:pPr>
              <w:jc w:val="left"/>
              <w:rPr>
                <w:rFonts w:hint="eastAsia" w:ascii="Times New Roman" w:hAnsi="Times New Roman"/>
                <w:b w:val="0"/>
                <w:bCs w:val="0"/>
                <w:szCs w:val="21"/>
              </w:rPr>
            </w:pPr>
            <w:r>
              <w:rPr>
                <w:rFonts w:hint="eastAsia" w:ascii="Times New Roman" w:hAnsi="Times New Roman"/>
                <w:b w:val="0"/>
                <w:bCs w:val="0"/>
                <w:szCs w:val="21"/>
              </w:rPr>
              <w:t>1、工艺设计：</w:t>
            </w:r>
          </w:p>
          <w:p w14:paraId="72A059EB">
            <w:pPr>
              <w:jc w:val="left"/>
              <w:rPr>
                <w:rFonts w:hint="eastAsia" w:ascii="Times New Roman" w:hAnsi="Times New Roman"/>
                <w:b w:val="0"/>
                <w:bCs w:val="0"/>
                <w:szCs w:val="21"/>
              </w:rPr>
            </w:pPr>
            <w:r>
              <w:rPr>
                <w:rFonts w:hint="eastAsia" w:ascii="Times New Roman" w:hAnsi="Times New Roman"/>
                <w:b w:val="0"/>
                <w:bCs w:val="0"/>
                <w:szCs w:val="21"/>
              </w:rPr>
              <w:t>（1）贯穿式连接器功能设计，可快速组合/拆卸屏风，无须任何工具。</w:t>
            </w:r>
          </w:p>
          <w:p w14:paraId="4D626109">
            <w:pPr>
              <w:jc w:val="left"/>
              <w:rPr>
                <w:rFonts w:hint="eastAsia" w:ascii="Times New Roman" w:hAnsi="Times New Roman"/>
                <w:b w:val="0"/>
                <w:bCs w:val="0"/>
                <w:szCs w:val="21"/>
              </w:rPr>
            </w:pPr>
            <w:r>
              <w:rPr>
                <w:rFonts w:hint="eastAsia" w:ascii="Times New Roman" w:hAnsi="Times New Roman"/>
                <w:b w:val="0"/>
                <w:bCs w:val="0"/>
                <w:szCs w:val="21"/>
              </w:rPr>
              <w:t>（2）多功能带轮带刹车展示屏风，移动/固定便捷，能适用多场景下使用。</w:t>
            </w:r>
          </w:p>
          <w:p w14:paraId="2B5C3F0E">
            <w:pPr>
              <w:jc w:val="left"/>
              <w:rPr>
                <w:rFonts w:hint="eastAsia" w:ascii="Times New Roman" w:hAnsi="Times New Roman"/>
                <w:b w:val="0"/>
                <w:bCs w:val="0"/>
                <w:szCs w:val="21"/>
              </w:rPr>
            </w:pPr>
            <w:r>
              <w:rPr>
                <w:rFonts w:hint="eastAsia" w:ascii="Times New Roman" w:hAnsi="Times New Roman"/>
                <w:b w:val="0"/>
                <w:bCs w:val="0"/>
                <w:szCs w:val="21"/>
              </w:rPr>
              <w:t>（3）铁网表面采用静电粉末喷涂工艺，圆润光滑，防腐抗锈，坚固耐用。</w:t>
            </w:r>
          </w:p>
          <w:p w14:paraId="7B3C21A4">
            <w:pPr>
              <w:jc w:val="left"/>
              <w:rPr>
                <w:rFonts w:hint="eastAsia" w:ascii="Times New Roman" w:hAnsi="Times New Roman"/>
                <w:b w:val="0"/>
                <w:bCs w:val="0"/>
                <w:szCs w:val="21"/>
              </w:rPr>
            </w:pPr>
            <w:r>
              <w:rPr>
                <w:rFonts w:hint="eastAsia" w:ascii="Times New Roman" w:hAnsi="Times New Roman"/>
                <w:b w:val="0"/>
                <w:bCs w:val="0"/>
                <w:szCs w:val="21"/>
              </w:rPr>
              <w:t>（4）所有螺丝位无毛刺不刮手，边角采用圆边/圆角处理以及安全防撞设计，最大程度的避免儿童磕碰伤害，结构稳固。</w:t>
            </w:r>
          </w:p>
        </w:tc>
      </w:tr>
      <w:tr w14:paraId="05F5A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3" w:type="pct"/>
            <w:vMerge w:val="continue"/>
            <w:noWrap w:val="0"/>
            <w:vAlign w:val="center"/>
          </w:tcPr>
          <w:p w14:paraId="76C68A4F">
            <w:pPr>
              <w:jc w:val="center"/>
              <w:rPr>
                <w:b/>
                <w:szCs w:val="21"/>
              </w:rPr>
            </w:pPr>
          </w:p>
        </w:tc>
        <w:tc>
          <w:tcPr>
            <w:tcW w:w="440" w:type="pct"/>
            <w:vMerge w:val="continue"/>
            <w:noWrap w:val="0"/>
            <w:vAlign w:val="top"/>
          </w:tcPr>
          <w:p w14:paraId="26B7E4E4">
            <w:pPr>
              <w:jc w:val="center"/>
              <w:rPr>
                <w:rFonts w:hint="eastAsia" w:ascii="Times New Roman" w:hAnsi="Times New Roman"/>
                <w:szCs w:val="21"/>
              </w:rPr>
            </w:pPr>
          </w:p>
        </w:tc>
        <w:tc>
          <w:tcPr>
            <w:tcW w:w="4225" w:type="pct"/>
            <w:noWrap w:val="0"/>
            <w:vAlign w:val="top"/>
          </w:tcPr>
          <w:p w14:paraId="79009D60">
            <w:pPr>
              <w:jc w:val="left"/>
              <w:rPr>
                <w:rFonts w:hint="eastAsia" w:ascii="Times New Roman" w:hAnsi="Times New Roman"/>
                <w:b w:val="0"/>
                <w:bCs w:val="0"/>
                <w:szCs w:val="21"/>
              </w:rPr>
            </w:pPr>
            <w:r>
              <w:rPr>
                <w:rFonts w:hint="eastAsia" w:ascii="Times New Roman" w:hAnsi="Times New Roman"/>
                <w:b w:val="0"/>
                <w:bCs w:val="0"/>
                <w:szCs w:val="21"/>
              </w:rPr>
              <w:t>2、外观结构及材质：</w:t>
            </w:r>
          </w:p>
          <w:p w14:paraId="2389600D">
            <w:pPr>
              <w:jc w:val="left"/>
              <w:rPr>
                <w:rFonts w:hint="eastAsia" w:ascii="Times New Roman" w:hAnsi="Times New Roman"/>
                <w:b w:val="0"/>
                <w:bCs w:val="0"/>
                <w:szCs w:val="21"/>
              </w:rPr>
            </w:pPr>
            <w:r>
              <w:rPr>
                <w:rFonts w:hint="eastAsia" w:ascii="Times New Roman" w:hAnsi="Times New Roman"/>
                <w:b w:val="0"/>
                <w:bCs w:val="0"/>
                <w:szCs w:val="21"/>
              </w:rPr>
              <w:t>（1）主体采用厚度18mm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b w:val="0"/>
                <w:bCs w:val="0"/>
                <w:szCs w:val="21"/>
              </w:rPr>
              <w:t>的实木多层板，展示框架采用桦木原木，材质厚实坚固，纹理均匀细致。底部2个收纳格，内空尺寸：373x350x169mm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b w:val="0"/>
                <w:bCs w:val="0"/>
                <w:szCs w:val="21"/>
              </w:rPr>
              <w:t>。</w:t>
            </w:r>
          </w:p>
          <w:p w14:paraId="796FC3C2">
            <w:pPr>
              <w:jc w:val="left"/>
              <w:rPr>
                <w:rFonts w:hint="eastAsia" w:ascii="Times New Roman" w:hAnsi="Times New Roman"/>
                <w:b w:val="0"/>
                <w:bCs w:val="0"/>
                <w:szCs w:val="21"/>
              </w:rPr>
            </w:pPr>
            <w:r>
              <w:rPr>
                <w:rFonts w:hint="eastAsia" w:ascii="Times New Roman" w:hAnsi="Times New Roman"/>
                <w:b w:val="0"/>
                <w:bCs w:val="0"/>
                <w:szCs w:val="21"/>
              </w:rPr>
              <w:t>（2）底部安装4个静音万向脚轮，脚轮运行平稳无声，可360°旋转，转动顺滑，刹车灵敏，踏板不易断裂。</w:t>
            </w:r>
          </w:p>
          <w:p w14:paraId="45D8B118">
            <w:pPr>
              <w:jc w:val="left"/>
              <w:rPr>
                <w:rFonts w:hint="eastAsia" w:ascii="Times New Roman" w:hAnsi="Times New Roman"/>
                <w:b w:val="0"/>
                <w:bCs w:val="0"/>
                <w:szCs w:val="21"/>
              </w:rPr>
            </w:pPr>
            <w:r>
              <w:rPr>
                <w:rFonts w:hint="eastAsia" w:ascii="Times New Roman" w:hAnsi="Times New Roman"/>
                <w:b w:val="0"/>
                <w:bCs w:val="0"/>
                <w:szCs w:val="21"/>
              </w:rPr>
              <w:t>（3）展示框架内嵌一个内格60x60mm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b w:val="0"/>
                <w:bCs w:val="0"/>
                <w:szCs w:val="21"/>
              </w:rPr>
              <w:t>方格哑黑色铁网，可用尺寸为L674xH847mm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b w:val="0"/>
                <w:bCs w:val="0"/>
                <w:szCs w:val="21"/>
              </w:rPr>
              <w:t>，冷轧铁艺，表面采用静电粉末喷涂工艺，可悬挂各种装饰品或手工作品。</w:t>
            </w:r>
          </w:p>
          <w:p w14:paraId="580427A7">
            <w:pPr>
              <w:jc w:val="left"/>
              <w:rPr>
                <w:rFonts w:hint="eastAsia" w:ascii="Times New Roman" w:hAnsi="Times New Roman"/>
                <w:b w:val="0"/>
                <w:bCs w:val="0"/>
                <w:szCs w:val="21"/>
              </w:rPr>
            </w:pPr>
            <w:r>
              <w:rPr>
                <w:rFonts w:hint="eastAsia" w:ascii="Times New Roman" w:hAnsi="Times New Roman"/>
                <w:b w:val="0"/>
                <w:bCs w:val="0"/>
                <w:szCs w:val="21"/>
              </w:rPr>
              <w:t>（4）柜体两侧中间为镂空口，可使用配套的柜体连接开关与多个展示屏风组合；连接开关采用塑料材质，呈浅咖色，圆滑无毛刺，尺寸为：L88xW62xH25mm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b w:val="0"/>
                <w:bCs w:val="0"/>
                <w:szCs w:val="21"/>
              </w:rPr>
              <w:t>，带弹簧按钮，当旋转至“十”字型时，开关可锁紧，两边柜体可扣住，当旋转至“一”字型时，开关可从镂空口取出，两边柜体可分开。</w:t>
            </w:r>
          </w:p>
          <w:p w14:paraId="47726D1E">
            <w:pPr>
              <w:jc w:val="left"/>
              <w:rPr>
                <w:rFonts w:hint="eastAsia" w:ascii="Times New Roman" w:hAnsi="Times New Roman"/>
                <w:b w:val="0"/>
                <w:bCs w:val="0"/>
                <w:szCs w:val="21"/>
              </w:rPr>
            </w:pPr>
            <w:r>
              <w:rPr>
                <w:rFonts w:hint="eastAsia" w:ascii="Times New Roman" w:hAnsi="Times New Roman"/>
                <w:b w:val="0"/>
                <w:bCs w:val="0"/>
                <w:szCs w:val="21"/>
              </w:rPr>
              <w:t>（5）油漆：采用的水性漆，全封闭涂装工艺，漆面光泽高透，颜色均匀。</w:t>
            </w:r>
          </w:p>
        </w:tc>
      </w:tr>
      <w:tr w14:paraId="22FD8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3" w:type="pct"/>
            <w:vMerge w:val="restart"/>
            <w:noWrap w:val="0"/>
            <w:vAlign w:val="center"/>
          </w:tcPr>
          <w:p w14:paraId="5DE2E2B3">
            <w:pPr>
              <w:keepNext w:val="0"/>
              <w:keepLines w:val="0"/>
              <w:widowControl/>
              <w:suppressLineNumbers w:val="0"/>
              <w:jc w:val="center"/>
              <w:textAlignment w:val="center"/>
              <w:rPr>
                <w:b/>
                <w:szCs w:val="21"/>
              </w:rPr>
            </w:pPr>
            <w:r>
              <w:rPr>
                <w:rFonts w:hint="default" w:ascii="Arial" w:hAnsi="Arial" w:eastAsia="宋体" w:cs="Arial"/>
                <w:i w:val="0"/>
                <w:iCs w:val="0"/>
                <w:color w:val="000000"/>
                <w:kern w:val="0"/>
                <w:sz w:val="20"/>
                <w:szCs w:val="20"/>
                <w:u w:val="none"/>
                <w:lang w:val="en-US" w:eastAsia="zh-CN" w:bidi="ar"/>
              </w:rPr>
              <w:t xml:space="preserve">75 </w:t>
            </w:r>
          </w:p>
        </w:tc>
        <w:tc>
          <w:tcPr>
            <w:tcW w:w="440" w:type="pct"/>
            <w:vMerge w:val="restart"/>
            <w:noWrap w:val="0"/>
            <w:vAlign w:val="center"/>
          </w:tcPr>
          <w:p w14:paraId="04D0BE16">
            <w:pPr>
              <w:keepNext w:val="0"/>
              <w:keepLines w:val="0"/>
              <w:widowControl/>
              <w:suppressLineNumbers w:val="0"/>
              <w:jc w:val="center"/>
              <w:textAlignment w:val="center"/>
              <w:rPr>
                <w:rFonts w:hint="eastAsia" w:ascii="Times New Roman" w:hAnsi="Times New Roman"/>
                <w:szCs w:val="21"/>
              </w:rPr>
            </w:pPr>
            <w:r>
              <w:rPr>
                <w:rFonts w:hint="eastAsia" w:ascii="宋体" w:hAnsi="宋体" w:eastAsia="宋体" w:cs="宋体"/>
                <w:i w:val="0"/>
                <w:iCs w:val="0"/>
                <w:color w:val="000000"/>
                <w:kern w:val="0"/>
                <w:sz w:val="20"/>
                <w:szCs w:val="20"/>
                <w:u w:val="none"/>
                <w:lang w:val="en-US" w:eastAsia="zh-CN" w:bidi="ar"/>
              </w:rPr>
              <w:t>铁艺储物推车</w:t>
            </w:r>
          </w:p>
        </w:tc>
        <w:tc>
          <w:tcPr>
            <w:tcW w:w="4225" w:type="pct"/>
            <w:noWrap w:val="0"/>
            <w:vAlign w:val="center"/>
          </w:tcPr>
          <w:p w14:paraId="0248FEAF">
            <w:pPr>
              <w:jc w:val="left"/>
              <w:rPr>
                <w:rFonts w:hint="eastAsia" w:ascii="Times New Roman" w:hAnsi="Times New Roman"/>
                <w:b w:val="0"/>
                <w:bCs w:val="0"/>
                <w:szCs w:val="21"/>
              </w:rPr>
            </w:pPr>
            <w:r>
              <w:rPr>
                <w:rFonts w:hint="eastAsia" w:ascii="Times New Roman" w:hAnsi="Times New Roman"/>
                <w:b w:val="0"/>
                <w:bCs w:val="0"/>
                <w:szCs w:val="21"/>
              </w:rPr>
              <w:t>规格：L66xW36xH70cm（±3cm）</w:t>
            </w:r>
          </w:p>
        </w:tc>
      </w:tr>
      <w:tr w14:paraId="263F9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3" w:type="pct"/>
            <w:vMerge w:val="continue"/>
            <w:noWrap w:val="0"/>
            <w:vAlign w:val="center"/>
          </w:tcPr>
          <w:p w14:paraId="794AFD70">
            <w:pPr>
              <w:jc w:val="center"/>
              <w:rPr>
                <w:b/>
                <w:szCs w:val="21"/>
              </w:rPr>
            </w:pPr>
          </w:p>
        </w:tc>
        <w:tc>
          <w:tcPr>
            <w:tcW w:w="440" w:type="pct"/>
            <w:vMerge w:val="continue"/>
            <w:noWrap w:val="0"/>
            <w:vAlign w:val="top"/>
          </w:tcPr>
          <w:p w14:paraId="1AF882BE">
            <w:pPr>
              <w:jc w:val="center"/>
              <w:rPr>
                <w:rFonts w:hint="eastAsia" w:ascii="Times New Roman" w:hAnsi="Times New Roman"/>
                <w:szCs w:val="21"/>
              </w:rPr>
            </w:pPr>
          </w:p>
        </w:tc>
        <w:tc>
          <w:tcPr>
            <w:tcW w:w="4225" w:type="pct"/>
            <w:noWrap w:val="0"/>
            <w:vAlign w:val="top"/>
          </w:tcPr>
          <w:p w14:paraId="234457C2">
            <w:pPr>
              <w:jc w:val="left"/>
              <w:rPr>
                <w:rFonts w:hint="eastAsia" w:ascii="Times New Roman" w:hAnsi="Times New Roman"/>
                <w:b w:val="0"/>
                <w:bCs w:val="0"/>
                <w:szCs w:val="21"/>
              </w:rPr>
            </w:pPr>
            <w:r>
              <w:rPr>
                <w:rFonts w:hint="eastAsia" w:ascii="Times New Roman" w:hAnsi="Times New Roman"/>
                <w:b w:val="0"/>
                <w:bCs w:val="0"/>
                <w:szCs w:val="21"/>
              </w:rPr>
              <w:t>1、工艺设计：</w:t>
            </w:r>
          </w:p>
          <w:p w14:paraId="7D0589DB">
            <w:pPr>
              <w:jc w:val="left"/>
              <w:rPr>
                <w:rFonts w:hint="eastAsia" w:ascii="Times New Roman" w:hAnsi="Times New Roman"/>
                <w:b w:val="0"/>
                <w:bCs w:val="0"/>
                <w:szCs w:val="21"/>
              </w:rPr>
            </w:pPr>
            <w:r>
              <w:rPr>
                <w:rFonts w:hint="eastAsia" w:ascii="Times New Roman" w:hAnsi="Times New Roman"/>
                <w:b w:val="0"/>
                <w:bCs w:val="0"/>
                <w:szCs w:val="21"/>
              </w:rPr>
              <w:t>（1）铁艺推车大储物空间设计，带轮移动便捷。</w:t>
            </w:r>
          </w:p>
          <w:p w14:paraId="041AF1F3">
            <w:pPr>
              <w:jc w:val="left"/>
              <w:rPr>
                <w:rFonts w:hint="eastAsia" w:ascii="Times New Roman" w:hAnsi="Times New Roman"/>
                <w:b w:val="0"/>
                <w:bCs w:val="0"/>
                <w:szCs w:val="21"/>
              </w:rPr>
            </w:pPr>
            <w:r>
              <w:rPr>
                <w:rFonts w:hint="eastAsia" w:ascii="Times New Roman" w:hAnsi="Times New Roman"/>
                <w:b w:val="0"/>
                <w:bCs w:val="0"/>
                <w:szCs w:val="21"/>
              </w:rPr>
              <w:t>（2）铁质表面采用静电粉末喷涂工艺，圆润光滑，防腐抗锈，坚固耐用。</w:t>
            </w:r>
          </w:p>
          <w:p w14:paraId="2F337982">
            <w:pPr>
              <w:jc w:val="left"/>
              <w:rPr>
                <w:rFonts w:hint="eastAsia" w:ascii="Times New Roman" w:hAnsi="Times New Roman"/>
                <w:b w:val="0"/>
                <w:bCs w:val="0"/>
                <w:szCs w:val="21"/>
              </w:rPr>
            </w:pPr>
            <w:r>
              <w:rPr>
                <w:rFonts w:hint="eastAsia" w:ascii="Times New Roman" w:hAnsi="Times New Roman"/>
                <w:b w:val="0"/>
                <w:bCs w:val="0"/>
                <w:szCs w:val="21"/>
              </w:rPr>
              <w:t>（3）所有螺丝位无毛刺不刮手，边角采用圆边/圆角处理以及安全防撞设计，最大程度的避免儿童磕碰伤害，结构稳固。</w:t>
            </w:r>
          </w:p>
        </w:tc>
      </w:tr>
      <w:tr w14:paraId="454DB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3" w:type="pct"/>
            <w:vMerge w:val="continue"/>
            <w:noWrap w:val="0"/>
            <w:vAlign w:val="center"/>
          </w:tcPr>
          <w:p w14:paraId="259BE7BD">
            <w:pPr>
              <w:jc w:val="center"/>
              <w:rPr>
                <w:b/>
                <w:szCs w:val="21"/>
              </w:rPr>
            </w:pPr>
          </w:p>
        </w:tc>
        <w:tc>
          <w:tcPr>
            <w:tcW w:w="440" w:type="pct"/>
            <w:vMerge w:val="continue"/>
            <w:noWrap w:val="0"/>
            <w:vAlign w:val="top"/>
          </w:tcPr>
          <w:p w14:paraId="72937C84">
            <w:pPr>
              <w:jc w:val="center"/>
              <w:rPr>
                <w:rFonts w:hint="eastAsia" w:ascii="Times New Roman" w:hAnsi="Times New Roman"/>
                <w:szCs w:val="21"/>
              </w:rPr>
            </w:pPr>
          </w:p>
        </w:tc>
        <w:tc>
          <w:tcPr>
            <w:tcW w:w="4225" w:type="pct"/>
            <w:noWrap w:val="0"/>
            <w:vAlign w:val="top"/>
          </w:tcPr>
          <w:p w14:paraId="57D5F23E">
            <w:pPr>
              <w:jc w:val="left"/>
              <w:rPr>
                <w:rFonts w:hint="eastAsia" w:ascii="Times New Roman" w:hAnsi="Times New Roman"/>
                <w:b w:val="0"/>
                <w:bCs w:val="0"/>
                <w:szCs w:val="21"/>
              </w:rPr>
            </w:pPr>
            <w:r>
              <w:rPr>
                <w:rFonts w:hint="eastAsia" w:ascii="Times New Roman" w:hAnsi="Times New Roman"/>
                <w:b w:val="0"/>
                <w:bCs w:val="0"/>
                <w:szCs w:val="21"/>
              </w:rPr>
              <w:t>2、外观结构及材质：</w:t>
            </w:r>
          </w:p>
          <w:p w14:paraId="1F7C143C">
            <w:pPr>
              <w:jc w:val="left"/>
              <w:rPr>
                <w:rFonts w:hint="eastAsia" w:ascii="Times New Roman" w:hAnsi="Times New Roman"/>
                <w:b w:val="0"/>
                <w:bCs w:val="0"/>
                <w:szCs w:val="21"/>
              </w:rPr>
            </w:pPr>
            <w:r>
              <w:rPr>
                <w:rFonts w:hint="eastAsia" w:ascii="Times New Roman" w:hAnsi="Times New Roman"/>
                <w:b w:val="0"/>
                <w:bCs w:val="0"/>
                <w:szCs w:val="21"/>
              </w:rPr>
              <w:t>（1）采用冷轧铁艺，表面采用静电粉末喷涂工艺，呈草绿色。上下层收纳内空均为465x325x100mm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b w:val="0"/>
                <w:bCs w:val="0"/>
                <w:szCs w:val="21"/>
              </w:rPr>
              <w:t>，两层间距265mm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b w:val="0"/>
                <w:bCs w:val="0"/>
                <w:szCs w:val="21"/>
              </w:rPr>
              <w:t>。</w:t>
            </w:r>
          </w:p>
          <w:p w14:paraId="438D2932">
            <w:pPr>
              <w:jc w:val="left"/>
              <w:rPr>
                <w:rFonts w:hint="eastAsia" w:ascii="Times New Roman" w:hAnsi="Times New Roman"/>
                <w:b w:val="0"/>
                <w:bCs w:val="0"/>
                <w:szCs w:val="21"/>
              </w:rPr>
            </w:pPr>
            <w:r>
              <w:rPr>
                <w:rFonts w:hint="eastAsia" w:ascii="Times New Roman" w:hAnsi="Times New Roman"/>
                <w:b w:val="0"/>
                <w:bCs w:val="0"/>
                <w:szCs w:val="21"/>
              </w:rPr>
              <w:t>（2）小车前后焊接有310x165mm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b w:val="0"/>
                <w:bCs w:val="0"/>
                <w:szCs w:val="21"/>
              </w:rPr>
              <w:t>方格铁网，方便物件悬挂收纳。</w:t>
            </w:r>
          </w:p>
          <w:p w14:paraId="4997C884">
            <w:pPr>
              <w:jc w:val="left"/>
              <w:rPr>
                <w:rFonts w:hint="eastAsia" w:ascii="Times New Roman" w:hAnsi="Times New Roman"/>
                <w:b w:val="0"/>
                <w:bCs w:val="0"/>
                <w:szCs w:val="21"/>
              </w:rPr>
            </w:pPr>
            <w:r>
              <w:rPr>
                <w:rFonts w:hint="eastAsia" w:ascii="Times New Roman" w:hAnsi="Times New Roman"/>
                <w:b w:val="0"/>
                <w:bCs w:val="0"/>
                <w:szCs w:val="21"/>
              </w:rPr>
              <w:t>（3）底部安装4个万向脚轮，脚轮运行平稳无声，可360°旋转，转动顺滑。</w:t>
            </w:r>
          </w:p>
        </w:tc>
      </w:tr>
      <w:tr w14:paraId="319F6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3" w:type="pct"/>
            <w:vMerge w:val="restart"/>
            <w:noWrap w:val="0"/>
            <w:vAlign w:val="center"/>
          </w:tcPr>
          <w:p w14:paraId="509BF849">
            <w:pPr>
              <w:keepNext w:val="0"/>
              <w:keepLines w:val="0"/>
              <w:widowControl/>
              <w:suppressLineNumbers w:val="0"/>
              <w:jc w:val="center"/>
              <w:textAlignment w:val="center"/>
              <w:rPr>
                <w:b/>
                <w:szCs w:val="21"/>
              </w:rPr>
            </w:pPr>
            <w:r>
              <w:rPr>
                <w:rFonts w:hint="default" w:ascii="Arial" w:hAnsi="Arial" w:eastAsia="宋体" w:cs="Arial"/>
                <w:i w:val="0"/>
                <w:iCs w:val="0"/>
                <w:color w:val="000000"/>
                <w:kern w:val="0"/>
                <w:sz w:val="20"/>
                <w:szCs w:val="20"/>
                <w:u w:val="none"/>
                <w:lang w:val="en-US" w:eastAsia="zh-CN" w:bidi="ar"/>
              </w:rPr>
              <w:t xml:space="preserve">76 </w:t>
            </w:r>
          </w:p>
        </w:tc>
        <w:tc>
          <w:tcPr>
            <w:tcW w:w="440" w:type="pct"/>
            <w:vMerge w:val="restart"/>
            <w:noWrap w:val="0"/>
            <w:vAlign w:val="center"/>
          </w:tcPr>
          <w:p w14:paraId="12E7891D">
            <w:pPr>
              <w:keepNext w:val="0"/>
              <w:keepLines w:val="0"/>
              <w:widowControl/>
              <w:suppressLineNumbers w:val="0"/>
              <w:jc w:val="center"/>
              <w:textAlignment w:val="center"/>
              <w:rPr>
                <w:rFonts w:hint="eastAsia" w:ascii="Times New Roman" w:hAnsi="Times New Roman"/>
                <w:szCs w:val="21"/>
              </w:rPr>
            </w:pPr>
            <w:r>
              <w:rPr>
                <w:rFonts w:hint="eastAsia" w:ascii="宋体" w:hAnsi="宋体" w:eastAsia="宋体" w:cs="宋体"/>
                <w:i w:val="0"/>
                <w:iCs w:val="0"/>
                <w:color w:val="000000"/>
                <w:kern w:val="0"/>
                <w:sz w:val="20"/>
                <w:szCs w:val="20"/>
                <w:u w:val="none"/>
                <w:lang w:val="en-US" w:eastAsia="zh-CN" w:bidi="ar"/>
              </w:rPr>
              <w:t>8格万用高柜.无背板</w:t>
            </w:r>
          </w:p>
        </w:tc>
        <w:tc>
          <w:tcPr>
            <w:tcW w:w="4225" w:type="pct"/>
            <w:noWrap w:val="0"/>
            <w:vAlign w:val="center"/>
          </w:tcPr>
          <w:p w14:paraId="6E34F848">
            <w:pPr>
              <w:jc w:val="left"/>
              <w:rPr>
                <w:rFonts w:hint="eastAsia" w:ascii="Times New Roman" w:hAnsi="Times New Roman"/>
                <w:b w:val="0"/>
                <w:bCs w:val="0"/>
                <w:szCs w:val="21"/>
              </w:rPr>
            </w:pPr>
            <w:r>
              <w:rPr>
                <w:rFonts w:hint="eastAsia" w:ascii="Times New Roman" w:hAnsi="Times New Roman"/>
                <w:b w:val="0"/>
                <w:bCs w:val="0"/>
                <w:szCs w:val="21"/>
              </w:rPr>
              <w:t>规格：L91.5xW30xH80cm（±3cm）</w:t>
            </w:r>
          </w:p>
        </w:tc>
      </w:tr>
      <w:tr w14:paraId="05267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3" w:type="pct"/>
            <w:vMerge w:val="continue"/>
            <w:noWrap w:val="0"/>
            <w:vAlign w:val="center"/>
          </w:tcPr>
          <w:p w14:paraId="55BD22FA">
            <w:pPr>
              <w:jc w:val="center"/>
              <w:rPr>
                <w:b/>
                <w:szCs w:val="21"/>
              </w:rPr>
            </w:pPr>
          </w:p>
        </w:tc>
        <w:tc>
          <w:tcPr>
            <w:tcW w:w="440" w:type="pct"/>
            <w:vMerge w:val="continue"/>
            <w:noWrap w:val="0"/>
            <w:vAlign w:val="top"/>
          </w:tcPr>
          <w:p w14:paraId="5F682751">
            <w:pPr>
              <w:jc w:val="center"/>
              <w:rPr>
                <w:rFonts w:hint="eastAsia" w:ascii="Times New Roman" w:hAnsi="Times New Roman"/>
                <w:szCs w:val="21"/>
              </w:rPr>
            </w:pPr>
          </w:p>
        </w:tc>
        <w:tc>
          <w:tcPr>
            <w:tcW w:w="4225" w:type="pct"/>
            <w:noWrap w:val="0"/>
            <w:vAlign w:val="top"/>
          </w:tcPr>
          <w:p w14:paraId="7EE0B73F">
            <w:pPr>
              <w:jc w:val="left"/>
              <w:rPr>
                <w:rFonts w:hint="eastAsia" w:ascii="Times New Roman" w:hAnsi="Times New Roman"/>
                <w:b w:val="0"/>
                <w:bCs w:val="0"/>
                <w:szCs w:val="21"/>
              </w:rPr>
            </w:pPr>
            <w:r>
              <w:rPr>
                <w:rFonts w:hint="eastAsia" w:ascii="Times New Roman" w:hAnsi="Times New Roman"/>
                <w:b w:val="0"/>
                <w:bCs w:val="0"/>
                <w:szCs w:val="21"/>
              </w:rPr>
              <w:t>1、工艺设计：</w:t>
            </w:r>
          </w:p>
          <w:p w14:paraId="49841AAF">
            <w:pPr>
              <w:jc w:val="left"/>
              <w:rPr>
                <w:rFonts w:hint="eastAsia" w:ascii="Times New Roman" w:hAnsi="Times New Roman"/>
                <w:b w:val="0"/>
                <w:bCs w:val="0"/>
                <w:szCs w:val="21"/>
              </w:rPr>
            </w:pPr>
            <w:r>
              <w:rPr>
                <w:rFonts w:hint="eastAsia" w:ascii="Times New Roman" w:hAnsi="Times New Roman"/>
                <w:b w:val="0"/>
                <w:bCs w:val="0"/>
                <w:szCs w:val="21"/>
              </w:rPr>
              <w:t>（1）采用翻板活动轮工艺，移动/固定自由切换。</w:t>
            </w:r>
          </w:p>
          <w:p w14:paraId="7584AF91">
            <w:pPr>
              <w:jc w:val="left"/>
              <w:rPr>
                <w:rFonts w:hint="eastAsia" w:ascii="Times New Roman" w:hAnsi="Times New Roman"/>
                <w:b w:val="0"/>
                <w:bCs w:val="0"/>
                <w:szCs w:val="21"/>
              </w:rPr>
            </w:pPr>
            <w:r>
              <w:rPr>
                <w:rFonts w:hint="eastAsia" w:ascii="Times New Roman" w:hAnsi="Times New Roman"/>
                <w:b w:val="0"/>
                <w:bCs w:val="0"/>
                <w:szCs w:val="21"/>
              </w:rPr>
              <w:t>（2）所有螺丝位无毛刺不刮手，四角及边沿采用圆角/圆边处理以及安全防撞设计，最大程度的避免儿童磕碰伤害，结构稳固。</w:t>
            </w:r>
          </w:p>
        </w:tc>
      </w:tr>
      <w:tr w14:paraId="0B2BF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3" w:type="pct"/>
            <w:vMerge w:val="continue"/>
            <w:noWrap w:val="0"/>
            <w:vAlign w:val="center"/>
          </w:tcPr>
          <w:p w14:paraId="07ED9264">
            <w:pPr>
              <w:jc w:val="center"/>
              <w:rPr>
                <w:b/>
                <w:szCs w:val="21"/>
              </w:rPr>
            </w:pPr>
          </w:p>
        </w:tc>
        <w:tc>
          <w:tcPr>
            <w:tcW w:w="440" w:type="pct"/>
            <w:vMerge w:val="continue"/>
            <w:noWrap w:val="0"/>
            <w:vAlign w:val="top"/>
          </w:tcPr>
          <w:p w14:paraId="141A6D83">
            <w:pPr>
              <w:jc w:val="center"/>
              <w:rPr>
                <w:rFonts w:hint="eastAsia" w:ascii="Times New Roman" w:hAnsi="Times New Roman"/>
                <w:szCs w:val="21"/>
              </w:rPr>
            </w:pPr>
          </w:p>
        </w:tc>
        <w:tc>
          <w:tcPr>
            <w:tcW w:w="4225" w:type="pct"/>
            <w:noWrap w:val="0"/>
            <w:vAlign w:val="top"/>
          </w:tcPr>
          <w:p w14:paraId="419C83F0">
            <w:pPr>
              <w:jc w:val="left"/>
              <w:rPr>
                <w:rFonts w:hint="eastAsia" w:ascii="Times New Roman" w:hAnsi="Times New Roman"/>
                <w:b w:val="0"/>
                <w:bCs w:val="0"/>
                <w:szCs w:val="21"/>
              </w:rPr>
            </w:pPr>
            <w:r>
              <w:rPr>
                <w:rFonts w:hint="eastAsia" w:ascii="Times New Roman" w:hAnsi="Times New Roman"/>
                <w:b w:val="0"/>
                <w:bCs w:val="0"/>
                <w:szCs w:val="21"/>
              </w:rPr>
              <w:t>2、外观结构及材质：</w:t>
            </w:r>
          </w:p>
          <w:p w14:paraId="4F67949D">
            <w:pPr>
              <w:jc w:val="left"/>
              <w:rPr>
                <w:rFonts w:hint="eastAsia" w:ascii="Times New Roman" w:hAnsi="Times New Roman"/>
                <w:b w:val="0"/>
                <w:bCs w:val="0"/>
                <w:szCs w:val="21"/>
              </w:rPr>
            </w:pPr>
            <w:r>
              <w:rPr>
                <w:rFonts w:hint="eastAsia" w:ascii="Times New Roman" w:hAnsi="Times New Roman"/>
                <w:b w:val="0"/>
                <w:bCs w:val="0"/>
                <w:szCs w:val="21"/>
              </w:rPr>
              <w:t>（1）柜体：采用16mm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b w:val="0"/>
                <w:bCs w:val="0"/>
                <w:szCs w:val="21"/>
              </w:rPr>
              <w:t>的橡胶木拼板。通透三层8格高柜，上、下层格子内空：284x300x222mm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b w:val="0"/>
                <w:bCs w:val="0"/>
                <w:szCs w:val="21"/>
              </w:rPr>
              <w:t>,中层格子内空：434x300x222mm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b w:val="0"/>
                <w:bCs w:val="0"/>
                <w:szCs w:val="21"/>
              </w:rPr>
              <w:t>。</w:t>
            </w:r>
          </w:p>
          <w:p w14:paraId="0E446E96">
            <w:pPr>
              <w:jc w:val="left"/>
              <w:rPr>
                <w:rFonts w:hint="eastAsia" w:ascii="Times New Roman" w:hAnsi="Times New Roman"/>
                <w:b w:val="0"/>
                <w:bCs w:val="0"/>
                <w:szCs w:val="21"/>
              </w:rPr>
            </w:pPr>
            <w:r>
              <w:rPr>
                <w:rFonts w:hint="eastAsia" w:ascii="Times New Roman" w:hAnsi="Times New Roman"/>
                <w:b w:val="0"/>
                <w:bCs w:val="0"/>
                <w:szCs w:val="21"/>
              </w:rPr>
              <w:t>（2）围脚：采用厚度18mm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b w:val="0"/>
                <w:bCs w:val="0"/>
                <w:szCs w:val="21"/>
              </w:rPr>
              <w:t>的橡胶木拼板。柜体与底部围脚采用塑料连接件实现翻板功能，脚轮为静音万向轮，安装在围脚侧板内，当家具固定时，围脚侧板向下翻，万向轮则隐藏于侧板内；当家具需要移动时，围脚侧板向上翻，塑料连接件卡扣对侧板进行固定，万向轮支撑起家具的重量，无须抬起轻松实现家具位置转移。</w:t>
            </w:r>
          </w:p>
          <w:p w14:paraId="2C8A292C">
            <w:pPr>
              <w:jc w:val="left"/>
              <w:rPr>
                <w:rFonts w:hint="eastAsia" w:ascii="Times New Roman" w:hAnsi="Times New Roman"/>
                <w:b w:val="0"/>
                <w:bCs w:val="0"/>
                <w:szCs w:val="21"/>
              </w:rPr>
            </w:pPr>
            <w:r>
              <w:rPr>
                <w:rFonts w:hint="eastAsia" w:ascii="Times New Roman" w:hAnsi="Times New Roman"/>
                <w:b w:val="0"/>
                <w:bCs w:val="0"/>
                <w:szCs w:val="21"/>
              </w:rPr>
              <w:t>（3）采用的水性漆，全封闭涂装工艺，漆面光泽高透，颜色均匀。</w:t>
            </w:r>
          </w:p>
        </w:tc>
      </w:tr>
      <w:tr w14:paraId="71E47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3" w:type="pct"/>
            <w:vMerge w:val="restart"/>
            <w:noWrap w:val="0"/>
            <w:vAlign w:val="center"/>
          </w:tcPr>
          <w:p w14:paraId="3C943C3A">
            <w:pPr>
              <w:keepNext w:val="0"/>
              <w:keepLines w:val="0"/>
              <w:widowControl/>
              <w:suppressLineNumbers w:val="0"/>
              <w:jc w:val="center"/>
              <w:textAlignment w:val="center"/>
              <w:rPr>
                <w:b/>
                <w:szCs w:val="21"/>
              </w:rPr>
            </w:pPr>
            <w:r>
              <w:rPr>
                <w:rFonts w:hint="default" w:ascii="Arial" w:hAnsi="Arial" w:eastAsia="宋体" w:cs="Arial"/>
                <w:i w:val="0"/>
                <w:iCs w:val="0"/>
                <w:color w:val="000000"/>
                <w:kern w:val="0"/>
                <w:sz w:val="20"/>
                <w:szCs w:val="20"/>
                <w:u w:val="none"/>
                <w:lang w:val="en-US" w:eastAsia="zh-CN" w:bidi="ar"/>
              </w:rPr>
              <w:t xml:space="preserve">77 </w:t>
            </w:r>
          </w:p>
        </w:tc>
        <w:tc>
          <w:tcPr>
            <w:tcW w:w="440" w:type="pct"/>
            <w:vMerge w:val="restart"/>
            <w:noWrap w:val="0"/>
            <w:vAlign w:val="center"/>
          </w:tcPr>
          <w:p w14:paraId="5E84328E">
            <w:pPr>
              <w:keepNext w:val="0"/>
              <w:keepLines w:val="0"/>
              <w:widowControl/>
              <w:suppressLineNumbers w:val="0"/>
              <w:jc w:val="center"/>
              <w:textAlignment w:val="center"/>
              <w:rPr>
                <w:rFonts w:hint="eastAsia" w:ascii="Times New Roman" w:hAnsi="Times New Roman"/>
                <w:szCs w:val="21"/>
              </w:rPr>
            </w:pPr>
            <w:r>
              <w:rPr>
                <w:rFonts w:hint="eastAsia" w:ascii="宋体" w:hAnsi="宋体" w:eastAsia="宋体" w:cs="宋体"/>
                <w:i w:val="0"/>
                <w:iCs w:val="0"/>
                <w:color w:val="000000"/>
                <w:kern w:val="0"/>
                <w:sz w:val="20"/>
                <w:szCs w:val="20"/>
                <w:u w:val="none"/>
                <w:lang w:val="en-US" w:eastAsia="zh-CN" w:bidi="ar"/>
              </w:rPr>
              <w:t>三层教具篮收纳柜</w:t>
            </w:r>
          </w:p>
        </w:tc>
        <w:tc>
          <w:tcPr>
            <w:tcW w:w="4225" w:type="pct"/>
            <w:noWrap w:val="0"/>
            <w:vAlign w:val="center"/>
          </w:tcPr>
          <w:p w14:paraId="383C14F8">
            <w:pPr>
              <w:jc w:val="left"/>
              <w:rPr>
                <w:rFonts w:hint="eastAsia" w:ascii="Times New Roman" w:hAnsi="Times New Roman"/>
                <w:b w:val="0"/>
                <w:bCs w:val="0"/>
                <w:szCs w:val="21"/>
              </w:rPr>
            </w:pPr>
            <w:r>
              <w:rPr>
                <w:rFonts w:hint="eastAsia" w:ascii="Times New Roman" w:hAnsi="Times New Roman"/>
                <w:b w:val="0"/>
                <w:bCs w:val="0"/>
                <w:szCs w:val="21"/>
              </w:rPr>
              <w:t>规格：L91xW30xH59cm（±3cm）</w:t>
            </w:r>
          </w:p>
        </w:tc>
      </w:tr>
      <w:tr w14:paraId="2633E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3" w:type="pct"/>
            <w:vMerge w:val="continue"/>
            <w:noWrap w:val="0"/>
            <w:vAlign w:val="center"/>
          </w:tcPr>
          <w:p w14:paraId="053886CC">
            <w:pPr>
              <w:jc w:val="center"/>
              <w:rPr>
                <w:b/>
                <w:szCs w:val="21"/>
              </w:rPr>
            </w:pPr>
          </w:p>
        </w:tc>
        <w:tc>
          <w:tcPr>
            <w:tcW w:w="440" w:type="pct"/>
            <w:vMerge w:val="continue"/>
            <w:noWrap w:val="0"/>
            <w:vAlign w:val="top"/>
          </w:tcPr>
          <w:p w14:paraId="1DC578BC">
            <w:pPr>
              <w:jc w:val="center"/>
              <w:rPr>
                <w:rFonts w:hint="eastAsia" w:ascii="Times New Roman" w:hAnsi="Times New Roman"/>
                <w:szCs w:val="21"/>
              </w:rPr>
            </w:pPr>
          </w:p>
        </w:tc>
        <w:tc>
          <w:tcPr>
            <w:tcW w:w="4225" w:type="pct"/>
            <w:noWrap w:val="0"/>
            <w:vAlign w:val="top"/>
          </w:tcPr>
          <w:p w14:paraId="4EEA29CE">
            <w:pPr>
              <w:jc w:val="left"/>
              <w:rPr>
                <w:rFonts w:hint="eastAsia" w:ascii="Times New Roman" w:hAnsi="Times New Roman"/>
                <w:b w:val="0"/>
                <w:bCs w:val="0"/>
                <w:szCs w:val="21"/>
              </w:rPr>
            </w:pPr>
            <w:r>
              <w:rPr>
                <w:rFonts w:hint="eastAsia" w:ascii="Times New Roman" w:hAnsi="Times New Roman"/>
                <w:b w:val="0"/>
                <w:bCs w:val="0"/>
                <w:szCs w:val="21"/>
              </w:rPr>
              <w:t>1、工艺设计：</w:t>
            </w:r>
          </w:p>
          <w:p w14:paraId="1E1970BB">
            <w:pPr>
              <w:jc w:val="left"/>
              <w:rPr>
                <w:rFonts w:hint="eastAsia" w:ascii="Times New Roman" w:hAnsi="Times New Roman"/>
                <w:b w:val="0"/>
                <w:bCs w:val="0"/>
                <w:szCs w:val="21"/>
              </w:rPr>
            </w:pPr>
            <w:r>
              <w:rPr>
                <w:rFonts w:hint="eastAsia" w:ascii="Times New Roman" w:hAnsi="Times New Roman"/>
                <w:b w:val="0"/>
                <w:bCs w:val="0"/>
                <w:szCs w:val="21"/>
              </w:rPr>
              <w:t>（1）采用翻板活动轮工艺，移动/固定自由切换。</w:t>
            </w:r>
          </w:p>
          <w:p w14:paraId="1D0A093C">
            <w:pPr>
              <w:jc w:val="left"/>
              <w:rPr>
                <w:rFonts w:hint="eastAsia" w:ascii="Times New Roman" w:hAnsi="Times New Roman"/>
                <w:b w:val="0"/>
                <w:bCs w:val="0"/>
                <w:szCs w:val="21"/>
              </w:rPr>
            </w:pPr>
            <w:r>
              <w:rPr>
                <w:rFonts w:hint="eastAsia" w:ascii="Times New Roman" w:hAnsi="Times New Roman"/>
                <w:b w:val="0"/>
                <w:bCs w:val="0"/>
                <w:szCs w:val="21"/>
              </w:rPr>
              <w:t>（2）所有螺丝位无毛刺不刮手，四角及边沿采用圆角/圆边处理以及安全防撞设计，最大程度的避免儿童磕碰伤害，结构稳固。</w:t>
            </w:r>
          </w:p>
        </w:tc>
      </w:tr>
      <w:tr w14:paraId="10D91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3" w:type="pct"/>
            <w:vMerge w:val="continue"/>
            <w:noWrap w:val="0"/>
            <w:vAlign w:val="center"/>
          </w:tcPr>
          <w:p w14:paraId="76F23761">
            <w:pPr>
              <w:jc w:val="center"/>
              <w:rPr>
                <w:b/>
                <w:szCs w:val="21"/>
              </w:rPr>
            </w:pPr>
          </w:p>
        </w:tc>
        <w:tc>
          <w:tcPr>
            <w:tcW w:w="440" w:type="pct"/>
            <w:vMerge w:val="continue"/>
            <w:noWrap w:val="0"/>
            <w:vAlign w:val="top"/>
          </w:tcPr>
          <w:p w14:paraId="255DB93A">
            <w:pPr>
              <w:jc w:val="center"/>
              <w:rPr>
                <w:rFonts w:hint="eastAsia" w:ascii="Times New Roman" w:hAnsi="Times New Roman"/>
                <w:szCs w:val="21"/>
              </w:rPr>
            </w:pPr>
          </w:p>
        </w:tc>
        <w:tc>
          <w:tcPr>
            <w:tcW w:w="4225" w:type="pct"/>
            <w:noWrap w:val="0"/>
            <w:vAlign w:val="top"/>
          </w:tcPr>
          <w:p w14:paraId="42EFB382">
            <w:pPr>
              <w:jc w:val="left"/>
              <w:rPr>
                <w:rFonts w:hint="eastAsia" w:ascii="Times New Roman" w:hAnsi="Times New Roman"/>
                <w:b w:val="0"/>
                <w:bCs w:val="0"/>
                <w:szCs w:val="21"/>
              </w:rPr>
            </w:pPr>
            <w:r>
              <w:rPr>
                <w:rFonts w:hint="eastAsia" w:ascii="Times New Roman" w:hAnsi="Times New Roman"/>
                <w:b w:val="0"/>
                <w:bCs w:val="0"/>
                <w:szCs w:val="21"/>
              </w:rPr>
              <w:t>2、外观结构及材质：</w:t>
            </w:r>
          </w:p>
          <w:p w14:paraId="5DB50226">
            <w:pPr>
              <w:jc w:val="left"/>
              <w:rPr>
                <w:rFonts w:hint="eastAsia" w:ascii="Times New Roman" w:hAnsi="Times New Roman"/>
                <w:b w:val="0"/>
                <w:bCs w:val="0"/>
                <w:szCs w:val="21"/>
              </w:rPr>
            </w:pPr>
            <w:r>
              <w:rPr>
                <w:rFonts w:hint="eastAsia" w:ascii="Times New Roman" w:hAnsi="Times New Roman"/>
                <w:b w:val="0"/>
                <w:bCs w:val="0"/>
                <w:szCs w:val="21"/>
              </w:rPr>
              <w:t>（1）柜体：采用15mm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b w:val="0"/>
                <w:bCs w:val="0"/>
                <w:szCs w:val="21"/>
              </w:rPr>
              <w:t>的橡胶木拼板。柜子长度内空：884mm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b w:val="0"/>
                <w:bCs w:val="0"/>
                <w:szCs w:val="21"/>
              </w:rPr>
              <w:t>，整体为3层，安装8个浅咖色铁质圆管用于固定教具篮，铁管尺寸为：φ19mm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b w:val="0"/>
                <w:bCs w:val="0"/>
                <w:szCs w:val="21"/>
              </w:rPr>
              <w:t>；包含9个教具篮，尺寸：L280xW260xH100mm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b w:val="0"/>
                <w:bCs w:val="0"/>
                <w:szCs w:val="21"/>
              </w:rPr>
              <w:t>，用于收纳各种教玩具物品，教具篮采用塑料材质，呈浅咖色，圆滑无毛刺，一体成型设计，结构稳固。</w:t>
            </w:r>
          </w:p>
          <w:p w14:paraId="602C7725">
            <w:pPr>
              <w:jc w:val="left"/>
              <w:rPr>
                <w:rFonts w:hint="eastAsia" w:ascii="Times New Roman" w:hAnsi="Times New Roman"/>
                <w:b w:val="0"/>
                <w:bCs w:val="0"/>
                <w:szCs w:val="21"/>
              </w:rPr>
            </w:pPr>
            <w:r>
              <w:rPr>
                <w:rFonts w:hint="eastAsia" w:ascii="Times New Roman" w:hAnsi="Times New Roman"/>
                <w:b w:val="0"/>
                <w:bCs w:val="0"/>
                <w:szCs w:val="21"/>
              </w:rPr>
              <w:t>（2）围脚：采用厚度18mm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b w:val="0"/>
                <w:bCs w:val="0"/>
                <w:szCs w:val="21"/>
              </w:rPr>
              <w:t>的橡胶木拼板。柜体与底部围脚采用塑料连接件实现翻板功能，脚轮为静音万向轮，安装在围脚侧板内，当家具固定时，围脚侧板向下翻，万向轮则隐藏于侧板内；当家具需要移动时，围脚侧板向上翻，塑料连接件卡扣对侧板进行固定，万向轮支撑起家具的重量，无须抬起轻松实现家具位置转移。</w:t>
            </w:r>
          </w:p>
          <w:p w14:paraId="1CD95A31">
            <w:pPr>
              <w:jc w:val="left"/>
              <w:rPr>
                <w:rFonts w:hint="eastAsia" w:ascii="Times New Roman" w:hAnsi="Times New Roman"/>
                <w:b w:val="0"/>
                <w:bCs w:val="0"/>
                <w:szCs w:val="21"/>
              </w:rPr>
            </w:pPr>
            <w:r>
              <w:rPr>
                <w:rFonts w:hint="eastAsia" w:ascii="Times New Roman" w:hAnsi="Times New Roman"/>
                <w:b w:val="0"/>
                <w:bCs w:val="0"/>
                <w:szCs w:val="21"/>
              </w:rPr>
              <w:t>（3）木蜡油：采用的水性木蜡油封边，成分天然，分子机构细小，成膜牢固，密封性好。</w:t>
            </w:r>
          </w:p>
        </w:tc>
      </w:tr>
      <w:tr w14:paraId="455C0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3" w:type="pct"/>
            <w:vMerge w:val="restart"/>
            <w:noWrap w:val="0"/>
            <w:vAlign w:val="center"/>
          </w:tcPr>
          <w:p w14:paraId="183336BF">
            <w:pPr>
              <w:keepNext w:val="0"/>
              <w:keepLines w:val="0"/>
              <w:widowControl/>
              <w:suppressLineNumbers w:val="0"/>
              <w:jc w:val="center"/>
              <w:textAlignment w:val="center"/>
              <w:rPr>
                <w:b/>
                <w:szCs w:val="21"/>
              </w:rPr>
            </w:pPr>
            <w:r>
              <w:rPr>
                <w:rFonts w:hint="default" w:ascii="Arial" w:hAnsi="Arial" w:eastAsia="宋体" w:cs="Arial"/>
                <w:i w:val="0"/>
                <w:iCs w:val="0"/>
                <w:color w:val="000000"/>
                <w:kern w:val="0"/>
                <w:sz w:val="20"/>
                <w:szCs w:val="20"/>
                <w:u w:val="none"/>
                <w:lang w:val="en-US" w:eastAsia="zh-CN" w:bidi="ar"/>
              </w:rPr>
              <w:t xml:space="preserve">78 </w:t>
            </w:r>
          </w:p>
        </w:tc>
        <w:tc>
          <w:tcPr>
            <w:tcW w:w="440" w:type="pct"/>
            <w:vMerge w:val="restart"/>
            <w:noWrap w:val="0"/>
            <w:vAlign w:val="center"/>
          </w:tcPr>
          <w:p w14:paraId="0EA791BE">
            <w:pPr>
              <w:keepNext w:val="0"/>
              <w:keepLines w:val="0"/>
              <w:widowControl/>
              <w:suppressLineNumbers w:val="0"/>
              <w:jc w:val="center"/>
              <w:textAlignment w:val="center"/>
              <w:rPr>
                <w:rFonts w:hint="eastAsia" w:ascii="Times New Roman" w:hAnsi="Times New Roman"/>
                <w:szCs w:val="21"/>
              </w:rPr>
            </w:pPr>
            <w:r>
              <w:rPr>
                <w:rFonts w:hint="eastAsia" w:ascii="宋体" w:hAnsi="宋体" w:eastAsia="宋体" w:cs="宋体"/>
                <w:i w:val="0"/>
                <w:iCs w:val="0"/>
                <w:color w:val="000000"/>
                <w:kern w:val="0"/>
                <w:sz w:val="20"/>
                <w:szCs w:val="20"/>
                <w:u w:val="none"/>
                <w:lang w:val="en-US" w:eastAsia="zh-CN" w:bidi="ar"/>
              </w:rPr>
              <w:t>2层矮柜.可调节.无背板</w:t>
            </w:r>
          </w:p>
        </w:tc>
        <w:tc>
          <w:tcPr>
            <w:tcW w:w="4225" w:type="pct"/>
            <w:noWrap w:val="0"/>
            <w:vAlign w:val="center"/>
          </w:tcPr>
          <w:p w14:paraId="5E36667A">
            <w:pPr>
              <w:jc w:val="left"/>
              <w:rPr>
                <w:rFonts w:hint="eastAsia" w:ascii="Times New Roman" w:hAnsi="Times New Roman"/>
                <w:b w:val="0"/>
                <w:bCs w:val="0"/>
                <w:szCs w:val="21"/>
              </w:rPr>
            </w:pPr>
            <w:r>
              <w:rPr>
                <w:rFonts w:hint="eastAsia" w:ascii="Times New Roman" w:hAnsi="Times New Roman"/>
                <w:b w:val="0"/>
                <w:bCs w:val="0"/>
                <w:szCs w:val="21"/>
              </w:rPr>
              <w:t>规格：规格：L91.5xW30xH59cm（±3cm）</w:t>
            </w:r>
          </w:p>
        </w:tc>
      </w:tr>
      <w:tr w14:paraId="33DAD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3" w:type="pct"/>
            <w:vMerge w:val="continue"/>
            <w:noWrap w:val="0"/>
            <w:vAlign w:val="center"/>
          </w:tcPr>
          <w:p w14:paraId="3EC1D1AD">
            <w:pPr>
              <w:jc w:val="center"/>
              <w:rPr>
                <w:b/>
                <w:szCs w:val="21"/>
              </w:rPr>
            </w:pPr>
          </w:p>
        </w:tc>
        <w:tc>
          <w:tcPr>
            <w:tcW w:w="440" w:type="pct"/>
            <w:vMerge w:val="continue"/>
            <w:noWrap w:val="0"/>
            <w:vAlign w:val="top"/>
          </w:tcPr>
          <w:p w14:paraId="3B658DC5">
            <w:pPr>
              <w:jc w:val="center"/>
              <w:rPr>
                <w:rFonts w:hint="eastAsia" w:ascii="Times New Roman" w:hAnsi="Times New Roman"/>
                <w:szCs w:val="21"/>
              </w:rPr>
            </w:pPr>
          </w:p>
        </w:tc>
        <w:tc>
          <w:tcPr>
            <w:tcW w:w="4225" w:type="pct"/>
            <w:noWrap w:val="0"/>
            <w:vAlign w:val="top"/>
          </w:tcPr>
          <w:p w14:paraId="078A3E8F">
            <w:pPr>
              <w:jc w:val="left"/>
              <w:rPr>
                <w:rFonts w:hint="eastAsia" w:ascii="Times New Roman" w:hAnsi="Times New Roman"/>
                <w:b w:val="0"/>
                <w:bCs w:val="0"/>
                <w:szCs w:val="21"/>
              </w:rPr>
            </w:pPr>
            <w:r>
              <w:rPr>
                <w:rFonts w:hint="eastAsia" w:ascii="Times New Roman" w:hAnsi="Times New Roman"/>
                <w:b w:val="0"/>
                <w:bCs w:val="0"/>
                <w:szCs w:val="21"/>
              </w:rPr>
              <w:t>1、工艺设计：</w:t>
            </w:r>
          </w:p>
          <w:p w14:paraId="44278257">
            <w:pPr>
              <w:jc w:val="left"/>
              <w:rPr>
                <w:rFonts w:hint="eastAsia" w:ascii="Times New Roman" w:hAnsi="Times New Roman"/>
                <w:b w:val="0"/>
                <w:bCs w:val="0"/>
                <w:szCs w:val="21"/>
              </w:rPr>
            </w:pPr>
            <w:r>
              <w:rPr>
                <w:rFonts w:hint="eastAsia" w:ascii="Times New Roman" w:hAnsi="Times New Roman"/>
                <w:b w:val="0"/>
                <w:bCs w:val="0"/>
                <w:szCs w:val="21"/>
              </w:rPr>
              <w:t>（1）采用翻板活动轮工艺，移动/固定自由切换。</w:t>
            </w:r>
          </w:p>
          <w:p w14:paraId="584E69EA">
            <w:pPr>
              <w:jc w:val="left"/>
              <w:rPr>
                <w:rFonts w:hint="eastAsia" w:ascii="Times New Roman" w:hAnsi="Times New Roman"/>
                <w:b w:val="0"/>
                <w:bCs w:val="0"/>
                <w:szCs w:val="21"/>
              </w:rPr>
            </w:pPr>
            <w:r>
              <w:rPr>
                <w:rFonts w:hint="eastAsia" w:ascii="Times New Roman" w:hAnsi="Times New Roman"/>
                <w:b w:val="0"/>
                <w:bCs w:val="0"/>
                <w:szCs w:val="21"/>
              </w:rPr>
              <w:t>（2）层板可调设计，提高空间利用率。</w:t>
            </w:r>
          </w:p>
          <w:p w14:paraId="5C456AA0">
            <w:pPr>
              <w:jc w:val="left"/>
              <w:rPr>
                <w:rFonts w:hint="eastAsia" w:ascii="Times New Roman" w:hAnsi="Times New Roman"/>
                <w:b w:val="0"/>
                <w:bCs w:val="0"/>
                <w:szCs w:val="21"/>
              </w:rPr>
            </w:pPr>
            <w:r>
              <w:rPr>
                <w:rFonts w:hint="eastAsia" w:ascii="Times New Roman" w:hAnsi="Times New Roman"/>
                <w:b w:val="0"/>
                <w:bCs w:val="0"/>
                <w:szCs w:val="21"/>
              </w:rPr>
              <w:t>（3）所有螺丝位无毛刺不刮手，四角及边沿采用圆角/圆边处理以及安全防撞设计，最大程度的避免儿童磕碰伤害，结构稳固。</w:t>
            </w:r>
          </w:p>
          <w:p w14:paraId="3CAFFACD">
            <w:pPr>
              <w:jc w:val="left"/>
              <w:rPr>
                <w:rFonts w:hint="eastAsia" w:ascii="Times New Roman" w:hAnsi="Times New Roman"/>
                <w:b w:val="0"/>
                <w:bCs w:val="0"/>
                <w:szCs w:val="21"/>
              </w:rPr>
            </w:pPr>
          </w:p>
        </w:tc>
      </w:tr>
      <w:tr w14:paraId="433DD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3" w:type="pct"/>
            <w:vMerge w:val="continue"/>
            <w:noWrap w:val="0"/>
            <w:vAlign w:val="center"/>
          </w:tcPr>
          <w:p w14:paraId="71916AA1">
            <w:pPr>
              <w:jc w:val="center"/>
              <w:rPr>
                <w:b/>
                <w:szCs w:val="21"/>
              </w:rPr>
            </w:pPr>
          </w:p>
        </w:tc>
        <w:tc>
          <w:tcPr>
            <w:tcW w:w="440" w:type="pct"/>
            <w:vMerge w:val="continue"/>
            <w:noWrap w:val="0"/>
            <w:vAlign w:val="top"/>
          </w:tcPr>
          <w:p w14:paraId="599A501A">
            <w:pPr>
              <w:jc w:val="center"/>
              <w:rPr>
                <w:rFonts w:hint="eastAsia" w:ascii="Times New Roman" w:hAnsi="Times New Roman"/>
                <w:szCs w:val="21"/>
              </w:rPr>
            </w:pPr>
          </w:p>
        </w:tc>
        <w:tc>
          <w:tcPr>
            <w:tcW w:w="4225" w:type="pct"/>
            <w:noWrap w:val="0"/>
            <w:vAlign w:val="top"/>
          </w:tcPr>
          <w:p w14:paraId="16F98C46">
            <w:pPr>
              <w:jc w:val="left"/>
              <w:rPr>
                <w:rFonts w:hint="eastAsia" w:ascii="Times New Roman" w:hAnsi="Times New Roman"/>
                <w:b w:val="0"/>
                <w:bCs w:val="0"/>
                <w:szCs w:val="21"/>
              </w:rPr>
            </w:pPr>
            <w:r>
              <w:rPr>
                <w:rFonts w:hint="eastAsia" w:ascii="Times New Roman" w:hAnsi="Times New Roman"/>
                <w:b w:val="0"/>
                <w:bCs w:val="0"/>
                <w:szCs w:val="21"/>
              </w:rPr>
              <w:t>2、外观结构及材质：</w:t>
            </w:r>
          </w:p>
          <w:p w14:paraId="1EB11907">
            <w:pPr>
              <w:jc w:val="left"/>
              <w:rPr>
                <w:rFonts w:hint="eastAsia" w:ascii="Times New Roman" w:hAnsi="Times New Roman"/>
                <w:b w:val="0"/>
                <w:bCs w:val="0"/>
                <w:szCs w:val="21"/>
              </w:rPr>
            </w:pPr>
            <w:r>
              <w:rPr>
                <w:rFonts w:hint="eastAsia" w:ascii="Times New Roman" w:hAnsi="Times New Roman"/>
                <w:b w:val="0"/>
                <w:bCs w:val="0"/>
                <w:szCs w:val="21"/>
              </w:rPr>
              <w:t>（1）柜体：采用16mm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b w:val="0"/>
                <w:bCs w:val="0"/>
                <w:szCs w:val="21"/>
              </w:rPr>
              <w:t>的橡胶木拼板。柜子长度内空：884mm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b w:val="0"/>
                <w:bCs w:val="0"/>
                <w:szCs w:val="21"/>
              </w:rPr>
              <w:t>，上下两层，中间一块层板。柜子内侧配塑料一次成型呈浅咖色长度440mm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b w:val="0"/>
                <w:bCs w:val="0"/>
                <w:szCs w:val="21"/>
              </w:rPr>
              <w:t>的活动层板支撑条，内嵌式安装嵌入深度4.5mm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b w:val="0"/>
                <w:bCs w:val="0"/>
                <w:szCs w:val="21"/>
              </w:rPr>
              <w:t>，固定条凸11mm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b w:val="0"/>
                <w:bCs w:val="0"/>
                <w:szCs w:val="21"/>
              </w:rPr>
              <w:t>,灵活安全使用层板，不占用空间，共15个挡位、每挡28mm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b w:val="0"/>
                <w:bCs w:val="0"/>
                <w:szCs w:val="21"/>
              </w:rPr>
              <w:t>，可实现层板自选放置高度。</w:t>
            </w:r>
          </w:p>
          <w:p w14:paraId="2CD67449">
            <w:pPr>
              <w:jc w:val="left"/>
              <w:rPr>
                <w:rFonts w:hint="eastAsia" w:ascii="Times New Roman" w:hAnsi="Times New Roman"/>
                <w:b w:val="0"/>
                <w:bCs w:val="0"/>
                <w:szCs w:val="21"/>
              </w:rPr>
            </w:pPr>
            <w:r>
              <w:rPr>
                <w:rFonts w:hint="eastAsia" w:ascii="Times New Roman" w:hAnsi="Times New Roman"/>
                <w:b w:val="0"/>
                <w:bCs w:val="0"/>
                <w:szCs w:val="21"/>
              </w:rPr>
              <w:t>（2）围脚：采用厚度18mm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b w:val="0"/>
                <w:bCs w:val="0"/>
                <w:szCs w:val="21"/>
              </w:rPr>
              <w:t>的橡胶木拼板。柜体与底部围脚采用塑料连接件实现翻板功能，脚轮为静音万向轮，安装在围脚侧板内，当家具固定时，围脚侧板向下翻，万向轮则隐藏于侧板内；当家具需要移动时，围脚侧板向上翻，塑料连接件卡扣对侧板进行固定，万向轮支撑起家具的重量，无须抬起轻松实现家具位置转移。</w:t>
            </w:r>
          </w:p>
          <w:p w14:paraId="293E3B25">
            <w:pPr>
              <w:jc w:val="left"/>
              <w:rPr>
                <w:rFonts w:hint="eastAsia" w:ascii="Times New Roman" w:hAnsi="Times New Roman"/>
                <w:b w:val="0"/>
                <w:bCs w:val="0"/>
                <w:szCs w:val="21"/>
              </w:rPr>
            </w:pPr>
            <w:r>
              <w:rPr>
                <w:rFonts w:hint="eastAsia" w:ascii="Times New Roman" w:hAnsi="Times New Roman"/>
                <w:b w:val="0"/>
                <w:bCs w:val="0"/>
                <w:szCs w:val="21"/>
              </w:rPr>
              <w:t>（3）采用的水性漆，全封闭涂装工艺，漆面光泽高透，颜色均匀。</w:t>
            </w:r>
          </w:p>
        </w:tc>
      </w:tr>
      <w:tr w14:paraId="547E1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3" w:type="pct"/>
            <w:vMerge w:val="restart"/>
            <w:noWrap w:val="0"/>
            <w:vAlign w:val="center"/>
          </w:tcPr>
          <w:p w14:paraId="6EC8318E">
            <w:pPr>
              <w:keepNext w:val="0"/>
              <w:keepLines w:val="0"/>
              <w:widowControl/>
              <w:suppressLineNumbers w:val="0"/>
              <w:jc w:val="center"/>
              <w:textAlignment w:val="center"/>
              <w:rPr>
                <w:b/>
                <w:szCs w:val="21"/>
              </w:rPr>
            </w:pPr>
            <w:r>
              <w:rPr>
                <w:rFonts w:hint="default" w:ascii="Arial" w:hAnsi="Arial" w:eastAsia="宋体" w:cs="Arial"/>
                <w:i w:val="0"/>
                <w:iCs w:val="0"/>
                <w:color w:val="000000"/>
                <w:kern w:val="0"/>
                <w:sz w:val="20"/>
                <w:szCs w:val="20"/>
                <w:u w:val="none"/>
                <w:lang w:val="en-US" w:eastAsia="zh-CN" w:bidi="ar"/>
              </w:rPr>
              <w:t xml:space="preserve">79 </w:t>
            </w:r>
          </w:p>
        </w:tc>
        <w:tc>
          <w:tcPr>
            <w:tcW w:w="440" w:type="pct"/>
            <w:vMerge w:val="restart"/>
            <w:noWrap w:val="0"/>
            <w:vAlign w:val="center"/>
          </w:tcPr>
          <w:p w14:paraId="79E0AA80">
            <w:pPr>
              <w:keepNext w:val="0"/>
              <w:keepLines w:val="0"/>
              <w:widowControl/>
              <w:suppressLineNumbers w:val="0"/>
              <w:jc w:val="center"/>
              <w:textAlignment w:val="center"/>
              <w:rPr>
                <w:rFonts w:hint="eastAsia" w:ascii="Times New Roman" w:hAnsi="Times New Roman"/>
                <w:szCs w:val="21"/>
              </w:rPr>
            </w:pPr>
            <w:r>
              <w:rPr>
                <w:rFonts w:hint="eastAsia" w:ascii="宋体" w:hAnsi="宋体" w:eastAsia="宋体" w:cs="宋体"/>
                <w:i w:val="0"/>
                <w:iCs w:val="0"/>
                <w:color w:val="000000"/>
                <w:kern w:val="0"/>
                <w:sz w:val="20"/>
                <w:szCs w:val="20"/>
                <w:u w:val="none"/>
                <w:lang w:val="en-US" w:eastAsia="zh-CN" w:bidi="ar"/>
              </w:rPr>
              <w:t>互动造型柜</w:t>
            </w:r>
          </w:p>
        </w:tc>
        <w:tc>
          <w:tcPr>
            <w:tcW w:w="4225" w:type="pct"/>
            <w:noWrap w:val="0"/>
            <w:vAlign w:val="center"/>
          </w:tcPr>
          <w:p w14:paraId="2D365B4F">
            <w:pPr>
              <w:jc w:val="left"/>
              <w:rPr>
                <w:rFonts w:hint="eastAsia" w:ascii="Times New Roman" w:hAnsi="Times New Roman"/>
                <w:b w:val="0"/>
                <w:bCs w:val="0"/>
                <w:szCs w:val="21"/>
              </w:rPr>
            </w:pPr>
            <w:r>
              <w:rPr>
                <w:rFonts w:hint="eastAsia" w:ascii="Times New Roman" w:hAnsi="Times New Roman"/>
                <w:b w:val="0"/>
                <w:bCs w:val="0"/>
                <w:szCs w:val="21"/>
              </w:rPr>
              <w:t>规格：L98xW40xH136cm（±3cm）</w:t>
            </w:r>
          </w:p>
        </w:tc>
      </w:tr>
      <w:tr w14:paraId="25B09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3" w:type="pct"/>
            <w:vMerge w:val="continue"/>
            <w:noWrap w:val="0"/>
            <w:vAlign w:val="center"/>
          </w:tcPr>
          <w:p w14:paraId="6CAF77F6">
            <w:pPr>
              <w:jc w:val="center"/>
              <w:rPr>
                <w:b/>
                <w:szCs w:val="21"/>
              </w:rPr>
            </w:pPr>
          </w:p>
        </w:tc>
        <w:tc>
          <w:tcPr>
            <w:tcW w:w="440" w:type="pct"/>
            <w:vMerge w:val="continue"/>
            <w:noWrap w:val="0"/>
            <w:vAlign w:val="top"/>
          </w:tcPr>
          <w:p w14:paraId="15D655AA">
            <w:pPr>
              <w:jc w:val="center"/>
              <w:rPr>
                <w:rFonts w:hint="eastAsia" w:ascii="Times New Roman" w:hAnsi="Times New Roman"/>
                <w:szCs w:val="21"/>
              </w:rPr>
            </w:pPr>
          </w:p>
        </w:tc>
        <w:tc>
          <w:tcPr>
            <w:tcW w:w="4225" w:type="pct"/>
            <w:noWrap w:val="0"/>
            <w:vAlign w:val="top"/>
          </w:tcPr>
          <w:p w14:paraId="5E975F17">
            <w:pPr>
              <w:jc w:val="left"/>
              <w:rPr>
                <w:rFonts w:hint="eastAsia" w:ascii="Times New Roman" w:hAnsi="Times New Roman"/>
                <w:b w:val="0"/>
                <w:bCs w:val="0"/>
                <w:szCs w:val="21"/>
              </w:rPr>
            </w:pPr>
            <w:r>
              <w:rPr>
                <w:rFonts w:hint="eastAsia" w:ascii="Times New Roman" w:hAnsi="Times New Roman"/>
                <w:b w:val="0"/>
                <w:bCs w:val="0"/>
                <w:szCs w:val="21"/>
              </w:rPr>
              <w:t>1、工艺设计：</w:t>
            </w:r>
          </w:p>
          <w:p w14:paraId="41C84837">
            <w:pPr>
              <w:jc w:val="left"/>
              <w:rPr>
                <w:rFonts w:hint="eastAsia" w:ascii="Times New Roman" w:hAnsi="Times New Roman"/>
                <w:b w:val="0"/>
                <w:bCs w:val="0"/>
                <w:szCs w:val="21"/>
              </w:rPr>
            </w:pPr>
            <w:r>
              <w:rPr>
                <w:rFonts w:hint="eastAsia" w:ascii="Times New Roman" w:hAnsi="Times New Roman"/>
                <w:b w:val="0"/>
                <w:bCs w:val="0"/>
                <w:szCs w:val="21"/>
              </w:rPr>
              <w:t>（1）特色屋顶+篷布造型设计，吊牌黑板可擦写，既能独立摆放模拟真实场景又易于搭配其他产品进行环创。</w:t>
            </w:r>
          </w:p>
          <w:p w14:paraId="667BE6BB">
            <w:pPr>
              <w:jc w:val="left"/>
              <w:rPr>
                <w:rFonts w:hint="eastAsia" w:ascii="Times New Roman" w:hAnsi="Times New Roman"/>
                <w:b w:val="0"/>
                <w:bCs w:val="0"/>
                <w:szCs w:val="21"/>
              </w:rPr>
            </w:pPr>
            <w:r>
              <w:rPr>
                <w:rFonts w:hint="eastAsia" w:ascii="Times New Roman" w:hAnsi="Times New Roman"/>
                <w:b w:val="0"/>
                <w:bCs w:val="0"/>
                <w:szCs w:val="21"/>
              </w:rPr>
              <w:t>（2）所有螺丝位无毛刺不刮手，边角采用圆边/圆角处理以及安全防撞设计，最大程度的避免儿童磕碰伤害，结构稳固。</w:t>
            </w:r>
          </w:p>
        </w:tc>
      </w:tr>
      <w:tr w14:paraId="1B0F3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3" w:type="pct"/>
            <w:vMerge w:val="continue"/>
            <w:noWrap w:val="0"/>
            <w:vAlign w:val="center"/>
          </w:tcPr>
          <w:p w14:paraId="526AB0B3">
            <w:pPr>
              <w:jc w:val="center"/>
              <w:rPr>
                <w:b/>
                <w:szCs w:val="21"/>
              </w:rPr>
            </w:pPr>
          </w:p>
        </w:tc>
        <w:tc>
          <w:tcPr>
            <w:tcW w:w="440" w:type="pct"/>
            <w:vMerge w:val="continue"/>
            <w:noWrap w:val="0"/>
            <w:vAlign w:val="top"/>
          </w:tcPr>
          <w:p w14:paraId="68A8AE6F">
            <w:pPr>
              <w:jc w:val="center"/>
              <w:rPr>
                <w:rFonts w:hint="eastAsia" w:ascii="Times New Roman" w:hAnsi="Times New Roman"/>
                <w:szCs w:val="21"/>
              </w:rPr>
            </w:pPr>
          </w:p>
        </w:tc>
        <w:tc>
          <w:tcPr>
            <w:tcW w:w="4225" w:type="pct"/>
            <w:noWrap w:val="0"/>
            <w:vAlign w:val="top"/>
          </w:tcPr>
          <w:p w14:paraId="756DE2FA">
            <w:pPr>
              <w:jc w:val="left"/>
              <w:rPr>
                <w:rFonts w:hint="eastAsia" w:ascii="Times New Roman" w:hAnsi="Times New Roman"/>
                <w:b w:val="0"/>
                <w:bCs w:val="0"/>
                <w:szCs w:val="21"/>
              </w:rPr>
            </w:pPr>
            <w:r>
              <w:rPr>
                <w:rFonts w:hint="eastAsia" w:ascii="Times New Roman" w:hAnsi="Times New Roman"/>
                <w:b w:val="0"/>
                <w:bCs w:val="0"/>
                <w:szCs w:val="21"/>
              </w:rPr>
              <w:t>2、外观结构及材质：</w:t>
            </w:r>
          </w:p>
          <w:p w14:paraId="1FC87B07">
            <w:pPr>
              <w:jc w:val="left"/>
              <w:rPr>
                <w:rFonts w:hint="eastAsia" w:ascii="Times New Roman" w:hAnsi="Times New Roman"/>
                <w:b w:val="0"/>
                <w:bCs w:val="0"/>
                <w:szCs w:val="21"/>
              </w:rPr>
            </w:pPr>
            <w:r>
              <w:rPr>
                <w:rFonts w:hint="eastAsia" w:ascii="Times New Roman" w:hAnsi="Times New Roman"/>
                <w:b w:val="0"/>
                <w:bCs w:val="0"/>
                <w:szCs w:val="21"/>
              </w:rPr>
              <w:t>（1）基材：柜体采用厚度15mm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b w:val="0"/>
                <w:bCs w:val="0"/>
                <w:szCs w:val="21"/>
              </w:rPr>
              <w:t>的桦木纹饰面橡胶木拼板，部分采用厚度12mm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b w:val="0"/>
                <w:bCs w:val="0"/>
                <w:szCs w:val="21"/>
              </w:rPr>
              <w:t>及18mm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b w:val="0"/>
                <w:bCs w:val="0"/>
                <w:szCs w:val="21"/>
              </w:rPr>
              <w:t>的实木多层板喷涂水性漆，铭牌采用厚度9mm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b w:val="0"/>
                <w:bCs w:val="0"/>
                <w:szCs w:val="21"/>
              </w:rPr>
              <w:t>实木多层板喷涂水性漆。屋顶离柜面高770mm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b w:val="0"/>
                <w:bCs w:val="0"/>
                <w:szCs w:val="21"/>
              </w:rPr>
              <w:t>，面板离地高度为590mm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b w:val="0"/>
                <w:bCs w:val="0"/>
                <w:szCs w:val="21"/>
              </w:rPr>
              <w:t>，柜体内空尺寸：884x300x237.5mm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b w:val="0"/>
                <w:bCs w:val="0"/>
                <w:szCs w:val="21"/>
              </w:rPr>
              <w:t>；下层柜体正面安装长方形可吸附磁铁的黑板，尺寸为910x520mm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b w:val="0"/>
                <w:bCs w:val="0"/>
                <w:szCs w:val="21"/>
              </w:rPr>
              <w:t>，柜体上方两边挂杆可挂吊牌黑板，尺寸为200x150mm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b w:val="0"/>
                <w:bCs w:val="0"/>
                <w:szCs w:val="21"/>
              </w:rPr>
              <w:t>，可使用粉笔进行擦写；产品顶部搭配安装由涤纶纤维织造的仿棉麻材质篷布，尺寸：L990xW800mm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b w:val="0"/>
                <w:bCs w:val="0"/>
                <w:szCs w:val="21"/>
              </w:rPr>
              <w:t xml:space="preserve"> 篷布可拆洗。</w:t>
            </w:r>
          </w:p>
          <w:p w14:paraId="71D9C00C">
            <w:pPr>
              <w:jc w:val="left"/>
              <w:rPr>
                <w:rFonts w:hint="eastAsia" w:ascii="Times New Roman" w:hAnsi="Times New Roman"/>
                <w:b w:val="0"/>
                <w:bCs w:val="0"/>
                <w:szCs w:val="21"/>
              </w:rPr>
            </w:pPr>
            <w:r>
              <w:rPr>
                <w:rFonts w:hint="eastAsia" w:ascii="Times New Roman" w:hAnsi="Times New Roman"/>
                <w:b w:val="0"/>
                <w:bCs w:val="0"/>
                <w:szCs w:val="21"/>
              </w:rPr>
              <w:t>（2）围脚：柜子底部安装塑料脚垫，高度为H10mm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b w:val="0"/>
                <w:bCs w:val="0"/>
                <w:szCs w:val="21"/>
              </w:rPr>
              <w:t>，直径17mm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b w:val="0"/>
                <w:bCs w:val="0"/>
                <w:szCs w:val="21"/>
              </w:rPr>
              <w:t>,软性防滑，可有效保护地面刮花并降低噪音。</w:t>
            </w:r>
          </w:p>
          <w:p w14:paraId="2FE24CC7">
            <w:pPr>
              <w:jc w:val="left"/>
              <w:rPr>
                <w:rFonts w:hint="eastAsia" w:ascii="Times New Roman" w:hAnsi="Times New Roman"/>
                <w:b w:val="0"/>
                <w:bCs w:val="0"/>
                <w:szCs w:val="21"/>
              </w:rPr>
            </w:pPr>
            <w:r>
              <w:rPr>
                <w:rFonts w:hint="eastAsia" w:ascii="Times New Roman" w:hAnsi="Times New Roman"/>
                <w:b w:val="0"/>
                <w:bCs w:val="0"/>
                <w:szCs w:val="21"/>
              </w:rPr>
              <w:t>（3）木蜡油：采用的水性木蜡油封边，成分天然，分子机构细小，成膜牢固，密封性好。</w:t>
            </w:r>
          </w:p>
          <w:p w14:paraId="0B959BF0">
            <w:pPr>
              <w:jc w:val="left"/>
              <w:rPr>
                <w:rFonts w:hint="eastAsia" w:ascii="Times New Roman" w:hAnsi="Times New Roman"/>
                <w:b w:val="0"/>
                <w:bCs w:val="0"/>
                <w:szCs w:val="21"/>
              </w:rPr>
            </w:pPr>
            <w:r>
              <w:rPr>
                <w:rFonts w:hint="eastAsia" w:ascii="Times New Roman" w:hAnsi="Times New Roman"/>
                <w:b w:val="0"/>
                <w:bCs w:val="0"/>
                <w:szCs w:val="21"/>
              </w:rPr>
              <w:t>（4）油漆：采用的水性漆，全封闭涂装工艺，漆面光泽高透，颜色均匀。</w:t>
            </w:r>
          </w:p>
        </w:tc>
      </w:tr>
      <w:tr w14:paraId="39AB2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3" w:type="pct"/>
            <w:vMerge w:val="restart"/>
            <w:noWrap w:val="0"/>
            <w:vAlign w:val="center"/>
          </w:tcPr>
          <w:p w14:paraId="45DED199">
            <w:pPr>
              <w:keepNext w:val="0"/>
              <w:keepLines w:val="0"/>
              <w:widowControl/>
              <w:suppressLineNumbers w:val="0"/>
              <w:jc w:val="center"/>
              <w:textAlignment w:val="center"/>
              <w:rPr>
                <w:b/>
                <w:szCs w:val="21"/>
              </w:rPr>
            </w:pPr>
            <w:r>
              <w:rPr>
                <w:rFonts w:hint="default" w:ascii="Arial" w:hAnsi="Arial" w:eastAsia="宋体" w:cs="Arial"/>
                <w:i w:val="0"/>
                <w:iCs w:val="0"/>
                <w:color w:val="000000"/>
                <w:kern w:val="0"/>
                <w:sz w:val="20"/>
                <w:szCs w:val="20"/>
                <w:u w:val="none"/>
                <w:lang w:val="en-US" w:eastAsia="zh-CN" w:bidi="ar"/>
              </w:rPr>
              <w:t xml:space="preserve">80 </w:t>
            </w:r>
          </w:p>
        </w:tc>
        <w:tc>
          <w:tcPr>
            <w:tcW w:w="440" w:type="pct"/>
            <w:vMerge w:val="restart"/>
            <w:noWrap w:val="0"/>
            <w:vAlign w:val="center"/>
          </w:tcPr>
          <w:p w14:paraId="0A6D6939">
            <w:pPr>
              <w:keepNext w:val="0"/>
              <w:keepLines w:val="0"/>
              <w:widowControl/>
              <w:suppressLineNumbers w:val="0"/>
              <w:jc w:val="center"/>
              <w:textAlignment w:val="center"/>
              <w:rPr>
                <w:rFonts w:hint="eastAsia" w:ascii="Times New Roman" w:hAnsi="Times New Roman"/>
                <w:szCs w:val="21"/>
              </w:rPr>
            </w:pPr>
            <w:r>
              <w:rPr>
                <w:rFonts w:hint="eastAsia" w:ascii="宋体" w:hAnsi="宋体" w:eastAsia="宋体" w:cs="宋体"/>
                <w:i w:val="0"/>
                <w:iCs w:val="0"/>
                <w:color w:val="000000"/>
                <w:kern w:val="0"/>
                <w:sz w:val="20"/>
                <w:szCs w:val="20"/>
                <w:u w:val="none"/>
                <w:lang w:val="en-US" w:eastAsia="zh-CN" w:bidi="ar"/>
              </w:rPr>
              <w:t>可调节书架</w:t>
            </w:r>
          </w:p>
        </w:tc>
        <w:tc>
          <w:tcPr>
            <w:tcW w:w="4225" w:type="pct"/>
            <w:noWrap w:val="0"/>
            <w:vAlign w:val="center"/>
          </w:tcPr>
          <w:p w14:paraId="7F99FEED">
            <w:pPr>
              <w:jc w:val="left"/>
              <w:rPr>
                <w:rFonts w:hint="eastAsia" w:ascii="Times New Roman" w:hAnsi="Times New Roman"/>
                <w:b w:val="0"/>
                <w:bCs w:val="0"/>
                <w:szCs w:val="21"/>
              </w:rPr>
            </w:pPr>
            <w:r>
              <w:rPr>
                <w:rFonts w:hint="eastAsia" w:ascii="Times New Roman" w:hAnsi="Times New Roman"/>
                <w:b w:val="0"/>
                <w:bCs w:val="0"/>
                <w:szCs w:val="21"/>
              </w:rPr>
              <w:t>规格：L92xW37xH82cm（±3cm）</w:t>
            </w:r>
          </w:p>
        </w:tc>
      </w:tr>
      <w:tr w14:paraId="5A7C5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3" w:type="pct"/>
            <w:vMerge w:val="continue"/>
            <w:noWrap w:val="0"/>
            <w:vAlign w:val="center"/>
          </w:tcPr>
          <w:p w14:paraId="046416AC">
            <w:pPr>
              <w:jc w:val="center"/>
              <w:rPr>
                <w:b/>
                <w:szCs w:val="21"/>
              </w:rPr>
            </w:pPr>
          </w:p>
        </w:tc>
        <w:tc>
          <w:tcPr>
            <w:tcW w:w="440" w:type="pct"/>
            <w:vMerge w:val="continue"/>
            <w:noWrap w:val="0"/>
            <w:vAlign w:val="top"/>
          </w:tcPr>
          <w:p w14:paraId="0C2D7E61">
            <w:pPr>
              <w:jc w:val="center"/>
              <w:rPr>
                <w:rFonts w:hint="eastAsia" w:ascii="Times New Roman" w:hAnsi="Times New Roman"/>
                <w:szCs w:val="21"/>
              </w:rPr>
            </w:pPr>
          </w:p>
        </w:tc>
        <w:tc>
          <w:tcPr>
            <w:tcW w:w="4225" w:type="pct"/>
            <w:noWrap w:val="0"/>
            <w:vAlign w:val="center"/>
          </w:tcPr>
          <w:p w14:paraId="3CD089D5">
            <w:pPr>
              <w:jc w:val="left"/>
              <w:rPr>
                <w:rFonts w:hint="eastAsia" w:ascii="Times New Roman" w:hAnsi="Times New Roman"/>
                <w:b w:val="0"/>
                <w:bCs w:val="0"/>
                <w:szCs w:val="21"/>
              </w:rPr>
            </w:pPr>
            <w:r>
              <w:rPr>
                <w:rFonts w:hint="eastAsia" w:ascii="Times New Roman" w:hAnsi="Times New Roman"/>
                <w:b w:val="0"/>
                <w:bCs w:val="0"/>
                <w:szCs w:val="21"/>
              </w:rPr>
              <w:t>1、工艺设计：</w:t>
            </w:r>
          </w:p>
          <w:p w14:paraId="197103B9">
            <w:pPr>
              <w:jc w:val="left"/>
              <w:rPr>
                <w:rFonts w:hint="eastAsia" w:ascii="Times New Roman" w:hAnsi="Times New Roman"/>
                <w:b w:val="0"/>
                <w:bCs w:val="0"/>
                <w:szCs w:val="21"/>
              </w:rPr>
            </w:pPr>
            <w:r>
              <w:rPr>
                <w:rFonts w:hint="eastAsia" w:ascii="Times New Roman" w:hAnsi="Times New Roman"/>
                <w:b w:val="0"/>
                <w:bCs w:val="0"/>
                <w:szCs w:val="21"/>
              </w:rPr>
              <w:t>（1）采用翻板活动轮工艺，移动/固定自由切换。</w:t>
            </w:r>
          </w:p>
          <w:p w14:paraId="3F1D0868">
            <w:pPr>
              <w:jc w:val="left"/>
              <w:rPr>
                <w:rFonts w:hint="eastAsia" w:ascii="Times New Roman" w:hAnsi="Times New Roman"/>
                <w:b w:val="0"/>
                <w:bCs w:val="0"/>
                <w:szCs w:val="21"/>
              </w:rPr>
            </w:pPr>
            <w:r>
              <w:rPr>
                <w:rFonts w:hint="eastAsia" w:ascii="Times New Roman" w:hAnsi="Times New Roman"/>
                <w:b w:val="0"/>
                <w:bCs w:val="0"/>
                <w:szCs w:val="21"/>
              </w:rPr>
              <w:t>（2）层板高度可结合书本大小调节高度，充分利用空间。</w:t>
            </w:r>
          </w:p>
          <w:p w14:paraId="251F6121">
            <w:pPr>
              <w:jc w:val="left"/>
              <w:rPr>
                <w:rFonts w:hint="eastAsia" w:ascii="Times New Roman" w:hAnsi="Times New Roman"/>
                <w:b w:val="0"/>
                <w:bCs w:val="0"/>
                <w:szCs w:val="21"/>
              </w:rPr>
            </w:pPr>
            <w:r>
              <w:rPr>
                <w:rFonts w:hint="eastAsia" w:ascii="Times New Roman" w:hAnsi="Times New Roman"/>
                <w:b w:val="0"/>
                <w:bCs w:val="0"/>
                <w:szCs w:val="21"/>
              </w:rPr>
              <w:t>（3）前后竖板可互换，能实现双面不同的展示风格，适应不同场景下使用。</w:t>
            </w:r>
          </w:p>
          <w:p w14:paraId="370A3629">
            <w:pPr>
              <w:jc w:val="left"/>
              <w:rPr>
                <w:rFonts w:hint="eastAsia" w:ascii="Times New Roman" w:hAnsi="Times New Roman"/>
                <w:b w:val="0"/>
                <w:bCs w:val="0"/>
                <w:szCs w:val="21"/>
              </w:rPr>
            </w:pPr>
            <w:r>
              <w:rPr>
                <w:rFonts w:hint="eastAsia" w:ascii="Times New Roman" w:hAnsi="Times New Roman"/>
                <w:b w:val="0"/>
                <w:bCs w:val="0"/>
                <w:szCs w:val="21"/>
              </w:rPr>
              <w:t>（4）所有螺丝位无毛刺不刮手，边角采用圆边/圆角处理以及安全防撞设计，最大程度的避免儿童磕碰伤害，结构稳固。</w:t>
            </w:r>
          </w:p>
        </w:tc>
      </w:tr>
      <w:tr w14:paraId="0A996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3" w:type="pct"/>
            <w:vMerge w:val="continue"/>
            <w:noWrap w:val="0"/>
            <w:vAlign w:val="center"/>
          </w:tcPr>
          <w:p w14:paraId="29A9B695">
            <w:pPr>
              <w:jc w:val="center"/>
              <w:rPr>
                <w:b/>
                <w:szCs w:val="21"/>
              </w:rPr>
            </w:pPr>
          </w:p>
        </w:tc>
        <w:tc>
          <w:tcPr>
            <w:tcW w:w="440" w:type="pct"/>
            <w:vMerge w:val="continue"/>
            <w:noWrap w:val="0"/>
            <w:vAlign w:val="top"/>
          </w:tcPr>
          <w:p w14:paraId="4A16E273">
            <w:pPr>
              <w:jc w:val="center"/>
              <w:rPr>
                <w:rFonts w:hint="eastAsia" w:ascii="Times New Roman" w:hAnsi="Times New Roman"/>
                <w:szCs w:val="21"/>
              </w:rPr>
            </w:pPr>
          </w:p>
        </w:tc>
        <w:tc>
          <w:tcPr>
            <w:tcW w:w="4225" w:type="pct"/>
            <w:noWrap w:val="0"/>
            <w:vAlign w:val="top"/>
          </w:tcPr>
          <w:p w14:paraId="6160D9F7">
            <w:pPr>
              <w:jc w:val="left"/>
              <w:rPr>
                <w:rFonts w:hint="eastAsia" w:ascii="Times New Roman" w:hAnsi="Times New Roman"/>
                <w:b w:val="0"/>
                <w:bCs w:val="0"/>
                <w:szCs w:val="21"/>
              </w:rPr>
            </w:pPr>
            <w:r>
              <w:rPr>
                <w:rFonts w:hint="eastAsia" w:ascii="Times New Roman" w:hAnsi="Times New Roman"/>
                <w:b w:val="0"/>
                <w:bCs w:val="0"/>
                <w:szCs w:val="21"/>
              </w:rPr>
              <w:t>2、外观结构及材质：</w:t>
            </w:r>
          </w:p>
          <w:p w14:paraId="30E152B1">
            <w:pPr>
              <w:jc w:val="left"/>
              <w:rPr>
                <w:rFonts w:hint="eastAsia" w:ascii="Times New Roman" w:hAnsi="Times New Roman"/>
                <w:b w:val="0"/>
                <w:bCs w:val="0"/>
                <w:szCs w:val="21"/>
              </w:rPr>
            </w:pPr>
            <w:r>
              <w:rPr>
                <w:rFonts w:hint="eastAsia" w:ascii="Times New Roman" w:hAnsi="Times New Roman"/>
                <w:b w:val="0"/>
                <w:bCs w:val="0"/>
                <w:szCs w:val="21"/>
              </w:rPr>
              <w:t>（1）左右侧板双槽设计槽深4.5mm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b w:val="0"/>
                <w:bCs w:val="0"/>
                <w:szCs w:val="21"/>
              </w:rPr>
              <w:t>，宽6mm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b w:val="0"/>
                <w:bCs w:val="0"/>
                <w:szCs w:val="21"/>
              </w:rPr>
              <w:t>，两槽最小间隔38mm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b w:val="0"/>
                <w:bCs w:val="0"/>
                <w:szCs w:val="21"/>
              </w:rPr>
              <w:t>,最大间隔300mm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b w:val="0"/>
                <w:bCs w:val="0"/>
                <w:szCs w:val="21"/>
              </w:rPr>
              <w:t>;可实现灵活抽取双背板，底板前后分别用4个呈浅咖色的塑料一次成型卡扣件，尺寸为25x19x10.5mm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b w:val="0"/>
                <w:bCs w:val="0"/>
                <w:szCs w:val="21"/>
              </w:rPr>
              <w:t>，更好固定背板，安全稳固。</w:t>
            </w:r>
          </w:p>
          <w:p w14:paraId="39F117DC">
            <w:pPr>
              <w:jc w:val="left"/>
              <w:rPr>
                <w:rFonts w:hint="eastAsia" w:ascii="Times New Roman" w:hAnsi="Times New Roman"/>
                <w:b w:val="0"/>
                <w:bCs w:val="0"/>
                <w:szCs w:val="21"/>
              </w:rPr>
            </w:pPr>
            <w:r>
              <w:rPr>
                <w:rFonts w:hint="eastAsia" w:ascii="Times New Roman" w:hAnsi="Times New Roman"/>
                <w:b w:val="0"/>
                <w:bCs w:val="0"/>
                <w:szCs w:val="21"/>
              </w:rPr>
              <w:t>（2）书架A面呈倾斜面，双面搭配塑料一次成型调节支撑条，（共8条）长度165mm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b w:val="0"/>
                <w:bCs w:val="0"/>
                <w:szCs w:val="21"/>
              </w:rPr>
              <w:t>;每卡位间距30mm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b w:val="0"/>
                <w:bCs w:val="0"/>
                <w:szCs w:val="21"/>
              </w:rPr>
              <w:t>，每个调节条之间间隔15mm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b w:val="0"/>
                <w:bCs w:val="0"/>
                <w:szCs w:val="21"/>
              </w:rPr>
              <w:t>;内嵌式安装，固定条凸出11mm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b w:val="0"/>
                <w:bCs w:val="0"/>
                <w:szCs w:val="21"/>
              </w:rPr>
              <w:t>；配套3条书架托条，托条内控860mm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b w:val="0"/>
                <w:bCs w:val="0"/>
                <w:szCs w:val="21"/>
              </w:rPr>
              <w:t>;采用18mm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b w:val="0"/>
                <w:bCs w:val="0"/>
                <w:szCs w:val="21"/>
              </w:rPr>
              <w:t xml:space="preserve">实木多层板两端嵌入塑料一次成型扣件，可固定在塑料支撑条的卡位上，利用两个孔位可实现随意调节高度便于不同尺寸书籍的摆放。 </w:t>
            </w:r>
          </w:p>
          <w:p w14:paraId="042842C3">
            <w:pPr>
              <w:jc w:val="left"/>
              <w:rPr>
                <w:rFonts w:hint="eastAsia" w:ascii="Times New Roman" w:hAnsi="Times New Roman"/>
                <w:b w:val="0"/>
                <w:bCs w:val="0"/>
                <w:szCs w:val="21"/>
              </w:rPr>
            </w:pPr>
            <w:r>
              <w:rPr>
                <w:rFonts w:hint="eastAsia" w:ascii="Times New Roman" w:hAnsi="Times New Roman"/>
                <w:b w:val="0"/>
                <w:bCs w:val="0"/>
                <w:szCs w:val="21"/>
              </w:rPr>
              <w:t>（3）书架B面 呈3层储物格，上格内空尺寸：880x180mm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b w:val="0"/>
                <w:bCs w:val="0"/>
                <w:szCs w:val="21"/>
              </w:rPr>
              <w:t>；中格内空尺寸：880x190mm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b w:val="0"/>
                <w:bCs w:val="0"/>
                <w:szCs w:val="21"/>
              </w:rPr>
              <w:t>；下格内空尺寸：880x230mm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b w:val="0"/>
                <w:bCs w:val="0"/>
                <w:szCs w:val="21"/>
              </w:rPr>
              <w:t>。</w:t>
            </w:r>
          </w:p>
          <w:p w14:paraId="15B55F86">
            <w:pPr>
              <w:jc w:val="left"/>
              <w:rPr>
                <w:rFonts w:hint="eastAsia" w:ascii="Times New Roman" w:hAnsi="Times New Roman"/>
                <w:b w:val="0"/>
                <w:bCs w:val="0"/>
                <w:szCs w:val="21"/>
              </w:rPr>
            </w:pPr>
            <w:r>
              <w:rPr>
                <w:rFonts w:hint="eastAsia" w:ascii="Times New Roman" w:hAnsi="Times New Roman"/>
                <w:b w:val="0"/>
                <w:bCs w:val="0"/>
                <w:szCs w:val="21"/>
              </w:rPr>
              <w:t>（4）前后竖板一块为厚度5mm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b w:val="0"/>
                <w:bCs w:val="0"/>
                <w:szCs w:val="21"/>
              </w:rPr>
              <w:t>亚克力板，一块为厚度5mm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b w:val="0"/>
                <w:bCs w:val="0"/>
                <w:szCs w:val="21"/>
              </w:rPr>
              <w:t>实木纤维板，通过书架的导槽进行固定，竖板能提取前后互换使用。</w:t>
            </w:r>
          </w:p>
          <w:p w14:paraId="4473C6CF">
            <w:pPr>
              <w:jc w:val="left"/>
              <w:rPr>
                <w:rFonts w:hint="eastAsia" w:ascii="Times New Roman" w:hAnsi="Times New Roman"/>
                <w:b w:val="0"/>
                <w:bCs w:val="0"/>
                <w:szCs w:val="21"/>
              </w:rPr>
            </w:pPr>
            <w:r>
              <w:rPr>
                <w:rFonts w:hint="eastAsia" w:ascii="Times New Roman" w:hAnsi="Times New Roman"/>
                <w:b w:val="0"/>
                <w:bCs w:val="0"/>
                <w:szCs w:val="21"/>
              </w:rPr>
              <w:t>（5）围脚：柜体与底部围脚采用材质的塑料连接件实现翻板功能，脚轮为静音万向轮，安装在围脚侧板内，当家具固定时，围脚侧板向下翻，万向轮则隐藏于侧板内；当家具需要移动时，围脚侧板向上翻，塑料连接件卡扣对侧板进行固定，万向轮支撑起家具的重量，无须抬起轻松实现家具位置转移。</w:t>
            </w:r>
          </w:p>
          <w:p w14:paraId="0F702577">
            <w:pPr>
              <w:jc w:val="left"/>
              <w:rPr>
                <w:rFonts w:hint="eastAsia" w:ascii="Times New Roman" w:hAnsi="Times New Roman"/>
                <w:b w:val="0"/>
                <w:bCs w:val="0"/>
                <w:szCs w:val="21"/>
              </w:rPr>
            </w:pPr>
            <w:r>
              <w:rPr>
                <w:rFonts w:hint="eastAsia" w:ascii="Times New Roman" w:hAnsi="Times New Roman"/>
                <w:b w:val="0"/>
                <w:bCs w:val="0"/>
                <w:szCs w:val="21"/>
              </w:rPr>
              <w:t>（7）油漆：采用的水性漆，全封闭涂装工艺，漆面光泽高透，颜色均匀。</w:t>
            </w:r>
          </w:p>
        </w:tc>
      </w:tr>
      <w:tr w14:paraId="77750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3" w:type="pct"/>
            <w:vMerge w:val="restart"/>
            <w:noWrap w:val="0"/>
            <w:vAlign w:val="center"/>
          </w:tcPr>
          <w:p w14:paraId="6727FCCF">
            <w:pPr>
              <w:keepNext w:val="0"/>
              <w:keepLines w:val="0"/>
              <w:widowControl/>
              <w:suppressLineNumbers w:val="0"/>
              <w:jc w:val="center"/>
              <w:textAlignment w:val="center"/>
              <w:rPr>
                <w:b/>
                <w:szCs w:val="21"/>
              </w:rPr>
            </w:pPr>
            <w:r>
              <w:rPr>
                <w:rFonts w:hint="default" w:ascii="Arial" w:hAnsi="Arial" w:eastAsia="宋体" w:cs="Arial"/>
                <w:i w:val="0"/>
                <w:iCs w:val="0"/>
                <w:color w:val="000000"/>
                <w:kern w:val="0"/>
                <w:sz w:val="20"/>
                <w:szCs w:val="20"/>
                <w:u w:val="none"/>
                <w:lang w:val="en-US" w:eastAsia="zh-CN" w:bidi="ar"/>
              </w:rPr>
              <w:t xml:space="preserve">81 </w:t>
            </w:r>
          </w:p>
        </w:tc>
        <w:tc>
          <w:tcPr>
            <w:tcW w:w="440" w:type="pct"/>
            <w:vMerge w:val="restart"/>
            <w:noWrap w:val="0"/>
            <w:vAlign w:val="center"/>
          </w:tcPr>
          <w:p w14:paraId="566F9F27">
            <w:pPr>
              <w:keepNext w:val="0"/>
              <w:keepLines w:val="0"/>
              <w:widowControl/>
              <w:suppressLineNumbers w:val="0"/>
              <w:jc w:val="center"/>
              <w:textAlignment w:val="center"/>
              <w:rPr>
                <w:rFonts w:hint="eastAsia" w:ascii="Times New Roman" w:hAnsi="Times New Roman"/>
                <w:szCs w:val="21"/>
              </w:rPr>
            </w:pPr>
            <w:r>
              <w:rPr>
                <w:rFonts w:hint="eastAsia" w:ascii="宋体" w:hAnsi="宋体" w:eastAsia="宋体" w:cs="宋体"/>
                <w:i w:val="0"/>
                <w:iCs w:val="0"/>
                <w:color w:val="000000"/>
                <w:kern w:val="0"/>
                <w:sz w:val="20"/>
                <w:szCs w:val="20"/>
                <w:u w:val="none"/>
                <w:lang w:val="en-US" w:eastAsia="zh-CN" w:bidi="ar"/>
              </w:rPr>
              <w:t>松树铁艺移动收纳架</w:t>
            </w:r>
          </w:p>
        </w:tc>
        <w:tc>
          <w:tcPr>
            <w:tcW w:w="4225" w:type="pct"/>
            <w:noWrap w:val="0"/>
            <w:vAlign w:val="center"/>
          </w:tcPr>
          <w:p w14:paraId="4851AAF1">
            <w:pPr>
              <w:jc w:val="left"/>
              <w:rPr>
                <w:rFonts w:hint="eastAsia" w:ascii="Times New Roman" w:hAnsi="Times New Roman"/>
                <w:b w:val="0"/>
                <w:bCs w:val="0"/>
                <w:szCs w:val="21"/>
              </w:rPr>
            </w:pPr>
            <w:r>
              <w:rPr>
                <w:rFonts w:hint="eastAsia" w:ascii="Times New Roman" w:hAnsi="Times New Roman"/>
                <w:b w:val="0"/>
                <w:bCs w:val="0"/>
                <w:szCs w:val="21"/>
              </w:rPr>
              <w:t>规格：L70xW40xH130cm（±3cm）</w:t>
            </w:r>
          </w:p>
        </w:tc>
      </w:tr>
      <w:tr w14:paraId="4F8D6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3" w:type="pct"/>
            <w:vMerge w:val="continue"/>
            <w:noWrap w:val="0"/>
            <w:vAlign w:val="center"/>
          </w:tcPr>
          <w:p w14:paraId="6FFDD3EB">
            <w:pPr>
              <w:jc w:val="center"/>
              <w:rPr>
                <w:b/>
                <w:szCs w:val="21"/>
              </w:rPr>
            </w:pPr>
          </w:p>
        </w:tc>
        <w:tc>
          <w:tcPr>
            <w:tcW w:w="440" w:type="pct"/>
            <w:vMerge w:val="continue"/>
            <w:noWrap w:val="0"/>
            <w:vAlign w:val="top"/>
          </w:tcPr>
          <w:p w14:paraId="53CDB2DB">
            <w:pPr>
              <w:jc w:val="center"/>
              <w:rPr>
                <w:rFonts w:hint="eastAsia" w:ascii="Times New Roman" w:hAnsi="Times New Roman"/>
                <w:szCs w:val="21"/>
              </w:rPr>
            </w:pPr>
          </w:p>
        </w:tc>
        <w:tc>
          <w:tcPr>
            <w:tcW w:w="4225" w:type="pct"/>
            <w:noWrap w:val="0"/>
            <w:vAlign w:val="top"/>
          </w:tcPr>
          <w:p w14:paraId="39FC8FB5">
            <w:pPr>
              <w:jc w:val="left"/>
              <w:rPr>
                <w:rFonts w:hint="eastAsia" w:ascii="Times New Roman" w:hAnsi="Times New Roman"/>
                <w:b w:val="0"/>
                <w:bCs w:val="0"/>
                <w:szCs w:val="21"/>
              </w:rPr>
            </w:pPr>
            <w:r>
              <w:rPr>
                <w:rFonts w:hint="eastAsia" w:ascii="Times New Roman" w:hAnsi="Times New Roman"/>
                <w:b w:val="0"/>
                <w:bCs w:val="0"/>
                <w:szCs w:val="21"/>
              </w:rPr>
              <w:t>1、工艺设计：</w:t>
            </w:r>
          </w:p>
          <w:p w14:paraId="45B6D70D">
            <w:pPr>
              <w:jc w:val="left"/>
              <w:rPr>
                <w:rFonts w:hint="eastAsia" w:ascii="Times New Roman" w:hAnsi="Times New Roman"/>
                <w:b w:val="0"/>
                <w:bCs w:val="0"/>
                <w:szCs w:val="21"/>
              </w:rPr>
            </w:pPr>
            <w:r>
              <w:rPr>
                <w:rFonts w:hint="eastAsia" w:ascii="Times New Roman" w:hAnsi="Times New Roman"/>
                <w:b w:val="0"/>
                <w:bCs w:val="0"/>
                <w:szCs w:val="21"/>
              </w:rPr>
              <w:t>（1）铁艺推车3层大储物空间松树造型设计元素，带轮移动便捷。</w:t>
            </w:r>
          </w:p>
          <w:p w14:paraId="62034ABD">
            <w:pPr>
              <w:jc w:val="left"/>
              <w:rPr>
                <w:rFonts w:hint="eastAsia" w:ascii="Times New Roman" w:hAnsi="Times New Roman"/>
                <w:b w:val="0"/>
                <w:bCs w:val="0"/>
                <w:szCs w:val="21"/>
              </w:rPr>
            </w:pPr>
            <w:r>
              <w:rPr>
                <w:rFonts w:hint="eastAsia" w:ascii="Times New Roman" w:hAnsi="Times New Roman"/>
                <w:b w:val="0"/>
                <w:bCs w:val="0"/>
                <w:szCs w:val="21"/>
              </w:rPr>
              <w:t>（2）铁质表面采用静电粉末喷涂工艺，圆润光滑，防腐抗锈，坚固耐用。</w:t>
            </w:r>
          </w:p>
          <w:p w14:paraId="5F158097">
            <w:pPr>
              <w:jc w:val="left"/>
              <w:rPr>
                <w:rFonts w:hint="eastAsia" w:ascii="Times New Roman" w:hAnsi="Times New Roman"/>
                <w:b w:val="0"/>
                <w:bCs w:val="0"/>
                <w:szCs w:val="21"/>
              </w:rPr>
            </w:pPr>
            <w:r>
              <w:rPr>
                <w:rFonts w:hint="eastAsia" w:ascii="Times New Roman" w:hAnsi="Times New Roman"/>
                <w:b w:val="0"/>
                <w:bCs w:val="0"/>
                <w:szCs w:val="21"/>
              </w:rPr>
              <w:t>（3）所有螺丝位无毛刺不刮手，边角采用圆边/圆角处理以及安全防撞设计，最大程度的避免儿童磕碰伤害，结构稳固。</w:t>
            </w:r>
          </w:p>
        </w:tc>
      </w:tr>
      <w:tr w14:paraId="688C6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3" w:type="pct"/>
            <w:vMerge w:val="continue"/>
            <w:noWrap w:val="0"/>
            <w:vAlign w:val="center"/>
          </w:tcPr>
          <w:p w14:paraId="0ACB7CF6">
            <w:pPr>
              <w:jc w:val="center"/>
              <w:rPr>
                <w:b/>
                <w:szCs w:val="21"/>
              </w:rPr>
            </w:pPr>
          </w:p>
        </w:tc>
        <w:tc>
          <w:tcPr>
            <w:tcW w:w="440" w:type="pct"/>
            <w:vMerge w:val="continue"/>
            <w:noWrap w:val="0"/>
            <w:vAlign w:val="top"/>
          </w:tcPr>
          <w:p w14:paraId="39C6F5BC">
            <w:pPr>
              <w:jc w:val="center"/>
              <w:rPr>
                <w:rFonts w:hint="eastAsia" w:ascii="Times New Roman" w:hAnsi="Times New Roman"/>
                <w:szCs w:val="21"/>
              </w:rPr>
            </w:pPr>
          </w:p>
        </w:tc>
        <w:tc>
          <w:tcPr>
            <w:tcW w:w="4225" w:type="pct"/>
            <w:noWrap w:val="0"/>
            <w:vAlign w:val="top"/>
          </w:tcPr>
          <w:p w14:paraId="6CCFE103">
            <w:pPr>
              <w:jc w:val="left"/>
              <w:rPr>
                <w:rFonts w:hint="eastAsia" w:ascii="Times New Roman" w:hAnsi="Times New Roman"/>
                <w:b w:val="0"/>
                <w:bCs w:val="0"/>
                <w:szCs w:val="21"/>
              </w:rPr>
            </w:pPr>
            <w:r>
              <w:rPr>
                <w:rFonts w:hint="eastAsia" w:ascii="Times New Roman" w:hAnsi="Times New Roman"/>
                <w:b w:val="0"/>
                <w:bCs w:val="0"/>
                <w:szCs w:val="21"/>
              </w:rPr>
              <w:t>2、外观结构及材质：</w:t>
            </w:r>
          </w:p>
          <w:p w14:paraId="16F3B578">
            <w:pPr>
              <w:jc w:val="left"/>
              <w:rPr>
                <w:rFonts w:hint="eastAsia" w:ascii="Times New Roman" w:hAnsi="Times New Roman"/>
                <w:b w:val="0"/>
                <w:bCs w:val="0"/>
                <w:szCs w:val="21"/>
              </w:rPr>
            </w:pPr>
            <w:r>
              <w:rPr>
                <w:rFonts w:hint="eastAsia" w:ascii="Times New Roman" w:hAnsi="Times New Roman"/>
                <w:b w:val="0"/>
                <w:bCs w:val="0"/>
                <w:szCs w:val="21"/>
              </w:rPr>
              <w:t>（1）采用冷轧铁艺，φ25mm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b w:val="0"/>
                <w:bCs w:val="0"/>
                <w:szCs w:val="21"/>
              </w:rPr>
              <w:t>铁管，表面采用静电粉末喷涂工艺，呈草绿色，共3层收纳空间；树形下方配置一块铁艺洞洞板尺寸为547x347mm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b w:val="0"/>
                <w:bCs w:val="0"/>
                <w:szCs w:val="21"/>
              </w:rPr>
              <w:t>，配套L75xW65xH110mm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b w:val="0"/>
                <w:bCs w:val="0"/>
                <w:szCs w:val="21"/>
              </w:rPr>
              <w:t>铁艺笔筒2个，铁艺文件夹2个。</w:t>
            </w:r>
          </w:p>
          <w:p w14:paraId="1DF6072D">
            <w:pPr>
              <w:jc w:val="left"/>
              <w:rPr>
                <w:rFonts w:hint="eastAsia" w:ascii="Times New Roman" w:hAnsi="Times New Roman"/>
                <w:b w:val="0"/>
                <w:bCs w:val="0"/>
                <w:kern w:val="2"/>
                <w:sz w:val="21"/>
                <w:szCs w:val="21"/>
                <w:lang w:val="en-US" w:eastAsia="zh-CN" w:bidi="ar-SA"/>
              </w:rPr>
            </w:pPr>
            <w:r>
              <w:rPr>
                <w:rFonts w:hint="eastAsia" w:ascii="Times New Roman" w:hAnsi="Times New Roman"/>
                <w:b w:val="0"/>
                <w:bCs w:val="0"/>
                <w:szCs w:val="21"/>
              </w:rPr>
              <w:t>（2）底部安装4个万向脚轮，脚轮运行平稳无声，可360°旋转，转动顺滑。</w:t>
            </w:r>
          </w:p>
        </w:tc>
      </w:tr>
      <w:tr w14:paraId="41337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3" w:type="pct"/>
            <w:vMerge w:val="continue"/>
            <w:noWrap w:val="0"/>
            <w:vAlign w:val="center"/>
          </w:tcPr>
          <w:p w14:paraId="72DA36B3">
            <w:pPr>
              <w:jc w:val="center"/>
              <w:rPr>
                <w:b/>
                <w:szCs w:val="21"/>
              </w:rPr>
            </w:pPr>
          </w:p>
        </w:tc>
        <w:tc>
          <w:tcPr>
            <w:tcW w:w="440" w:type="pct"/>
            <w:vMerge w:val="continue"/>
            <w:noWrap w:val="0"/>
            <w:vAlign w:val="top"/>
          </w:tcPr>
          <w:p w14:paraId="0202712B">
            <w:pPr>
              <w:jc w:val="center"/>
              <w:rPr>
                <w:rFonts w:hint="eastAsia" w:ascii="Times New Roman" w:hAnsi="Times New Roman"/>
                <w:szCs w:val="21"/>
              </w:rPr>
            </w:pPr>
          </w:p>
        </w:tc>
        <w:tc>
          <w:tcPr>
            <w:tcW w:w="4225" w:type="pct"/>
            <w:noWrap w:val="0"/>
            <w:vAlign w:val="top"/>
          </w:tcPr>
          <w:p w14:paraId="046B3F26">
            <w:pPr>
              <w:jc w:val="left"/>
              <w:rPr>
                <w:rFonts w:hint="eastAsia"/>
                <w:b/>
                <w:bCs/>
                <w:color w:val="FF0000"/>
                <w:highlight w:val="yellow"/>
              </w:rPr>
            </w:pPr>
            <w:r>
              <w:rPr>
                <w:rFonts w:hint="eastAsia"/>
                <w:color w:val="FF0000"/>
                <w:highlight w:val="none"/>
              </w:rPr>
              <w:t>▲</w:t>
            </w:r>
            <w:r>
              <w:rPr>
                <w:rFonts w:hint="eastAsia"/>
                <w:b/>
                <w:bCs/>
                <w:color w:val="FF0000"/>
                <w:highlight w:val="none"/>
              </w:rPr>
              <w:t>成品铁艺移动收纳架符合GB/T 3325-2024、GB/T 10125-2021、QB/T 3832-1999标准的合格检测报告，检测项目要求：产品外观性能要求（金属件：管材、电镀件、焊接件、冲压件、喷漆(塑)涂层，塑料件，配件、活动部件，可触及区域），产品安全性能要求（基本结构安全、孔及间隙），产品表面理化性能（硬度、冲击强度、耐盐浴、附着力），力学性能（顶板和底板静载荷试验、结构，底架和/或腿强度试验、跌落试验、脚轮往复试验）符合标准要求，乙酸盐雾连续喷雾≥48H后涂层本身的耐腐蚀等级≥10级，涂层对基本的保护等级≥10级。</w:t>
            </w:r>
          </w:p>
          <w:p w14:paraId="0F1B1004">
            <w:pPr>
              <w:jc w:val="left"/>
              <w:rPr>
                <w:rFonts w:hint="eastAsia"/>
              </w:rPr>
            </w:pPr>
            <w:r>
              <w:rPr>
                <w:rFonts w:hint="eastAsia"/>
                <w:b/>
                <w:bCs/>
                <w:color w:val="FF0000"/>
                <w:highlight w:val="yellow"/>
                <w:lang w:val="en-US" w:eastAsia="zh-CN"/>
              </w:rPr>
              <w:t>提供由投标截止前由第三方检验检测机构出具的具有CMA标志的检验检测报告扫描件（原件备查）。（①送检单位（委托单位）需是投标人或所投产品制造商。②检验检测报告在全国认证认可信息公共服务平台(认e云)(http://cx.cnca.cn/)或检验检测官网的信息査询记录截图。③若检测报告要求的检测标准有更新的标准也予以认可。④对应参数(检验检测项)在检验检测报告中进行标注；如检验检测报告中明确备注说明相关检验检测项不在检验检测机构“CMA”资质许可(认定)范围内的，相关检验检测项视为负偏离。）</w:t>
            </w:r>
          </w:p>
        </w:tc>
      </w:tr>
      <w:tr w14:paraId="42873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3" w:type="pct"/>
            <w:vMerge w:val="restart"/>
            <w:noWrap w:val="0"/>
            <w:vAlign w:val="center"/>
          </w:tcPr>
          <w:p w14:paraId="2009B82B">
            <w:pPr>
              <w:keepNext w:val="0"/>
              <w:keepLines w:val="0"/>
              <w:widowControl/>
              <w:suppressLineNumbers w:val="0"/>
              <w:jc w:val="center"/>
              <w:textAlignment w:val="center"/>
              <w:rPr>
                <w:b/>
                <w:szCs w:val="21"/>
              </w:rPr>
            </w:pPr>
            <w:r>
              <w:rPr>
                <w:rFonts w:hint="default" w:ascii="Arial" w:hAnsi="Arial" w:eastAsia="宋体" w:cs="Arial"/>
                <w:i w:val="0"/>
                <w:iCs w:val="0"/>
                <w:color w:val="000000"/>
                <w:kern w:val="0"/>
                <w:sz w:val="20"/>
                <w:szCs w:val="20"/>
                <w:u w:val="none"/>
                <w:lang w:val="en-US" w:eastAsia="zh-CN" w:bidi="ar"/>
              </w:rPr>
              <w:t xml:space="preserve">82 </w:t>
            </w:r>
          </w:p>
        </w:tc>
        <w:tc>
          <w:tcPr>
            <w:tcW w:w="440" w:type="pct"/>
            <w:vMerge w:val="restart"/>
            <w:noWrap w:val="0"/>
            <w:vAlign w:val="center"/>
          </w:tcPr>
          <w:p w14:paraId="1E23F636">
            <w:pPr>
              <w:keepNext w:val="0"/>
              <w:keepLines w:val="0"/>
              <w:widowControl/>
              <w:suppressLineNumbers w:val="0"/>
              <w:jc w:val="center"/>
              <w:textAlignment w:val="center"/>
              <w:rPr>
                <w:rFonts w:hint="eastAsia" w:ascii="Times New Roman" w:hAnsi="Times New Roman"/>
                <w:szCs w:val="21"/>
              </w:rPr>
            </w:pPr>
            <w:r>
              <w:rPr>
                <w:rFonts w:hint="eastAsia" w:ascii="宋体" w:hAnsi="宋体" w:eastAsia="宋体" w:cs="宋体"/>
                <w:i w:val="0"/>
                <w:iCs w:val="0"/>
                <w:color w:val="000000"/>
                <w:kern w:val="0"/>
                <w:sz w:val="20"/>
                <w:szCs w:val="20"/>
                <w:u w:val="none"/>
                <w:lang w:val="en-US" w:eastAsia="zh-CN" w:bidi="ar"/>
              </w:rPr>
              <w:t>月亮桌.可调节</w:t>
            </w:r>
          </w:p>
        </w:tc>
        <w:tc>
          <w:tcPr>
            <w:tcW w:w="4225" w:type="pct"/>
            <w:noWrap w:val="0"/>
            <w:vAlign w:val="center"/>
          </w:tcPr>
          <w:p w14:paraId="01F341D6">
            <w:pPr>
              <w:jc w:val="left"/>
              <w:rPr>
                <w:rFonts w:hint="eastAsia" w:ascii="Times New Roman" w:hAnsi="Times New Roman"/>
                <w:b w:val="0"/>
                <w:bCs w:val="0"/>
                <w:szCs w:val="21"/>
              </w:rPr>
            </w:pPr>
            <w:r>
              <w:rPr>
                <w:rFonts w:hint="eastAsia" w:ascii="Times New Roman" w:hAnsi="Times New Roman"/>
                <w:b w:val="0"/>
                <w:bCs w:val="0"/>
                <w:szCs w:val="21"/>
              </w:rPr>
              <w:t>规格：L120xW60xH49/52/55cm（±3cm） 可调节高度</w:t>
            </w:r>
          </w:p>
        </w:tc>
      </w:tr>
      <w:tr w14:paraId="090F0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3" w:type="pct"/>
            <w:vMerge w:val="continue"/>
            <w:noWrap w:val="0"/>
            <w:vAlign w:val="center"/>
          </w:tcPr>
          <w:p w14:paraId="747691B5">
            <w:pPr>
              <w:jc w:val="center"/>
              <w:rPr>
                <w:b/>
                <w:szCs w:val="21"/>
              </w:rPr>
            </w:pPr>
          </w:p>
        </w:tc>
        <w:tc>
          <w:tcPr>
            <w:tcW w:w="440" w:type="pct"/>
            <w:vMerge w:val="continue"/>
            <w:noWrap w:val="0"/>
            <w:vAlign w:val="top"/>
          </w:tcPr>
          <w:p w14:paraId="204508F5">
            <w:pPr>
              <w:jc w:val="center"/>
              <w:rPr>
                <w:rFonts w:hint="eastAsia" w:ascii="Times New Roman" w:hAnsi="Times New Roman"/>
                <w:szCs w:val="21"/>
              </w:rPr>
            </w:pPr>
          </w:p>
        </w:tc>
        <w:tc>
          <w:tcPr>
            <w:tcW w:w="4225" w:type="pct"/>
            <w:noWrap w:val="0"/>
            <w:vAlign w:val="top"/>
          </w:tcPr>
          <w:p w14:paraId="110DBB24">
            <w:pPr>
              <w:jc w:val="left"/>
              <w:rPr>
                <w:rFonts w:hint="eastAsia" w:ascii="Times New Roman" w:hAnsi="Times New Roman"/>
                <w:b w:val="0"/>
                <w:bCs w:val="0"/>
                <w:szCs w:val="21"/>
              </w:rPr>
            </w:pPr>
            <w:r>
              <w:rPr>
                <w:rFonts w:hint="eastAsia" w:ascii="Times New Roman" w:hAnsi="Times New Roman"/>
                <w:b w:val="0"/>
                <w:bCs w:val="0"/>
                <w:szCs w:val="21"/>
              </w:rPr>
              <w:t>1、工艺设计：</w:t>
            </w:r>
          </w:p>
          <w:p w14:paraId="5EEDE274">
            <w:pPr>
              <w:jc w:val="left"/>
              <w:rPr>
                <w:rFonts w:hint="eastAsia" w:ascii="Times New Roman" w:hAnsi="Times New Roman"/>
                <w:b w:val="0"/>
                <w:bCs w:val="0"/>
                <w:szCs w:val="21"/>
              </w:rPr>
            </w:pPr>
            <w:r>
              <w:rPr>
                <w:rFonts w:hint="eastAsia" w:ascii="Times New Roman" w:hAnsi="Times New Roman"/>
                <w:b w:val="0"/>
                <w:bCs w:val="0"/>
                <w:szCs w:val="21"/>
              </w:rPr>
              <w:t>（1）桌面背面设置有4个塑料连接件，桌脚使用螺旋安装方式与桌面连接，方便拆卸。</w:t>
            </w:r>
          </w:p>
          <w:p w14:paraId="6883DCC1">
            <w:pPr>
              <w:jc w:val="left"/>
              <w:rPr>
                <w:rFonts w:hint="eastAsia" w:ascii="Times New Roman" w:hAnsi="Times New Roman"/>
                <w:b w:val="0"/>
                <w:bCs w:val="0"/>
                <w:szCs w:val="21"/>
              </w:rPr>
            </w:pPr>
            <w:r>
              <w:rPr>
                <w:rFonts w:hint="eastAsia" w:ascii="Times New Roman" w:hAnsi="Times New Roman"/>
                <w:b w:val="0"/>
                <w:bCs w:val="0"/>
                <w:szCs w:val="21"/>
              </w:rPr>
              <w:t>（2）桌脚底部安装可调节塑料件，可通过调整塑料件的数量来改变桌面的整体高度。</w:t>
            </w:r>
          </w:p>
          <w:p w14:paraId="3CDA4A88">
            <w:pPr>
              <w:jc w:val="left"/>
              <w:rPr>
                <w:rFonts w:hint="eastAsia" w:ascii="Times New Roman" w:hAnsi="Times New Roman"/>
                <w:b w:val="0"/>
                <w:bCs w:val="0"/>
                <w:szCs w:val="21"/>
              </w:rPr>
            </w:pPr>
            <w:r>
              <w:rPr>
                <w:rFonts w:hint="eastAsia" w:ascii="Times New Roman" w:hAnsi="Times New Roman"/>
                <w:b w:val="0"/>
                <w:bCs w:val="0"/>
                <w:szCs w:val="21"/>
              </w:rPr>
              <w:t>（3）所有螺丝位无毛刺不刮手，桌角及边沿采用圆角/圆边处理以及安全防撞设计，最大程度的避免儿童磕碰伤害，结构稳固。</w:t>
            </w:r>
          </w:p>
        </w:tc>
      </w:tr>
      <w:tr w14:paraId="1EA1F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3" w:type="pct"/>
            <w:vMerge w:val="continue"/>
            <w:noWrap w:val="0"/>
            <w:vAlign w:val="center"/>
          </w:tcPr>
          <w:p w14:paraId="4D5FD6EB">
            <w:pPr>
              <w:jc w:val="center"/>
              <w:rPr>
                <w:b/>
                <w:szCs w:val="21"/>
              </w:rPr>
            </w:pPr>
          </w:p>
        </w:tc>
        <w:tc>
          <w:tcPr>
            <w:tcW w:w="440" w:type="pct"/>
            <w:vMerge w:val="continue"/>
            <w:noWrap w:val="0"/>
            <w:vAlign w:val="top"/>
          </w:tcPr>
          <w:p w14:paraId="422AF02C">
            <w:pPr>
              <w:jc w:val="center"/>
              <w:rPr>
                <w:rFonts w:hint="eastAsia" w:ascii="Times New Roman" w:hAnsi="Times New Roman"/>
                <w:szCs w:val="21"/>
              </w:rPr>
            </w:pPr>
          </w:p>
        </w:tc>
        <w:tc>
          <w:tcPr>
            <w:tcW w:w="4225" w:type="pct"/>
            <w:noWrap w:val="0"/>
            <w:vAlign w:val="top"/>
          </w:tcPr>
          <w:p w14:paraId="64A5E84D">
            <w:pPr>
              <w:jc w:val="left"/>
              <w:rPr>
                <w:rFonts w:hint="eastAsia" w:ascii="Times New Roman" w:hAnsi="Times New Roman"/>
                <w:b w:val="0"/>
                <w:bCs w:val="0"/>
                <w:szCs w:val="21"/>
              </w:rPr>
            </w:pPr>
            <w:r>
              <w:rPr>
                <w:rFonts w:hint="eastAsia" w:ascii="Times New Roman" w:hAnsi="Times New Roman"/>
                <w:b w:val="0"/>
                <w:bCs w:val="0"/>
                <w:szCs w:val="21"/>
              </w:rPr>
              <w:t>2、外观结构及材质：</w:t>
            </w:r>
          </w:p>
          <w:p w14:paraId="108906B3">
            <w:pPr>
              <w:jc w:val="left"/>
              <w:rPr>
                <w:rFonts w:hint="eastAsia" w:ascii="Times New Roman" w:hAnsi="Times New Roman"/>
                <w:b w:val="0"/>
                <w:bCs w:val="0"/>
                <w:szCs w:val="21"/>
              </w:rPr>
            </w:pPr>
            <w:r>
              <w:rPr>
                <w:rFonts w:hint="eastAsia" w:ascii="Times New Roman" w:hAnsi="Times New Roman"/>
                <w:b w:val="0"/>
                <w:bCs w:val="0"/>
                <w:szCs w:val="21"/>
              </w:rPr>
              <w:t>（1）桌面：采用厚度24mm</w:t>
            </w:r>
            <w:r>
              <w:rPr>
                <w:rFonts w:hint="eastAsia" w:ascii="Times New Roman" w:hAnsi="Times New Roman"/>
                <w:b w:val="0"/>
                <w:bCs w:val="0"/>
                <w:szCs w:val="21"/>
                <w:lang w:eastAsia="zh-CN"/>
              </w:rPr>
              <w:t>（</w:t>
            </w:r>
            <w:r>
              <w:rPr>
                <w:rFonts w:hint="eastAsia" w:ascii="Times New Roman" w:hAnsi="Times New Roman"/>
                <w:b w:val="0"/>
                <w:bCs w:val="0"/>
                <w:szCs w:val="21"/>
                <w:lang w:val="en-US" w:eastAsia="zh-CN"/>
              </w:rPr>
              <w:t>±3mm</w:t>
            </w:r>
            <w:r>
              <w:rPr>
                <w:rFonts w:hint="eastAsia" w:ascii="Times New Roman" w:hAnsi="Times New Roman"/>
                <w:b w:val="0"/>
                <w:bCs w:val="0"/>
                <w:szCs w:val="21"/>
                <w:lang w:eastAsia="zh-CN"/>
              </w:rPr>
              <w:t>）</w:t>
            </w:r>
            <w:r>
              <w:rPr>
                <w:rFonts w:hint="eastAsia" w:ascii="Times New Roman" w:hAnsi="Times New Roman"/>
                <w:b w:val="0"/>
                <w:bCs w:val="0"/>
                <w:szCs w:val="21"/>
              </w:rPr>
              <w:t>的实木多层板，桌面与桌脚链接安装4个塑料一次成型尺寸为L187xW150xH66mm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b w:val="0"/>
                <w:bCs w:val="0"/>
                <w:szCs w:val="21"/>
              </w:rPr>
              <w:t>的扇形脚座连接件，脚座设置一个外直径50mm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b w:val="0"/>
                <w:bCs w:val="0"/>
                <w:szCs w:val="21"/>
              </w:rPr>
              <w:t>连接桌脚，呈浅咖色，表面光滑无毛刺，线条圆润，桌脚直接螺旋拧上即完成安装，既省时省力又提高产品的互换性，延长使用寿命。</w:t>
            </w:r>
          </w:p>
          <w:p w14:paraId="0102EBE5">
            <w:pPr>
              <w:jc w:val="left"/>
              <w:rPr>
                <w:rFonts w:hint="eastAsia" w:ascii="Times New Roman" w:hAnsi="Times New Roman"/>
                <w:b w:val="0"/>
                <w:bCs w:val="0"/>
                <w:szCs w:val="21"/>
              </w:rPr>
            </w:pPr>
            <w:r>
              <w:rPr>
                <w:rFonts w:hint="eastAsia" w:ascii="Times New Roman" w:hAnsi="Times New Roman"/>
                <w:b w:val="0"/>
                <w:bCs w:val="0"/>
                <w:szCs w:val="21"/>
              </w:rPr>
              <w:t>（2）桌脚：采用直径φ48mm</w:t>
            </w:r>
            <w:r>
              <w:rPr>
                <w:rFonts w:hint="eastAsia" w:ascii="Times New Roman" w:hAnsi="Times New Roman"/>
                <w:b w:val="0"/>
                <w:bCs w:val="0"/>
                <w:szCs w:val="21"/>
                <w:lang w:eastAsia="zh-CN"/>
              </w:rPr>
              <w:t>（</w:t>
            </w:r>
            <w:r>
              <w:rPr>
                <w:rFonts w:hint="eastAsia" w:ascii="Times New Roman" w:hAnsi="Times New Roman"/>
                <w:b w:val="0"/>
                <w:bCs w:val="0"/>
                <w:szCs w:val="21"/>
                <w:lang w:val="en-US" w:eastAsia="zh-CN"/>
              </w:rPr>
              <w:t>±3mm</w:t>
            </w:r>
            <w:r>
              <w:rPr>
                <w:rFonts w:hint="eastAsia" w:ascii="Times New Roman" w:hAnsi="Times New Roman"/>
                <w:b w:val="0"/>
                <w:bCs w:val="0"/>
                <w:szCs w:val="21"/>
                <w:lang w:eastAsia="zh-CN"/>
              </w:rPr>
              <w:t>）</w:t>
            </w:r>
            <w:r>
              <w:rPr>
                <w:rFonts w:hint="eastAsia" w:ascii="Times New Roman" w:hAnsi="Times New Roman"/>
                <w:b w:val="0"/>
                <w:bCs w:val="0"/>
                <w:szCs w:val="21"/>
              </w:rPr>
              <w:t>的桦木原木搭配浅咖色塑料调节脚套环，螺旋结构方便调节，每个脚套环规格为φ48xH55mm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b w:val="0"/>
                <w:bCs w:val="0"/>
                <w:szCs w:val="21"/>
              </w:rPr>
              <w:t>，选择安装不同的数量可满足不同的高度需求，可调高度为490/520/550mm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b w:val="0"/>
                <w:bCs w:val="0"/>
                <w:szCs w:val="21"/>
              </w:rPr>
              <w:t>；桌脚底部是直径62mm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b w:val="0"/>
                <w:bCs w:val="0"/>
                <w:szCs w:val="21"/>
              </w:rPr>
              <w:t>高度40mm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b w:val="0"/>
                <w:bCs w:val="0"/>
                <w:szCs w:val="21"/>
              </w:rPr>
              <w:t>的塑料脚垫，脚垫底部安装可调螺旋塑料脚垫直径39.5mm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b w:val="0"/>
                <w:bCs w:val="0"/>
                <w:szCs w:val="21"/>
              </w:rPr>
              <w:t>，可适应个别不平整的地面。</w:t>
            </w:r>
          </w:p>
          <w:p w14:paraId="7134CFD0">
            <w:pPr>
              <w:jc w:val="left"/>
              <w:rPr>
                <w:rFonts w:hint="eastAsia" w:ascii="Times New Roman" w:hAnsi="Times New Roman"/>
                <w:b w:val="0"/>
                <w:bCs w:val="0"/>
                <w:kern w:val="2"/>
                <w:sz w:val="21"/>
                <w:szCs w:val="21"/>
                <w:lang w:val="en-US" w:eastAsia="zh-CN" w:bidi="ar-SA"/>
              </w:rPr>
            </w:pPr>
            <w:r>
              <w:rPr>
                <w:rFonts w:hint="eastAsia" w:ascii="Times New Roman" w:hAnsi="Times New Roman"/>
                <w:b w:val="0"/>
                <w:bCs w:val="0"/>
                <w:szCs w:val="21"/>
              </w:rPr>
              <w:t>（3）采用的水性漆，全封闭涂装工艺，漆面光泽高透，颜色均匀。</w:t>
            </w:r>
          </w:p>
        </w:tc>
      </w:tr>
      <w:tr w14:paraId="1F52D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3" w:type="pct"/>
            <w:vMerge w:val="restart"/>
            <w:noWrap w:val="0"/>
            <w:vAlign w:val="center"/>
          </w:tcPr>
          <w:p w14:paraId="39EE65B3">
            <w:pPr>
              <w:keepNext w:val="0"/>
              <w:keepLines w:val="0"/>
              <w:widowControl/>
              <w:suppressLineNumbers w:val="0"/>
              <w:jc w:val="center"/>
              <w:textAlignment w:val="center"/>
              <w:rPr>
                <w:b/>
                <w:szCs w:val="21"/>
              </w:rPr>
            </w:pPr>
            <w:r>
              <w:rPr>
                <w:rFonts w:hint="default" w:ascii="Arial" w:hAnsi="Arial" w:eastAsia="宋体" w:cs="Arial"/>
                <w:i w:val="0"/>
                <w:iCs w:val="0"/>
                <w:color w:val="000000"/>
                <w:kern w:val="0"/>
                <w:sz w:val="20"/>
                <w:szCs w:val="20"/>
                <w:u w:val="none"/>
                <w:lang w:val="en-US" w:eastAsia="zh-CN" w:bidi="ar"/>
              </w:rPr>
              <w:t xml:space="preserve">83 </w:t>
            </w:r>
          </w:p>
        </w:tc>
        <w:tc>
          <w:tcPr>
            <w:tcW w:w="440" w:type="pct"/>
            <w:vMerge w:val="restart"/>
            <w:noWrap w:val="0"/>
            <w:vAlign w:val="center"/>
          </w:tcPr>
          <w:p w14:paraId="3AD8DA3E">
            <w:pPr>
              <w:keepNext w:val="0"/>
              <w:keepLines w:val="0"/>
              <w:widowControl/>
              <w:suppressLineNumbers w:val="0"/>
              <w:jc w:val="center"/>
              <w:textAlignment w:val="center"/>
              <w:rPr>
                <w:rFonts w:hint="eastAsia" w:ascii="Times New Roman" w:hAnsi="Times New Roman"/>
                <w:szCs w:val="21"/>
              </w:rPr>
            </w:pPr>
            <w:r>
              <w:rPr>
                <w:rFonts w:hint="eastAsia" w:ascii="宋体" w:hAnsi="宋体" w:eastAsia="宋体" w:cs="宋体"/>
                <w:i w:val="0"/>
                <w:iCs w:val="0"/>
                <w:color w:val="000000"/>
                <w:kern w:val="0"/>
                <w:sz w:val="20"/>
                <w:szCs w:val="20"/>
                <w:u w:val="none"/>
                <w:lang w:val="en-US" w:eastAsia="zh-CN" w:bidi="ar"/>
              </w:rPr>
              <w:t>4层可调高柜.可调节.半背板</w:t>
            </w:r>
          </w:p>
        </w:tc>
        <w:tc>
          <w:tcPr>
            <w:tcW w:w="4225" w:type="pct"/>
            <w:noWrap w:val="0"/>
            <w:vAlign w:val="center"/>
          </w:tcPr>
          <w:p w14:paraId="0628228A">
            <w:pPr>
              <w:jc w:val="left"/>
              <w:rPr>
                <w:rFonts w:hint="eastAsia" w:ascii="Times New Roman" w:hAnsi="Times New Roman"/>
                <w:b w:val="0"/>
                <w:bCs w:val="0"/>
                <w:szCs w:val="21"/>
              </w:rPr>
            </w:pPr>
            <w:r>
              <w:rPr>
                <w:rFonts w:hint="eastAsia" w:ascii="Times New Roman" w:hAnsi="Times New Roman"/>
                <w:b w:val="0"/>
                <w:bCs w:val="0"/>
                <w:szCs w:val="21"/>
              </w:rPr>
              <w:t>规格：L91.5xW30xH80cm（±3cm）</w:t>
            </w:r>
          </w:p>
        </w:tc>
      </w:tr>
      <w:tr w14:paraId="69618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3" w:type="pct"/>
            <w:vMerge w:val="continue"/>
            <w:noWrap w:val="0"/>
            <w:vAlign w:val="center"/>
          </w:tcPr>
          <w:p w14:paraId="7ACE136D">
            <w:pPr>
              <w:jc w:val="center"/>
              <w:rPr>
                <w:b/>
                <w:szCs w:val="21"/>
              </w:rPr>
            </w:pPr>
          </w:p>
        </w:tc>
        <w:tc>
          <w:tcPr>
            <w:tcW w:w="440" w:type="pct"/>
            <w:vMerge w:val="continue"/>
            <w:noWrap w:val="0"/>
            <w:vAlign w:val="top"/>
          </w:tcPr>
          <w:p w14:paraId="2051195D">
            <w:pPr>
              <w:jc w:val="center"/>
              <w:rPr>
                <w:rFonts w:hint="eastAsia" w:ascii="Times New Roman" w:hAnsi="Times New Roman"/>
                <w:szCs w:val="21"/>
              </w:rPr>
            </w:pPr>
          </w:p>
        </w:tc>
        <w:tc>
          <w:tcPr>
            <w:tcW w:w="4225" w:type="pct"/>
            <w:noWrap w:val="0"/>
            <w:vAlign w:val="top"/>
          </w:tcPr>
          <w:p w14:paraId="631032D9">
            <w:pPr>
              <w:jc w:val="left"/>
              <w:rPr>
                <w:rFonts w:hint="eastAsia" w:ascii="Times New Roman" w:hAnsi="Times New Roman"/>
                <w:b w:val="0"/>
                <w:bCs w:val="0"/>
                <w:szCs w:val="21"/>
              </w:rPr>
            </w:pPr>
            <w:r>
              <w:rPr>
                <w:rFonts w:hint="eastAsia" w:ascii="Times New Roman" w:hAnsi="Times New Roman"/>
                <w:b w:val="0"/>
                <w:bCs w:val="0"/>
                <w:szCs w:val="21"/>
              </w:rPr>
              <w:t>1、工艺设计：</w:t>
            </w:r>
          </w:p>
          <w:p w14:paraId="6E8AB7A4">
            <w:pPr>
              <w:jc w:val="left"/>
              <w:rPr>
                <w:rFonts w:hint="eastAsia" w:ascii="Times New Roman" w:hAnsi="Times New Roman"/>
                <w:b w:val="0"/>
                <w:bCs w:val="0"/>
                <w:szCs w:val="21"/>
              </w:rPr>
            </w:pPr>
            <w:r>
              <w:rPr>
                <w:rFonts w:hint="eastAsia" w:ascii="Times New Roman" w:hAnsi="Times New Roman"/>
                <w:b w:val="0"/>
                <w:bCs w:val="0"/>
                <w:szCs w:val="21"/>
              </w:rPr>
              <w:t>（1）采用翻板活动轮工艺，移动/固定自由切换。</w:t>
            </w:r>
          </w:p>
          <w:p w14:paraId="5BAA2257">
            <w:pPr>
              <w:jc w:val="left"/>
              <w:rPr>
                <w:rFonts w:hint="eastAsia" w:ascii="Times New Roman" w:hAnsi="Times New Roman"/>
                <w:b w:val="0"/>
                <w:bCs w:val="0"/>
                <w:szCs w:val="21"/>
              </w:rPr>
            </w:pPr>
            <w:r>
              <w:rPr>
                <w:rFonts w:hint="eastAsia" w:ascii="Times New Roman" w:hAnsi="Times New Roman"/>
                <w:b w:val="0"/>
                <w:bCs w:val="0"/>
                <w:szCs w:val="21"/>
              </w:rPr>
              <w:t>（2）层板可调设计，提高空间利用率。</w:t>
            </w:r>
          </w:p>
          <w:p w14:paraId="673EF050">
            <w:pPr>
              <w:jc w:val="left"/>
              <w:rPr>
                <w:rFonts w:hint="eastAsia" w:ascii="Times New Roman" w:hAnsi="Times New Roman"/>
                <w:b w:val="0"/>
                <w:bCs w:val="0"/>
                <w:szCs w:val="21"/>
              </w:rPr>
            </w:pPr>
            <w:r>
              <w:rPr>
                <w:rFonts w:hint="eastAsia" w:ascii="Times New Roman" w:hAnsi="Times New Roman"/>
                <w:b w:val="0"/>
                <w:bCs w:val="0"/>
                <w:szCs w:val="21"/>
              </w:rPr>
              <w:t>（3）所有螺丝位无毛刺不刮手，四角及边沿采用圆角/圆边处理以及安全防撞设计，最大程度的避免儿童磕碰伤害，结构稳固。</w:t>
            </w:r>
          </w:p>
        </w:tc>
      </w:tr>
      <w:tr w14:paraId="1FBE4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3" w:type="pct"/>
            <w:vMerge w:val="continue"/>
            <w:noWrap w:val="0"/>
            <w:vAlign w:val="center"/>
          </w:tcPr>
          <w:p w14:paraId="4B9DA8FA">
            <w:pPr>
              <w:jc w:val="center"/>
              <w:rPr>
                <w:b/>
                <w:szCs w:val="21"/>
              </w:rPr>
            </w:pPr>
          </w:p>
        </w:tc>
        <w:tc>
          <w:tcPr>
            <w:tcW w:w="440" w:type="pct"/>
            <w:vMerge w:val="continue"/>
            <w:noWrap w:val="0"/>
            <w:vAlign w:val="top"/>
          </w:tcPr>
          <w:p w14:paraId="3BCF4C10">
            <w:pPr>
              <w:jc w:val="center"/>
              <w:rPr>
                <w:rFonts w:hint="eastAsia" w:ascii="Times New Roman" w:hAnsi="Times New Roman"/>
                <w:szCs w:val="21"/>
              </w:rPr>
            </w:pPr>
          </w:p>
        </w:tc>
        <w:tc>
          <w:tcPr>
            <w:tcW w:w="4225" w:type="pct"/>
            <w:noWrap w:val="0"/>
            <w:vAlign w:val="top"/>
          </w:tcPr>
          <w:p w14:paraId="140AC358">
            <w:pPr>
              <w:jc w:val="left"/>
              <w:rPr>
                <w:rFonts w:hint="eastAsia" w:ascii="Times New Roman" w:hAnsi="Times New Roman"/>
                <w:b w:val="0"/>
                <w:bCs w:val="0"/>
                <w:szCs w:val="21"/>
              </w:rPr>
            </w:pPr>
            <w:r>
              <w:rPr>
                <w:rFonts w:hint="eastAsia" w:ascii="Times New Roman" w:hAnsi="Times New Roman"/>
                <w:b w:val="0"/>
                <w:bCs w:val="0"/>
                <w:szCs w:val="21"/>
              </w:rPr>
              <w:t>2、外观结构及材质：</w:t>
            </w:r>
          </w:p>
          <w:p w14:paraId="6CB27FCD">
            <w:pPr>
              <w:jc w:val="left"/>
              <w:rPr>
                <w:rFonts w:hint="eastAsia" w:ascii="Times New Roman" w:hAnsi="Times New Roman"/>
                <w:b w:val="0"/>
                <w:bCs w:val="0"/>
                <w:szCs w:val="21"/>
              </w:rPr>
            </w:pPr>
            <w:r>
              <w:rPr>
                <w:rFonts w:hint="eastAsia" w:ascii="Times New Roman" w:hAnsi="Times New Roman"/>
                <w:b w:val="0"/>
                <w:bCs w:val="0"/>
                <w:szCs w:val="21"/>
              </w:rPr>
              <w:t>（1）柜体：采用16mm</w:t>
            </w:r>
            <w:r>
              <w:rPr>
                <w:rFonts w:hint="eastAsia" w:ascii="Times New Roman" w:hAnsi="Times New Roman"/>
                <w:b w:val="0"/>
                <w:bCs w:val="0"/>
                <w:szCs w:val="21"/>
                <w:lang w:eastAsia="zh-CN"/>
              </w:rPr>
              <w:t>（</w:t>
            </w:r>
            <w:r>
              <w:rPr>
                <w:rFonts w:hint="eastAsia" w:ascii="Times New Roman" w:hAnsi="Times New Roman"/>
                <w:b w:val="0"/>
                <w:bCs w:val="0"/>
                <w:szCs w:val="21"/>
                <w:lang w:val="en-US" w:eastAsia="zh-CN"/>
              </w:rPr>
              <w:t>±3mm</w:t>
            </w:r>
            <w:r>
              <w:rPr>
                <w:rFonts w:hint="eastAsia" w:ascii="Times New Roman" w:hAnsi="Times New Roman"/>
                <w:b w:val="0"/>
                <w:bCs w:val="0"/>
                <w:szCs w:val="21"/>
                <w:lang w:eastAsia="zh-CN"/>
              </w:rPr>
              <w:t>）</w:t>
            </w:r>
            <w:r>
              <w:rPr>
                <w:rFonts w:hint="eastAsia" w:ascii="Times New Roman" w:hAnsi="Times New Roman"/>
                <w:b w:val="0"/>
                <w:bCs w:val="0"/>
                <w:szCs w:val="21"/>
              </w:rPr>
              <w:t>的橡胶木拼板。共四层，底层含背板内空：884x280x162mm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b w:val="0"/>
                <w:bCs w:val="0"/>
                <w:szCs w:val="21"/>
              </w:rPr>
              <w:t>，上面三层含两块层板。柜子内侧配L440mm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b w:val="0"/>
                <w:bCs w:val="0"/>
                <w:szCs w:val="21"/>
              </w:rPr>
              <w:t>活动层板支撑条，内嵌式安装嵌入深度4.5mm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b w:val="0"/>
                <w:bCs w:val="0"/>
                <w:szCs w:val="21"/>
              </w:rPr>
              <w:t>，固定条凸11mm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b w:val="0"/>
                <w:bCs w:val="0"/>
                <w:szCs w:val="21"/>
              </w:rPr>
              <w:t>，灵活安全使用层板，不占用空间，共15个挡位、每挡28mm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b w:val="0"/>
                <w:bCs w:val="0"/>
                <w:szCs w:val="21"/>
              </w:rPr>
              <w:t>，可实现层板自选放置高度。背板采用厚度5mm</w:t>
            </w:r>
            <w:r>
              <w:rPr>
                <w:rFonts w:hint="eastAsia" w:ascii="Times New Roman" w:hAnsi="Times New Roman"/>
                <w:b w:val="0"/>
                <w:bCs w:val="0"/>
                <w:szCs w:val="21"/>
                <w:lang w:eastAsia="zh-CN"/>
              </w:rPr>
              <w:t>（</w:t>
            </w:r>
            <w:r>
              <w:rPr>
                <w:rFonts w:hint="eastAsia" w:ascii="Times New Roman" w:hAnsi="Times New Roman"/>
                <w:b w:val="0"/>
                <w:bCs w:val="0"/>
                <w:szCs w:val="21"/>
                <w:lang w:val="en-US" w:eastAsia="zh-CN"/>
              </w:rPr>
              <w:t>±3mm</w:t>
            </w:r>
            <w:r>
              <w:rPr>
                <w:rFonts w:hint="eastAsia" w:ascii="Times New Roman" w:hAnsi="Times New Roman"/>
                <w:b w:val="0"/>
                <w:bCs w:val="0"/>
                <w:szCs w:val="21"/>
                <w:lang w:eastAsia="zh-CN"/>
              </w:rPr>
              <w:t>）</w:t>
            </w:r>
            <w:r>
              <w:rPr>
                <w:rFonts w:hint="eastAsia" w:ascii="Times New Roman" w:hAnsi="Times New Roman"/>
                <w:b w:val="0"/>
                <w:bCs w:val="0"/>
                <w:szCs w:val="21"/>
              </w:rPr>
              <w:t>的饰面实木纤维板。</w:t>
            </w:r>
          </w:p>
          <w:p w14:paraId="1AB3E3DB">
            <w:pPr>
              <w:jc w:val="left"/>
              <w:rPr>
                <w:rFonts w:hint="eastAsia" w:ascii="Times New Roman" w:hAnsi="Times New Roman"/>
                <w:b w:val="0"/>
                <w:bCs w:val="0"/>
                <w:szCs w:val="21"/>
              </w:rPr>
            </w:pPr>
            <w:r>
              <w:rPr>
                <w:rFonts w:hint="eastAsia" w:ascii="Times New Roman" w:hAnsi="Times New Roman"/>
                <w:b w:val="0"/>
                <w:bCs w:val="0"/>
                <w:szCs w:val="21"/>
              </w:rPr>
              <w:t>（2）围脚：采用厚度18mm</w:t>
            </w:r>
            <w:r>
              <w:rPr>
                <w:rFonts w:hint="eastAsia" w:ascii="Times New Roman" w:hAnsi="Times New Roman"/>
                <w:b w:val="0"/>
                <w:bCs w:val="0"/>
                <w:szCs w:val="21"/>
                <w:lang w:eastAsia="zh-CN"/>
              </w:rPr>
              <w:t>（</w:t>
            </w:r>
            <w:r>
              <w:rPr>
                <w:rFonts w:hint="eastAsia" w:ascii="Times New Roman" w:hAnsi="Times New Roman"/>
                <w:b w:val="0"/>
                <w:bCs w:val="0"/>
                <w:szCs w:val="21"/>
                <w:lang w:val="en-US" w:eastAsia="zh-CN"/>
              </w:rPr>
              <w:t>±3mm</w:t>
            </w:r>
            <w:r>
              <w:rPr>
                <w:rFonts w:hint="eastAsia" w:ascii="Times New Roman" w:hAnsi="Times New Roman"/>
                <w:b w:val="0"/>
                <w:bCs w:val="0"/>
                <w:szCs w:val="21"/>
                <w:lang w:eastAsia="zh-CN"/>
              </w:rPr>
              <w:t>）</w:t>
            </w:r>
            <w:r>
              <w:rPr>
                <w:rFonts w:hint="eastAsia" w:ascii="Times New Roman" w:hAnsi="Times New Roman"/>
                <w:b w:val="0"/>
                <w:bCs w:val="0"/>
                <w:szCs w:val="21"/>
              </w:rPr>
              <w:t>的橡胶木拼板。柜体与底部围脚采用塑料连接件实现翻板功能，脚轮为静音万向轮，安装在围脚侧板内，当家具固定时，围脚侧板向下翻，万向轮则隐藏于侧板内；当家具需要移动时，围脚侧板向上翻，塑料连接件卡扣对侧板进行固定，万向轮支撑起家具的重量，无须抬起轻松实现家具位置转移。</w:t>
            </w:r>
          </w:p>
          <w:p w14:paraId="4D0154A2">
            <w:pPr>
              <w:jc w:val="left"/>
              <w:rPr>
                <w:rFonts w:hint="eastAsia" w:ascii="Times New Roman" w:hAnsi="Times New Roman"/>
                <w:b w:val="0"/>
                <w:bCs w:val="0"/>
                <w:szCs w:val="21"/>
              </w:rPr>
            </w:pPr>
            <w:r>
              <w:rPr>
                <w:rFonts w:hint="eastAsia" w:ascii="Times New Roman" w:hAnsi="Times New Roman"/>
                <w:b w:val="0"/>
                <w:bCs w:val="0"/>
                <w:szCs w:val="21"/>
              </w:rPr>
              <w:t>（3）采用的水性漆，全封闭涂装工艺，漆面光泽高透，颜色均匀。</w:t>
            </w:r>
          </w:p>
        </w:tc>
      </w:tr>
      <w:tr w14:paraId="05285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3" w:type="pct"/>
            <w:vMerge w:val="restart"/>
            <w:noWrap w:val="0"/>
            <w:vAlign w:val="center"/>
          </w:tcPr>
          <w:p w14:paraId="79F8016B">
            <w:pPr>
              <w:keepNext w:val="0"/>
              <w:keepLines w:val="0"/>
              <w:widowControl/>
              <w:suppressLineNumbers w:val="0"/>
              <w:jc w:val="center"/>
              <w:textAlignment w:val="center"/>
              <w:rPr>
                <w:b/>
                <w:szCs w:val="21"/>
              </w:rPr>
            </w:pPr>
            <w:r>
              <w:rPr>
                <w:rFonts w:hint="default" w:ascii="Arial" w:hAnsi="Arial" w:eastAsia="宋体" w:cs="Arial"/>
                <w:i w:val="0"/>
                <w:iCs w:val="0"/>
                <w:color w:val="000000"/>
                <w:kern w:val="0"/>
                <w:sz w:val="20"/>
                <w:szCs w:val="20"/>
                <w:u w:val="none"/>
                <w:lang w:val="en-US" w:eastAsia="zh-CN" w:bidi="ar"/>
              </w:rPr>
              <w:t xml:space="preserve">84 </w:t>
            </w:r>
          </w:p>
        </w:tc>
        <w:tc>
          <w:tcPr>
            <w:tcW w:w="440" w:type="pct"/>
            <w:vMerge w:val="restart"/>
            <w:noWrap w:val="0"/>
            <w:vAlign w:val="center"/>
          </w:tcPr>
          <w:p w14:paraId="3086522F">
            <w:pPr>
              <w:keepNext w:val="0"/>
              <w:keepLines w:val="0"/>
              <w:widowControl/>
              <w:suppressLineNumbers w:val="0"/>
              <w:jc w:val="center"/>
              <w:textAlignment w:val="center"/>
              <w:rPr>
                <w:rFonts w:hint="eastAsia" w:ascii="Times New Roman" w:hAnsi="Times New Roman"/>
                <w:szCs w:val="21"/>
              </w:rPr>
            </w:pPr>
            <w:r>
              <w:rPr>
                <w:rFonts w:hint="eastAsia" w:ascii="宋体" w:hAnsi="宋体" w:eastAsia="宋体" w:cs="宋体"/>
                <w:i w:val="0"/>
                <w:iCs w:val="0"/>
                <w:color w:val="000000"/>
                <w:kern w:val="0"/>
                <w:sz w:val="20"/>
                <w:szCs w:val="20"/>
                <w:u w:val="none"/>
                <w:lang w:val="en-US" w:eastAsia="zh-CN" w:bidi="ar"/>
              </w:rPr>
              <w:t>山峰小屋收纳柜</w:t>
            </w:r>
          </w:p>
        </w:tc>
        <w:tc>
          <w:tcPr>
            <w:tcW w:w="4225" w:type="pct"/>
            <w:noWrap w:val="0"/>
            <w:vAlign w:val="center"/>
          </w:tcPr>
          <w:p w14:paraId="5A2E2EF6">
            <w:pPr>
              <w:jc w:val="left"/>
              <w:rPr>
                <w:rFonts w:hint="eastAsia" w:ascii="Times New Roman" w:hAnsi="Times New Roman"/>
                <w:b w:val="0"/>
                <w:bCs w:val="0"/>
                <w:szCs w:val="21"/>
              </w:rPr>
            </w:pPr>
            <w:r>
              <w:rPr>
                <w:rFonts w:hint="eastAsia" w:ascii="Times New Roman" w:hAnsi="Times New Roman"/>
                <w:b w:val="0"/>
                <w:bCs w:val="0"/>
                <w:szCs w:val="21"/>
              </w:rPr>
              <w:t>规格：L50xW30xH110.5cm（±3cm）</w:t>
            </w:r>
          </w:p>
        </w:tc>
      </w:tr>
      <w:tr w14:paraId="45BA8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3" w:type="pct"/>
            <w:vMerge w:val="continue"/>
            <w:noWrap w:val="0"/>
            <w:vAlign w:val="center"/>
          </w:tcPr>
          <w:p w14:paraId="69E66044">
            <w:pPr>
              <w:jc w:val="center"/>
              <w:rPr>
                <w:b/>
                <w:szCs w:val="21"/>
              </w:rPr>
            </w:pPr>
          </w:p>
        </w:tc>
        <w:tc>
          <w:tcPr>
            <w:tcW w:w="440" w:type="pct"/>
            <w:vMerge w:val="continue"/>
            <w:noWrap w:val="0"/>
            <w:vAlign w:val="top"/>
          </w:tcPr>
          <w:p w14:paraId="040867AE">
            <w:pPr>
              <w:jc w:val="center"/>
              <w:rPr>
                <w:rFonts w:hint="eastAsia" w:ascii="Times New Roman" w:hAnsi="Times New Roman"/>
                <w:szCs w:val="21"/>
              </w:rPr>
            </w:pPr>
          </w:p>
        </w:tc>
        <w:tc>
          <w:tcPr>
            <w:tcW w:w="4225" w:type="pct"/>
            <w:noWrap w:val="0"/>
            <w:vAlign w:val="top"/>
          </w:tcPr>
          <w:p w14:paraId="2D96230B">
            <w:pPr>
              <w:jc w:val="left"/>
              <w:rPr>
                <w:rFonts w:hint="eastAsia" w:ascii="Times New Roman" w:hAnsi="Times New Roman"/>
                <w:b w:val="0"/>
                <w:bCs w:val="0"/>
                <w:szCs w:val="21"/>
              </w:rPr>
            </w:pPr>
            <w:r>
              <w:rPr>
                <w:rFonts w:hint="eastAsia" w:ascii="Times New Roman" w:hAnsi="Times New Roman"/>
                <w:b w:val="0"/>
                <w:bCs w:val="0"/>
                <w:szCs w:val="21"/>
              </w:rPr>
              <w:t>1、工艺设计：</w:t>
            </w:r>
          </w:p>
          <w:p w14:paraId="1C5D0900">
            <w:pPr>
              <w:jc w:val="left"/>
              <w:rPr>
                <w:rFonts w:hint="eastAsia" w:ascii="Times New Roman" w:hAnsi="Times New Roman"/>
                <w:b w:val="0"/>
                <w:bCs w:val="0"/>
                <w:szCs w:val="21"/>
              </w:rPr>
            </w:pPr>
            <w:r>
              <w:rPr>
                <w:rFonts w:hint="eastAsia" w:ascii="Times New Roman" w:hAnsi="Times New Roman"/>
                <w:b w:val="0"/>
                <w:bCs w:val="0"/>
                <w:szCs w:val="21"/>
              </w:rPr>
              <w:t>（1）小屋造型设计，兼具装饰与收纳功能。</w:t>
            </w:r>
          </w:p>
          <w:p w14:paraId="08E29317">
            <w:pPr>
              <w:jc w:val="left"/>
              <w:rPr>
                <w:rFonts w:hint="eastAsia" w:ascii="Times New Roman" w:hAnsi="Times New Roman"/>
                <w:b w:val="0"/>
                <w:bCs w:val="0"/>
                <w:szCs w:val="21"/>
              </w:rPr>
            </w:pPr>
            <w:r>
              <w:rPr>
                <w:rFonts w:hint="eastAsia" w:ascii="Times New Roman" w:hAnsi="Times New Roman"/>
                <w:b w:val="0"/>
                <w:bCs w:val="0"/>
                <w:szCs w:val="21"/>
              </w:rPr>
              <w:t>（2）采用美工机喷绘工艺，搭配油墨，图案附着力好，生动立体不易褪色。</w:t>
            </w:r>
          </w:p>
          <w:p w14:paraId="7D289A1C">
            <w:pPr>
              <w:jc w:val="left"/>
              <w:rPr>
                <w:rFonts w:hint="eastAsia" w:ascii="Times New Roman" w:hAnsi="Times New Roman"/>
                <w:b w:val="0"/>
                <w:bCs w:val="0"/>
                <w:szCs w:val="21"/>
              </w:rPr>
            </w:pPr>
            <w:r>
              <w:rPr>
                <w:rFonts w:hint="eastAsia" w:ascii="Times New Roman" w:hAnsi="Times New Roman"/>
                <w:b w:val="0"/>
                <w:bCs w:val="0"/>
                <w:szCs w:val="21"/>
              </w:rPr>
              <w:t>（3）底格收纳抽斗采用可移动带滑轮设计，便于教玩具的转移与储藏。</w:t>
            </w:r>
          </w:p>
          <w:p w14:paraId="4D70ADC9">
            <w:pPr>
              <w:jc w:val="left"/>
              <w:rPr>
                <w:rFonts w:hint="eastAsia" w:ascii="Times New Roman" w:hAnsi="Times New Roman"/>
                <w:b w:val="0"/>
                <w:bCs w:val="0"/>
                <w:szCs w:val="21"/>
              </w:rPr>
            </w:pPr>
            <w:r>
              <w:rPr>
                <w:rFonts w:hint="eastAsia" w:ascii="Times New Roman" w:hAnsi="Times New Roman"/>
                <w:b w:val="0"/>
                <w:bCs w:val="0"/>
                <w:szCs w:val="21"/>
              </w:rPr>
              <w:t>（4）所有螺丝位无毛刺不刮手，边角采用圆边/圆角处理以及安全防撞设计，最大程度的避免儿童磕碰伤害，结构稳固。</w:t>
            </w:r>
          </w:p>
        </w:tc>
      </w:tr>
      <w:tr w14:paraId="3A26E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3" w:type="pct"/>
            <w:vMerge w:val="continue"/>
            <w:noWrap w:val="0"/>
            <w:vAlign w:val="center"/>
          </w:tcPr>
          <w:p w14:paraId="170D2516">
            <w:pPr>
              <w:jc w:val="center"/>
              <w:rPr>
                <w:b/>
                <w:szCs w:val="21"/>
              </w:rPr>
            </w:pPr>
          </w:p>
        </w:tc>
        <w:tc>
          <w:tcPr>
            <w:tcW w:w="440" w:type="pct"/>
            <w:vMerge w:val="continue"/>
            <w:noWrap w:val="0"/>
            <w:vAlign w:val="top"/>
          </w:tcPr>
          <w:p w14:paraId="27281F35">
            <w:pPr>
              <w:jc w:val="center"/>
              <w:rPr>
                <w:rFonts w:hint="eastAsia" w:ascii="Times New Roman" w:hAnsi="Times New Roman"/>
                <w:szCs w:val="21"/>
              </w:rPr>
            </w:pPr>
          </w:p>
        </w:tc>
        <w:tc>
          <w:tcPr>
            <w:tcW w:w="4225" w:type="pct"/>
            <w:noWrap w:val="0"/>
            <w:vAlign w:val="top"/>
          </w:tcPr>
          <w:p w14:paraId="70AC1204">
            <w:pPr>
              <w:jc w:val="left"/>
              <w:rPr>
                <w:rFonts w:hint="eastAsia" w:ascii="Times New Roman" w:hAnsi="Times New Roman"/>
                <w:b w:val="0"/>
                <w:bCs w:val="0"/>
                <w:szCs w:val="21"/>
              </w:rPr>
            </w:pPr>
            <w:r>
              <w:rPr>
                <w:rFonts w:hint="eastAsia" w:ascii="Times New Roman" w:hAnsi="Times New Roman"/>
                <w:b w:val="0"/>
                <w:bCs w:val="0"/>
                <w:szCs w:val="21"/>
              </w:rPr>
              <w:t>2、外观结构及材质：</w:t>
            </w:r>
          </w:p>
          <w:p w14:paraId="7E568383">
            <w:pPr>
              <w:jc w:val="left"/>
              <w:rPr>
                <w:rFonts w:hint="eastAsia" w:ascii="Times New Roman" w:hAnsi="Times New Roman"/>
                <w:b w:val="0"/>
                <w:bCs w:val="0"/>
                <w:szCs w:val="21"/>
              </w:rPr>
            </w:pPr>
            <w:r>
              <w:rPr>
                <w:rFonts w:hint="eastAsia" w:ascii="Times New Roman" w:hAnsi="Times New Roman"/>
                <w:b w:val="0"/>
                <w:bCs w:val="0"/>
                <w:szCs w:val="21"/>
              </w:rPr>
              <w:t>（1）柜体：用厚度15mm</w:t>
            </w:r>
            <w:r>
              <w:rPr>
                <w:rFonts w:hint="eastAsia" w:ascii="Times New Roman" w:hAnsi="Times New Roman"/>
                <w:b w:val="0"/>
                <w:bCs w:val="0"/>
                <w:szCs w:val="21"/>
                <w:lang w:eastAsia="zh-CN"/>
              </w:rPr>
              <w:t>（</w:t>
            </w:r>
            <w:r>
              <w:rPr>
                <w:rFonts w:hint="eastAsia" w:ascii="Times New Roman" w:hAnsi="Times New Roman"/>
                <w:b w:val="0"/>
                <w:bCs w:val="0"/>
                <w:szCs w:val="21"/>
                <w:lang w:val="en-US" w:eastAsia="zh-CN"/>
              </w:rPr>
              <w:t>±3mm</w:t>
            </w:r>
            <w:r>
              <w:rPr>
                <w:rFonts w:hint="eastAsia" w:ascii="Times New Roman" w:hAnsi="Times New Roman"/>
                <w:b w:val="0"/>
                <w:bCs w:val="0"/>
                <w:szCs w:val="21"/>
                <w:lang w:eastAsia="zh-CN"/>
              </w:rPr>
              <w:t>）</w:t>
            </w:r>
            <w:r>
              <w:rPr>
                <w:rFonts w:hint="eastAsia" w:ascii="Times New Roman" w:hAnsi="Times New Roman"/>
                <w:b w:val="0"/>
                <w:bCs w:val="0"/>
                <w:szCs w:val="21"/>
              </w:rPr>
              <w:t>的桦木纹饰面橡胶木拼板。柜体顶部屋顶造型，2层通透，顶层内空尺寸：470x300x303mm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b w:val="0"/>
                <w:bCs w:val="0"/>
                <w:szCs w:val="21"/>
              </w:rPr>
              <w:t>，中层内控尺寸470x300x224mm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b w:val="0"/>
                <w:bCs w:val="0"/>
                <w:szCs w:val="21"/>
              </w:rPr>
              <w:t>；下层带背板内空尺寸：470x280x224mm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b w:val="0"/>
                <w:bCs w:val="0"/>
                <w:szCs w:val="21"/>
              </w:rPr>
              <w:t>。</w:t>
            </w:r>
          </w:p>
          <w:p w14:paraId="4B334E80">
            <w:pPr>
              <w:jc w:val="left"/>
              <w:rPr>
                <w:rFonts w:hint="eastAsia" w:ascii="Times New Roman" w:hAnsi="Times New Roman"/>
                <w:b w:val="0"/>
                <w:bCs w:val="0"/>
                <w:szCs w:val="21"/>
              </w:rPr>
            </w:pPr>
            <w:r>
              <w:rPr>
                <w:rFonts w:hint="eastAsia" w:ascii="Times New Roman" w:hAnsi="Times New Roman"/>
                <w:b w:val="0"/>
                <w:bCs w:val="0"/>
                <w:szCs w:val="21"/>
              </w:rPr>
              <w:t>（2）柜子最底格为移动式收纳抽斗，抽斗内空尺寸：420x249x178mm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b w:val="0"/>
                <w:bCs w:val="0"/>
                <w:szCs w:val="21"/>
              </w:rPr>
              <w:t>，抽斗底部安装4个静音万向脚轮，脚轮运行平稳无声，可360°旋转，转动顺滑。抽斗面板手握弧度舒适面板增加几何造型图案。造型部分采用美工机喷绘工艺，搭配油墨，图案附着力好，生动立体不易褪色。</w:t>
            </w:r>
          </w:p>
          <w:p w14:paraId="02B05383">
            <w:pPr>
              <w:jc w:val="left"/>
              <w:rPr>
                <w:rFonts w:hint="eastAsia" w:ascii="Times New Roman" w:hAnsi="Times New Roman"/>
                <w:b w:val="0"/>
                <w:bCs w:val="0"/>
                <w:szCs w:val="21"/>
              </w:rPr>
            </w:pPr>
            <w:r>
              <w:rPr>
                <w:rFonts w:hint="eastAsia" w:ascii="Times New Roman" w:hAnsi="Times New Roman"/>
                <w:b w:val="0"/>
                <w:bCs w:val="0"/>
                <w:szCs w:val="21"/>
              </w:rPr>
              <w:t>（3）柜子底部安装塑料脚垫，高度为H10mm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b w:val="0"/>
                <w:bCs w:val="0"/>
                <w:szCs w:val="21"/>
              </w:rPr>
              <w:t>，直径17mm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b w:val="0"/>
                <w:bCs w:val="0"/>
                <w:szCs w:val="21"/>
              </w:rPr>
              <w:t>，软性防滑，可有效保护地面刮花并降低噪音。</w:t>
            </w:r>
          </w:p>
          <w:p w14:paraId="1EE308F2">
            <w:pPr>
              <w:jc w:val="left"/>
              <w:rPr>
                <w:rFonts w:hint="eastAsia" w:ascii="Times New Roman" w:hAnsi="Times New Roman"/>
                <w:b w:val="0"/>
                <w:bCs w:val="0"/>
                <w:szCs w:val="21"/>
              </w:rPr>
            </w:pPr>
            <w:r>
              <w:rPr>
                <w:rFonts w:hint="eastAsia" w:ascii="Times New Roman" w:hAnsi="Times New Roman"/>
                <w:b w:val="0"/>
                <w:bCs w:val="0"/>
                <w:szCs w:val="21"/>
              </w:rPr>
              <w:t>（4）木蜡油：采用的水性木蜡油封边，成分天然，分子机构细小，成膜牢固，密封性好。</w:t>
            </w:r>
          </w:p>
          <w:p w14:paraId="2C6F067B">
            <w:pPr>
              <w:jc w:val="left"/>
              <w:rPr>
                <w:rFonts w:hint="eastAsia" w:ascii="Times New Roman" w:hAnsi="Times New Roman"/>
                <w:b w:val="0"/>
                <w:bCs w:val="0"/>
                <w:szCs w:val="21"/>
              </w:rPr>
            </w:pPr>
            <w:r>
              <w:rPr>
                <w:rFonts w:hint="eastAsia" w:ascii="Times New Roman" w:hAnsi="Times New Roman"/>
                <w:b w:val="0"/>
                <w:bCs w:val="0"/>
                <w:szCs w:val="21"/>
              </w:rPr>
              <w:t>（5）油墨：采用水性油墨，颜色饱满，无毒无异味。</w:t>
            </w:r>
          </w:p>
        </w:tc>
      </w:tr>
      <w:tr w14:paraId="5EF39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3" w:type="pct"/>
            <w:vMerge w:val="restart"/>
            <w:noWrap w:val="0"/>
            <w:vAlign w:val="center"/>
          </w:tcPr>
          <w:p w14:paraId="1974E556">
            <w:pPr>
              <w:keepNext w:val="0"/>
              <w:keepLines w:val="0"/>
              <w:widowControl/>
              <w:suppressLineNumbers w:val="0"/>
              <w:jc w:val="center"/>
              <w:textAlignment w:val="center"/>
              <w:rPr>
                <w:b/>
                <w:szCs w:val="21"/>
              </w:rPr>
            </w:pPr>
            <w:r>
              <w:rPr>
                <w:rFonts w:hint="default" w:ascii="Arial" w:hAnsi="Arial" w:eastAsia="宋体" w:cs="Arial"/>
                <w:i w:val="0"/>
                <w:iCs w:val="0"/>
                <w:color w:val="000000"/>
                <w:kern w:val="0"/>
                <w:sz w:val="20"/>
                <w:szCs w:val="20"/>
                <w:u w:val="none"/>
                <w:lang w:val="en-US" w:eastAsia="zh-CN" w:bidi="ar"/>
              </w:rPr>
              <w:t xml:space="preserve">85 </w:t>
            </w:r>
          </w:p>
        </w:tc>
        <w:tc>
          <w:tcPr>
            <w:tcW w:w="440" w:type="pct"/>
            <w:vMerge w:val="restart"/>
            <w:noWrap w:val="0"/>
            <w:vAlign w:val="center"/>
          </w:tcPr>
          <w:p w14:paraId="2CBC2260">
            <w:pPr>
              <w:keepNext w:val="0"/>
              <w:keepLines w:val="0"/>
              <w:widowControl/>
              <w:suppressLineNumbers w:val="0"/>
              <w:jc w:val="center"/>
              <w:textAlignment w:val="center"/>
              <w:rPr>
                <w:rFonts w:hint="eastAsia" w:ascii="Times New Roman" w:hAnsi="Times New Roman"/>
                <w:szCs w:val="21"/>
              </w:rPr>
            </w:pPr>
            <w:r>
              <w:rPr>
                <w:rFonts w:hint="eastAsia" w:ascii="宋体" w:hAnsi="宋体" w:eastAsia="宋体" w:cs="宋体"/>
                <w:i w:val="0"/>
                <w:iCs w:val="0"/>
                <w:color w:val="000000"/>
                <w:kern w:val="0"/>
                <w:sz w:val="20"/>
                <w:szCs w:val="20"/>
                <w:u w:val="none"/>
                <w:lang w:val="en-US" w:eastAsia="zh-CN" w:bidi="ar"/>
              </w:rPr>
              <w:t>秘密游戏树洞</w:t>
            </w:r>
          </w:p>
        </w:tc>
        <w:tc>
          <w:tcPr>
            <w:tcW w:w="4225" w:type="pct"/>
            <w:noWrap w:val="0"/>
            <w:vAlign w:val="center"/>
          </w:tcPr>
          <w:p w14:paraId="52A00301">
            <w:pPr>
              <w:jc w:val="left"/>
              <w:rPr>
                <w:rFonts w:hint="eastAsia" w:ascii="Times New Roman" w:hAnsi="Times New Roman"/>
                <w:b w:val="0"/>
                <w:bCs w:val="0"/>
                <w:szCs w:val="21"/>
              </w:rPr>
            </w:pPr>
            <w:r>
              <w:rPr>
                <w:rFonts w:hint="eastAsia" w:ascii="Times New Roman" w:hAnsi="Times New Roman"/>
                <w:b w:val="0"/>
                <w:bCs w:val="0"/>
                <w:szCs w:val="21"/>
              </w:rPr>
              <w:t>规格：L103xW42xH150cm（±3cm）</w:t>
            </w:r>
          </w:p>
        </w:tc>
      </w:tr>
      <w:tr w14:paraId="3BDAC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3" w:type="pct"/>
            <w:vMerge w:val="continue"/>
            <w:noWrap w:val="0"/>
            <w:vAlign w:val="center"/>
          </w:tcPr>
          <w:p w14:paraId="1077CE44">
            <w:pPr>
              <w:jc w:val="center"/>
              <w:rPr>
                <w:b/>
                <w:szCs w:val="21"/>
              </w:rPr>
            </w:pPr>
          </w:p>
        </w:tc>
        <w:tc>
          <w:tcPr>
            <w:tcW w:w="440" w:type="pct"/>
            <w:vMerge w:val="continue"/>
            <w:noWrap w:val="0"/>
            <w:vAlign w:val="top"/>
          </w:tcPr>
          <w:p w14:paraId="6ADE2947">
            <w:pPr>
              <w:jc w:val="center"/>
              <w:rPr>
                <w:rFonts w:hint="eastAsia" w:ascii="Times New Roman" w:hAnsi="Times New Roman"/>
                <w:szCs w:val="21"/>
              </w:rPr>
            </w:pPr>
          </w:p>
        </w:tc>
        <w:tc>
          <w:tcPr>
            <w:tcW w:w="4225" w:type="pct"/>
            <w:noWrap w:val="0"/>
            <w:vAlign w:val="top"/>
          </w:tcPr>
          <w:p w14:paraId="3481FCC6">
            <w:pPr>
              <w:jc w:val="left"/>
              <w:rPr>
                <w:rFonts w:hint="eastAsia" w:ascii="Times New Roman" w:hAnsi="Times New Roman"/>
                <w:b w:val="0"/>
                <w:bCs w:val="0"/>
                <w:szCs w:val="21"/>
              </w:rPr>
            </w:pPr>
            <w:r>
              <w:rPr>
                <w:rFonts w:hint="eastAsia" w:ascii="Times New Roman" w:hAnsi="Times New Roman"/>
                <w:b w:val="0"/>
                <w:bCs w:val="0"/>
                <w:szCs w:val="21"/>
              </w:rPr>
              <w:t>1、工艺设计：</w:t>
            </w:r>
          </w:p>
          <w:p w14:paraId="66A20D4A">
            <w:pPr>
              <w:jc w:val="left"/>
              <w:rPr>
                <w:rFonts w:hint="eastAsia" w:ascii="Times New Roman" w:hAnsi="Times New Roman"/>
                <w:b w:val="0"/>
                <w:bCs w:val="0"/>
                <w:szCs w:val="21"/>
              </w:rPr>
            </w:pPr>
            <w:r>
              <w:rPr>
                <w:rFonts w:hint="eastAsia" w:ascii="Times New Roman" w:hAnsi="Times New Roman"/>
                <w:b w:val="0"/>
                <w:bCs w:val="0"/>
                <w:szCs w:val="21"/>
              </w:rPr>
              <w:t>（1）特色高顶松元素造型设计，吊牌黑板可擦写，既能独立摆放模拟真实场景又易于搭配其他产品进行环创。</w:t>
            </w:r>
          </w:p>
          <w:p w14:paraId="6DE4613A">
            <w:pPr>
              <w:jc w:val="left"/>
              <w:rPr>
                <w:rFonts w:hint="eastAsia" w:ascii="Times New Roman" w:hAnsi="Times New Roman"/>
                <w:b w:val="0"/>
                <w:bCs w:val="0"/>
                <w:szCs w:val="21"/>
              </w:rPr>
            </w:pPr>
            <w:r>
              <w:rPr>
                <w:rFonts w:hint="eastAsia" w:ascii="Times New Roman" w:hAnsi="Times New Roman"/>
                <w:b w:val="0"/>
                <w:bCs w:val="0"/>
                <w:szCs w:val="21"/>
              </w:rPr>
              <w:t>（2）配件丰富，布艺装饰，软化环境，能适用多场景下使用，提高趣味性。</w:t>
            </w:r>
          </w:p>
          <w:p w14:paraId="52770E25">
            <w:pPr>
              <w:jc w:val="left"/>
              <w:rPr>
                <w:rFonts w:hint="eastAsia" w:ascii="Times New Roman" w:hAnsi="Times New Roman"/>
                <w:b w:val="0"/>
                <w:bCs w:val="0"/>
                <w:szCs w:val="21"/>
              </w:rPr>
            </w:pPr>
            <w:r>
              <w:rPr>
                <w:rFonts w:hint="eastAsia" w:ascii="Times New Roman" w:hAnsi="Times New Roman"/>
                <w:b w:val="0"/>
                <w:bCs w:val="0"/>
                <w:szCs w:val="21"/>
              </w:rPr>
              <w:t>（3）所有螺丝位无毛刺不刮手，边角采用圆边/圆角处理以及安全防撞设计，最大程度的避免儿童磕碰伤害，结构稳固。</w:t>
            </w:r>
          </w:p>
        </w:tc>
      </w:tr>
      <w:tr w14:paraId="010B7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3" w:type="pct"/>
            <w:vMerge w:val="continue"/>
            <w:noWrap w:val="0"/>
            <w:vAlign w:val="center"/>
          </w:tcPr>
          <w:p w14:paraId="7630AD6C">
            <w:pPr>
              <w:jc w:val="center"/>
              <w:rPr>
                <w:b/>
                <w:szCs w:val="21"/>
              </w:rPr>
            </w:pPr>
          </w:p>
        </w:tc>
        <w:tc>
          <w:tcPr>
            <w:tcW w:w="440" w:type="pct"/>
            <w:vMerge w:val="continue"/>
            <w:noWrap w:val="0"/>
            <w:vAlign w:val="top"/>
          </w:tcPr>
          <w:p w14:paraId="70DE46E3">
            <w:pPr>
              <w:jc w:val="center"/>
              <w:rPr>
                <w:rFonts w:hint="eastAsia" w:ascii="Times New Roman" w:hAnsi="Times New Roman"/>
                <w:szCs w:val="21"/>
              </w:rPr>
            </w:pPr>
          </w:p>
        </w:tc>
        <w:tc>
          <w:tcPr>
            <w:tcW w:w="4225" w:type="pct"/>
            <w:noWrap w:val="0"/>
            <w:vAlign w:val="top"/>
          </w:tcPr>
          <w:p w14:paraId="23C72538">
            <w:pPr>
              <w:jc w:val="left"/>
              <w:rPr>
                <w:rFonts w:hint="eastAsia" w:ascii="Times New Roman" w:hAnsi="Times New Roman"/>
                <w:b w:val="0"/>
                <w:bCs w:val="0"/>
                <w:szCs w:val="21"/>
              </w:rPr>
            </w:pPr>
            <w:r>
              <w:rPr>
                <w:rFonts w:hint="eastAsia" w:ascii="Times New Roman" w:hAnsi="Times New Roman"/>
                <w:b w:val="0"/>
                <w:bCs w:val="0"/>
                <w:szCs w:val="21"/>
              </w:rPr>
              <w:t>2、外观结构及材质：</w:t>
            </w:r>
          </w:p>
          <w:p w14:paraId="2B15DB24">
            <w:pPr>
              <w:jc w:val="left"/>
              <w:rPr>
                <w:rFonts w:hint="eastAsia" w:ascii="Times New Roman" w:hAnsi="Times New Roman"/>
                <w:b w:val="0"/>
                <w:bCs w:val="0"/>
                <w:szCs w:val="21"/>
              </w:rPr>
            </w:pPr>
            <w:r>
              <w:rPr>
                <w:rFonts w:hint="eastAsia" w:ascii="Times New Roman" w:hAnsi="Times New Roman"/>
                <w:b w:val="0"/>
                <w:bCs w:val="0"/>
                <w:szCs w:val="21"/>
              </w:rPr>
              <w:t>(1)柜体采用厚度18mm</w:t>
            </w:r>
            <w:r>
              <w:rPr>
                <w:rFonts w:hint="eastAsia" w:ascii="Times New Roman" w:hAnsi="Times New Roman"/>
                <w:b w:val="0"/>
                <w:bCs w:val="0"/>
                <w:szCs w:val="21"/>
                <w:lang w:eastAsia="zh-CN"/>
              </w:rPr>
              <w:t>（</w:t>
            </w:r>
            <w:r>
              <w:rPr>
                <w:rFonts w:hint="eastAsia" w:ascii="Times New Roman" w:hAnsi="Times New Roman"/>
                <w:b w:val="0"/>
                <w:bCs w:val="0"/>
                <w:szCs w:val="21"/>
                <w:lang w:val="en-US" w:eastAsia="zh-CN"/>
              </w:rPr>
              <w:t>±3mm</w:t>
            </w:r>
            <w:r>
              <w:rPr>
                <w:rFonts w:hint="eastAsia" w:ascii="Times New Roman" w:hAnsi="Times New Roman"/>
                <w:b w:val="0"/>
                <w:bCs w:val="0"/>
                <w:szCs w:val="21"/>
                <w:lang w:eastAsia="zh-CN"/>
              </w:rPr>
              <w:t>）</w:t>
            </w:r>
            <w:r>
              <w:rPr>
                <w:rFonts w:hint="eastAsia" w:ascii="Times New Roman" w:hAnsi="Times New Roman"/>
                <w:b w:val="0"/>
                <w:bCs w:val="0"/>
                <w:szCs w:val="21"/>
              </w:rPr>
              <w:t>的实木多层板，前后造型挡板采用厚度12mm</w:t>
            </w:r>
            <w:r>
              <w:rPr>
                <w:rFonts w:hint="eastAsia" w:ascii="Times New Roman" w:hAnsi="Times New Roman"/>
                <w:b w:val="0"/>
                <w:bCs w:val="0"/>
                <w:szCs w:val="21"/>
                <w:lang w:eastAsia="zh-CN"/>
              </w:rPr>
              <w:t>（</w:t>
            </w:r>
            <w:r>
              <w:rPr>
                <w:rFonts w:hint="eastAsia" w:ascii="Times New Roman" w:hAnsi="Times New Roman"/>
                <w:b w:val="0"/>
                <w:bCs w:val="0"/>
                <w:szCs w:val="21"/>
                <w:lang w:val="en-US" w:eastAsia="zh-CN"/>
              </w:rPr>
              <w:t>±3mm</w:t>
            </w:r>
            <w:r>
              <w:rPr>
                <w:rFonts w:hint="eastAsia" w:ascii="Times New Roman" w:hAnsi="Times New Roman"/>
                <w:b w:val="0"/>
                <w:bCs w:val="0"/>
                <w:szCs w:val="21"/>
                <w:lang w:eastAsia="zh-CN"/>
              </w:rPr>
              <w:t>）</w:t>
            </w:r>
            <w:r>
              <w:rPr>
                <w:rFonts w:hint="eastAsia" w:ascii="Times New Roman" w:hAnsi="Times New Roman"/>
                <w:b w:val="0"/>
                <w:bCs w:val="0"/>
                <w:szCs w:val="21"/>
              </w:rPr>
              <w:t>的实木多层板。前后造型板呈两层高顶松元素造型，最顶部（即树顶）采用圆角处理，造型板前后可挂小黑板。支撑圆棒采用桦木原木，共6条，尺寸为：φ22x396mm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b w:val="0"/>
                <w:bCs w:val="0"/>
                <w:szCs w:val="21"/>
              </w:rPr>
              <w:t>，屋顶搭配1条浅绿色半透帐纱以及1条白色半透帐纱，顶部使用一条魔术贴（无魔术贴）可轻松拆卸清洗。</w:t>
            </w:r>
          </w:p>
          <w:p w14:paraId="4D5B5A25">
            <w:pPr>
              <w:jc w:val="left"/>
              <w:rPr>
                <w:rFonts w:hint="eastAsia" w:ascii="Times New Roman" w:hAnsi="Times New Roman"/>
                <w:b w:val="0"/>
                <w:bCs w:val="0"/>
                <w:szCs w:val="21"/>
              </w:rPr>
            </w:pPr>
            <w:r>
              <w:rPr>
                <w:rFonts w:hint="eastAsia" w:ascii="Times New Roman" w:hAnsi="Times New Roman"/>
                <w:b w:val="0"/>
                <w:bCs w:val="0"/>
                <w:szCs w:val="21"/>
              </w:rPr>
              <w:t>(2）坐垫面离地高度：280mm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b w:val="0"/>
                <w:bCs w:val="0"/>
                <w:szCs w:val="21"/>
              </w:rPr>
              <w:t>，坐垫呈灰白色，尺寸为L770xW390xH30mm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b w:val="0"/>
                <w:bCs w:val="0"/>
                <w:szCs w:val="21"/>
              </w:rPr>
              <w:t>，面料柔软透气不闷热，坐垫内部填充高弹海绵，回弹性强，能拆卸清洗；坐柜下是2个左右对称的收纳格，内空尺寸为L376xW396xH145mm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b w:val="0"/>
                <w:bCs w:val="0"/>
                <w:szCs w:val="21"/>
              </w:rPr>
              <w:t>。</w:t>
            </w:r>
          </w:p>
          <w:p w14:paraId="6D3ED5C9">
            <w:pPr>
              <w:jc w:val="left"/>
              <w:rPr>
                <w:rFonts w:hint="eastAsia" w:ascii="Times New Roman" w:hAnsi="Times New Roman"/>
                <w:b w:val="0"/>
                <w:bCs w:val="0"/>
                <w:szCs w:val="21"/>
              </w:rPr>
            </w:pPr>
            <w:r>
              <w:rPr>
                <w:rFonts w:hint="eastAsia" w:ascii="Times New Roman" w:hAnsi="Times New Roman"/>
                <w:b w:val="0"/>
                <w:bCs w:val="0"/>
                <w:szCs w:val="21"/>
              </w:rPr>
              <w:t>(3)底部安装塑料脚垫，高度为H10mm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b w:val="0"/>
                <w:bCs w:val="0"/>
                <w:szCs w:val="21"/>
              </w:rPr>
              <w:t>，直径17mm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b w:val="0"/>
                <w:bCs w:val="0"/>
                <w:szCs w:val="21"/>
              </w:rPr>
              <w:t>,可有效保护地面刮花并降低噪音。</w:t>
            </w:r>
          </w:p>
          <w:p w14:paraId="797FD3A8">
            <w:pPr>
              <w:jc w:val="left"/>
              <w:rPr>
                <w:rFonts w:hint="eastAsia" w:ascii="Times New Roman" w:hAnsi="Times New Roman"/>
                <w:b w:val="0"/>
                <w:bCs w:val="0"/>
                <w:szCs w:val="21"/>
              </w:rPr>
            </w:pPr>
            <w:r>
              <w:rPr>
                <w:rFonts w:hint="eastAsia" w:ascii="Times New Roman" w:hAnsi="Times New Roman"/>
                <w:b w:val="0"/>
                <w:bCs w:val="0"/>
                <w:szCs w:val="21"/>
              </w:rPr>
              <w:t>(4)搭配：产品包含1块尺寸为L200xW150mm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b w:val="0"/>
                <w:bCs w:val="0"/>
                <w:szCs w:val="21"/>
              </w:rPr>
              <w:t>的吊牌黑板，表面贴黑色防火板，可使用粉笔进行擦写；1个450x450mm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b w:val="0"/>
                <w:bCs w:val="0"/>
                <w:szCs w:val="21"/>
              </w:rPr>
              <w:t>大小流苏方形抱枕，颜色姜黄色；1条浅绿色半透帐纱；1条白色半透帐纱；收纳布袋尺寸L300xW220mm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b w:val="0"/>
                <w:bCs w:val="0"/>
                <w:szCs w:val="21"/>
              </w:rPr>
              <w:t>。</w:t>
            </w:r>
          </w:p>
          <w:p w14:paraId="61440A2E">
            <w:pPr>
              <w:jc w:val="left"/>
              <w:rPr>
                <w:rFonts w:hint="eastAsia" w:ascii="Times New Roman" w:hAnsi="Times New Roman"/>
                <w:b w:val="0"/>
                <w:bCs w:val="0"/>
                <w:szCs w:val="21"/>
              </w:rPr>
            </w:pPr>
            <w:r>
              <w:rPr>
                <w:rFonts w:hint="eastAsia" w:ascii="Times New Roman" w:hAnsi="Times New Roman"/>
                <w:b w:val="0"/>
                <w:bCs w:val="0"/>
                <w:szCs w:val="21"/>
              </w:rPr>
              <w:t>（5）油漆：采用的水性漆，全封闭涂装工艺，漆面光泽高透，颜色均匀。</w:t>
            </w:r>
          </w:p>
        </w:tc>
      </w:tr>
      <w:tr w14:paraId="56BE0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3" w:type="pct"/>
            <w:vMerge w:val="restart"/>
            <w:noWrap w:val="0"/>
            <w:vAlign w:val="center"/>
          </w:tcPr>
          <w:p w14:paraId="318BD1EF">
            <w:pPr>
              <w:keepNext w:val="0"/>
              <w:keepLines w:val="0"/>
              <w:widowControl/>
              <w:suppressLineNumbers w:val="0"/>
              <w:jc w:val="center"/>
              <w:textAlignment w:val="center"/>
              <w:rPr>
                <w:b/>
                <w:szCs w:val="21"/>
              </w:rPr>
            </w:pPr>
            <w:r>
              <w:rPr>
                <w:rFonts w:hint="default" w:ascii="Arial" w:hAnsi="Arial" w:eastAsia="宋体" w:cs="Arial"/>
                <w:i w:val="0"/>
                <w:iCs w:val="0"/>
                <w:color w:val="000000"/>
                <w:kern w:val="0"/>
                <w:sz w:val="20"/>
                <w:szCs w:val="20"/>
                <w:u w:val="none"/>
                <w:lang w:val="en-US" w:eastAsia="zh-CN" w:bidi="ar"/>
              </w:rPr>
              <w:t xml:space="preserve">86 </w:t>
            </w:r>
          </w:p>
        </w:tc>
        <w:tc>
          <w:tcPr>
            <w:tcW w:w="440" w:type="pct"/>
            <w:vMerge w:val="restart"/>
            <w:noWrap w:val="0"/>
            <w:vAlign w:val="center"/>
          </w:tcPr>
          <w:p w14:paraId="44A15E31">
            <w:pPr>
              <w:keepNext w:val="0"/>
              <w:keepLines w:val="0"/>
              <w:widowControl/>
              <w:suppressLineNumbers w:val="0"/>
              <w:jc w:val="center"/>
              <w:textAlignment w:val="center"/>
              <w:rPr>
                <w:rFonts w:hint="eastAsia" w:ascii="Times New Roman" w:hAnsi="Times New Roman"/>
                <w:szCs w:val="21"/>
              </w:rPr>
            </w:pPr>
            <w:r>
              <w:rPr>
                <w:rFonts w:hint="eastAsia" w:ascii="宋体" w:hAnsi="宋体" w:eastAsia="宋体" w:cs="宋体"/>
                <w:i w:val="0"/>
                <w:iCs w:val="0"/>
                <w:color w:val="000000"/>
                <w:kern w:val="0"/>
                <w:sz w:val="20"/>
                <w:szCs w:val="20"/>
                <w:u w:val="none"/>
                <w:lang w:val="en-US" w:eastAsia="zh-CN" w:bidi="ar"/>
              </w:rPr>
              <w:t>简约书架</w:t>
            </w:r>
          </w:p>
        </w:tc>
        <w:tc>
          <w:tcPr>
            <w:tcW w:w="4225" w:type="pct"/>
            <w:noWrap w:val="0"/>
            <w:vAlign w:val="center"/>
          </w:tcPr>
          <w:p w14:paraId="2460785A">
            <w:pPr>
              <w:jc w:val="left"/>
              <w:rPr>
                <w:rFonts w:hint="eastAsia" w:ascii="Times New Roman" w:hAnsi="Times New Roman"/>
                <w:b w:val="0"/>
                <w:bCs w:val="0"/>
                <w:szCs w:val="21"/>
              </w:rPr>
            </w:pPr>
            <w:r>
              <w:rPr>
                <w:rFonts w:hint="eastAsia" w:ascii="Times New Roman" w:hAnsi="Times New Roman"/>
                <w:b w:val="0"/>
                <w:bCs w:val="0"/>
                <w:szCs w:val="21"/>
              </w:rPr>
              <w:t>规格：L93xW30xH81cm（±3cm）</w:t>
            </w:r>
          </w:p>
        </w:tc>
      </w:tr>
      <w:tr w14:paraId="5F6D2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3" w:type="pct"/>
            <w:vMerge w:val="continue"/>
            <w:noWrap w:val="0"/>
            <w:vAlign w:val="center"/>
          </w:tcPr>
          <w:p w14:paraId="6CCCA3DB">
            <w:pPr>
              <w:jc w:val="center"/>
              <w:rPr>
                <w:b/>
                <w:szCs w:val="21"/>
              </w:rPr>
            </w:pPr>
          </w:p>
        </w:tc>
        <w:tc>
          <w:tcPr>
            <w:tcW w:w="440" w:type="pct"/>
            <w:vMerge w:val="continue"/>
            <w:noWrap w:val="0"/>
            <w:vAlign w:val="top"/>
          </w:tcPr>
          <w:p w14:paraId="15C1F68A">
            <w:pPr>
              <w:jc w:val="center"/>
              <w:rPr>
                <w:rFonts w:hint="eastAsia" w:ascii="Times New Roman" w:hAnsi="Times New Roman"/>
                <w:szCs w:val="21"/>
              </w:rPr>
            </w:pPr>
          </w:p>
        </w:tc>
        <w:tc>
          <w:tcPr>
            <w:tcW w:w="4225" w:type="pct"/>
            <w:noWrap w:val="0"/>
            <w:vAlign w:val="top"/>
          </w:tcPr>
          <w:p w14:paraId="76352CF7">
            <w:pPr>
              <w:jc w:val="left"/>
              <w:rPr>
                <w:rFonts w:hint="eastAsia" w:ascii="Times New Roman" w:hAnsi="Times New Roman"/>
                <w:b w:val="0"/>
                <w:bCs w:val="0"/>
                <w:szCs w:val="21"/>
              </w:rPr>
            </w:pPr>
            <w:r>
              <w:rPr>
                <w:rFonts w:hint="eastAsia" w:ascii="Times New Roman" w:hAnsi="Times New Roman"/>
                <w:b w:val="0"/>
                <w:bCs w:val="0"/>
                <w:szCs w:val="21"/>
              </w:rPr>
              <w:t>1、工艺设计：</w:t>
            </w:r>
          </w:p>
          <w:p w14:paraId="362F191A">
            <w:pPr>
              <w:jc w:val="left"/>
              <w:rPr>
                <w:rFonts w:hint="eastAsia" w:ascii="Times New Roman" w:hAnsi="Times New Roman"/>
                <w:b w:val="0"/>
                <w:bCs w:val="0"/>
                <w:szCs w:val="21"/>
              </w:rPr>
            </w:pPr>
            <w:r>
              <w:rPr>
                <w:rFonts w:hint="eastAsia" w:ascii="Times New Roman" w:hAnsi="Times New Roman"/>
                <w:b w:val="0"/>
                <w:bCs w:val="0"/>
                <w:szCs w:val="21"/>
              </w:rPr>
              <w:t>（1）书架与收纳柜结合，兼具收纳与学习功能。</w:t>
            </w:r>
          </w:p>
          <w:p w14:paraId="052AEEA8">
            <w:pPr>
              <w:jc w:val="left"/>
              <w:rPr>
                <w:rFonts w:hint="eastAsia" w:ascii="Times New Roman" w:hAnsi="Times New Roman"/>
                <w:b w:val="0"/>
                <w:bCs w:val="0"/>
                <w:szCs w:val="21"/>
              </w:rPr>
            </w:pPr>
            <w:r>
              <w:rPr>
                <w:rFonts w:hint="eastAsia" w:ascii="Times New Roman" w:hAnsi="Times New Roman"/>
                <w:b w:val="0"/>
                <w:bCs w:val="0"/>
                <w:szCs w:val="21"/>
              </w:rPr>
              <w:t>（2）所有螺丝位无毛刺不刮手，边角采用圆边/圆角处理以及安全防撞设计，最大程度的避免儿童磕碰伤害，结构稳固。</w:t>
            </w:r>
          </w:p>
        </w:tc>
      </w:tr>
      <w:tr w14:paraId="12C15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3" w:type="pct"/>
            <w:vMerge w:val="continue"/>
            <w:noWrap w:val="0"/>
            <w:vAlign w:val="center"/>
          </w:tcPr>
          <w:p w14:paraId="042A30E4">
            <w:pPr>
              <w:jc w:val="center"/>
              <w:rPr>
                <w:b/>
                <w:szCs w:val="21"/>
              </w:rPr>
            </w:pPr>
          </w:p>
        </w:tc>
        <w:tc>
          <w:tcPr>
            <w:tcW w:w="440" w:type="pct"/>
            <w:vMerge w:val="continue"/>
            <w:noWrap w:val="0"/>
            <w:vAlign w:val="top"/>
          </w:tcPr>
          <w:p w14:paraId="5B2AF443">
            <w:pPr>
              <w:jc w:val="center"/>
              <w:rPr>
                <w:rFonts w:hint="eastAsia" w:ascii="Times New Roman" w:hAnsi="Times New Roman"/>
                <w:szCs w:val="21"/>
              </w:rPr>
            </w:pPr>
          </w:p>
        </w:tc>
        <w:tc>
          <w:tcPr>
            <w:tcW w:w="4225" w:type="pct"/>
            <w:noWrap w:val="0"/>
            <w:vAlign w:val="top"/>
          </w:tcPr>
          <w:p w14:paraId="0B045E5C">
            <w:pPr>
              <w:jc w:val="left"/>
              <w:rPr>
                <w:rFonts w:hint="eastAsia" w:ascii="Times New Roman" w:hAnsi="Times New Roman"/>
                <w:b w:val="0"/>
                <w:bCs w:val="0"/>
                <w:szCs w:val="21"/>
              </w:rPr>
            </w:pPr>
            <w:r>
              <w:rPr>
                <w:rFonts w:hint="eastAsia" w:ascii="Times New Roman" w:hAnsi="Times New Roman"/>
                <w:b w:val="0"/>
                <w:bCs w:val="0"/>
                <w:szCs w:val="21"/>
              </w:rPr>
              <w:t>2、外观结构及材质：</w:t>
            </w:r>
          </w:p>
          <w:p w14:paraId="48CA64BB">
            <w:pPr>
              <w:jc w:val="left"/>
              <w:rPr>
                <w:rFonts w:hint="eastAsia" w:ascii="Times New Roman" w:hAnsi="Times New Roman"/>
                <w:b w:val="0"/>
                <w:bCs w:val="0"/>
                <w:szCs w:val="21"/>
              </w:rPr>
            </w:pPr>
            <w:r>
              <w:rPr>
                <w:rFonts w:hint="eastAsia" w:ascii="Times New Roman" w:hAnsi="Times New Roman"/>
                <w:b w:val="0"/>
                <w:bCs w:val="0"/>
                <w:szCs w:val="21"/>
              </w:rPr>
              <w:t>（1）架体：采用厚度16mm</w:t>
            </w:r>
            <w:r>
              <w:rPr>
                <w:rFonts w:hint="eastAsia" w:ascii="Times New Roman" w:hAnsi="Times New Roman"/>
                <w:b w:val="0"/>
                <w:bCs w:val="0"/>
                <w:szCs w:val="21"/>
                <w:lang w:eastAsia="zh-CN"/>
              </w:rPr>
              <w:t>（</w:t>
            </w:r>
            <w:r>
              <w:rPr>
                <w:rFonts w:hint="eastAsia" w:ascii="Times New Roman" w:hAnsi="Times New Roman"/>
                <w:b w:val="0"/>
                <w:bCs w:val="0"/>
                <w:szCs w:val="21"/>
                <w:lang w:val="en-US" w:eastAsia="zh-CN"/>
              </w:rPr>
              <w:t>±3mm</w:t>
            </w:r>
            <w:r>
              <w:rPr>
                <w:rFonts w:hint="eastAsia" w:ascii="Times New Roman" w:hAnsi="Times New Roman"/>
                <w:b w:val="0"/>
                <w:bCs w:val="0"/>
                <w:szCs w:val="21"/>
                <w:lang w:eastAsia="zh-CN"/>
              </w:rPr>
              <w:t>）</w:t>
            </w:r>
            <w:r>
              <w:rPr>
                <w:rFonts w:hint="eastAsia" w:ascii="Times New Roman" w:hAnsi="Times New Roman"/>
                <w:b w:val="0"/>
                <w:bCs w:val="0"/>
                <w:szCs w:val="21"/>
              </w:rPr>
              <w:t>的桦木纹双饰面浸渍胶膜纸饰面刨花板。共四层书本搁置槽，内空长900mm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b w:val="0"/>
                <w:bCs w:val="0"/>
                <w:szCs w:val="21"/>
              </w:rPr>
              <w:t>，内空宽分别40mm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b w:val="0"/>
                <w:bCs w:val="0"/>
                <w:szCs w:val="21"/>
              </w:rPr>
              <w:t>和38mm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b w:val="0"/>
                <w:bCs w:val="0"/>
                <w:szCs w:val="21"/>
              </w:rPr>
              <w:t>；底层空间：900x300x196mm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b w:val="0"/>
                <w:bCs w:val="0"/>
                <w:szCs w:val="21"/>
              </w:rPr>
              <w:t>。</w:t>
            </w:r>
          </w:p>
          <w:p w14:paraId="0C05D6E1">
            <w:pPr>
              <w:jc w:val="left"/>
              <w:rPr>
                <w:rFonts w:hint="eastAsia" w:ascii="Times New Roman" w:hAnsi="Times New Roman"/>
                <w:b w:val="0"/>
                <w:bCs w:val="0"/>
                <w:szCs w:val="21"/>
              </w:rPr>
            </w:pPr>
            <w:r>
              <w:rPr>
                <w:rFonts w:hint="eastAsia" w:ascii="Times New Roman" w:hAnsi="Times New Roman"/>
                <w:b w:val="0"/>
                <w:bCs w:val="0"/>
                <w:szCs w:val="21"/>
              </w:rPr>
              <w:t>（2）围脚：底部安装塑料脚垫，高度为H10mm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b w:val="0"/>
                <w:bCs w:val="0"/>
                <w:szCs w:val="21"/>
              </w:rPr>
              <w:t>，直径17mm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b w:val="0"/>
                <w:bCs w:val="0"/>
                <w:szCs w:val="21"/>
              </w:rPr>
              <w:t>，软性防滑，可有效保护地面刮花并降低噪音。</w:t>
            </w:r>
          </w:p>
          <w:p w14:paraId="2633164B">
            <w:pPr>
              <w:jc w:val="left"/>
              <w:rPr>
                <w:rFonts w:hint="eastAsia" w:ascii="Times New Roman" w:hAnsi="Times New Roman"/>
                <w:b w:val="0"/>
                <w:bCs w:val="0"/>
                <w:szCs w:val="21"/>
              </w:rPr>
            </w:pPr>
            <w:r>
              <w:rPr>
                <w:rFonts w:hint="eastAsia" w:ascii="Times New Roman" w:hAnsi="Times New Roman"/>
                <w:b w:val="0"/>
                <w:bCs w:val="0"/>
                <w:szCs w:val="21"/>
              </w:rPr>
              <w:t>（3）封边条：采用PVC封边条，表面光滑平整，封边细腻硬度高，线条均匀，转角过渡自然，无脱胶，表面光滑平整无胶渍。</w:t>
            </w:r>
          </w:p>
        </w:tc>
      </w:tr>
      <w:tr w14:paraId="61DC3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3" w:type="pct"/>
            <w:vMerge w:val="restart"/>
            <w:noWrap w:val="0"/>
            <w:vAlign w:val="center"/>
          </w:tcPr>
          <w:p w14:paraId="08777232">
            <w:pPr>
              <w:keepNext w:val="0"/>
              <w:keepLines w:val="0"/>
              <w:widowControl/>
              <w:suppressLineNumbers w:val="0"/>
              <w:jc w:val="center"/>
              <w:textAlignment w:val="center"/>
              <w:rPr>
                <w:b/>
                <w:szCs w:val="21"/>
              </w:rPr>
            </w:pPr>
            <w:r>
              <w:rPr>
                <w:rFonts w:hint="default" w:ascii="Arial" w:hAnsi="Arial" w:eastAsia="宋体" w:cs="Arial"/>
                <w:i w:val="0"/>
                <w:iCs w:val="0"/>
                <w:color w:val="000000"/>
                <w:kern w:val="0"/>
                <w:sz w:val="20"/>
                <w:szCs w:val="20"/>
                <w:u w:val="none"/>
                <w:lang w:val="en-US" w:eastAsia="zh-CN" w:bidi="ar"/>
              </w:rPr>
              <w:t xml:space="preserve">87 </w:t>
            </w:r>
          </w:p>
        </w:tc>
        <w:tc>
          <w:tcPr>
            <w:tcW w:w="440" w:type="pct"/>
            <w:vMerge w:val="restart"/>
            <w:noWrap w:val="0"/>
            <w:vAlign w:val="center"/>
          </w:tcPr>
          <w:p w14:paraId="35063CC9">
            <w:pPr>
              <w:keepNext w:val="0"/>
              <w:keepLines w:val="0"/>
              <w:widowControl/>
              <w:suppressLineNumbers w:val="0"/>
              <w:jc w:val="center"/>
              <w:textAlignment w:val="center"/>
              <w:rPr>
                <w:rFonts w:hint="eastAsia" w:ascii="Times New Roman" w:hAnsi="Times New Roman"/>
                <w:szCs w:val="21"/>
              </w:rPr>
            </w:pPr>
            <w:r>
              <w:rPr>
                <w:rFonts w:hint="eastAsia" w:ascii="宋体" w:hAnsi="宋体" w:eastAsia="宋体" w:cs="宋体"/>
                <w:i w:val="0"/>
                <w:iCs w:val="0"/>
                <w:color w:val="000000"/>
                <w:kern w:val="0"/>
                <w:sz w:val="20"/>
                <w:szCs w:val="20"/>
                <w:u w:val="none"/>
                <w:lang w:val="en-US" w:eastAsia="zh-CN" w:bidi="ar"/>
              </w:rPr>
              <w:t>托育蘑菇造型小书架</w:t>
            </w:r>
          </w:p>
        </w:tc>
        <w:tc>
          <w:tcPr>
            <w:tcW w:w="4225" w:type="pct"/>
            <w:noWrap w:val="0"/>
            <w:vAlign w:val="center"/>
          </w:tcPr>
          <w:p w14:paraId="1933FC35">
            <w:pPr>
              <w:jc w:val="left"/>
              <w:rPr>
                <w:rFonts w:hint="eastAsia" w:ascii="Times New Roman" w:hAnsi="Times New Roman"/>
                <w:b w:val="0"/>
                <w:bCs w:val="0"/>
                <w:szCs w:val="21"/>
              </w:rPr>
            </w:pPr>
            <w:r>
              <w:rPr>
                <w:rFonts w:hint="eastAsia" w:ascii="Times New Roman" w:hAnsi="Times New Roman"/>
                <w:b w:val="0"/>
                <w:bCs w:val="0"/>
                <w:szCs w:val="21"/>
              </w:rPr>
              <w:t>规格：L60xW42xH34.5cm（±3cm）</w:t>
            </w:r>
          </w:p>
        </w:tc>
      </w:tr>
      <w:tr w14:paraId="16B4E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3" w:type="pct"/>
            <w:vMerge w:val="continue"/>
            <w:noWrap w:val="0"/>
            <w:vAlign w:val="center"/>
          </w:tcPr>
          <w:p w14:paraId="426F88BB">
            <w:pPr>
              <w:jc w:val="center"/>
              <w:rPr>
                <w:b/>
                <w:szCs w:val="21"/>
              </w:rPr>
            </w:pPr>
          </w:p>
        </w:tc>
        <w:tc>
          <w:tcPr>
            <w:tcW w:w="440" w:type="pct"/>
            <w:vMerge w:val="continue"/>
            <w:noWrap w:val="0"/>
            <w:vAlign w:val="top"/>
          </w:tcPr>
          <w:p w14:paraId="67F904FE">
            <w:pPr>
              <w:jc w:val="center"/>
              <w:rPr>
                <w:rFonts w:hint="eastAsia" w:ascii="Times New Roman" w:hAnsi="Times New Roman"/>
                <w:szCs w:val="21"/>
              </w:rPr>
            </w:pPr>
          </w:p>
        </w:tc>
        <w:tc>
          <w:tcPr>
            <w:tcW w:w="4225" w:type="pct"/>
            <w:noWrap w:val="0"/>
            <w:vAlign w:val="top"/>
          </w:tcPr>
          <w:p w14:paraId="362CE254">
            <w:pPr>
              <w:jc w:val="left"/>
              <w:rPr>
                <w:rFonts w:hint="eastAsia" w:ascii="Times New Roman" w:hAnsi="Times New Roman"/>
                <w:b w:val="0"/>
                <w:bCs w:val="0"/>
                <w:szCs w:val="21"/>
              </w:rPr>
            </w:pPr>
            <w:r>
              <w:rPr>
                <w:rFonts w:hint="eastAsia" w:ascii="Times New Roman" w:hAnsi="Times New Roman"/>
                <w:b w:val="0"/>
                <w:bCs w:val="0"/>
                <w:szCs w:val="21"/>
              </w:rPr>
              <w:t>1、工艺设计：</w:t>
            </w:r>
          </w:p>
          <w:p w14:paraId="58346CD0">
            <w:pPr>
              <w:jc w:val="left"/>
              <w:rPr>
                <w:rFonts w:hint="eastAsia" w:ascii="Times New Roman" w:hAnsi="Times New Roman"/>
                <w:b w:val="0"/>
                <w:bCs w:val="0"/>
                <w:szCs w:val="21"/>
              </w:rPr>
            </w:pPr>
            <w:r>
              <w:rPr>
                <w:rFonts w:hint="eastAsia" w:ascii="Times New Roman" w:hAnsi="Times New Roman"/>
                <w:b w:val="0"/>
                <w:bCs w:val="0"/>
                <w:szCs w:val="21"/>
              </w:rPr>
              <w:t>（1）蘑菇元素造型设计，标准几何镂空图形，激发幼儿阅读兴趣。</w:t>
            </w:r>
          </w:p>
          <w:p w14:paraId="39DDEC63">
            <w:pPr>
              <w:jc w:val="left"/>
              <w:rPr>
                <w:rFonts w:hint="eastAsia" w:ascii="Times New Roman" w:hAnsi="Times New Roman"/>
                <w:b w:val="0"/>
                <w:bCs w:val="0"/>
                <w:szCs w:val="21"/>
              </w:rPr>
            </w:pPr>
            <w:r>
              <w:rPr>
                <w:rFonts w:hint="eastAsia" w:ascii="Times New Roman" w:hAnsi="Times New Roman"/>
                <w:b w:val="0"/>
                <w:bCs w:val="0"/>
                <w:szCs w:val="21"/>
              </w:rPr>
              <w:t>（2）采用美工机喷绘工艺，搭配油墨，图案附着力好，生动立体不易褪色。</w:t>
            </w:r>
          </w:p>
          <w:p w14:paraId="5AFD0145">
            <w:pPr>
              <w:jc w:val="left"/>
              <w:rPr>
                <w:rFonts w:hint="eastAsia" w:ascii="Times New Roman" w:hAnsi="Times New Roman"/>
                <w:b w:val="0"/>
                <w:bCs w:val="0"/>
                <w:szCs w:val="21"/>
              </w:rPr>
            </w:pPr>
            <w:r>
              <w:rPr>
                <w:rFonts w:hint="eastAsia" w:ascii="Times New Roman" w:hAnsi="Times New Roman"/>
                <w:b w:val="0"/>
                <w:bCs w:val="0"/>
                <w:szCs w:val="21"/>
              </w:rPr>
              <w:t>（3）所有螺丝位无毛刺不刮手，边角采用圆边/圆角处理以及安全防撞设计，最大程度的避免儿童磕碰伤害，结构稳固。</w:t>
            </w:r>
          </w:p>
        </w:tc>
      </w:tr>
      <w:tr w14:paraId="7B646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3" w:type="pct"/>
            <w:vMerge w:val="continue"/>
            <w:noWrap w:val="0"/>
            <w:vAlign w:val="center"/>
          </w:tcPr>
          <w:p w14:paraId="16D0DE6E">
            <w:pPr>
              <w:jc w:val="center"/>
              <w:rPr>
                <w:b/>
                <w:szCs w:val="21"/>
              </w:rPr>
            </w:pPr>
          </w:p>
        </w:tc>
        <w:tc>
          <w:tcPr>
            <w:tcW w:w="440" w:type="pct"/>
            <w:vMerge w:val="continue"/>
            <w:noWrap w:val="0"/>
            <w:vAlign w:val="top"/>
          </w:tcPr>
          <w:p w14:paraId="02CD89E5">
            <w:pPr>
              <w:jc w:val="center"/>
              <w:rPr>
                <w:rFonts w:hint="eastAsia" w:ascii="Times New Roman" w:hAnsi="Times New Roman"/>
                <w:szCs w:val="21"/>
              </w:rPr>
            </w:pPr>
          </w:p>
        </w:tc>
        <w:tc>
          <w:tcPr>
            <w:tcW w:w="4225" w:type="pct"/>
            <w:noWrap w:val="0"/>
            <w:vAlign w:val="top"/>
          </w:tcPr>
          <w:p w14:paraId="2911CCFE">
            <w:pPr>
              <w:jc w:val="left"/>
              <w:rPr>
                <w:rFonts w:hint="eastAsia" w:ascii="Times New Roman" w:hAnsi="Times New Roman"/>
                <w:b w:val="0"/>
                <w:bCs w:val="0"/>
                <w:szCs w:val="21"/>
              </w:rPr>
            </w:pPr>
            <w:r>
              <w:rPr>
                <w:rFonts w:hint="eastAsia" w:ascii="Times New Roman" w:hAnsi="Times New Roman"/>
                <w:b w:val="0"/>
                <w:bCs w:val="0"/>
                <w:szCs w:val="21"/>
              </w:rPr>
              <w:t>2、外观结构及材质：</w:t>
            </w:r>
          </w:p>
          <w:p w14:paraId="3B36E101">
            <w:pPr>
              <w:jc w:val="left"/>
              <w:rPr>
                <w:rFonts w:hint="eastAsia" w:ascii="Times New Roman" w:hAnsi="Times New Roman"/>
                <w:b w:val="0"/>
                <w:bCs w:val="0"/>
                <w:szCs w:val="21"/>
              </w:rPr>
            </w:pPr>
            <w:r>
              <w:rPr>
                <w:rFonts w:hint="eastAsia" w:ascii="Times New Roman" w:hAnsi="Times New Roman"/>
                <w:b w:val="0"/>
                <w:bCs w:val="0"/>
                <w:szCs w:val="21"/>
              </w:rPr>
              <w:t>（1）采用厚度12mm</w:t>
            </w:r>
            <w:r>
              <w:rPr>
                <w:rFonts w:hint="eastAsia" w:ascii="Times New Roman" w:hAnsi="Times New Roman"/>
                <w:b w:val="0"/>
                <w:bCs w:val="0"/>
                <w:szCs w:val="21"/>
                <w:lang w:eastAsia="zh-CN"/>
              </w:rPr>
              <w:t>（</w:t>
            </w:r>
            <w:r>
              <w:rPr>
                <w:rFonts w:hint="eastAsia" w:ascii="Times New Roman" w:hAnsi="Times New Roman"/>
                <w:b w:val="0"/>
                <w:bCs w:val="0"/>
                <w:szCs w:val="21"/>
                <w:lang w:val="en-US" w:eastAsia="zh-CN"/>
              </w:rPr>
              <w:t>±3mm</w:t>
            </w:r>
            <w:r>
              <w:rPr>
                <w:rFonts w:hint="eastAsia" w:ascii="Times New Roman" w:hAnsi="Times New Roman"/>
                <w:b w:val="0"/>
                <w:bCs w:val="0"/>
                <w:szCs w:val="21"/>
                <w:lang w:eastAsia="zh-CN"/>
              </w:rPr>
              <w:t>）</w:t>
            </w:r>
            <w:r>
              <w:rPr>
                <w:rFonts w:hint="eastAsia" w:ascii="Times New Roman" w:hAnsi="Times New Roman"/>
                <w:b w:val="0"/>
                <w:bCs w:val="0"/>
                <w:szCs w:val="21"/>
              </w:rPr>
              <w:t>的实木多层板。中间格子分三格，每个内空长宽为：184x236mm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b w:val="0"/>
                <w:bCs w:val="0"/>
                <w:szCs w:val="21"/>
              </w:rPr>
              <w:t>；两边上书槽宽：65mm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b w:val="0"/>
                <w:bCs w:val="0"/>
                <w:szCs w:val="21"/>
              </w:rPr>
              <w:t>，长：576mm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b w:val="0"/>
                <w:bCs w:val="0"/>
                <w:szCs w:val="21"/>
              </w:rPr>
              <w:t>，书架正反面安装厚度5mm</w:t>
            </w:r>
            <w:r>
              <w:rPr>
                <w:rFonts w:hint="eastAsia" w:ascii="Times New Roman" w:hAnsi="Times New Roman"/>
                <w:b w:val="0"/>
                <w:bCs w:val="0"/>
                <w:szCs w:val="21"/>
                <w:lang w:eastAsia="zh-CN"/>
              </w:rPr>
              <w:t>（</w:t>
            </w:r>
            <w:r>
              <w:rPr>
                <w:rFonts w:hint="eastAsia" w:ascii="Times New Roman" w:hAnsi="Times New Roman"/>
                <w:b w:val="0"/>
                <w:bCs w:val="0"/>
                <w:szCs w:val="21"/>
                <w:lang w:val="en-US" w:eastAsia="zh-CN"/>
              </w:rPr>
              <w:t>±3mm</w:t>
            </w:r>
            <w:r>
              <w:rPr>
                <w:rFonts w:hint="eastAsia" w:ascii="Times New Roman" w:hAnsi="Times New Roman"/>
                <w:b w:val="0"/>
                <w:bCs w:val="0"/>
                <w:szCs w:val="21"/>
                <w:lang w:eastAsia="zh-CN"/>
              </w:rPr>
              <w:t>）</w:t>
            </w:r>
            <w:r>
              <w:rPr>
                <w:rFonts w:hint="eastAsia" w:ascii="Times New Roman" w:hAnsi="Times New Roman"/>
                <w:b w:val="0"/>
                <w:bCs w:val="0"/>
                <w:szCs w:val="21"/>
              </w:rPr>
              <w:t>亚克力板。</w:t>
            </w:r>
          </w:p>
          <w:p w14:paraId="02A5001D">
            <w:pPr>
              <w:jc w:val="left"/>
              <w:rPr>
                <w:rFonts w:hint="eastAsia" w:ascii="Times New Roman" w:hAnsi="Times New Roman"/>
                <w:b w:val="0"/>
                <w:bCs w:val="0"/>
                <w:szCs w:val="21"/>
              </w:rPr>
            </w:pPr>
            <w:r>
              <w:rPr>
                <w:rFonts w:hint="eastAsia" w:ascii="Times New Roman" w:hAnsi="Times New Roman"/>
                <w:b w:val="0"/>
                <w:bCs w:val="0"/>
                <w:szCs w:val="21"/>
              </w:rPr>
              <w:t>（2）侧板顶部圆形镂空造型，可作为抓握扶手也可作为拎放提手，镂空直径：120mm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b w:val="0"/>
                <w:bCs w:val="0"/>
                <w:szCs w:val="21"/>
              </w:rPr>
              <w:t>。底部安装塑料脚垫，高度为H5mm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b w:val="0"/>
                <w:bCs w:val="0"/>
                <w:szCs w:val="21"/>
              </w:rPr>
              <w:t>，直径13mm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b w:val="0"/>
                <w:bCs w:val="0"/>
                <w:szCs w:val="21"/>
              </w:rPr>
              <w:t>，软性防滑，可有效保护地面刮花并降低噪音。</w:t>
            </w:r>
          </w:p>
          <w:p w14:paraId="7128BEBA">
            <w:pPr>
              <w:jc w:val="left"/>
              <w:rPr>
                <w:rFonts w:hint="eastAsia" w:ascii="Times New Roman" w:hAnsi="Times New Roman"/>
                <w:b w:val="0"/>
                <w:bCs w:val="0"/>
                <w:szCs w:val="21"/>
              </w:rPr>
            </w:pPr>
            <w:r>
              <w:rPr>
                <w:rFonts w:hint="eastAsia" w:ascii="Times New Roman" w:hAnsi="Times New Roman"/>
                <w:b w:val="0"/>
                <w:bCs w:val="0"/>
                <w:szCs w:val="21"/>
              </w:rPr>
              <w:t>（3）油漆：采用的水性漆，全封闭涂装工艺，漆面光泽高透，颜色均匀。</w:t>
            </w:r>
          </w:p>
          <w:p w14:paraId="16CF21EC">
            <w:pPr>
              <w:jc w:val="left"/>
              <w:rPr>
                <w:rFonts w:hint="eastAsia" w:ascii="Times New Roman" w:hAnsi="Times New Roman"/>
                <w:b w:val="0"/>
                <w:bCs w:val="0"/>
                <w:szCs w:val="21"/>
              </w:rPr>
            </w:pPr>
            <w:r>
              <w:rPr>
                <w:rFonts w:hint="eastAsia" w:ascii="Times New Roman" w:hAnsi="Times New Roman"/>
                <w:b w:val="0"/>
                <w:bCs w:val="0"/>
                <w:szCs w:val="21"/>
              </w:rPr>
              <w:t>（4）油墨：采用水性油墨，颜色饱满，无毒无异味。</w:t>
            </w:r>
          </w:p>
        </w:tc>
      </w:tr>
      <w:tr w14:paraId="276C1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3" w:type="pct"/>
            <w:vMerge w:val="restart"/>
            <w:noWrap w:val="0"/>
            <w:vAlign w:val="center"/>
          </w:tcPr>
          <w:p w14:paraId="5988E96C">
            <w:pPr>
              <w:keepNext w:val="0"/>
              <w:keepLines w:val="0"/>
              <w:widowControl/>
              <w:suppressLineNumbers w:val="0"/>
              <w:jc w:val="center"/>
              <w:textAlignment w:val="center"/>
              <w:rPr>
                <w:b/>
                <w:szCs w:val="21"/>
              </w:rPr>
            </w:pPr>
            <w:r>
              <w:rPr>
                <w:rFonts w:hint="default" w:ascii="Arial" w:hAnsi="Arial" w:eastAsia="宋体" w:cs="Arial"/>
                <w:i w:val="0"/>
                <w:iCs w:val="0"/>
                <w:color w:val="000000"/>
                <w:kern w:val="0"/>
                <w:sz w:val="20"/>
                <w:szCs w:val="20"/>
                <w:u w:val="none"/>
                <w:lang w:val="en-US" w:eastAsia="zh-CN" w:bidi="ar"/>
              </w:rPr>
              <w:t xml:space="preserve">88 </w:t>
            </w:r>
          </w:p>
        </w:tc>
        <w:tc>
          <w:tcPr>
            <w:tcW w:w="440" w:type="pct"/>
            <w:vMerge w:val="restart"/>
            <w:noWrap w:val="0"/>
            <w:vAlign w:val="center"/>
          </w:tcPr>
          <w:p w14:paraId="1C442574">
            <w:pPr>
              <w:keepNext w:val="0"/>
              <w:keepLines w:val="0"/>
              <w:widowControl/>
              <w:suppressLineNumbers w:val="0"/>
              <w:jc w:val="center"/>
              <w:textAlignment w:val="center"/>
              <w:rPr>
                <w:rFonts w:hint="eastAsia" w:ascii="Times New Roman" w:hAnsi="Times New Roman"/>
                <w:szCs w:val="21"/>
              </w:rPr>
            </w:pPr>
            <w:r>
              <w:rPr>
                <w:rFonts w:hint="eastAsia" w:ascii="宋体" w:hAnsi="宋体" w:eastAsia="宋体" w:cs="宋体"/>
                <w:i w:val="0"/>
                <w:iCs w:val="0"/>
                <w:color w:val="000000"/>
                <w:kern w:val="0"/>
                <w:sz w:val="20"/>
                <w:szCs w:val="20"/>
                <w:u w:val="none"/>
                <w:lang w:val="en-US" w:eastAsia="zh-CN" w:bidi="ar"/>
              </w:rPr>
              <w:t>移动小书架</w:t>
            </w:r>
          </w:p>
        </w:tc>
        <w:tc>
          <w:tcPr>
            <w:tcW w:w="4225" w:type="pct"/>
            <w:noWrap w:val="0"/>
            <w:vAlign w:val="center"/>
          </w:tcPr>
          <w:p w14:paraId="6C41D157">
            <w:pPr>
              <w:jc w:val="left"/>
              <w:rPr>
                <w:rFonts w:hint="eastAsia" w:ascii="Times New Roman" w:hAnsi="Times New Roman"/>
                <w:b w:val="0"/>
                <w:bCs w:val="0"/>
                <w:szCs w:val="21"/>
              </w:rPr>
            </w:pPr>
            <w:r>
              <w:rPr>
                <w:rFonts w:hint="eastAsia" w:ascii="Times New Roman" w:hAnsi="Times New Roman"/>
                <w:b w:val="0"/>
                <w:bCs w:val="0"/>
                <w:szCs w:val="21"/>
              </w:rPr>
              <w:t>规格：L35xW25xH43.5cm（±3cm）</w:t>
            </w:r>
          </w:p>
        </w:tc>
      </w:tr>
      <w:tr w14:paraId="10433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3" w:type="pct"/>
            <w:vMerge w:val="continue"/>
            <w:noWrap w:val="0"/>
            <w:vAlign w:val="center"/>
          </w:tcPr>
          <w:p w14:paraId="5F328721">
            <w:pPr>
              <w:jc w:val="center"/>
              <w:rPr>
                <w:b/>
                <w:szCs w:val="21"/>
              </w:rPr>
            </w:pPr>
          </w:p>
        </w:tc>
        <w:tc>
          <w:tcPr>
            <w:tcW w:w="440" w:type="pct"/>
            <w:vMerge w:val="continue"/>
            <w:noWrap w:val="0"/>
            <w:vAlign w:val="top"/>
          </w:tcPr>
          <w:p w14:paraId="6D8E9382">
            <w:pPr>
              <w:jc w:val="center"/>
              <w:rPr>
                <w:rFonts w:hint="eastAsia" w:ascii="Times New Roman" w:hAnsi="Times New Roman"/>
                <w:szCs w:val="21"/>
              </w:rPr>
            </w:pPr>
          </w:p>
        </w:tc>
        <w:tc>
          <w:tcPr>
            <w:tcW w:w="4225" w:type="pct"/>
            <w:noWrap w:val="0"/>
            <w:vAlign w:val="top"/>
          </w:tcPr>
          <w:p w14:paraId="2DA857AE">
            <w:pPr>
              <w:jc w:val="left"/>
              <w:rPr>
                <w:rFonts w:hint="eastAsia" w:ascii="Times New Roman" w:hAnsi="Times New Roman"/>
                <w:b w:val="0"/>
                <w:bCs w:val="0"/>
                <w:szCs w:val="21"/>
              </w:rPr>
            </w:pPr>
            <w:r>
              <w:rPr>
                <w:rFonts w:hint="eastAsia" w:ascii="Times New Roman" w:hAnsi="Times New Roman"/>
                <w:b w:val="0"/>
                <w:bCs w:val="0"/>
                <w:szCs w:val="21"/>
              </w:rPr>
              <w:t>1、工艺设计：</w:t>
            </w:r>
          </w:p>
          <w:p w14:paraId="6C8760CB">
            <w:pPr>
              <w:jc w:val="left"/>
              <w:rPr>
                <w:rFonts w:hint="eastAsia" w:ascii="Times New Roman" w:hAnsi="Times New Roman"/>
                <w:b w:val="0"/>
                <w:bCs w:val="0"/>
                <w:szCs w:val="21"/>
              </w:rPr>
            </w:pPr>
            <w:r>
              <w:rPr>
                <w:rFonts w:hint="eastAsia" w:ascii="Times New Roman" w:hAnsi="Times New Roman"/>
                <w:b w:val="0"/>
                <w:bCs w:val="0"/>
                <w:szCs w:val="21"/>
              </w:rPr>
              <w:t>（1）带提手孔与万向轮设计，移动或提放切换便捷。</w:t>
            </w:r>
          </w:p>
          <w:p w14:paraId="5037DE55">
            <w:pPr>
              <w:jc w:val="left"/>
              <w:rPr>
                <w:rFonts w:hint="eastAsia" w:ascii="Times New Roman" w:hAnsi="Times New Roman"/>
                <w:b w:val="0"/>
                <w:bCs w:val="0"/>
                <w:szCs w:val="21"/>
              </w:rPr>
            </w:pPr>
            <w:r>
              <w:rPr>
                <w:rFonts w:hint="eastAsia" w:ascii="Times New Roman" w:hAnsi="Times New Roman"/>
                <w:b w:val="0"/>
                <w:bCs w:val="0"/>
                <w:szCs w:val="21"/>
              </w:rPr>
              <w:t>（2）所有螺丝位无毛刺不刮手，边角采用圆边/圆角处理以及安全防撞设计，最大程度的避免儿童磕碰伤害，结构稳固。</w:t>
            </w:r>
          </w:p>
        </w:tc>
      </w:tr>
      <w:tr w14:paraId="498AE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3" w:type="pct"/>
            <w:vMerge w:val="continue"/>
            <w:noWrap w:val="0"/>
            <w:vAlign w:val="center"/>
          </w:tcPr>
          <w:p w14:paraId="1F4AE72E">
            <w:pPr>
              <w:jc w:val="center"/>
              <w:rPr>
                <w:b/>
                <w:szCs w:val="21"/>
              </w:rPr>
            </w:pPr>
          </w:p>
        </w:tc>
        <w:tc>
          <w:tcPr>
            <w:tcW w:w="440" w:type="pct"/>
            <w:vMerge w:val="continue"/>
            <w:noWrap w:val="0"/>
            <w:vAlign w:val="top"/>
          </w:tcPr>
          <w:p w14:paraId="559DE5AF">
            <w:pPr>
              <w:jc w:val="center"/>
              <w:rPr>
                <w:rFonts w:hint="eastAsia" w:ascii="Times New Roman" w:hAnsi="Times New Roman"/>
                <w:szCs w:val="21"/>
              </w:rPr>
            </w:pPr>
          </w:p>
        </w:tc>
        <w:tc>
          <w:tcPr>
            <w:tcW w:w="4225" w:type="pct"/>
            <w:noWrap w:val="0"/>
            <w:vAlign w:val="top"/>
          </w:tcPr>
          <w:p w14:paraId="13957199">
            <w:pPr>
              <w:jc w:val="left"/>
              <w:rPr>
                <w:rFonts w:hint="eastAsia" w:ascii="Times New Roman" w:hAnsi="Times New Roman"/>
                <w:b w:val="0"/>
                <w:bCs w:val="0"/>
                <w:szCs w:val="21"/>
              </w:rPr>
            </w:pPr>
            <w:r>
              <w:rPr>
                <w:rFonts w:hint="eastAsia" w:ascii="Times New Roman" w:hAnsi="Times New Roman"/>
                <w:b w:val="0"/>
                <w:bCs w:val="0"/>
                <w:szCs w:val="21"/>
              </w:rPr>
              <w:t>2、外观结构及材质：</w:t>
            </w:r>
          </w:p>
          <w:p w14:paraId="026F43B6">
            <w:pPr>
              <w:jc w:val="left"/>
              <w:rPr>
                <w:rFonts w:hint="eastAsia" w:ascii="Times New Roman" w:hAnsi="Times New Roman"/>
                <w:b w:val="0"/>
                <w:bCs w:val="0"/>
                <w:szCs w:val="21"/>
              </w:rPr>
            </w:pPr>
            <w:r>
              <w:rPr>
                <w:rFonts w:hint="eastAsia" w:ascii="Times New Roman" w:hAnsi="Times New Roman"/>
                <w:b w:val="0"/>
                <w:bCs w:val="0"/>
                <w:szCs w:val="21"/>
              </w:rPr>
              <w:t>（1）采用厚度12mm</w:t>
            </w:r>
            <w:r>
              <w:rPr>
                <w:rFonts w:hint="eastAsia" w:ascii="Times New Roman" w:hAnsi="Times New Roman"/>
                <w:b w:val="0"/>
                <w:bCs w:val="0"/>
                <w:szCs w:val="21"/>
                <w:lang w:eastAsia="zh-CN"/>
              </w:rPr>
              <w:t>（</w:t>
            </w:r>
            <w:r>
              <w:rPr>
                <w:rFonts w:hint="eastAsia" w:ascii="Times New Roman" w:hAnsi="Times New Roman"/>
                <w:b w:val="0"/>
                <w:bCs w:val="0"/>
                <w:szCs w:val="21"/>
                <w:lang w:val="en-US" w:eastAsia="zh-CN"/>
              </w:rPr>
              <w:t>±3mm</w:t>
            </w:r>
            <w:r>
              <w:rPr>
                <w:rFonts w:hint="eastAsia" w:ascii="Times New Roman" w:hAnsi="Times New Roman"/>
                <w:b w:val="0"/>
                <w:bCs w:val="0"/>
                <w:szCs w:val="21"/>
                <w:lang w:eastAsia="zh-CN"/>
              </w:rPr>
              <w:t>）</w:t>
            </w:r>
            <w:r>
              <w:rPr>
                <w:rFonts w:hint="eastAsia" w:ascii="Times New Roman" w:hAnsi="Times New Roman"/>
                <w:b w:val="0"/>
                <w:bCs w:val="0"/>
                <w:szCs w:val="21"/>
              </w:rPr>
              <w:t>的桦木纹饰面橡胶木拼板。小书架整体半月弧设计，背板整体高400mm</w:t>
            </w:r>
            <w:r>
              <w:rPr>
                <w:rFonts w:hint="eastAsia" w:ascii="Times New Roman" w:hAnsi="Times New Roman"/>
                <w:b w:val="0"/>
                <w:bCs w:val="0"/>
                <w:szCs w:val="21"/>
                <w:lang w:eastAsia="zh-CN"/>
              </w:rPr>
              <w:t>（</w:t>
            </w:r>
            <w:r>
              <w:rPr>
                <w:rFonts w:hint="eastAsia" w:ascii="Times New Roman" w:hAnsi="Times New Roman"/>
                <w:b w:val="0"/>
                <w:bCs w:val="0"/>
                <w:szCs w:val="21"/>
                <w:lang w:val="en-US" w:eastAsia="zh-CN"/>
              </w:rPr>
              <w:t>±3mm</w:t>
            </w:r>
            <w:r>
              <w:rPr>
                <w:rFonts w:hint="eastAsia" w:ascii="Times New Roman" w:hAnsi="Times New Roman"/>
                <w:b w:val="0"/>
                <w:bCs w:val="0"/>
                <w:szCs w:val="21"/>
                <w:lang w:eastAsia="zh-CN"/>
              </w:rPr>
              <w:t>）</w:t>
            </w:r>
            <w:r>
              <w:rPr>
                <w:rFonts w:hint="eastAsia" w:ascii="Times New Roman" w:hAnsi="Times New Roman"/>
                <w:b w:val="0"/>
                <w:bCs w:val="0"/>
                <w:szCs w:val="21"/>
              </w:rPr>
              <w:t>,顶部设置提手孔，呈圆矩形，尺寸为：120x30mm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b w:val="0"/>
                <w:bCs w:val="0"/>
                <w:szCs w:val="21"/>
              </w:rPr>
              <w:t>，大小高度适合小孩自主拉动，增加孩子们的互动性。两侧板高度320mm形成高低错落感，储放物品一目了然。书架中间竖板隔开上下两个格子，竖板高度206mm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b w:val="0"/>
                <w:bCs w:val="0"/>
                <w:szCs w:val="21"/>
              </w:rPr>
              <w:t>前挡板高140mm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b w:val="0"/>
                <w:bCs w:val="0"/>
                <w:szCs w:val="21"/>
              </w:rPr>
              <w:t>，呈高低错落，便于竖放大小不同的图书，上下格内空分别尺寸：320x105x206mm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b w:val="0"/>
                <w:bCs w:val="0"/>
                <w:szCs w:val="21"/>
              </w:rPr>
              <w:t>/320x105x140mm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b w:val="0"/>
                <w:bCs w:val="0"/>
                <w:szCs w:val="21"/>
              </w:rPr>
              <w:t>。</w:t>
            </w:r>
          </w:p>
          <w:p w14:paraId="4F32B1F8">
            <w:pPr>
              <w:jc w:val="left"/>
              <w:rPr>
                <w:rFonts w:hint="eastAsia" w:ascii="Times New Roman" w:hAnsi="Times New Roman"/>
                <w:b w:val="0"/>
                <w:bCs w:val="0"/>
                <w:szCs w:val="21"/>
              </w:rPr>
            </w:pPr>
            <w:r>
              <w:rPr>
                <w:rFonts w:hint="eastAsia" w:ascii="Times New Roman" w:hAnsi="Times New Roman"/>
                <w:b w:val="0"/>
                <w:bCs w:val="0"/>
                <w:szCs w:val="21"/>
              </w:rPr>
              <w:t>（2）底部安装4个静音万向脚轮，脚轮运行平稳无声，可360°旋转，转动顺滑。</w:t>
            </w:r>
          </w:p>
          <w:p w14:paraId="45225418">
            <w:pPr>
              <w:jc w:val="left"/>
              <w:rPr>
                <w:rFonts w:hint="eastAsia" w:ascii="Times New Roman" w:hAnsi="Times New Roman"/>
                <w:b w:val="0"/>
                <w:bCs w:val="0"/>
                <w:szCs w:val="21"/>
              </w:rPr>
            </w:pPr>
            <w:r>
              <w:rPr>
                <w:rFonts w:hint="eastAsia" w:ascii="Times New Roman" w:hAnsi="Times New Roman"/>
                <w:b w:val="0"/>
                <w:bCs w:val="0"/>
                <w:szCs w:val="21"/>
              </w:rPr>
              <w:t>（3）木蜡油：采用的水性木蜡油封边，成分天然，分子机构细小，成膜牢固，密封性好。</w:t>
            </w:r>
          </w:p>
        </w:tc>
      </w:tr>
      <w:tr w14:paraId="2FF37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3" w:type="pct"/>
            <w:vMerge w:val="restart"/>
            <w:noWrap w:val="0"/>
            <w:vAlign w:val="center"/>
          </w:tcPr>
          <w:p w14:paraId="0C6B4DA1">
            <w:pPr>
              <w:keepNext w:val="0"/>
              <w:keepLines w:val="0"/>
              <w:widowControl/>
              <w:suppressLineNumbers w:val="0"/>
              <w:jc w:val="center"/>
              <w:textAlignment w:val="center"/>
              <w:rPr>
                <w:b/>
                <w:szCs w:val="21"/>
              </w:rPr>
            </w:pPr>
            <w:r>
              <w:rPr>
                <w:rFonts w:hint="default" w:ascii="Arial" w:hAnsi="Arial" w:eastAsia="宋体" w:cs="Arial"/>
                <w:i w:val="0"/>
                <w:iCs w:val="0"/>
                <w:color w:val="000000"/>
                <w:kern w:val="0"/>
                <w:sz w:val="20"/>
                <w:szCs w:val="20"/>
                <w:u w:val="none"/>
                <w:lang w:val="en-US" w:eastAsia="zh-CN" w:bidi="ar"/>
              </w:rPr>
              <w:t xml:space="preserve">89 </w:t>
            </w:r>
          </w:p>
        </w:tc>
        <w:tc>
          <w:tcPr>
            <w:tcW w:w="440" w:type="pct"/>
            <w:vMerge w:val="restart"/>
            <w:noWrap w:val="0"/>
            <w:vAlign w:val="center"/>
          </w:tcPr>
          <w:p w14:paraId="2D57BD17">
            <w:pPr>
              <w:keepNext w:val="0"/>
              <w:keepLines w:val="0"/>
              <w:widowControl/>
              <w:suppressLineNumbers w:val="0"/>
              <w:jc w:val="center"/>
              <w:textAlignment w:val="center"/>
              <w:rPr>
                <w:rFonts w:hint="eastAsia" w:ascii="Times New Roman" w:hAnsi="Times New Roman"/>
                <w:szCs w:val="21"/>
              </w:rPr>
            </w:pPr>
            <w:r>
              <w:rPr>
                <w:rFonts w:hint="eastAsia" w:ascii="宋体" w:hAnsi="宋体" w:eastAsia="宋体" w:cs="宋体"/>
                <w:i w:val="0"/>
                <w:iCs w:val="0"/>
                <w:color w:val="000000"/>
                <w:kern w:val="0"/>
                <w:sz w:val="20"/>
                <w:szCs w:val="20"/>
                <w:u w:val="none"/>
                <w:lang w:val="en-US" w:eastAsia="zh-CN" w:bidi="ar"/>
              </w:rPr>
              <w:t>龙猫口袋单人皮沙发</w:t>
            </w:r>
          </w:p>
        </w:tc>
        <w:tc>
          <w:tcPr>
            <w:tcW w:w="4225" w:type="pct"/>
            <w:noWrap w:val="0"/>
            <w:vAlign w:val="center"/>
          </w:tcPr>
          <w:p w14:paraId="1B9A8461">
            <w:pPr>
              <w:jc w:val="left"/>
              <w:rPr>
                <w:rFonts w:hint="eastAsia" w:ascii="Times New Roman" w:hAnsi="Times New Roman"/>
                <w:b w:val="0"/>
                <w:bCs w:val="0"/>
                <w:szCs w:val="21"/>
              </w:rPr>
            </w:pPr>
            <w:r>
              <w:rPr>
                <w:rFonts w:hint="eastAsia" w:ascii="Times New Roman" w:hAnsi="Times New Roman"/>
                <w:b w:val="0"/>
                <w:bCs w:val="0"/>
                <w:szCs w:val="21"/>
              </w:rPr>
              <w:t>规格：L54xW48xH59.5cm（±3cm）</w:t>
            </w:r>
          </w:p>
        </w:tc>
      </w:tr>
      <w:tr w14:paraId="26948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3" w:type="pct"/>
            <w:vMerge w:val="continue"/>
            <w:noWrap w:val="0"/>
            <w:vAlign w:val="center"/>
          </w:tcPr>
          <w:p w14:paraId="493DA8D3">
            <w:pPr>
              <w:jc w:val="center"/>
              <w:rPr>
                <w:b/>
                <w:szCs w:val="21"/>
              </w:rPr>
            </w:pPr>
          </w:p>
        </w:tc>
        <w:tc>
          <w:tcPr>
            <w:tcW w:w="440" w:type="pct"/>
            <w:vMerge w:val="continue"/>
            <w:noWrap w:val="0"/>
            <w:vAlign w:val="top"/>
          </w:tcPr>
          <w:p w14:paraId="2CE98A23">
            <w:pPr>
              <w:jc w:val="center"/>
              <w:rPr>
                <w:rFonts w:hint="eastAsia" w:ascii="Times New Roman" w:hAnsi="Times New Roman"/>
                <w:szCs w:val="21"/>
              </w:rPr>
            </w:pPr>
          </w:p>
        </w:tc>
        <w:tc>
          <w:tcPr>
            <w:tcW w:w="4225" w:type="pct"/>
            <w:noWrap w:val="0"/>
            <w:vAlign w:val="center"/>
          </w:tcPr>
          <w:p w14:paraId="0184F42C">
            <w:pPr>
              <w:jc w:val="left"/>
              <w:rPr>
                <w:rFonts w:hint="eastAsia" w:ascii="Times New Roman" w:hAnsi="Times New Roman"/>
                <w:b w:val="0"/>
                <w:bCs w:val="0"/>
                <w:szCs w:val="21"/>
              </w:rPr>
            </w:pPr>
            <w:r>
              <w:rPr>
                <w:rFonts w:hint="eastAsia" w:ascii="Times New Roman" w:hAnsi="Times New Roman"/>
                <w:b w:val="0"/>
                <w:bCs w:val="0"/>
                <w:szCs w:val="21"/>
              </w:rPr>
              <w:t>1.框架材质：采用实木内框架，坚实牢固。</w:t>
            </w:r>
          </w:p>
        </w:tc>
      </w:tr>
      <w:tr w14:paraId="4BC8C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3" w:type="pct"/>
            <w:vMerge w:val="continue"/>
            <w:noWrap w:val="0"/>
            <w:vAlign w:val="center"/>
          </w:tcPr>
          <w:p w14:paraId="6C26FF8C">
            <w:pPr>
              <w:jc w:val="center"/>
              <w:rPr>
                <w:b/>
                <w:szCs w:val="21"/>
              </w:rPr>
            </w:pPr>
          </w:p>
        </w:tc>
        <w:tc>
          <w:tcPr>
            <w:tcW w:w="440" w:type="pct"/>
            <w:vMerge w:val="continue"/>
            <w:noWrap w:val="0"/>
            <w:vAlign w:val="top"/>
          </w:tcPr>
          <w:p w14:paraId="6F553F75">
            <w:pPr>
              <w:jc w:val="center"/>
              <w:rPr>
                <w:rFonts w:hint="eastAsia" w:ascii="Times New Roman" w:hAnsi="Times New Roman"/>
                <w:szCs w:val="21"/>
              </w:rPr>
            </w:pPr>
          </w:p>
        </w:tc>
        <w:tc>
          <w:tcPr>
            <w:tcW w:w="4225" w:type="pct"/>
            <w:noWrap w:val="0"/>
            <w:vAlign w:val="center"/>
          </w:tcPr>
          <w:p w14:paraId="5F3DD5A9">
            <w:pPr>
              <w:jc w:val="left"/>
              <w:rPr>
                <w:rFonts w:hint="eastAsia" w:ascii="Times New Roman" w:hAnsi="Times New Roman"/>
                <w:b w:val="0"/>
                <w:bCs w:val="0"/>
                <w:szCs w:val="21"/>
              </w:rPr>
            </w:pPr>
            <w:r>
              <w:rPr>
                <w:rFonts w:hint="eastAsia" w:ascii="Times New Roman" w:hAnsi="Times New Roman"/>
                <w:b w:val="0"/>
                <w:bCs w:val="0"/>
                <w:szCs w:val="21"/>
              </w:rPr>
              <w:t>2.面料材质：采用聚氨酯合成革超柔皮，触感轻柔，绿色，耐磨耐用。</w:t>
            </w:r>
          </w:p>
          <w:p w14:paraId="0755EC4D">
            <w:pPr>
              <w:jc w:val="left"/>
              <w:rPr>
                <w:rFonts w:hint="eastAsia" w:ascii="Times New Roman" w:hAnsi="Times New Roman"/>
                <w:b w:val="0"/>
                <w:bCs w:val="0"/>
                <w:szCs w:val="21"/>
              </w:rPr>
            </w:pPr>
            <w:r>
              <w:rPr>
                <w:rFonts w:hint="eastAsia" w:ascii="Times New Roman" w:hAnsi="Times New Roman"/>
                <w:b w:val="0"/>
                <w:bCs w:val="0"/>
                <w:szCs w:val="21"/>
              </w:rPr>
              <w:t>3.填充材质：海绵，密度≥30kg/m³，回弹性强，不易变形。</w:t>
            </w:r>
          </w:p>
        </w:tc>
      </w:tr>
      <w:tr w14:paraId="1B86C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3" w:type="pct"/>
            <w:vMerge w:val="restart"/>
            <w:noWrap w:val="0"/>
            <w:vAlign w:val="center"/>
          </w:tcPr>
          <w:p w14:paraId="40DB5E8D">
            <w:pPr>
              <w:keepNext w:val="0"/>
              <w:keepLines w:val="0"/>
              <w:widowControl/>
              <w:suppressLineNumbers w:val="0"/>
              <w:jc w:val="center"/>
              <w:textAlignment w:val="center"/>
              <w:rPr>
                <w:b/>
                <w:szCs w:val="21"/>
              </w:rPr>
            </w:pPr>
            <w:r>
              <w:rPr>
                <w:rFonts w:hint="default" w:ascii="Arial" w:hAnsi="Arial" w:eastAsia="宋体" w:cs="Arial"/>
                <w:i w:val="0"/>
                <w:iCs w:val="0"/>
                <w:color w:val="000000"/>
                <w:kern w:val="0"/>
                <w:sz w:val="20"/>
                <w:szCs w:val="20"/>
                <w:u w:val="none"/>
                <w:lang w:val="en-US" w:eastAsia="zh-CN" w:bidi="ar"/>
              </w:rPr>
              <w:t xml:space="preserve">90 </w:t>
            </w:r>
          </w:p>
        </w:tc>
        <w:tc>
          <w:tcPr>
            <w:tcW w:w="440" w:type="pct"/>
            <w:vMerge w:val="restart"/>
            <w:noWrap w:val="0"/>
            <w:vAlign w:val="center"/>
          </w:tcPr>
          <w:p w14:paraId="60839A98">
            <w:pPr>
              <w:keepNext w:val="0"/>
              <w:keepLines w:val="0"/>
              <w:widowControl/>
              <w:suppressLineNumbers w:val="0"/>
              <w:jc w:val="center"/>
              <w:textAlignment w:val="center"/>
              <w:rPr>
                <w:rFonts w:hint="eastAsia" w:ascii="Times New Roman" w:hAnsi="Times New Roman"/>
                <w:szCs w:val="21"/>
              </w:rPr>
            </w:pPr>
            <w:r>
              <w:rPr>
                <w:rFonts w:hint="eastAsia" w:ascii="宋体" w:hAnsi="宋体" w:eastAsia="宋体" w:cs="宋体"/>
                <w:i w:val="0"/>
                <w:iCs w:val="0"/>
                <w:color w:val="000000"/>
                <w:kern w:val="0"/>
                <w:sz w:val="20"/>
                <w:szCs w:val="20"/>
                <w:u w:val="none"/>
                <w:lang w:val="en-US" w:eastAsia="zh-CN" w:bidi="ar"/>
              </w:rPr>
              <w:t>怀抱双人布艺沙发.天蓝</w:t>
            </w:r>
          </w:p>
        </w:tc>
        <w:tc>
          <w:tcPr>
            <w:tcW w:w="4225" w:type="pct"/>
            <w:noWrap w:val="0"/>
            <w:vAlign w:val="center"/>
          </w:tcPr>
          <w:p w14:paraId="3795E0B1">
            <w:pPr>
              <w:jc w:val="left"/>
              <w:rPr>
                <w:rFonts w:hint="eastAsia" w:ascii="Times New Roman" w:hAnsi="Times New Roman"/>
                <w:b w:val="0"/>
                <w:bCs w:val="0"/>
                <w:szCs w:val="21"/>
              </w:rPr>
            </w:pPr>
            <w:r>
              <w:rPr>
                <w:rFonts w:hint="eastAsia" w:ascii="Times New Roman" w:hAnsi="Times New Roman"/>
                <w:b w:val="0"/>
                <w:bCs w:val="0"/>
                <w:szCs w:val="21"/>
              </w:rPr>
              <w:t>规格：L97xW50xH61cm（±3cm）</w:t>
            </w:r>
          </w:p>
        </w:tc>
      </w:tr>
      <w:tr w14:paraId="55C1A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3" w:type="pct"/>
            <w:vMerge w:val="continue"/>
            <w:noWrap w:val="0"/>
            <w:vAlign w:val="center"/>
          </w:tcPr>
          <w:p w14:paraId="7A1970D0">
            <w:pPr>
              <w:jc w:val="center"/>
              <w:rPr>
                <w:b/>
                <w:szCs w:val="21"/>
              </w:rPr>
            </w:pPr>
          </w:p>
        </w:tc>
        <w:tc>
          <w:tcPr>
            <w:tcW w:w="440" w:type="pct"/>
            <w:vMerge w:val="continue"/>
            <w:noWrap w:val="0"/>
            <w:vAlign w:val="top"/>
          </w:tcPr>
          <w:p w14:paraId="2977ADCE">
            <w:pPr>
              <w:jc w:val="center"/>
              <w:rPr>
                <w:rFonts w:hint="eastAsia" w:ascii="Times New Roman" w:hAnsi="Times New Roman"/>
                <w:szCs w:val="21"/>
              </w:rPr>
            </w:pPr>
          </w:p>
        </w:tc>
        <w:tc>
          <w:tcPr>
            <w:tcW w:w="4225" w:type="pct"/>
            <w:noWrap w:val="0"/>
            <w:vAlign w:val="center"/>
          </w:tcPr>
          <w:p w14:paraId="12E1C146">
            <w:pPr>
              <w:jc w:val="left"/>
              <w:rPr>
                <w:rFonts w:hint="eastAsia" w:ascii="Times New Roman" w:hAnsi="Times New Roman"/>
                <w:b w:val="0"/>
                <w:bCs w:val="0"/>
                <w:szCs w:val="21"/>
              </w:rPr>
            </w:pPr>
            <w:r>
              <w:rPr>
                <w:rFonts w:hint="eastAsia" w:ascii="Times New Roman" w:hAnsi="Times New Roman"/>
                <w:b w:val="0"/>
                <w:bCs w:val="0"/>
                <w:szCs w:val="21"/>
              </w:rPr>
              <w:t>1.面料材质：采用的涤纶纤维织造布料，颜色天蓝色，仿棉麻材质，耐磨，免洗。</w:t>
            </w:r>
          </w:p>
        </w:tc>
      </w:tr>
      <w:tr w14:paraId="74BF7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3" w:type="pct"/>
            <w:vMerge w:val="continue"/>
            <w:noWrap w:val="0"/>
            <w:vAlign w:val="center"/>
          </w:tcPr>
          <w:p w14:paraId="0A7E078B">
            <w:pPr>
              <w:jc w:val="center"/>
              <w:rPr>
                <w:b/>
                <w:szCs w:val="21"/>
              </w:rPr>
            </w:pPr>
          </w:p>
        </w:tc>
        <w:tc>
          <w:tcPr>
            <w:tcW w:w="440" w:type="pct"/>
            <w:vMerge w:val="continue"/>
            <w:noWrap w:val="0"/>
            <w:vAlign w:val="top"/>
          </w:tcPr>
          <w:p w14:paraId="69BD1399">
            <w:pPr>
              <w:jc w:val="center"/>
              <w:rPr>
                <w:rFonts w:hint="eastAsia" w:ascii="Times New Roman" w:hAnsi="Times New Roman"/>
                <w:szCs w:val="21"/>
              </w:rPr>
            </w:pPr>
          </w:p>
        </w:tc>
        <w:tc>
          <w:tcPr>
            <w:tcW w:w="4225" w:type="pct"/>
            <w:noWrap w:val="0"/>
            <w:vAlign w:val="center"/>
          </w:tcPr>
          <w:p w14:paraId="6B7E3174">
            <w:pPr>
              <w:jc w:val="left"/>
              <w:rPr>
                <w:rFonts w:hint="eastAsia" w:ascii="Times New Roman" w:hAnsi="Times New Roman"/>
                <w:b w:val="0"/>
                <w:bCs w:val="0"/>
                <w:szCs w:val="21"/>
              </w:rPr>
            </w:pPr>
            <w:r>
              <w:rPr>
                <w:rFonts w:hint="eastAsia" w:ascii="Times New Roman" w:hAnsi="Times New Roman"/>
                <w:b w:val="0"/>
                <w:bCs w:val="0"/>
                <w:szCs w:val="21"/>
              </w:rPr>
              <w:t>2.填充材质：海绵，密度≥30kg/m³，回弹性强，不易变形。</w:t>
            </w:r>
          </w:p>
        </w:tc>
      </w:tr>
      <w:tr w14:paraId="2F354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3" w:type="pct"/>
            <w:vMerge w:val="continue"/>
            <w:noWrap w:val="0"/>
            <w:vAlign w:val="center"/>
          </w:tcPr>
          <w:p w14:paraId="6A0FB0E7">
            <w:pPr>
              <w:jc w:val="center"/>
              <w:rPr>
                <w:b/>
                <w:szCs w:val="21"/>
              </w:rPr>
            </w:pPr>
          </w:p>
        </w:tc>
        <w:tc>
          <w:tcPr>
            <w:tcW w:w="440" w:type="pct"/>
            <w:vMerge w:val="continue"/>
            <w:noWrap w:val="0"/>
            <w:vAlign w:val="top"/>
          </w:tcPr>
          <w:p w14:paraId="6103100D">
            <w:pPr>
              <w:jc w:val="center"/>
              <w:rPr>
                <w:rFonts w:hint="eastAsia" w:ascii="Times New Roman" w:hAnsi="Times New Roman"/>
                <w:szCs w:val="21"/>
              </w:rPr>
            </w:pPr>
          </w:p>
        </w:tc>
        <w:tc>
          <w:tcPr>
            <w:tcW w:w="4225" w:type="pct"/>
            <w:noWrap w:val="0"/>
            <w:vAlign w:val="center"/>
          </w:tcPr>
          <w:p w14:paraId="06922DB0">
            <w:pPr>
              <w:jc w:val="left"/>
              <w:rPr>
                <w:rFonts w:hint="eastAsia" w:ascii="Times New Roman" w:hAnsi="Times New Roman"/>
                <w:b w:val="0"/>
                <w:bCs w:val="0"/>
                <w:szCs w:val="21"/>
              </w:rPr>
            </w:pPr>
            <w:r>
              <w:rPr>
                <w:rFonts w:hint="eastAsia" w:ascii="Times New Roman" w:hAnsi="Times New Roman"/>
                <w:b w:val="0"/>
                <w:bCs w:val="0"/>
                <w:szCs w:val="21"/>
              </w:rPr>
              <w:t>3.产品特点：双人座，脚柱采用原木，经抛光上透明清漆。</w:t>
            </w:r>
          </w:p>
        </w:tc>
      </w:tr>
      <w:tr w14:paraId="41E95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3" w:type="pct"/>
            <w:vMerge w:val="restart"/>
            <w:noWrap w:val="0"/>
            <w:vAlign w:val="center"/>
          </w:tcPr>
          <w:p w14:paraId="6C4BC7C2">
            <w:pPr>
              <w:keepNext w:val="0"/>
              <w:keepLines w:val="0"/>
              <w:widowControl/>
              <w:suppressLineNumbers w:val="0"/>
              <w:jc w:val="center"/>
              <w:textAlignment w:val="center"/>
              <w:rPr>
                <w:b/>
                <w:szCs w:val="21"/>
              </w:rPr>
            </w:pPr>
            <w:r>
              <w:rPr>
                <w:rFonts w:hint="default" w:ascii="Arial" w:hAnsi="Arial" w:eastAsia="宋体" w:cs="Arial"/>
                <w:i w:val="0"/>
                <w:iCs w:val="0"/>
                <w:color w:val="000000"/>
                <w:kern w:val="0"/>
                <w:sz w:val="20"/>
                <w:szCs w:val="20"/>
                <w:u w:val="none"/>
                <w:lang w:val="en-US" w:eastAsia="zh-CN" w:bidi="ar"/>
              </w:rPr>
              <w:t xml:space="preserve">91 </w:t>
            </w:r>
          </w:p>
        </w:tc>
        <w:tc>
          <w:tcPr>
            <w:tcW w:w="440" w:type="pct"/>
            <w:vMerge w:val="restart"/>
            <w:noWrap w:val="0"/>
            <w:vAlign w:val="center"/>
          </w:tcPr>
          <w:p w14:paraId="4032451A">
            <w:pPr>
              <w:keepNext w:val="0"/>
              <w:keepLines w:val="0"/>
              <w:widowControl/>
              <w:suppressLineNumbers w:val="0"/>
              <w:jc w:val="center"/>
              <w:textAlignment w:val="center"/>
              <w:rPr>
                <w:rFonts w:hint="eastAsia" w:ascii="Times New Roman" w:hAnsi="Times New Roman"/>
                <w:szCs w:val="21"/>
              </w:rPr>
            </w:pPr>
            <w:r>
              <w:rPr>
                <w:rFonts w:hint="eastAsia" w:ascii="宋体" w:hAnsi="宋体" w:eastAsia="宋体" w:cs="宋体"/>
                <w:i w:val="0"/>
                <w:iCs w:val="0"/>
                <w:color w:val="000000"/>
                <w:kern w:val="0"/>
                <w:sz w:val="20"/>
                <w:szCs w:val="20"/>
                <w:u w:val="none"/>
                <w:lang w:val="en-US" w:eastAsia="zh-CN" w:bidi="ar"/>
              </w:rPr>
              <w:t>3层高柜.全背板</w:t>
            </w:r>
          </w:p>
        </w:tc>
        <w:tc>
          <w:tcPr>
            <w:tcW w:w="4225" w:type="pct"/>
            <w:noWrap w:val="0"/>
            <w:vAlign w:val="center"/>
          </w:tcPr>
          <w:p w14:paraId="70B6E632">
            <w:pPr>
              <w:jc w:val="left"/>
              <w:rPr>
                <w:rFonts w:hint="eastAsia" w:ascii="Times New Roman" w:hAnsi="Times New Roman"/>
                <w:b w:val="0"/>
                <w:bCs w:val="0"/>
                <w:szCs w:val="21"/>
              </w:rPr>
            </w:pPr>
            <w:r>
              <w:rPr>
                <w:rFonts w:hint="eastAsia" w:ascii="Times New Roman" w:hAnsi="Times New Roman"/>
                <w:b w:val="0"/>
                <w:bCs w:val="0"/>
                <w:szCs w:val="21"/>
              </w:rPr>
              <w:t>规格：L91.5xW30xH80cm（±3cm）</w:t>
            </w:r>
          </w:p>
        </w:tc>
      </w:tr>
      <w:tr w14:paraId="2C1BD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3" w:type="pct"/>
            <w:vMerge w:val="continue"/>
            <w:noWrap w:val="0"/>
            <w:vAlign w:val="center"/>
          </w:tcPr>
          <w:p w14:paraId="3C0F5572">
            <w:pPr>
              <w:jc w:val="center"/>
              <w:rPr>
                <w:b/>
                <w:szCs w:val="21"/>
              </w:rPr>
            </w:pPr>
          </w:p>
        </w:tc>
        <w:tc>
          <w:tcPr>
            <w:tcW w:w="440" w:type="pct"/>
            <w:vMerge w:val="continue"/>
            <w:noWrap w:val="0"/>
            <w:vAlign w:val="top"/>
          </w:tcPr>
          <w:p w14:paraId="0E260F99">
            <w:pPr>
              <w:jc w:val="center"/>
              <w:rPr>
                <w:rFonts w:hint="eastAsia" w:ascii="Times New Roman" w:hAnsi="Times New Roman"/>
                <w:szCs w:val="21"/>
              </w:rPr>
            </w:pPr>
          </w:p>
        </w:tc>
        <w:tc>
          <w:tcPr>
            <w:tcW w:w="4225" w:type="pct"/>
            <w:noWrap w:val="0"/>
            <w:vAlign w:val="top"/>
          </w:tcPr>
          <w:p w14:paraId="357FE5A3">
            <w:pPr>
              <w:jc w:val="left"/>
              <w:rPr>
                <w:rFonts w:hint="eastAsia" w:ascii="Times New Roman" w:hAnsi="Times New Roman"/>
                <w:b w:val="0"/>
                <w:bCs w:val="0"/>
                <w:szCs w:val="21"/>
              </w:rPr>
            </w:pPr>
            <w:r>
              <w:rPr>
                <w:rFonts w:hint="eastAsia" w:ascii="Times New Roman" w:hAnsi="Times New Roman"/>
                <w:b w:val="0"/>
                <w:bCs w:val="0"/>
                <w:szCs w:val="21"/>
              </w:rPr>
              <w:t>1、工艺设计：</w:t>
            </w:r>
          </w:p>
          <w:p w14:paraId="26AF7FDF">
            <w:pPr>
              <w:jc w:val="left"/>
              <w:rPr>
                <w:rFonts w:hint="eastAsia" w:ascii="Times New Roman" w:hAnsi="Times New Roman"/>
                <w:b w:val="0"/>
                <w:bCs w:val="0"/>
                <w:szCs w:val="21"/>
              </w:rPr>
            </w:pPr>
            <w:r>
              <w:rPr>
                <w:rFonts w:hint="eastAsia" w:ascii="Times New Roman" w:hAnsi="Times New Roman"/>
                <w:b w:val="0"/>
                <w:bCs w:val="0"/>
                <w:szCs w:val="21"/>
              </w:rPr>
              <w:t>（1）采用翻板活动轮工艺，移动/固定自由切换。</w:t>
            </w:r>
          </w:p>
          <w:p w14:paraId="1CB56494">
            <w:pPr>
              <w:jc w:val="left"/>
              <w:rPr>
                <w:rFonts w:hint="eastAsia" w:ascii="Times New Roman" w:hAnsi="Times New Roman"/>
                <w:b w:val="0"/>
                <w:bCs w:val="0"/>
                <w:szCs w:val="21"/>
              </w:rPr>
            </w:pPr>
            <w:r>
              <w:rPr>
                <w:rFonts w:hint="eastAsia" w:ascii="Times New Roman" w:hAnsi="Times New Roman"/>
                <w:b w:val="0"/>
                <w:bCs w:val="0"/>
                <w:szCs w:val="21"/>
              </w:rPr>
              <w:t>（2）所有螺丝位无毛刺不刮手，四角及边沿采用圆角/圆边处理以及安全防撞设计，最大程度的避免儿童磕碰伤害，结构稳固。</w:t>
            </w:r>
          </w:p>
        </w:tc>
      </w:tr>
      <w:tr w14:paraId="1905C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3" w:type="pct"/>
            <w:vMerge w:val="continue"/>
            <w:noWrap w:val="0"/>
            <w:vAlign w:val="center"/>
          </w:tcPr>
          <w:p w14:paraId="6B1F274E">
            <w:pPr>
              <w:jc w:val="center"/>
              <w:rPr>
                <w:b/>
                <w:szCs w:val="21"/>
              </w:rPr>
            </w:pPr>
          </w:p>
        </w:tc>
        <w:tc>
          <w:tcPr>
            <w:tcW w:w="440" w:type="pct"/>
            <w:vMerge w:val="continue"/>
            <w:noWrap w:val="0"/>
            <w:vAlign w:val="top"/>
          </w:tcPr>
          <w:p w14:paraId="20B43161">
            <w:pPr>
              <w:jc w:val="center"/>
              <w:rPr>
                <w:rFonts w:hint="eastAsia" w:ascii="Times New Roman" w:hAnsi="Times New Roman"/>
                <w:szCs w:val="21"/>
              </w:rPr>
            </w:pPr>
          </w:p>
        </w:tc>
        <w:tc>
          <w:tcPr>
            <w:tcW w:w="4225" w:type="pct"/>
            <w:noWrap w:val="0"/>
            <w:vAlign w:val="top"/>
          </w:tcPr>
          <w:p w14:paraId="3FE55DBF">
            <w:pPr>
              <w:jc w:val="left"/>
              <w:rPr>
                <w:rFonts w:hint="eastAsia" w:ascii="Times New Roman" w:hAnsi="Times New Roman"/>
                <w:b w:val="0"/>
                <w:bCs w:val="0"/>
                <w:szCs w:val="21"/>
              </w:rPr>
            </w:pPr>
            <w:r>
              <w:rPr>
                <w:rFonts w:hint="eastAsia" w:ascii="Times New Roman" w:hAnsi="Times New Roman"/>
                <w:b w:val="0"/>
                <w:bCs w:val="0"/>
                <w:szCs w:val="21"/>
              </w:rPr>
              <w:t>2、外观结构及材质：</w:t>
            </w:r>
          </w:p>
          <w:p w14:paraId="1C20A355">
            <w:pPr>
              <w:jc w:val="left"/>
              <w:rPr>
                <w:rFonts w:hint="eastAsia" w:ascii="Times New Roman" w:hAnsi="Times New Roman"/>
                <w:b w:val="0"/>
                <w:bCs w:val="0"/>
                <w:szCs w:val="21"/>
              </w:rPr>
            </w:pPr>
            <w:r>
              <w:rPr>
                <w:rFonts w:hint="eastAsia" w:ascii="Times New Roman" w:hAnsi="Times New Roman"/>
                <w:b w:val="0"/>
                <w:bCs w:val="0"/>
                <w:szCs w:val="21"/>
              </w:rPr>
              <w:t>（1）柜体：采用16mm</w:t>
            </w:r>
            <w:r>
              <w:rPr>
                <w:rFonts w:hint="eastAsia" w:ascii="Times New Roman" w:hAnsi="Times New Roman"/>
                <w:b w:val="0"/>
                <w:bCs w:val="0"/>
                <w:szCs w:val="21"/>
                <w:lang w:eastAsia="zh-CN"/>
              </w:rPr>
              <w:t>（</w:t>
            </w:r>
            <w:r>
              <w:rPr>
                <w:rFonts w:hint="eastAsia" w:ascii="Times New Roman" w:hAnsi="Times New Roman"/>
                <w:b w:val="0"/>
                <w:bCs w:val="0"/>
                <w:szCs w:val="21"/>
                <w:lang w:val="en-US" w:eastAsia="zh-CN"/>
              </w:rPr>
              <w:t>±3mm</w:t>
            </w:r>
            <w:r>
              <w:rPr>
                <w:rFonts w:hint="eastAsia" w:ascii="Times New Roman" w:hAnsi="Times New Roman"/>
                <w:b w:val="0"/>
                <w:bCs w:val="0"/>
                <w:szCs w:val="21"/>
                <w:lang w:eastAsia="zh-CN"/>
              </w:rPr>
              <w:t>）</w:t>
            </w:r>
            <w:r>
              <w:rPr>
                <w:rFonts w:hint="eastAsia" w:ascii="Times New Roman" w:hAnsi="Times New Roman"/>
                <w:b w:val="0"/>
                <w:bCs w:val="0"/>
                <w:szCs w:val="21"/>
              </w:rPr>
              <w:t>的橡胶木拼板。三层无竖板，层格内空均为：884x280x222mm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b w:val="0"/>
                <w:bCs w:val="0"/>
                <w:szCs w:val="21"/>
              </w:rPr>
              <w:t>，满足较大型玩教具收纳。背板采用厚度5mm</w:t>
            </w:r>
            <w:r>
              <w:rPr>
                <w:rFonts w:hint="eastAsia" w:ascii="Times New Roman" w:hAnsi="Times New Roman"/>
                <w:szCs w:val="21"/>
                <w:lang w:eastAsia="zh-CN"/>
              </w:rPr>
              <w:t>（</w:t>
            </w:r>
            <w:r>
              <w:rPr>
                <w:rFonts w:hint="eastAsia" w:ascii="Times New Roman" w:hAnsi="Times New Roman"/>
                <w:szCs w:val="21"/>
                <w:lang w:val="en-US" w:eastAsia="zh-CN"/>
              </w:rPr>
              <w:t>±3mm</w:t>
            </w:r>
            <w:r>
              <w:rPr>
                <w:rFonts w:hint="eastAsia" w:ascii="Times New Roman" w:hAnsi="Times New Roman"/>
                <w:szCs w:val="21"/>
                <w:lang w:eastAsia="zh-CN"/>
              </w:rPr>
              <w:t>）</w:t>
            </w:r>
            <w:r>
              <w:rPr>
                <w:rFonts w:hint="eastAsia" w:ascii="Times New Roman" w:hAnsi="Times New Roman"/>
                <w:b w:val="0"/>
                <w:bCs w:val="0"/>
                <w:szCs w:val="21"/>
              </w:rPr>
              <w:t>的饰面实木纤维板。</w:t>
            </w:r>
          </w:p>
          <w:p w14:paraId="253A8BA8">
            <w:pPr>
              <w:jc w:val="left"/>
              <w:rPr>
                <w:rFonts w:hint="eastAsia" w:ascii="Times New Roman" w:hAnsi="Times New Roman"/>
                <w:b w:val="0"/>
                <w:bCs w:val="0"/>
                <w:szCs w:val="21"/>
              </w:rPr>
            </w:pPr>
            <w:r>
              <w:rPr>
                <w:rFonts w:hint="eastAsia" w:ascii="Times New Roman" w:hAnsi="Times New Roman"/>
                <w:b w:val="0"/>
                <w:bCs w:val="0"/>
                <w:szCs w:val="21"/>
              </w:rPr>
              <w:t>（2）围脚：采用厚度18mm</w:t>
            </w:r>
            <w:r>
              <w:rPr>
                <w:rFonts w:hint="eastAsia" w:ascii="Times New Roman" w:hAnsi="Times New Roman"/>
                <w:b w:val="0"/>
                <w:bCs w:val="0"/>
                <w:szCs w:val="21"/>
                <w:lang w:eastAsia="zh-CN"/>
              </w:rPr>
              <w:t>（</w:t>
            </w:r>
            <w:r>
              <w:rPr>
                <w:rFonts w:hint="eastAsia" w:ascii="Times New Roman" w:hAnsi="Times New Roman"/>
                <w:b w:val="0"/>
                <w:bCs w:val="0"/>
                <w:szCs w:val="21"/>
                <w:lang w:val="en-US" w:eastAsia="zh-CN"/>
              </w:rPr>
              <w:t>±3mm</w:t>
            </w:r>
            <w:r>
              <w:rPr>
                <w:rFonts w:hint="eastAsia" w:ascii="Times New Roman" w:hAnsi="Times New Roman"/>
                <w:b w:val="0"/>
                <w:bCs w:val="0"/>
                <w:szCs w:val="21"/>
                <w:lang w:eastAsia="zh-CN"/>
              </w:rPr>
              <w:t>）</w:t>
            </w:r>
            <w:r>
              <w:rPr>
                <w:rFonts w:hint="eastAsia" w:ascii="Times New Roman" w:hAnsi="Times New Roman"/>
                <w:b w:val="0"/>
                <w:bCs w:val="0"/>
                <w:szCs w:val="21"/>
              </w:rPr>
              <w:t>的橡胶木拼板。柜体与底部围脚采用塑料连接件实现翻板功能，脚轮为静音万向轮，安装在围脚侧板内，当家具固定时，围脚侧板向下翻，万向轮则隐藏于侧板内；当家具需要移动时，围脚侧板向上翻，塑料连接件卡扣对侧板进行固定，万向轮支撑起家具的重量，无须抬起轻松实现家具位置转移。</w:t>
            </w:r>
          </w:p>
          <w:p w14:paraId="24AAD7AB">
            <w:pPr>
              <w:jc w:val="left"/>
              <w:rPr>
                <w:rFonts w:hint="eastAsia" w:ascii="Times New Roman" w:hAnsi="Times New Roman"/>
                <w:b w:val="0"/>
                <w:bCs w:val="0"/>
                <w:szCs w:val="21"/>
              </w:rPr>
            </w:pPr>
            <w:r>
              <w:rPr>
                <w:rFonts w:hint="eastAsia" w:ascii="Times New Roman" w:hAnsi="Times New Roman"/>
                <w:b w:val="0"/>
                <w:bCs w:val="0"/>
                <w:szCs w:val="21"/>
              </w:rPr>
              <w:t>（3）采用的水性漆，全封闭涂装工艺，漆面光泽高透，颜色均匀。</w:t>
            </w:r>
          </w:p>
        </w:tc>
      </w:tr>
      <w:tr w14:paraId="6AA6C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3" w:type="pct"/>
            <w:vMerge w:val="restart"/>
            <w:noWrap w:val="0"/>
            <w:vAlign w:val="center"/>
          </w:tcPr>
          <w:p w14:paraId="46485AF2">
            <w:pPr>
              <w:keepNext w:val="0"/>
              <w:keepLines w:val="0"/>
              <w:widowControl/>
              <w:suppressLineNumbers w:val="0"/>
              <w:jc w:val="center"/>
              <w:textAlignment w:val="center"/>
              <w:rPr>
                <w:b/>
                <w:szCs w:val="21"/>
              </w:rPr>
            </w:pPr>
            <w:r>
              <w:rPr>
                <w:rFonts w:hint="default" w:ascii="Arial" w:hAnsi="Arial" w:eastAsia="宋体" w:cs="Arial"/>
                <w:i w:val="0"/>
                <w:iCs w:val="0"/>
                <w:color w:val="000000"/>
                <w:kern w:val="0"/>
                <w:sz w:val="20"/>
                <w:szCs w:val="20"/>
                <w:u w:val="none"/>
                <w:lang w:val="en-US" w:eastAsia="zh-CN" w:bidi="ar"/>
              </w:rPr>
              <w:t xml:space="preserve">92 </w:t>
            </w:r>
          </w:p>
        </w:tc>
        <w:tc>
          <w:tcPr>
            <w:tcW w:w="440" w:type="pct"/>
            <w:vMerge w:val="restart"/>
            <w:noWrap w:val="0"/>
            <w:vAlign w:val="center"/>
          </w:tcPr>
          <w:p w14:paraId="2568DE2C">
            <w:pPr>
              <w:keepNext w:val="0"/>
              <w:keepLines w:val="0"/>
              <w:widowControl/>
              <w:suppressLineNumbers w:val="0"/>
              <w:jc w:val="center"/>
              <w:textAlignment w:val="center"/>
              <w:rPr>
                <w:rFonts w:hint="eastAsia" w:ascii="Times New Roman" w:hAnsi="Times New Roman"/>
                <w:szCs w:val="21"/>
              </w:rPr>
            </w:pPr>
            <w:r>
              <w:rPr>
                <w:rFonts w:hint="default" w:ascii="Arial" w:hAnsi="Arial" w:eastAsia="宋体" w:cs="Arial"/>
                <w:i w:val="0"/>
                <w:iCs w:val="0"/>
                <w:color w:val="000000"/>
                <w:kern w:val="0"/>
                <w:sz w:val="20"/>
                <w:szCs w:val="20"/>
                <w:u w:val="none"/>
                <w:lang w:val="en-US" w:eastAsia="zh-CN" w:bidi="ar"/>
              </w:rPr>
              <w:t>便携式可堆叠儿童床</w:t>
            </w:r>
          </w:p>
        </w:tc>
        <w:tc>
          <w:tcPr>
            <w:tcW w:w="4225" w:type="pct"/>
            <w:noWrap w:val="0"/>
            <w:vAlign w:val="center"/>
          </w:tcPr>
          <w:p w14:paraId="7C38F513">
            <w:pPr>
              <w:jc w:val="left"/>
              <w:rPr>
                <w:rFonts w:hint="eastAsia" w:ascii="Times New Roman" w:hAnsi="Times New Roman"/>
                <w:b/>
                <w:bCs/>
                <w:szCs w:val="21"/>
              </w:rPr>
            </w:pPr>
            <w:r>
              <w:rPr>
                <w:rFonts w:hint="eastAsia" w:ascii="Times New Roman" w:hAnsi="Times New Roman"/>
                <w:szCs w:val="21"/>
              </w:rPr>
              <w:t>1.规格：常规</w:t>
            </w:r>
          </w:p>
        </w:tc>
      </w:tr>
      <w:tr w14:paraId="67EF5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3" w:type="pct"/>
            <w:vMerge w:val="continue"/>
            <w:noWrap w:val="0"/>
            <w:vAlign w:val="center"/>
          </w:tcPr>
          <w:p w14:paraId="5E34102C">
            <w:pPr>
              <w:jc w:val="center"/>
              <w:rPr>
                <w:b/>
                <w:szCs w:val="21"/>
              </w:rPr>
            </w:pPr>
          </w:p>
        </w:tc>
        <w:tc>
          <w:tcPr>
            <w:tcW w:w="440" w:type="pct"/>
            <w:vMerge w:val="continue"/>
            <w:noWrap w:val="0"/>
            <w:vAlign w:val="top"/>
          </w:tcPr>
          <w:p w14:paraId="6CB44C5B">
            <w:pPr>
              <w:jc w:val="center"/>
              <w:rPr>
                <w:rFonts w:hint="eastAsia" w:ascii="Times New Roman" w:hAnsi="Times New Roman"/>
                <w:szCs w:val="21"/>
              </w:rPr>
            </w:pPr>
          </w:p>
        </w:tc>
        <w:tc>
          <w:tcPr>
            <w:tcW w:w="4225" w:type="pct"/>
            <w:noWrap w:val="0"/>
            <w:vAlign w:val="top"/>
          </w:tcPr>
          <w:p w14:paraId="2FA72816">
            <w:pPr>
              <w:jc w:val="left"/>
              <w:rPr>
                <w:rFonts w:hint="eastAsia" w:ascii="Times New Roman" w:hAnsi="Times New Roman"/>
                <w:b/>
                <w:bCs/>
                <w:szCs w:val="21"/>
              </w:rPr>
            </w:pPr>
            <w:r>
              <w:rPr>
                <w:rFonts w:hint="eastAsia" w:ascii="Times New Roman" w:hAnsi="Times New Roman"/>
                <w:szCs w:val="21"/>
              </w:rPr>
              <w:t>2.工艺：床脚：采用ABS床脚，床面采用网布，邻苯二甲酸酯未检出，床架采用圆管烤漆制成</w:t>
            </w:r>
          </w:p>
        </w:tc>
      </w:tr>
      <w:tr w14:paraId="51E4D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3" w:type="pct"/>
            <w:vMerge w:val="restart"/>
            <w:noWrap w:val="0"/>
            <w:vAlign w:val="center"/>
          </w:tcPr>
          <w:p w14:paraId="447ACDF9">
            <w:pPr>
              <w:keepNext w:val="0"/>
              <w:keepLines w:val="0"/>
              <w:widowControl/>
              <w:suppressLineNumbers w:val="0"/>
              <w:jc w:val="center"/>
              <w:textAlignment w:val="center"/>
              <w:rPr>
                <w:b/>
                <w:szCs w:val="21"/>
              </w:rPr>
            </w:pPr>
            <w:r>
              <w:rPr>
                <w:rFonts w:hint="default" w:ascii="Arial" w:hAnsi="Arial" w:eastAsia="宋体" w:cs="Arial"/>
                <w:i w:val="0"/>
                <w:iCs w:val="0"/>
                <w:color w:val="000000"/>
                <w:kern w:val="0"/>
                <w:sz w:val="20"/>
                <w:szCs w:val="20"/>
                <w:u w:val="none"/>
                <w:lang w:val="en-US" w:eastAsia="zh-CN" w:bidi="ar"/>
              </w:rPr>
              <w:t xml:space="preserve">93 </w:t>
            </w:r>
          </w:p>
        </w:tc>
        <w:tc>
          <w:tcPr>
            <w:tcW w:w="440" w:type="pct"/>
            <w:vMerge w:val="restart"/>
            <w:noWrap w:val="0"/>
            <w:vAlign w:val="center"/>
          </w:tcPr>
          <w:p w14:paraId="7E208B17">
            <w:pPr>
              <w:keepNext w:val="0"/>
              <w:keepLines w:val="0"/>
              <w:widowControl/>
              <w:suppressLineNumbers w:val="0"/>
              <w:jc w:val="center"/>
              <w:textAlignment w:val="center"/>
              <w:rPr>
                <w:rFonts w:hint="eastAsia" w:ascii="Times New Roman" w:hAnsi="Times New Roman"/>
                <w:szCs w:val="21"/>
              </w:rPr>
            </w:pPr>
            <w:r>
              <w:rPr>
                <w:rFonts w:hint="default" w:ascii="Arial" w:hAnsi="Arial" w:eastAsia="宋体" w:cs="Arial"/>
                <w:i w:val="0"/>
                <w:iCs w:val="0"/>
                <w:color w:val="000000"/>
                <w:kern w:val="0"/>
                <w:sz w:val="20"/>
                <w:szCs w:val="20"/>
                <w:u w:val="none"/>
                <w:lang w:val="en-US" w:eastAsia="zh-CN" w:bidi="ar"/>
              </w:rPr>
              <w:t>便携式儿童床架</w:t>
            </w:r>
          </w:p>
        </w:tc>
        <w:tc>
          <w:tcPr>
            <w:tcW w:w="4225" w:type="pct"/>
            <w:noWrap w:val="0"/>
            <w:vAlign w:val="center"/>
          </w:tcPr>
          <w:p w14:paraId="7C31246A">
            <w:pPr>
              <w:jc w:val="left"/>
              <w:rPr>
                <w:rFonts w:hint="eastAsia" w:ascii="Times New Roman" w:hAnsi="Times New Roman"/>
                <w:b/>
                <w:bCs/>
                <w:szCs w:val="21"/>
              </w:rPr>
            </w:pPr>
            <w:r>
              <w:rPr>
                <w:rFonts w:hint="eastAsia" w:ascii="Times New Roman" w:hAnsi="Times New Roman"/>
                <w:szCs w:val="21"/>
              </w:rPr>
              <w:t>1.规格：常规</w:t>
            </w:r>
          </w:p>
        </w:tc>
      </w:tr>
      <w:tr w14:paraId="7ED60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3" w:type="pct"/>
            <w:vMerge w:val="continue"/>
            <w:noWrap w:val="0"/>
            <w:vAlign w:val="center"/>
          </w:tcPr>
          <w:p w14:paraId="5D8FFBCF">
            <w:pPr>
              <w:jc w:val="center"/>
              <w:rPr>
                <w:b/>
                <w:szCs w:val="21"/>
              </w:rPr>
            </w:pPr>
          </w:p>
        </w:tc>
        <w:tc>
          <w:tcPr>
            <w:tcW w:w="440" w:type="pct"/>
            <w:vMerge w:val="continue"/>
            <w:noWrap w:val="0"/>
            <w:vAlign w:val="top"/>
          </w:tcPr>
          <w:p w14:paraId="65924403">
            <w:pPr>
              <w:jc w:val="center"/>
              <w:rPr>
                <w:rFonts w:hint="eastAsia" w:ascii="Times New Roman" w:hAnsi="Times New Roman"/>
                <w:szCs w:val="21"/>
              </w:rPr>
            </w:pPr>
          </w:p>
        </w:tc>
        <w:tc>
          <w:tcPr>
            <w:tcW w:w="4225" w:type="pct"/>
            <w:noWrap w:val="0"/>
            <w:vAlign w:val="top"/>
          </w:tcPr>
          <w:p w14:paraId="543B0BFC">
            <w:pPr>
              <w:jc w:val="left"/>
              <w:rPr>
                <w:rFonts w:hint="eastAsia" w:ascii="Times New Roman" w:hAnsi="Times New Roman"/>
                <w:b/>
                <w:bCs/>
                <w:szCs w:val="21"/>
              </w:rPr>
            </w:pPr>
            <w:r>
              <w:rPr>
                <w:rFonts w:hint="eastAsia" w:ascii="Times New Roman" w:hAnsi="Times New Roman"/>
                <w:szCs w:val="21"/>
              </w:rPr>
              <w:t>2.采用钢管加工而成，成型后经过除油、磷化、抛光处理，表面喷涂户外聚酯喷沫涂料，喷涂设备采用计算机控制的静电粉末喷涂装置，粉沫回收采用小旋风和滤心，高效率、无污染。</w:t>
            </w:r>
          </w:p>
        </w:tc>
      </w:tr>
      <w:tr w14:paraId="66F33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333" w:type="pct"/>
            <w:vMerge w:val="continue"/>
            <w:noWrap w:val="0"/>
            <w:vAlign w:val="center"/>
          </w:tcPr>
          <w:p w14:paraId="58E6C36B">
            <w:pPr>
              <w:jc w:val="center"/>
              <w:rPr>
                <w:b/>
                <w:szCs w:val="21"/>
              </w:rPr>
            </w:pPr>
          </w:p>
        </w:tc>
        <w:tc>
          <w:tcPr>
            <w:tcW w:w="440" w:type="pct"/>
            <w:vMerge w:val="continue"/>
            <w:noWrap w:val="0"/>
            <w:vAlign w:val="top"/>
          </w:tcPr>
          <w:p w14:paraId="7420856D">
            <w:pPr>
              <w:jc w:val="center"/>
              <w:rPr>
                <w:rFonts w:hint="eastAsia" w:ascii="Times New Roman" w:hAnsi="Times New Roman"/>
                <w:szCs w:val="21"/>
              </w:rPr>
            </w:pPr>
          </w:p>
        </w:tc>
        <w:tc>
          <w:tcPr>
            <w:tcW w:w="4225" w:type="pct"/>
            <w:noWrap w:val="0"/>
            <w:vAlign w:val="top"/>
          </w:tcPr>
          <w:p w14:paraId="16C0CE21">
            <w:pPr>
              <w:jc w:val="left"/>
              <w:rPr>
                <w:rFonts w:hint="eastAsia" w:ascii="Times New Roman" w:hAnsi="Times New Roman"/>
                <w:b/>
                <w:bCs/>
                <w:szCs w:val="21"/>
              </w:rPr>
            </w:pPr>
            <w:r>
              <w:rPr>
                <w:rFonts w:hint="eastAsia" w:ascii="Times New Roman" w:hAnsi="Times New Roman"/>
                <w:szCs w:val="21"/>
              </w:rPr>
              <w:t>3.工艺及结构：底脚带耐磨万向轮，组装后结构稳固，施加标准推力不摇晃.</w:t>
            </w:r>
          </w:p>
        </w:tc>
      </w:tr>
    </w:tbl>
    <w:p w14:paraId="63CCE0B7">
      <w:pPr>
        <w:rPr>
          <w:rFonts w:hint="eastAsia" w:ascii="宋体" w:hAnsi="宋体" w:eastAsia="宋体" w:cs="Times New Roman"/>
          <w:b/>
          <w:color w:val="FF0000"/>
          <w:szCs w:val="21"/>
        </w:rPr>
      </w:pPr>
    </w:p>
    <w:p w14:paraId="25C50262">
      <w:pPr>
        <w:rPr>
          <w:rFonts w:hint="eastAsia" w:ascii="宋体" w:hAnsi="宋体" w:eastAsia="宋体" w:cs="Times New Roman"/>
          <w:b/>
          <w:color w:val="FF0000"/>
          <w:szCs w:val="21"/>
          <w:highlight w:val="yellow"/>
        </w:rPr>
      </w:pPr>
      <w:r>
        <w:rPr>
          <w:rFonts w:hint="eastAsia" w:ascii="宋体" w:hAnsi="宋体" w:eastAsia="宋体" w:cs="Times New Roman"/>
          <w:b/>
          <w:color w:val="FF0000"/>
          <w:szCs w:val="21"/>
        </w:rPr>
        <w:t>1、带</w:t>
      </w:r>
      <w:r>
        <w:rPr>
          <w:rFonts w:hint="eastAsia" w:ascii="宋体" w:hAnsi="宋体" w:eastAsia="宋体" w:cs="Times New Roman"/>
          <w:b/>
          <w:bCs/>
          <w:color w:val="FF0000"/>
          <w:szCs w:val="21"/>
        </w:rPr>
        <w:t>★</w:t>
      </w:r>
      <w:r>
        <w:rPr>
          <w:rFonts w:hint="eastAsia" w:ascii="宋体" w:hAnsi="宋体" w:eastAsia="宋体" w:cs="Times New Roman"/>
          <w:b/>
          <w:color w:val="FF0000"/>
          <w:szCs w:val="21"/>
        </w:rPr>
        <w:t>号要求为不可偏离要求，如出现负偏离，将导致投标无效。带▲号参数为重要参数，其他参数（非▲号参数）为普通参数，如出现负偏离，将按照评分准则做扣分处理。</w:t>
      </w:r>
      <w:r>
        <w:rPr>
          <w:rFonts w:hint="eastAsia" w:ascii="宋体" w:hAnsi="宋体" w:eastAsia="宋体" w:cs="Times New Roman"/>
          <w:b/>
          <w:color w:val="FF0000"/>
          <w:szCs w:val="21"/>
          <w:highlight w:val="yellow"/>
        </w:rPr>
        <w:t>如注明要求提供相关佐证材料的，需以佐证材料作为是否偏离的依据。</w:t>
      </w:r>
    </w:p>
    <w:p w14:paraId="60196D69">
      <w:pPr>
        <w:spacing w:after="78"/>
        <w:jc w:val="left"/>
        <w:rPr>
          <w:rFonts w:ascii="Calibri" w:hAnsi="Calibri" w:eastAsia="宋体" w:cs="Times New Roman"/>
          <w:color w:val="FF0000"/>
          <w:szCs w:val="21"/>
        </w:rPr>
      </w:pPr>
      <w:r>
        <w:rPr>
          <w:rFonts w:hint="eastAsia" w:ascii="Calibri" w:hAnsi="Calibri" w:eastAsia="宋体" w:cs="Times New Roman"/>
          <w:color w:val="FF0000"/>
          <w:szCs w:val="21"/>
        </w:rPr>
        <w:t>2、所列的技术</w:t>
      </w:r>
      <w:r>
        <w:rPr>
          <w:rFonts w:ascii="Calibri" w:hAnsi="Calibri" w:eastAsia="宋体" w:cs="Times New Roman"/>
          <w:color w:val="FF0000"/>
          <w:szCs w:val="21"/>
        </w:rPr>
        <w:t>参数</w:t>
      </w:r>
      <w:r>
        <w:rPr>
          <w:rFonts w:hint="eastAsia" w:ascii="Calibri" w:hAnsi="Calibri" w:eastAsia="宋体" w:cs="Times New Roman"/>
          <w:color w:val="FF0000"/>
          <w:szCs w:val="21"/>
        </w:rPr>
        <w:t>需求中如出现品牌信息仅供参考，不作为参数要求，目的只为投标人更清楚地了解采购需求，投标人可提供其他品牌设备投标。</w:t>
      </w:r>
    </w:p>
    <w:p w14:paraId="6CE42046">
      <w:pPr>
        <w:spacing w:after="78"/>
        <w:jc w:val="left"/>
        <w:rPr>
          <w:rFonts w:ascii="Calibri" w:hAnsi="Calibri" w:eastAsia="宋体" w:cs="Times New Roman"/>
          <w:color w:val="FF0000"/>
          <w:szCs w:val="21"/>
        </w:rPr>
      </w:pPr>
      <w:r>
        <w:rPr>
          <w:rFonts w:hint="eastAsia" w:ascii="Calibri" w:hAnsi="Calibri" w:eastAsia="宋体" w:cs="Times New Roman"/>
          <w:color w:val="FF0000"/>
          <w:szCs w:val="21"/>
        </w:rPr>
        <w:t>3、如有</w:t>
      </w:r>
      <w:r>
        <w:rPr>
          <w:rFonts w:ascii="Calibri" w:hAnsi="Calibri" w:eastAsia="宋体" w:cs="Times New Roman"/>
          <w:color w:val="FF0000"/>
          <w:szCs w:val="21"/>
        </w:rPr>
        <w:t>方案表述中有出现类似可实现、</w:t>
      </w:r>
      <w:r>
        <w:rPr>
          <w:rFonts w:hint="eastAsia" w:ascii="Calibri" w:hAnsi="Calibri" w:eastAsia="宋体" w:cs="Times New Roman"/>
          <w:color w:val="FF0000"/>
          <w:szCs w:val="21"/>
        </w:rPr>
        <w:t>实现</w:t>
      </w:r>
      <w:r>
        <w:rPr>
          <w:rFonts w:ascii="Calibri" w:hAnsi="Calibri" w:eastAsia="宋体" w:cs="Times New Roman"/>
          <w:color w:val="FF0000"/>
          <w:szCs w:val="21"/>
        </w:rPr>
        <w:t>、</w:t>
      </w:r>
      <w:r>
        <w:rPr>
          <w:rFonts w:hint="eastAsia" w:ascii="Calibri" w:hAnsi="Calibri" w:eastAsia="宋体" w:cs="Times New Roman"/>
          <w:color w:val="FF0000"/>
          <w:szCs w:val="21"/>
        </w:rPr>
        <w:t>可</w:t>
      </w:r>
      <w:r>
        <w:rPr>
          <w:rFonts w:ascii="Calibri" w:hAnsi="Calibri" w:eastAsia="宋体" w:cs="Times New Roman"/>
          <w:color w:val="FF0000"/>
          <w:szCs w:val="21"/>
        </w:rPr>
        <w:t>支持、支持</w:t>
      </w:r>
      <w:r>
        <w:rPr>
          <w:rFonts w:hint="eastAsia" w:ascii="Calibri" w:hAnsi="Calibri" w:eastAsia="宋体" w:cs="Times New Roman"/>
          <w:color w:val="FF0000"/>
          <w:szCs w:val="21"/>
        </w:rPr>
        <w:t>等</w:t>
      </w:r>
      <w:r>
        <w:rPr>
          <w:rFonts w:ascii="Calibri" w:hAnsi="Calibri" w:eastAsia="宋体" w:cs="Times New Roman"/>
          <w:color w:val="FF0000"/>
          <w:szCs w:val="21"/>
        </w:rPr>
        <w:t>描述的，均表示方案需要实现的功能或</w:t>
      </w:r>
      <w:r>
        <w:rPr>
          <w:rFonts w:hint="eastAsia" w:ascii="Calibri" w:hAnsi="Calibri" w:eastAsia="宋体" w:cs="Times New Roman"/>
          <w:color w:val="FF0000"/>
          <w:szCs w:val="21"/>
        </w:rPr>
        <w:t>应满足的</w:t>
      </w:r>
      <w:r>
        <w:rPr>
          <w:rFonts w:ascii="Calibri" w:hAnsi="Calibri" w:eastAsia="宋体" w:cs="Times New Roman"/>
          <w:color w:val="FF0000"/>
          <w:szCs w:val="21"/>
        </w:rPr>
        <w:t>要求，即项目在验收时无须增加其他</w:t>
      </w:r>
      <w:r>
        <w:rPr>
          <w:rFonts w:hint="eastAsia" w:ascii="Calibri" w:hAnsi="Calibri" w:eastAsia="宋体" w:cs="Times New Roman"/>
          <w:color w:val="FF0000"/>
          <w:szCs w:val="21"/>
        </w:rPr>
        <w:t>额外</w:t>
      </w:r>
      <w:r>
        <w:rPr>
          <w:rFonts w:ascii="Calibri" w:hAnsi="Calibri" w:eastAsia="宋体" w:cs="Times New Roman"/>
          <w:color w:val="FF0000"/>
          <w:szCs w:val="21"/>
        </w:rPr>
        <w:t>设备</w:t>
      </w:r>
      <w:r>
        <w:rPr>
          <w:rFonts w:hint="eastAsia" w:ascii="Calibri" w:hAnsi="Calibri" w:eastAsia="宋体" w:cs="Times New Roman"/>
          <w:color w:val="FF0000"/>
          <w:szCs w:val="21"/>
        </w:rPr>
        <w:t>或</w:t>
      </w:r>
      <w:r>
        <w:rPr>
          <w:rFonts w:ascii="Calibri" w:hAnsi="Calibri" w:eastAsia="宋体" w:cs="Times New Roman"/>
          <w:color w:val="FF0000"/>
          <w:szCs w:val="21"/>
        </w:rPr>
        <w:t>系统</w:t>
      </w:r>
      <w:r>
        <w:rPr>
          <w:rFonts w:hint="eastAsia" w:ascii="Calibri" w:hAnsi="Calibri" w:eastAsia="宋体" w:cs="Times New Roman"/>
          <w:color w:val="FF0000"/>
          <w:szCs w:val="21"/>
        </w:rPr>
        <w:t>，</w:t>
      </w:r>
      <w:r>
        <w:rPr>
          <w:rFonts w:ascii="Calibri" w:hAnsi="Calibri" w:eastAsia="宋体" w:cs="Times New Roman"/>
          <w:color w:val="FF0000"/>
          <w:szCs w:val="21"/>
        </w:rPr>
        <w:t>使用本项目中的设备或</w:t>
      </w:r>
      <w:r>
        <w:rPr>
          <w:rFonts w:hint="eastAsia" w:ascii="Calibri" w:hAnsi="Calibri" w:eastAsia="宋体" w:cs="Times New Roman"/>
          <w:color w:val="FF0000"/>
          <w:szCs w:val="21"/>
        </w:rPr>
        <w:t>系统</w:t>
      </w:r>
      <w:r>
        <w:rPr>
          <w:rFonts w:ascii="Calibri" w:hAnsi="Calibri" w:eastAsia="宋体" w:cs="Times New Roman"/>
          <w:color w:val="FF0000"/>
          <w:szCs w:val="21"/>
        </w:rPr>
        <w:t>即能实现</w:t>
      </w:r>
      <w:r>
        <w:rPr>
          <w:rFonts w:hint="eastAsia" w:ascii="Calibri" w:hAnsi="Calibri" w:eastAsia="宋体" w:cs="Times New Roman"/>
          <w:color w:val="FF0000"/>
          <w:szCs w:val="21"/>
        </w:rPr>
        <w:t>相应功能</w:t>
      </w:r>
      <w:r>
        <w:rPr>
          <w:rFonts w:ascii="Calibri" w:hAnsi="Calibri" w:eastAsia="宋体" w:cs="Times New Roman"/>
          <w:color w:val="FF0000"/>
          <w:szCs w:val="21"/>
        </w:rPr>
        <w:t>或</w:t>
      </w:r>
      <w:r>
        <w:rPr>
          <w:rFonts w:hint="eastAsia" w:ascii="Calibri" w:hAnsi="Calibri" w:eastAsia="宋体" w:cs="Times New Roman"/>
          <w:color w:val="FF0000"/>
          <w:szCs w:val="21"/>
        </w:rPr>
        <w:t>满足相关</w:t>
      </w:r>
      <w:r>
        <w:rPr>
          <w:rFonts w:ascii="Calibri" w:hAnsi="Calibri" w:eastAsia="宋体" w:cs="Times New Roman"/>
          <w:color w:val="FF0000"/>
          <w:szCs w:val="21"/>
        </w:rPr>
        <w:t>要求。</w:t>
      </w:r>
    </w:p>
    <w:p w14:paraId="4ED0829B">
      <w:pPr>
        <w:spacing w:after="78"/>
        <w:jc w:val="left"/>
        <w:rPr>
          <w:rFonts w:ascii="Calibri" w:hAnsi="Calibri" w:eastAsia="宋体" w:cs="Times New Roman"/>
          <w:color w:val="FF0000"/>
          <w:szCs w:val="21"/>
        </w:rPr>
      </w:pPr>
      <w:r>
        <w:rPr>
          <w:rFonts w:ascii="Calibri" w:hAnsi="Calibri" w:eastAsia="宋体" w:cs="Times New Roman"/>
          <w:color w:val="FF0000"/>
          <w:szCs w:val="21"/>
        </w:rPr>
        <w:t>4、针对招标文件产品技术参数如涉及相关既定值、单向范围值、区间范围值的，投标技术参数响应方式举例说明如下：</w:t>
      </w:r>
    </w:p>
    <w:p w14:paraId="760E830B">
      <w:pPr>
        <w:spacing w:after="78"/>
        <w:jc w:val="left"/>
        <w:rPr>
          <w:rFonts w:ascii="Calibri" w:hAnsi="Calibri" w:eastAsia="宋体" w:cs="Times New Roman"/>
          <w:color w:val="FF0000"/>
          <w:szCs w:val="21"/>
        </w:rPr>
      </w:pPr>
      <w:r>
        <w:rPr>
          <w:rFonts w:ascii="Calibri" w:hAnsi="Calibri" w:eastAsia="宋体" w:cs="Times New Roman"/>
          <w:color w:val="FF0000"/>
          <w:szCs w:val="21"/>
        </w:rPr>
        <w:t>（1）涉及相关既定值的，例：招标技术参数要求值为“20L”，投标技术参数响应值与“20L”不一致的，均视为负偏离；</w:t>
      </w:r>
    </w:p>
    <w:p w14:paraId="6CE01D6E">
      <w:pPr>
        <w:spacing w:after="78"/>
        <w:jc w:val="left"/>
        <w:rPr>
          <w:rFonts w:ascii="Calibri" w:hAnsi="Calibri" w:eastAsia="宋体" w:cs="Times New Roman"/>
          <w:color w:val="FF0000"/>
          <w:szCs w:val="21"/>
        </w:rPr>
      </w:pPr>
      <w:r>
        <w:rPr>
          <w:rFonts w:ascii="Calibri" w:hAnsi="Calibri" w:eastAsia="宋体" w:cs="Times New Roman"/>
          <w:color w:val="FF0000"/>
          <w:szCs w:val="21"/>
        </w:rPr>
        <w:t>（2）涉及相关单向范围值的，例：招标技术参数要求的单向范围值为“≥6m”，除有特别注明以外，投标技术参数响应值与招标技术参数要求范围值完全一致的（如响应为“≥6m”）或投标技术参数响应值大于招标技术参数要求范围值的（如响应为“≥5”或“＞5”等）或投标技术参数响应值为招标技术参数要求范围值内的任意值的（如响应为“7m”或“6.5m”等）均视为符合要求，投标技术参数响应值小于招标技术参数要求的（如响应为"＜6m"或“＜5m”或“5m”等）均视为负偏离；</w:t>
      </w:r>
    </w:p>
    <w:p w14:paraId="34544111">
      <w:pPr>
        <w:spacing w:after="78"/>
        <w:jc w:val="left"/>
        <w:rPr>
          <w:rFonts w:hint="eastAsia" w:eastAsia="黑体" w:cs="Times New Roman"/>
          <w:kern w:val="44"/>
          <w:szCs w:val="44"/>
        </w:rPr>
      </w:pPr>
      <w:r>
        <w:rPr>
          <w:rFonts w:ascii="Calibri" w:hAnsi="Calibri" w:eastAsia="宋体" w:cs="Times New Roman"/>
          <w:color w:val="FF0000"/>
          <w:szCs w:val="21"/>
        </w:rPr>
        <w:t>（3）涉及相关区间范围值的，例：招标技术参数要求的区间范围值为“0-20ML”，除有特别注明以外，投标技术参数响应值与招标技术参数要求范围值完全一致的（如响应为“0-20ML”）或投标技术参数响应值大于招标技术参数要求范围值的（如响应为“0-21ML”或“-1-20ML”或“0-25ML”等）均视为符合要求，投标技术参数响应值小于招标技术参数要求范围值的（如响应为“0-15ML”或“1-12ML ”或 “9-20ML”或“9ML” 等）均视为负偏离。</w:t>
      </w:r>
    </w:p>
    <w:p w14:paraId="66ECED26">
      <w:pPr>
        <w:pStyle w:val="4"/>
        <w:spacing w:before="156" w:beforeLines="50" w:after="156" w:afterLines="50" w:line="416" w:lineRule="auto"/>
        <w:jc w:val="center"/>
        <w:rPr>
          <w:rFonts w:hint="eastAsia"/>
          <w:szCs w:val="28"/>
        </w:rPr>
      </w:pPr>
      <w:r>
        <w:rPr>
          <w:rFonts w:hint="eastAsia"/>
          <w:szCs w:val="28"/>
        </w:rPr>
        <w:t>六、其他重要条款</w:t>
      </w:r>
    </w:p>
    <w:p w14:paraId="3573AC3E">
      <w:pPr>
        <w:ind w:firstLine="420" w:firstLineChars="200"/>
        <w:rPr>
          <w:bCs/>
          <w:szCs w:val="21"/>
        </w:rPr>
      </w:pPr>
      <w:r>
        <w:rPr>
          <w:rFonts w:hint="eastAsia"/>
          <w:bCs/>
          <w:szCs w:val="21"/>
        </w:rPr>
        <w:t>1、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14:paraId="25CF0015">
      <w:pPr>
        <w:ind w:firstLine="420" w:firstLineChars="200"/>
        <w:rPr>
          <w:bCs/>
          <w:szCs w:val="21"/>
        </w:rPr>
      </w:pPr>
      <w:r>
        <w:rPr>
          <w:rFonts w:hint="eastAsia"/>
          <w:bCs/>
          <w:szCs w:val="21"/>
        </w:rPr>
        <w:t>2、投标人应充分了解项目的位置、情况、道路及任何其它足以影响投标报价的情况，任何因忽视或误解项目情况而导致的索赔或服务期限延长申请将不获批准。</w:t>
      </w:r>
    </w:p>
    <w:p w14:paraId="314EC339">
      <w:pPr>
        <w:ind w:firstLine="420" w:firstLineChars="200"/>
        <w:rPr>
          <w:bCs/>
          <w:szCs w:val="21"/>
        </w:rPr>
      </w:pPr>
      <w:r>
        <w:rPr>
          <w:rFonts w:hint="eastAsia"/>
          <w:bCs/>
          <w:szCs w:val="21"/>
        </w:rPr>
        <w:t>3、投标人不得期望通过索赔等方式获取补偿，否则，除可能遭到拒绝外，还可能将被作为不良行为记录在案，并可能影响其以后参加政府采购的项目投标。各投标人在投标报价时，应充分考虑投标报价的风险。</w:t>
      </w:r>
    </w:p>
    <w:p w14:paraId="57C43FF6">
      <w:pPr>
        <w:ind w:firstLine="420" w:firstLineChars="200"/>
        <w:rPr>
          <w:bCs/>
          <w:szCs w:val="21"/>
        </w:rPr>
      </w:pPr>
      <w:r>
        <w:rPr>
          <w:rFonts w:hint="eastAsia"/>
          <w:bCs/>
          <w:szCs w:val="21"/>
        </w:rPr>
        <w:t>4、除政府采购合同继续履行将损害国家利益和社会公共利益外，双方当事人不得擅自变更、中止或者终止合同。</w:t>
      </w:r>
    </w:p>
    <w:p w14:paraId="2921DFA1">
      <w:pPr>
        <w:ind w:firstLine="420" w:firstLineChars="200"/>
        <w:rPr>
          <w:rFonts w:hint="eastAsia" w:ascii="宋体" w:hAnsi="宋体" w:eastAsia="宋体" w:cs="Times New Roman"/>
          <w:b/>
          <w:bCs/>
          <w:kern w:val="0"/>
          <w:sz w:val="28"/>
          <w:szCs w:val="28"/>
        </w:rPr>
      </w:pPr>
      <w:r>
        <w:rPr>
          <w:rFonts w:hint="eastAsia"/>
          <w:bCs/>
          <w:szCs w:val="21"/>
        </w:rPr>
        <w:t>5、“信用中国”中“信用服务”栏的“重大税收违法失信主体”“失信被执行人”，“中国政府采购网”中的“政府采购严重违法失信行为记录名单”，以及“深圳市政府采购监管网”为供应商信用信息的查询渠道，相关信息以开标当日的查询结果为准。</w:t>
      </w:r>
    </w:p>
    <w:p w14:paraId="36669BA8">
      <w:pPr>
        <w:keepNext/>
        <w:keepLines/>
        <w:adjustRightInd w:val="0"/>
        <w:spacing w:line="320" w:lineRule="atLeast"/>
        <w:jc w:val="center"/>
        <w:textAlignment w:val="baseline"/>
        <w:outlineLvl w:val="1"/>
        <w:rPr>
          <w:rFonts w:hint="eastAsia" w:ascii="宋体" w:hAnsi="宋体" w:eastAsia="宋体" w:cs="Times New Roman"/>
          <w:b/>
          <w:bCs/>
          <w:kern w:val="0"/>
          <w:sz w:val="28"/>
          <w:szCs w:val="28"/>
        </w:rPr>
      </w:pPr>
      <w:r>
        <w:rPr>
          <w:rFonts w:hint="eastAsia" w:ascii="宋体" w:hAnsi="宋体" w:eastAsia="宋体" w:cs="Times New Roman"/>
          <w:b/>
          <w:bCs/>
          <w:kern w:val="0"/>
          <w:sz w:val="28"/>
          <w:szCs w:val="28"/>
        </w:rPr>
        <w:t>第四章</w:t>
      </w:r>
      <w:r>
        <w:rPr>
          <w:rFonts w:ascii="宋体" w:hAnsi="宋体" w:eastAsia="宋体" w:cs="Times New Roman"/>
          <w:b/>
          <w:bCs/>
          <w:kern w:val="0"/>
          <w:sz w:val="28"/>
          <w:szCs w:val="28"/>
        </w:rPr>
        <w:t xml:space="preserve"> </w:t>
      </w:r>
      <w:r>
        <w:rPr>
          <w:rFonts w:hint="eastAsia" w:ascii="宋体" w:hAnsi="宋体" w:eastAsia="宋体" w:cs="Times New Roman"/>
          <w:b/>
          <w:bCs/>
          <w:kern w:val="0"/>
          <w:sz w:val="28"/>
          <w:szCs w:val="28"/>
        </w:rPr>
        <w:t xml:space="preserve"> 投标文件组成要求及格式</w:t>
      </w:r>
    </w:p>
    <w:p w14:paraId="12763518">
      <w:pPr>
        <w:pStyle w:val="9"/>
      </w:pPr>
      <w:bookmarkStart w:id="17" w:name="_Hlk72257167"/>
    </w:p>
    <w:bookmarkEnd w:id="17"/>
    <w:p w14:paraId="3A92BDD7">
      <w:pPr>
        <w:widowControl/>
        <w:spacing w:line="320" w:lineRule="atLeast"/>
        <w:jc w:val="left"/>
        <w:outlineLvl w:val="2"/>
        <w:rPr>
          <w:rFonts w:hint="eastAsia" w:ascii="宋体" w:hAnsi="宋体" w:eastAsia="黑体" w:cs="Times New Roman"/>
          <w:bCs/>
          <w:kern w:val="44"/>
          <w:sz w:val="24"/>
          <w:szCs w:val="24"/>
        </w:rPr>
      </w:pPr>
      <w:r>
        <w:rPr>
          <w:rFonts w:hint="eastAsia" w:ascii="宋体" w:hAnsi="宋体" w:eastAsia="黑体" w:cs="Times New Roman"/>
          <w:bCs/>
          <w:kern w:val="44"/>
          <w:sz w:val="24"/>
          <w:szCs w:val="24"/>
        </w:rPr>
        <w:t>投标文件组成：</w:t>
      </w:r>
    </w:p>
    <w:p w14:paraId="7BB4982C">
      <w:pPr>
        <w:ind w:firstLine="1200" w:firstLineChars="500"/>
        <w:outlineLvl w:val="0"/>
        <w:rPr>
          <w:rFonts w:hint="eastAsia" w:ascii="宋体" w:hAnsi="宋体"/>
          <w:sz w:val="24"/>
        </w:rPr>
      </w:pPr>
      <w:bookmarkStart w:id="18" w:name="_Hlk72257771"/>
      <w:r>
        <w:rPr>
          <w:rFonts w:hint="eastAsia" w:ascii="宋体" w:hAnsi="宋体"/>
          <w:sz w:val="24"/>
        </w:rPr>
        <w:t>1.投标文件正文，主要包括以下内容：</w:t>
      </w:r>
    </w:p>
    <w:p w14:paraId="2FF14ECF">
      <w:pPr>
        <w:ind w:left="718" w:leftChars="342" w:firstLine="1417" w:firstLineChars="675"/>
        <w:rPr>
          <w:szCs w:val="21"/>
        </w:rPr>
      </w:pPr>
      <w:r>
        <w:rPr>
          <w:rFonts w:hint="eastAsia"/>
          <w:szCs w:val="21"/>
        </w:rPr>
        <w:t>（1）</w:t>
      </w:r>
      <w:bookmarkStart w:id="19" w:name="_Hlk72070784"/>
      <w:r>
        <w:rPr>
          <w:rFonts w:hint="eastAsia"/>
          <w:szCs w:val="21"/>
        </w:rPr>
        <w:t>投标函</w:t>
      </w:r>
      <w:bookmarkEnd w:id="19"/>
    </w:p>
    <w:p w14:paraId="2F82CA72">
      <w:pPr>
        <w:ind w:left="718" w:leftChars="342" w:firstLine="1417" w:firstLineChars="675"/>
        <w:rPr>
          <w:szCs w:val="21"/>
        </w:rPr>
      </w:pPr>
      <w:r>
        <w:rPr>
          <w:rFonts w:hint="eastAsia"/>
          <w:szCs w:val="21"/>
        </w:rPr>
        <w:t>（2）</w:t>
      </w:r>
      <w:bookmarkStart w:id="20" w:name="_Hlk72062521"/>
      <w:r>
        <w:rPr>
          <w:rFonts w:hint="eastAsia"/>
          <w:szCs w:val="21"/>
        </w:rPr>
        <w:t>政府采购投标及履约承诺函</w:t>
      </w:r>
      <w:bookmarkEnd w:id="20"/>
    </w:p>
    <w:p w14:paraId="451CD10E">
      <w:pPr>
        <w:ind w:left="718" w:leftChars="342" w:firstLine="1417" w:firstLineChars="675"/>
        <w:rPr>
          <w:szCs w:val="21"/>
        </w:rPr>
      </w:pPr>
      <w:r>
        <w:rPr>
          <w:rFonts w:hint="eastAsia"/>
          <w:szCs w:val="21"/>
        </w:rPr>
        <w:t>（</w:t>
      </w:r>
      <w:r>
        <w:rPr>
          <w:szCs w:val="21"/>
        </w:rPr>
        <w:t>3</w:t>
      </w:r>
      <w:r>
        <w:rPr>
          <w:rFonts w:hint="eastAsia"/>
          <w:szCs w:val="21"/>
        </w:rPr>
        <w:t>）投标人情况及资格证明文件</w:t>
      </w:r>
    </w:p>
    <w:p w14:paraId="601EA6AC">
      <w:pPr>
        <w:ind w:left="718" w:leftChars="342" w:firstLine="1417" w:firstLineChars="675"/>
        <w:rPr>
          <w:szCs w:val="21"/>
        </w:rPr>
      </w:pPr>
      <w:bookmarkStart w:id="21" w:name="_Hlk72257201"/>
      <w:r>
        <w:rPr>
          <w:rFonts w:hint="eastAsia"/>
          <w:szCs w:val="21"/>
        </w:rPr>
        <w:t>（</w:t>
      </w:r>
      <w:r>
        <w:rPr>
          <w:szCs w:val="21"/>
        </w:rPr>
        <w:t>4</w:t>
      </w:r>
      <w:r>
        <w:rPr>
          <w:rFonts w:hint="eastAsia"/>
          <w:szCs w:val="21"/>
        </w:rPr>
        <w:t>）项目详细报价</w:t>
      </w:r>
    </w:p>
    <w:bookmarkEnd w:id="21"/>
    <w:p w14:paraId="065E9E25">
      <w:pPr>
        <w:ind w:left="718" w:leftChars="342" w:firstLine="1417" w:firstLineChars="675"/>
        <w:rPr>
          <w:rFonts w:hint="eastAsia" w:eastAsiaTheme="minorEastAsia"/>
          <w:szCs w:val="21"/>
          <w:lang w:eastAsia="zh-CN"/>
        </w:rPr>
      </w:pPr>
      <w:r>
        <w:rPr>
          <w:rFonts w:hint="eastAsia"/>
          <w:szCs w:val="21"/>
        </w:rPr>
        <w:t>（5）</w:t>
      </w:r>
      <w:r>
        <w:rPr>
          <w:rFonts w:hint="eastAsia"/>
          <w:szCs w:val="21"/>
          <w:lang w:eastAsia="zh-CN"/>
        </w:rPr>
        <w:t>供应商情况表</w:t>
      </w:r>
    </w:p>
    <w:p w14:paraId="78F0A642">
      <w:pPr>
        <w:ind w:firstLine="1200" w:firstLineChars="500"/>
        <w:outlineLvl w:val="0"/>
        <w:rPr>
          <w:rFonts w:hint="eastAsia" w:ascii="宋体" w:hAnsi="宋体"/>
          <w:sz w:val="24"/>
        </w:rPr>
      </w:pPr>
      <w:r>
        <w:rPr>
          <w:rFonts w:hint="eastAsia" w:ascii="宋体" w:hAnsi="宋体"/>
          <w:sz w:val="24"/>
        </w:rPr>
        <w:t>2.投标文件附件：主要包括以下内容：</w:t>
      </w:r>
    </w:p>
    <w:p w14:paraId="34972E21">
      <w:pPr>
        <w:ind w:firstLine="2100" w:firstLineChars="1000"/>
        <w:rPr>
          <w:szCs w:val="21"/>
        </w:rPr>
      </w:pPr>
      <w:r>
        <w:rPr>
          <w:rFonts w:hint="eastAsia"/>
          <w:szCs w:val="21"/>
        </w:rPr>
        <w:t>（1）法定代表人（负责人）证明书</w:t>
      </w:r>
    </w:p>
    <w:p w14:paraId="05F0F9D9">
      <w:pPr>
        <w:ind w:left="718" w:leftChars="342" w:firstLine="1417" w:firstLineChars="675"/>
        <w:rPr>
          <w:szCs w:val="21"/>
        </w:rPr>
      </w:pPr>
      <w:r>
        <w:rPr>
          <w:rFonts w:hint="eastAsia"/>
          <w:szCs w:val="21"/>
        </w:rPr>
        <w:t>（2）投标文件签署授权委托书</w:t>
      </w:r>
    </w:p>
    <w:p w14:paraId="71454166">
      <w:pPr>
        <w:ind w:left="718" w:leftChars="342" w:firstLine="1417" w:firstLineChars="675"/>
        <w:rPr>
          <w:szCs w:val="21"/>
        </w:rPr>
      </w:pPr>
      <w:r>
        <w:rPr>
          <w:rFonts w:hint="eastAsia"/>
          <w:szCs w:val="21"/>
        </w:rPr>
        <w:t>（3）实质性条款响应情况表</w:t>
      </w:r>
    </w:p>
    <w:p w14:paraId="2F0952D0">
      <w:pPr>
        <w:ind w:left="718" w:leftChars="342" w:firstLine="1417" w:firstLineChars="675"/>
        <w:rPr>
          <w:szCs w:val="21"/>
        </w:rPr>
      </w:pPr>
      <w:r>
        <w:rPr>
          <w:rFonts w:hint="eastAsia"/>
          <w:szCs w:val="21"/>
        </w:rPr>
        <w:t>（</w:t>
      </w:r>
      <w:r>
        <w:rPr>
          <w:szCs w:val="21"/>
        </w:rPr>
        <w:t>4</w:t>
      </w:r>
      <w:r>
        <w:rPr>
          <w:rFonts w:hint="eastAsia"/>
          <w:szCs w:val="21"/>
        </w:rPr>
        <w:t>）商务要求偏离表</w:t>
      </w:r>
    </w:p>
    <w:p w14:paraId="45B1F49B">
      <w:pPr>
        <w:ind w:left="718" w:leftChars="342" w:firstLine="1417" w:firstLineChars="675"/>
        <w:rPr>
          <w:szCs w:val="21"/>
        </w:rPr>
      </w:pPr>
      <w:r>
        <w:rPr>
          <w:rFonts w:hint="eastAsia"/>
          <w:szCs w:val="21"/>
        </w:rPr>
        <w:t>（</w:t>
      </w:r>
      <w:r>
        <w:rPr>
          <w:szCs w:val="21"/>
        </w:rPr>
        <w:t>5</w:t>
      </w:r>
      <w:r>
        <w:rPr>
          <w:rFonts w:hint="eastAsia"/>
          <w:szCs w:val="21"/>
        </w:rPr>
        <w:t>）技术要求偏离表</w:t>
      </w:r>
    </w:p>
    <w:p w14:paraId="4EA7AA6B">
      <w:pPr>
        <w:ind w:left="718" w:leftChars="342" w:firstLine="1417" w:firstLineChars="675"/>
        <w:rPr>
          <w:rFonts w:hint="eastAsia" w:eastAsiaTheme="minorEastAsia"/>
          <w:szCs w:val="21"/>
          <w:lang w:eastAsia="zh-CN"/>
        </w:rPr>
      </w:pPr>
      <w:r>
        <w:rPr>
          <w:rFonts w:hint="eastAsia"/>
          <w:szCs w:val="21"/>
        </w:rPr>
        <w:t>（6）</w:t>
      </w:r>
      <w:r>
        <w:rPr>
          <w:rFonts w:hint="eastAsia"/>
          <w:szCs w:val="21"/>
          <w:lang w:eastAsia="zh-CN"/>
        </w:rPr>
        <w:t>技术</w:t>
      </w:r>
      <w:r>
        <w:rPr>
          <w:rFonts w:hint="eastAsia"/>
          <w:szCs w:val="21"/>
        </w:rPr>
        <w:t>保障措施</w:t>
      </w:r>
    </w:p>
    <w:p w14:paraId="36DB9EB2">
      <w:pPr>
        <w:ind w:left="718" w:leftChars="342" w:firstLine="1417" w:firstLineChars="675"/>
        <w:rPr>
          <w:rFonts w:hint="eastAsia"/>
          <w:lang w:eastAsia="zh-CN"/>
        </w:rPr>
      </w:pPr>
      <w:r>
        <w:rPr>
          <w:rFonts w:hint="eastAsia"/>
          <w:szCs w:val="21"/>
          <w:lang w:eastAsia="zh-CN"/>
        </w:rPr>
        <w:t>（</w:t>
      </w:r>
      <w:r>
        <w:rPr>
          <w:rFonts w:hint="eastAsia"/>
          <w:szCs w:val="21"/>
          <w:lang w:val="en-US" w:eastAsia="zh-CN"/>
        </w:rPr>
        <w:t>7</w:t>
      </w:r>
      <w:r>
        <w:rPr>
          <w:rFonts w:hint="eastAsia"/>
          <w:szCs w:val="21"/>
          <w:lang w:eastAsia="zh-CN"/>
        </w:rPr>
        <w:t>）效果图</w:t>
      </w:r>
    </w:p>
    <w:p w14:paraId="76888663">
      <w:pPr>
        <w:ind w:left="718" w:leftChars="342" w:firstLine="1417" w:firstLineChars="675"/>
        <w:rPr>
          <w:rFonts w:hint="eastAsia"/>
          <w:szCs w:val="21"/>
          <w:lang w:eastAsia="zh-CN"/>
        </w:rPr>
      </w:pPr>
      <w:r>
        <w:rPr>
          <w:rFonts w:hint="eastAsia"/>
          <w:szCs w:val="21"/>
          <w:lang w:eastAsia="zh-CN"/>
        </w:rPr>
        <w:t>（</w:t>
      </w:r>
      <w:r>
        <w:rPr>
          <w:rFonts w:hint="eastAsia"/>
          <w:szCs w:val="21"/>
          <w:lang w:val="en-US" w:eastAsia="zh-CN"/>
        </w:rPr>
        <w:t>8</w:t>
      </w:r>
      <w:r>
        <w:rPr>
          <w:rFonts w:hint="eastAsia"/>
          <w:szCs w:val="21"/>
          <w:lang w:eastAsia="zh-CN"/>
        </w:rPr>
        <w:t>）现场踏勘</w:t>
      </w:r>
    </w:p>
    <w:p w14:paraId="6F690004">
      <w:pPr>
        <w:ind w:left="718" w:leftChars="342" w:firstLine="1417" w:firstLineChars="675"/>
        <w:rPr>
          <w:rFonts w:hint="eastAsia"/>
          <w:szCs w:val="21"/>
          <w:lang w:eastAsia="zh-CN"/>
        </w:rPr>
      </w:pPr>
      <w:r>
        <w:rPr>
          <w:rFonts w:hint="eastAsia"/>
          <w:szCs w:val="21"/>
          <w:lang w:eastAsia="zh-CN"/>
        </w:rPr>
        <w:t>（</w:t>
      </w:r>
      <w:r>
        <w:rPr>
          <w:rFonts w:hint="eastAsia"/>
          <w:szCs w:val="21"/>
          <w:lang w:val="en-US" w:eastAsia="zh-CN"/>
        </w:rPr>
        <w:t>9</w:t>
      </w:r>
      <w:r>
        <w:rPr>
          <w:rFonts w:hint="eastAsia"/>
          <w:szCs w:val="21"/>
          <w:lang w:eastAsia="zh-CN"/>
        </w:rPr>
        <w:t>）同类项目业绩</w:t>
      </w:r>
    </w:p>
    <w:p w14:paraId="286371EC">
      <w:pPr>
        <w:ind w:left="718" w:leftChars="342" w:firstLine="1417" w:firstLineChars="675"/>
        <w:rPr>
          <w:rFonts w:hint="eastAsia"/>
          <w:szCs w:val="21"/>
          <w:lang w:eastAsia="zh-CN"/>
        </w:rPr>
      </w:pPr>
      <w:r>
        <w:rPr>
          <w:rFonts w:hint="eastAsia"/>
          <w:szCs w:val="21"/>
          <w:lang w:eastAsia="zh-CN"/>
        </w:rPr>
        <w:t>（</w:t>
      </w:r>
      <w:r>
        <w:rPr>
          <w:rFonts w:hint="eastAsia"/>
          <w:szCs w:val="21"/>
          <w:lang w:val="en-US" w:eastAsia="zh-CN"/>
        </w:rPr>
        <w:t>10</w:t>
      </w:r>
      <w:r>
        <w:rPr>
          <w:rFonts w:hint="eastAsia"/>
          <w:szCs w:val="21"/>
          <w:lang w:eastAsia="zh-CN"/>
        </w:rPr>
        <w:t>）投标人认证情况</w:t>
      </w:r>
    </w:p>
    <w:p w14:paraId="36FCBEC8">
      <w:pPr>
        <w:ind w:left="718" w:leftChars="342" w:firstLine="1417" w:firstLineChars="675"/>
        <w:rPr>
          <w:szCs w:val="21"/>
        </w:rPr>
      </w:pPr>
      <w:r>
        <w:rPr>
          <w:rFonts w:hint="eastAsia"/>
          <w:szCs w:val="21"/>
          <w:lang w:eastAsia="zh-CN"/>
        </w:rPr>
        <w:t>（</w:t>
      </w:r>
      <w:r>
        <w:rPr>
          <w:rFonts w:hint="eastAsia"/>
          <w:szCs w:val="21"/>
          <w:lang w:val="en-US" w:eastAsia="zh-CN"/>
        </w:rPr>
        <w:t>11</w:t>
      </w:r>
      <w:r>
        <w:rPr>
          <w:rFonts w:hint="eastAsia"/>
          <w:szCs w:val="21"/>
          <w:lang w:eastAsia="zh-CN"/>
        </w:rPr>
        <w:t>）</w:t>
      </w:r>
      <w:r>
        <w:rPr>
          <w:rFonts w:hint="eastAsia"/>
          <w:szCs w:val="21"/>
        </w:rPr>
        <w:t>投标人认为需要加以说明的其他内容</w:t>
      </w:r>
    </w:p>
    <w:p w14:paraId="4DCC21F0">
      <w:pPr>
        <w:ind w:left="718" w:leftChars="342" w:firstLine="1417" w:firstLineChars="675"/>
        <w:rPr>
          <w:rFonts w:hint="eastAsia" w:ascii="宋体" w:hAnsi="宋体"/>
          <w:szCs w:val="21"/>
        </w:rPr>
      </w:pPr>
      <w:r>
        <w:rPr>
          <w:rFonts w:hint="eastAsia" w:ascii="宋体" w:hAnsi="宋体"/>
          <w:szCs w:val="21"/>
        </w:rPr>
        <w:t>…………</w:t>
      </w:r>
    </w:p>
    <w:p w14:paraId="7383D217">
      <w:pPr>
        <w:spacing w:line="320" w:lineRule="atLeast"/>
        <w:rPr>
          <w:rFonts w:hint="eastAsia" w:ascii="宋体" w:hAnsi="宋体"/>
          <w:b/>
          <w:sz w:val="24"/>
          <w:szCs w:val="24"/>
        </w:rPr>
      </w:pPr>
      <w:r>
        <w:rPr>
          <w:rFonts w:hint="eastAsia" w:ascii="宋体" w:hAnsi="宋体"/>
          <w:b/>
          <w:sz w:val="24"/>
          <w:szCs w:val="24"/>
        </w:rPr>
        <w:t>备注：</w:t>
      </w:r>
    </w:p>
    <w:p w14:paraId="4DE797F0">
      <w:pPr>
        <w:snapToGrid w:val="0"/>
        <w:spacing w:line="320" w:lineRule="atLeast"/>
        <w:ind w:firstLine="482" w:firstLineChars="200"/>
        <w:rPr>
          <w:rFonts w:hint="eastAsia" w:ascii="宋体" w:hAnsi="宋体"/>
          <w:b/>
          <w:sz w:val="24"/>
          <w:szCs w:val="24"/>
        </w:rPr>
      </w:pPr>
      <w:r>
        <w:rPr>
          <w:rFonts w:hint="eastAsia" w:ascii="宋体" w:hAnsi="宋体"/>
          <w:b/>
          <w:sz w:val="24"/>
          <w:szCs w:val="24"/>
        </w:rPr>
        <w:t>1.本项目为网上电子投标项目，投标文件不需法人或授权委托人另行签字，无需加盖单位公章，招标文件另有规定的除外。</w:t>
      </w:r>
    </w:p>
    <w:p w14:paraId="0E212C9C">
      <w:pPr>
        <w:snapToGrid w:val="0"/>
        <w:spacing w:after="78" w:afterLines="25"/>
        <w:ind w:firstLine="482" w:firstLineChars="200"/>
        <w:rPr>
          <w:rFonts w:hint="eastAsia" w:ascii="宋体" w:hAnsi="宋体" w:eastAsia="黑体" w:cs="Times New Roman"/>
          <w:bCs/>
          <w:kern w:val="44"/>
          <w:sz w:val="32"/>
          <w:szCs w:val="32"/>
        </w:rPr>
      </w:pPr>
      <w:bookmarkStart w:id="22" w:name="_Hlk72263559"/>
      <w:r>
        <w:rPr>
          <w:rFonts w:hint="eastAsia" w:ascii="宋体" w:hAnsi="宋体"/>
          <w:b/>
          <w:sz w:val="24"/>
          <w:szCs w:val="24"/>
        </w:rPr>
        <w:t>2.关于填写“开标一览表”的说明：“开标一览表”中除“投标总价”外，其他信息不作评审依据。</w:t>
      </w:r>
      <w:bookmarkEnd w:id="18"/>
      <w:bookmarkEnd w:id="22"/>
      <w:r>
        <w:rPr>
          <w:rFonts w:ascii="宋体" w:hAnsi="宋体" w:eastAsia="黑体" w:cs="Times New Roman"/>
          <w:bCs/>
          <w:kern w:val="44"/>
          <w:sz w:val="32"/>
          <w:szCs w:val="32"/>
        </w:rPr>
        <w:br w:type="page"/>
      </w:r>
    </w:p>
    <w:p w14:paraId="7EEA6C49">
      <w:pPr>
        <w:widowControl/>
        <w:jc w:val="left"/>
        <w:outlineLvl w:val="2"/>
        <w:rPr>
          <w:rFonts w:hint="eastAsia" w:ascii="宋体" w:hAnsi="宋体" w:eastAsia="宋体" w:cs="宋体"/>
          <w:b/>
          <w:color w:val="FF0000"/>
          <w:kern w:val="0"/>
          <w:sz w:val="32"/>
          <w:szCs w:val="32"/>
        </w:rPr>
      </w:pPr>
      <w:r>
        <w:rPr>
          <w:rFonts w:hint="eastAsia" w:ascii="宋体" w:hAnsi="宋体" w:eastAsia="宋体" w:cs="宋体"/>
          <w:b/>
          <w:color w:val="FF0000"/>
          <w:kern w:val="0"/>
          <w:sz w:val="32"/>
          <w:szCs w:val="32"/>
        </w:rPr>
        <w:t>（一）投标文件正文</w:t>
      </w:r>
    </w:p>
    <w:p w14:paraId="69964F1D">
      <w:pPr>
        <w:pStyle w:val="4"/>
        <w:jc w:val="center"/>
        <w:rPr>
          <w:rFonts w:hint="eastAsia" w:ascii="黑体" w:eastAsia="黑体"/>
          <w:b w:val="0"/>
          <w:sz w:val="24"/>
        </w:rPr>
      </w:pPr>
      <w:r>
        <w:rPr>
          <w:rFonts w:hint="eastAsia" w:ascii="黑体" w:eastAsia="黑体"/>
          <w:b w:val="0"/>
          <w:sz w:val="24"/>
        </w:rPr>
        <w:t>一、投标函</w:t>
      </w:r>
    </w:p>
    <w:p w14:paraId="59D86BCA">
      <w:pPr>
        <w:spacing w:line="360" w:lineRule="auto"/>
        <w:rPr>
          <w:rFonts w:hint="eastAsia" w:ascii="宋体" w:hAnsi="宋体"/>
          <w:szCs w:val="21"/>
        </w:rPr>
      </w:pPr>
      <w:bookmarkStart w:id="23" w:name="_Hlk72257506"/>
      <w:r>
        <w:rPr>
          <w:rFonts w:hint="eastAsia" w:ascii="宋体" w:hAnsi="宋体"/>
          <w:szCs w:val="21"/>
        </w:rPr>
        <w:t>致：</w:t>
      </w:r>
      <w:r>
        <w:rPr>
          <w:rFonts w:hint="eastAsia" w:ascii="宋体" w:hAnsi="宋体"/>
          <w:szCs w:val="21"/>
          <w:u w:val="single"/>
        </w:rPr>
        <w:t xml:space="preserve">  </w:t>
      </w:r>
      <w:r>
        <w:rPr>
          <w:rFonts w:hint="eastAsia" w:ascii="宋体" w:hAnsi="宋体"/>
          <w:color w:val="FF0000"/>
          <w:szCs w:val="21"/>
          <w:u w:val="single"/>
        </w:rPr>
        <w:t>深圳公共资源交易中心</w:t>
      </w:r>
      <w:r>
        <w:rPr>
          <w:rFonts w:hint="eastAsia" w:ascii="宋体" w:hAnsi="宋体"/>
          <w:szCs w:val="21"/>
          <w:u w:val="single"/>
        </w:rPr>
        <w:t xml:space="preserve">  </w:t>
      </w:r>
    </w:p>
    <w:p w14:paraId="25CC4CFE">
      <w:pPr>
        <w:ind w:firstLine="420" w:firstLineChars="200"/>
        <w:rPr>
          <w:rFonts w:hint="eastAsia" w:ascii="宋体" w:hAnsi="宋体"/>
          <w:szCs w:val="21"/>
        </w:rPr>
      </w:pPr>
      <w:bookmarkStart w:id="24" w:name="_Hlk73818812"/>
      <w:r>
        <w:rPr>
          <w:rFonts w:hint="eastAsia"/>
          <w:szCs w:val="21"/>
        </w:rPr>
        <w:t>1、根据已收到贵单位的项目编号为</w:t>
      </w:r>
      <w:r>
        <w:rPr>
          <w:rFonts w:hint="eastAsia"/>
          <w:szCs w:val="21"/>
          <w:u w:val="thick"/>
        </w:rPr>
        <w:t xml:space="preserve">                 </w:t>
      </w:r>
      <w:r>
        <w:rPr>
          <w:rFonts w:hint="eastAsia"/>
          <w:szCs w:val="21"/>
        </w:rPr>
        <w:t>的</w:t>
      </w:r>
      <w:r>
        <w:rPr>
          <w:rFonts w:hint="eastAsia"/>
          <w:szCs w:val="21"/>
          <w:u w:val="thick"/>
        </w:rPr>
        <w:t xml:space="preserve">   （项目名称）   </w:t>
      </w:r>
      <w:r>
        <w:rPr>
          <w:rFonts w:hint="eastAsia"/>
          <w:szCs w:val="21"/>
        </w:rPr>
        <w:t>项目的招标文件，遵照《深圳经济特区政府采购条例》和《深圳网上政府采购管理暂行办法》等有关规定，我单位经研究上述招标文件的专用条款及通用条款后，</w:t>
      </w:r>
      <w:bookmarkStart w:id="25" w:name="_Hlk72263588"/>
      <w:r>
        <w:rPr>
          <w:rFonts w:hint="eastAsia"/>
          <w:szCs w:val="21"/>
        </w:rPr>
        <w:t>愿意按照招标文件要求承包上述项目并修补其任何缺陷。</w:t>
      </w:r>
      <w:bookmarkEnd w:id="25"/>
    </w:p>
    <w:p w14:paraId="2508CB04">
      <w:pPr>
        <w:ind w:firstLine="420" w:firstLineChars="200"/>
        <w:rPr>
          <w:rFonts w:hint="eastAsia" w:ascii="宋体" w:hAnsi="宋体"/>
          <w:szCs w:val="21"/>
        </w:rPr>
      </w:pPr>
      <w:r>
        <w:rPr>
          <w:rFonts w:ascii="宋体" w:hAnsi="宋体"/>
          <w:szCs w:val="21"/>
        </w:rPr>
        <w:t>2</w:t>
      </w:r>
      <w:r>
        <w:rPr>
          <w:rFonts w:hint="eastAsia" w:ascii="宋体" w:hAnsi="宋体"/>
          <w:szCs w:val="21"/>
        </w:rPr>
        <w:t>、</w:t>
      </w:r>
      <w:bookmarkStart w:id="26" w:name="_Hlk73819847"/>
      <w:r>
        <w:rPr>
          <w:rFonts w:hint="eastAsia" w:ascii="宋体" w:hAnsi="宋体"/>
          <w:szCs w:val="21"/>
        </w:rPr>
        <w:t>投标价格见</w:t>
      </w:r>
      <w:r>
        <w:rPr>
          <w:rFonts w:hint="eastAsia"/>
          <w:szCs w:val="21"/>
        </w:rPr>
        <w:t>投标书编制软件中《开标一览表》中填写的投标总价。</w:t>
      </w:r>
      <w:bookmarkEnd w:id="26"/>
    </w:p>
    <w:p w14:paraId="34EC420D">
      <w:pPr>
        <w:ind w:firstLine="420" w:firstLineChars="200"/>
        <w:rPr>
          <w:rFonts w:hint="eastAsia" w:ascii="宋体" w:hAnsi="宋体"/>
          <w:szCs w:val="21"/>
        </w:rPr>
      </w:pPr>
      <w:r>
        <w:rPr>
          <w:rFonts w:hint="eastAsia" w:ascii="宋体" w:hAnsi="宋体"/>
          <w:szCs w:val="21"/>
        </w:rPr>
        <w:t>3、如果我单位中标，我单位将按照招标文件的要求足额提交履约担保。</w:t>
      </w:r>
    </w:p>
    <w:p w14:paraId="23EE50BC">
      <w:pPr>
        <w:ind w:firstLine="420" w:firstLineChars="200"/>
        <w:rPr>
          <w:rFonts w:hint="eastAsia" w:ascii="宋体" w:hAnsi="宋体"/>
          <w:szCs w:val="21"/>
        </w:rPr>
      </w:pPr>
      <w:r>
        <w:rPr>
          <w:rFonts w:hint="eastAsia" w:ascii="宋体" w:hAnsi="宋体"/>
          <w:szCs w:val="21"/>
        </w:rPr>
        <w:t>4、我单位同意所递交的投标文件在“对通用条款的补充内容”中明确的投标有效期内有效，在此期间内我单位的投标有可能中标，我方将受此约束。</w:t>
      </w:r>
    </w:p>
    <w:p w14:paraId="4C659EC4">
      <w:pPr>
        <w:ind w:firstLine="420" w:firstLineChars="200"/>
        <w:rPr>
          <w:rFonts w:hint="eastAsia" w:ascii="宋体" w:hAnsi="宋体"/>
          <w:szCs w:val="21"/>
        </w:rPr>
      </w:pPr>
      <w:r>
        <w:rPr>
          <w:rFonts w:hint="eastAsia" w:ascii="宋体" w:hAnsi="宋体"/>
          <w:szCs w:val="21"/>
        </w:rPr>
        <w:t>5、除非另外达成协议并生效，贵单位的中标通知书和本投标文件将构成合同的重要内容。</w:t>
      </w:r>
    </w:p>
    <w:p w14:paraId="64AD226C">
      <w:pPr>
        <w:ind w:left="420" w:leftChars="200"/>
        <w:rPr>
          <w:rFonts w:hint="eastAsia" w:ascii="宋体" w:hAnsi="宋体"/>
          <w:szCs w:val="21"/>
        </w:rPr>
      </w:pPr>
      <w:r>
        <w:rPr>
          <w:rFonts w:hint="eastAsia" w:ascii="宋体" w:hAnsi="宋体"/>
          <w:szCs w:val="21"/>
        </w:rPr>
        <w:t>6、我单位理解贵单位将不受必须接受所收到的最低报价或其它任何投标文件的约束。</w:t>
      </w:r>
      <w:bookmarkEnd w:id="24"/>
    </w:p>
    <w:p w14:paraId="197ACF3B">
      <w:pPr>
        <w:ind w:left="420" w:leftChars="200"/>
        <w:rPr>
          <w:rFonts w:hint="eastAsia" w:ascii="宋体" w:hAnsi="宋体"/>
          <w:b/>
          <w:szCs w:val="21"/>
        </w:rPr>
      </w:pPr>
      <w:r>
        <w:rPr>
          <w:rFonts w:hint="eastAsia" w:ascii="宋体" w:hAnsi="宋体"/>
          <w:b/>
          <w:szCs w:val="21"/>
        </w:rPr>
        <w:t>7</w:t>
      </w:r>
      <w:r>
        <w:rPr>
          <w:rFonts w:ascii="宋体" w:hAnsi="宋体"/>
          <w:b/>
          <w:szCs w:val="21"/>
        </w:rPr>
        <w:t>、如我单位提交样品，且未在规定时间内取回样品的，视同放弃取回，同意深圳公共资源交易中心对我单位提交的样品进行清理。</w:t>
      </w:r>
    </w:p>
    <w:p w14:paraId="64A87D89">
      <w:pPr>
        <w:ind w:left="420" w:leftChars="200" w:firstLine="210" w:firstLineChars="100"/>
        <w:rPr>
          <w:szCs w:val="21"/>
        </w:rPr>
      </w:pPr>
    </w:p>
    <w:p w14:paraId="2158D5E7">
      <w:pPr>
        <w:ind w:left="420" w:leftChars="200" w:firstLine="210" w:firstLineChars="100"/>
        <w:rPr>
          <w:szCs w:val="21"/>
        </w:rPr>
      </w:pPr>
      <w:r>
        <w:rPr>
          <w:rFonts w:hint="eastAsia"/>
          <w:szCs w:val="21"/>
        </w:rPr>
        <w:t>投标人：</w:t>
      </w:r>
      <w:r>
        <w:rPr>
          <w:rFonts w:hint="eastAsia"/>
          <w:szCs w:val="21"/>
          <w:u w:val="thick"/>
        </w:rPr>
        <w:t xml:space="preserve">                   </w:t>
      </w:r>
      <w:r>
        <w:rPr>
          <w:rFonts w:hint="eastAsia"/>
          <w:szCs w:val="21"/>
        </w:rPr>
        <w:t xml:space="preserve">  ；  </w:t>
      </w:r>
    </w:p>
    <w:p w14:paraId="533C01F2">
      <w:pPr>
        <w:ind w:left="420" w:leftChars="200" w:firstLine="210" w:firstLineChars="100"/>
        <w:rPr>
          <w:szCs w:val="21"/>
        </w:rPr>
      </w:pPr>
      <w:r>
        <w:rPr>
          <w:rFonts w:hint="eastAsia"/>
          <w:szCs w:val="21"/>
        </w:rPr>
        <w:t>单位地址：</w:t>
      </w:r>
      <w:r>
        <w:rPr>
          <w:rFonts w:hint="eastAsia"/>
          <w:szCs w:val="21"/>
          <w:u w:val="thick"/>
        </w:rPr>
        <w:t xml:space="preserve">                                            </w:t>
      </w:r>
      <w:r>
        <w:rPr>
          <w:rFonts w:hint="eastAsia"/>
          <w:szCs w:val="21"/>
        </w:rPr>
        <w:t>；</w:t>
      </w:r>
    </w:p>
    <w:p w14:paraId="0427FDA0">
      <w:pPr>
        <w:ind w:left="420" w:leftChars="200" w:firstLine="210" w:firstLineChars="100"/>
        <w:rPr>
          <w:szCs w:val="21"/>
        </w:rPr>
      </w:pPr>
      <w:r>
        <w:rPr>
          <w:rFonts w:hint="eastAsia"/>
          <w:szCs w:val="21"/>
        </w:rPr>
        <w:t>法定代表人（负责人）或其授权委托代理人：</w:t>
      </w:r>
      <w:r>
        <w:rPr>
          <w:rFonts w:hint="eastAsia"/>
          <w:szCs w:val="21"/>
          <w:u w:val="thick"/>
        </w:rPr>
        <w:t xml:space="preserve">                       </w:t>
      </w:r>
      <w:r>
        <w:rPr>
          <w:rFonts w:hint="eastAsia"/>
          <w:szCs w:val="21"/>
        </w:rPr>
        <w:t>；</w:t>
      </w:r>
    </w:p>
    <w:p w14:paraId="7CA6BF01">
      <w:pPr>
        <w:ind w:left="420" w:leftChars="200" w:firstLine="210" w:firstLineChars="100"/>
        <w:rPr>
          <w:szCs w:val="21"/>
        </w:rPr>
      </w:pPr>
      <w:r>
        <w:rPr>
          <w:rFonts w:hint="eastAsia"/>
          <w:szCs w:val="21"/>
        </w:rPr>
        <w:t>电话：</w:t>
      </w:r>
      <w:r>
        <w:rPr>
          <w:rFonts w:hint="eastAsia"/>
          <w:szCs w:val="21"/>
          <w:u w:val="thick"/>
        </w:rPr>
        <w:t xml:space="preserve">           </w:t>
      </w:r>
      <w:r>
        <w:rPr>
          <w:rFonts w:hint="eastAsia"/>
          <w:szCs w:val="21"/>
        </w:rPr>
        <w:t xml:space="preserve">；     </w:t>
      </w:r>
    </w:p>
    <w:p w14:paraId="4D23CCD3">
      <w:pPr>
        <w:ind w:left="420" w:leftChars="200" w:firstLine="210" w:firstLineChars="100"/>
        <w:rPr>
          <w:sz w:val="24"/>
        </w:rPr>
      </w:pPr>
      <w:r>
        <w:rPr>
          <w:rFonts w:hint="eastAsia" w:ascii="宋体" w:hAnsi="宋体"/>
          <w:szCs w:val="21"/>
        </w:rPr>
        <w:t>日期：</w:t>
      </w:r>
      <w:r>
        <w:rPr>
          <w:rFonts w:hint="eastAsia" w:ascii="宋体" w:hAnsi="宋体"/>
          <w:szCs w:val="21"/>
          <w:u w:val="thick"/>
        </w:rPr>
        <w:t xml:space="preserve">       </w:t>
      </w:r>
      <w:r>
        <w:rPr>
          <w:rFonts w:hint="eastAsia" w:ascii="宋体" w:hAnsi="宋体"/>
          <w:szCs w:val="21"/>
        </w:rPr>
        <w:t>年</w:t>
      </w:r>
      <w:r>
        <w:rPr>
          <w:rFonts w:hint="eastAsia" w:ascii="宋体" w:hAnsi="宋体"/>
          <w:szCs w:val="21"/>
          <w:u w:val="thick"/>
        </w:rPr>
        <w:t xml:space="preserve">     </w:t>
      </w:r>
      <w:r>
        <w:rPr>
          <w:rFonts w:hint="eastAsia" w:ascii="宋体" w:hAnsi="宋体"/>
          <w:szCs w:val="21"/>
        </w:rPr>
        <w:t>月</w:t>
      </w:r>
      <w:r>
        <w:rPr>
          <w:rFonts w:hint="eastAsia" w:ascii="宋体" w:hAnsi="宋体"/>
          <w:szCs w:val="21"/>
          <w:u w:val="thick"/>
        </w:rPr>
        <w:t xml:space="preserve">    </w:t>
      </w:r>
      <w:r>
        <w:rPr>
          <w:rFonts w:hint="eastAsia" w:ascii="宋体" w:hAnsi="宋体"/>
          <w:szCs w:val="21"/>
        </w:rPr>
        <w:t>日</w:t>
      </w:r>
      <w:r>
        <w:rPr>
          <w:rFonts w:hint="eastAsia"/>
          <w:sz w:val="24"/>
        </w:rPr>
        <w:t xml:space="preserve">                                </w:t>
      </w:r>
    </w:p>
    <w:p w14:paraId="7BDCA907">
      <w:pPr>
        <w:rPr>
          <w:rFonts w:hint="eastAsia" w:ascii="黑体" w:hAnsi="宋体" w:eastAsia="黑体"/>
        </w:rPr>
      </w:pPr>
    </w:p>
    <w:p w14:paraId="29DA6595">
      <w:pPr>
        <w:rPr>
          <w:rFonts w:hint="eastAsia" w:ascii="黑体" w:hAnsi="宋体" w:eastAsia="黑体"/>
        </w:rPr>
      </w:pPr>
    </w:p>
    <w:bookmarkEnd w:id="23"/>
    <w:p w14:paraId="5B60DA86">
      <w:pPr>
        <w:pStyle w:val="4"/>
        <w:jc w:val="center"/>
        <w:rPr>
          <w:rFonts w:hint="eastAsia" w:ascii="黑体" w:eastAsia="黑体"/>
          <w:b w:val="0"/>
          <w:sz w:val="24"/>
        </w:rPr>
      </w:pPr>
      <w:r>
        <w:rPr>
          <w:rFonts w:hint="eastAsia" w:ascii="黑体" w:eastAsia="黑体"/>
          <w:b w:val="0"/>
          <w:sz w:val="24"/>
        </w:rPr>
        <w:t>二、政府采购投标及履约承诺函</w:t>
      </w:r>
    </w:p>
    <w:p w14:paraId="191529F7">
      <w:pPr>
        <w:rPr>
          <w:rFonts w:hint="eastAsia" w:ascii="宋体" w:hAnsi="宋体"/>
          <w:color w:val="FF0000"/>
          <w:szCs w:val="21"/>
        </w:rPr>
      </w:pPr>
      <w:bookmarkStart w:id="27" w:name="_Hlk72257530"/>
      <w:r>
        <w:rPr>
          <w:rFonts w:hint="eastAsia" w:ascii="宋体" w:hAnsi="宋体"/>
          <w:color w:val="FF0000"/>
          <w:szCs w:val="21"/>
        </w:rPr>
        <w:t>致：</w:t>
      </w:r>
      <w:r>
        <w:rPr>
          <w:rFonts w:hint="eastAsia" w:ascii="宋体" w:hAnsi="宋体"/>
          <w:color w:val="FF0000"/>
          <w:szCs w:val="21"/>
          <w:u w:val="single"/>
        </w:rPr>
        <w:t>深圳公共资源交易中心</w:t>
      </w:r>
    </w:p>
    <w:p w14:paraId="6643E3DD">
      <w:pPr>
        <w:ind w:right="-815" w:firstLine="420" w:firstLineChars="200"/>
        <w:rPr>
          <w:rFonts w:ascii="宋体" w:hAnsi="宋体"/>
          <w:szCs w:val="21"/>
        </w:rPr>
      </w:pPr>
      <w:r>
        <w:rPr>
          <w:rFonts w:hint="eastAsia" w:ascii="宋体" w:hAnsi="宋体"/>
          <w:szCs w:val="21"/>
        </w:rPr>
        <w:t>我单位承诺：</w:t>
      </w:r>
    </w:p>
    <w:p w14:paraId="3FDCFEB1">
      <w:pPr>
        <w:ind w:firstLine="420" w:firstLineChars="200"/>
        <w:rPr>
          <w:rFonts w:ascii="宋体" w:hAnsi="宋体"/>
          <w:szCs w:val="21"/>
        </w:rPr>
      </w:pPr>
      <w:r>
        <w:rPr>
          <w:rFonts w:hint="eastAsia" w:ascii="宋体" w:hAnsi="宋体"/>
          <w:szCs w:val="21"/>
        </w:rPr>
        <w:t>1.我单位参与本项目</w:t>
      </w:r>
      <w:r>
        <w:rPr>
          <w:rFonts w:hint="eastAsia" w:ascii="宋体" w:hAnsi="宋体"/>
        </w:rPr>
        <w:t>所投标（响应）的货物、工程或服务，不存在侵犯知识产权的情况。</w:t>
      </w:r>
    </w:p>
    <w:p w14:paraId="7A20134D">
      <w:pPr>
        <w:ind w:firstLine="420" w:firstLineChars="200"/>
        <w:rPr>
          <w:rFonts w:ascii="宋体" w:hAnsi="宋体"/>
          <w:szCs w:val="21"/>
        </w:rPr>
      </w:pPr>
      <w:r>
        <w:rPr>
          <w:rFonts w:hint="eastAsia" w:ascii="宋体" w:hAnsi="宋体"/>
          <w:szCs w:val="21"/>
        </w:rPr>
        <w:t>2.我单位参与本项目</w:t>
      </w:r>
      <w:r>
        <w:rPr>
          <w:rFonts w:hint="eastAsia"/>
        </w:rPr>
        <w:t>政府采购活动时不存在被有关部门禁止参与政府采购活动且在有效期内的情况。</w:t>
      </w:r>
    </w:p>
    <w:p w14:paraId="417CEE6A">
      <w:pPr>
        <w:ind w:firstLine="420" w:firstLineChars="200"/>
        <w:rPr>
          <w:rFonts w:ascii="宋体" w:hAnsi="宋体"/>
          <w:szCs w:val="21"/>
        </w:rPr>
      </w:pPr>
      <w:r>
        <w:rPr>
          <w:rFonts w:hint="eastAsia" w:ascii="宋体" w:hAnsi="宋体"/>
          <w:szCs w:val="21"/>
        </w:rPr>
        <w:t>3.我单位具备《中华人民共和国政府采购法》第二十二条第一款规定的六项条件。</w:t>
      </w:r>
    </w:p>
    <w:p w14:paraId="1761EFA6">
      <w:pPr>
        <w:ind w:firstLine="420" w:firstLineChars="200"/>
        <w:rPr>
          <w:rFonts w:hint="eastAsia"/>
          <w:lang w:eastAsia="zh-CN"/>
        </w:rPr>
      </w:pPr>
      <w:r>
        <w:rPr>
          <w:rFonts w:hint="eastAsia" w:ascii="宋体" w:hAnsi="宋体"/>
          <w:szCs w:val="21"/>
        </w:rPr>
        <w:t>4.我单位</w:t>
      </w:r>
      <w:r>
        <w:rPr>
          <w:rFonts w:hint="eastAsia"/>
        </w:rPr>
        <w:t>未被列入失信被执行人、重大税收违法案件当事人名单、政府采购严重违法失信行为记录名单</w:t>
      </w:r>
      <w:r>
        <w:rPr>
          <w:rFonts w:hint="eastAsia"/>
          <w:lang w:eastAsia="zh-CN"/>
        </w:rPr>
        <w:t>。</w:t>
      </w:r>
    </w:p>
    <w:p w14:paraId="424C64A1">
      <w:pPr>
        <w:ind w:firstLine="420" w:firstLineChars="200"/>
        <w:rPr>
          <w:rFonts w:hint="eastAsia"/>
          <w:lang w:eastAsia="zh-CN"/>
        </w:rPr>
      </w:pPr>
      <w:r>
        <w:rPr>
          <w:rFonts w:hint="eastAsia" w:ascii="Times New Roman" w:eastAsia="宋体"/>
          <w:color w:val="FF0000"/>
          <w:lang w:val="en-US" w:eastAsia="zh-CN"/>
        </w:rPr>
        <w:t>5.我单位不存在《深圳市财政局政府采购供应商信用信息管理办法》（深财规〔2023〕3号）列明的严重违法失信行为。</w:t>
      </w:r>
    </w:p>
    <w:p w14:paraId="4E25A5A2">
      <w:pPr>
        <w:ind w:firstLine="420" w:firstLineChars="200"/>
        <w:rPr>
          <w:rFonts w:ascii="宋体" w:hAnsi="宋体"/>
          <w:szCs w:val="21"/>
        </w:rPr>
      </w:pPr>
      <w:r>
        <w:rPr>
          <w:rFonts w:hint="eastAsia" w:ascii="宋体" w:hAnsi="宋体"/>
          <w:szCs w:val="21"/>
          <w:lang w:val="en-US" w:eastAsia="zh-CN"/>
        </w:rPr>
        <w:t>6</w:t>
      </w:r>
      <w:r>
        <w:rPr>
          <w:rFonts w:hint="eastAsia" w:ascii="宋体" w:hAnsi="宋体"/>
          <w:szCs w:val="21"/>
        </w:rPr>
        <w:t>.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14:paraId="318C21A6">
      <w:pPr>
        <w:ind w:firstLine="420" w:firstLineChars="200"/>
        <w:rPr>
          <w:rFonts w:ascii="宋体" w:hAnsi="宋体"/>
          <w:szCs w:val="21"/>
        </w:rPr>
      </w:pPr>
      <w:r>
        <w:rPr>
          <w:rFonts w:hint="eastAsia" w:ascii="宋体" w:hAnsi="宋体"/>
          <w:szCs w:val="21"/>
          <w:lang w:val="en-US" w:eastAsia="zh-CN"/>
        </w:rPr>
        <w:t>7</w:t>
      </w:r>
      <w:r>
        <w:rPr>
          <w:rFonts w:hint="eastAsia" w:ascii="宋体" w:hAnsi="宋体"/>
          <w:szCs w:val="21"/>
        </w:rPr>
        <w:t>.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00E6CDF5">
      <w:pPr>
        <w:ind w:firstLine="420" w:firstLineChars="200"/>
        <w:rPr>
          <w:rFonts w:ascii="宋体" w:hAnsi="宋体"/>
          <w:szCs w:val="21"/>
        </w:rPr>
      </w:pPr>
      <w:r>
        <w:rPr>
          <w:rFonts w:hint="eastAsia" w:ascii="宋体" w:hAnsi="宋体"/>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70294E0B">
      <w:pPr>
        <w:ind w:firstLine="420" w:firstLineChars="200"/>
        <w:rPr>
          <w:rFonts w:ascii="宋体" w:hAnsi="宋体"/>
          <w:szCs w:val="21"/>
        </w:rPr>
      </w:pPr>
      <w:r>
        <w:rPr>
          <w:rFonts w:hint="eastAsia" w:ascii="宋体" w:hAnsi="宋体"/>
          <w:szCs w:val="21"/>
          <w:lang w:val="en-US" w:eastAsia="zh-CN"/>
        </w:rPr>
        <w:t>8</w:t>
      </w:r>
      <w:r>
        <w:rPr>
          <w:rFonts w:hint="eastAsia" w:ascii="宋体" w:hAnsi="宋体"/>
          <w:szCs w:val="21"/>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77B64069">
      <w:pPr>
        <w:ind w:firstLine="420" w:firstLineChars="200"/>
        <w:rPr>
          <w:rFonts w:ascii="宋体" w:hAnsi="宋体"/>
          <w:szCs w:val="21"/>
        </w:rPr>
      </w:pPr>
      <w:r>
        <w:rPr>
          <w:rFonts w:hint="eastAsia" w:ascii="宋体" w:hAnsi="宋体"/>
          <w:szCs w:val="21"/>
          <w:lang w:val="en-US" w:eastAsia="zh-CN"/>
        </w:rPr>
        <w:t>9</w:t>
      </w:r>
      <w:r>
        <w:rPr>
          <w:rFonts w:hint="eastAsia" w:ascii="宋体" w:hAnsi="宋体"/>
          <w:szCs w:val="21"/>
        </w:rPr>
        <w:t>.我单位承诺中标后项目不转包，未经采购人同意不进行分包。</w:t>
      </w:r>
    </w:p>
    <w:p w14:paraId="1C373D57">
      <w:pPr>
        <w:ind w:firstLine="420" w:firstLineChars="200"/>
        <w:rPr>
          <w:rFonts w:ascii="宋体" w:hAnsi="宋体"/>
        </w:rPr>
      </w:pPr>
      <w:r>
        <w:rPr>
          <w:rFonts w:hint="eastAsia" w:ascii="宋体" w:hAnsi="宋体"/>
          <w:szCs w:val="21"/>
          <w:lang w:val="en-US" w:eastAsia="zh-CN"/>
        </w:rPr>
        <w:t>10</w:t>
      </w:r>
      <w:r>
        <w:rPr>
          <w:rFonts w:ascii="宋体" w:hAnsi="宋体"/>
          <w:szCs w:val="21"/>
        </w:rPr>
        <w:t>.</w:t>
      </w:r>
      <w:r>
        <w:rPr>
          <w:rFonts w:hint="eastAsia" w:ascii="宋体" w:hAnsi="宋体"/>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4A6505B9">
      <w:pPr>
        <w:ind w:firstLine="420" w:firstLineChars="200"/>
        <w:rPr>
          <w:rFonts w:ascii="宋体" w:hAnsi="宋体" w:cs="宋体"/>
          <w:b/>
          <w:kern w:val="0"/>
          <w:szCs w:val="21"/>
        </w:rPr>
      </w:pPr>
      <w:r>
        <w:rPr>
          <w:rFonts w:hint="eastAsia" w:ascii="宋体" w:hAnsi="宋体"/>
        </w:rPr>
        <w:t>1</w:t>
      </w:r>
      <w:r>
        <w:rPr>
          <w:rFonts w:hint="eastAsia" w:ascii="宋体" w:hAnsi="宋体"/>
          <w:lang w:val="en-US" w:eastAsia="zh-CN"/>
        </w:rPr>
        <w:t>1</w:t>
      </w:r>
      <w:r>
        <w:rPr>
          <w:rFonts w:ascii="宋体" w:hAnsi="宋体"/>
        </w:rPr>
        <w:t>.</w:t>
      </w:r>
      <w:r>
        <w:rPr>
          <w:rFonts w:hint="eastAsia" w:ascii="宋体" w:hAnsi="宋体"/>
        </w:rPr>
        <w:t>我单位保证，若所投货物涉及</w:t>
      </w:r>
      <w:r>
        <w:rPr>
          <w:rFonts w:ascii="宋体" w:hAnsi="宋体"/>
        </w:rPr>
        <w:t>《</w:t>
      </w:r>
      <w:r>
        <w:rPr>
          <w:rFonts w:hint="eastAsia" w:ascii="宋体" w:hAnsi="宋体"/>
        </w:rPr>
        <w:t>财政部生态环境部关于印发节能产品政府采购品目清单的通知》（财库〔20</w:t>
      </w:r>
      <w:r>
        <w:rPr>
          <w:rFonts w:ascii="宋体" w:hAnsi="宋体"/>
        </w:rPr>
        <w:t>19</w:t>
      </w:r>
      <w:r>
        <w:rPr>
          <w:rFonts w:hint="eastAsia" w:ascii="宋体" w:hAnsi="宋体"/>
        </w:rPr>
        <w:t>〕</w:t>
      </w:r>
      <w:r>
        <w:rPr>
          <w:rFonts w:ascii="宋体" w:hAnsi="宋体"/>
        </w:rPr>
        <w:t>19</w:t>
      </w:r>
      <w:r>
        <w:rPr>
          <w:rFonts w:hint="eastAsia" w:ascii="宋体" w:hAnsi="宋体"/>
        </w:rPr>
        <w:t>号）列明的政府采购强制产品，则所投该产品符合节能产品的认证要求。</w:t>
      </w:r>
      <w:r>
        <w:rPr>
          <w:rFonts w:hint="eastAsia" w:ascii="宋体" w:hAnsi="宋体"/>
          <w:lang w:val="en-US" w:eastAsia="zh-CN"/>
        </w:rPr>
        <w:t>若所投产品包括数据中心相关设备的，应满足</w:t>
      </w:r>
      <w:r>
        <w:rPr>
          <w:rFonts w:hint="eastAsia"/>
        </w:rPr>
        <w:t>《财政部 生态环境部 工业和信息化部关于印发&lt;绿色数据中心政府采购需求标准（试行）&gt;的通知》</w:t>
      </w:r>
      <w:r>
        <w:rPr>
          <w:rFonts w:hint="eastAsia" w:eastAsia="宋体"/>
          <w:lang w:eastAsia="zh-CN"/>
        </w:rPr>
        <w:t>（</w:t>
      </w:r>
      <w:r>
        <w:rPr>
          <w:rFonts w:hint="eastAsia"/>
        </w:rPr>
        <w:t>财库〔2023〕7号）</w:t>
      </w:r>
      <w:r>
        <w:rPr>
          <w:rFonts w:hint="eastAsia" w:ascii="Times New Roman" w:eastAsia="宋体"/>
          <w:lang w:val="en-US" w:eastAsia="zh-CN"/>
        </w:rPr>
        <w:t>要求。若所投产品涉及国家强制性标准的，所投产品应符合国家强制性标准相关要求。</w:t>
      </w:r>
    </w:p>
    <w:p w14:paraId="67A8DBEF">
      <w:pPr>
        <w:ind w:firstLine="420" w:firstLineChars="200"/>
        <w:rPr>
          <w:rFonts w:hint="eastAsia" w:ascii="宋体" w:hAnsi="宋体"/>
          <w:b w:val="0"/>
          <w:bCs/>
        </w:rPr>
      </w:pPr>
      <w:r>
        <w:rPr>
          <w:rFonts w:hint="eastAsia" w:ascii="宋体" w:hAnsi="宋体" w:cs="宋体"/>
          <w:b w:val="0"/>
          <w:bCs/>
          <w:kern w:val="0"/>
          <w:szCs w:val="21"/>
        </w:rPr>
        <w:t>1</w:t>
      </w:r>
      <w:r>
        <w:rPr>
          <w:rFonts w:hint="eastAsia" w:ascii="宋体" w:hAnsi="宋体" w:cs="宋体"/>
          <w:b w:val="0"/>
          <w:bCs/>
          <w:kern w:val="0"/>
          <w:szCs w:val="21"/>
          <w:lang w:val="en-US" w:eastAsia="zh-CN"/>
        </w:rPr>
        <w:t>2</w:t>
      </w:r>
      <w:r>
        <w:rPr>
          <w:rFonts w:hint="eastAsia" w:ascii="宋体" w:hAnsi="宋体" w:cs="宋体"/>
          <w:b w:val="0"/>
          <w:bCs/>
          <w:kern w:val="0"/>
          <w:szCs w:val="21"/>
        </w:rPr>
        <w:t>.</w:t>
      </w:r>
      <w:r>
        <w:rPr>
          <w:rFonts w:hint="eastAsia" w:ascii="宋体" w:hAnsi="宋体"/>
          <w:b w:val="0"/>
          <w:bCs/>
        </w:rPr>
        <w:t>我单位已知悉并同意中标（成交）结果信息公示（公开）的内容。</w:t>
      </w:r>
    </w:p>
    <w:p w14:paraId="081BB6BC">
      <w:pPr>
        <w:ind w:firstLine="420" w:firstLineChars="200"/>
        <w:rPr>
          <w:rFonts w:hint="eastAsia" w:ascii="宋体" w:hAnsi="宋体"/>
          <w:b w:val="0"/>
          <w:bCs/>
        </w:rPr>
      </w:pPr>
      <w:r>
        <w:rPr>
          <w:rFonts w:hint="eastAsia" w:ascii="宋体" w:hAnsi="宋体"/>
          <w:b w:val="0"/>
          <w:bCs/>
        </w:rPr>
        <w:t>1</w:t>
      </w:r>
      <w:r>
        <w:rPr>
          <w:rFonts w:hint="eastAsia" w:ascii="宋体" w:hAnsi="宋体"/>
          <w:b w:val="0"/>
          <w:bCs/>
          <w:lang w:val="en-US" w:eastAsia="zh-CN"/>
        </w:rPr>
        <w:t>3</w:t>
      </w:r>
      <w:r>
        <w:rPr>
          <w:rFonts w:hint="eastAsia" w:ascii="宋体" w:hAnsi="宋体"/>
          <w:b w:val="0"/>
          <w:bCs/>
        </w:rPr>
        <w:t>.</w:t>
      </w:r>
      <w:bookmarkStart w:id="28" w:name="OLE_LINK12"/>
      <w:bookmarkStart w:id="29" w:name="OLE_LINK3"/>
      <w:r>
        <w:rPr>
          <w:rFonts w:hint="eastAsia" w:ascii="宋体" w:hAnsi="宋体"/>
          <w:b w:val="0"/>
          <w:bCs/>
        </w:rPr>
        <w:t>我单位保证，符合《中华人民共和国政府采购法实施条例》第十八条规定，与其他投标供应商不存在单位负责人为同一人或者存在直接控股、管理关系；</w:t>
      </w:r>
      <w:r>
        <w:rPr>
          <w:rFonts w:hint="eastAsia" w:ascii="宋体" w:hAnsi="宋体"/>
          <w:b w:val="0"/>
          <w:bCs/>
          <w:color w:val="auto"/>
          <w:lang w:val="en-US" w:eastAsia="zh-CN"/>
        </w:rPr>
        <w:t>不存在为</w:t>
      </w:r>
      <w:r>
        <w:rPr>
          <w:rFonts w:hint="eastAsia" w:ascii="宋体" w:hAnsi="宋体"/>
          <w:b w:val="0"/>
          <w:bCs/>
        </w:rPr>
        <w:t>本次采购项目提供整体设计、规范编制或者项目管理、监理、检测等服务的情</w:t>
      </w:r>
      <w:r>
        <w:rPr>
          <w:rFonts w:hint="eastAsia" w:ascii="宋体" w:hAnsi="宋体"/>
          <w:b w:val="0"/>
          <w:bCs/>
          <w:color w:val="auto"/>
        </w:rPr>
        <w:t>形。</w:t>
      </w:r>
      <w:r>
        <w:rPr>
          <w:rFonts w:hint="eastAsia" w:ascii="宋体" w:hAnsi="宋体"/>
          <w:b w:val="0"/>
          <w:bCs/>
          <w:color w:val="auto"/>
          <w:lang w:val="en-US" w:eastAsia="zh-CN"/>
        </w:rPr>
        <w:t>若</w:t>
      </w:r>
      <w:r>
        <w:rPr>
          <w:rFonts w:hint="eastAsia" w:ascii="宋体" w:hAnsi="宋体"/>
          <w:b w:val="0"/>
          <w:bCs/>
          <w:color w:val="auto"/>
        </w:rPr>
        <w:t>存在“不同供应商的董事、股东或其他高级管理人员为同一人的”情形的，</w:t>
      </w:r>
      <w:r>
        <w:rPr>
          <w:rFonts w:hint="eastAsia" w:ascii="宋体" w:hAnsi="宋体"/>
          <w:b w:val="0"/>
          <w:bCs/>
          <w:color w:val="auto"/>
          <w:lang w:val="en-US" w:eastAsia="zh-CN"/>
        </w:rPr>
        <w:t>我单位保证</w:t>
      </w:r>
      <w:r>
        <w:rPr>
          <w:rFonts w:hint="eastAsia" w:ascii="宋体" w:hAnsi="宋体"/>
          <w:b w:val="0"/>
          <w:bCs/>
          <w:color w:val="auto"/>
        </w:rPr>
        <w:t>不存在串通投标、恶意串通或者视为串通投标的情形</w:t>
      </w:r>
      <w:bookmarkEnd w:id="28"/>
      <w:r>
        <w:rPr>
          <w:rFonts w:hint="eastAsia" w:ascii="宋体" w:hAnsi="宋体"/>
          <w:b w:val="0"/>
          <w:bCs/>
          <w:color w:val="auto"/>
          <w:lang w:eastAsia="zh-CN"/>
        </w:rPr>
        <w:t>。</w:t>
      </w:r>
      <w:bookmarkEnd w:id="29"/>
    </w:p>
    <w:p w14:paraId="1BD96672">
      <w:pPr>
        <w:ind w:firstLine="422" w:firstLineChars="200"/>
        <w:rPr>
          <w:rFonts w:hint="eastAsia" w:ascii="宋体" w:hAnsi="宋体"/>
          <w:b/>
          <w:bCs w:val="0"/>
          <w:sz w:val="21"/>
          <w:lang w:val="en-US" w:eastAsia="zh-CN"/>
        </w:rPr>
      </w:pPr>
      <w:r>
        <w:rPr>
          <w:rFonts w:hint="eastAsia" w:ascii="宋体" w:hAnsi="宋体"/>
          <w:b/>
          <w:bCs w:val="0"/>
          <w:sz w:val="21"/>
          <w:lang w:val="en-US" w:eastAsia="zh-CN"/>
        </w:rPr>
        <w:t>14.我单位清楚，如存在违反投标承诺行为情节严重的，将根据《深圳市财政局关于印发&lt;深圳市财政局政府采购供应商信用信息管理办法&gt;的通知》，依法被列入失信信息。</w:t>
      </w:r>
    </w:p>
    <w:p w14:paraId="6A562FE9">
      <w:pPr>
        <w:ind w:firstLine="422" w:firstLineChars="200"/>
        <w:rPr>
          <w:rFonts w:hint="eastAsia" w:ascii="宋体" w:hAnsi="宋体"/>
          <w:b/>
          <w:bCs w:val="0"/>
          <w:sz w:val="21"/>
          <w:lang w:val="en-US" w:eastAsia="zh-CN"/>
        </w:rPr>
      </w:pPr>
    </w:p>
    <w:p w14:paraId="37658CEA">
      <w:pPr>
        <w:ind w:firstLine="420" w:firstLineChars="200"/>
        <w:rPr>
          <w:rFonts w:hint="eastAsia" w:ascii="宋体" w:hAnsi="宋体"/>
          <w:szCs w:val="21"/>
        </w:rPr>
      </w:pPr>
      <w:r>
        <w:rPr>
          <w:rFonts w:hint="eastAsia" w:ascii="宋体" w:hAnsi="宋体"/>
          <w:szCs w:val="21"/>
        </w:rPr>
        <w:t>以上承诺，如有违反，愿依照国家相关法律法规处理，并承担由此给采购人带来的损失。</w:t>
      </w:r>
    </w:p>
    <w:p w14:paraId="593F0532">
      <w:pPr>
        <w:spacing w:before="78" w:beforeLines="25" w:after="78" w:afterLines="25"/>
        <w:ind w:firstLine="5460" w:firstLineChars="2600"/>
        <w:rPr>
          <w:rFonts w:hint="eastAsia" w:ascii="宋体" w:hAnsi="宋体"/>
          <w:szCs w:val="21"/>
        </w:rPr>
      </w:pPr>
      <w:r>
        <w:rPr>
          <w:rFonts w:hint="eastAsia" w:ascii="宋体" w:hAnsi="宋体"/>
          <w:szCs w:val="21"/>
        </w:rPr>
        <w:t xml:space="preserve">                                    </w:t>
      </w:r>
    </w:p>
    <w:bookmarkEnd w:id="27"/>
    <w:p w14:paraId="03E89EBA">
      <w:pPr>
        <w:spacing w:before="78" w:beforeLines="25" w:after="78" w:afterLines="25"/>
        <w:jc w:val="right"/>
        <w:rPr>
          <w:rFonts w:eastAsia="宋体"/>
          <w:color w:val="FF0000"/>
        </w:rPr>
      </w:pPr>
      <w:r>
        <w:rPr>
          <w:rFonts w:hint="eastAsia"/>
          <w:color w:val="FF0000"/>
          <w:szCs w:val="21"/>
        </w:rPr>
        <w:t>投标人：</w:t>
      </w:r>
      <w:r>
        <w:rPr>
          <w:rFonts w:hint="eastAsia"/>
          <w:color w:val="FF0000"/>
          <w:szCs w:val="21"/>
          <w:u w:val="thick"/>
        </w:rPr>
        <w:t xml:space="preserve">                           </w:t>
      </w:r>
      <w:r>
        <w:rPr>
          <w:rFonts w:hint="eastAsia"/>
          <w:color w:val="FF0000"/>
          <w:szCs w:val="21"/>
        </w:rPr>
        <w:t>.</w:t>
      </w:r>
    </w:p>
    <w:p w14:paraId="4063DFA3">
      <w:pPr>
        <w:jc w:val="right"/>
        <w:rPr>
          <w:rFonts w:hint="eastAsia" w:ascii="宋体" w:hAnsi="宋体"/>
          <w:color w:val="FF0000"/>
          <w:szCs w:val="21"/>
        </w:rPr>
      </w:pPr>
      <w:r>
        <w:rPr>
          <w:rFonts w:hint="eastAsia" w:ascii="宋体" w:hAnsi="宋体"/>
          <w:color w:val="FF0000"/>
          <w:szCs w:val="21"/>
        </w:rPr>
        <w:t>日期：</w:t>
      </w:r>
      <w:r>
        <w:rPr>
          <w:rFonts w:hint="eastAsia"/>
          <w:color w:val="FF0000"/>
          <w:szCs w:val="21"/>
          <w:u w:val="thick"/>
        </w:rPr>
        <w:t xml:space="preserve">        </w:t>
      </w:r>
      <w:r>
        <w:rPr>
          <w:rFonts w:hint="eastAsia" w:ascii="宋体" w:hAnsi="宋体"/>
          <w:color w:val="FF0000"/>
          <w:szCs w:val="21"/>
        </w:rPr>
        <w:t>年</w:t>
      </w:r>
      <w:r>
        <w:rPr>
          <w:rFonts w:hint="eastAsia"/>
          <w:color w:val="FF0000"/>
          <w:szCs w:val="21"/>
          <w:u w:val="thick"/>
        </w:rPr>
        <w:t xml:space="preserve">       </w:t>
      </w:r>
      <w:r>
        <w:rPr>
          <w:rFonts w:hint="eastAsia" w:ascii="宋体" w:hAnsi="宋体"/>
          <w:color w:val="FF0000"/>
          <w:szCs w:val="21"/>
        </w:rPr>
        <w:t>月</w:t>
      </w:r>
      <w:r>
        <w:rPr>
          <w:rFonts w:hint="eastAsia"/>
          <w:color w:val="FF0000"/>
          <w:szCs w:val="21"/>
          <w:u w:val="thick"/>
        </w:rPr>
        <w:t xml:space="preserve">       </w:t>
      </w:r>
      <w:r>
        <w:rPr>
          <w:rFonts w:hint="eastAsia" w:ascii="宋体" w:hAnsi="宋体"/>
          <w:color w:val="FF0000"/>
          <w:szCs w:val="21"/>
        </w:rPr>
        <w:t>日</w:t>
      </w:r>
    </w:p>
    <w:p w14:paraId="67896835">
      <w:pPr>
        <w:ind w:firstLine="645"/>
        <w:rPr>
          <w:rFonts w:hint="eastAsia" w:ascii="宋体" w:hAnsi="宋体"/>
          <w:szCs w:val="21"/>
        </w:rPr>
      </w:pPr>
    </w:p>
    <w:p w14:paraId="03A33C91">
      <w:pPr>
        <w:rPr>
          <w:rFonts w:ascii="宋体"/>
          <w:b/>
          <w:szCs w:val="21"/>
        </w:rPr>
      </w:pPr>
    </w:p>
    <w:p w14:paraId="03F30E40">
      <w:pPr>
        <w:ind w:firstLine="482" w:firstLineChars="200"/>
        <w:jc w:val="center"/>
        <w:rPr>
          <w:rFonts w:hint="eastAsia" w:hAnsi="宋体"/>
          <w:b/>
          <w:bCs/>
          <w:sz w:val="24"/>
        </w:rPr>
      </w:pPr>
    </w:p>
    <w:p w14:paraId="70B11278">
      <w:pPr>
        <w:pStyle w:val="4"/>
        <w:jc w:val="center"/>
        <w:rPr>
          <w:rFonts w:hint="eastAsia" w:ascii="黑体" w:eastAsia="黑体"/>
          <w:b w:val="0"/>
          <w:sz w:val="24"/>
          <w:szCs w:val="24"/>
        </w:rPr>
      </w:pPr>
      <w:r>
        <w:rPr>
          <w:rFonts w:hint="eastAsia" w:ascii="黑体" w:eastAsia="黑体"/>
          <w:b w:val="0"/>
          <w:sz w:val="24"/>
          <w:szCs w:val="24"/>
        </w:rPr>
        <w:t>三、投标人情况及资格证明文件</w:t>
      </w:r>
    </w:p>
    <w:p w14:paraId="62472F69">
      <w:pPr>
        <w:rPr>
          <w:b/>
          <w:bCs/>
          <w:sz w:val="24"/>
        </w:rPr>
      </w:pPr>
    </w:p>
    <w:p w14:paraId="25BD9412">
      <w:pPr>
        <w:ind w:firstLine="2640" w:firstLineChars="1100"/>
        <w:outlineLvl w:val="3"/>
        <w:rPr>
          <w:rFonts w:hint="eastAsia" w:ascii="黑体" w:hAnsi="宋体" w:eastAsia="黑体"/>
          <w:bCs/>
          <w:kern w:val="0"/>
          <w:sz w:val="24"/>
          <w:szCs w:val="32"/>
        </w:rPr>
      </w:pPr>
      <w:bookmarkStart w:id="30" w:name="_Hlk72257590"/>
      <w:r>
        <w:rPr>
          <w:rFonts w:hint="eastAsia" w:ascii="黑体" w:hAnsi="宋体" w:eastAsia="黑体"/>
          <w:bCs/>
          <w:kern w:val="0"/>
          <w:sz w:val="24"/>
          <w:szCs w:val="32"/>
        </w:rPr>
        <w:t>（一）投标人资格证明文件</w:t>
      </w:r>
    </w:p>
    <w:p w14:paraId="4245FF6A">
      <w:pPr>
        <w:spacing w:before="156" w:beforeLines="50"/>
        <w:ind w:firstLine="422" w:firstLineChars="200"/>
        <w:rPr>
          <w:b/>
          <w:bCs/>
          <w:color w:val="FF0000"/>
        </w:rPr>
      </w:pPr>
      <w:r>
        <w:rPr>
          <w:rFonts w:hint="eastAsia"/>
          <w:b/>
          <w:bCs/>
          <w:color w:val="FF0000"/>
        </w:rPr>
        <w:t>（特别提示：投标人须按本招标文件第一册第一章招标公告 “申请人的资格要求”（即投标人资格要求）提供相关的资格证明资料，未提供或提供不完整、不符合要求的，将作投标无效处理，其中要求提供《政府采购投标及履约承诺函》且已在“二、政府采购投标及履约承诺函”章节中提供了，此处可不重复提供，《供应商基本情况表》为必填内容，须按照相应格式及节点在“信息不公开部分”提供。）</w:t>
      </w:r>
    </w:p>
    <w:p w14:paraId="2674EB58">
      <w:pPr>
        <w:rPr>
          <w:b/>
          <w:bCs/>
          <w:sz w:val="24"/>
        </w:rPr>
      </w:pPr>
    </w:p>
    <w:p w14:paraId="2750EF14">
      <w:pPr>
        <w:ind w:firstLine="480" w:firstLineChars="200"/>
        <w:outlineLvl w:val="3"/>
        <w:rPr>
          <w:rFonts w:hint="eastAsia" w:ascii="黑体" w:hAnsi="宋体" w:eastAsia="黑体"/>
          <w:bCs/>
          <w:kern w:val="0"/>
          <w:sz w:val="24"/>
          <w:szCs w:val="32"/>
        </w:rPr>
      </w:pPr>
      <w:bookmarkStart w:id="31" w:name="_Hlk72257908"/>
      <w:r>
        <w:rPr>
          <w:rFonts w:hint="eastAsia" w:ascii="黑体" w:hAnsi="宋体" w:eastAsia="黑体"/>
          <w:bCs/>
          <w:kern w:val="0"/>
          <w:sz w:val="24"/>
          <w:szCs w:val="32"/>
        </w:rPr>
        <w:t>（二）中小企业声明函、残疾人福利性单位声明函及监狱企业声明函</w:t>
      </w:r>
    </w:p>
    <w:bookmarkEnd w:id="30"/>
    <w:p w14:paraId="09BEDAD4">
      <w:pPr>
        <w:jc w:val="left"/>
        <w:outlineLvl w:val="3"/>
        <w:rPr>
          <w:rFonts w:hint="eastAsia" w:ascii="黑体" w:hAnsi="宋体" w:eastAsia="黑体"/>
          <w:bCs/>
          <w:kern w:val="0"/>
          <w:sz w:val="24"/>
          <w:szCs w:val="32"/>
        </w:rPr>
      </w:pPr>
    </w:p>
    <w:p w14:paraId="1F2E0F4C">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填写指引：</w:t>
      </w:r>
    </w:p>
    <w:p w14:paraId="1D5D8E52">
      <w:pPr>
        <w:ind w:firstLine="420" w:firstLineChars="200"/>
        <w:outlineLvl w:val="3"/>
        <w:rPr>
          <w:rFonts w:ascii="黑体" w:hAnsi="黑体" w:eastAsia="黑体"/>
          <w:color w:val="FF0000"/>
          <w:szCs w:val="21"/>
        </w:rPr>
      </w:pPr>
      <w:r>
        <w:rPr>
          <w:rFonts w:hint="eastAsia" w:ascii="黑体" w:hAnsi="宋体" w:eastAsia="黑体"/>
          <w:bCs/>
          <w:color w:val="FF0000"/>
          <w:kern w:val="0"/>
          <w:szCs w:val="21"/>
        </w:rPr>
        <w:t>1、该部分内容由投标人根据自身实际情况填写，不符合要求的投标人可以不填写或直接删除相应的声明函。</w:t>
      </w:r>
      <w:r>
        <w:rPr>
          <w:rFonts w:hint="eastAsia" w:ascii="黑体" w:hAnsi="黑体" w:eastAsia="黑体"/>
          <w:color w:val="FF0000"/>
          <w:szCs w:val="21"/>
        </w:rPr>
        <w:t>投标人提供的声明函不属实的，属于提供虚假资料谋取中标，依照《中华人民共和国政府采购法》等国家有关规定追究相应责任。</w:t>
      </w:r>
    </w:p>
    <w:p w14:paraId="621E86F7">
      <w:pPr>
        <w:ind w:firstLine="420" w:firstLineChars="200"/>
        <w:outlineLvl w:val="3"/>
        <w:rPr>
          <w:rFonts w:ascii="黑体" w:hAnsi="黑体" w:eastAsia="黑体"/>
          <w:color w:val="FF0000"/>
          <w:szCs w:val="21"/>
        </w:rPr>
      </w:pPr>
      <w:r>
        <w:rPr>
          <w:rFonts w:hint="eastAsia" w:ascii="黑体" w:hAnsi="黑体" w:eastAsia="黑体"/>
          <w:color w:val="FF0000"/>
          <w:szCs w:val="21"/>
        </w:rPr>
        <w:t>2、该部分内容填写需要参考的相关文件：</w:t>
      </w:r>
    </w:p>
    <w:p w14:paraId="1FB70AD9">
      <w:pPr>
        <w:ind w:firstLine="420" w:firstLineChars="200"/>
        <w:outlineLvl w:val="3"/>
        <w:rPr>
          <w:rFonts w:hint="eastAsia" w:ascii="黑体" w:hAnsi="黑体" w:eastAsia="黑体"/>
          <w:color w:val="FF0000"/>
          <w:szCs w:val="21"/>
        </w:rPr>
      </w:pPr>
      <w:r>
        <w:rPr>
          <w:rFonts w:hint="eastAsia" w:ascii="黑体" w:hAnsi="黑体" w:eastAsia="黑体"/>
          <w:color w:val="FF0000"/>
          <w:szCs w:val="21"/>
        </w:rPr>
        <w:t>(</w:t>
      </w:r>
      <w:r>
        <w:rPr>
          <w:rFonts w:ascii="黑体" w:hAnsi="黑体" w:eastAsia="黑体"/>
          <w:color w:val="FF0000"/>
          <w:szCs w:val="21"/>
        </w:rPr>
        <w:t>1</w:t>
      </w:r>
      <w:r>
        <w:rPr>
          <w:rFonts w:hint="eastAsia" w:ascii="黑体" w:hAnsi="黑体" w:eastAsia="黑体"/>
          <w:color w:val="FF0000"/>
          <w:szCs w:val="21"/>
        </w:rPr>
        <w:t>)财政部《政府采购促进中小企业发展管理办法》（财库〔2020〕46号）；</w:t>
      </w:r>
    </w:p>
    <w:p w14:paraId="5A7B34F5">
      <w:pPr>
        <w:ind w:firstLine="420" w:firstLineChars="200"/>
        <w:outlineLvl w:val="3"/>
        <w:rPr>
          <w:rFonts w:hint="eastAsia" w:ascii="黑体" w:hAnsi="黑体" w:eastAsia="黑体"/>
          <w:color w:val="FF0000"/>
          <w:szCs w:val="21"/>
        </w:rPr>
      </w:pPr>
      <w:r>
        <w:rPr>
          <w:rFonts w:hint="eastAsia" w:ascii="黑体" w:hAnsi="黑体" w:eastAsia="黑体"/>
          <w:color w:val="FF0000"/>
          <w:szCs w:val="21"/>
        </w:rPr>
        <w:t>(</w:t>
      </w:r>
      <w:r>
        <w:rPr>
          <w:rFonts w:ascii="黑体" w:hAnsi="黑体" w:eastAsia="黑体"/>
          <w:color w:val="FF0000"/>
          <w:szCs w:val="21"/>
        </w:rPr>
        <w:t>2</w:t>
      </w:r>
      <w:r>
        <w:rPr>
          <w:rFonts w:hint="eastAsia" w:ascii="黑体" w:hAnsi="黑体" w:eastAsia="黑体"/>
          <w:color w:val="FF0000"/>
          <w:szCs w:val="21"/>
        </w:rPr>
        <w:t>)《工业和信息化部、国家统计局、国家发展和改革委员会、财政部关于印发中小企业划型标准规定的通知》（工信部联企业〔2011〕300号）</w:t>
      </w:r>
      <w:r>
        <w:rPr>
          <w:rFonts w:hint="eastAsia" w:ascii="黑体" w:hAnsi="黑体" w:eastAsia="黑体"/>
          <w:color w:val="FF0000"/>
          <w:szCs w:val="21"/>
          <w:lang w:eastAsia="zh-CN"/>
        </w:rPr>
        <w:t>；</w:t>
      </w:r>
    </w:p>
    <w:p w14:paraId="100AE432">
      <w:pPr>
        <w:ind w:firstLine="420" w:firstLineChars="200"/>
        <w:outlineLvl w:val="3"/>
        <w:rPr>
          <w:rFonts w:hint="eastAsia" w:ascii="黑体" w:hAnsi="黑体" w:eastAsia="黑体"/>
          <w:color w:val="FF0000"/>
          <w:szCs w:val="21"/>
          <w:lang w:eastAsia="zh-CN"/>
        </w:rPr>
      </w:pPr>
      <w:r>
        <w:rPr>
          <w:rFonts w:hint="eastAsia" w:ascii="黑体" w:hAnsi="黑体" w:eastAsia="黑体"/>
          <w:color w:val="FF0000"/>
          <w:szCs w:val="21"/>
        </w:rPr>
        <w:t>(3)《统计上大中小微型企业划分办法(2017)》（国统字〔2017〕213号）</w:t>
      </w:r>
      <w:r>
        <w:rPr>
          <w:rFonts w:hint="eastAsia" w:ascii="黑体" w:hAnsi="黑体" w:eastAsia="黑体"/>
          <w:color w:val="FF0000"/>
          <w:szCs w:val="21"/>
          <w:lang w:eastAsia="zh-CN"/>
        </w:rPr>
        <w:t>；</w:t>
      </w:r>
    </w:p>
    <w:p w14:paraId="18E294DB">
      <w:pPr>
        <w:ind w:firstLine="420" w:firstLineChars="200"/>
        <w:outlineLvl w:val="3"/>
        <w:rPr>
          <w:rFonts w:hint="eastAsia" w:ascii="黑体" w:hAnsi="黑体" w:eastAsia="黑体"/>
          <w:color w:val="FF0000"/>
          <w:szCs w:val="21"/>
          <w:lang w:eastAsia="zh-CN"/>
        </w:rPr>
      </w:pPr>
      <w:r>
        <w:rPr>
          <w:rFonts w:hint="eastAsia" w:ascii="黑体" w:hAnsi="黑体" w:eastAsia="黑体"/>
          <w:color w:val="FF0000"/>
          <w:szCs w:val="21"/>
        </w:rPr>
        <w:t>(4)《关于促进残疾人就业政府采购政策的通知》（财库〔2017〕141号）</w:t>
      </w:r>
      <w:r>
        <w:rPr>
          <w:rFonts w:hint="eastAsia" w:ascii="黑体" w:hAnsi="黑体" w:eastAsia="黑体"/>
          <w:color w:val="FF0000"/>
          <w:szCs w:val="21"/>
          <w:lang w:eastAsia="zh-CN"/>
        </w:rPr>
        <w:t>；</w:t>
      </w:r>
    </w:p>
    <w:p w14:paraId="0C0D6DD3">
      <w:pPr>
        <w:ind w:firstLine="420" w:firstLineChars="200"/>
        <w:outlineLvl w:val="3"/>
        <w:rPr>
          <w:rFonts w:ascii="黑体" w:hAnsi="黑体" w:eastAsia="黑体"/>
          <w:color w:val="FF0000"/>
          <w:szCs w:val="21"/>
        </w:rPr>
      </w:pPr>
      <w:r>
        <w:rPr>
          <w:rFonts w:hint="eastAsia" w:ascii="黑体" w:hAnsi="黑体" w:eastAsia="黑体"/>
          <w:color w:val="FF0000"/>
          <w:szCs w:val="21"/>
        </w:rPr>
        <w:t>(5)《关于政府采购支持监狱企业发展有关问题的通知》（财库〔2014〕68号）</w:t>
      </w:r>
    </w:p>
    <w:p w14:paraId="0E1DF9A1">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3、请依照提供的格式和内容填写声明函，不要随意变更格式；声明函不需要盖章或签字；</w:t>
      </w:r>
      <w:r>
        <w:rPr>
          <w:rFonts w:hint="eastAsia" w:ascii="黑体" w:hAnsi="黑体" w:eastAsia="黑体"/>
          <w:color w:val="FF0000"/>
          <w:szCs w:val="21"/>
        </w:rPr>
        <w:t>满足多项优惠政策的投标人，不重复享受多项价格扣除政策。</w:t>
      </w:r>
    </w:p>
    <w:p w14:paraId="0D377614">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4、声明函具体填写要求：</w:t>
      </w:r>
    </w:p>
    <w:p w14:paraId="76B9B735">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（1）声明是中小企业须填写《中小企业声明函》的以下内容：</w:t>
      </w:r>
    </w:p>
    <w:p w14:paraId="2D3FD2F9">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第一处，在“单位名称”下划线处如实填写采购人名称（深圳公共资源交易中心不是本项目的采购人，而是组织实施机构）；</w:t>
      </w:r>
    </w:p>
    <w:p w14:paraId="59242524">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第二处，在“项目名称”下划线处如实填写采购</w:t>
      </w:r>
      <w:r>
        <w:rPr>
          <w:rFonts w:hint="eastAsia" w:ascii="黑体" w:hAnsi="宋体" w:eastAsia="黑体"/>
          <w:bCs/>
          <w:color w:val="FF0000"/>
          <w:kern w:val="0"/>
          <w:szCs w:val="21"/>
          <w:lang w:val="en-US" w:eastAsia="zh-CN"/>
        </w:rPr>
        <w:t>文件中确定的</w:t>
      </w:r>
      <w:r>
        <w:rPr>
          <w:rFonts w:hint="eastAsia" w:ascii="黑体" w:hAnsi="宋体" w:eastAsia="黑体"/>
          <w:bCs/>
          <w:color w:val="FF0000"/>
          <w:kern w:val="0"/>
          <w:szCs w:val="21"/>
        </w:rPr>
        <w:t>项目名称</w:t>
      </w:r>
      <w:r>
        <w:rPr>
          <w:rFonts w:hint="eastAsia" w:ascii="黑体" w:hAnsi="宋体" w:eastAsia="黑体"/>
          <w:bCs/>
          <w:color w:val="FF0000"/>
          <w:kern w:val="0"/>
          <w:szCs w:val="21"/>
          <w:lang w:eastAsia="zh-CN"/>
        </w:rPr>
        <w:t>。对于分包方式面向中小企业采购的项目，应标明中小企业的具体分包内容；对于以联合体方式面向中小企业采购的项目，应标明联合体中中小企业所承担的具体内容</w:t>
      </w:r>
      <w:r>
        <w:rPr>
          <w:rFonts w:hint="eastAsia" w:ascii="黑体" w:hAnsi="宋体" w:eastAsia="黑体"/>
          <w:bCs/>
          <w:color w:val="FF0000"/>
          <w:kern w:val="0"/>
          <w:szCs w:val="21"/>
        </w:rPr>
        <w:t>；</w:t>
      </w:r>
    </w:p>
    <w:p w14:paraId="69484D49">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第三处，在“标的名称”下划线处填写所采购货物（标的）的具体名称（以招标文件第一册第三章用户需求书“货物清单明细”的“货物名称”一栏为准）；如果涉及多项货物（标的）为同一企业制造，“标的名称”下划线处可以如实填写多项货物；对于分包方式面向中小企业采购的项目</w:t>
      </w:r>
      <w:r>
        <w:rPr>
          <w:rFonts w:hint="eastAsia" w:ascii="黑体" w:hAnsi="宋体" w:eastAsia="黑体"/>
          <w:bCs/>
          <w:color w:val="FF0000"/>
          <w:kern w:val="0"/>
          <w:szCs w:val="21"/>
          <w:lang w:eastAsia="zh-CN"/>
        </w:rPr>
        <w:t>，</w:t>
      </w:r>
      <w:r>
        <w:rPr>
          <w:rFonts w:hint="eastAsia" w:ascii="黑体" w:hAnsi="宋体" w:eastAsia="黑体"/>
          <w:bCs/>
          <w:color w:val="FF0000"/>
          <w:kern w:val="0"/>
          <w:szCs w:val="21"/>
        </w:rPr>
        <w:t>“标的名称”应填写采购文件中注明的分包给中小企业的采购标的名称；对于以联合体方式面向中小企业采购的项目“标的名称”应填写采购文件中注明的联合体中中小企业承担的采购标的名称。</w:t>
      </w:r>
    </w:p>
    <w:p w14:paraId="094D7F5F">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第四处，在“</w:t>
      </w:r>
      <w:r>
        <w:rPr>
          <w:rFonts w:hint="eastAsia" w:ascii="黑体" w:hAnsi="宋体" w:eastAsia="黑体"/>
          <w:bCs/>
          <w:color w:val="FF0000"/>
          <w:kern w:val="0"/>
          <w:szCs w:val="21"/>
          <w:lang w:val="en-US" w:eastAsia="zh-CN"/>
        </w:rPr>
        <w:t>采购</w:t>
      </w:r>
      <w:r>
        <w:rPr>
          <w:rFonts w:hint="eastAsia" w:ascii="黑体" w:hAnsi="宋体" w:eastAsia="黑体"/>
          <w:bCs/>
          <w:color w:val="FF0000"/>
          <w:kern w:val="0"/>
          <w:szCs w:val="21"/>
        </w:rPr>
        <w:t>文件中明确的所属行业”下划线处填写采购标的对应的中小企业划分标准所属行业（所属行业以招标文件第一册第三章用户需求书“货物清单明细”的“</w:t>
      </w:r>
      <w:r>
        <w:rPr>
          <w:rFonts w:hint="eastAsia" w:ascii="黑体" w:hAnsi="宋体" w:eastAsia="黑体"/>
          <w:bCs/>
          <w:color w:val="FF0000"/>
          <w:kern w:val="0"/>
          <w:szCs w:val="21"/>
          <w:lang w:val="en-US" w:eastAsia="zh-CN"/>
        </w:rPr>
        <w:t>标的所属行业</w:t>
      </w:r>
      <w:r>
        <w:rPr>
          <w:rFonts w:hint="eastAsia" w:ascii="黑体" w:hAnsi="宋体" w:eastAsia="黑体"/>
          <w:bCs/>
          <w:color w:val="FF0000"/>
          <w:kern w:val="0"/>
          <w:szCs w:val="21"/>
        </w:rPr>
        <w:t>”一栏为准）</w:t>
      </w:r>
      <w:r>
        <w:rPr>
          <w:rFonts w:hint="eastAsia" w:ascii="黑体" w:hAnsi="宋体" w:eastAsia="黑体"/>
          <w:bCs/>
          <w:color w:val="FF0000"/>
          <w:kern w:val="0"/>
          <w:szCs w:val="21"/>
          <w:lang w:eastAsia="zh-CN"/>
        </w:rPr>
        <w:t>，并应确保与采购标的涉及的货物制造商本身的所属行业保持一致。对于分包方式面向中小企业采购的项目，“采购文件中明确的所属行业”应按照采购文件中注明的分包给中小企业的采购标的所属行业填写，并应确保与该分包部分采购标的涉及的货物制造商本身的所属行业保持一致；对于以联合体方式面向中小企业采购的项目，“采购文件中明确的所属行业”应按照采购文件中注明的联合体中中小企业承担的采购标的所属行业填写，并应确保与该分包部分采购标的涉及的货物制造商本身的所属行业保持一致；</w:t>
      </w:r>
    </w:p>
    <w:p w14:paraId="0EC602A4">
      <w:pPr>
        <w:ind w:firstLine="420" w:firstLineChars="200"/>
        <w:outlineLvl w:val="3"/>
        <w:rPr>
          <w:rFonts w:hint="eastAsia" w:ascii="黑体" w:hAnsi="宋体" w:eastAsia="黑体"/>
          <w:bCs/>
          <w:color w:val="FF0000"/>
          <w:kern w:val="0"/>
          <w:szCs w:val="21"/>
          <w:lang w:eastAsia="zh-CN"/>
        </w:rPr>
      </w:pPr>
      <w:r>
        <w:rPr>
          <w:rFonts w:hint="eastAsia" w:ascii="黑体" w:hAnsi="宋体" w:eastAsia="黑体"/>
          <w:bCs/>
          <w:color w:val="FF0000"/>
          <w:kern w:val="0"/>
          <w:szCs w:val="21"/>
        </w:rPr>
        <w:t>第五处，在“企业名称”下划线处如实填写</w:t>
      </w:r>
      <w:r>
        <w:rPr>
          <w:rFonts w:hint="eastAsia" w:ascii="黑体" w:hAnsi="宋体" w:eastAsia="黑体"/>
          <w:b/>
          <w:bCs w:val="0"/>
          <w:color w:val="FF0000"/>
          <w:kern w:val="0"/>
          <w:szCs w:val="21"/>
          <w:lang w:val="en-US" w:eastAsia="zh-CN"/>
        </w:rPr>
        <w:t>货物</w:t>
      </w:r>
      <w:r>
        <w:rPr>
          <w:rFonts w:hint="eastAsia" w:ascii="黑体" w:hAnsi="宋体" w:eastAsia="黑体"/>
          <w:b/>
          <w:bCs w:val="0"/>
          <w:color w:val="FF0000"/>
          <w:kern w:val="0"/>
          <w:szCs w:val="21"/>
        </w:rPr>
        <w:t>制造商名称</w:t>
      </w:r>
      <w:r>
        <w:rPr>
          <w:rFonts w:hint="eastAsia" w:ascii="黑体" w:hAnsi="宋体" w:eastAsia="黑体"/>
          <w:b/>
          <w:bCs w:val="0"/>
          <w:color w:val="FF0000"/>
          <w:kern w:val="0"/>
          <w:szCs w:val="21"/>
          <w:lang w:eastAsia="zh-CN"/>
        </w:rPr>
        <w:t>。</w:t>
      </w:r>
      <w:r>
        <w:rPr>
          <w:rFonts w:hint="eastAsia" w:ascii="黑体" w:hAnsi="宋体" w:eastAsia="黑体"/>
          <w:bCs/>
          <w:color w:val="FF0000"/>
          <w:kern w:val="0"/>
          <w:szCs w:val="21"/>
          <w:lang w:eastAsia="zh-CN"/>
        </w:rPr>
        <w:t>对于分包方式面向中小企业采购的项目，“企业名称”应填写分包部分采购标的对应的货物制造商；对于以联合体方式面向中小企业采购的项目，“企业名称”应填写联合体中中小企业承担采购标的对应的货物制造商；</w:t>
      </w:r>
    </w:p>
    <w:p w14:paraId="5CA40042">
      <w:pPr>
        <w:numPr>
          <w:ilvl w:val="0"/>
          <w:numId w:val="0"/>
        </w:numPr>
        <w:ind w:firstLine="420" w:firstLineChars="200"/>
        <w:outlineLvl w:val="3"/>
        <w:rPr>
          <w:rFonts w:hint="eastAsia" w:ascii="黑体" w:hAnsi="宋体" w:eastAsia="黑体"/>
          <w:bCs/>
          <w:color w:val="FF0000"/>
          <w:kern w:val="0"/>
          <w:szCs w:val="21"/>
        </w:rPr>
      </w:pPr>
      <w:r>
        <w:rPr>
          <w:rFonts w:hint="eastAsia" w:ascii="黑体" w:hAnsi="宋体" w:eastAsia="黑体" w:cs="Times New Roman"/>
          <w:bCs/>
          <w:color w:val="FF0000"/>
          <w:kern w:val="0"/>
          <w:sz w:val="21"/>
          <w:szCs w:val="21"/>
          <w:lang w:val="en-US" w:eastAsia="zh-CN" w:bidi="ar-SA"/>
        </w:rPr>
        <w:t>第六、</w:t>
      </w:r>
      <w:r>
        <w:rPr>
          <w:rFonts w:hint="eastAsia" w:ascii="黑体" w:hAnsi="宋体" w:eastAsia="黑体"/>
          <w:bCs/>
          <w:color w:val="FF0000"/>
          <w:kern w:val="0"/>
          <w:szCs w:val="21"/>
          <w:lang w:val="en-US" w:eastAsia="zh-CN"/>
        </w:rPr>
        <w:t>七、八处，</w:t>
      </w:r>
      <w:r>
        <w:rPr>
          <w:rFonts w:hint="eastAsia" w:ascii="黑体" w:hAnsi="宋体" w:eastAsia="黑体"/>
          <w:bCs/>
          <w:color w:val="FF0000"/>
          <w:kern w:val="0"/>
          <w:szCs w:val="21"/>
        </w:rPr>
        <w:t>在“从业人员”、“营业收入”、“资产总额”下划线处如实填写从业人员、营业收入、资产总额</w:t>
      </w:r>
      <w:r>
        <w:rPr>
          <w:rFonts w:hint="eastAsia" w:ascii="黑体" w:hAnsi="宋体" w:eastAsia="黑体"/>
          <w:bCs/>
          <w:color w:val="FF0000"/>
          <w:kern w:val="0"/>
          <w:szCs w:val="21"/>
          <w:lang w:eastAsia="zh-CN"/>
        </w:rPr>
        <w:t>。从业人员、资产总额指标以上年度末数据为依据，营业收入指标以上年度累计数据为依据。无上年度数据的新成立企业可不填报。</w:t>
      </w:r>
    </w:p>
    <w:p w14:paraId="43D4BA59">
      <w:pPr>
        <w:numPr>
          <w:ilvl w:val="0"/>
          <w:numId w:val="0"/>
        </w:num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lang w:val="en-US" w:eastAsia="zh-CN"/>
        </w:rPr>
        <w:t>第九处，</w:t>
      </w:r>
      <w:r>
        <w:rPr>
          <w:rFonts w:hint="eastAsia" w:ascii="黑体" w:hAnsi="宋体" w:eastAsia="黑体"/>
          <w:bCs/>
          <w:color w:val="FF0000"/>
          <w:kern w:val="0"/>
          <w:szCs w:val="21"/>
        </w:rPr>
        <w:t>在“中型企业、小型企业、微型企业”下划线处应依据企业上年度从业人员、营业收入、资产总额等指标</w:t>
      </w:r>
      <w:r>
        <w:rPr>
          <w:rFonts w:hint="eastAsia" w:ascii="黑体" w:hAnsi="宋体" w:eastAsia="黑体"/>
          <w:bCs/>
          <w:color w:val="FF0000"/>
          <w:kern w:val="0"/>
          <w:szCs w:val="21"/>
          <w:lang w:eastAsia="zh-CN"/>
        </w:rPr>
        <w:t>，</w:t>
      </w:r>
      <w:r>
        <w:rPr>
          <w:rFonts w:hint="eastAsia" w:ascii="黑体" w:hAnsi="宋体" w:eastAsia="黑体"/>
          <w:bCs/>
          <w:color w:val="FF0000"/>
          <w:kern w:val="0"/>
          <w:szCs w:val="21"/>
        </w:rPr>
        <w:t>按照《中小企业划型标准规定》（工信部联企业〔2011〕300号）、《金融业企业划型标准规定》（银发〔2015〕309号）</w:t>
      </w:r>
      <w:r>
        <w:rPr>
          <w:rFonts w:hint="eastAsia" w:ascii="黑体" w:hAnsi="宋体" w:eastAsia="黑体"/>
          <w:bCs/>
          <w:color w:val="FF0000"/>
          <w:kern w:val="0"/>
          <w:szCs w:val="21"/>
          <w:lang w:eastAsia="zh-CN"/>
        </w:rPr>
        <w:t>，</w:t>
      </w:r>
      <w:r>
        <w:rPr>
          <w:rFonts w:hint="eastAsia" w:ascii="黑体" w:hAnsi="宋体" w:eastAsia="黑体"/>
          <w:bCs/>
          <w:color w:val="FF0000"/>
          <w:kern w:val="0"/>
          <w:szCs w:val="21"/>
        </w:rPr>
        <w:t>判断《中小企业声明函》载明的货物制造商是否属于采购文件所属行业的中型企业/小型企业/微型企业。</w:t>
      </w:r>
    </w:p>
    <w:p w14:paraId="3606AD43">
      <w:pPr>
        <w:pStyle w:val="52"/>
        <w:ind w:firstLine="420" w:firstLineChars="200"/>
        <w:rPr>
          <w:rFonts w:hint="eastAsia" w:ascii="黑体" w:hAnsi="宋体" w:eastAsia="黑体"/>
          <w:bCs/>
          <w:color w:val="FF0000"/>
          <w:kern w:val="0"/>
          <w:szCs w:val="21"/>
          <w:lang w:eastAsia="zh-CN"/>
        </w:rPr>
      </w:pPr>
      <w:r>
        <w:rPr>
          <w:rFonts w:hint="eastAsia" w:ascii="黑体" w:hAnsi="宋体" w:eastAsia="黑体"/>
          <w:bCs/>
          <w:color w:val="FF0000"/>
          <w:kern w:val="0"/>
          <w:szCs w:val="21"/>
          <w:lang w:eastAsia="zh-CN"/>
        </w:rPr>
        <w:t>（</w:t>
      </w:r>
      <w:r>
        <w:rPr>
          <w:rFonts w:hint="eastAsia" w:ascii="黑体" w:hAnsi="宋体" w:eastAsia="黑体"/>
          <w:bCs/>
          <w:color w:val="FF0000"/>
          <w:kern w:val="0"/>
          <w:szCs w:val="21"/>
          <w:lang w:val="en-US" w:eastAsia="zh-CN"/>
        </w:rPr>
        <w:t>2</w:t>
      </w:r>
      <w:r>
        <w:rPr>
          <w:rFonts w:hint="eastAsia" w:ascii="黑体" w:hAnsi="宋体" w:eastAsia="黑体"/>
          <w:bCs/>
          <w:color w:val="FF0000"/>
          <w:kern w:val="0"/>
          <w:szCs w:val="21"/>
          <w:lang w:eastAsia="zh-CN"/>
        </w:rPr>
        <w:t>）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3A7686A4">
      <w:pPr>
        <w:numPr>
          <w:ilvl w:val="0"/>
          <w:numId w:val="0"/>
        </w:num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lang w:eastAsia="zh-CN"/>
        </w:rPr>
        <w:t>（</w:t>
      </w:r>
      <w:r>
        <w:rPr>
          <w:rFonts w:hint="eastAsia" w:ascii="黑体" w:hAnsi="宋体" w:eastAsia="黑体"/>
          <w:bCs/>
          <w:color w:val="FF0000"/>
          <w:kern w:val="0"/>
          <w:szCs w:val="21"/>
          <w:lang w:val="en-US" w:eastAsia="zh-CN"/>
        </w:rPr>
        <w:t>3</w:t>
      </w:r>
      <w:r>
        <w:rPr>
          <w:rFonts w:hint="eastAsia" w:ascii="黑体" w:hAnsi="宋体" w:eastAsia="黑体"/>
          <w:bCs/>
          <w:color w:val="FF0000"/>
          <w:kern w:val="0"/>
          <w:szCs w:val="21"/>
          <w:lang w:eastAsia="zh-CN"/>
        </w:rPr>
        <w:t>）</w:t>
      </w:r>
      <w:r>
        <w:rPr>
          <w:rFonts w:hint="eastAsia" w:ascii="黑体" w:hAnsi="宋体" w:eastAsia="黑体"/>
          <w:bCs/>
          <w:color w:val="FF0000"/>
          <w:kern w:val="0"/>
          <w:szCs w:val="21"/>
        </w:rPr>
        <w:t>事业单位、社会组织等非企业主体不享受中小企业扶持政策，但事业单位、社会组织等非企业主体提供全部由中小企业制造的货物参加货物采购项目的除外。</w:t>
      </w:r>
    </w:p>
    <w:p w14:paraId="5D19F4D9">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w:t>
      </w:r>
      <w:r>
        <w:rPr>
          <w:rFonts w:hint="eastAsia" w:ascii="黑体" w:hAnsi="宋体" w:eastAsia="黑体"/>
          <w:bCs/>
          <w:color w:val="FF0000"/>
          <w:kern w:val="0"/>
          <w:szCs w:val="21"/>
          <w:lang w:val="en-US" w:eastAsia="zh-CN"/>
        </w:rPr>
        <w:t>4</w:t>
      </w:r>
      <w:r>
        <w:rPr>
          <w:rFonts w:hint="eastAsia" w:ascii="黑体" w:hAnsi="宋体" w:eastAsia="黑体"/>
          <w:bCs/>
          <w:color w:val="FF0000"/>
          <w:kern w:val="0"/>
          <w:szCs w:val="21"/>
        </w:rPr>
        <w:t>）声明是残疾人福利性单位须填写《残疾人福利性单位声明函》的相关内容，具体参照以上《中小企业声明函》填写要求执行。</w:t>
      </w:r>
    </w:p>
    <w:p w14:paraId="4D2D09D0">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w:t>
      </w:r>
      <w:r>
        <w:rPr>
          <w:rFonts w:hint="eastAsia" w:ascii="黑体" w:hAnsi="宋体" w:eastAsia="黑体"/>
          <w:bCs/>
          <w:color w:val="FF0000"/>
          <w:kern w:val="0"/>
          <w:szCs w:val="21"/>
          <w:lang w:val="en-US" w:eastAsia="zh-CN"/>
        </w:rPr>
        <w:t>5</w:t>
      </w:r>
      <w:r>
        <w:rPr>
          <w:rFonts w:hint="eastAsia" w:ascii="黑体" w:hAnsi="宋体" w:eastAsia="黑体"/>
          <w:bCs/>
          <w:color w:val="FF0000"/>
          <w:kern w:val="0"/>
          <w:szCs w:val="21"/>
        </w:rPr>
        <w:t>）声明是监狱企业须填写《监狱企业声明函》的三项内容（填写位置的字体已加粗），具体参照以上《中小企业声明函》填写要求执行。</w:t>
      </w:r>
    </w:p>
    <w:p w14:paraId="2FF87910">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5、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14:paraId="57E95652">
      <w:pPr>
        <w:pStyle w:val="52"/>
        <w:ind w:firstLine="420" w:firstLineChars="200"/>
        <w:rPr>
          <w:rFonts w:hint="eastAsia" w:eastAsia="黑体"/>
          <w:lang w:val="en-US" w:eastAsia="zh-CN"/>
        </w:rPr>
      </w:pPr>
      <w:r>
        <w:rPr>
          <w:rFonts w:hint="eastAsia" w:ascii="黑体" w:hAnsi="宋体" w:eastAsia="黑体"/>
          <w:bCs/>
          <w:color w:val="FF0000"/>
          <w:kern w:val="0"/>
          <w:szCs w:val="21"/>
          <w:lang w:val="en-US" w:eastAsia="zh-CN"/>
        </w:rPr>
        <w:t>6、采购人、代理机构、评审委员会在依法进行资格审查、评审过程中，发现《中小企业声明函》存在明显笔误或含义不明确的，应按规定要求供应商进行澄清、说明或补正。澄清修改后符合中小企业条件的供应商，可以享受中小企业扶持政策。</w:t>
      </w:r>
    </w:p>
    <w:p w14:paraId="6ED04A1B">
      <w:pPr>
        <w:ind w:firstLine="420" w:firstLineChars="200"/>
      </w:pPr>
    </w:p>
    <w:p w14:paraId="76440E0F">
      <w:pPr>
        <w:ind w:firstLine="420" w:firstLineChars="200"/>
      </w:pPr>
    </w:p>
    <w:p w14:paraId="125B6951">
      <w:pPr>
        <w:numPr>
          <w:ilvl w:val="0"/>
          <w:numId w:val="4"/>
        </w:numPr>
        <w:jc w:val="center"/>
        <w:outlineLvl w:val="3"/>
        <w:rPr>
          <w:b/>
          <w:sz w:val="24"/>
        </w:rPr>
      </w:pPr>
      <w:r>
        <w:rPr>
          <w:b/>
          <w:sz w:val="24"/>
        </w:rPr>
        <w:t>中小企业声明函（货物）</w:t>
      </w:r>
    </w:p>
    <w:p w14:paraId="3DD7E53A">
      <w:pPr>
        <w:pStyle w:val="9"/>
      </w:pPr>
    </w:p>
    <w:p w14:paraId="49279576">
      <w:pPr>
        <w:pStyle w:val="13"/>
        <w:ind w:firstLine="420" w:firstLineChars="200"/>
        <w:rPr>
          <w:rFonts w:hint="eastAsia" w:asciiTheme="minorEastAsia" w:hAnsiTheme="minorEastAsia" w:cstheme="minorEastAsia"/>
          <w:sz w:val="21"/>
          <w:szCs w:val="21"/>
        </w:rPr>
      </w:pPr>
      <w:r>
        <w:rPr>
          <w:rFonts w:hint="eastAsia" w:asciiTheme="minorEastAsia" w:hAnsiTheme="minorEastAsia" w:cstheme="minorEastAsia"/>
          <w:sz w:val="21"/>
          <w:szCs w:val="21"/>
        </w:rPr>
        <w:t>本公司（联合体）郑重声明，根据《政府采购促进中小企业发展管理办法》（财库﹝2020﹞46号）的规定，本公司（联合体）参加</w:t>
      </w:r>
      <w:r>
        <w:rPr>
          <w:rFonts w:hint="eastAsia" w:asciiTheme="minorEastAsia" w:hAnsiTheme="minorEastAsia" w:cstheme="minorEastAsia"/>
          <w:b/>
          <w:bCs/>
          <w:i/>
          <w:iCs/>
          <w:sz w:val="21"/>
          <w:szCs w:val="21"/>
          <w:u w:val="single"/>
        </w:rPr>
        <w:t xml:space="preserve">    （单位名称）    </w:t>
      </w:r>
      <w:r>
        <w:rPr>
          <w:rFonts w:hint="eastAsia" w:asciiTheme="minorEastAsia" w:hAnsiTheme="minorEastAsia" w:cstheme="minorEastAsia"/>
          <w:sz w:val="21"/>
          <w:szCs w:val="21"/>
        </w:rPr>
        <w:t>的</w:t>
      </w:r>
      <w:r>
        <w:rPr>
          <w:rFonts w:hint="eastAsia" w:asciiTheme="minorEastAsia" w:hAnsiTheme="minorEastAsia" w:cstheme="minorEastAsia"/>
          <w:b/>
          <w:bCs/>
          <w:i/>
          <w:iCs/>
          <w:sz w:val="21"/>
          <w:szCs w:val="21"/>
          <w:u w:val="single"/>
        </w:rPr>
        <w:t xml:space="preserve">    （项目名称）    </w:t>
      </w:r>
      <w:r>
        <w:rPr>
          <w:rFonts w:hint="eastAsia" w:asciiTheme="minorEastAsia" w:hAnsiTheme="minorEastAsia" w:cstheme="minorEastAsia"/>
          <w:sz w:val="21"/>
          <w:szCs w:val="21"/>
        </w:rPr>
        <w:t>采购活动，提供的货物全部由符合政策要求的中小企业制造。相关企业（含联合体中的中小企业、签订分包意向协议的中小企业）的具体情况如下：</w:t>
      </w:r>
    </w:p>
    <w:p w14:paraId="541D7CD9">
      <w:pPr>
        <w:pStyle w:val="13"/>
        <w:ind w:firstLine="420" w:firstLineChars="200"/>
        <w:rPr>
          <w:rFonts w:hint="eastAsia" w:asciiTheme="minorEastAsia" w:hAnsiTheme="minorEastAsia" w:cstheme="minorEastAsia"/>
          <w:sz w:val="21"/>
          <w:szCs w:val="21"/>
        </w:rPr>
      </w:pPr>
      <w:r>
        <w:rPr>
          <w:rFonts w:hint="eastAsia" w:asciiTheme="minorEastAsia" w:hAnsiTheme="minorEastAsia" w:cstheme="minorEastAsia"/>
          <w:sz w:val="21"/>
          <w:szCs w:val="21"/>
        </w:rPr>
        <w:t>1.</w:t>
      </w:r>
      <w:r>
        <w:rPr>
          <w:rFonts w:hint="eastAsia" w:asciiTheme="minorEastAsia" w:hAnsiTheme="minorEastAsia" w:cstheme="minorEastAsia"/>
          <w:b/>
          <w:bCs/>
          <w:i/>
          <w:iCs/>
          <w:sz w:val="21"/>
          <w:szCs w:val="21"/>
          <w:u w:val="single"/>
        </w:rPr>
        <w:t xml:space="preserve">    （标的名称）     </w:t>
      </w:r>
      <w:r>
        <w:rPr>
          <w:rFonts w:hint="eastAsia" w:asciiTheme="minorEastAsia" w:hAnsiTheme="minorEastAsia" w:cstheme="minorEastAsia"/>
          <w:sz w:val="21"/>
          <w:szCs w:val="21"/>
        </w:rPr>
        <w:t>，属于</w:t>
      </w:r>
      <w:r>
        <w:rPr>
          <w:rFonts w:hint="eastAsia" w:asciiTheme="minorEastAsia" w:hAnsiTheme="minorEastAsia" w:cstheme="minorEastAsia"/>
          <w:b/>
          <w:bCs/>
          <w:i/>
          <w:iCs/>
          <w:sz w:val="21"/>
          <w:szCs w:val="21"/>
          <w:u w:val="single"/>
        </w:rPr>
        <w:t xml:space="preserve">    （采购文件中明确的所属行业）    </w:t>
      </w:r>
      <w:r>
        <w:rPr>
          <w:rFonts w:hint="eastAsia" w:asciiTheme="minorEastAsia" w:hAnsiTheme="minorEastAsia" w:cstheme="minorEastAsia"/>
          <w:sz w:val="21"/>
          <w:szCs w:val="21"/>
        </w:rPr>
        <w:t>行业；制造商为</w:t>
      </w:r>
      <w:r>
        <w:rPr>
          <w:rFonts w:hint="eastAsia" w:asciiTheme="minorEastAsia" w:hAnsiTheme="minorEastAsia" w:cstheme="minorEastAsia"/>
          <w:b/>
          <w:bCs/>
          <w:i/>
          <w:iCs/>
          <w:sz w:val="21"/>
          <w:szCs w:val="21"/>
          <w:u w:val="single"/>
        </w:rPr>
        <w:t xml:space="preserve">    （企业名称，要求制造商本身所属行业应当与招标文件要求的行业相一致）    </w:t>
      </w:r>
      <w:r>
        <w:rPr>
          <w:rFonts w:hint="eastAsia" w:asciiTheme="minorEastAsia" w:hAnsiTheme="minorEastAsia" w:cstheme="minorEastAsia"/>
          <w:sz w:val="21"/>
          <w:szCs w:val="21"/>
        </w:rPr>
        <w:t>，从业人员</w:t>
      </w:r>
      <w:r>
        <w:rPr>
          <w:rFonts w:hint="eastAsia" w:asciiTheme="minorEastAsia" w:hAnsiTheme="minorEastAsia" w:cstheme="minorEastAsia"/>
          <w:b/>
          <w:bCs/>
          <w:i/>
          <w:iCs/>
          <w:sz w:val="21"/>
          <w:szCs w:val="21"/>
          <w:u w:val="single"/>
        </w:rPr>
        <w:t xml:space="preserve">        </w:t>
      </w:r>
      <w:r>
        <w:rPr>
          <w:rFonts w:hint="eastAsia" w:asciiTheme="minorEastAsia" w:hAnsiTheme="minorEastAsia" w:cstheme="minorEastAsia"/>
          <w:sz w:val="21"/>
          <w:szCs w:val="21"/>
        </w:rPr>
        <w:t>人，营业收入为</w:t>
      </w:r>
      <w:r>
        <w:rPr>
          <w:rFonts w:hint="eastAsia" w:asciiTheme="minorEastAsia" w:hAnsiTheme="minorEastAsia" w:cstheme="minorEastAsia"/>
          <w:b/>
          <w:bCs/>
          <w:i/>
          <w:iCs/>
          <w:sz w:val="21"/>
          <w:szCs w:val="21"/>
          <w:u w:val="single"/>
        </w:rPr>
        <w:t xml:space="preserve">         </w:t>
      </w:r>
      <w:r>
        <w:rPr>
          <w:rFonts w:hint="eastAsia" w:asciiTheme="minorEastAsia" w:hAnsiTheme="minorEastAsia" w:cstheme="minorEastAsia"/>
          <w:sz w:val="21"/>
          <w:szCs w:val="21"/>
        </w:rPr>
        <w:t>万元，资产总额为</w:t>
      </w:r>
      <w:r>
        <w:rPr>
          <w:rFonts w:hint="eastAsia" w:asciiTheme="minorEastAsia" w:hAnsiTheme="minorEastAsia" w:cstheme="minorEastAsia"/>
          <w:b/>
          <w:bCs/>
          <w:i/>
          <w:iCs/>
          <w:sz w:val="21"/>
          <w:szCs w:val="21"/>
          <w:u w:val="single"/>
        </w:rPr>
        <w:t xml:space="preserve">         </w:t>
      </w:r>
      <w:r>
        <w:rPr>
          <w:rFonts w:hint="eastAsia" w:asciiTheme="minorEastAsia" w:hAnsiTheme="minorEastAsia" w:cstheme="minorEastAsia"/>
          <w:sz w:val="21"/>
          <w:szCs w:val="21"/>
        </w:rPr>
        <w:t>万元，属于</w:t>
      </w:r>
      <w:r>
        <w:rPr>
          <w:rFonts w:hint="eastAsia" w:asciiTheme="minorEastAsia" w:hAnsiTheme="minorEastAsia" w:cstheme="minorEastAsia"/>
          <w:b/>
          <w:bCs/>
          <w:i/>
          <w:iCs/>
          <w:sz w:val="21"/>
          <w:szCs w:val="21"/>
          <w:u w:val="single"/>
        </w:rPr>
        <w:t xml:space="preserve">    （中型企业、小型企业、微型企业）    </w:t>
      </w:r>
      <w:r>
        <w:rPr>
          <w:rFonts w:hint="eastAsia" w:asciiTheme="minorEastAsia" w:hAnsiTheme="minorEastAsia" w:cstheme="minorEastAsia"/>
          <w:sz w:val="21"/>
          <w:szCs w:val="21"/>
        </w:rPr>
        <w:t>；</w:t>
      </w:r>
    </w:p>
    <w:p w14:paraId="7EBA7EF5">
      <w:pPr>
        <w:pStyle w:val="13"/>
        <w:ind w:firstLine="420" w:firstLineChars="200"/>
        <w:rPr>
          <w:rFonts w:hint="eastAsia" w:asciiTheme="minorEastAsia" w:hAnsiTheme="minorEastAsia" w:cstheme="minorEastAsia"/>
          <w:sz w:val="21"/>
          <w:szCs w:val="21"/>
        </w:rPr>
      </w:pPr>
      <w:r>
        <w:rPr>
          <w:rFonts w:hint="eastAsia" w:asciiTheme="minorEastAsia" w:hAnsiTheme="minorEastAsia" w:cstheme="minorEastAsia"/>
          <w:sz w:val="21"/>
          <w:szCs w:val="21"/>
        </w:rPr>
        <w:t>2.</w:t>
      </w:r>
      <w:r>
        <w:rPr>
          <w:rFonts w:hint="eastAsia" w:asciiTheme="minorEastAsia" w:hAnsiTheme="minorEastAsia" w:cstheme="minorEastAsia"/>
          <w:b/>
          <w:bCs/>
          <w:i/>
          <w:iCs/>
          <w:sz w:val="21"/>
          <w:szCs w:val="21"/>
          <w:u w:val="single"/>
        </w:rPr>
        <w:t xml:space="preserve">    （标的名称）     </w:t>
      </w:r>
      <w:r>
        <w:rPr>
          <w:rFonts w:hint="eastAsia" w:asciiTheme="minorEastAsia" w:hAnsiTheme="minorEastAsia" w:cstheme="minorEastAsia"/>
          <w:sz w:val="21"/>
          <w:szCs w:val="21"/>
        </w:rPr>
        <w:t>，属于</w:t>
      </w:r>
      <w:r>
        <w:rPr>
          <w:rFonts w:hint="eastAsia" w:asciiTheme="minorEastAsia" w:hAnsiTheme="minorEastAsia" w:cstheme="minorEastAsia"/>
          <w:b/>
          <w:bCs/>
          <w:i/>
          <w:iCs/>
          <w:sz w:val="21"/>
          <w:szCs w:val="21"/>
          <w:u w:val="single"/>
        </w:rPr>
        <w:t xml:space="preserve">    （采购文件中明确的所属行业）    </w:t>
      </w:r>
      <w:r>
        <w:rPr>
          <w:rFonts w:hint="eastAsia" w:asciiTheme="minorEastAsia" w:hAnsiTheme="minorEastAsia" w:cstheme="minorEastAsia"/>
          <w:sz w:val="21"/>
          <w:szCs w:val="21"/>
        </w:rPr>
        <w:t>行业；制造商为</w:t>
      </w:r>
      <w:r>
        <w:rPr>
          <w:rFonts w:hint="eastAsia" w:asciiTheme="minorEastAsia" w:hAnsiTheme="minorEastAsia" w:cstheme="minorEastAsia"/>
          <w:b/>
          <w:bCs/>
          <w:i/>
          <w:iCs/>
          <w:sz w:val="21"/>
          <w:szCs w:val="21"/>
          <w:u w:val="single"/>
        </w:rPr>
        <w:t xml:space="preserve">    （企业名称，要求制造商本身所属行业应当与招标文件要求的行业相一致）    </w:t>
      </w:r>
      <w:r>
        <w:rPr>
          <w:rFonts w:hint="eastAsia" w:asciiTheme="minorEastAsia" w:hAnsiTheme="minorEastAsia" w:cstheme="minorEastAsia"/>
          <w:sz w:val="21"/>
          <w:szCs w:val="21"/>
        </w:rPr>
        <w:t>，从业人员</w:t>
      </w:r>
      <w:r>
        <w:rPr>
          <w:rFonts w:hint="eastAsia" w:asciiTheme="minorEastAsia" w:hAnsiTheme="minorEastAsia" w:cstheme="minorEastAsia"/>
          <w:b/>
          <w:bCs/>
          <w:i/>
          <w:iCs/>
          <w:sz w:val="21"/>
          <w:szCs w:val="21"/>
          <w:u w:val="single"/>
        </w:rPr>
        <w:t xml:space="preserve">        </w:t>
      </w:r>
      <w:r>
        <w:rPr>
          <w:rFonts w:hint="eastAsia" w:asciiTheme="minorEastAsia" w:hAnsiTheme="minorEastAsia" w:cstheme="minorEastAsia"/>
          <w:sz w:val="21"/>
          <w:szCs w:val="21"/>
        </w:rPr>
        <w:t>人，营业收入为</w:t>
      </w:r>
      <w:r>
        <w:rPr>
          <w:rFonts w:hint="eastAsia" w:asciiTheme="minorEastAsia" w:hAnsiTheme="minorEastAsia" w:cstheme="minorEastAsia"/>
          <w:b/>
          <w:bCs/>
          <w:i/>
          <w:iCs/>
          <w:sz w:val="21"/>
          <w:szCs w:val="21"/>
          <w:u w:val="single"/>
        </w:rPr>
        <w:t xml:space="preserve">         </w:t>
      </w:r>
      <w:r>
        <w:rPr>
          <w:rFonts w:hint="eastAsia" w:asciiTheme="minorEastAsia" w:hAnsiTheme="minorEastAsia" w:cstheme="minorEastAsia"/>
          <w:sz w:val="21"/>
          <w:szCs w:val="21"/>
        </w:rPr>
        <w:t>万元，资产总额为</w:t>
      </w:r>
      <w:r>
        <w:rPr>
          <w:rFonts w:hint="eastAsia" w:asciiTheme="minorEastAsia" w:hAnsiTheme="minorEastAsia" w:cstheme="minorEastAsia"/>
          <w:b/>
          <w:bCs/>
          <w:i/>
          <w:iCs/>
          <w:sz w:val="21"/>
          <w:szCs w:val="21"/>
          <w:u w:val="single"/>
        </w:rPr>
        <w:t xml:space="preserve">         </w:t>
      </w:r>
      <w:r>
        <w:rPr>
          <w:rFonts w:hint="eastAsia" w:asciiTheme="minorEastAsia" w:hAnsiTheme="minorEastAsia" w:cstheme="minorEastAsia"/>
          <w:sz w:val="21"/>
          <w:szCs w:val="21"/>
        </w:rPr>
        <w:t>万元，属于</w:t>
      </w:r>
      <w:r>
        <w:rPr>
          <w:rFonts w:hint="eastAsia" w:asciiTheme="minorEastAsia" w:hAnsiTheme="minorEastAsia" w:cstheme="minorEastAsia"/>
          <w:b/>
          <w:bCs/>
          <w:i/>
          <w:iCs/>
          <w:sz w:val="21"/>
          <w:szCs w:val="21"/>
          <w:u w:val="single"/>
        </w:rPr>
        <w:t xml:space="preserve">    （中型企业、小型企业、微型企业）    </w:t>
      </w:r>
      <w:r>
        <w:rPr>
          <w:rFonts w:hint="eastAsia" w:asciiTheme="minorEastAsia" w:hAnsiTheme="minorEastAsia" w:cstheme="minorEastAsia"/>
          <w:sz w:val="21"/>
          <w:szCs w:val="21"/>
        </w:rPr>
        <w:t>；</w:t>
      </w:r>
    </w:p>
    <w:p w14:paraId="4A773350">
      <w:pPr>
        <w:pStyle w:val="13"/>
        <w:ind w:firstLine="420" w:firstLineChars="200"/>
        <w:rPr>
          <w:rFonts w:hint="eastAsia" w:asciiTheme="minorEastAsia" w:hAnsiTheme="minorEastAsia" w:cstheme="minorEastAsia"/>
          <w:sz w:val="21"/>
          <w:szCs w:val="21"/>
        </w:rPr>
      </w:pPr>
      <w:r>
        <w:rPr>
          <w:rFonts w:hint="eastAsia" w:asciiTheme="minorEastAsia" w:hAnsiTheme="minorEastAsia" w:cstheme="minorEastAsia"/>
          <w:sz w:val="21"/>
          <w:szCs w:val="21"/>
        </w:rPr>
        <w:t>……</w:t>
      </w:r>
    </w:p>
    <w:p w14:paraId="23143E97">
      <w:pPr>
        <w:pStyle w:val="13"/>
        <w:ind w:firstLine="420" w:firstLineChars="200"/>
        <w:rPr>
          <w:rFonts w:hint="eastAsia" w:asciiTheme="minorEastAsia" w:hAnsiTheme="minorEastAsia" w:cstheme="minorEastAsia"/>
          <w:sz w:val="21"/>
          <w:szCs w:val="21"/>
        </w:rPr>
      </w:pPr>
    </w:p>
    <w:p w14:paraId="64D488EE">
      <w:pPr>
        <w:spacing w:line="360" w:lineRule="auto"/>
        <w:ind w:firstLine="420" w:firstLineChars="200"/>
        <w:outlineLvl w:val="3"/>
        <w:rPr>
          <w:rFonts w:hint="eastAsia" w:asciiTheme="minorEastAsia" w:hAnsiTheme="minorEastAsia" w:cstheme="minorEastAsia"/>
          <w:szCs w:val="21"/>
        </w:rPr>
      </w:pPr>
      <w:r>
        <w:rPr>
          <w:rFonts w:hint="eastAsia" w:asciiTheme="minorEastAsia" w:hAnsiTheme="minorEastAsia" w:cstheme="minorEastAsia"/>
          <w:szCs w:val="21"/>
        </w:rPr>
        <w:t>以上企业，不属于大企业的分支机构，不存在控股股东为大企业的情形，也不存在与大企业的负责人为同一人的情形。</w:t>
      </w:r>
    </w:p>
    <w:p w14:paraId="1548A5AD">
      <w:pPr>
        <w:spacing w:line="360" w:lineRule="auto"/>
        <w:ind w:firstLine="420" w:firstLineChars="200"/>
        <w:rPr>
          <w:rFonts w:hint="eastAsia" w:asciiTheme="minorEastAsia" w:hAnsiTheme="minorEastAsia" w:cstheme="minorEastAsia"/>
          <w:szCs w:val="21"/>
        </w:rPr>
      </w:pPr>
      <w:bookmarkStart w:id="32" w:name="_Hlk73562203"/>
      <w:r>
        <w:rPr>
          <w:rFonts w:hint="eastAsia" w:asciiTheme="minorEastAsia" w:hAnsiTheme="minorEastAsia" w:cstheme="minorEastAsia"/>
          <w:szCs w:val="21"/>
        </w:rPr>
        <w:t>本投标人对上述声明内容的真实性负责。如有虚假，将依法承担相应责任。</w:t>
      </w:r>
    </w:p>
    <w:p w14:paraId="737EB5BD">
      <w:pPr>
        <w:spacing w:line="360" w:lineRule="auto"/>
        <w:ind w:firstLine="420" w:firstLineChars="200"/>
        <w:rPr>
          <w:rFonts w:ascii="Times New Roman" w:hAnsi="Times New Roman" w:eastAsia="宋体" w:cs="Times New Roman"/>
          <w:sz w:val="24"/>
          <w:szCs w:val="24"/>
        </w:rPr>
      </w:pPr>
      <w:r>
        <w:rPr>
          <w:rFonts w:hint="eastAsia" w:asciiTheme="minorEastAsia" w:hAnsiTheme="minorEastAsia" w:cstheme="minorEastAsia"/>
          <w:szCs w:val="21"/>
        </w:rPr>
        <w:t>本投标人已知悉《政府采购促进中小企业发展管理办法》（财库〔2020〕46号）、《中小企业划型标准规定》（工信部联企〔2011〕300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32"/>
    </w:p>
    <w:p w14:paraId="216B42BA">
      <w:pPr>
        <w:ind w:firstLine="420" w:firstLineChars="200"/>
        <w:outlineLvl w:val="3"/>
        <w:rPr>
          <w:rFonts w:hint="eastAsia" w:ascii="宋体" w:hAnsi="宋体"/>
          <w:bCs/>
          <w:color w:val="FF0000"/>
          <w:kern w:val="0"/>
          <w:szCs w:val="21"/>
        </w:rPr>
      </w:pPr>
    </w:p>
    <w:p w14:paraId="17762C2F"/>
    <w:p w14:paraId="72B34F1C">
      <w:pPr>
        <w:ind w:firstLine="420" w:firstLineChars="200"/>
      </w:pPr>
    </w:p>
    <w:p w14:paraId="7789F7A0">
      <w:pPr>
        <w:jc w:val="center"/>
        <w:outlineLvl w:val="3"/>
        <w:rPr>
          <w:b/>
          <w:sz w:val="24"/>
        </w:rPr>
      </w:pPr>
      <w:r>
        <w:rPr>
          <w:rFonts w:hint="eastAsia"/>
          <w:b/>
          <w:sz w:val="24"/>
        </w:rPr>
        <w:t>2、残疾人福利性单位声明函（货物类）</w:t>
      </w:r>
    </w:p>
    <w:p w14:paraId="3B2DBA80">
      <w:pPr>
        <w:rPr>
          <w:b/>
          <w:bCs/>
        </w:rPr>
      </w:pPr>
    </w:p>
    <w:p w14:paraId="21CE436A">
      <w:pPr>
        <w:spacing w:line="360" w:lineRule="auto"/>
        <w:ind w:firstLine="420" w:firstLineChars="200"/>
        <w:rPr>
          <w:rFonts w:hint="eastAsia" w:asciiTheme="minorEastAsia" w:hAnsiTheme="minorEastAsia" w:cstheme="minorEastAsia"/>
          <w:szCs w:val="21"/>
        </w:rPr>
      </w:pPr>
      <w:bookmarkStart w:id="33" w:name="_Hlk73562331"/>
      <w:bookmarkStart w:id="34" w:name="_Hlk73562245"/>
      <w:r>
        <w:rPr>
          <w:rFonts w:hint="eastAsia" w:asciiTheme="minorEastAsia" w:hAnsiTheme="minorEastAsia" w:cstheme="minorEastAsia"/>
          <w:szCs w:val="21"/>
        </w:rPr>
        <w:t>本单位郑重声明，根据《财政部 民政部 中国残疾人联合会关于促进残疾人就业政府采购政策的通知》（财库〔2017〕141号）的规定，本单位为符合条件的残疾人福利性单位，且本单位参加</w:t>
      </w:r>
      <w:r>
        <w:rPr>
          <w:rFonts w:hint="eastAsia" w:asciiTheme="minorEastAsia" w:hAnsiTheme="minorEastAsia" w:cstheme="minorEastAsia"/>
          <w:b/>
          <w:bCs/>
          <w:i/>
          <w:iCs/>
          <w:szCs w:val="21"/>
          <w:u w:val="single"/>
        </w:rPr>
        <w:t xml:space="preserve">    （单位名称）    </w:t>
      </w:r>
      <w:r>
        <w:rPr>
          <w:rFonts w:hint="eastAsia" w:asciiTheme="minorEastAsia" w:hAnsiTheme="minorEastAsia" w:cstheme="minorEastAsia"/>
          <w:szCs w:val="21"/>
        </w:rPr>
        <w:t>单位的</w:t>
      </w:r>
      <w:r>
        <w:rPr>
          <w:rFonts w:hint="eastAsia" w:asciiTheme="minorEastAsia" w:hAnsiTheme="minorEastAsia" w:cstheme="minorEastAsia"/>
          <w:b/>
          <w:bCs/>
          <w:i/>
          <w:iCs/>
          <w:szCs w:val="21"/>
          <w:u w:val="single"/>
        </w:rPr>
        <w:t xml:space="preserve">    （项目名称）    </w:t>
      </w:r>
      <w:r>
        <w:rPr>
          <w:rFonts w:hint="eastAsia" w:asciiTheme="minorEastAsia" w:hAnsiTheme="minorEastAsia" w:cstheme="minorEastAsia"/>
          <w:szCs w:val="21"/>
        </w:rPr>
        <w:t>项目采购活动提供本单位制造的货物（由本单位承担工程/提供服务），或者提供其他残疾人福利性单位制造的货物（不包括使用非残疾人福利性单位注册商标的货物）。</w:t>
      </w:r>
    </w:p>
    <w:p w14:paraId="698B150E">
      <w:pPr>
        <w:spacing w:line="360" w:lineRule="auto"/>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本单位对上述声明的真实性负责。如有虚假，将依法承担相应责任。</w:t>
      </w:r>
    </w:p>
    <w:p w14:paraId="147EA4DA">
      <w:pPr>
        <w:spacing w:line="360" w:lineRule="auto"/>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本投标人已知悉《财政部民政部中国残疾人联合会关于促进残疾人就业政府采购政策的通知》（财库〔2017〕141号）的规定，承诺提供的声明函内容是真实的，如提供声明函内容不实，则依法追究相关法律责任。</w:t>
      </w:r>
      <w:bookmarkEnd w:id="33"/>
    </w:p>
    <w:bookmarkEnd w:id="34"/>
    <w:p w14:paraId="27F5E51E">
      <w:pPr>
        <w:ind w:firstLine="420" w:firstLineChars="200"/>
        <w:rPr>
          <w:rFonts w:hint="eastAsia" w:ascii="宋体" w:hAnsi="宋体"/>
          <w:szCs w:val="21"/>
        </w:rPr>
      </w:pPr>
    </w:p>
    <w:p w14:paraId="203F4DB9">
      <w:pPr>
        <w:ind w:firstLine="420" w:firstLineChars="200"/>
        <w:rPr>
          <w:rFonts w:hint="eastAsia" w:ascii="宋体" w:hAnsi="宋体"/>
          <w:szCs w:val="21"/>
        </w:rPr>
      </w:pPr>
    </w:p>
    <w:p w14:paraId="054A8F5B">
      <w:pPr>
        <w:jc w:val="center"/>
        <w:outlineLvl w:val="3"/>
        <w:rPr>
          <w:b/>
          <w:sz w:val="24"/>
        </w:rPr>
      </w:pPr>
      <w:r>
        <w:rPr>
          <w:rFonts w:hint="eastAsia"/>
          <w:b/>
          <w:sz w:val="24"/>
        </w:rPr>
        <w:t>3、监狱企业声明函【货物类，提供监狱企业货物的供应商如需享受优惠政策，还须另行提供省级以上监狱管理局、戒毒管理局（含新疆生产建设兵团）出具的监狱企业证明文件】</w:t>
      </w:r>
    </w:p>
    <w:p w14:paraId="30BB36A1">
      <w:pPr>
        <w:spacing w:line="360" w:lineRule="auto"/>
        <w:ind w:firstLine="420" w:firstLineChars="200"/>
        <w:rPr>
          <w:rFonts w:hint="eastAsia" w:ascii="宋体" w:hAnsi="宋体"/>
          <w:szCs w:val="21"/>
        </w:rPr>
      </w:pPr>
      <w:r>
        <w:rPr>
          <w:rFonts w:hint="eastAsia" w:ascii="宋体" w:hAnsi="宋体"/>
          <w:szCs w:val="21"/>
        </w:rPr>
        <w:t>本投标人郑重声明，根据《财政部司法部关于政府采购支持监狱企业发展有关问题的通知》（财库〔</w:t>
      </w:r>
      <w:r>
        <w:rPr>
          <w:rFonts w:ascii="宋体" w:hAnsi="宋体"/>
          <w:szCs w:val="21"/>
        </w:rPr>
        <w:t>2014</w:t>
      </w:r>
      <w:r>
        <w:rPr>
          <w:rFonts w:hint="eastAsia" w:ascii="宋体" w:hAnsi="宋体"/>
          <w:szCs w:val="21"/>
        </w:rPr>
        <w:t>〕</w:t>
      </w:r>
      <w:r>
        <w:rPr>
          <w:rFonts w:ascii="宋体" w:hAnsi="宋体"/>
          <w:szCs w:val="21"/>
        </w:rPr>
        <w:t>68</w:t>
      </w:r>
      <w:r>
        <w:rPr>
          <w:rFonts w:hint="eastAsia" w:ascii="宋体" w:hAnsi="宋体"/>
          <w:szCs w:val="21"/>
        </w:rPr>
        <w:t>号）的规定，本投标人</w:t>
      </w:r>
      <w:r>
        <w:rPr>
          <w:rFonts w:ascii="宋体" w:hAnsi="宋体"/>
          <w:szCs w:val="21"/>
        </w:rPr>
        <w:t>参加</w:t>
      </w:r>
      <w:r>
        <w:rPr>
          <w:rFonts w:ascii="宋体" w:hAnsi="宋体"/>
          <w:b/>
          <w:bCs/>
          <w:i/>
          <w:iCs/>
          <w:szCs w:val="21"/>
          <w:u w:val="single"/>
        </w:rPr>
        <w:t>（</w:t>
      </w:r>
      <w:r>
        <w:rPr>
          <w:rFonts w:hint="eastAsia" w:ascii="宋体" w:hAnsi="宋体"/>
          <w:b/>
          <w:bCs/>
          <w:i/>
          <w:iCs/>
          <w:szCs w:val="21"/>
          <w:u w:val="single"/>
        </w:rPr>
        <w:t>采购人</w:t>
      </w:r>
      <w:r>
        <w:rPr>
          <w:rFonts w:ascii="宋体" w:hAnsi="宋体"/>
          <w:b/>
          <w:bCs/>
          <w:i/>
          <w:iCs/>
          <w:szCs w:val="21"/>
          <w:u w:val="single"/>
        </w:rPr>
        <w:t>名称）</w:t>
      </w:r>
      <w:r>
        <w:rPr>
          <w:rFonts w:ascii="宋体" w:hAnsi="宋体"/>
          <w:szCs w:val="21"/>
        </w:rPr>
        <w:t>的</w:t>
      </w:r>
      <w:r>
        <w:rPr>
          <w:rFonts w:ascii="宋体" w:hAnsi="宋体"/>
          <w:b/>
          <w:bCs/>
          <w:i/>
          <w:iCs/>
          <w:szCs w:val="21"/>
          <w:u w:val="single"/>
        </w:rPr>
        <w:t>（项目名称）</w:t>
      </w:r>
      <w:r>
        <w:rPr>
          <w:rFonts w:ascii="宋体" w:hAnsi="宋体"/>
          <w:szCs w:val="21"/>
        </w:rPr>
        <w:t>采购活动，提供的货物全部由符合政策要求的</w:t>
      </w:r>
      <w:r>
        <w:rPr>
          <w:rFonts w:hint="eastAsia" w:ascii="宋体" w:hAnsi="宋体"/>
          <w:szCs w:val="21"/>
        </w:rPr>
        <w:t>监狱企业</w:t>
      </w:r>
      <w:r>
        <w:rPr>
          <w:rFonts w:ascii="宋体" w:hAnsi="宋体"/>
          <w:szCs w:val="21"/>
        </w:rPr>
        <w:t>制造。相关</w:t>
      </w:r>
      <w:r>
        <w:rPr>
          <w:rFonts w:hint="eastAsia" w:ascii="宋体" w:hAnsi="宋体"/>
          <w:szCs w:val="21"/>
        </w:rPr>
        <w:t>监狱企业</w:t>
      </w:r>
      <w:r>
        <w:rPr>
          <w:rFonts w:ascii="宋体" w:hAnsi="宋体"/>
          <w:szCs w:val="21"/>
        </w:rPr>
        <w:t>的具体情况如下：</w:t>
      </w:r>
    </w:p>
    <w:p w14:paraId="2974E0D5">
      <w:pPr>
        <w:spacing w:line="360" w:lineRule="auto"/>
        <w:ind w:firstLine="420" w:firstLineChars="200"/>
        <w:rPr>
          <w:rFonts w:hint="eastAsia" w:ascii="宋体" w:hAnsi="宋体"/>
          <w:szCs w:val="21"/>
        </w:rPr>
      </w:pPr>
      <w:r>
        <w:rPr>
          <w:rFonts w:ascii="宋体" w:hAnsi="宋体"/>
          <w:szCs w:val="21"/>
        </w:rPr>
        <w:t>1.</w:t>
      </w:r>
      <w:r>
        <w:rPr>
          <w:rFonts w:ascii="宋体" w:hAnsi="宋体"/>
          <w:b/>
          <w:bCs/>
          <w:i/>
          <w:iCs/>
          <w:szCs w:val="21"/>
          <w:u w:val="single"/>
        </w:rPr>
        <w:t xml:space="preserve"> </w:t>
      </w:r>
      <w:r>
        <w:rPr>
          <w:rFonts w:hint="eastAsia" w:ascii="宋体" w:hAnsi="宋体"/>
          <w:b/>
          <w:bCs/>
          <w:i/>
          <w:iCs/>
          <w:szCs w:val="21"/>
          <w:u w:val="single"/>
        </w:rPr>
        <w:t xml:space="preserve">   </w:t>
      </w:r>
      <w:r>
        <w:rPr>
          <w:rFonts w:ascii="宋体" w:hAnsi="宋体"/>
          <w:b/>
          <w:bCs/>
          <w:i/>
          <w:iCs/>
          <w:szCs w:val="21"/>
          <w:u w:val="single"/>
        </w:rPr>
        <w:t>（标的名称）</w:t>
      </w:r>
      <w:r>
        <w:rPr>
          <w:rFonts w:hint="eastAsia" w:ascii="宋体" w:hAnsi="宋体"/>
          <w:b/>
          <w:bCs/>
          <w:i/>
          <w:iCs/>
          <w:szCs w:val="21"/>
          <w:u w:val="single"/>
        </w:rPr>
        <w:t xml:space="preserve">    </w:t>
      </w:r>
      <w:r>
        <w:rPr>
          <w:rFonts w:hint="eastAsia" w:ascii="宋体" w:hAnsi="宋体"/>
          <w:szCs w:val="21"/>
        </w:rPr>
        <w:t>，</w:t>
      </w:r>
      <w:r>
        <w:rPr>
          <w:rFonts w:ascii="宋体" w:hAnsi="宋体"/>
          <w:szCs w:val="21"/>
        </w:rPr>
        <w:t>制造商为</w:t>
      </w:r>
      <w:r>
        <w:rPr>
          <w:rFonts w:hint="eastAsia" w:ascii="宋体" w:hAnsi="宋体"/>
          <w:szCs w:val="21"/>
          <w:u w:val="single"/>
        </w:rPr>
        <w:t xml:space="preserve">    </w:t>
      </w:r>
      <w:r>
        <w:rPr>
          <w:rFonts w:ascii="宋体" w:hAnsi="宋体"/>
          <w:b/>
          <w:bCs/>
          <w:i/>
          <w:iCs/>
          <w:szCs w:val="21"/>
          <w:u w:val="single"/>
        </w:rPr>
        <w:t>（</w:t>
      </w:r>
      <w:r>
        <w:rPr>
          <w:rFonts w:hint="eastAsia" w:ascii="宋体" w:hAnsi="宋体"/>
          <w:b/>
          <w:bCs/>
          <w:i/>
          <w:iCs/>
          <w:szCs w:val="21"/>
          <w:u w:val="single"/>
        </w:rPr>
        <w:t>企业</w:t>
      </w:r>
      <w:r>
        <w:rPr>
          <w:rFonts w:ascii="宋体" w:hAnsi="宋体"/>
          <w:b/>
          <w:bCs/>
          <w:i/>
          <w:iCs/>
          <w:szCs w:val="21"/>
          <w:u w:val="single"/>
        </w:rPr>
        <w:t>名称）</w:t>
      </w:r>
      <w:r>
        <w:rPr>
          <w:rFonts w:hint="eastAsia" w:ascii="宋体" w:hAnsi="宋体"/>
          <w:b/>
          <w:bCs/>
          <w:i/>
          <w:iCs/>
          <w:szCs w:val="21"/>
          <w:u w:val="single"/>
        </w:rPr>
        <w:t xml:space="preserve">    </w:t>
      </w:r>
      <w:r>
        <w:rPr>
          <w:rFonts w:ascii="宋体" w:hAnsi="宋体"/>
          <w:szCs w:val="21"/>
        </w:rPr>
        <w:t>，属于</w:t>
      </w:r>
      <w:r>
        <w:rPr>
          <w:rFonts w:hint="eastAsia" w:ascii="宋体" w:hAnsi="宋体"/>
          <w:szCs w:val="21"/>
          <w:u w:val="single"/>
        </w:rPr>
        <w:t xml:space="preserve">  </w:t>
      </w:r>
      <w:r>
        <w:rPr>
          <w:rFonts w:hint="eastAsia" w:ascii="宋体" w:hAnsi="宋体"/>
          <w:b/>
          <w:bCs/>
          <w:szCs w:val="21"/>
          <w:u w:val="single"/>
        </w:rPr>
        <w:t xml:space="preserve">监狱企业  </w:t>
      </w:r>
      <w:r>
        <w:rPr>
          <w:rFonts w:ascii="宋体" w:hAnsi="宋体"/>
          <w:szCs w:val="21"/>
        </w:rPr>
        <w:t>；</w:t>
      </w:r>
    </w:p>
    <w:p w14:paraId="5C7CED6E">
      <w:pPr>
        <w:spacing w:line="360" w:lineRule="auto"/>
        <w:ind w:firstLine="420" w:firstLineChars="200"/>
        <w:rPr>
          <w:rFonts w:hint="eastAsia" w:ascii="宋体" w:hAnsi="宋体"/>
          <w:szCs w:val="21"/>
        </w:rPr>
      </w:pPr>
      <w:r>
        <w:rPr>
          <w:rFonts w:ascii="宋体" w:hAnsi="宋体"/>
          <w:szCs w:val="21"/>
        </w:rPr>
        <w:t>2.</w:t>
      </w:r>
      <w:r>
        <w:rPr>
          <w:rFonts w:ascii="宋体" w:hAnsi="宋体"/>
          <w:b/>
          <w:bCs/>
          <w:i/>
          <w:iCs/>
          <w:szCs w:val="21"/>
          <w:u w:val="single"/>
        </w:rPr>
        <w:t xml:space="preserve"> </w:t>
      </w:r>
      <w:r>
        <w:rPr>
          <w:rFonts w:hint="eastAsia" w:ascii="宋体" w:hAnsi="宋体"/>
          <w:b/>
          <w:bCs/>
          <w:i/>
          <w:iCs/>
          <w:szCs w:val="21"/>
          <w:u w:val="single"/>
        </w:rPr>
        <w:t xml:space="preserve">   </w:t>
      </w:r>
      <w:r>
        <w:rPr>
          <w:rFonts w:ascii="宋体" w:hAnsi="宋体"/>
          <w:b/>
          <w:bCs/>
          <w:i/>
          <w:iCs/>
          <w:szCs w:val="21"/>
          <w:u w:val="single"/>
        </w:rPr>
        <w:t>（标的名称）</w:t>
      </w:r>
      <w:r>
        <w:rPr>
          <w:rFonts w:hint="eastAsia" w:ascii="宋体" w:hAnsi="宋体"/>
          <w:b/>
          <w:bCs/>
          <w:i/>
          <w:iCs/>
          <w:szCs w:val="21"/>
          <w:u w:val="single"/>
        </w:rPr>
        <w:t xml:space="preserve">    </w:t>
      </w:r>
      <w:r>
        <w:rPr>
          <w:rFonts w:hint="eastAsia" w:ascii="宋体" w:hAnsi="宋体"/>
          <w:szCs w:val="21"/>
        </w:rPr>
        <w:t>，</w:t>
      </w:r>
      <w:r>
        <w:rPr>
          <w:rFonts w:ascii="宋体" w:hAnsi="宋体"/>
          <w:szCs w:val="21"/>
        </w:rPr>
        <w:t>制造商为</w:t>
      </w:r>
      <w:r>
        <w:rPr>
          <w:rFonts w:hint="eastAsia" w:ascii="宋体" w:hAnsi="宋体"/>
          <w:szCs w:val="21"/>
          <w:u w:val="single"/>
        </w:rPr>
        <w:t xml:space="preserve">    </w:t>
      </w:r>
      <w:r>
        <w:rPr>
          <w:rFonts w:ascii="宋体" w:hAnsi="宋体"/>
          <w:b/>
          <w:bCs/>
          <w:i/>
          <w:iCs/>
          <w:szCs w:val="21"/>
          <w:u w:val="single"/>
        </w:rPr>
        <w:t>（</w:t>
      </w:r>
      <w:r>
        <w:rPr>
          <w:rFonts w:hint="eastAsia" w:ascii="宋体" w:hAnsi="宋体"/>
          <w:b/>
          <w:bCs/>
          <w:i/>
          <w:iCs/>
          <w:szCs w:val="21"/>
          <w:u w:val="single"/>
        </w:rPr>
        <w:t>企业</w:t>
      </w:r>
      <w:r>
        <w:rPr>
          <w:rFonts w:ascii="宋体" w:hAnsi="宋体"/>
          <w:b/>
          <w:bCs/>
          <w:i/>
          <w:iCs/>
          <w:szCs w:val="21"/>
          <w:u w:val="single"/>
        </w:rPr>
        <w:t>名称）</w:t>
      </w:r>
      <w:r>
        <w:rPr>
          <w:rFonts w:hint="eastAsia" w:ascii="宋体" w:hAnsi="宋体"/>
          <w:b/>
          <w:bCs/>
          <w:i/>
          <w:iCs/>
          <w:szCs w:val="21"/>
          <w:u w:val="single"/>
        </w:rPr>
        <w:t xml:space="preserve">    </w:t>
      </w:r>
      <w:r>
        <w:rPr>
          <w:rFonts w:ascii="宋体" w:hAnsi="宋体"/>
          <w:szCs w:val="21"/>
        </w:rPr>
        <w:t>，属于</w:t>
      </w:r>
      <w:r>
        <w:rPr>
          <w:rFonts w:hint="eastAsia" w:ascii="宋体" w:hAnsi="宋体"/>
          <w:szCs w:val="21"/>
          <w:u w:val="single"/>
        </w:rPr>
        <w:t xml:space="preserve">  </w:t>
      </w:r>
      <w:r>
        <w:rPr>
          <w:rFonts w:hint="eastAsia" w:ascii="宋体" w:hAnsi="宋体"/>
          <w:b/>
          <w:bCs/>
          <w:szCs w:val="21"/>
          <w:u w:val="single"/>
        </w:rPr>
        <w:t xml:space="preserve">监狱企业  </w:t>
      </w:r>
      <w:r>
        <w:rPr>
          <w:rFonts w:hint="eastAsia" w:ascii="宋体" w:hAnsi="宋体"/>
          <w:szCs w:val="21"/>
        </w:rPr>
        <w:t>。</w:t>
      </w:r>
    </w:p>
    <w:p w14:paraId="3346318A">
      <w:pPr>
        <w:spacing w:line="360" w:lineRule="auto"/>
        <w:ind w:firstLine="420" w:firstLineChars="200"/>
        <w:outlineLvl w:val="3"/>
        <w:rPr>
          <w:rFonts w:hint="eastAsia" w:ascii="宋体" w:hAnsi="宋体"/>
          <w:szCs w:val="21"/>
        </w:rPr>
      </w:pPr>
      <w:r>
        <w:rPr>
          <w:rFonts w:ascii="宋体" w:hAnsi="宋体"/>
          <w:szCs w:val="21"/>
        </w:rPr>
        <w:t xml:space="preserve">…… </w:t>
      </w:r>
    </w:p>
    <w:p w14:paraId="64F1B775">
      <w:pPr>
        <w:spacing w:line="360" w:lineRule="auto"/>
        <w:ind w:firstLine="420" w:firstLineChars="200"/>
        <w:rPr>
          <w:rFonts w:hint="eastAsia" w:ascii="宋体" w:hAnsi="宋体"/>
          <w:szCs w:val="21"/>
        </w:rPr>
      </w:pPr>
      <w:r>
        <w:rPr>
          <w:rFonts w:ascii="宋体" w:hAnsi="宋体"/>
          <w:szCs w:val="21"/>
        </w:rPr>
        <w:t>本</w:t>
      </w:r>
      <w:r>
        <w:rPr>
          <w:rFonts w:hint="eastAsia" w:ascii="宋体" w:hAnsi="宋体"/>
          <w:szCs w:val="21"/>
        </w:rPr>
        <w:t>投标人</w:t>
      </w:r>
      <w:r>
        <w:rPr>
          <w:rFonts w:ascii="宋体" w:hAnsi="宋体"/>
          <w:szCs w:val="21"/>
        </w:rPr>
        <w:t>对上述声明内容的真实性负责。如有虚假，将依法承担相应责任。</w:t>
      </w:r>
    </w:p>
    <w:p w14:paraId="68D05238">
      <w:pPr>
        <w:spacing w:line="360" w:lineRule="auto"/>
        <w:ind w:firstLine="420" w:firstLineChars="200"/>
        <w:rPr>
          <w:b/>
          <w:bCs/>
          <w:color w:val="FF0000"/>
          <w:szCs w:val="21"/>
        </w:rPr>
      </w:pPr>
      <w:r>
        <w:rPr>
          <w:rFonts w:hint="eastAsia" w:ascii="宋体" w:hAnsi="宋体"/>
          <w:szCs w:val="21"/>
        </w:rPr>
        <w:t>附：省级以上监狱管理局、戒毒管理局（含新疆生产建设兵团）出具的监狱企业证明文件。</w:t>
      </w:r>
      <w:bookmarkEnd w:id="31"/>
    </w:p>
    <w:p w14:paraId="4337683A">
      <w:pPr>
        <w:keepNext/>
        <w:keepLines/>
        <w:pageBreakBefore/>
        <w:adjustRightInd w:val="0"/>
        <w:snapToGrid w:val="0"/>
        <w:spacing w:line="360" w:lineRule="auto"/>
        <w:jc w:val="center"/>
        <w:textAlignment w:val="baseline"/>
        <w:outlineLvl w:val="3"/>
        <w:rPr>
          <w:rFonts w:hint="eastAsia" w:ascii="宋体" w:hAnsi="宋体" w:eastAsia="宋体" w:cs="Times New Roman"/>
          <w:b/>
          <w:bCs/>
          <w:kern w:val="0"/>
          <w:sz w:val="24"/>
          <w:szCs w:val="20"/>
        </w:rPr>
      </w:pPr>
      <w:r>
        <w:rPr>
          <w:rFonts w:hint="eastAsia" w:ascii="黑体" w:eastAsia="黑体"/>
          <w:sz w:val="24"/>
          <w:szCs w:val="24"/>
        </w:rPr>
        <w:t>四、</w:t>
      </w:r>
      <w:r>
        <w:rPr>
          <w:rFonts w:hint="eastAsia" w:ascii="宋体" w:hAnsi="宋体" w:eastAsia="宋体" w:cs="Times New Roman"/>
          <w:b/>
          <w:bCs/>
          <w:kern w:val="0"/>
          <w:sz w:val="24"/>
          <w:szCs w:val="20"/>
        </w:rPr>
        <w:t>项目详细报价</w:t>
      </w:r>
    </w:p>
    <w:p w14:paraId="3A1D6EC1">
      <w:pPr>
        <w:spacing w:after="78" w:afterLines="25" w:line="300" w:lineRule="auto"/>
        <w:rPr>
          <w:rFonts w:ascii="Arial" w:hAnsi="Arial" w:eastAsia="宋体" w:cs="Arial"/>
          <w:szCs w:val="24"/>
        </w:rPr>
      </w:pPr>
      <w:r>
        <w:rPr>
          <w:rFonts w:hint="eastAsia" w:ascii="Arial" w:hAnsi="Arial" w:eastAsia="宋体" w:cs="Arial"/>
          <w:color w:val="000000"/>
          <w:szCs w:val="24"/>
        </w:rPr>
        <w:t>投标单位（投标人）名称：</w:t>
      </w:r>
      <w:r>
        <w:rPr>
          <w:rFonts w:ascii="Arial" w:hAnsi="Arial" w:eastAsia="宋体" w:cs="Arial"/>
          <w:color w:val="000000"/>
          <w:szCs w:val="24"/>
          <w:u w:val="single"/>
        </w:rPr>
        <w:t xml:space="preserve">                          </w:t>
      </w:r>
    </w:p>
    <w:p w14:paraId="2E5B083C">
      <w:pPr>
        <w:tabs>
          <w:tab w:val="left" w:pos="720"/>
        </w:tabs>
        <w:spacing w:after="78" w:afterLines="25" w:line="300" w:lineRule="auto"/>
        <w:rPr>
          <w:rFonts w:ascii="Arial" w:hAnsi="Arial" w:eastAsia="宋体" w:cs="Times New Roman"/>
          <w:b/>
          <w:sz w:val="24"/>
          <w:szCs w:val="24"/>
        </w:rPr>
      </w:pPr>
      <w:r>
        <w:rPr>
          <w:rFonts w:hint="eastAsia" w:ascii="Arial" w:hAnsi="Arial" w:eastAsia="宋体" w:cs="Times New Roman"/>
          <w:b/>
          <w:sz w:val="24"/>
          <w:szCs w:val="24"/>
        </w:rPr>
        <w:t>（一）项目报价表</w:t>
      </w:r>
    </w:p>
    <w:tbl>
      <w:tblPr>
        <w:tblStyle w:val="17"/>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1519"/>
        <w:gridCol w:w="679"/>
        <w:gridCol w:w="796"/>
        <w:gridCol w:w="883"/>
        <w:gridCol w:w="660"/>
        <w:gridCol w:w="462"/>
        <w:gridCol w:w="462"/>
        <w:gridCol w:w="657"/>
        <w:gridCol w:w="880"/>
        <w:gridCol w:w="881"/>
      </w:tblGrid>
      <w:tr w14:paraId="61588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67" w:type="pct"/>
          </w:tcPr>
          <w:p w14:paraId="69806F0F">
            <w:pPr>
              <w:spacing w:line="300" w:lineRule="auto"/>
              <w:jc w:val="center"/>
              <w:rPr>
                <w:rFonts w:ascii="Arial" w:hAnsi="Arial" w:eastAsia="宋体" w:cs="Times New Roman"/>
                <w:szCs w:val="24"/>
              </w:rPr>
            </w:pPr>
            <w:r>
              <w:rPr>
                <w:rFonts w:hint="eastAsia" w:ascii="Arial" w:hAnsi="Arial" w:eastAsia="宋体" w:cs="Times New Roman"/>
                <w:szCs w:val="24"/>
              </w:rPr>
              <w:t>序号</w:t>
            </w:r>
          </w:p>
        </w:tc>
        <w:tc>
          <w:tcPr>
            <w:tcW w:w="903" w:type="pct"/>
            <w:vAlign w:val="center"/>
          </w:tcPr>
          <w:p w14:paraId="3D51D6BC">
            <w:pPr>
              <w:spacing w:line="300" w:lineRule="auto"/>
              <w:jc w:val="center"/>
              <w:rPr>
                <w:rFonts w:ascii="Arial" w:hAnsi="Arial" w:eastAsia="宋体" w:cs="Times New Roman"/>
                <w:szCs w:val="24"/>
              </w:rPr>
            </w:pPr>
            <w:r>
              <w:rPr>
                <w:rFonts w:hint="eastAsia" w:ascii="Arial" w:hAnsi="Arial" w:eastAsia="宋体" w:cs="Times New Roman"/>
                <w:szCs w:val="24"/>
              </w:rPr>
              <w:t>货物名称</w:t>
            </w:r>
          </w:p>
        </w:tc>
        <w:tc>
          <w:tcPr>
            <w:tcW w:w="409" w:type="pct"/>
            <w:vAlign w:val="center"/>
          </w:tcPr>
          <w:p w14:paraId="4227C678">
            <w:pPr>
              <w:spacing w:line="300" w:lineRule="auto"/>
              <w:jc w:val="center"/>
              <w:rPr>
                <w:rFonts w:ascii="Arial" w:hAnsi="Arial" w:eastAsia="宋体" w:cs="Times New Roman"/>
                <w:szCs w:val="24"/>
              </w:rPr>
            </w:pPr>
            <w:r>
              <w:rPr>
                <w:rFonts w:hint="eastAsia" w:ascii="Arial" w:hAnsi="Arial" w:eastAsia="宋体" w:cs="Times New Roman"/>
                <w:szCs w:val="24"/>
              </w:rPr>
              <w:t>品牌</w:t>
            </w:r>
          </w:p>
        </w:tc>
        <w:tc>
          <w:tcPr>
            <w:tcW w:w="478" w:type="pct"/>
            <w:vAlign w:val="center"/>
          </w:tcPr>
          <w:p w14:paraId="79DBB065">
            <w:pPr>
              <w:spacing w:line="300" w:lineRule="auto"/>
              <w:jc w:val="center"/>
              <w:rPr>
                <w:rFonts w:ascii="Arial" w:hAnsi="Arial" w:eastAsia="宋体" w:cs="Times New Roman"/>
                <w:szCs w:val="24"/>
              </w:rPr>
            </w:pPr>
            <w:r>
              <w:rPr>
                <w:rFonts w:hint="eastAsia" w:ascii="Arial" w:hAnsi="Arial" w:eastAsia="宋体" w:cs="Times New Roman"/>
                <w:szCs w:val="24"/>
              </w:rPr>
              <w:t>规格/型号</w:t>
            </w:r>
          </w:p>
        </w:tc>
        <w:tc>
          <w:tcPr>
            <w:tcW w:w="529" w:type="pct"/>
            <w:vAlign w:val="center"/>
          </w:tcPr>
          <w:p w14:paraId="3FE93FF1">
            <w:pPr>
              <w:spacing w:line="300" w:lineRule="auto"/>
              <w:jc w:val="center"/>
              <w:rPr>
                <w:rFonts w:ascii="Arial" w:hAnsi="Arial" w:eastAsia="宋体" w:cs="Times New Roman"/>
                <w:b/>
                <w:szCs w:val="24"/>
              </w:rPr>
            </w:pPr>
            <w:r>
              <w:rPr>
                <w:rFonts w:hint="eastAsia" w:ascii="Arial" w:hAnsi="Arial" w:eastAsia="宋体" w:cs="Times New Roman"/>
                <w:bCs/>
                <w:szCs w:val="24"/>
              </w:rPr>
              <w:t>制造商名称</w:t>
            </w:r>
          </w:p>
        </w:tc>
        <w:tc>
          <w:tcPr>
            <w:tcW w:w="395" w:type="pct"/>
            <w:vAlign w:val="center"/>
          </w:tcPr>
          <w:p w14:paraId="68B195C7">
            <w:pPr>
              <w:spacing w:line="300" w:lineRule="auto"/>
              <w:jc w:val="center"/>
              <w:rPr>
                <w:rFonts w:ascii="Arial" w:hAnsi="Arial" w:eastAsia="宋体" w:cs="Times New Roman"/>
                <w:szCs w:val="24"/>
              </w:rPr>
            </w:pPr>
            <w:r>
              <w:rPr>
                <w:rFonts w:hint="eastAsia" w:ascii="Arial" w:hAnsi="Arial" w:eastAsia="宋体" w:cs="Times New Roman"/>
                <w:szCs w:val="24"/>
              </w:rPr>
              <w:t>原产地</w:t>
            </w:r>
          </w:p>
        </w:tc>
        <w:tc>
          <w:tcPr>
            <w:tcW w:w="282" w:type="pct"/>
            <w:vAlign w:val="center"/>
          </w:tcPr>
          <w:p w14:paraId="58223761">
            <w:pPr>
              <w:spacing w:line="300" w:lineRule="auto"/>
              <w:jc w:val="center"/>
              <w:rPr>
                <w:rFonts w:ascii="Arial" w:hAnsi="Arial" w:eastAsia="宋体" w:cs="Times New Roman"/>
                <w:szCs w:val="24"/>
              </w:rPr>
            </w:pPr>
            <w:r>
              <w:rPr>
                <w:rFonts w:hint="eastAsia" w:ascii="Arial" w:hAnsi="Arial" w:eastAsia="宋体" w:cs="Times New Roman"/>
                <w:szCs w:val="24"/>
              </w:rPr>
              <w:t>数量</w:t>
            </w:r>
          </w:p>
        </w:tc>
        <w:tc>
          <w:tcPr>
            <w:tcW w:w="282" w:type="pct"/>
          </w:tcPr>
          <w:p w14:paraId="5E175EBD">
            <w:pPr>
              <w:spacing w:line="300" w:lineRule="auto"/>
              <w:jc w:val="center"/>
              <w:rPr>
                <w:rFonts w:ascii="Arial" w:hAnsi="Arial" w:eastAsia="宋体" w:cs="Times New Roman"/>
                <w:szCs w:val="24"/>
              </w:rPr>
            </w:pPr>
            <w:r>
              <w:rPr>
                <w:rFonts w:hint="eastAsia" w:ascii="Arial" w:hAnsi="Arial" w:eastAsia="宋体" w:cs="Times New Roman"/>
                <w:szCs w:val="24"/>
              </w:rPr>
              <w:t>单位</w:t>
            </w:r>
          </w:p>
        </w:tc>
        <w:tc>
          <w:tcPr>
            <w:tcW w:w="396" w:type="pct"/>
            <w:vAlign w:val="center"/>
          </w:tcPr>
          <w:p w14:paraId="7FBEB0F9">
            <w:pPr>
              <w:spacing w:line="300" w:lineRule="auto"/>
              <w:jc w:val="center"/>
              <w:rPr>
                <w:rFonts w:ascii="Arial" w:hAnsi="Arial" w:eastAsia="宋体" w:cs="Times New Roman"/>
                <w:szCs w:val="24"/>
              </w:rPr>
            </w:pPr>
            <w:r>
              <w:rPr>
                <w:rFonts w:hint="eastAsia" w:ascii="Arial" w:hAnsi="Arial" w:eastAsia="宋体" w:cs="Times New Roman"/>
                <w:szCs w:val="24"/>
              </w:rPr>
              <w:t>单价(元)</w:t>
            </w:r>
          </w:p>
        </w:tc>
        <w:tc>
          <w:tcPr>
            <w:tcW w:w="527" w:type="pct"/>
            <w:vAlign w:val="center"/>
          </w:tcPr>
          <w:p w14:paraId="536DE9BB">
            <w:pPr>
              <w:spacing w:line="300" w:lineRule="auto"/>
              <w:jc w:val="center"/>
              <w:rPr>
                <w:rFonts w:ascii="Arial" w:hAnsi="Arial" w:eastAsia="宋体" w:cs="Times New Roman"/>
                <w:szCs w:val="24"/>
              </w:rPr>
            </w:pPr>
            <w:r>
              <w:rPr>
                <w:rFonts w:hint="eastAsia" w:ascii="Arial" w:hAnsi="Arial" w:eastAsia="宋体" w:cs="Times New Roman"/>
                <w:szCs w:val="24"/>
              </w:rPr>
              <w:t>合价(元)</w:t>
            </w:r>
          </w:p>
        </w:tc>
        <w:tc>
          <w:tcPr>
            <w:tcW w:w="527" w:type="pct"/>
            <w:vAlign w:val="center"/>
          </w:tcPr>
          <w:p w14:paraId="2B884413">
            <w:pPr>
              <w:spacing w:line="300" w:lineRule="auto"/>
              <w:jc w:val="center"/>
              <w:rPr>
                <w:rFonts w:ascii="Arial" w:hAnsi="Arial" w:eastAsia="宋体" w:cs="Times New Roman"/>
                <w:szCs w:val="24"/>
              </w:rPr>
            </w:pPr>
            <w:r>
              <w:rPr>
                <w:rFonts w:hint="eastAsia" w:ascii="Times New Roman" w:hAnsi="Times New Roman" w:eastAsia="宋体" w:cs="Times New Roman"/>
                <w:szCs w:val="21"/>
              </w:rPr>
              <w:t>预算金额（元）</w:t>
            </w:r>
          </w:p>
        </w:tc>
      </w:tr>
      <w:tr w14:paraId="05BA6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36" w:type="dxa"/>
            <w:vAlign w:val="center"/>
          </w:tcPr>
          <w:p w14:paraId="1DDFF71D">
            <w:pPr>
              <w:keepNext w:val="0"/>
              <w:keepLines w:val="0"/>
              <w:widowControl/>
              <w:suppressLineNumbers w:val="0"/>
              <w:jc w:val="center"/>
              <w:textAlignment w:val="center"/>
              <w:rPr>
                <w:rFonts w:ascii="Arial" w:hAnsi="Arial" w:eastAsia="宋体" w:cs="Times New Roman"/>
                <w:szCs w:val="24"/>
              </w:rPr>
            </w:pPr>
            <w:r>
              <w:rPr>
                <w:rFonts w:hint="eastAsia" w:ascii="宋体" w:hAnsi="宋体" w:eastAsia="宋体" w:cs="宋体"/>
                <w:i w:val="0"/>
                <w:iCs w:val="0"/>
                <w:color w:val="000000"/>
                <w:kern w:val="0"/>
                <w:sz w:val="22"/>
                <w:szCs w:val="22"/>
                <w:u w:val="none"/>
                <w:lang w:val="en-US" w:eastAsia="zh-CN" w:bidi="ar"/>
              </w:rPr>
              <w:t>1</w:t>
            </w:r>
          </w:p>
        </w:tc>
        <w:tc>
          <w:tcPr>
            <w:tcW w:w="1519" w:type="dxa"/>
            <w:vAlign w:val="center"/>
          </w:tcPr>
          <w:p w14:paraId="32B90D65">
            <w:pPr>
              <w:keepNext w:val="0"/>
              <w:keepLines w:val="0"/>
              <w:widowControl/>
              <w:suppressLineNumbers w:val="0"/>
              <w:jc w:val="center"/>
              <w:textAlignment w:val="center"/>
              <w:rPr>
                <w:rFonts w:hint="eastAsia" w:ascii="Arial" w:hAnsi="Arial" w:eastAsia="宋体" w:cs="Times New Roman"/>
                <w:b/>
                <w:szCs w:val="24"/>
                <w:lang w:eastAsia="zh-CN"/>
              </w:rPr>
            </w:pPr>
          </w:p>
        </w:tc>
        <w:tc>
          <w:tcPr>
            <w:tcW w:w="409" w:type="pct"/>
          </w:tcPr>
          <w:p w14:paraId="3CBB6FBB">
            <w:pPr>
              <w:spacing w:after="78" w:afterLines="25" w:line="300" w:lineRule="auto"/>
              <w:rPr>
                <w:rFonts w:ascii="Arial" w:hAnsi="Arial" w:eastAsia="宋体" w:cs="Times New Roman"/>
                <w:szCs w:val="24"/>
              </w:rPr>
            </w:pPr>
          </w:p>
        </w:tc>
        <w:tc>
          <w:tcPr>
            <w:tcW w:w="478" w:type="pct"/>
          </w:tcPr>
          <w:p w14:paraId="5C9A2F02">
            <w:pPr>
              <w:spacing w:after="78" w:afterLines="25" w:line="300" w:lineRule="auto"/>
              <w:rPr>
                <w:rFonts w:ascii="Arial" w:hAnsi="Arial" w:eastAsia="宋体" w:cs="Times New Roman"/>
                <w:szCs w:val="24"/>
              </w:rPr>
            </w:pPr>
          </w:p>
        </w:tc>
        <w:tc>
          <w:tcPr>
            <w:tcW w:w="529" w:type="pct"/>
          </w:tcPr>
          <w:p w14:paraId="2BC8CF1C">
            <w:pPr>
              <w:spacing w:after="78" w:afterLines="25" w:line="300" w:lineRule="auto"/>
              <w:rPr>
                <w:rFonts w:ascii="Arial" w:hAnsi="Arial" w:eastAsia="宋体" w:cs="Times New Roman"/>
                <w:szCs w:val="24"/>
              </w:rPr>
            </w:pPr>
          </w:p>
        </w:tc>
        <w:tc>
          <w:tcPr>
            <w:tcW w:w="395" w:type="pct"/>
          </w:tcPr>
          <w:p w14:paraId="061D28FF">
            <w:pPr>
              <w:spacing w:after="78" w:afterLines="25" w:line="300" w:lineRule="auto"/>
              <w:rPr>
                <w:rFonts w:ascii="Arial" w:hAnsi="Arial" w:eastAsia="宋体" w:cs="Times New Roman"/>
                <w:szCs w:val="24"/>
              </w:rPr>
            </w:pPr>
          </w:p>
        </w:tc>
        <w:tc>
          <w:tcPr>
            <w:tcW w:w="462" w:type="dxa"/>
            <w:vAlign w:val="center"/>
          </w:tcPr>
          <w:p w14:paraId="63D1A3D0">
            <w:pPr>
              <w:keepNext w:val="0"/>
              <w:keepLines w:val="0"/>
              <w:widowControl/>
              <w:suppressLineNumbers w:val="0"/>
              <w:jc w:val="center"/>
              <w:textAlignment w:val="center"/>
              <w:rPr>
                <w:rFonts w:ascii="Arial" w:hAnsi="Arial" w:eastAsia="宋体" w:cs="Times New Roman"/>
                <w:szCs w:val="24"/>
              </w:rPr>
            </w:pPr>
          </w:p>
        </w:tc>
        <w:tc>
          <w:tcPr>
            <w:tcW w:w="462" w:type="dxa"/>
            <w:vAlign w:val="center"/>
          </w:tcPr>
          <w:p w14:paraId="32AB421E">
            <w:pPr>
              <w:keepNext w:val="0"/>
              <w:keepLines w:val="0"/>
              <w:widowControl/>
              <w:suppressLineNumbers w:val="0"/>
              <w:jc w:val="center"/>
              <w:textAlignment w:val="center"/>
              <w:rPr>
                <w:rFonts w:ascii="Arial" w:hAnsi="Arial" w:eastAsia="宋体" w:cs="Times New Roman"/>
                <w:szCs w:val="24"/>
              </w:rPr>
            </w:pPr>
          </w:p>
        </w:tc>
        <w:tc>
          <w:tcPr>
            <w:tcW w:w="396" w:type="pct"/>
          </w:tcPr>
          <w:p w14:paraId="26FCD780">
            <w:pPr>
              <w:spacing w:after="78" w:afterLines="25" w:line="300" w:lineRule="auto"/>
              <w:rPr>
                <w:rFonts w:ascii="Arial" w:hAnsi="Arial" w:eastAsia="宋体" w:cs="Times New Roman"/>
                <w:szCs w:val="24"/>
              </w:rPr>
            </w:pPr>
          </w:p>
        </w:tc>
        <w:tc>
          <w:tcPr>
            <w:tcW w:w="527" w:type="pct"/>
          </w:tcPr>
          <w:p w14:paraId="5421E9D1">
            <w:pPr>
              <w:spacing w:after="78" w:afterLines="25" w:line="300" w:lineRule="auto"/>
              <w:rPr>
                <w:rFonts w:ascii="Arial" w:hAnsi="Arial" w:eastAsia="宋体" w:cs="Times New Roman"/>
                <w:szCs w:val="24"/>
              </w:rPr>
            </w:pPr>
          </w:p>
        </w:tc>
        <w:tc>
          <w:tcPr>
            <w:tcW w:w="527" w:type="pct"/>
            <w:vMerge w:val="restart"/>
          </w:tcPr>
          <w:p w14:paraId="0FD0964D">
            <w:pPr>
              <w:spacing w:after="78" w:afterLines="25" w:line="300" w:lineRule="auto"/>
              <w:rPr>
                <w:rFonts w:ascii="Arial" w:hAnsi="Arial" w:eastAsia="宋体" w:cs="Times New Roman"/>
                <w:szCs w:val="24"/>
              </w:rPr>
            </w:pPr>
          </w:p>
        </w:tc>
      </w:tr>
      <w:tr w14:paraId="24880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36" w:type="dxa"/>
            <w:vAlign w:val="center"/>
          </w:tcPr>
          <w:p w14:paraId="4781FECE">
            <w:pPr>
              <w:keepNext w:val="0"/>
              <w:keepLines w:val="0"/>
              <w:widowControl/>
              <w:suppressLineNumbers w:val="0"/>
              <w:jc w:val="center"/>
              <w:textAlignment w:val="center"/>
              <w:rPr>
                <w:rFonts w:ascii="Arial" w:hAnsi="Arial" w:eastAsia="宋体" w:cs="Times New Roman"/>
                <w:szCs w:val="24"/>
              </w:rPr>
            </w:pPr>
            <w:r>
              <w:rPr>
                <w:rFonts w:hint="eastAsia" w:ascii="宋体" w:hAnsi="宋体" w:eastAsia="宋体" w:cs="宋体"/>
                <w:i w:val="0"/>
                <w:iCs w:val="0"/>
                <w:color w:val="000000"/>
                <w:kern w:val="0"/>
                <w:sz w:val="22"/>
                <w:szCs w:val="22"/>
                <w:u w:val="none"/>
                <w:lang w:val="en-US" w:eastAsia="zh-CN" w:bidi="ar"/>
              </w:rPr>
              <w:t>2</w:t>
            </w:r>
          </w:p>
        </w:tc>
        <w:tc>
          <w:tcPr>
            <w:tcW w:w="1519" w:type="dxa"/>
            <w:vAlign w:val="center"/>
          </w:tcPr>
          <w:p w14:paraId="28E8BDE0">
            <w:pPr>
              <w:keepNext w:val="0"/>
              <w:keepLines w:val="0"/>
              <w:widowControl/>
              <w:suppressLineNumbers w:val="0"/>
              <w:jc w:val="center"/>
              <w:textAlignment w:val="center"/>
              <w:rPr>
                <w:rFonts w:ascii="Arial" w:hAnsi="Arial" w:eastAsia="宋体" w:cs="Times New Roman"/>
                <w:b/>
                <w:szCs w:val="24"/>
              </w:rPr>
            </w:pPr>
          </w:p>
        </w:tc>
        <w:tc>
          <w:tcPr>
            <w:tcW w:w="409" w:type="pct"/>
          </w:tcPr>
          <w:p w14:paraId="5C04E649">
            <w:pPr>
              <w:spacing w:after="78" w:afterLines="25" w:line="300" w:lineRule="auto"/>
              <w:rPr>
                <w:rFonts w:ascii="Arial" w:hAnsi="Arial" w:eastAsia="宋体" w:cs="Times New Roman"/>
                <w:szCs w:val="24"/>
              </w:rPr>
            </w:pPr>
          </w:p>
        </w:tc>
        <w:tc>
          <w:tcPr>
            <w:tcW w:w="478" w:type="pct"/>
          </w:tcPr>
          <w:p w14:paraId="4305C5C8">
            <w:pPr>
              <w:spacing w:after="78" w:afterLines="25" w:line="300" w:lineRule="auto"/>
              <w:rPr>
                <w:rFonts w:ascii="Arial" w:hAnsi="Arial" w:eastAsia="宋体" w:cs="Times New Roman"/>
                <w:szCs w:val="24"/>
              </w:rPr>
            </w:pPr>
          </w:p>
        </w:tc>
        <w:tc>
          <w:tcPr>
            <w:tcW w:w="529" w:type="pct"/>
          </w:tcPr>
          <w:p w14:paraId="38E93A56">
            <w:pPr>
              <w:spacing w:after="78" w:afterLines="25" w:line="300" w:lineRule="auto"/>
              <w:rPr>
                <w:rFonts w:ascii="Arial" w:hAnsi="Arial" w:eastAsia="宋体" w:cs="Times New Roman"/>
                <w:szCs w:val="24"/>
              </w:rPr>
            </w:pPr>
          </w:p>
        </w:tc>
        <w:tc>
          <w:tcPr>
            <w:tcW w:w="395" w:type="pct"/>
          </w:tcPr>
          <w:p w14:paraId="76490364">
            <w:pPr>
              <w:spacing w:after="78" w:afterLines="25" w:line="300" w:lineRule="auto"/>
              <w:rPr>
                <w:rFonts w:ascii="Arial" w:hAnsi="Arial" w:eastAsia="宋体" w:cs="Times New Roman"/>
                <w:szCs w:val="24"/>
              </w:rPr>
            </w:pPr>
          </w:p>
        </w:tc>
        <w:tc>
          <w:tcPr>
            <w:tcW w:w="462" w:type="dxa"/>
            <w:vAlign w:val="center"/>
          </w:tcPr>
          <w:p w14:paraId="69CDD173">
            <w:pPr>
              <w:keepNext w:val="0"/>
              <w:keepLines w:val="0"/>
              <w:widowControl/>
              <w:suppressLineNumbers w:val="0"/>
              <w:jc w:val="center"/>
              <w:textAlignment w:val="center"/>
              <w:rPr>
                <w:rFonts w:ascii="Arial" w:hAnsi="Arial" w:eastAsia="宋体" w:cs="Times New Roman"/>
                <w:szCs w:val="24"/>
              </w:rPr>
            </w:pPr>
          </w:p>
        </w:tc>
        <w:tc>
          <w:tcPr>
            <w:tcW w:w="462" w:type="dxa"/>
            <w:vAlign w:val="center"/>
          </w:tcPr>
          <w:p w14:paraId="0C26558A">
            <w:pPr>
              <w:keepNext w:val="0"/>
              <w:keepLines w:val="0"/>
              <w:widowControl/>
              <w:suppressLineNumbers w:val="0"/>
              <w:jc w:val="center"/>
              <w:textAlignment w:val="center"/>
              <w:rPr>
                <w:rFonts w:ascii="Arial" w:hAnsi="Arial" w:eastAsia="宋体" w:cs="Times New Roman"/>
                <w:szCs w:val="24"/>
              </w:rPr>
            </w:pPr>
          </w:p>
        </w:tc>
        <w:tc>
          <w:tcPr>
            <w:tcW w:w="396" w:type="pct"/>
          </w:tcPr>
          <w:p w14:paraId="61BF0938">
            <w:pPr>
              <w:spacing w:after="78" w:afterLines="25" w:line="300" w:lineRule="auto"/>
              <w:rPr>
                <w:rFonts w:ascii="Arial" w:hAnsi="Arial" w:eastAsia="宋体" w:cs="Times New Roman"/>
                <w:szCs w:val="24"/>
              </w:rPr>
            </w:pPr>
          </w:p>
        </w:tc>
        <w:tc>
          <w:tcPr>
            <w:tcW w:w="527" w:type="pct"/>
          </w:tcPr>
          <w:p w14:paraId="2F28904E">
            <w:pPr>
              <w:spacing w:after="78" w:afterLines="25" w:line="300" w:lineRule="auto"/>
              <w:rPr>
                <w:rFonts w:ascii="Arial" w:hAnsi="Arial" w:eastAsia="宋体" w:cs="Times New Roman"/>
                <w:szCs w:val="24"/>
              </w:rPr>
            </w:pPr>
          </w:p>
        </w:tc>
        <w:tc>
          <w:tcPr>
            <w:tcW w:w="527" w:type="pct"/>
            <w:vMerge w:val="continue"/>
          </w:tcPr>
          <w:p w14:paraId="0309FCA9">
            <w:pPr>
              <w:spacing w:after="78" w:afterLines="25" w:line="300" w:lineRule="auto"/>
              <w:rPr>
                <w:rFonts w:ascii="Arial" w:hAnsi="Arial" w:eastAsia="宋体" w:cs="Times New Roman"/>
                <w:szCs w:val="24"/>
              </w:rPr>
            </w:pPr>
          </w:p>
        </w:tc>
      </w:tr>
      <w:tr w14:paraId="161BB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36" w:type="dxa"/>
            <w:vAlign w:val="center"/>
          </w:tcPr>
          <w:p w14:paraId="00ECA0B0">
            <w:pPr>
              <w:keepNext w:val="0"/>
              <w:keepLines w:val="0"/>
              <w:widowControl/>
              <w:suppressLineNumbers w:val="0"/>
              <w:jc w:val="center"/>
              <w:textAlignment w:val="center"/>
              <w:rPr>
                <w:rFonts w:ascii="Arial" w:hAnsi="Arial" w:eastAsia="宋体" w:cs="Times New Roman"/>
                <w:szCs w:val="24"/>
              </w:rPr>
            </w:pPr>
            <w:r>
              <w:rPr>
                <w:rFonts w:hint="eastAsia" w:ascii="宋体" w:hAnsi="宋体" w:eastAsia="宋体" w:cs="宋体"/>
                <w:i w:val="0"/>
                <w:iCs w:val="0"/>
                <w:color w:val="000000"/>
                <w:kern w:val="0"/>
                <w:sz w:val="22"/>
                <w:szCs w:val="22"/>
                <w:u w:val="none"/>
                <w:lang w:val="en-US" w:eastAsia="zh-CN" w:bidi="ar"/>
              </w:rPr>
              <w:t>3</w:t>
            </w:r>
          </w:p>
        </w:tc>
        <w:tc>
          <w:tcPr>
            <w:tcW w:w="1519" w:type="dxa"/>
            <w:vAlign w:val="center"/>
          </w:tcPr>
          <w:p w14:paraId="5CB9FB71">
            <w:pPr>
              <w:keepNext w:val="0"/>
              <w:keepLines w:val="0"/>
              <w:widowControl/>
              <w:suppressLineNumbers w:val="0"/>
              <w:jc w:val="center"/>
              <w:textAlignment w:val="center"/>
              <w:rPr>
                <w:rFonts w:ascii="Arial" w:hAnsi="Arial" w:eastAsia="宋体" w:cs="Times New Roman"/>
                <w:b/>
                <w:szCs w:val="24"/>
              </w:rPr>
            </w:pPr>
          </w:p>
        </w:tc>
        <w:tc>
          <w:tcPr>
            <w:tcW w:w="409" w:type="pct"/>
          </w:tcPr>
          <w:p w14:paraId="498E819A">
            <w:pPr>
              <w:spacing w:after="78" w:afterLines="25" w:line="300" w:lineRule="auto"/>
              <w:rPr>
                <w:rFonts w:ascii="Arial" w:hAnsi="Arial" w:eastAsia="宋体" w:cs="Times New Roman"/>
                <w:szCs w:val="24"/>
              </w:rPr>
            </w:pPr>
          </w:p>
        </w:tc>
        <w:tc>
          <w:tcPr>
            <w:tcW w:w="478" w:type="pct"/>
          </w:tcPr>
          <w:p w14:paraId="61B6E5D2">
            <w:pPr>
              <w:spacing w:after="78" w:afterLines="25" w:line="300" w:lineRule="auto"/>
              <w:rPr>
                <w:rFonts w:ascii="Arial" w:hAnsi="Arial" w:eastAsia="宋体" w:cs="Times New Roman"/>
                <w:szCs w:val="24"/>
              </w:rPr>
            </w:pPr>
          </w:p>
        </w:tc>
        <w:tc>
          <w:tcPr>
            <w:tcW w:w="529" w:type="pct"/>
          </w:tcPr>
          <w:p w14:paraId="074E1E53">
            <w:pPr>
              <w:spacing w:after="78" w:afterLines="25" w:line="300" w:lineRule="auto"/>
              <w:rPr>
                <w:rFonts w:ascii="Arial" w:hAnsi="Arial" w:eastAsia="宋体" w:cs="Times New Roman"/>
                <w:szCs w:val="24"/>
              </w:rPr>
            </w:pPr>
          </w:p>
        </w:tc>
        <w:tc>
          <w:tcPr>
            <w:tcW w:w="395" w:type="pct"/>
          </w:tcPr>
          <w:p w14:paraId="163C253F">
            <w:pPr>
              <w:spacing w:after="78" w:afterLines="25" w:line="300" w:lineRule="auto"/>
              <w:rPr>
                <w:rFonts w:ascii="Arial" w:hAnsi="Arial" w:eastAsia="宋体" w:cs="Times New Roman"/>
                <w:szCs w:val="24"/>
              </w:rPr>
            </w:pPr>
          </w:p>
        </w:tc>
        <w:tc>
          <w:tcPr>
            <w:tcW w:w="462" w:type="dxa"/>
            <w:vAlign w:val="center"/>
          </w:tcPr>
          <w:p w14:paraId="4AB6935F">
            <w:pPr>
              <w:keepNext w:val="0"/>
              <w:keepLines w:val="0"/>
              <w:widowControl/>
              <w:suppressLineNumbers w:val="0"/>
              <w:jc w:val="center"/>
              <w:textAlignment w:val="center"/>
              <w:rPr>
                <w:rFonts w:ascii="Arial" w:hAnsi="Arial" w:eastAsia="宋体" w:cs="Times New Roman"/>
                <w:szCs w:val="24"/>
              </w:rPr>
            </w:pPr>
          </w:p>
        </w:tc>
        <w:tc>
          <w:tcPr>
            <w:tcW w:w="462" w:type="dxa"/>
            <w:vAlign w:val="center"/>
          </w:tcPr>
          <w:p w14:paraId="119ABF90">
            <w:pPr>
              <w:keepNext w:val="0"/>
              <w:keepLines w:val="0"/>
              <w:widowControl/>
              <w:suppressLineNumbers w:val="0"/>
              <w:jc w:val="center"/>
              <w:textAlignment w:val="center"/>
              <w:rPr>
                <w:rFonts w:ascii="Arial" w:hAnsi="Arial" w:eastAsia="宋体" w:cs="Times New Roman"/>
                <w:szCs w:val="24"/>
              </w:rPr>
            </w:pPr>
          </w:p>
        </w:tc>
        <w:tc>
          <w:tcPr>
            <w:tcW w:w="396" w:type="pct"/>
          </w:tcPr>
          <w:p w14:paraId="5A3210BF">
            <w:pPr>
              <w:spacing w:after="78" w:afterLines="25" w:line="300" w:lineRule="auto"/>
              <w:rPr>
                <w:rFonts w:ascii="Arial" w:hAnsi="Arial" w:eastAsia="宋体" w:cs="Times New Roman"/>
                <w:szCs w:val="24"/>
              </w:rPr>
            </w:pPr>
          </w:p>
        </w:tc>
        <w:tc>
          <w:tcPr>
            <w:tcW w:w="527" w:type="pct"/>
          </w:tcPr>
          <w:p w14:paraId="1344407E">
            <w:pPr>
              <w:spacing w:after="78" w:afterLines="25" w:line="300" w:lineRule="auto"/>
              <w:rPr>
                <w:rFonts w:ascii="Arial" w:hAnsi="Arial" w:eastAsia="宋体" w:cs="Times New Roman"/>
                <w:szCs w:val="24"/>
              </w:rPr>
            </w:pPr>
          </w:p>
        </w:tc>
        <w:tc>
          <w:tcPr>
            <w:tcW w:w="527" w:type="pct"/>
            <w:vMerge w:val="continue"/>
          </w:tcPr>
          <w:p w14:paraId="4F16FA2B">
            <w:pPr>
              <w:spacing w:after="78" w:afterLines="25" w:line="300" w:lineRule="auto"/>
              <w:rPr>
                <w:rFonts w:ascii="Arial" w:hAnsi="Arial" w:eastAsia="宋体" w:cs="Times New Roman"/>
                <w:szCs w:val="24"/>
              </w:rPr>
            </w:pPr>
          </w:p>
        </w:tc>
      </w:tr>
      <w:tr w14:paraId="5B769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36" w:type="dxa"/>
            <w:vAlign w:val="center"/>
          </w:tcPr>
          <w:p w14:paraId="238F0EA8">
            <w:pPr>
              <w:keepNext w:val="0"/>
              <w:keepLines w:val="0"/>
              <w:widowControl/>
              <w:suppressLineNumbers w:val="0"/>
              <w:jc w:val="center"/>
              <w:textAlignment w:val="center"/>
              <w:rPr>
                <w:rFonts w:hint="eastAsia" w:ascii="Arial" w:hAnsi="Arial" w:eastAsia="宋体" w:cs="Times New Roman"/>
                <w:szCs w:val="24"/>
              </w:rPr>
            </w:pPr>
            <w:r>
              <w:rPr>
                <w:rFonts w:hint="eastAsia" w:ascii="宋体" w:hAnsi="宋体" w:eastAsia="宋体" w:cs="宋体"/>
                <w:i w:val="0"/>
                <w:iCs w:val="0"/>
                <w:color w:val="000000"/>
                <w:kern w:val="0"/>
                <w:sz w:val="22"/>
                <w:szCs w:val="22"/>
                <w:u w:val="none"/>
                <w:lang w:val="en-US" w:eastAsia="zh-CN" w:bidi="ar"/>
              </w:rPr>
              <w:t>4</w:t>
            </w:r>
          </w:p>
        </w:tc>
        <w:tc>
          <w:tcPr>
            <w:tcW w:w="1519" w:type="dxa"/>
            <w:vAlign w:val="center"/>
          </w:tcPr>
          <w:p w14:paraId="68656604">
            <w:pPr>
              <w:keepNext w:val="0"/>
              <w:keepLines w:val="0"/>
              <w:widowControl/>
              <w:suppressLineNumbers w:val="0"/>
              <w:jc w:val="center"/>
              <w:textAlignment w:val="center"/>
              <w:rPr>
                <w:rFonts w:hint="eastAsia"/>
                <w:bCs/>
                <w:szCs w:val="21"/>
              </w:rPr>
            </w:pPr>
          </w:p>
        </w:tc>
        <w:tc>
          <w:tcPr>
            <w:tcW w:w="409" w:type="pct"/>
          </w:tcPr>
          <w:p w14:paraId="1B10F4D4">
            <w:pPr>
              <w:spacing w:after="78" w:afterLines="25" w:line="300" w:lineRule="auto"/>
              <w:rPr>
                <w:rFonts w:ascii="Arial" w:hAnsi="Arial" w:eastAsia="宋体" w:cs="Times New Roman"/>
                <w:szCs w:val="24"/>
              </w:rPr>
            </w:pPr>
          </w:p>
        </w:tc>
        <w:tc>
          <w:tcPr>
            <w:tcW w:w="478" w:type="pct"/>
          </w:tcPr>
          <w:p w14:paraId="2F8BE600">
            <w:pPr>
              <w:spacing w:after="78" w:afterLines="25" w:line="300" w:lineRule="auto"/>
              <w:rPr>
                <w:rFonts w:ascii="Arial" w:hAnsi="Arial" w:eastAsia="宋体" w:cs="Times New Roman"/>
                <w:szCs w:val="24"/>
              </w:rPr>
            </w:pPr>
          </w:p>
        </w:tc>
        <w:tc>
          <w:tcPr>
            <w:tcW w:w="529" w:type="pct"/>
          </w:tcPr>
          <w:p w14:paraId="553D8A2E">
            <w:pPr>
              <w:spacing w:after="78" w:afterLines="25" w:line="300" w:lineRule="auto"/>
              <w:rPr>
                <w:rFonts w:ascii="Arial" w:hAnsi="Arial" w:eastAsia="宋体" w:cs="Times New Roman"/>
                <w:szCs w:val="24"/>
              </w:rPr>
            </w:pPr>
          </w:p>
        </w:tc>
        <w:tc>
          <w:tcPr>
            <w:tcW w:w="395" w:type="pct"/>
          </w:tcPr>
          <w:p w14:paraId="33EF9DD3">
            <w:pPr>
              <w:spacing w:after="78" w:afterLines="25" w:line="300" w:lineRule="auto"/>
              <w:rPr>
                <w:rFonts w:ascii="Arial" w:hAnsi="Arial" w:eastAsia="宋体" w:cs="Times New Roman"/>
                <w:szCs w:val="24"/>
              </w:rPr>
            </w:pPr>
          </w:p>
        </w:tc>
        <w:tc>
          <w:tcPr>
            <w:tcW w:w="462" w:type="dxa"/>
            <w:vAlign w:val="center"/>
          </w:tcPr>
          <w:p w14:paraId="38A7063E">
            <w:pPr>
              <w:keepNext w:val="0"/>
              <w:keepLines w:val="0"/>
              <w:widowControl/>
              <w:suppressLineNumbers w:val="0"/>
              <w:jc w:val="center"/>
              <w:textAlignment w:val="center"/>
              <w:rPr>
                <w:rFonts w:hint="eastAsia" w:ascii="宋体" w:hAnsi="宋体" w:cs="宋体"/>
                <w:color w:val="000000"/>
                <w:kern w:val="0"/>
                <w:sz w:val="20"/>
                <w:szCs w:val="20"/>
                <w:lang w:val="en-US" w:eastAsia="zh-CN" w:bidi="ar"/>
              </w:rPr>
            </w:pPr>
          </w:p>
        </w:tc>
        <w:tc>
          <w:tcPr>
            <w:tcW w:w="462" w:type="dxa"/>
            <w:vAlign w:val="center"/>
          </w:tcPr>
          <w:p w14:paraId="7DAF406B">
            <w:pPr>
              <w:keepNext w:val="0"/>
              <w:keepLines w:val="0"/>
              <w:widowControl/>
              <w:suppressLineNumbers w:val="0"/>
              <w:jc w:val="center"/>
              <w:textAlignment w:val="center"/>
              <w:rPr>
                <w:rFonts w:hint="eastAsia" w:ascii="宋体" w:hAnsi="宋体" w:cs="宋体"/>
                <w:color w:val="000000"/>
                <w:kern w:val="0"/>
                <w:sz w:val="20"/>
                <w:szCs w:val="20"/>
                <w:lang w:bidi="ar"/>
              </w:rPr>
            </w:pPr>
          </w:p>
        </w:tc>
        <w:tc>
          <w:tcPr>
            <w:tcW w:w="396" w:type="pct"/>
          </w:tcPr>
          <w:p w14:paraId="1CCF8824">
            <w:pPr>
              <w:spacing w:after="78" w:afterLines="25" w:line="300" w:lineRule="auto"/>
              <w:rPr>
                <w:rFonts w:ascii="Arial" w:hAnsi="Arial" w:eastAsia="宋体" w:cs="Times New Roman"/>
                <w:szCs w:val="24"/>
              </w:rPr>
            </w:pPr>
          </w:p>
        </w:tc>
        <w:tc>
          <w:tcPr>
            <w:tcW w:w="527" w:type="pct"/>
          </w:tcPr>
          <w:p w14:paraId="20089A2B">
            <w:pPr>
              <w:spacing w:after="78" w:afterLines="25" w:line="300" w:lineRule="auto"/>
              <w:rPr>
                <w:rFonts w:ascii="Arial" w:hAnsi="Arial" w:eastAsia="宋体" w:cs="Times New Roman"/>
                <w:szCs w:val="24"/>
              </w:rPr>
            </w:pPr>
          </w:p>
        </w:tc>
        <w:tc>
          <w:tcPr>
            <w:tcW w:w="527" w:type="pct"/>
            <w:vMerge w:val="continue"/>
          </w:tcPr>
          <w:p w14:paraId="079E67EE">
            <w:pPr>
              <w:spacing w:after="78" w:afterLines="25" w:line="300" w:lineRule="auto"/>
              <w:rPr>
                <w:rFonts w:ascii="Arial" w:hAnsi="Arial" w:eastAsia="宋体" w:cs="Times New Roman"/>
                <w:szCs w:val="24"/>
              </w:rPr>
            </w:pPr>
          </w:p>
        </w:tc>
      </w:tr>
      <w:tr w14:paraId="11BE6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36" w:type="dxa"/>
            <w:vAlign w:val="center"/>
          </w:tcPr>
          <w:p w14:paraId="4488621C">
            <w:pPr>
              <w:keepNext w:val="0"/>
              <w:keepLines w:val="0"/>
              <w:widowControl/>
              <w:suppressLineNumbers w:val="0"/>
              <w:jc w:val="center"/>
              <w:textAlignment w:val="center"/>
              <w:rPr>
                <w:rFonts w:hint="eastAsia" w:ascii="Arial" w:hAnsi="Arial" w:eastAsia="宋体" w:cs="Times New Roman"/>
                <w:szCs w:val="24"/>
              </w:rPr>
            </w:pPr>
            <w:r>
              <w:rPr>
                <w:rFonts w:hint="eastAsia" w:ascii="宋体" w:hAnsi="宋体" w:eastAsia="宋体" w:cs="宋体"/>
                <w:i w:val="0"/>
                <w:iCs w:val="0"/>
                <w:color w:val="000000"/>
                <w:kern w:val="0"/>
                <w:sz w:val="22"/>
                <w:szCs w:val="22"/>
                <w:u w:val="none"/>
                <w:lang w:val="en-US" w:eastAsia="zh-CN" w:bidi="ar"/>
              </w:rPr>
              <w:t>5</w:t>
            </w:r>
          </w:p>
        </w:tc>
        <w:tc>
          <w:tcPr>
            <w:tcW w:w="1519" w:type="dxa"/>
            <w:vAlign w:val="center"/>
          </w:tcPr>
          <w:p w14:paraId="1D2D6009">
            <w:pPr>
              <w:keepNext w:val="0"/>
              <w:keepLines w:val="0"/>
              <w:widowControl/>
              <w:suppressLineNumbers w:val="0"/>
              <w:jc w:val="center"/>
              <w:textAlignment w:val="center"/>
              <w:rPr>
                <w:rFonts w:hint="eastAsia"/>
                <w:bCs/>
                <w:szCs w:val="21"/>
              </w:rPr>
            </w:pPr>
          </w:p>
        </w:tc>
        <w:tc>
          <w:tcPr>
            <w:tcW w:w="409" w:type="pct"/>
          </w:tcPr>
          <w:p w14:paraId="71F2C284">
            <w:pPr>
              <w:spacing w:after="78" w:afterLines="25" w:line="300" w:lineRule="auto"/>
              <w:rPr>
                <w:rFonts w:ascii="Arial" w:hAnsi="Arial" w:eastAsia="宋体" w:cs="Times New Roman"/>
                <w:szCs w:val="24"/>
              </w:rPr>
            </w:pPr>
          </w:p>
        </w:tc>
        <w:tc>
          <w:tcPr>
            <w:tcW w:w="478" w:type="pct"/>
          </w:tcPr>
          <w:p w14:paraId="3AF4AC63">
            <w:pPr>
              <w:spacing w:after="78" w:afterLines="25" w:line="300" w:lineRule="auto"/>
              <w:rPr>
                <w:rFonts w:ascii="Arial" w:hAnsi="Arial" w:eastAsia="宋体" w:cs="Times New Roman"/>
                <w:szCs w:val="24"/>
              </w:rPr>
            </w:pPr>
          </w:p>
        </w:tc>
        <w:tc>
          <w:tcPr>
            <w:tcW w:w="529" w:type="pct"/>
          </w:tcPr>
          <w:p w14:paraId="18D3FA15">
            <w:pPr>
              <w:spacing w:after="78" w:afterLines="25" w:line="300" w:lineRule="auto"/>
              <w:rPr>
                <w:rFonts w:ascii="Arial" w:hAnsi="Arial" w:eastAsia="宋体" w:cs="Times New Roman"/>
                <w:szCs w:val="24"/>
              </w:rPr>
            </w:pPr>
          </w:p>
        </w:tc>
        <w:tc>
          <w:tcPr>
            <w:tcW w:w="395" w:type="pct"/>
          </w:tcPr>
          <w:p w14:paraId="4D0DAFCF">
            <w:pPr>
              <w:spacing w:after="78" w:afterLines="25" w:line="300" w:lineRule="auto"/>
              <w:rPr>
                <w:rFonts w:ascii="Arial" w:hAnsi="Arial" w:eastAsia="宋体" w:cs="Times New Roman"/>
                <w:szCs w:val="24"/>
              </w:rPr>
            </w:pPr>
          </w:p>
        </w:tc>
        <w:tc>
          <w:tcPr>
            <w:tcW w:w="462" w:type="dxa"/>
            <w:vAlign w:val="center"/>
          </w:tcPr>
          <w:p w14:paraId="67E41922">
            <w:pPr>
              <w:keepNext w:val="0"/>
              <w:keepLines w:val="0"/>
              <w:widowControl/>
              <w:suppressLineNumbers w:val="0"/>
              <w:jc w:val="center"/>
              <w:textAlignment w:val="center"/>
              <w:rPr>
                <w:rFonts w:hint="eastAsia" w:ascii="宋体" w:hAnsi="宋体" w:cs="宋体"/>
                <w:color w:val="000000"/>
                <w:kern w:val="0"/>
                <w:sz w:val="20"/>
                <w:szCs w:val="20"/>
                <w:lang w:val="en-US" w:eastAsia="zh-CN" w:bidi="ar"/>
              </w:rPr>
            </w:pPr>
          </w:p>
        </w:tc>
        <w:tc>
          <w:tcPr>
            <w:tcW w:w="462" w:type="dxa"/>
            <w:vAlign w:val="center"/>
          </w:tcPr>
          <w:p w14:paraId="090DA395">
            <w:pPr>
              <w:keepNext w:val="0"/>
              <w:keepLines w:val="0"/>
              <w:widowControl/>
              <w:suppressLineNumbers w:val="0"/>
              <w:jc w:val="center"/>
              <w:textAlignment w:val="center"/>
              <w:rPr>
                <w:rFonts w:hint="eastAsia" w:ascii="宋体" w:hAnsi="宋体" w:cs="宋体"/>
                <w:color w:val="000000"/>
                <w:kern w:val="0"/>
                <w:sz w:val="20"/>
                <w:szCs w:val="20"/>
                <w:lang w:bidi="ar"/>
              </w:rPr>
            </w:pPr>
          </w:p>
        </w:tc>
        <w:tc>
          <w:tcPr>
            <w:tcW w:w="396" w:type="pct"/>
          </w:tcPr>
          <w:p w14:paraId="7475BD87">
            <w:pPr>
              <w:spacing w:after="78" w:afterLines="25" w:line="300" w:lineRule="auto"/>
              <w:rPr>
                <w:rFonts w:ascii="Arial" w:hAnsi="Arial" w:eastAsia="宋体" w:cs="Times New Roman"/>
                <w:szCs w:val="24"/>
              </w:rPr>
            </w:pPr>
          </w:p>
        </w:tc>
        <w:tc>
          <w:tcPr>
            <w:tcW w:w="527" w:type="pct"/>
          </w:tcPr>
          <w:p w14:paraId="3890D1C4">
            <w:pPr>
              <w:spacing w:after="78" w:afterLines="25" w:line="300" w:lineRule="auto"/>
              <w:rPr>
                <w:rFonts w:ascii="Arial" w:hAnsi="Arial" w:eastAsia="宋体" w:cs="Times New Roman"/>
                <w:szCs w:val="24"/>
              </w:rPr>
            </w:pPr>
          </w:p>
        </w:tc>
        <w:tc>
          <w:tcPr>
            <w:tcW w:w="527" w:type="pct"/>
            <w:vMerge w:val="continue"/>
          </w:tcPr>
          <w:p w14:paraId="1416399E">
            <w:pPr>
              <w:spacing w:after="78" w:afterLines="25" w:line="300" w:lineRule="auto"/>
              <w:rPr>
                <w:rFonts w:ascii="Arial" w:hAnsi="Arial" w:eastAsia="宋体" w:cs="Times New Roman"/>
                <w:szCs w:val="24"/>
              </w:rPr>
            </w:pPr>
          </w:p>
        </w:tc>
      </w:tr>
      <w:tr w14:paraId="1F8B3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36" w:type="dxa"/>
            <w:vAlign w:val="center"/>
          </w:tcPr>
          <w:p w14:paraId="6B3FF0C3">
            <w:pPr>
              <w:keepNext w:val="0"/>
              <w:keepLines w:val="0"/>
              <w:widowControl/>
              <w:suppressLineNumbers w:val="0"/>
              <w:jc w:val="center"/>
              <w:textAlignment w:val="center"/>
              <w:rPr>
                <w:rFonts w:hint="eastAsia" w:ascii="Arial" w:hAnsi="Arial" w:eastAsia="宋体" w:cs="Times New Roman"/>
                <w:szCs w:val="24"/>
              </w:rPr>
            </w:pPr>
            <w:r>
              <w:rPr>
                <w:rFonts w:hint="eastAsia" w:ascii="宋体" w:hAnsi="宋体" w:eastAsia="宋体" w:cs="宋体"/>
                <w:i w:val="0"/>
                <w:iCs w:val="0"/>
                <w:color w:val="000000"/>
                <w:kern w:val="0"/>
                <w:sz w:val="22"/>
                <w:szCs w:val="22"/>
                <w:u w:val="none"/>
                <w:lang w:val="en-US" w:eastAsia="zh-CN" w:bidi="ar"/>
              </w:rPr>
              <w:t>6</w:t>
            </w:r>
          </w:p>
        </w:tc>
        <w:tc>
          <w:tcPr>
            <w:tcW w:w="1519" w:type="dxa"/>
            <w:vAlign w:val="center"/>
          </w:tcPr>
          <w:p w14:paraId="348A2987">
            <w:pPr>
              <w:keepNext w:val="0"/>
              <w:keepLines w:val="0"/>
              <w:widowControl/>
              <w:suppressLineNumbers w:val="0"/>
              <w:jc w:val="center"/>
              <w:textAlignment w:val="center"/>
              <w:rPr>
                <w:rFonts w:hint="eastAsia"/>
                <w:bCs/>
                <w:szCs w:val="21"/>
              </w:rPr>
            </w:pPr>
          </w:p>
        </w:tc>
        <w:tc>
          <w:tcPr>
            <w:tcW w:w="409" w:type="pct"/>
          </w:tcPr>
          <w:p w14:paraId="5D3A1B43">
            <w:pPr>
              <w:spacing w:after="78" w:afterLines="25" w:line="300" w:lineRule="auto"/>
              <w:rPr>
                <w:rFonts w:ascii="Arial" w:hAnsi="Arial" w:eastAsia="宋体" w:cs="Times New Roman"/>
                <w:szCs w:val="24"/>
              </w:rPr>
            </w:pPr>
          </w:p>
        </w:tc>
        <w:tc>
          <w:tcPr>
            <w:tcW w:w="478" w:type="pct"/>
          </w:tcPr>
          <w:p w14:paraId="026FF221">
            <w:pPr>
              <w:spacing w:after="78" w:afterLines="25" w:line="300" w:lineRule="auto"/>
              <w:rPr>
                <w:rFonts w:ascii="Arial" w:hAnsi="Arial" w:eastAsia="宋体" w:cs="Times New Roman"/>
                <w:szCs w:val="24"/>
              </w:rPr>
            </w:pPr>
          </w:p>
        </w:tc>
        <w:tc>
          <w:tcPr>
            <w:tcW w:w="529" w:type="pct"/>
          </w:tcPr>
          <w:p w14:paraId="6271AACF">
            <w:pPr>
              <w:spacing w:after="78" w:afterLines="25" w:line="300" w:lineRule="auto"/>
              <w:rPr>
                <w:rFonts w:ascii="Arial" w:hAnsi="Arial" w:eastAsia="宋体" w:cs="Times New Roman"/>
                <w:szCs w:val="24"/>
              </w:rPr>
            </w:pPr>
          </w:p>
        </w:tc>
        <w:tc>
          <w:tcPr>
            <w:tcW w:w="395" w:type="pct"/>
          </w:tcPr>
          <w:p w14:paraId="5F490307">
            <w:pPr>
              <w:spacing w:after="78" w:afterLines="25" w:line="300" w:lineRule="auto"/>
              <w:rPr>
                <w:rFonts w:ascii="Arial" w:hAnsi="Arial" w:eastAsia="宋体" w:cs="Times New Roman"/>
                <w:szCs w:val="24"/>
              </w:rPr>
            </w:pPr>
          </w:p>
        </w:tc>
        <w:tc>
          <w:tcPr>
            <w:tcW w:w="462" w:type="dxa"/>
            <w:vAlign w:val="center"/>
          </w:tcPr>
          <w:p w14:paraId="7BDD7872">
            <w:pPr>
              <w:keepNext w:val="0"/>
              <w:keepLines w:val="0"/>
              <w:widowControl/>
              <w:suppressLineNumbers w:val="0"/>
              <w:jc w:val="center"/>
              <w:textAlignment w:val="center"/>
              <w:rPr>
                <w:rFonts w:hint="eastAsia" w:ascii="宋体" w:hAnsi="宋体" w:cs="宋体"/>
                <w:color w:val="000000"/>
                <w:kern w:val="0"/>
                <w:sz w:val="20"/>
                <w:szCs w:val="20"/>
                <w:lang w:val="en-US" w:eastAsia="zh-CN" w:bidi="ar"/>
              </w:rPr>
            </w:pPr>
          </w:p>
        </w:tc>
        <w:tc>
          <w:tcPr>
            <w:tcW w:w="462" w:type="dxa"/>
            <w:vAlign w:val="center"/>
          </w:tcPr>
          <w:p w14:paraId="31C6BE35">
            <w:pPr>
              <w:keepNext w:val="0"/>
              <w:keepLines w:val="0"/>
              <w:widowControl/>
              <w:suppressLineNumbers w:val="0"/>
              <w:jc w:val="center"/>
              <w:textAlignment w:val="center"/>
              <w:rPr>
                <w:rFonts w:hint="eastAsia" w:ascii="宋体" w:hAnsi="宋体" w:cs="宋体"/>
                <w:color w:val="000000"/>
                <w:kern w:val="0"/>
                <w:sz w:val="20"/>
                <w:szCs w:val="20"/>
                <w:lang w:bidi="ar"/>
              </w:rPr>
            </w:pPr>
          </w:p>
        </w:tc>
        <w:tc>
          <w:tcPr>
            <w:tcW w:w="396" w:type="pct"/>
          </w:tcPr>
          <w:p w14:paraId="1128E525">
            <w:pPr>
              <w:spacing w:after="78" w:afterLines="25" w:line="300" w:lineRule="auto"/>
              <w:rPr>
                <w:rFonts w:ascii="Arial" w:hAnsi="Arial" w:eastAsia="宋体" w:cs="Times New Roman"/>
                <w:szCs w:val="24"/>
              </w:rPr>
            </w:pPr>
          </w:p>
        </w:tc>
        <w:tc>
          <w:tcPr>
            <w:tcW w:w="527" w:type="pct"/>
          </w:tcPr>
          <w:p w14:paraId="4D4507CF">
            <w:pPr>
              <w:spacing w:after="78" w:afterLines="25" w:line="300" w:lineRule="auto"/>
              <w:rPr>
                <w:rFonts w:ascii="Arial" w:hAnsi="Arial" w:eastAsia="宋体" w:cs="Times New Roman"/>
                <w:szCs w:val="24"/>
              </w:rPr>
            </w:pPr>
          </w:p>
        </w:tc>
        <w:tc>
          <w:tcPr>
            <w:tcW w:w="527" w:type="pct"/>
            <w:vMerge w:val="continue"/>
          </w:tcPr>
          <w:p w14:paraId="47ED3978">
            <w:pPr>
              <w:spacing w:after="78" w:afterLines="25" w:line="300" w:lineRule="auto"/>
              <w:rPr>
                <w:rFonts w:ascii="Arial" w:hAnsi="Arial" w:eastAsia="宋体" w:cs="Times New Roman"/>
                <w:szCs w:val="24"/>
              </w:rPr>
            </w:pPr>
          </w:p>
        </w:tc>
      </w:tr>
      <w:tr w14:paraId="14B53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36" w:type="dxa"/>
            <w:vAlign w:val="center"/>
          </w:tcPr>
          <w:p w14:paraId="0DB9230F">
            <w:pPr>
              <w:keepNext w:val="0"/>
              <w:keepLines w:val="0"/>
              <w:widowControl/>
              <w:suppressLineNumbers w:val="0"/>
              <w:jc w:val="center"/>
              <w:textAlignment w:val="center"/>
              <w:rPr>
                <w:rFonts w:hint="eastAsia" w:ascii="Arial" w:hAnsi="Arial" w:eastAsia="宋体" w:cs="Times New Roman"/>
                <w:szCs w:val="24"/>
              </w:rPr>
            </w:pPr>
            <w:r>
              <w:rPr>
                <w:rFonts w:hint="eastAsia" w:ascii="宋体" w:hAnsi="宋体" w:eastAsia="宋体" w:cs="宋体"/>
                <w:i w:val="0"/>
                <w:iCs w:val="0"/>
                <w:color w:val="000000"/>
                <w:kern w:val="0"/>
                <w:sz w:val="22"/>
                <w:szCs w:val="22"/>
                <w:u w:val="none"/>
                <w:lang w:val="en-US" w:eastAsia="zh-CN" w:bidi="ar"/>
              </w:rPr>
              <w:t>7</w:t>
            </w:r>
          </w:p>
        </w:tc>
        <w:tc>
          <w:tcPr>
            <w:tcW w:w="1519" w:type="dxa"/>
            <w:vAlign w:val="center"/>
          </w:tcPr>
          <w:p w14:paraId="7CD42BFA">
            <w:pPr>
              <w:keepNext w:val="0"/>
              <w:keepLines w:val="0"/>
              <w:widowControl/>
              <w:suppressLineNumbers w:val="0"/>
              <w:jc w:val="center"/>
              <w:textAlignment w:val="center"/>
              <w:rPr>
                <w:rFonts w:hint="eastAsia"/>
                <w:bCs/>
                <w:szCs w:val="21"/>
              </w:rPr>
            </w:pPr>
          </w:p>
        </w:tc>
        <w:tc>
          <w:tcPr>
            <w:tcW w:w="409" w:type="pct"/>
          </w:tcPr>
          <w:p w14:paraId="4D228A0F">
            <w:pPr>
              <w:spacing w:after="78" w:afterLines="25" w:line="300" w:lineRule="auto"/>
              <w:rPr>
                <w:rFonts w:ascii="Arial" w:hAnsi="Arial" w:eastAsia="宋体" w:cs="Times New Roman"/>
                <w:szCs w:val="24"/>
              </w:rPr>
            </w:pPr>
          </w:p>
        </w:tc>
        <w:tc>
          <w:tcPr>
            <w:tcW w:w="478" w:type="pct"/>
          </w:tcPr>
          <w:p w14:paraId="4A7505EB">
            <w:pPr>
              <w:spacing w:after="78" w:afterLines="25" w:line="300" w:lineRule="auto"/>
              <w:rPr>
                <w:rFonts w:ascii="Arial" w:hAnsi="Arial" w:eastAsia="宋体" w:cs="Times New Roman"/>
                <w:szCs w:val="24"/>
              </w:rPr>
            </w:pPr>
          </w:p>
        </w:tc>
        <w:tc>
          <w:tcPr>
            <w:tcW w:w="529" w:type="pct"/>
          </w:tcPr>
          <w:p w14:paraId="61ADE8A1">
            <w:pPr>
              <w:spacing w:after="78" w:afterLines="25" w:line="300" w:lineRule="auto"/>
              <w:rPr>
                <w:rFonts w:ascii="Arial" w:hAnsi="Arial" w:eastAsia="宋体" w:cs="Times New Roman"/>
                <w:szCs w:val="24"/>
              </w:rPr>
            </w:pPr>
          </w:p>
        </w:tc>
        <w:tc>
          <w:tcPr>
            <w:tcW w:w="395" w:type="pct"/>
          </w:tcPr>
          <w:p w14:paraId="7E856785">
            <w:pPr>
              <w:spacing w:after="78" w:afterLines="25" w:line="300" w:lineRule="auto"/>
              <w:rPr>
                <w:rFonts w:ascii="Arial" w:hAnsi="Arial" w:eastAsia="宋体" w:cs="Times New Roman"/>
                <w:szCs w:val="24"/>
              </w:rPr>
            </w:pPr>
          </w:p>
        </w:tc>
        <w:tc>
          <w:tcPr>
            <w:tcW w:w="462" w:type="dxa"/>
            <w:vAlign w:val="center"/>
          </w:tcPr>
          <w:p w14:paraId="3A30C88A">
            <w:pPr>
              <w:keepNext w:val="0"/>
              <w:keepLines w:val="0"/>
              <w:widowControl/>
              <w:suppressLineNumbers w:val="0"/>
              <w:jc w:val="center"/>
              <w:textAlignment w:val="center"/>
              <w:rPr>
                <w:rFonts w:hint="eastAsia" w:ascii="宋体" w:hAnsi="宋体" w:cs="宋体"/>
                <w:color w:val="000000"/>
                <w:kern w:val="0"/>
                <w:sz w:val="20"/>
                <w:szCs w:val="20"/>
                <w:lang w:val="en-US" w:eastAsia="zh-CN" w:bidi="ar"/>
              </w:rPr>
            </w:pPr>
          </w:p>
        </w:tc>
        <w:tc>
          <w:tcPr>
            <w:tcW w:w="462" w:type="dxa"/>
            <w:vAlign w:val="center"/>
          </w:tcPr>
          <w:p w14:paraId="0F547911">
            <w:pPr>
              <w:keepNext w:val="0"/>
              <w:keepLines w:val="0"/>
              <w:widowControl/>
              <w:suppressLineNumbers w:val="0"/>
              <w:jc w:val="center"/>
              <w:textAlignment w:val="center"/>
              <w:rPr>
                <w:rFonts w:hint="eastAsia" w:ascii="宋体" w:hAnsi="宋体" w:cs="宋体"/>
                <w:color w:val="000000"/>
                <w:kern w:val="0"/>
                <w:sz w:val="20"/>
                <w:szCs w:val="20"/>
                <w:lang w:bidi="ar"/>
              </w:rPr>
            </w:pPr>
          </w:p>
        </w:tc>
        <w:tc>
          <w:tcPr>
            <w:tcW w:w="396" w:type="pct"/>
          </w:tcPr>
          <w:p w14:paraId="1F23458F">
            <w:pPr>
              <w:spacing w:after="78" w:afterLines="25" w:line="300" w:lineRule="auto"/>
              <w:rPr>
                <w:rFonts w:ascii="Arial" w:hAnsi="Arial" w:eastAsia="宋体" w:cs="Times New Roman"/>
                <w:szCs w:val="24"/>
              </w:rPr>
            </w:pPr>
          </w:p>
        </w:tc>
        <w:tc>
          <w:tcPr>
            <w:tcW w:w="527" w:type="pct"/>
          </w:tcPr>
          <w:p w14:paraId="678AF06A">
            <w:pPr>
              <w:spacing w:after="78" w:afterLines="25" w:line="300" w:lineRule="auto"/>
              <w:rPr>
                <w:rFonts w:ascii="Arial" w:hAnsi="Arial" w:eastAsia="宋体" w:cs="Times New Roman"/>
                <w:szCs w:val="24"/>
              </w:rPr>
            </w:pPr>
          </w:p>
        </w:tc>
        <w:tc>
          <w:tcPr>
            <w:tcW w:w="527" w:type="pct"/>
            <w:vMerge w:val="continue"/>
          </w:tcPr>
          <w:p w14:paraId="696AA7CA">
            <w:pPr>
              <w:spacing w:after="78" w:afterLines="25" w:line="300" w:lineRule="auto"/>
              <w:rPr>
                <w:rFonts w:ascii="Arial" w:hAnsi="Arial" w:eastAsia="宋体" w:cs="Times New Roman"/>
                <w:szCs w:val="24"/>
              </w:rPr>
            </w:pPr>
          </w:p>
        </w:tc>
      </w:tr>
      <w:tr w14:paraId="50FDD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36" w:type="dxa"/>
            <w:vAlign w:val="center"/>
          </w:tcPr>
          <w:p w14:paraId="4375C18D">
            <w:pPr>
              <w:keepNext w:val="0"/>
              <w:keepLines w:val="0"/>
              <w:widowControl/>
              <w:suppressLineNumbers w:val="0"/>
              <w:jc w:val="center"/>
              <w:textAlignment w:val="center"/>
              <w:rPr>
                <w:rFonts w:hint="eastAsia" w:ascii="Arial" w:hAnsi="Arial" w:eastAsia="宋体" w:cs="Times New Roman"/>
                <w:szCs w:val="24"/>
              </w:rPr>
            </w:pPr>
            <w:r>
              <w:rPr>
                <w:rFonts w:hint="eastAsia" w:ascii="宋体" w:hAnsi="宋体" w:eastAsia="宋体" w:cs="宋体"/>
                <w:i w:val="0"/>
                <w:iCs w:val="0"/>
                <w:color w:val="000000"/>
                <w:kern w:val="0"/>
                <w:sz w:val="22"/>
                <w:szCs w:val="22"/>
                <w:u w:val="none"/>
                <w:lang w:val="en-US" w:eastAsia="zh-CN" w:bidi="ar"/>
              </w:rPr>
              <w:t>8</w:t>
            </w:r>
          </w:p>
        </w:tc>
        <w:tc>
          <w:tcPr>
            <w:tcW w:w="1519" w:type="dxa"/>
            <w:vAlign w:val="center"/>
          </w:tcPr>
          <w:p w14:paraId="2A9E308E">
            <w:pPr>
              <w:keepNext w:val="0"/>
              <w:keepLines w:val="0"/>
              <w:widowControl/>
              <w:suppressLineNumbers w:val="0"/>
              <w:jc w:val="center"/>
              <w:textAlignment w:val="center"/>
              <w:rPr>
                <w:rFonts w:hint="eastAsia"/>
                <w:bCs/>
                <w:szCs w:val="21"/>
              </w:rPr>
            </w:pPr>
          </w:p>
        </w:tc>
        <w:tc>
          <w:tcPr>
            <w:tcW w:w="409" w:type="pct"/>
          </w:tcPr>
          <w:p w14:paraId="7EF35495">
            <w:pPr>
              <w:spacing w:after="78" w:afterLines="25" w:line="300" w:lineRule="auto"/>
              <w:rPr>
                <w:rFonts w:ascii="Arial" w:hAnsi="Arial" w:eastAsia="宋体" w:cs="Times New Roman"/>
                <w:szCs w:val="24"/>
              </w:rPr>
            </w:pPr>
          </w:p>
        </w:tc>
        <w:tc>
          <w:tcPr>
            <w:tcW w:w="478" w:type="pct"/>
          </w:tcPr>
          <w:p w14:paraId="750678E6">
            <w:pPr>
              <w:spacing w:after="78" w:afterLines="25" w:line="300" w:lineRule="auto"/>
              <w:rPr>
                <w:rFonts w:ascii="Arial" w:hAnsi="Arial" w:eastAsia="宋体" w:cs="Times New Roman"/>
                <w:szCs w:val="24"/>
              </w:rPr>
            </w:pPr>
          </w:p>
        </w:tc>
        <w:tc>
          <w:tcPr>
            <w:tcW w:w="529" w:type="pct"/>
          </w:tcPr>
          <w:p w14:paraId="6A991C93">
            <w:pPr>
              <w:spacing w:after="78" w:afterLines="25" w:line="300" w:lineRule="auto"/>
              <w:rPr>
                <w:rFonts w:ascii="Arial" w:hAnsi="Arial" w:eastAsia="宋体" w:cs="Times New Roman"/>
                <w:szCs w:val="24"/>
              </w:rPr>
            </w:pPr>
          </w:p>
        </w:tc>
        <w:tc>
          <w:tcPr>
            <w:tcW w:w="395" w:type="pct"/>
          </w:tcPr>
          <w:p w14:paraId="075C128A">
            <w:pPr>
              <w:spacing w:after="78" w:afterLines="25" w:line="300" w:lineRule="auto"/>
              <w:rPr>
                <w:rFonts w:ascii="Arial" w:hAnsi="Arial" w:eastAsia="宋体" w:cs="Times New Roman"/>
                <w:szCs w:val="24"/>
              </w:rPr>
            </w:pPr>
          </w:p>
        </w:tc>
        <w:tc>
          <w:tcPr>
            <w:tcW w:w="462" w:type="dxa"/>
            <w:vAlign w:val="center"/>
          </w:tcPr>
          <w:p w14:paraId="0E4EDDD3">
            <w:pPr>
              <w:keepNext w:val="0"/>
              <w:keepLines w:val="0"/>
              <w:widowControl/>
              <w:suppressLineNumbers w:val="0"/>
              <w:jc w:val="center"/>
              <w:textAlignment w:val="center"/>
              <w:rPr>
                <w:rFonts w:hint="eastAsia" w:ascii="宋体" w:hAnsi="宋体" w:cs="宋体"/>
                <w:color w:val="000000"/>
                <w:kern w:val="0"/>
                <w:sz w:val="20"/>
                <w:szCs w:val="20"/>
                <w:lang w:val="en-US" w:eastAsia="zh-CN" w:bidi="ar"/>
              </w:rPr>
            </w:pPr>
          </w:p>
        </w:tc>
        <w:tc>
          <w:tcPr>
            <w:tcW w:w="462" w:type="dxa"/>
            <w:vAlign w:val="center"/>
          </w:tcPr>
          <w:p w14:paraId="61F874A3">
            <w:pPr>
              <w:keepNext w:val="0"/>
              <w:keepLines w:val="0"/>
              <w:widowControl/>
              <w:suppressLineNumbers w:val="0"/>
              <w:jc w:val="center"/>
              <w:textAlignment w:val="center"/>
              <w:rPr>
                <w:rFonts w:hint="eastAsia" w:ascii="宋体" w:hAnsi="宋体" w:cs="宋体"/>
                <w:color w:val="000000"/>
                <w:kern w:val="0"/>
                <w:sz w:val="20"/>
                <w:szCs w:val="20"/>
                <w:lang w:bidi="ar"/>
              </w:rPr>
            </w:pPr>
          </w:p>
        </w:tc>
        <w:tc>
          <w:tcPr>
            <w:tcW w:w="396" w:type="pct"/>
          </w:tcPr>
          <w:p w14:paraId="2A60BE90">
            <w:pPr>
              <w:spacing w:after="78" w:afterLines="25" w:line="300" w:lineRule="auto"/>
              <w:rPr>
                <w:rFonts w:ascii="Arial" w:hAnsi="Arial" w:eastAsia="宋体" w:cs="Times New Roman"/>
                <w:szCs w:val="24"/>
              </w:rPr>
            </w:pPr>
          </w:p>
        </w:tc>
        <w:tc>
          <w:tcPr>
            <w:tcW w:w="527" w:type="pct"/>
          </w:tcPr>
          <w:p w14:paraId="4496C1E4">
            <w:pPr>
              <w:spacing w:after="78" w:afterLines="25" w:line="300" w:lineRule="auto"/>
              <w:rPr>
                <w:rFonts w:ascii="Arial" w:hAnsi="Arial" w:eastAsia="宋体" w:cs="Times New Roman"/>
                <w:szCs w:val="24"/>
              </w:rPr>
            </w:pPr>
          </w:p>
        </w:tc>
        <w:tc>
          <w:tcPr>
            <w:tcW w:w="527" w:type="pct"/>
            <w:vMerge w:val="continue"/>
          </w:tcPr>
          <w:p w14:paraId="0F22FD28">
            <w:pPr>
              <w:spacing w:after="78" w:afterLines="25" w:line="300" w:lineRule="auto"/>
              <w:rPr>
                <w:rFonts w:ascii="Arial" w:hAnsi="Arial" w:eastAsia="宋体" w:cs="Times New Roman"/>
                <w:szCs w:val="24"/>
              </w:rPr>
            </w:pPr>
          </w:p>
        </w:tc>
      </w:tr>
      <w:tr w14:paraId="0446C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36" w:type="dxa"/>
            <w:vAlign w:val="center"/>
          </w:tcPr>
          <w:p w14:paraId="2E1F5CDA">
            <w:pPr>
              <w:keepNext w:val="0"/>
              <w:keepLines w:val="0"/>
              <w:widowControl/>
              <w:suppressLineNumbers w:val="0"/>
              <w:jc w:val="center"/>
              <w:textAlignment w:val="center"/>
              <w:rPr>
                <w:rFonts w:hint="eastAsia" w:ascii="Arial" w:hAnsi="Arial" w:eastAsia="宋体" w:cs="Times New Roman"/>
                <w:szCs w:val="24"/>
              </w:rPr>
            </w:pPr>
            <w:r>
              <w:rPr>
                <w:rFonts w:hint="eastAsia" w:ascii="宋体" w:hAnsi="宋体" w:eastAsia="宋体" w:cs="宋体"/>
                <w:i w:val="0"/>
                <w:iCs w:val="0"/>
                <w:color w:val="000000"/>
                <w:kern w:val="0"/>
                <w:sz w:val="22"/>
                <w:szCs w:val="22"/>
                <w:u w:val="none"/>
                <w:lang w:val="en-US" w:eastAsia="zh-CN" w:bidi="ar"/>
              </w:rPr>
              <w:t>9</w:t>
            </w:r>
          </w:p>
        </w:tc>
        <w:tc>
          <w:tcPr>
            <w:tcW w:w="1519" w:type="dxa"/>
            <w:vAlign w:val="center"/>
          </w:tcPr>
          <w:p w14:paraId="12899F3C">
            <w:pPr>
              <w:keepNext w:val="0"/>
              <w:keepLines w:val="0"/>
              <w:widowControl/>
              <w:suppressLineNumbers w:val="0"/>
              <w:jc w:val="center"/>
              <w:textAlignment w:val="center"/>
              <w:rPr>
                <w:rFonts w:hint="eastAsia"/>
                <w:bCs/>
                <w:szCs w:val="21"/>
              </w:rPr>
            </w:pPr>
          </w:p>
        </w:tc>
        <w:tc>
          <w:tcPr>
            <w:tcW w:w="409" w:type="pct"/>
          </w:tcPr>
          <w:p w14:paraId="6DA0DB6B">
            <w:pPr>
              <w:spacing w:after="78" w:afterLines="25" w:line="300" w:lineRule="auto"/>
              <w:rPr>
                <w:rFonts w:ascii="Arial" w:hAnsi="Arial" w:eastAsia="宋体" w:cs="Times New Roman"/>
                <w:szCs w:val="24"/>
              </w:rPr>
            </w:pPr>
          </w:p>
        </w:tc>
        <w:tc>
          <w:tcPr>
            <w:tcW w:w="478" w:type="pct"/>
          </w:tcPr>
          <w:p w14:paraId="619E86C3">
            <w:pPr>
              <w:spacing w:after="78" w:afterLines="25" w:line="300" w:lineRule="auto"/>
              <w:rPr>
                <w:rFonts w:ascii="Arial" w:hAnsi="Arial" w:eastAsia="宋体" w:cs="Times New Roman"/>
                <w:szCs w:val="24"/>
              </w:rPr>
            </w:pPr>
          </w:p>
        </w:tc>
        <w:tc>
          <w:tcPr>
            <w:tcW w:w="529" w:type="pct"/>
          </w:tcPr>
          <w:p w14:paraId="53A078E0">
            <w:pPr>
              <w:spacing w:after="78" w:afterLines="25" w:line="300" w:lineRule="auto"/>
              <w:rPr>
                <w:rFonts w:ascii="Arial" w:hAnsi="Arial" w:eastAsia="宋体" w:cs="Times New Roman"/>
                <w:szCs w:val="24"/>
              </w:rPr>
            </w:pPr>
          </w:p>
        </w:tc>
        <w:tc>
          <w:tcPr>
            <w:tcW w:w="395" w:type="pct"/>
          </w:tcPr>
          <w:p w14:paraId="2AE07914">
            <w:pPr>
              <w:spacing w:after="78" w:afterLines="25" w:line="300" w:lineRule="auto"/>
              <w:rPr>
                <w:rFonts w:ascii="Arial" w:hAnsi="Arial" w:eastAsia="宋体" w:cs="Times New Roman"/>
                <w:szCs w:val="24"/>
              </w:rPr>
            </w:pPr>
          </w:p>
        </w:tc>
        <w:tc>
          <w:tcPr>
            <w:tcW w:w="462" w:type="dxa"/>
            <w:vAlign w:val="center"/>
          </w:tcPr>
          <w:p w14:paraId="174D39C5">
            <w:pPr>
              <w:keepNext w:val="0"/>
              <w:keepLines w:val="0"/>
              <w:widowControl/>
              <w:suppressLineNumbers w:val="0"/>
              <w:jc w:val="center"/>
              <w:textAlignment w:val="center"/>
              <w:rPr>
                <w:rFonts w:hint="eastAsia" w:ascii="宋体" w:hAnsi="宋体" w:cs="宋体"/>
                <w:color w:val="000000"/>
                <w:kern w:val="0"/>
                <w:sz w:val="20"/>
                <w:szCs w:val="20"/>
                <w:lang w:val="en-US" w:eastAsia="zh-CN" w:bidi="ar"/>
              </w:rPr>
            </w:pPr>
          </w:p>
        </w:tc>
        <w:tc>
          <w:tcPr>
            <w:tcW w:w="462" w:type="dxa"/>
            <w:vAlign w:val="center"/>
          </w:tcPr>
          <w:p w14:paraId="1D0BD47B">
            <w:pPr>
              <w:keepNext w:val="0"/>
              <w:keepLines w:val="0"/>
              <w:widowControl/>
              <w:suppressLineNumbers w:val="0"/>
              <w:jc w:val="center"/>
              <w:textAlignment w:val="center"/>
              <w:rPr>
                <w:rFonts w:hint="eastAsia" w:ascii="宋体" w:hAnsi="宋体" w:cs="宋体"/>
                <w:color w:val="000000"/>
                <w:kern w:val="0"/>
                <w:sz w:val="20"/>
                <w:szCs w:val="20"/>
                <w:lang w:bidi="ar"/>
              </w:rPr>
            </w:pPr>
          </w:p>
        </w:tc>
        <w:tc>
          <w:tcPr>
            <w:tcW w:w="396" w:type="pct"/>
          </w:tcPr>
          <w:p w14:paraId="56B8C43B">
            <w:pPr>
              <w:spacing w:after="78" w:afterLines="25" w:line="300" w:lineRule="auto"/>
              <w:rPr>
                <w:rFonts w:ascii="Arial" w:hAnsi="Arial" w:eastAsia="宋体" w:cs="Times New Roman"/>
                <w:szCs w:val="24"/>
              </w:rPr>
            </w:pPr>
          </w:p>
        </w:tc>
        <w:tc>
          <w:tcPr>
            <w:tcW w:w="527" w:type="pct"/>
          </w:tcPr>
          <w:p w14:paraId="610D26D2">
            <w:pPr>
              <w:spacing w:after="78" w:afterLines="25" w:line="300" w:lineRule="auto"/>
              <w:rPr>
                <w:rFonts w:ascii="Arial" w:hAnsi="Arial" w:eastAsia="宋体" w:cs="Times New Roman"/>
                <w:szCs w:val="24"/>
              </w:rPr>
            </w:pPr>
          </w:p>
        </w:tc>
        <w:tc>
          <w:tcPr>
            <w:tcW w:w="527" w:type="pct"/>
            <w:vMerge w:val="continue"/>
          </w:tcPr>
          <w:p w14:paraId="1EEF07DE">
            <w:pPr>
              <w:spacing w:after="78" w:afterLines="25" w:line="300" w:lineRule="auto"/>
              <w:rPr>
                <w:rFonts w:ascii="Arial" w:hAnsi="Arial" w:eastAsia="宋体" w:cs="Times New Roman"/>
                <w:szCs w:val="24"/>
              </w:rPr>
            </w:pPr>
          </w:p>
        </w:tc>
      </w:tr>
      <w:tr w14:paraId="29091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36" w:type="dxa"/>
            <w:vAlign w:val="center"/>
          </w:tcPr>
          <w:p w14:paraId="3B96A611">
            <w:pPr>
              <w:keepNext w:val="0"/>
              <w:keepLines w:val="0"/>
              <w:widowControl/>
              <w:suppressLineNumbers w:val="0"/>
              <w:jc w:val="center"/>
              <w:textAlignment w:val="center"/>
              <w:rPr>
                <w:rFonts w:hint="eastAsia" w:ascii="Arial" w:hAnsi="Arial" w:eastAsia="宋体" w:cs="Times New Roman"/>
                <w:szCs w:val="24"/>
              </w:rPr>
            </w:pPr>
            <w:r>
              <w:rPr>
                <w:rFonts w:hint="eastAsia" w:ascii="宋体" w:hAnsi="宋体" w:eastAsia="宋体" w:cs="宋体"/>
                <w:i w:val="0"/>
                <w:iCs w:val="0"/>
                <w:color w:val="000000"/>
                <w:kern w:val="0"/>
                <w:sz w:val="22"/>
                <w:szCs w:val="22"/>
                <w:u w:val="none"/>
                <w:lang w:val="en-US" w:eastAsia="zh-CN" w:bidi="ar"/>
              </w:rPr>
              <w:t>10</w:t>
            </w:r>
          </w:p>
        </w:tc>
        <w:tc>
          <w:tcPr>
            <w:tcW w:w="1519" w:type="dxa"/>
            <w:vAlign w:val="center"/>
          </w:tcPr>
          <w:p w14:paraId="1871AA77">
            <w:pPr>
              <w:keepNext w:val="0"/>
              <w:keepLines w:val="0"/>
              <w:widowControl/>
              <w:suppressLineNumbers w:val="0"/>
              <w:jc w:val="center"/>
              <w:textAlignment w:val="center"/>
              <w:rPr>
                <w:rFonts w:hint="eastAsia"/>
                <w:bCs/>
                <w:szCs w:val="21"/>
              </w:rPr>
            </w:pPr>
          </w:p>
        </w:tc>
        <w:tc>
          <w:tcPr>
            <w:tcW w:w="409" w:type="pct"/>
          </w:tcPr>
          <w:p w14:paraId="2EF71393">
            <w:pPr>
              <w:spacing w:after="78" w:afterLines="25" w:line="300" w:lineRule="auto"/>
              <w:rPr>
                <w:rFonts w:ascii="Arial" w:hAnsi="Arial" w:eastAsia="宋体" w:cs="Times New Roman"/>
                <w:szCs w:val="24"/>
              </w:rPr>
            </w:pPr>
          </w:p>
        </w:tc>
        <w:tc>
          <w:tcPr>
            <w:tcW w:w="478" w:type="pct"/>
          </w:tcPr>
          <w:p w14:paraId="2FF39780">
            <w:pPr>
              <w:spacing w:after="78" w:afterLines="25" w:line="300" w:lineRule="auto"/>
              <w:rPr>
                <w:rFonts w:ascii="Arial" w:hAnsi="Arial" w:eastAsia="宋体" w:cs="Times New Roman"/>
                <w:szCs w:val="24"/>
              </w:rPr>
            </w:pPr>
          </w:p>
        </w:tc>
        <w:tc>
          <w:tcPr>
            <w:tcW w:w="529" w:type="pct"/>
          </w:tcPr>
          <w:p w14:paraId="3BD7918D">
            <w:pPr>
              <w:spacing w:after="78" w:afterLines="25" w:line="300" w:lineRule="auto"/>
              <w:rPr>
                <w:rFonts w:ascii="Arial" w:hAnsi="Arial" w:eastAsia="宋体" w:cs="Times New Roman"/>
                <w:szCs w:val="24"/>
              </w:rPr>
            </w:pPr>
          </w:p>
        </w:tc>
        <w:tc>
          <w:tcPr>
            <w:tcW w:w="395" w:type="pct"/>
          </w:tcPr>
          <w:p w14:paraId="2C2A76FB">
            <w:pPr>
              <w:spacing w:after="78" w:afterLines="25" w:line="300" w:lineRule="auto"/>
              <w:rPr>
                <w:rFonts w:ascii="Arial" w:hAnsi="Arial" w:eastAsia="宋体" w:cs="Times New Roman"/>
                <w:szCs w:val="24"/>
              </w:rPr>
            </w:pPr>
          </w:p>
        </w:tc>
        <w:tc>
          <w:tcPr>
            <w:tcW w:w="462" w:type="dxa"/>
            <w:vAlign w:val="center"/>
          </w:tcPr>
          <w:p w14:paraId="513BCE47">
            <w:pPr>
              <w:keepNext w:val="0"/>
              <w:keepLines w:val="0"/>
              <w:widowControl/>
              <w:suppressLineNumbers w:val="0"/>
              <w:jc w:val="center"/>
              <w:textAlignment w:val="center"/>
              <w:rPr>
                <w:rFonts w:hint="eastAsia" w:ascii="宋体" w:hAnsi="宋体" w:cs="宋体"/>
                <w:color w:val="000000"/>
                <w:kern w:val="0"/>
                <w:sz w:val="20"/>
                <w:szCs w:val="20"/>
                <w:lang w:val="en-US" w:eastAsia="zh-CN" w:bidi="ar"/>
              </w:rPr>
            </w:pPr>
          </w:p>
        </w:tc>
        <w:tc>
          <w:tcPr>
            <w:tcW w:w="462" w:type="dxa"/>
            <w:vAlign w:val="center"/>
          </w:tcPr>
          <w:p w14:paraId="68C277F1">
            <w:pPr>
              <w:keepNext w:val="0"/>
              <w:keepLines w:val="0"/>
              <w:widowControl/>
              <w:suppressLineNumbers w:val="0"/>
              <w:jc w:val="center"/>
              <w:textAlignment w:val="center"/>
              <w:rPr>
                <w:rFonts w:hint="eastAsia" w:ascii="宋体" w:hAnsi="宋体" w:cs="宋体"/>
                <w:color w:val="000000"/>
                <w:kern w:val="0"/>
                <w:sz w:val="20"/>
                <w:szCs w:val="20"/>
                <w:lang w:bidi="ar"/>
              </w:rPr>
            </w:pPr>
          </w:p>
        </w:tc>
        <w:tc>
          <w:tcPr>
            <w:tcW w:w="396" w:type="pct"/>
          </w:tcPr>
          <w:p w14:paraId="18F48D02">
            <w:pPr>
              <w:spacing w:after="78" w:afterLines="25" w:line="300" w:lineRule="auto"/>
              <w:rPr>
                <w:rFonts w:ascii="Arial" w:hAnsi="Arial" w:eastAsia="宋体" w:cs="Times New Roman"/>
                <w:szCs w:val="24"/>
              </w:rPr>
            </w:pPr>
          </w:p>
        </w:tc>
        <w:tc>
          <w:tcPr>
            <w:tcW w:w="527" w:type="pct"/>
          </w:tcPr>
          <w:p w14:paraId="5BDE8B7E">
            <w:pPr>
              <w:spacing w:after="78" w:afterLines="25" w:line="300" w:lineRule="auto"/>
              <w:rPr>
                <w:rFonts w:ascii="Arial" w:hAnsi="Arial" w:eastAsia="宋体" w:cs="Times New Roman"/>
                <w:szCs w:val="24"/>
              </w:rPr>
            </w:pPr>
          </w:p>
        </w:tc>
        <w:tc>
          <w:tcPr>
            <w:tcW w:w="527" w:type="pct"/>
            <w:vMerge w:val="continue"/>
          </w:tcPr>
          <w:p w14:paraId="004F3F78">
            <w:pPr>
              <w:spacing w:after="78" w:afterLines="25" w:line="300" w:lineRule="auto"/>
              <w:rPr>
                <w:rFonts w:ascii="Arial" w:hAnsi="Arial" w:eastAsia="宋体" w:cs="Times New Roman"/>
                <w:szCs w:val="24"/>
              </w:rPr>
            </w:pPr>
          </w:p>
        </w:tc>
      </w:tr>
      <w:tr w14:paraId="0C14D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36" w:type="dxa"/>
            <w:vAlign w:val="center"/>
          </w:tcPr>
          <w:p w14:paraId="7DA98920">
            <w:pPr>
              <w:keepNext w:val="0"/>
              <w:keepLines w:val="0"/>
              <w:widowControl/>
              <w:suppressLineNumbers w:val="0"/>
              <w:jc w:val="center"/>
              <w:textAlignment w:val="center"/>
              <w:rPr>
                <w:rFonts w:hint="eastAsia" w:ascii="Arial" w:hAnsi="Arial" w:eastAsia="宋体" w:cs="Times New Roman"/>
                <w:szCs w:val="24"/>
              </w:rPr>
            </w:pPr>
          </w:p>
        </w:tc>
        <w:tc>
          <w:tcPr>
            <w:tcW w:w="1519" w:type="dxa"/>
            <w:vAlign w:val="center"/>
          </w:tcPr>
          <w:p w14:paraId="055C1422">
            <w:pPr>
              <w:keepNext w:val="0"/>
              <w:keepLines w:val="0"/>
              <w:widowControl/>
              <w:suppressLineNumbers w:val="0"/>
              <w:jc w:val="center"/>
              <w:textAlignment w:val="center"/>
              <w:rPr>
                <w:rFonts w:hint="eastAsia"/>
                <w:bCs/>
                <w:szCs w:val="21"/>
              </w:rPr>
            </w:pPr>
          </w:p>
        </w:tc>
        <w:tc>
          <w:tcPr>
            <w:tcW w:w="409" w:type="pct"/>
          </w:tcPr>
          <w:p w14:paraId="60E40792">
            <w:pPr>
              <w:spacing w:after="78" w:afterLines="25" w:line="300" w:lineRule="auto"/>
              <w:rPr>
                <w:rFonts w:ascii="Arial" w:hAnsi="Arial" w:eastAsia="宋体" w:cs="Times New Roman"/>
                <w:szCs w:val="24"/>
              </w:rPr>
            </w:pPr>
          </w:p>
        </w:tc>
        <w:tc>
          <w:tcPr>
            <w:tcW w:w="478" w:type="pct"/>
          </w:tcPr>
          <w:p w14:paraId="5E20D2CF">
            <w:pPr>
              <w:spacing w:after="78" w:afterLines="25" w:line="300" w:lineRule="auto"/>
              <w:rPr>
                <w:rFonts w:ascii="Arial" w:hAnsi="Arial" w:eastAsia="宋体" w:cs="Times New Roman"/>
                <w:szCs w:val="24"/>
              </w:rPr>
            </w:pPr>
          </w:p>
        </w:tc>
        <w:tc>
          <w:tcPr>
            <w:tcW w:w="529" w:type="pct"/>
          </w:tcPr>
          <w:p w14:paraId="1B31EB62">
            <w:pPr>
              <w:spacing w:after="78" w:afterLines="25" w:line="300" w:lineRule="auto"/>
              <w:rPr>
                <w:rFonts w:ascii="Arial" w:hAnsi="Arial" w:eastAsia="宋体" w:cs="Times New Roman"/>
                <w:szCs w:val="24"/>
              </w:rPr>
            </w:pPr>
          </w:p>
        </w:tc>
        <w:tc>
          <w:tcPr>
            <w:tcW w:w="395" w:type="pct"/>
          </w:tcPr>
          <w:p w14:paraId="757B2C10">
            <w:pPr>
              <w:spacing w:after="78" w:afterLines="25" w:line="300" w:lineRule="auto"/>
              <w:rPr>
                <w:rFonts w:ascii="Arial" w:hAnsi="Arial" w:eastAsia="宋体" w:cs="Times New Roman"/>
                <w:szCs w:val="24"/>
              </w:rPr>
            </w:pPr>
          </w:p>
        </w:tc>
        <w:tc>
          <w:tcPr>
            <w:tcW w:w="462" w:type="dxa"/>
            <w:vAlign w:val="center"/>
          </w:tcPr>
          <w:p w14:paraId="60B2300D">
            <w:pPr>
              <w:widowControl/>
              <w:jc w:val="center"/>
              <w:textAlignment w:val="center"/>
              <w:rPr>
                <w:rFonts w:hint="eastAsia" w:ascii="宋体" w:hAnsi="宋体" w:cs="宋体"/>
                <w:color w:val="000000"/>
                <w:kern w:val="0"/>
                <w:sz w:val="20"/>
                <w:szCs w:val="20"/>
                <w:lang w:val="en-US" w:eastAsia="zh-CN" w:bidi="ar"/>
              </w:rPr>
            </w:pPr>
          </w:p>
        </w:tc>
        <w:tc>
          <w:tcPr>
            <w:tcW w:w="462" w:type="dxa"/>
            <w:vAlign w:val="center"/>
          </w:tcPr>
          <w:p w14:paraId="5E9E24AD">
            <w:pPr>
              <w:widowControl/>
              <w:jc w:val="center"/>
              <w:textAlignment w:val="center"/>
              <w:rPr>
                <w:rFonts w:hint="eastAsia" w:ascii="宋体" w:hAnsi="宋体" w:cs="宋体"/>
                <w:color w:val="000000"/>
                <w:kern w:val="0"/>
                <w:sz w:val="20"/>
                <w:szCs w:val="20"/>
                <w:lang w:bidi="ar"/>
              </w:rPr>
            </w:pPr>
          </w:p>
        </w:tc>
        <w:tc>
          <w:tcPr>
            <w:tcW w:w="396" w:type="pct"/>
          </w:tcPr>
          <w:p w14:paraId="51CC1895">
            <w:pPr>
              <w:spacing w:after="78" w:afterLines="25" w:line="300" w:lineRule="auto"/>
              <w:rPr>
                <w:rFonts w:ascii="Arial" w:hAnsi="Arial" w:eastAsia="宋体" w:cs="Times New Roman"/>
                <w:szCs w:val="24"/>
              </w:rPr>
            </w:pPr>
          </w:p>
        </w:tc>
        <w:tc>
          <w:tcPr>
            <w:tcW w:w="527" w:type="pct"/>
          </w:tcPr>
          <w:p w14:paraId="2F0994E3">
            <w:pPr>
              <w:spacing w:after="78" w:afterLines="25" w:line="300" w:lineRule="auto"/>
              <w:rPr>
                <w:rFonts w:ascii="Arial" w:hAnsi="Arial" w:eastAsia="宋体" w:cs="Times New Roman"/>
                <w:szCs w:val="24"/>
              </w:rPr>
            </w:pPr>
          </w:p>
        </w:tc>
        <w:tc>
          <w:tcPr>
            <w:tcW w:w="527" w:type="pct"/>
            <w:vMerge w:val="continue"/>
          </w:tcPr>
          <w:p w14:paraId="2B27E71B">
            <w:pPr>
              <w:spacing w:after="78" w:afterLines="25" w:line="300" w:lineRule="auto"/>
              <w:rPr>
                <w:rFonts w:ascii="Arial" w:hAnsi="Arial" w:eastAsia="宋体" w:cs="Times New Roman"/>
                <w:szCs w:val="24"/>
              </w:rPr>
            </w:pPr>
          </w:p>
        </w:tc>
      </w:tr>
      <w:tr w14:paraId="002A4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267" w:type="pct"/>
          </w:tcPr>
          <w:p w14:paraId="0ED0BB36">
            <w:pPr>
              <w:spacing w:after="78" w:afterLines="25" w:line="300" w:lineRule="auto"/>
              <w:jc w:val="center"/>
              <w:rPr>
                <w:rFonts w:ascii="Arial" w:hAnsi="Arial" w:eastAsia="宋体" w:cs="Times New Roman"/>
                <w:szCs w:val="24"/>
              </w:rPr>
            </w:pPr>
            <w:r>
              <w:rPr>
                <w:rFonts w:hint="eastAsia" w:ascii="Arial" w:hAnsi="Arial" w:eastAsia="宋体" w:cs="Times New Roman"/>
                <w:szCs w:val="24"/>
              </w:rPr>
              <w:t>……</w:t>
            </w:r>
          </w:p>
        </w:tc>
        <w:tc>
          <w:tcPr>
            <w:tcW w:w="903" w:type="pct"/>
          </w:tcPr>
          <w:p w14:paraId="2FE9C346">
            <w:pPr>
              <w:spacing w:after="78" w:afterLines="25" w:line="300" w:lineRule="auto"/>
              <w:rPr>
                <w:rFonts w:ascii="Arial" w:hAnsi="Arial" w:eastAsia="宋体" w:cs="Times New Roman"/>
                <w:b/>
                <w:szCs w:val="24"/>
              </w:rPr>
            </w:pPr>
          </w:p>
        </w:tc>
        <w:tc>
          <w:tcPr>
            <w:tcW w:w="409" w:type="pct"/>
          </w:tcPr>
          <w:p w14:paraId="4AAE2925">
            <w:pPr>
              <w:spacing w:after="78" w:afterLines="25" w:line="300" w:lineRule="auto"/>
              <w:rPr>
                <w:rFonts w:ascii="Arial" w:hAnsi="Arial" w:eastAsia="宋体" w:cs="Times New Roman"/>
                <w:szCs w:val="24"/>
              </w:rPr>
            </w:pPr>
          </w:p>
        </w:tc>
        <w:tc>
          <w:tcPr>
            <w:tcW w:w="478" w:type="pct"/>
          </w:tcPr>
          <w:p w14:paraId="0E4D461B">
            <w:pPr>
              <w:spacing w:after="78" w:afterLines="25" w:line="300" w:lineRule="auto"/>
              <w:rPr>
                <w:rFonts w:ascii="Arial" w:hAnsi="Arial" w:eastAsia="宋体" w:cs="Times New Roman"/>
                <w:szCs w:val="24"/>
              </w:rPr>
            </w:pPr>
          </w:p>
        </w:tc>
        <w:tc>
          <w:tcPr>
            <w:tcW w:w="529" w:type="pct"/>
          </w:tcPr>
          <w:p w14:paraId="329E7247">
            <w:pPr>
              <w:spacing w:after="78" w:afterLines="25" w:line="300" w:lineRule="auto"/>
              <w:rPr>
                <w:rFonts w:ascii="Arial" w:hAnsi="Arial" w:eastAsia="宋体" w:cs="Times New Roman"/>
                <w:szCs w:val="24"/>
              </w:rPr>
            </w:pPr>
          </w:p>
        </w:tc>
        <w:tc>
          <w:tcPr>
            <w:tcW w:w="395" w:type="pct"/>
          </w:tcPr>
          <w:p w14:paraId="792107D6">
            <w:pPr>
              <w:spacing w:after="78" w:afterLines="25" w:line="300" w:lineRule="auto"/>
              <w:rPr>
                <w:rFonts w:ascii="Arial" w:hAnsi="Arial" w:eastAsia="宋体" w:cs="Times New Roman"/>
                <w:szCs w:val="24"/>
              </w:rPr>
            </w:pPr>
          </w:p>
        </w:tc>
        <w:tc>
          <w:tcPr>
            <w:tcW w:w="282" w:type="pct"/>
          </w:tcPr>
          <w:p w14:paraId="6D0BEAC1">
            <w:pPr>
              <w:spacing w:after="78" w:afterLines="25" w:line="300" w:lineRule="auto"/>
              <w:rPr>
                <w:rFonts w:ascii="Arial" w:hAnsi="Arial" w:eastAsia="宋体" w:cs="Times New Roman"/>
                <w:szCs w:val="24"/>
              </w:rPr>
            </w:pPr>
          </w:p>
        </w:tc>
        <w:tc>
          <w:tcPr>
            <w:tcW w:w="282" w:type="pct"/>
          </w:tcPr>
          <w:p w14:paraId="57DB14F7">
            <w:pPr>
              <w:spacing w:after="78" w:afterLines="25" w:line="300" w:lineRule="auto"/>
              <w:rPr>
                <w:rFonts w:ascii="Arial" w:hAnsi="Arial" w:eastAsia="宋体" w:cs="Times New Roman"/>
                <w:szCs w:val="24"/>
              </w:rPr>
            </w:pPr>
          </w:p>
        </w:tc>
        <w:tc>
          <w:tcPr>
            <w:tcW w:w="396" w:type="pct"/>
          </w:tcPr>
          <w:p w14:paraId="37A036BE">
            <w:pPr>
              <w:spacing w:after="78" w:afterLines="25" w:line="300" w:lineRule="auto"/>
              <w:rPr>
                <w:rFonts w:ascii="Arial" w:hAnsi="Arial" w:eastAsia="宋体" w:cs="Times New Roman"/>
                <w:szCs w:val="24"/>
              </w:rPr>
            </w:pPr>
          </w:p>
        </w:tc>
        <w:tc>
          <w:tcPr>
            <w:tcW w:w="527" w:type="pct"/>
          </w:tcPr>
          <w:p w14:paraId="35EDCFE6">
            <w:pPr>
              <w:spacing w:after="78" w:afterLines="25" w:line="300" w:lineRule="auto"/>
              <w:rPr>
                <w:rFonts w:ascii="Arial" w:hAnsi="Arial" w:eastAsia="宋体" w:cs="Times New Roman"/>
                <w:szCs w:val="24"/>
              </w:rPr>
            </w:pPr>
          </w:p>
        </w:tc>
        <w:tc>
          <w:tcPr>
            <w:tcW w:w="527" w:type="pct"/>
            <w:vMerge w:val="continue"/>
          </w:tcPr>
          <w:p w14:paraId="66CA2A29">
            <w:pPr>
              <w:spacing w:after="78" w:afterLines="25" w:line="300" w:lineRule="auto"/>
              <w:rPr>
                <w:rFonts w:ascii="Arial" w:hAnsi="Arial" w:eastAsia="宋体" w:cs="Times New Roman"/>
                <w:szCs w:val="24"/>
              </w:rPr>
            </w:pPr>
          </w:p>
        </w:tc>
      </w:tr>
      <w:tr w14:paraId="70F6E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984" w:type="pct"/>
            <w:gridSpan w:val="6"/>
          </w:tcPr>
          <w:p w14:paraId="0388E8E5">
            <w:pPr>
              <w:spacing w:after="78" w:afterLines="25" w:line="300" w:lineRule="auto"/>
              <w:jc w:val="center"/>
              <w:rPr>
                <w:rFonts w:ascii="Arial" w:hAnsi="Arial" w:eastAsia="宋体" w:cs="Times New Roman"/>
                <w:szCs w:val="24"/>
              </w:rPr>
            </w:pPr>
            <w:r>
              <w:rPr>
                <w:rFonts w:hint="eastAsia" w:ascii="Arial" w:hAnsi="Arial" w:eastAsia="宋体" w:cs="Times New Roman"/>
                <w:b/>
                <w:szCs w:val="24"/>
              </w:rPr>
              <w:t>投标总价</w:t>
            </w:r>
            <w:r>
              <w:rPr>
                <w:rFonts w:hint="eastAsia" w:ascii="Arial" w:hAnsi="Arial" w:eastAsia="宋体" w:cs="Times New Roman"/>
                <w:szCs w:val="24"/>
              </w:rPr>
              <w:t>（以上各项之和；币种：人民币；单位：元）</w:t>
            </w:r>
          </w:p>
        </w:tc>
        <w:tc>
          <w:tcPr>
            <w:tcW w:w="2015" w:type="pct"/>
            <w:gridSpan w:val="5"/>
          </w:tcPr>
          <w:p w14:paraId="655100B8">
            <w:pPr>
              <w:spacing w:after="78" w:afterLines="25" w:line="300" w:lineRule="auto"/>
              <w:rPr>
                <w:rFonts w:ascii="Arial" w:hAnsi="Arial" w:eastAsia="宋体" w:cs="Times New Roman"/>
                <w:szCs w:val="24"/>
              </w:rPr>
            </w:pPr>
          </w:p>
        </w:tc>
      </w:tr>
    </w:tbl>
    <w:p w14:paraId="37211DEC">
      <w:pPr>
        <w:snapToGrid w:val="0"/>
        <w:rPr>
          <w:rFonts w:hint="eastAsia" w:cs="Times New Roman" w:asciiTheme="minorEastAsia" w:hAnsiTheme="minorEastAsia"/>
          <w:b/>
          <w:szCs w:val="24"/>
        </w:rPr>
      </w:pPr>
      <w:r>
        <w:rPr>
          <w:rFonts w:hint="eastAsia" w:cs="Times New Roman" w:asciiTheme="minorEastAsia" w:hAnsiTheme="minorEastAsia"/>
          <w:b/>
          <w:szCs w:val="24"/>
        </w:rPr>
        <w:t>填写说明：</w:t>
      </w:r>
    </w:p>
    <w:p w14:paraId="61691F56">
      <w:pPr>
        <w:snapToGrid w:val="0"/>
        <w:rPr>
          <w:rFonts w:hint="eastAsia" w:cs="Times New Roman" w:asciiTheme="minorEastAsia" w:hAnsiTheme="minorEastAsia"/>
          <w:b/>
          <w:szCs w:val="24"/>
        </w:rPr>
      </w:pPr>
      <w:r>
        <w:rPr>
          <w:rFonts w:hint="eastAsia" w:cs="Times New Roman" w:asciiTheme="minorEastAsia" w:hAnsiTheme="minorEastAsia"/>
          <w:b/>
          <w:szCs w:val="24"/>
        </w:rPr>
        <w:t>1.本表可按同样格式扩展。</w:t>
      </w:r>
    </w:p>
    <w:p w14:paraId="5B983DB5">
      <w:pPr>
        <w:snapToGrid w:val="0"/>
        <w:rPr>
          <w:rFonts w:hint="eastAsia" w:cs="Times New Roman" w:asciiTheme="minorEastAsia" w:hAnsiTheme="minorEastAsia"/>
          <w:b/>
          <w:szCs w:val="24"/>
        </w:rPr>
      </w:pPr>
      <w:r>
        <w:rPr>
          <w:rFonts w:hint="eastAsia" w:cs="Times New Roman" w:asciiTheme="minorEastAsia" w:hAnsiTheme="minorEastAsia"/>
          <w:b/>
          <w:szCs w:val="24"/>
        </w:rPr>
        <w:t>2. “品牌”可以与商标一致，也可以填写便于区分其他公司商品的制造商简称或者制造商认可的品牌名称。</w:t>
      </w:r>
    </w:p>
    <w:p w14:paraId="3ED255C8">
      <w:pPr>
        <w:snapToGrid w:val="0"/>
        <w:rPr>
          <w:rFonts w:hint="eastAsia" w:cs="Times New Roman" w:asciiTheme="minorEastAsia" w:hAnsiTheme="minorEastAsia"/>
          <w:b/>
          <w:szCs w:val="24"/>
        </w:rPr>
      </w:pPr>
      <w:r>
        <w:rPr>
          <w:rFonts w:hint="eastAsia" w:cs="Times New Roman" w:asciiTheme="minorEastAsia" w:hAnsiTheme="minorEastAsia"/>
          <w:b/>
          <w:szCs w:val="24"/>
        </w:rPr>
        <w:t>3.如所投货物属于定制类的非量产货物或无具体型号的货物，可以在“规格/型号”一栏仅填写规格信息而不填写型号信息（型号信息用“定制”描述即可）；</w:t>
      </w:r>
      <w:bookmarkStart w:id="35" w:name="_Hlk73646428"/>
      <w:r>
        <w:rPr>
          <w:rFonts w:hint="eastAsia" w:cs="Times New Roman" w:asciiTheme="minorEastAsia" w:hAnsiTheme="minorEastAsia"/>
          <w:b/>
          <w:szCs w:val="24"/>
        </w:rPr>
        <w:t>此类填写错误或缺漏（所投货物为定制类的非量产货物但供应商却错误填报了型号）可能带来的不利后果由供应商承担。</w:t>
      </w:r>
      <w:bookmarkEnd w:id="35"/>
    </w:p>
    <w:p w14:paraId="3ADB5BA3">
      <w:pPr>
        <w:snapToGrid w:val="0"/>
        <w:rPr>
          <w:rFonts w:hint="eastAsia" w:cs="Times New Roman" w:asciiTheme="minorEastAsia" w:hAnsiTheme="minorEastAsia"/>
          <w:b/>
          <w:szCs w:val="24"/>
        </w:rPr>
      </w:pPr>
      <w:r>
        <w:rPr>
          <w:rFonts w:hint="eastAsia" w:cs="Times New Roman" w:asciiTheme="minorEastAsia" w:hAnsiTheme="minorEastAsia"/>
          <w:b/>
          <w:szCs w:val="24"/>
        </w:rPr>
        <w:t>4.</w:t>
      </w:r>
      <w:bookmarkStart w:id="36" w:name="_Hlk72074795"/>
      <w:r>
        <w:rPr>
          <w:rFonts w:hint="eastAsia" w:cs="Times New Roman" w:asciiTheme="minorEastAsia" w:hAnsiTheme="minorEastAsia"/>
          <w:b/>
          <w:szCs w:val="24"/>
        </w:rPr>
        <w:t>“原产地”是指该货物的实际生产加工地，而非品牌所在地</w:t>
      </w:r>
      <w:bookmarkEnd w:id="36"/>
      <w:r>
        <w:rPr>
          <w:rFonts w:hint="eastAsia" w:cs="Times New Roman" w:asciiTheme="minorEastAsia" w:hAnsiTheme="minorEastAsia"/>
          <w:b/>
          <w:szCs w:val="24"/>
        </w:rPr>
        <w:t>。</w:t>
      </w:r>
    </w:p>
    <w:p w14:paraId="425F057B">
      <w:pPr>
        <w:snapToGrid w:val="0"/>
        <w:rPr>
          <w:rFonts w:hint="eastAsia" w:cs="Times New Roman" w:asciiTheme="minorEastAsia" w:hAnsiTheme="minorEastAsia"/>
          <w:b/>
          <w:szCs w:val="24"/>
        </w:rPr>
      </w:pPr>
      <w:r>
        <w:rPr>
          <w:rFonts w:hint="eastAsia" w:cs="Times New Roman" w:asciiTheme="minorEastAsia" w:hAnsiTheme="minorEastAsia"/>
          <w:b/>
          <w:szCs w:val="24"/>
        </w:rPr>
        <w:t>5.所投货物均应填写制造商名称。“制造商”是指产品制造厂商，产品代工制造的，应填写接受委托生产制造的制造商。</w:t>
      </w:r>
    </w:p>
    <w:p w14:paraId="731352E2">
      <w:pPr>
        <w:snapToGrid w:val="0"/>
        <w:rPr>
          <w:rFonts w:hint="eastAsia" w:cs="Times New Roman" w:asciiTheme="minorEastAsia" w:hAnsiTheme="minorEastAsia"/>
          <w:b/>
          <w:szCs w:val="24"/>
        </w:rPr>
      </w:pPr>
      <w:r>
        <w:rPr>
          <w:rFonts w:hint="eastAsia" w:cs="Times New Roman" w:asciiTheme="minorEastAsia" w:hAnsiTheme="minorEastAsia"/>
          <w:b/>
          <w:szCs w:val="24"/>
        </w:rPr>
        <w:t>6.以上分项报价表的投标总价应当与开标一览表的投标总价一致。</w:t>
      </w:r>
    </w:p>
    <w:p w14:paraId="7B731585">
      <w:pPr>
        <w:snapToGrid w:val="0"/>
        <w:rPr>
          <w:rFonts w:hint="eastAsia" w:cs="Times New Roman" w:asciiTheme="minorEastAsia" w:hAnsiTheme="minorEastAsia"/>
          <w:b/>
          <w:szCs w:val="24"/>
        </w:rPr>
      </w:pPr>
      <w:r>
        <w:rPr>
          <w:rFonts w:hint="eastAsia" w:cs="Times New Roman" w:asciiTheme="minorEastAsia" w:hAnsiTheme="minorEastAsia"/>
          <w:b/>
          <w:szCs w:val="24"/>
        </w:rPr>
        <w:t>7.单价、合价和投标总价为包干价，即三者均应包含货物的价款、包装、运输、装卸、安装、调试、技术指导、培训、咨询、服务、保险、税费、检测、验收合格交付使用之前以及技术和售后服务等其他各项有关费用。</w:t>
      </w:r>
    </w:p>
    <w:p w14:paraId="301B8D9B">
      <w:pPr>
        <w:snapToGrid w:val="0"/>
        <w:rPr>
          <w:rFonts w:hint="eastAsia" w:cs="Times New Roman" w:asciiTheme="minorEastAsia" w:hAnsiTheme="minorEastAsia"/>
          <w:b/>
          <w:szCs w:val="24"/>
        </w:rPr>
      </w:pPr>
      <w:r>
        <w:rPr>
          <w:rFonts w:hint="eastAsia" w:cs="Times New Roman" w:asciiTheme="minorEastAsia" w:hAnsiTheme="minorEastAsia"/>
          <w:b/>
          <w:szCs w:val="24"/>
        </w:rPr>
        <w:t>8.所有价格应按“招标文件”中规定的货币单位填写；投标总价应为以上各分项价格之和；投标总价和项目报价表中单个采购预算条目报价均不得超过对应的财政预算限额，否则将导致投标无效。</w:t>
      </w:r>
    </w:p>
    <w:p w14:paraId="210EA259">
      <w:pPr>
        <w:snapToGrid w:val="0"/>
        <w:rPr>
          <w:rFonts w:hint="eastAsia" w:cs="Times New Roman" w:asciiTheme="minorEastAsia" w:hAnsiTheme="minorEastAsia"/>
          <w:b/>
          <w:szCs w:val="24"/>
        </w:rPr>
      </w:pPr>
    </w:p>
    <w:p w14:paraId="38AD32BD">
      <w:pPr>
        <w:snapToGrid w:val="0"/>
        <w:rPr>
          <w:rFonts w:hint="eastAsia" w:cs="Times New Roman" w:asciiTheme="minorEastAsia" w:hAnsiTheme="minorEastAsia"/>
          <w:b/>
          <w:color w:val="FF0000"/>
          <w:szCs w:val="24"/>
        </w:rPr>
      </w:pPr>
      <w:r>
        <w:rPr>
          <w:rFonts w:hint="eastAsia" w:cs="Times New Roman" w:asciiTheme="minorEastAsia" w:hAnsiTheme="minorEastAsia"/>
          <w:bCs/>
          <w:color w:val="FF0000"/>
          <w:szCs w:val="24"/>
        </w:rPr>
        <w:t>★</w:t>
      </w:r>
      <w:r>
        <w:rPr>
          <w:rFonts w:hint="eastAsia" w:cs="Times New Roman" w:asciiTheme="minorEastAsia" w:hAnsiTheme="minorEastAsia"/>
          <w:b/>
          <w:color w:val="FF0000"/>
          <w:szCs w:val="24"/>
        </w:rPr>
        <w:t>填写</w:t>
      </w:r>
      <w:r>
        <w:rPr>
          <w:rFonts w:cs="Times New Roman" w:asciiTheme="minorEastAsia" w:hAnsiTheme="minorEastAsia"/>
          <w:b/>
          <w:color w:val="FF0000"/>
          <w:szCs w:val="24"/>
        </w:rPr>
        <w:t>要求：</w:t>
      </w:r>
    </w:p>
    <w:p w14:paraId="0D211EC7">
      <w:pPr>
        <w:snapToGrid w:val="0"/>
        <w:rPr>
          <w:rFonts w:hint="eastAsia" w:cs="Times New Roman" w:asciiTheme="minorEastAsia" w:hAnsiTheme="minorEastAsia"/>
          <w:b/>
          <w:color w:val="FF0000"/>
          <w:szCs w:val="24"/>
        </w:rPr>
      </w:pPr>
      <w:r>
        <w:rPr>
          <w:rFonts w:cs="Times New Roman" w:asciiTheme="minorEastAsia" w:hAnsiTheme="minorEastAsia"/>
          <w:b/>
          <w:color w:val="FF0000"/>
          <w:szCs w:val="24"/>
        </w:rPr>
        <w:t>1.</w:t>
      </w:r>
      <w:r>
        <w:rPr>
          <w:rFonts w:hint="eastAsia" w:cs="Times New Roman" w:asciiTheme="minorEastAsia" w:hAnsiTheme="minorEastAsia"/>
          <w:b/>
          <w:color w:val="FF0000"/>
          <w:szCs w:val="24"/>
        </w:rPr>
        <w:t>《分项报价清单》</w:t>
      </w:r>
      <w:r>
        <w:rPr>
          <w:rFonts w:cs="Times New Roman" w:asciiTheme="minorEastAsia" w:hAnsiTheme="minorEastAsia"/>
          <w:b/>
          <w:color w:val="FF0000"/>
          <w:szCs w:val="24"/>
        </w:rPr>
        <w:t>所有价格应</w:t>
      </w:r>
      <w:r>
        <w:rPr>
          <w:rFonts w:hint="eastAsia" w:cs="Times New Roman" w:asciiTheme="minorEastAsia" w:hAnsiTheme="minorEastAsia"/>
          <w:b/>
          <w:color w:val="FF0000"/>
          <w:szCs w:val="24"/>
        </w:rPr>
        <w:t>以人民币为结算单位填写</w:t>
      </w:r>
      <w:r>
        <w:rPr>
          <w:rFonts w:cs="Times New Roman" w:asciiTheme="minorEastAsia" w:hAnsiTheme="minorEastAsia"/>
          <w:b/>
          <w:color w:val="FF0000"/>
          <w:szCs w:val="24"/>
        </w:rPr>
        <w:t>；</w:t>
      </w:r>
    </w:p>
    <w:p w14:paraId="01F58996">
      <w:pPr>
        <w:snapToGrid w:val="0"/>
        <w:rPr>
          <w:rFonts w:hint="eastAsia" w:cs="Times New Roman" w:asciiTheme="minorEastAsia" w:hAnsiTheme="minorEastAsia"/>
          <w:b/>
          <w:color w:val="FF0000"/>
          <w:szCs w:val="24"/>
        </w:rPr>
      </w:pPr>
      <w:r>
        <w:rPr>
          <w:rFonts w:cs="Times New Roman" w:asciiTheme="minorEastAsia" w:hAnsiTheme="minorEastAsia"/>
          <w:b/>
          <w:color w:val="FF0000"/>
          <w:szCs w:val="24"/>
        </w:rPr>
        <w:t>2.</w:t>
      </w:r>
      <w:r>
        <w:rPr>
          <w:rFonts w:hint="eastAsia" w:cs="Times New Roman" w:asciiTheme="minorEastAsia" w:hAnsiTheme="minorEastAsia"/>
          <w:b/>
          <w:color w:val="FF0000"/>
          <w:szCs w:val="24"/>
        </w:rPr>
        <w:t>《（一）项目报价表》</w:t>
      </w:r>
      <w:r>
        <w:rPr>
          <w:rFonts w:cs="Times New Roman" w:asciiTheme="minorEastAsia" w:hAnsiTheme="minorEastAsia"/>
          <w:b/>
          <w:color w:val="FF0000"/>
          <w:szCs w:val="24"/>
        </w:rPr>
        <w:t>可根据</w:t>
      </w:r>
      <w:r>
        <w:rPr>
          <w:rFonts w:hint="eastAsia" w:cs="Times New Roman" w:asciiTheme="minorEastAsia" w:hAnsiTheme="minorEastAsia"/>
          <w:b/>
          <w:color w:val="FF0000"/>
          <w:szCs w:val="24"/>
        </w:rPr>
        <w:t>实际需要</w:t>
      </w:r>
      <w:r>
        <w:rPr>
          <w:rFonts w:cs="Times New Roman" w:asciiTheme="minorEastAsia" w:hAnsiTheme="minorEastAsia"/>
          <w:b/>
          <w:color w:val="FF0000"/>
          <w:szCs w:val="24"/>
        </w:rPr>
        <w:t>增加</w:t>
      </w:r>
      <w:r>
        <w:rPr>
          <w:rFonts w:hint="eastAsia" w:cs="Times New Roman" w:asciiTheme="minorEastAsia" w:hAnsiTheme="minorEastAsia"/>
          <w:b/>
          <w:color w:val="FF0000"/>
          <w:szCs w:val="24"/>
        </w:rPr>
        <w:t>相关</w:t>
      </w:r>
      <w:r>
        <w:rPr>
          <w:rFonts w:cs="Times New Roman" w:asciiTheme="minorEastAsia" w:hAnsiTheme="minorEastAsia"/>
          <w:b/>
          <w:color w:val="FF0000"/>
          <w:szCs w:val="24"/>
        </w:rPr>
        <w:t>内容，但原</w:t>
      </w:r>
      <w:r>
        <w:rPr>
          <w:rFonts w:hint="eastAsia" w:cs="Times New Roman" w:asciiTheme="minorEastAsia" w:hAnsiTheme="minorEastAsia"/>
          <w:b/>
          <w:color w:val="FF0000"/>
          <w:szCs w:val="24"/>
        </w:rPr>
        <w:t>有</w:t>
      </w:r>
      <w:r>
        <w:rPr>
          <w:rFonts w:cs="Times New Roman" w:asciiTheme="minorEastAsia" w:hAnsiTheme="minorEastAsia"/>
          <w:b/>
          <w:color w:val="FF0000"/>
          <w:szCs w:val="24"/>
        </w:rPr>
        <w:t>的格式</w:t>
      </w:r>
      <w:r>
        <w:rPr>
          <w:rFonts w:hint="eastAsia" w:cs="Times New Roman" w:asciiTheme="minorEastAsia" w:hAnsiTheme="minorEastAsia"/>
          <w:b/>
          <w:color w:val="FF0000"/>
          <w:szCs w:val="24"/>
        </w:rPr>
        <w:t>内容</w:t>
      </w:r>
      <w:r>
        <w:rPr>
          <w:rFonts w:cs="Times New Roman" w:asciiTheme="minorEastAsia" w:hAnsiTheme="minorEastAsia"/>
          <w:b/>
          <w:color w:val="FF0000"/>
          <w:szCs w:val="24"/>
        </w:rPr>
        <w:t>不得删减；</w:t>
      </w:r>
    </w:p>
    <w:p w14:paraId="4C42D926">
      <w:pPr>
        <w:snapToGrid w:val="0"/>
        <w:rPr>
          <w:rFonts w:hint="eastAsia" w:cs="Times New Roman" w:asciiTheme="minorEastAsia" w:hAnsiTheme="minorEastAsia"/>
          <w:b/>
          <w:color w:val="FF0000"/>
          <w:szCs w:val="24"/>
        </w:rPr>
      </w:pPr>
      <w:r>
        <w:rPr>
          <w:rFonts w:hint="eastAsia" w:cs="Times New Roman" w:asciiTheme="minorEastAsia" w:hAnsiTheme="minorEastAsia"/>
          <w:b/>
          <w:color w:val="FF0000"/>
          <w:szCs w:val="24"/>
        </w:rPr>
        <w:t>3.</w:t>
      </w:r>
      <w:r>
        <w:rPr>
          <w:rFonts w:cs="Times New Roman" w:asciiTheme="minorEastAsia" w:hAnsiTheme="minorEastAsia"/>
          <w:b/>
          <w:color w:val="FF0000"/>
          <w:szCs w:val="24"/>
        </w:rPr>
        <w:t>如</w:t>
      </w:r>
      <w:r>
        <w:rPr>
          <w:rFonts w:hint="eastAsia" w:cs="Times New Roman" w:asciiTheme="minorEastAsia" w:hAnsiTheme="minorEastAsia"/>
          <w:b/>
          <w:color w:val="FF0000"/>
          <w:szCs w:val="24"/>
        </w:rPr>
        <w:t>未提供《（一）项目报价表》或者</w:t>
      </w:r>
      <w:r>
        <w:rPr>
          <w:rFonts w:cs="Times New Roman" w:asciiTheme="minorEastAsia" w:hAnsiTheme="minorEastAsia"/>
          <w:b/>
          <w:color w:val="FF0000"/>
          <w:szCs w:val="24"/>
        </w:rPr>
        <w:t>不按</w:t>
      </w:r>
      <w:r>
        <w:rPr>
          <w:rFonts w:hint="eastAsia" w:cs="Times New Roman" w:asciiTheme="minorEastAsia" w:hAnsiTheme="minorEastAsia"/>
          <w:b/>
          <w:color w:val="FF0000"/>
          <w:szCs w:val="24"/>
        </w:rPr>
        <w:t>《第三章 用户需求书：二、货物需求明细》</w:t>
      </w:r>
      <w:r>
        <w:rPr>
          <w:rFonts w:cs="Times New Roman" w:asciiTheme="minorEastAsia" w:hAnsiTheme="minorEastAsia"/>
          <w:b/>
          <w:color w:val="FF0000"/>
          <w:szCs w:val="24"/>
        </w:rPr>
        <w:t>要求填报、漏报或错报</w:t>
      </w:r>
      <w:r>
        <w:rPr>
          <w:rFonts w:hint="eastAsia" w:cs="Times New Roman" w:asciiTheme="minorEastAsia" w:hAnsiTheme="minorEastAsia"/>
          <w:b/>
          <w:color w:val="FF0000"/>
          <w:szCs w:val="24"/>
        </w:rPr>
        <w:t>的将作</w:t>
      </w:r>
      <w:r>
        <w:rPr>
          <w:rFonts w:cs="Times New Roman" w:asciiTheme="minorEastAsia" w:hAnsiTheme="minorEastAsia"/>
          <w:b/>
          <w:color w:val="FF0000"/>
          <w:szCs w:val="24"/>
        </w:rPr>
        <w:t>投标无效处理。</w:t>
      </w:r>
    </w:p>
    <w:p w14:paraId="41EC2828">
      <w:pPr>
        <w:tabs>
          <w:tab w:val="left" w:pos="720"/>
        </w:tabs>
        <w:rPr>
          <w:rFonts w:ascii="Times New Roman" w:hAnsi="Times New Roman" w:eastAsia="宋体" w:cs="Times New Roman"/>
          <w:b/>
          <w:sz w:val="24"/>
          <w:szCs w:val="24"/>
        </w:rPr>
      </w:pPr>
    </w:p>
    <w:p w14:paraId="310500E5">
      <w:pPr>
        <w:tabs>
          <w:tab w:val="left" w:pos="720"/>
        </w:tabs>
        <w:rPr>
          <w:rFonts w:ascii="Times New Roman" w:hAnsi="Times New Roman" w:eastAsia="宋体" w:cs="Times New Roman"/>
          <w:b/>
          <w:color w:val="FF0000"/>
          <w:sz w:val="24"/>
          <w:szCs w:val="24"/>
        </w:rPr>
      </w:pPr>
      <w:r>
        <w:rPr>
          <w:rFonts w:hint="eastAsia" w:ascii="Times New Roman" w:hAnsi="Times New Roman" w:eastAsia="宋体" w:cs="Times New Roman"/>
          <w:b/>
          <w:color w:val="FF0000"/>
          <w:sz w:val="24"/>
          <w:szCs w:val="24"/>
        </w:rPr>
        <w:t>（二）核心产品品牌</w:t>
      </w:r>
    </w:p>
    <w:p w14:paraId="05F997C9">
      <w:pPr>
        <w:rPr>
          <w:rFonts w:ascii="Times New Roman" w:hAnsi="Times New Roman" w:eastAsia="宋体" w:cs="Times New Roman"/>
          <w:color w:val="FF0000"/>
          <w:sz w:val="24"/>
          <w:szCs w:val="24"/>
        </w:rPr>
      </w:pPr>
      <w:r>
        <w:rPr>
          <w:rFonts w:hint="eastAsia" w:ascii="Times New Roman" w:hAnsi="Times New Roman" w:eastAsia="宋体" w:cs="Times New Roman"/>
          <w:b/>
          <w:color w:val="FF0000"/>
          <w:sz w:val="24"/>
          <w:szCs w:val="24"/>
        </w:rPr>
        <w:t>我单位所投核心产品的品牌为：</w:t>
      </w:r>
      <w:r>
        <w:rPr>
          <w:rFonts w:hint="eastAsia" w:ascii="Times New Roman" w:hAnsi="Times New Roman" w:eastAsia="宋体" w:cs="Times New Roman"/>
          <w:color w:val="FF0000"/>
          <w:sz w:val="24"/>
          <w:szCs w:val="24"/>
          <w:u w:val="single"/>
        </w:rPr>
        <w:t xml:space="preserve">               </w:t>
      </w:r>
      <w:r>
        <w:rPr>
          <w:rFonts w:hint="eastAsia" w:ascii="Times New Roman" w:hAnsi="Times New Roman" w:eastAsia="宋体" w:cs="Times New Roman"/>
          <w:color w:val="FF0000"/>
          <w:sz w:val="24"/>
          <w:szCs w:val="24"/>
        </w:rPr>
        <w:t>。</w:t>
      </w:r>
    </w:p>
    <w:p w14:paraId="3AABFF53">
      <w:pPr>
        <w:rPr>
          <w:rFonts w:ascii="Arial" w:hAnsi="Arial" w:eastAsia="宋体" w:cs="Times New Roman"/>
          <w:b/>
          <w:szCs w:val="24"/>
        </w:rPr>
      </w:pPr>
      <w:r>
        <w:rPr>
          <w:rFonts w:hint="eastAsia" w:ascii="宋体" w:hAnsi="宋体" w:eastAsia="宋体" w:cs="Times New Roman"/>
          <w:color w:val="FF0000"/>
          <w:sz w:val="24"/>
          <w:szCs w:val="24"/>
        </w:rPr>
        <w:t>备注：单一产品采购项目，核心产品即为该单一产品。</w:t>
      </w:r>
    </w:p>
    <w:p w14:paraId="2E9C9645">
      <w:pPr>
        <w:spacing w:after="78" w:afterLines="25" w:line="300" w:lineRule="auto"/>
        <w:rPr>
          <w:rFonts w:ascii="Arial" w:hAnsi="Arial" w:eastAsia="宋体" w:cs="Times New Roman"/>
          <w:b/>
          <w:szCs w:val="24"/>
        </w:rPr>
      </w:pPr>
    </w:p>
    <w:p w14:paraId="44D3330A">
      <w:pPr>
        <w:spacing w:after="78" w:afterLines="25" w:line="300" w:lineRule="auto"/>
        <w:rPr>
          <w:rFonts w:ascii="Arial" w:hAnsi="Arial" w:eastAsia="宋体" w:cs="Times New Roman"/>
          <w:b/>
          <w:sz w:val="24"/>
          <w:szCs w:val="24"/>
        </w:rPr>
      </w:pPr>
      <w:r>
        <w:rPr>
          <w:rFonts w:hint="eastAsia" w:ascii="Arial" w:hAnsi="Arial" w:eastAsia="宋体" w:cs="Times New Roman"/>
          <w:b/>
          <w:sz w:val="24"/>
          <w:szCs w:val="24"/>
        </w:rPr>
        <w:t>（三）可选配件报价清单（非项目需求要求的必备配件，此部分不包括在总报价内）</w:t>
      </w:r>
    </w:p>
    <w:p w14:paraId="18CE4B3A">
      <w:pPr>
        <w:ind w:firstLine="422" w:firstLineChars="200"/>
        <w:rPr>
          <w:rFonts w:hint="eastAsia" w:hAnsi="宋体"/>
          <w:b/>
          <w:bCs/>
          <w:szCs w:val="21"/>
        </w:rPr>
      </w:pPr>
      <w:r>
        <w:rPr>
          <w:rFonts w:hint="eastAsia" w:hAnsi="宋体"/>
          <w:b/>
          <w:bCs/>
          <w:szCs w:val="21"/>
        </w:rPr>
        <w:t>注：格式可以参照《（一）项目报价表》表格，并提供相应的品牌/规格/型号、原产地、制造商信息（没有品牌、型号的，用“定制”描述即可）、单价等详细信息</w:t>
      </w:r>
    </w:p>
    <w:p w14:paraId="02C60F31">
      <w:pPr>
        <w:ind w:firstLine="422" w:firstLineChars="200"/>
        <w:rPr>
          <w:rFonts w:hint="eastAsia" w:hAnsi="宋体"/>
          <w:b/>
          <w:bCs/>
          <w:szCs w:val="21"/>
        </w:rPr>
      </w:pPr>
    </w:p>
    <w:p w14:paraId="41A5B598">
      <w:pPr>
        <w:spacing w:after="78" w:afterLines="25" w:line="300" w:lineRule="auto"/>
        <w:rPr>
          <w:rFonts w:ascii="Arial" w:hAnsi="Arial" w:eastAsia="宋体" w:cs="Times New Roman"/>
          <w:b/>
          <w:sz w:val="24"/>
          <w:szCs w:val="24"/>
        </w:rPr>
      </w:pPr>
      <w:r>
        <w:rPr>
          <w:rFonts w:hint="eastAsia" w:ascii="Arial" w:hAnsi="Arial" w:eastAsia="宋体" w:cs="Times New Roman"/>
          <w:b/>
          <w:sz w:val="24"/>
          <w:szCs w:val="24"/>
        </w:rPr>
        <w:t>（四）供应商认为需要涉及的其他内容报价清单</w:t>
      </w:r>
    </w:p>
    <w:p w14:paraId="0F7B6643">
      <w:pPr>
        <w:wordWrap w:val="0"/>
        <w:spacing w:after="78" w:afterLines="25" w:line="300" w:lineRule="auto"/>
        <w:ind w:right="420" w:firstLine="4410" w:firstLineChars="2100"/>
        <w:jc w:val="right"/>
        <w:rPr>
          <w:rFonts w:ascii="Arial" w:hAnsi="Arial" w:eastAsia="宋体" w:cs="Times New Roman"/>
          <w:szCs w:val="21"/>
        </w:rPr>
      </w:pPr>
      <w:r>
        <w:rPr>
          <w:rFonts w:hint="eastAsia" w:ascii="Arial" w:hAnsi="Arial" w:eastAsia="宋体" w:cs="Times New Roman"/>
          <w:szCs w:val="21"/>
        </w:rPr>
        <w:t xml:space="preserve">   </w:t>
      </w:r>
    </w:p>
    <w:p w14:paraId="162F9D96">
      <w:pPr>
        <w:widowControl/>
        <w:jc w:val="left"/>
        <w:rPr>
          <w:rFonts w:ascii="Arial" w:hAnsi="Arial" w:eastAsia="宋体" w:cs="Times New Roman"/>
          <w:b/>
          <w:sz w:val="24"/>
          <w:szCs w:val="24"/>
        </w:rPr>
      </w:pPr>
    </w:p>
    <w:p w14:paraId="0954F204">
      <w:pPr>
        <w:rPr>
          <w:rFonts w:hint="eastAsia" w:ascii="宋体" w:hAnsi="宋体"/>
        </w:rPr>
      </w:pPr>
      <w:r>
        <w:t xml:space="preserve">       </w:t>
      </w:r>
      <w:bookmarkStart w:id="37" w:name="_Hlk72260501"/>
      <w:r>
        <w:t xml:space="preserve">  </w:t>
      </w:r>
      <w:r>
        <w:rPr>
          <w:rFonts w:hint="eastAsia" w:ascii="宋体" w:hAnsi="宋体"/>
        </w:rPr>
        <w:t>………………</w:t>
      </w:r>
      <w:bookmarkEnd w:id="37"/>
      <w:r>
        <w:rPr>
          <w:rFonts w:hint="eastAsia" w:ascii="宋体" w:hAnsi="宋体"/>
        </w:rPr>
        <w:t>（根据项目具体情况增加与综合实力评审相关的节点）………………</w:t>
      </w:r>
    </w:p>
    <w:p w14:paraId="0C140A94">
      <w:pPr>
        <w:jc w:val="both"/>
        <w:rPr>
          <w:b/>
          <w:bCs/>
          <w:color w:val="FF0000"/>
          <w:sz w:val="24"/>
        </w:rPr>
      </w:pPr>
    </w:p>
    <w:p w14:paraId="2C1325A6">
      <w:pPr>
        <w:jc w:val="center"/>
        <w:rPr>
          <w:rFonts w:hint="eastAsia" w:ascii="宋体" w:hAnsi="宋体"/>
        </w:rPr>
      </w:pPr>
      <w:r>
        <w:rPr>
          <w:rFonts w:hint="eastAsia"/>
          <w:b/>
          <w:bCs/>
          <w:color w:val="FF0000"/>
          <w:sz w:val="24"/>
        </w:rPr>
        <w:t>★</w:t>
      </w:r>
      <w:r>
        <w:rPr>
          <w:rFonts w:hint="eastAsia" w:ascii="黑体" w:eastAsia="黑体"/>
          <w:sz w:val="24"/>
          <w:szCs w:val="24"/>
        </w:rPr>
        <w:t>五、供应商基本情况表</w:t>
      </w:r>
    </w:p>
    <w:tbl>
      <w:tblPr>
        <w:tblStyle w:val="1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0"/>
        <w:gridCol w:w="2172"/>
        <w:gridCol w:w="901"/>
        <w:gridCol w:w="753"/>
        <w:gridCol w:w="1143"/>
        <w:gridCol w:w="1428"/>
        <w:gridCol w:w="1422"/>
      </w:tblGrid>
      <w:tr w14:paraId="32999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4" w:type="dxa"/>
            <w:gridSpan w:val="2"/>
            <w:noWrap w:val="0"/>
            <w:vAlign w:val="center"/>
          </w:tcPr>
          <w:p w14:paraId="01D811CD">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采购人</w:t>
            </w:r>
          </w:p>
        </w:tc>
        <w:tc>
          <w:tcPr>
            <w:tcW w:w="2431" w:type="dxa"/>
            <w:noWrap w:val="0"/>
            <w:vAlign w:val="center"/>
          </w:tcPr>
          <w:p w14:paraId="0073B3A2">
            <w:pPr>
              <w:jc w:val="center"/>
              <w:rPr>
                <w:rFonts w:hint="eastAsia" w:ascii="宋体" w:hAnsi="宋体" w:eastAsia="宋体" w:cs="宋体"/>
                <w:color w:val="auto"/>
                <w:sz w:val="21"/>
                <w:szCs w:val="21"/>
                <w:vertAlign w:val="baseline"/>
                <w:lang w:val="en-US" w:eastAsia="zh-CN"/>
              </w:rPr>
            </w:pPr>
          </w:p>
        </w:tc>
        <w:tc>
          <w:tcPr>
            <w:tcW w:w="1896" w:type="dxa"/>
            <w:gridSpan w:val="2"/>
            <w:noWrap w:val="0"/>
            <w:vAlign w:val="center"/>
          </w:tcPr>
          <w:p w14:paraId="0D65110E">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项目名称</w:t>
            </w:r>
          </w:p>
        </w:tc>
        <w:tc>
          <w:tcPr>
            <w:tcW w:w="2848" w:type="dxa"/>
            <w:gridSpan w:val="2"/>
            <w:noWrap w:val="0"/>
            <w:vAlign w:val="center"/>
          </w:tcPr>
          <w:p w14:paraId="14195863">
            <w:pPr>
              <w:jc w:val="center"/>
              <w:rPr>
                <w:rFonts w:hint="eastAsia" w:ascii="宋体" w:hAnsi="宋体" w:eastAsia="宋体" w:cs="宋体"/>
                <w:color w:val="auto"/>
                <w:sz w:val="21"/>
                <w:szCs w:val="21"/>
                <w:vertAlign w:val="baseline"/>
                <w:lang w:val="en-US" w:eastAsia="zh-CN"/>
              </w:rPr>
            </w:pPr>
          </w:p>
        </w:tc>
      </w:tr>
      <w:tr w14:paraId="1F026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4" w:type="dxa"/>
            <w:gridSpan w:val="2"/>
            <w:noWrap w:val="0"/>
            <w:vAlign w:val="center"/>
          </w:tcPr>
          <w:p w14:paraId="7C930D73">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投标（响应）供应商</w:t>
            </w:r>
          </w:p>
        </w:tc>
        <w:tc>
          <w:tcPr>
            <w:tcW w:w="2431" w:type="dxa"/>
            <w:noWrap w:val="0"/>
            <w:vAlign w:val="center"/>
          </w:tcPr>
          <w:p w14:paraId="5F9C9138">
            <w:pPr>
              <w:jc w:val="center"/>
              <w:rPr>
                <w:rFonts w:hint="eastAsia" w:ascii="宋体" w:hAnsi="宋体" w:eastAsia="宋体" w:cs="宋体"/>
                <w:color w:val="auto"/>
                <w:sz w:val="21"/>
                <w:szCs w:val="21"/>
                <w:vertAlign w:val="baseline"/>
                <w:lang w:val="en-US" w:eastAsia="zh-CN"/>
              </w:rPr>
            </w:pPr>
          </w:p>
        </w:tc>
        <w:tc>
          <w:tcPr>
            <w:tcW w:w="1896" w:type="dxa"/>
            <w:gridSpan w:val="2"/>
            <w:noWrap w:val="0"/>
            <w:vAlign w:val="center"/>
          </w:tcPr>
          <w:p w14:paraId="2C950CF2">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供应商统一社会信用代码</w:t>
            </w:r>
          </w:p>
        </w:tc>
        <w:tc>
          <w:tcPr>
            <w:tcW w:w="2848" w:type="dxa"/>
            <w:gridSpan w:val="2"/>
            <w:noWrap w:val="0"/>
            <w:vAlign w:val="center"/>
          </w:tcPr>
          <w:p w14:paraId="720897ED">
            <w:pPr>
              <w:jc w:val="center"/>
              <w:rPr>
                <w:rFonts w:hint="eastAsia" w:ascii="宋体" w:hAnsi="宋体" w:eastAsia="宋体" w:cs="宋体"/>
                <w:color w:val="auto"/>
                <w:sz w:val="21"/>
                <w:szCs w:val="21"/>
                <w:vertAlign w:val="baseline"/>
                <w:lang w:val="en-US" w:eastAsia="zh-CN"/>
              </w:rPr>
            </w:pPr>
          </w:p>
        </w:tc>
      </w:tr>
      <w:tr w14:paraId="219FD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7"/>
            <w:noWrap w:val="0"/>
            <w:vAlign w:val="center"/>
          </w:tcPr>
          <w:p w14:paraId="48CA1873">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投标（响应）供应商相关人员情况</w:t>
            </w:r>
          </w:p>
        </w:tc>
      </w:tr>
      <w:tr w14:paraId="7FD5A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bottom w:val="single" w:color="auto" w:sz="4" w:space="0"/>
            </w:tcBorders>
            <w:noWrap w:val="0"/>
            <w:vAlign w:val="center"/>
          </w:tcPr>
          <w:p w14:paraId="73C76C6D">
            <w:pPr>
              <w:snapToGrid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序号</w:t>
            </w:r>
          </w:p>
        </w:tc>
        <w:tc>
          <w:tcPr>
            <w:tcW w:w="1275" w:type="pct"/>
            <w:tcBorders>
              <w:bottom w:val="single" w:color="auto" w:sz="4" w:space="0"/>
            </w:tcBorders>
            <w:noWrap w:val="0"/>
            <w:vAlign w:val="center"/>
          </w:tcPr>
          <w:p w14:paraId="14754DC4">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职务</w:t>
            </w:r>
          </w:p>
        </w:tc>
        <w:tc>
          <w:tcPr>
            <w:tcW w:w="529" w:type="pct"/>
            <w:tcBorders>
              <w:bottom w:val="single" w:color="auto" w:sz="4" w:space="0"/>
            </w:tcBorders>
            <w:noWrap w:val="0"/>
            <w:vAlign w:val="center"/>
          </w:tcPr>
          <w:p w14:paraId="2D9FA050">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姓名</w:t>
            </w:r>
          </w:p>
        </w:tc>
        <w:tc>
          <w:tcPr>
            <w:tcW w:w="1113" w:type="pct"/>
            <w:gridSpan w:val="2"/>
            <w:tcBorders>
              <w:bottom w:val="single" w:color="auto" w:sz="4" w:space="0"/>
            </w:tcBorders>
            <w:noWrap w:val="0"/>
            <w:vAlign w:val="center"/>
          </w:tcPr>
          <w:p w14:paraId="1B5846CC">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身份证号码</w:t>
            </w:r>
          </w:p>
        </w:tc>
        <w:tc>
          <w:tcPr>
            <w:tcW w:w="838" w:type="pct"/>
            <w:tcBorders>
              <w:bottom w:val="single" w:color="auto" w:sz="4" w:space="0"/>
            </w:tcBorders>
            <w:noWrap w:val="0"/>
            <w:vAlign w:val="center"/>
          </w:tcPr>
          <w:p w14:paraId="79BE423F">
            <w:pPr>
              <w:snapToGrid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劳动合同</w:t>
            </w:r>
          </w:p>
          <w:p w14:paraId="6BA73D71">
            <w:pPr>
              <w:snapToGrid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关系单位</w:t>
            </w:r>
          </w:p>
        </w:tc>
        <w:tc>
          <w:tcPr>
            <w:tcW w:w="830" w:type="pct"/>
            <w:tcBorders>
              <w:bottom w:val="single" w:color="auto" w:sz="4" w:space="0"/>
            </w:tcBorders>
            <w:noWrap w:val="0"/>
            <w:vAlign w:val="center"/>
          </w:tcPr>
          <w:p w14:paraId="074C7286">
            <w:pPr>
              <w:snapToGrid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缴纳社会</w:t>
            </w:r>
          </w:p>
          <w:p w14:paraId="4A514709">
            <w:pPr>
              <w:snapToGrid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保险单位</w:t>
            </w:r>
          </w:p>
        </w:tc>
      </w:tr>
      <w:tr w14:paraId="6EF3D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14:paraId="2537A963">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w:t>
            </w:r>
          </w:p>
        </w:tc>
        <w:tc>
          <w:tcPr>
            <w:tcW w:w="1275" w:type="pct"/>
            <w:tcBorders>
              <w:top w:val="single" w:color="auto" w:sz="4" w:space="0"/>
              <w:left w:val="single" w:color="auto" w:sz="4" w:space="0"/>
              <w:bottom w:val="single" w:color="auto" w:sz="4" w:space="0"/>
              <w:right w:val="single" w:color="auto" w:sz="4" w:space="0"/>
            </w:tcBorders>
            <w:noWrap w:val="0"/>
            <w:vAlign w:val="center"/>
          </w:tcPr>
          <w:p w14:paraId="6C5500D0">
            <w:pPr>
              <w:spacing w:line="46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lang w:val="en-US" w:eastAsia="zh-CN"/>
              </w:rPr>
              <w:t>/单位负责人/主要经营负责人</w:t>
            </w:r>
          </w:p>
        </w:tc>
        <w:tc>
          <w:tcPr>
            <w:tcW w:w="529" w:type="pct"/>
            <w:tcBorders>
              <w:top w:val="single" w:color="auto" w:sz="4" w:space="0"/>
              <w:left w:val="single" w:color="auto" w:sz="4" w:space="0"/>
              <w:bottom w:val="single" w:color="auto" w:sz="4" w:space="0"/>
              <w:right w:val="single" w:color="auto" w:sz="4" w:space="0"/>
            </w:tcBorders>
            <w:noWrap w:val="0"/>
            <w:vAlign w:val="center"/>
          </w:tcPr>
          <w:p w14:paraId="08CA4CB9">
            <w:pPr>
              <w:jc w:val="center"/>
              <w:rPr>
                <w:rFonts w:hint="eastAsia" w:ascii="宋体" w:hAnsi="宋体" w:eastAsia="宋体" w:cs="宋体"/>
                <w:color w:val="auto"/>
                <w:sz w:val="21"/>
                <w:szCs w:val="21"/>
                <w:vertAlign w:val="baseline"/>
                <w:lang w:val="en-US" w:eastAsia="zh-CN"/>
              </w:rPr>
            </w:pPr>
          </w:p>
        </w:tc>
        <w:tc>
          <w:tcPr>
            <w:tcW w:w="1113" w:type="pct"/>
            <w:gridSpan w:val="2"/>
            <w:tcBorders>
              <w:top w:val="single" w:color="auto" w:sz="4" w:space="0"/>
              <w:left w:val="single" w:color="auto" w:sz="4" w:space="0"/>
              <w:bottom w:val="single" w:color="auto" w:sz="4" w:space="0"/>
              <w:right w:val="single" w:color="auto" w:sz="4" w:space="0"/>
            </w:tcBorders>
            <w:noWrap w:val="0"/>
            <w:vAlign w:val="center"/>
          </w:tcPr>
          <w:p w14:paraId="6D71F08C">
            <w:pPr>
              <w:jc w:val="center"/>
              <w:rPr>
                <w:rFonts w:hint="eastAsia" w:ascii="宋体" w:hAnsi="宋体" w:eastAsia="宋体" w:cs="宋体"/>
                <w:color w:val="auto"/>
                <w:sz w:val="21"/>
                <w:szCs w:val="21"/>
                <w:vertAlign w:val="baseline"/>
                <w:lang w:val="en-US" w:eastAsia="zh-CN"/>
              </w:rPr>
            </w:pPr>
          </w:p>
        </w:tc>
        <w:tc>
          <w:tcPr>
            <w:tcW w:w="838" w:type="pct"/>
            <w:tcBorders>
              <w:top w:val="single" w:color="auto" w:sz="4" w:space="0"/>
              <w:left w:val="single" w:color="auto" w:sz="4" w:space="0"/>
              <w:bottom w:val="single" w:color="auto" w:sz="4" w:space="0"/>
              <w:right w:val="single" w:color="auto" w:sz="4" w:space="0"/>
            </w:tcBorders>
            <w:noWrap w:val="0"/>
            <w:vAlign w:val="center"/>
          </w:tcPr>
          <w:p w14:paraId="366E4812">
            <w:pPr>
              <w:jc w:val="center"/>
              <w:rPr>
                <w:rFonts w:hint="eastAsia" w:ascii="宋体" w:hAnsi="宋体" w:eastAsia="宋体" w:cs="宋体"/>
                <w:color w:val="auto"/>
                <w:sz w:val="21"/>
                <w:szCs w:val="21"/>
                <w:vertAlign w:val="baseline"/>
                <w:lang w:val="en-US" w:eastAsia="zh-CN"/>
              </w:rPr>
            </w:pPr>
          </w:p>
        </w:tc>
        <w:tc>
          <w:tcPr>
            <w:tcW w:w="830" w:type="pct"/>
            <w:tcBorders>
              <w:top w:val="single" w:color="auto" w:sz="4" w:space="0"/>
              <w:left w:val="single" w:color="auto" w:sz="4" w:space="0"/>
              <w:bottom w:val="single" w:color="auto" w:sz="4" w:space="0"/>
              <w:right w:val="single" w:color="auto" w:sz="4" w:space="0"/>
            </w:tcBorders>
            <w:noWrap w:val="0"/>
            <w:vAlign w:val="center"/>
          </w:tcPr>
          <w:p w14:paraId="1FED0D1F">
            <w:pPr>
              <w:jc w:val="center"/>
              <w:rPr>
                <w:rFonts w:hint="eastAsia" w:ascii="宋体" w:hAnsi="宋体" w:eastAsia="宋体" w:cs="宋体"/>
                <w:color w:val="auto"/>
                <w:sz w:val="21"/>
                <w:szCs w:val="21"/>
                <w:vertAlign w:val="baseline"/>
                <w:lang w:val="en-US" w:eastAsia="zh-CN"/>
              </w:rPr>
            </w:pPr>
          </w:p>
        </w:tc>
      </w:tr>
      <w:tr w14:paraId="21309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14:paraId="45C250F2">
            <w:pPr>
              <w:spacing w:beforeLines="0" w:afterLine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rPr>
              <w:t>2</w:t>
            </w:r>
          </w:p>
        </w:tc>
        <w:tc>
          <w:tcPr>
            <w:tcW w:w="1275" w:type="pct"/>
            <w:tcBorders>
              <w:top w:val="single" w:color="auto" w:sz="4" w:space="0"/>
              <w:left w:val="single" w:color="auto" w:sz="4" w:space="0"/>
              <w:bottom w:val="single" w:color="auto" w:sz="4" w:space="0"/>
              <w:right w:val="single" w:color="auto" w:sz="4" w:space="0"/>
            </w:tcBorders>
            <w:noWrap w:val="0"/>
            <w:vAlign w:val="center"/>
          </w:tcPr>
          <w:p w14:paraId="146CEECC">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highlight w:val="none"/>
              </w:rPr>
              <w:t>项目投标授权代表人</w:t>
            </w:r>
          </w:p>
        </w:tc>
        <w:tc>
          <w:tcPr>
            <w:tcW w:w="529" w:type="pct"/>
            <w:tcBorders>
              <w:top w:val="single" w:color="auto" w:sz="4" w:space="0"/>
              <w:left w:val="single" w:color="auto" w:sz="4" w:space="0"/>
              <w:bottom w:val="single" w:color="auto" w:sz="4" w:space="0"/>
              <w:right w:val="single" w:color="auto" w:sz="4" w:space="0"/>
            </w:tcBorders>
            <w:noWrap w:val="0"/>
            <w:vAlign w:val="center"/>
          </w:tcPr>
          <w:p w14:paraId="1C5EB607">
            <w:pPr>
              <w:jc w:val="center"/>
              <w:rPr>
                <w:rFonts w:hint="eastAsia" w:ascii="宋体" w:hAnsi="宋体" w:eastAsia="宋体" w:cs="宋体"/>
                <w:color w:val="auto"/>
                <w:sz w:val="21"/>
                <w:szCs w:val="21"/>
                <w:vertAlign w:val="baseline"/>
                <w:lang w:val="en-US" w:eastAsia="zh-CN"/>
              </w:rPr>
            </w:pPr>
          </w:p>
        </w:tc>
        <w:tc>
          <w:tcPr>
            <w:tcW w:w="1113" w:type="pct"/>
            <w:gridSpan w:val="2"/>
            <w:tcBorders>
              <w:top w:val="single" w:color="auto" w:sz="4" w:space="0"/>
              <w:left w:val="single" w:color="auto" w:sz="4" w:space="0"/>
              <w:bottom w:val="single" w:color="auto" w:sz="4" w:space="0"/>
              <w:right w:val="single" w:color="auto" w:sz="4" w:space="0"/>
            </w:tcBorders>
            <w:noWrap w:val="0"/>
            <w:vAlign w:val="center"/>
          </w:tcPr>
          <w:p w14:paraId="6C74B37F">
            <w:pPr>
              <w:jc w:val="center"/>
              <w:rPr>
                <w:rFonts w:hint="eastAsia" w:ascii="宋体" w:hAnsi="宋体" w:eastAsia="宋体" w:cs="宋体"/>
                <w:color w:val="auto"/>
                <w:sz w:val="21"/>
                <w:szCs w:val="21"/>
                <w:vertAlign w:val="baseline"/>
                <w:lang w:val="en-US" w:eastAsia="zh-CN"/>
              </w:rPr>
            </w:pPr>
          </w:p>
        </w:tc>
        <w:tc>
          <w:tcPr>
            <w:tcW w:w="838" w:type="pct"/>
            <w:tcBorders>
              <w:top w:val="single" w:color="auto" w:sz="4" w:space="0"/>
              <w:left w:val="single" w:color="auto" w:sz="4" w:space="0"/>
              <w:bottom w:val="single" w:color="auto" w:sz="4" w:space="0"/>
              <w:right w:val="single" w:color="auto" w:sz="4" w:space="0"/>
            </w:tcBorders>
            <w:noWrap w:val="0"/>
            <w:vAlign w:val="center"/>
          </w:tcPr>
          <w:p w14:paraId="01672012">
            <w:pPr>
              <w:jc w:val="center"/>
              <w:rPr>
                <w:rFonts w:hint="eastAsia" w:ascii="宋体" w:hAnsi="宋体" w:eastAsia="宋体" w:cs="宋体"/>
                <w:color w:val="auto"/>
                <w:sz w:val="21"/>
                <w:szCs w:val="21"/>
                <w:vertAlign w:val="baseline"/>
                <w:lang w:val="en-US" w:eastAsia="zh-CN"/>
              </w:rPr>
            </w:pPr>
          </w:p>
        </w:tc>
        <w:tc>
          <w:tcPr>
            <w:tcW w:w="830" w:type="pct"/>
            <w:tcBorders>
              <w:top w:val="single" w:color="auto" w:sz="4" w:space="0"/>
              <w:left w:val="single" w:color="auto" w:sz="4" w:space="0"/>
              <w:bottom w:val="single" w:color="auto" w:sz="4" w:space="0"/>
              <w:right w:val="single" w:color="auto" w:sz="4" w:space="0"/>
            </w:tcBorders>
            <w:noWrap w:val="0"/>
            <w:vAlign w:val="center"/>
          </w:tcPr>
          <w:p w14:paraId="24A82846">
            <w:pPr>
              <w:jc w:val="center"/>
              <w:rPr>
                <w:rFonts w:hint="eastAsia" w:ascii="宋体" w:hAnsi="宋体" w:eastAsia="宋体" w:cs="宋体"/>
                <w:color w:val="auto"/>
                <w:sz w:val="21"/>
                <w:szCs w:val="21"/>
                <w:vertAlign w:val="baseline"/>
                <w:lang w:val="en-US" w:eastAsia="zh-CN"/>
              </w:rPr>
            </w:pPr>
          </w:p>
        </w:tc>
      </w:tr>
      <w:tr w14:paraId="234E2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tcBorders>
            <w:noWrap w:val="0"/>
            <w:vAlign w:val="center"/>
          </w:tcPr>
          <w:p w14:paraId="4438B442">
            <w:pPr>
              <w:spacing w:beforeLines="0" w:afterLine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lang w:bidi="ar"/>
              </w:rPr>
              <w:t>3</w:t>
            </w:r>
          </w:p>
        </w:tc>
        <w:tc>
          <w:tcPr>
            <w:tcW w:w="1275" w:type="pct"/>
            <w:tcBorders>
              <w:top w:val="single" w:color="auto" w:sz="4" w:space="0"/>
            </w:tcBorders>
            <w:noWrap w:val="0"/>
            <w:vAlign w:val="center"/>
          </w:tcPr>
          <w:p w14:paraId="0592BBB4">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highlight w:val="none"/>
              </w:rPr>
              <w:t>项目负责人</w:t>
            </w:r>
          </w:p>
        </w:tc>
        <w:tc>
          <w:tcPr>
            <w:tcW w:w="529" w:type="pct"/>
            <w:tcBorders>
              <w:top w:val="single" w:color="auto" w:sz="4" w:space="0"/>
            </w:tcBorders>
            <w:noWrap w:val="0"/>
            <w:vAlign w:val="center"/>
          </w:tcPr>
          <w:p w14:paraId="03684A2B">
            <w:pPr>
              <w:jc w:val="center"/>
              <w:rPr>
                <w:rFonts w:hint="eastAsia" w:ascii="宋体" w:hAnsi="宋体" w:eastAsia="宋体" w:cs="宋体"/>
                <w:color w:val="auto"/>
                <w:sz w:val="21"/>
                <w:szCs w:val="21"/>
                <w:vertAlign w:val="baseline"/>
                <w:lang w:val="en-US" w:eastAsia="zh-CN"/>
              </w:rPr>
            </w:pPr>
          </w:p>
        </w:tc>
        <w:tc>
          <w:tcPr>
            <w:tcW w:w="1113" w:type="pct"/>
            <w:gridSpan w:val="2"/>
            <w:tcBorders>
              <w:top w:val="single" w:color="auto" w:sz="4" w:space="0"/>
            </w:tcBorders>
            <w:noWrap w:val="0"/>
            <w:vAlign w:val="center"/>
          </w:tcPr>
          <w:p w14:paraId="51F1EAE2">
            <w:pPr>
              <w:jc w:val="center"/>
              <w:rPr>
                <w:rFonts w:hint="eastAsia" w:ascii="宋体" w:hAnsi="宋体" w:eastAsia="宋体" w:cs="宋体"/>
                <w:color w:val="auto"/>
                <w:sz w:val="21"/>
                <w:szCs w:val="21"/>
                <w:vertAlign w:val="baseline"/>
                <w:lang w:val="en-US" w:eastAsia="zh-CN"/>
              </w:rPr>
            </w:pPr>
          </w:p>
        </w:tc>
        <w:tc>
          <w:tcPr>
            <w:tcW w:w="838" w:type="pct"/>
            <w:tcBorders>
              <w:top w:val="single" w:color="auto" w:sz="4" w:space="0"/>
            </w:tcBorders>
            <w:noWrap w:val="0"/>
            <w:vAlign w:val="center"/>
          </w:tcPr>
          <w:p w14:paraId="6E3CEA35">
            <w:pPr>
              <w:jc w:val="center"/>
              <w:rPr>
                <w:rFonts w:hint="eastAsia" w:ascii="宋体" w:hAnsi="宋体" w:eastAsia="宋体" w:cs="宋体"/>
                <w:color w:val="auto"/>
                <w:sz w:val="21"/>
                <w:szCs w:val="21"/>
                <w:vertAlign w:val="baseline"/>
                <w:lang w:val="en-US" w:eastAsia="zh-CN"/>
              </w:rPr>
            </w:pPr>
          </w:p>
        </w:tc>
        <w:tc>
          <w:tcPr>
            <w:tcW w:w="830" w:type="pct"/>
            <w:tcBorders>
              <w:top w:val="single" w:color="auto" w:sz="4" w:space="0"/>
            </w:tcBorders>
            <w:noWrap w:val="0"/>
            <w:vAlign w:val="center"/>
          </w:tcPr>
          <w:p w14:paraId="4A858513">
            <w:pPr>
              <w:jc w:val="center"/>
              <w:rPr>
                <w:rFonts w:hint="eastAsia" w:ascii="宋体" w:hAnsi="宋体" w:eastAsia="宋体" w:cs="宋体"/>
                <w:color w:val="auto"/>
                <w:sz w:val="21"/>
                <w:szCs w:val="21"/>
                <w:vertAlign w:val="baseline"/>
                <w:lang w:val="en-US" w:eastAsia="zh-CN"/>
              </w:rPr>
            </w:pPr>
          </w:p>
        </w:tc>
      </w:tr>
      <w:tr w14:paraId="750B0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noWrap w:val="0"/>
            <w:vAlign w:val="center"/>
          </w:tcPr>
          <w:p w14:paraId="2B452250">
            <w:pPr>
              <w:spacing w:beforeLines="0" w:afterLine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lang w:bidi="ar"/>
              </w:rPr>
              <w:t>4</w:t>
            </w:r>
          </w:p>
        </w:tc>
        <w:tc>
          <w:tcPr>
            <w:tcW w:w="1275" w:type="pct"/>
            <w:noWrap w:val="0"/>
            <w:vAlign w:val="center"/>
          </w:tcPr>
          <w:p w14:paraId="44DF012E">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highlight w:val="none"/>
              </w:rPr>
              <w:t>主要技术人员</w:t>
            </w:r>
          </w:p>
        </w:tc>
        <w:tc>
          <w:tcPr>
            <w:tcW w:w="529" w:type="pct"/>
            <w:noWrap w:val="0"/>
            <w:vAlign w:val="center"/>
          </w:tcPr>
          <w:p w14:paraId="0977CBAA">
            <w:pPr>
              <w:jc w:val="center"/>
              <w:rPr>
                <w:rFonts w:hint="eastAsia" w:ascii="宋体" w:hAnsi="宋体" w:eastAsia="宋体" w:cs="宋体"/>
                <w:color w:val="auto"/>
                <w:sz w:val="21"/>
                <w:szCs w:val="21"/>
                <w:vertAlign w:val="baseline"/>
                <w:lang w:val="en-US" w:eastAsia="zh-CN"/>
              </w:rPr>
            </w:pPr>
          </w:p>
        </w:tc>
        <w:tc>
          <w:tcPr>
            <w:tcW w:w="1113" w:type="pct"/>
            <w:gridSpan w:val="2"/>
            <w:noWrap w:val="0"/>
            <w:vAlign w:val="center"/>
          </w:tcPr>
          <w:p w14:paraId="09DDC72B">
            <w:pPr>
              <w:jc w:val="center"/>
              <w:rPr>
                <w:rFonts w:hint="eastAsia" w:ascii="宋体" w:hAnsi="宋体" w:eastAsia="宋体" w:cs="宋体"/>
                <w:color w:val="auto"/>
                <w:sz w:val="21"/>
                <w:szCs w:val="21"/>
                <w:vertAlign w:val="baseline"/>
                <w:lang w:val="en-US" w:eastAsia="zh-CN"/>
              </w:rPr>
            </w:pPr>
          </w:p>
        </w:tc>
        <w:tc>
          <w:tcPr>
            <w:tcW w:w="838" w:type="pct"/>
            <w:noWrap w:val="0"/>
            <w:vAlign w:val="center"/>
          </w:tcPr>
          <w:p w14:paraId="3AFE01FE">
            <w:pPr>
              <w:jc w:val="center"/>
              <w:rPr>
                <w:rFonts w:hint="eastAsia" w:ascii="宋体" w:hAnsi="宋体" w:eastAsia="宋体" w:cs="宋体"/>
                <w:color w:val="auto"/>
                <w:sz w:val="21"/>
                <w:szCs w:val="21"/>
                <w:vertAlign w:val="baseline"/>
                <w:lang w:val="en-US" w:eastAsia="zh-CN"/>
              </w:rPr>
            </w:pPr>
          </w:p>
        </w:tc>
        <w:tc>
          <w:tcPr>
            <w:tcW w:w="830" w:type="pct"/>
            <w:noWrap w:val="0"/>
            <w:vAlign w:val="center"/>
          </w:tcPr>
          <w:p w14:paraId="04D39AC1">
            <w:pPr>
              <w:jc w:val="center"/>
              <w:rPr>
                <w:rFonts w:hint="eastAsia" w:ascii="宋体" w:hAnsi="宋体" w:eastAsia="宋体" w:cs="宋体"/>
                <w:color w:val="auto"/>
                <w:sz w:val="21"/>
                <w:szCs w:val="21"/>
                <w:vertAlign w:val="baseline"/>
                <w:lang w:val="en-US" w:eastAsia="zh-CN"/>
              </w:rPr>
            </w:pPr>
          </w:p>
        </w:tc>
      </w:tr>
      <w:tr w14:paraId="58DBF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noWrap w:val="0"/>
            <w:vAlign w:val="center"/>
          </w:tcPr>
          <w:p w14:paraId="5711A04A">
            <w:pPr>
              <w:spacing w:beforeLines="0" w:afterLine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lang w:bidi="ar"/>
              </w:rPr>
              <w:t>5</w:t>
            </w:r>
          </w:p>
        </w:tc>
        <w:tc>
          <w:tcPr>
            <w:tcW w:w="1275" w:type="pct"/>
            <w:noWrap w:val="0"/>
            <w:vAlign w:val="center"/>
          </w:tcPr>
          <w:p w14:paraId="3B4CA67F">
            <w:pPr>
              <w:widowControl w:val="0"/>
              <w:snapToGrid w:val="0"/>
              <w:ind w:left="0" w:leftChars="0" w:firstLine="0" w:firstLine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highlight w:val="none"/>
                <w:lang w:val="en-US" w:eastAsia="zh-CN" w:bidi="ar-SA"/>
              </w:rPr>
              <w:t>投标文件编制人员</w:t>
            </w:r>
          </w:p>
        </w:tc>
        <w:tc>
          <w:tcPr>
            <w:tcW w:w="529" w:type="pct"/>
            <w:noWrap w:val="0"/>
            <w:vAlign w:val="center"/>
          </w:tcPr>
          <w:p w14:paraId="11DEA37C">
            <w:pPr>
              <w:jc w:val="center"/>
              <w:rPr>
                <w:rFonts w:hint="eastAsia" w:ascii="宋体" w:hAnsi="宋体" w:eastAsia="宋体" w:cs="宋体"/>
                <w:color w:val="auto"/>
                <w:sz w:val="21"/>
                <w:szCs w:val="21"/>
                <w:vertAlign w:val="baseline"/>
                <w:lang w:val="en-US" w:eastAsia="zh-CN"/>
              </w:rPr>
            </w:pPr>
          </w:p>
        </w:tc>
        <w:tc>
          <w:tcPr>
            <w:tcW w:w="1113" w:type="pct"/>
            <w:gridSpan w:val="2"/>
            <w:noWrap w:val="0"/>
            <w:vAlign w:val="center"/>
          </w:tcPr>
          <w:p w14:paraId="5441BF83">
            <w:pPr>
              <w:jc w:val="center"/>
              <w:rPr>
                <w:rFonts w:hint="eastAsia" w:ascii="宋体" w:hAnsi="宋体" w:eastAsia="宋体" w:cs="宋体"/>
                <w:color w:val="auto"/>
                <w:sz w:val="21"/>
                <w:szCs w:val="21"/>
                <w:vertAlign w:val="baseline"/>
                <w:lang w:val="en-US" w:eastAsia="zh-CN"/>
              </w:rPr>
            </w:pPr>
          </w:p>
        </w:tc>
        <w:tc>
          <w:tcPr>
            <w:tcW w:w="838" w:type="pct"/>
            <w:noWrap w:val="0"/>
            <w:vAlign w:val="center"/>
          </w:tcPr>
          <w:p w14:paraId="1836C561">
            <w:pPr>
              <w:jc w:val="center"/>
              <w:rPr>
                <w:rFonts w:hint="eastAsia" w:ascii="宋体" w:hAnsi="宋体" w:eastAsia="宋体" w:cs="宋体"/>
                <w:color w:val="auto"/>
                <w:sz w:val="21"/>
                <w:szCs w:val="21"/>
                <w:vertAlign w:val="baseline"/>
                <w:lang w:val="en-US" w:eastAsia="zh-CN"/>
              </w:rPr>
            </w:pPr>
          </w:p>
        </w:tc>
        <w:tc>
          <w:tcPr>
            <w:tcW w:w="830" w:type="pct"/>
            <w:noWrap w:val="0"/>
            <w:vAlign w:val="center"/>
          </w:tcPr>
          <w:p w14:paraId="5AE8F643">
            <w:pPr>
              <w:jc w:val="center"/>
              <w:rPr>
                <w:rFonts w:hint="eastAsia" w:ascii="宋体" w:hAnsi="宋体" w:eastAsia="宋体" w:cs="宋体"/>
                <w:color w:val="auto"/>
                <w:sz w:val="21"/>
                <w:szCs w:val="21"/>
                <w:vertAlign w:val="baseline"/>
                <w:lang w:val="en-US" w:eastAsia="zh-CN"/>
              </w:rPr>
            </w:pPr>
          </w:p>
        </w:tc>
      </w:tr>
      <w:tr w14:paraId="083A1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7"/>
            <w:noWrap w:val="0"/>
            <w:vAlign w:val="center"/>
          </w:tcPr>
          <w:p w14:paraId="0670994E">
            <w:pPr>
              <w:jc w:val="left"/>
              <w:rPr>
                <w:rFonts w:hint="eastAsia" w:ascii="宋体" w:hAnsi="宋体" w:eastAsia="宋体" w:cs="宋体"/>
                <w:color w:val="auto"/>
                <w:sz w:val="21"/>
                <w:szCs w:val="21"/>
                <w:vertAlign w:val="baseline"/>
                <w:lang w:val="en-US" w:eastAsia="zh-CN"/>
              </w:rPr>
            </w:pPr>
            <w:r>
              <w:rPr>
                <w:rFonts w:hint="eastAsia" w:ascii="宋体" w:hAnsi="宋体" w:eastAsia="宋体" w:cs="宋体"/>
                <w:b/>
                <w:bCs/>
                <w:color w:val="auto"/>
                <w:sz w:val="21"/>
                <w:szCs w:val="21"/>
                <w:highlight w:val="none"/>
                <w:vertAlign w:val="baseline"/>
                <w:lang w:val="en-US" w:eastAsia="zh-CN"/>
              </w:rPr>
              <w:t>说明：同一职务有多人担任（如主要技术人员），应分行填写。</w:t>
            </w:r>
          </w:p>
        </w:tc>
      </w:tr>
      <w:tr w14:paraId="08665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000" w:type="pct"/>
            <w:gridSpan w:val="7"/>
            <w:noWrap w:val="0"/>
            <w:vAlign w:val="center"/>
          </w:tcPr>
          <w:p w14:paraId="2C798FC0">
            <w:pPr>
              <w:jc w:val="center"/>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投标（响应）供应商关联关系情况</w:t>
            </w:r>
          </w:p>
        </w:tc>
      </w:tr>
      <w:tr w14:paraId="1FC1F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bottom w:val="single" w:color="auto" w:sz="4" w:space="0"/>
            </w:tcBorders>
            <w:noWrap w:val="0"/>
            <w:vAlign w:val="center"/>
          </w:tcPr>
          <w:p w14:paraId="0AF187A7">
            <w:pPr>
              <w:jc w:val="center"/>
              <w:rPr>
                <w:rFonts w:hint="eastAsia" w:ascii="宋体" w:hAnsi="宋体" w:eastAsia="宋体" w:cs="宋体"/>
                <w:color w:val="auto"/>
                <w:sz w:val="21"/>
                <w:szCs w:val="21"/>
                <w:vertAlign w:val="baseline"/>
                <w:lang w:val="en-US" w:eastAsia="zh-CN" w:bidi="ar"/>
              </w:rPr>
            </w:pPr>
            <w:r>
              <w:rPr>
                <w:rFonts w:hint="eastAsia" w:ascii="宋体" w:hAnsi="宋体" w:eastAsia="宋体" w:cs="宋体"/>
                <w:color w:val="auto"/>
                <w:sz w:val="21"/>
                <w:szCs w:val="21"/>
                <w:vertAlign w:val="baseline"/>
                <w:lang w:val="en-US" w:eastAsia="zh-CN" w:bidi="ar"/>
              </w:rPr>
              <w:t>序号</w:t>
            </w:r>
          </w:p>
        </w:tc>
        <w:tc>
          <w:tcPr>
            <w:tcW w:w="1275" w:type="pct"/>
            <w:tcBorders>
              <w:bottom w:val="single" w:color="auto" w:sz="4" w:space="0"/>
            </w:tcBorders>
            <w:noWrap w:val="0"/>
            <w:vAlign w:val="center"/>
          </w:tcPr>
          <w:p w14:paraId="79143650">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vertAlign w:val="baseline"/>
                <w:lang w:val="en-US" w:eastAsia="zh-CN"/>
              </w:rPr>
              <w:t>关联关系类型</w:t>
            </w:r>
          </w:p>
        </w:tc>
        <w:tc>
          <w:tcPr>
            <w:tcW w:w="971" w:type="pct"/>
            <w:gridSpan w:val="2"/>
            <w:tcBorders>
              <w:bottom w:val="single" w:color="auto" w:sz="4" w:space="0"/>
            </w:tcBorders>
            <w:noWrap w:val="0"/>
            <w:vAlign w:val="center"/>
          </w:tcPr>
          <w:p w14:paraId="22F9AA43">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关联主体名称</w:t>
            </w:r>
          </w:p>
        </w:tc>
        <w:tc>
          <w:tcPr>
            <w:tcW w:w="2340" w:type="pct"/>
            <w:gridSpan w:val="3"/>
            <w:tcBorders>
              <w:bottom w:val="single" w:color="auto" w:sz="4" w:space="0"/>
            </w:tcBorders>
            <w:noWrap w:val="0"/>
            <w:vAlign w:val="center"/>
          </w:tcPr>
          <w:p w14:paraId="2569A38C">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备注</w:t>
            </w:r>
          </w:p>
        </w:tc>
      </w:tr>
      <w:tr w14:paraId="0F249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14:paraId="68DB8A9A">
            <w:pPr>
              <w:jc w:val="center"/>
              <w:rPr>
                <w:rFonts w:hint="eastAsia" w:ascii="宋体" w:hAnsi="宋体" w:eastAsia="宋体" w:cs="宋体"/>
                <w:color w:val="auto"/>
                <w:sz w:val="21"/>
                <w:szCs w:val="21"/>
                <w:vertAlign w:val="baseline"/>
                <w:lang w:val="en-US" w:eastAsia="zh-CN" w:bidi="ar"/>
              </w:rPr>
            </w:pPr>
            <w:r>
              <w:rPr>
                <w:rFonts w:hint="eastAsia" w:ascii="宋体" w:hAnsi="宋体" w:eastAsia="宋体" w:cs="宋体"/>
                <w:color w:val="auto"/>
                <w:sz w:val="21"/>
                <w:szCs w:val="21"/>
                <w:vertAlign w:val="baseline"/>
                <w:lang w:val="en-US" w:eastAsia="zh-CN" w:bidi="ar"/>
              </w:rPr>
              <w:t>1</w:t>
            </w:r>
          </w:p>
        </w:tc>
        <w:tc>
          <w:tcPr>
            <w:tcW w:w="1275" w:type="pct"/>
            <w:tcBorders>
              <w:top w:val="single" w:color="auto" w:sz="4" w:space="0"/>
              <w:left w:val="single" w:color="auto" w:sz="4" w:space="0"/>
              <w:bottom w:val="single" w:color="auto" w:sz="4" w:space="0"/>
              <w:right w:val="single" w:color="auto" w:sz="4" w:space="0"/>
            </w:tcBorders>
            <w:noWrap w:val="0"/>
            <w:vAlign w:val="center"/>
          </w:tcPr>
          <w:p w14:paraId="439AEE0C">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控股股东</w:t>
            </w:r>
          </w:p>
        </w:tc>
        <w:tc>
          <w:tcPr>
            <w:tcW w:w="971" w:type="pct"/>
            <w:gridSpan w:val="2"/>
            <w:tcBorders>
              <w:top w:val="single" w:color="auto" w:sz="4" w:space="0"/>
              <w:left w:val="single" w:color="auto" w:sz="4" w:space="0"/>
              <w:bottom w:val="single" w:color="auto" w:sz="4" w:space="0"/>
              <w:right w:val="single" w:color="auto" w:sz="4" w:space="0"/>
            </w:tcBorders>
            <w:noWrap w:val="0"/>
            <w:vAlign w:val="center"/>
          </w:tcPr>
          <w:p w14:paraId="3FD16749">
            <w:pPr>
              <w:jc w:val="center"/>
              <w:rPr>
                <w:rFonts w:hint="eastAsia" w:ascii="宋体" w:hAnsi="宋体" w:eastAsia="宋体" w:cs="宋体"/>
                <w:color w:val="auto"/>
                <w:sz w:val="21"/>
                <w:szCs w:val="21"/>
                <w:highlight w:val="none"/>
                <w:vertAlign w:val="baseline"/>
                <w:lang w:val="en-US" w:eastAsia="zh-CN"/>
              </w:rPr>
            </w:pPr>
          </w:p>
        </w:tc>
        <w:tc>
          <w:tcPr>
            <w:tcW w:w="2340" w:type="pct"/>
            <w:gridSpan w:val="3"/>
            <w:tcBorders>
              <w:top w:val="single" w:color="auto" w:sz="4" w:space="0"/>
              <w:left w:val="single" w:color="auto" w:sz="4" w:space="0"/>
              <w:bottom w:val="single" w:color="auto" w:sz="4" w:space="0"/>
              <w:right w:val="single" w:color="auto" w:sz="4" w:space="0"/>
            </w:tcBorders>
            <w:noWrap w:val="0"/>
            <w:vAlign w:val="center"/>
          </w:tcPr>
          <w:p w14:paraId="499170A9">
            <w:pPr>
              <w:snapToGrid w:val="0"/>
              <w:jc w:val="left"/>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11957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14:paraId="2C6BED85">
            <w:pPr>
              <w:jc w:val="center"/>
              <w:rPr>
                <w:rFonts w:hint="eastAsia" w:ascii="宋体" w:hAnsi="宋体" w:eastAsia="宋体" w:cs="宋体"/>
                <w:color w:val="auto"/>
                <w:sz w:val="21"/>
                <w:szCs w:val="21"/>
                <w:vertAlign w:val="baseline"/>
                <w:lang w:val="en-US" w:eastAsia="zh-CN" w:bidi="ar"/>
              </w:rPr>
            </w:pPr>
            <w:r>
              <w:rPr>
                <w:rFonts w:hint="eastAsia" w:ascii="宋体" w:hAnsi="宋体" w:eastAsia="宋体" w:cs="宋体"/>
                <w:color w:val="auto"/>
                <w:sz w:val="21"/>
                <w:szCs w:val="21"/>
                <w:vertAlign w:val="baseline"/>
                <w:lang w:val="en-US" w:eastAsia="zh-CN" w:bidi="ar"/>
              </w:rPr>
              <w:t>2</w:t>
            </w:r>
          </w:p>
        </w:tc>
        <w:tc>
          <w:tcPr>
            <w:tcW w:w="1275" w:type="pct"/>
            <w:tcBorders>
              <w:top w:val="single" w:color="auto" w:sz="4" w:space="0"/>
              <w:left w:val="single" w:color="auto" w:sz="4" w:space="0"/>
              <w:bottom w:val="single" w:color="auto" w:sz="4" w:space="0"/>
              <w:right w:val="single" w:color="auto" w:sz="4" w:space="0"/>
            </w:tcBorders>
            <w:noWrap w:val="0"/>
            <w:vAlign w:val="center"/>
          </w:tcPr>
          <w:p w14:paraId="65837A68">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管理关系</w:t>
            </w:r>
          </w:p>
        </w:tc>
        <w:tc>
          <w:tcPr>
            <w:tcW w:w="971" w:type="pct"/>
            <w:gridSpan w:val="2"/>
            <w:tcBorders>
              <w:top w:val="single" w:color="auto" w:sz="4" w:space="0"/>
              <w:left w:val="single" w:color="auto" w:sz="4" w:space="0"/>
              <w:bottom w:val="single" w:color="auto" w:sz="4" w:space="0"/>
              <w:right w:val="single" w:color="auto" w:sz="4" w:space="0"/>
            </w:tcBorders>
            <w:noWrap w:val="0"/>
            <w:vAlign w:val="center"/>
          </w:tcPr>
          <w:p w14:paraId="755B619C">
            <w:pPr>
              <w:jc w:val="center"/>
              <w:rPr>
                <w:rFonts w:hint="eastAsia" w:ascii="宋体" w:hAnsi="宋体" w:eastAsia="宋体" w:cs="宋体"/>
                <w:color w:val="auto"/>
                <w:sz w:val="21"/>
                <w:szCs w:val="21"/>
                <w:highlight w:val="none"/>
                <w:vertAlign w:val="baseline"/>
                <w:lang w:val="en-US" w:eastAsia="zh-CN"/>
              </w:rPr>
            </w:pPr>
          </w:p>
        </w:tc>
        <w:tc>
          <w:tcPr>
            <w:tcW w:w="2340" w:type="pct"/>
            <w:gridSpan w:val="3"/>
            <w:tcBorders>
              <w:top w:val="single" w:color="auto" w:sz="4" w:space="0"/>
              <w:left w:val="single" w:color="auto" w:sz="4" w:space="0"/>
              <w:bottom w:val="single" w:color="auto" w:sz="4" w:space="0"/>
              <w:right w:val="single" w:color="auto" w:sz="4" w:space="0"/>
            </w:tcBorders>
            <w:noWrap w:val="0"/>
            <w:vAlign w:val="center"/>
          </w:tcPr>
          <w:p w14:paraId="695FBB9B">
            <w:pPr>
              <w:snapToGrid w:val="0"/>
              <w:jc w:val="left"/>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指对投标（响应）供应商不具有出资持股关系，但对其存在管理关系的主体。</w:t>
            </w:r>
          </w:p>
        </w:tc>
      </w:tr>
      <w:tr w14:paraId="3D3D9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5000" w:type="pct"/>
            <w:gridSpan w:val="7"/>
            <w:tcBorders>
              <w:top w:val="single" w:color="auto" w:sz="4" w:space="0"/>
              <w:left w:val="single" w:color="auto" w:sz="4" w:space="0"/>
              <w:bottom w:val="single" w:color="auto" w:sz="4" w:space="0"/>
              <w:right w:val="single" w:color="auto" w:sz="4" w:space="0"/>
            </w:tcBorders>
            <w:noWrap w:val="0"/>
            <w:vAlign w:val="center"/>
          </w:tcPr>
          <w:p w14:paraId="19F8A2CF">
            <w:pPr>
              <w:snapToGrid w:val="0"/>
              <w:jc w:val="left"/>
              <w:rPr>
                <w:rFonts w:hint="default" w:ascii="宋体" w:hAnsi="宋体" w:eastAsia="宋体" w:cs="宋体"/>
                <w:b/>
                <w:bCs/>
                <w:color w:val="FF0000"/>
                <w:sz w:val="21"/>
                <w:szCs w:val="21"/>
                <w:highlight w:val="none"/>
                <w:vertAlign w:val="baseline"/>
                <w:lang w:val="en-US" w:eastAsia="zh-CN"/>
              </w:rPr>
            </w:pPr>
            <w:r>
              <w:rPr>
                <w:rFonts w:hint="default" w:ascii="宋体" w:hAnsi="宋体" w:eastAsia="宋体" w:cs="宋体"/>
                <w:b/>
                <w:bCs/>
                <w:color w:val="FF0000"/>
                <w:sz w:val="21"/>
                <w:szCs w:val="21"/>
                <w:highlight w:val="none"/>
                <w:vertAlign w:val="baseline"/>
                <w:lang w:val="en-US" w:eastAsia="zh-CN"/>
              </w:rPr>
              <w:t>说明：1.同一关联关系类型有多个主体的，应分行填写。</w:t>
            </w:r>
          </w:p>
          <w:p w14:paraId="063269B7">
            <w:pPr>
              <w:snapToGrid w:val="0"/>
              <w:jc w:val="left"/>
              <w:rPr>
                <w:rFonts w:hint="eastAsia" w:ascii="宋体" w:hAnsi="宋体" w:eastAsia="宋体" w:cs="宋体"/>
                <w:color w:val="auto"/>
                <w:sz w:val="21"/>
                <w:szCs w:val="21"/>
                <w:highlight w:val="none"/>
                <w:vertAlign w:val="baseline"/>
                <w:lang w:val="en-US" w:eastAsia="zh-CN"/>
              </w:rPr>
            </w:pPr>
            <w:r>
              <w:rPr>
                <w:rFonts w:hint="default" w:ascii="宋体" w:hAnsi="宋体" w:eastAsia="宋体" w:cs="宋体"/>
                <w:b/>
                <w:bCs/>
                <w:color w:val="FF0000"/>
                <w:sz w:val="21"/>
                <w:szCs w:val="21"/>
                <w:highlight w:val="none"/>
                <w:vertAlign w:val="baseline"/>
                <w:lang w:val="en-US" w:eastAsia="zh-CN"/>
              </w:rPr>
              <w:t>2.《供应商基本情况表》为必填内容，若存在异常且不符合要求的供应商资格性审查将不予通过，作投标无效处理。</w:t>
            </w:r>
          </w:p>
        </w:tc>
      </w:tr>
    </w:tbl>
    <w:p w14:paraId="732BBE35">
      <w:pPr>
        <w:autoSpaceDE w:val="0"/>
        <w:autoSpaceDN w:val="0"/>
        <w:adjustRightInd w:val="0"/>
        <w:snapToGrid w:val="0"/>
        <w:jc w:val="left"/>
        <w:rPr>
          <w:rFonts w:ascii="Arial" w:hAnsi="Arial" w:eastAsia="宋体" w:cs="Times New Roman"/>
          <w:b/>
          <w:sz w:val="24"/>
          <w:szCs w:val="24"/>
        </w:rPr>
      </w:pPr>
    </w:p>
    <w:p w14:paraId="7BC8D962">
      <w:pPr>
        <w:widowControl/>
        <w:jc w:val="center"/>
        <w:rPr>
          <w:rFonts w:ascii="Arial" w:hAnsi="Arial" w:eastAsia="宋体" w:cs="Times New Roman"/>
          <w:b/>
          <w:sz w:val="24"/>
          <w:szCs w:val="24"/>
        </w:rPr>
      </w:pPr>
    </w:p>
    <w:p w14:paraId="364222E2">
      <w:pPr>
        <w:widowControl/>
        <w:jc w:val="center"/>
        <w:rPr>
          <w:rFonts w:ascii="Arial" w:hAnsi="Arial" w:eastAsia="宋体" w:cs="Times New Roman"/>
          <w:b/>
          <w:sz w:val="24"/>
          <w:szCs w:val="24"/>
        </w:rPr>
      </w:pPr>
      <w:r>
        <w:rPr>
          <w:rFonts w:hint="eastAsia" w:ascii="Arial" w:hAnsi="Arial" w:eastAsia="宋体" w:cs="Times New Roman"/>
          <w:b/>
          <w:sz w:val="24"/>
          <w:szCs w:val="24"/>
        </w:rPr>
        <w:t>（本章未提供的招标要求的其他文件格式由供应商自拟）</w:t>
      </w:r>
    </w:p>
    <w:p w14:paraId="6E4FF7FF">
      <w:pPr>
        <w:widowControl/>
        <w:jc w:val="center"/>
        <w:rPr>
          <w:rFonts w:ascii="Arial" w:hAnsi="Arial" w:eastAsia="宋体" w:cs="Times New Roman"/>
          <w:szCs w:val="24"/>
        </w:rPr>
      </w:pPr>
      <w:r>
        <w:rPr>
          <w:rFonts w:ascii="Arial" w:hAnsi="Arial" w:eastAsia="宋体" w:cs="Times New Roman"/>
          <w:szCs w:val="24"/>
        </w:rPr>
        <w:br w:type="page"/>
      </w:r>
    </w:p>
    <w:p w14:paraId="5E909390">
      <w:pPr>
        <w:spacing w:after="78" w:afterLines="25" w:line="300" w:lineRule="auto"/>
        <w:outlineLvl w:val="2"/>
        <w:rPr>
          <w:rFonts w:ascii="Arial" w:hAnsi="Arial" w:eastAsia="宋体" w:cs="Times New Roman"/>
          <w:b/>
          <w:color w:val="FF0000"/>
          <w:sz w:val="32"/>
          <w:szCs w:val="32"/>
        </w:rPr>
      </w:pPr>
      <w:r>
        <w:rPr>
          <w:rFonts w:hint="eastAsia" w:ascii="Arial" w:hAnsi="Arial" w:eastAsia="宋体" w:cs="Times New Roman"/>
          <w:b/>
          <w:color w:val="FF0000"/>
          <w:sz w:val="32"/>
          <w:szCs w:val="32"/>
        </w:rPr>
        <w:t>（二）投标文件附件</w:t>
      </w:r>
    </w:p>
    <w:p w14:paraId="62744277">
      <w:pPr>
        <w:pStyle w:val="4"/>
        <w:jc w:val="center"/>
        <w:rPr>
          <w:rFonts w:hint="eastAsia" w:ascii="黑体" w:eastAsia="黑体"/>
          <w:b w:val="0"/>
          <w:sz w:val="24"/>
        </w:rPr>
      </w:pPr>
      <w:r>
        <w:rPr>
          <w:rFonts w:hint="eastAsia" w:ascii="黑体" w:eastAsia="黑体"/>
          <w:b w:val="0"/>
          <w:sz w:val="24"/>
        </w:rPr>
        <w:t>一、</w:t>
      </w:r>
      <w:bookmarkStart w:id="38" w:name="_Hlk72092499"/>
      <w:r>
        <w:rPr>
          <w:rFonts w:hint="eastAsia" w:ascii="黑体" w:eastAsia="黑体"/>
          <w:b w:val="0"/>
          <w:sz w:val="24"/>
        </w:rPr>
        <w:t>法定代表人（负责人）证明书</w:t>
      </w:r>
      <w:bookmarkEnd w:id="38"/>
    </w:p>
    <w:p w14:paraId="26ACFBC7">
      <w:pPr>
        <w:rPr>
          <w:sz w:val="24"/>
        </w:rPr>
      </w:pPr>
    </w:p>
    <w:p w14:paraId="71146461">
      <w:pPr>
        <w:spacing w:line="360" w:lineRule="auto"/>
        <w:ind w:firstLine="420" w:firstLineChars="200"/>
        <w:rPr>
          <w:rFonts w:eastAsia="宋体"/>
          <w:szCs w:val="21"/>
        </w:rPr>
      </w:pPr>
      <w:r>
        <w:rPr>
          <w:rFonts w:hint="eastAsia"/>
          <w:szCs w:val="21"/>
          <w:u w:val="single"/>
        </w:rPr>
        <w:t xml:space="preserve">                 </w:t>
      </w:r>
      <w:r>
        <w:rPr>
          <w:rFonts w:hint="eastAsia"/>
          <w:szCs w:val="21"/>
        </w:rPr>
        <w:t>（姓名），现任我单位</w:t>
      </w:r>
      <w:r>
        <w:rPr>
          <w:rFonts w:hint="eastAsia"/>
          <w:szCs w:val="21"/>
          <w:u w:val="single"/>
        </w:rPr>
        <w:t xml:space="preserve">             </w:t>
      </w:r>
      <w:r>
        <w:rPr>
          <w:rFonts w:hint="eastAsia"/>
          <w:szCs w:val="21"/>
        </w:rPr>
        <w:t>职务，为法定代表人（负责人），身份证件号为：</w:t>
      </w:r>
      <w:r>
        <w:rPr>
          <w:rFonts w:hint="eastAsia"/>
          <w:szCs w:val="21"/>
          <w:u w:val="single"/>
        </w:rPr>
        <w:t xml:space="preserve">                                     </w:t>
      </w:r>
      <w:r>
        <w:rPr>
          <w:rFonts w:hint="eastAsia"/>
          <w:szCs w:val="21"/>
        </w:rPr>
        <w:t>，联系电话：</w:t>
      </w:r>
      <w:r>
        <w:rPr>
          <w:rFonts w:hint="eastAsia"/>
          <w:szCs w:val="21"/>
          <w:u w:val="single"/>
        </w:rPr>
        <w:t xml:space="preserve">                </w:t>
      </w:r>
      <w:r>
        <w:rPr>
          <w:rFonts w:hint="eastAsia"/>
          <w:szCs w:val="21"/>
        </w:rPr>
        <w:t>。</w:t>
      </w:r>
    </w:p>
    <w:p w14:paraId="330B917D">
      <w:pPr>
        <w:spacing w:line="360" w:lineRule="auto"/>
        <w:ind w:firstLine="420" w:firstLineChars="200"/>
        <w:rPr>
          <w:szCs w:val="21"/>
        </w:rPr>
      </w:pPr>
      <w:r>
        <w:rPr>
          <w:rFonts w:hint="eastAsia"/>
          <w:szCs w:val="21"/>
        </w:rPr>
        <w:t>特此证明。</w:t>
      </w:r>
    </w:p>
    <w:p w14:paraId="765628AB">
      <w:pPr>
        <w:spacing w:line="360" w:lineRule="auto"/>
        <w:ind w:firstLine="420" w:firstLineChars="200"/>
        <w:rPr>
          <w:szCs w:val="21"/>
        </w:rPr>
      </w:pPr>
      <w:r>
        <w:rPr>
          <w:rFonts w:hint="eastAsia"/>
          <w:szCs w:val="21"/>
        </w:rPr>
        <w:t>说明：1、法定代表人为投标人（企业事业单位、国家机关、社会团体）的主要行政负责人。</w:t>
      </w:r>
    </w:p>
    <w:p w14:paraId="3C2C17C8">
      <w:pPr>
        <w:numPr>
          <w:ilvl w:val="0"/>
          <w:numId w:val="5"/>
        </w:numPr>
        <w:spacing w:line="360" w:lineRule="auto"/>
        <w:ind w:firstLine="420" w:firstLineChars="200"/>
        <w:rPr>
          <w:szCs w:val="21"/>
        </w:rPr>
      </w:pPr>
      <w:r>
        <w:rPr>
          <w:rFonts w:hint="eastAsia"/>
          <w:szCs w:val="21"/>
          <w:lang w:eastAsia="zh-Hans"/>
        </w:rPr>
        <w:t>本证明书要供法定代表人（负责人）</w:t>
      </w:r>
      <w:r>
        <w:rPr>
          <w:rFonts w:hint="eastAsia"/>
          <w:szCs w:val="21"/>
        </w:rPr>
        <w:t>相关身份证明文件：身份证扫描件（正反两面）；港澳台居民可提供来往通行证扫描件；非中国国籍管辖范围人员，可提供公安部门认可的身份证明材料扫描件。</w:t>
      </w:r>
    </w:p>
    <w:p w14:paraId="50C1CF4D">
      <w:pPr>
        <w:numPr>
          <w:ilvl w:val="0"/>
          <w:numId w:val="5"/>
        </w:numPr>
        <w:spacing w:line="360" w:lineRule="auto"/>
        <w:ind w:firstLine="420" w:firstLineChars="200"/>
        <w:rPr>
          <w:szCs w:val="21"/>
        </w:rPr>
      </w:pPr>
      <w:r>
        <w:rPr>
          <w:rFonts w:hint="eastAsia"/>
          <w:szCs w:val="21"/>
          <w:lang w:eastAsia="zh-Hans"/>
        </w:rPr>
        <w:t>本项目投标授权代表为法定代表人（负责人）的，无需提供</w:t>
      </w:r>
      <w:r>
        <w:rPr>
          <w:rFonts w:hint="eastAsia"/>
          <w:szCs w:val="21"/>
        </w:rPr>
        <w:t>《投标文件签署授权委托书》</w:t>
      </w:r>
      <w:r>
        <w:rPr>
          <w:rFonts w:hint="eastAsia"/>
          <w:szCs w:val="21"/>
          <w:lang w:eastAsia="zh-Hans"/>
        </w:rPr>
        <w:t>。</w:t>
      </w:r>
    </w:p>
    <w:p w14:paraId="09095F0D">
      <w:pPr>
        <w:numPr>
          <w:ilvl w:val="0"/>
          <w:numId w:val="5"/>
        </w:numPr>
        <w:spacing w:line="360" w:lineRule="auto"/>
        <w:ind w:firstLine="420" w:firstLineChars="200"/>
        <w:rPr>
          <w:szCs w:val="21"/>
        </w:rPr>
      </w:pPr>
      <w:r>
        <w:rPr>
          <w:rFonts w:hint="eastAsia"/>
          <w:szCs w:val="21"/>
        </w:rPr>
        <w:t>内容必须填写真实、清楚，涂改无效，不得转让、买卖。</w:t>
      </w:r>
    </w:p>
    <w:tbl>
      <w:tblPr>
        <w:tblStyle w:val="18"/>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1F53C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14:paraId="1CA51F5A">
            <w:pPr>
              <w:jc w:val="center"/>
            </w:pPr>
            <w:r>
              <w:rPr>
                <w:rFonts w:hint="eastAsia"/>
              </w:rPr>
              <w:t>证件扫描件正面</w:t>
            </w:r>
          </w:p>
          <w:p w14:paraId="1CAF4D88">
            <w:pPr>
              <w:pStyle w:val="9"/>
              <w:jc w:val="center"/>
            </w:pPr>
          </w:p>
          <w:p w14:paraId="24F73D50">
            <w:pPr>
              <w:pStyle w:val="13"/>
              <w:jc w:val="center"/>
            </w:pPr>
          </w:p>
        </w:tc>
        <w:tc>
          <w:tcPr>
            <w:tcW w:w="4265" w:type="dxa"/>
          </w:tcPr>
          <w:p w14:paraId="3C7E3774">
            <w:pPr>
              <w:jc w:val="center"/>
            </w:pPr>
            <w:r>
              <w:rPr>
                <w:rFonts w:hint="eastAsia"/>
              </w:rPr>
              <w:t>证件扫描件反面</w:t>
            </w:r>
          </w:p>
          <w:p w14:paraId="049DBDBD">
            <w:pPr>
              <w:pStyle w:val="9"/>
              <w:jc w:val="center"/>
            </w:pPr>
          </w:p>
          <w:p w14:paraId="39F19D7F">
            <w:pPr>
              <w:pStyle w:val="13"/>
              <w:jc w:val="center"/>
            </w:pPr>
          </w:p>
        </w:tc>
      </w:tr>
    </w:tbl>
    <w:p w14:paraId="00D3C568">
      <w:pPr>
        <w:rPr>
          <w:rFonts w:hint="eastAsia"/>
          <w:b/>
          <w:bCs/>
          <w:color w:val="FF0000"/>
          <w:szCs w:val="21"/>
          <w:u w:val="none"/>
        </w:rPr>
      </w:pPr>
      <w:r>
        <w:rPr>
          <w:rFonts w:hint="eastAsia"/>
          <w:b/>
          <w:bCs/>
          <w:color w:val="FF0000"/>
          <w:szCs w:val="21"/>
          <w:u w:val="none"/>
        </w:rPr>
        <w:t>温馨提示：为避免出现《深圳经济特区政府采购条例实施细则》第七十五条第二项所列情形，请投标供应商核实你单位法定代表人、本项目投标授权代表人、项目负责人（如有）、主要技术人员（如有）等是否在贵公司缴纳社会保险。</w:t>
      </w:r>
    </w:p>
    <w:p w14:paraId="79E0EEC5">
      <w:pPr>
        <w:rPr>
          <w:rFonts w:hint="eastAsia"/>
          <w:b/>
          <w:bCs/>
          <w:color w:val="FF0000"/>
          <w:szCs w:val="21"/>
          <w:u w:val="none"/>
        </w:rPr>
      </w:pPr>
    </w:p>
    <w:p w14:paraId="3960C8CD">
      <w:pPr>
        <w:pStyle w:val="4"/>
        <w:spacing w:before="120" w:after="120"/>
        <w:jc w:val="center"/>
        <w:rPr>
          <w:rFonts w:hint="eastAsia" w:ascii="黑体" w:eastAsia="黑体"/>
          <w:b w:val="0"/>
          <w:sz w:val="24"/>
        </w:rPr>
      </w:pPr>
      <w:r>
        <w:rPr>
          <w:rFonts w:hint="eastAsia" w:ascii="黑体" w:eastAsia="黑体"/>
          <w:b w:val="0"/>
          <w:sz w:val="24"/>
        </w:rPr>
        <w:t>二、投标文件签署授权委托书</w:t>
      </w:r>
    </w:p>
    <w:p w14:paraId="1C8EB8B1">
      <w:pPr>
        <w:spacing w:line="360" w:lineRule="auto"/>
        <w:ind w:firstLine="420" w:firstLineChars="200"/>
        <w:rPr>
          <w:szCs w:val="21"/>
        </w:rPr>
      </w:pPr>
      <w:r>
        <w:rPr>
          <w:rFonts w:hint="eastAsia"/>
          <w:szCs w:val="21"/>
        </w:rPr>
        <w:t>本授权委托书声明：我</w:t>
      </w:r>
      <w:r>
        <w:rPr>
          <w:rFonts w:hint="eastAsia"/>
          <w:szCs w:val="21"/>
          <w:u w:val="single"/>
        </w:rPr>
        <w:t xml:space="preserve">           </w:t>
      </w:r>
      <w:r>
        <w:rPr>
          <w:rFonts w:hint="eastAsia"/>
          <w:szCs w:val="21"/>
        </w:rPr>
        <w:t>（姓名）系</w:t>
      </w:r>
      <w:r>
        <w:rPr>
          <w:rFonts w:hint="eastAsia"/>
          <w:szCs w:val="21"/>
          <w:u w:val="single"/>
        </w:rPr>
        <w:t xml:space="preserve">             </w:t>
      </w:r>
      <w:r>
        <w:rPr>
          <w:rFonts w:hint="eastAsia"/>
          <w:szCs w:val="21"/>
        </w:rPr>
        <w:t>（投标人名称）的法定代表人（负责人），现授权委托</w:t>
      </w:r>
      <w:r>
        <w:rPr>
          <w:rFonts w:hint="eastAsia"/>
          <w:szCs w:val="21"/>
          <w:u w:val="single"/>
        </w:rPr>
        <w:t xml:space="preserve">            </w:t>
      </w:r>
      <w:r>
        <w:rPr>
          <w:rFonts w:hint="eastAsia"/>
          <w:szCs w:val="21"/>
        </w:rPr>
        <w:t>（姓名）为我单位签署本项目已递交的投标文件的法定代表人（负责人）的授权委托代理人，代理人全权代表我所签署的本项目已递交的投标文件内容我均承认。</w:t>
      </w:r>
    </w:p>
    <w:p w14:paraId="4CD7E247">
      <w:pPr>
        <w:spacing w:line="360" w:lineRule="auto"/>
        <w:ind w:firstLine="420" w:firstLineChars="200"/>
        <w:rPr>
          <w:szCs w:val="21"/>
        </w:rPr>
      </w:pPr>
      <w:r>
        <w:rPr>
          <w:rFonts w:hint="eastAsia"/>
          <w:szCs w:val="21"/>
        </w:rPr>
        <w:t>代理人无转委托权，特此委托。</w:t>
      </w:r>
    </w:p>
    <w:p w14:paraId="143525DB">
      <w:pPr>
        <w:spacing w:line="360" w:lineRule="auto"/>
        <w:ind w:firstLine="420" w:firstLineChars="200"/>
        <w:rPr>
          <w:szCs w:val="21"/>
        </w:rPr>
      </w:pPr>
      <w:r>
        <w:rPr>
          <w:rFonts w:hint="eastAsia"/>
          <w:szCs w:val="21"/>
        </w:rPr>
        <w:t>代理人：</w:t>
      </w:r>
      <w:r>
        <w:rPr>
          <w:rFonts w:hint="eastAsia"/>
          <w:szCs w:val="21"/>
          <w:u w:val="single"/>
        </w:rPr>
        <w:t xml:space="preserve">              </w:t>
      </w:r>
      <w:r>
        <w:rPr>
          <w:rFonts w:hint="eastAsia"/>
          <w:szCs w:val="21"/>
        </w:rPr>
        <w:t>；</w:t>
      </w:r>
    </w:p>
    <w:p w14:paraId="583B7D97">
      <w:pPr>
        <w:spacing w:line="360" w:lineRule="auto"/>
        <w:ind w:firstLine="420" w:firstLineChars="200"/>
        <w:rPr>
          <w:szCs w:val="21"/>
        </w:rPr>
      </w:pPr>
      <w:r>
        <w:rPr>
          <w:rFonts w:hint="eastAsia"/>
          <w:szCs w:val="21"/>
        </w:rPr>
        <w:t>身份证件号：</w:t>
      </w:r>
      <w:r>
        <w:rPr>
          <w:rFonts w:hint="eastAsia"/>
          <w:szCs w:val="21"/>
          <w:u w:val="single"/>
        </w:rPr>
        <w:t xml:space="preserve">                        </w:t>
      </w:r>
      <w:r>
        <w:rPr>
          <w:rFonts w:hint="eastAsia"/>
          <w:szCs w:val="21"/>
        </w:rPr>
        <w:t>，职务：</w:t>
      </w:r>
      <w:r>
        <w:rPr>
          <w:rFonts w:hint="eastAsia"/>
          <w:szCs w:val="21"/>
          <w:u w:val="single"/>
        </w:rPr>
        <w:t xml:space="preserve">                </w:t>
      </w:r>
      <w:r>
        <w:rPr>
          <w:rFonts w:hint="eastAsia"/>
          <w:szCs w:val="21"/>
        </w:rPr>
        <w:t>；</w:t>
      </w:r>
    </w:p>
    <w:p w14:paraId="5302FE9F">
      <w:pPr>
        <w:spacing w:line="360" w:lineRule="auto"/>
        <w:ind w:firstLine="420" w:firstLineChars="200"/>
        <w:rPr>
          <w:szCs w:val="21"/>
        </w:rPr>
      </w:pPr>
      <w:r>
        <w:rPr>
          <w:rFonts w:hint="eastAsia"/>
          <w:szCs w:val="21"/>
        </w:rPr>
        <w:t>联系电话：</w:t>
      </w:r>
      <w:r>
        <w:rPr>
          <w:rFonts w:hint="eastAsia"/>
          <w:szCs w:val="21"/>
          <w:u w:val="single"/>
        </w:rPr>
        <w:t xml:space="preserve">            </w:t>
      </w:r>
      <w:r>
        <w:rPr>
          <w:rFonts w:hint="eastAsia"/>
          <w:szCs w:val="21"/>
        </w:rPr>
        <w:t>，手机：</w:t>
      </w:r>
      <w:r>
        <w:rPr>
          <w:rFonts w:hint="eastAsia"/>
          <w:szCs w:val="21"/>
          <w:u w:val="single"/>
        </w:rPr>
        <w:t xml:space="preserve">                   </w:t>
      </w:r>
      <w:r>
        <w:rPr>
          <w:rFonts w:hint="eastAsia"/>
          <w:szCs w:val="21"/>
        </w:rPr>
        <w:t>，电子邮箱：</w:t>
      </w:r>
      <w:r>
        <w:rPr>
          <w:rFonts w:hint="eastAsia"/>
          <w:szCs w:val="21"/>
          <w:u w:val="single"/>
        </w:rPr>
        <w:t xml:space="preserve">                        </w:t>
      </w:r>
      <w:r>
        <w:rPr>
          <w:rFonts w:hint="eastAsia" w:eastAsia="宋体"/>
          <w:szCs w:val="21"/>
        </w:rPr>
        <w:t>；</w:t>
      </w:r>
    </w:p>
    <w:p w14:paraId="410DBFBB">
      <w:pPr>
        <w:spacing w:line="360" w:lineRule="auto"/>
        <w:ind w:firstLine="420" w:firstLineChars="200"/>
        <w:rPr>
          <w:rFonts w:eastAsia="宋体"/>
          <w:szCs w:val="21"/>
        </w:rPr>
      </w:pPr>
      <w:r>
        <w:rPr>
          <w:rFonts w:hint="eastAsia"/>
          <w:szCs w:val="21"/>
        </w:rPr>
        <w:t>授权委托日期：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 xml:space="preserve">月 </w:t>
      </w:r>
      <w:r>
        <w:rPr>
          <w:rFonts w:hint="eastAsia"/>
          <w:szCs w:val="21"/>
          <w:u w:val="single"/>
        </w:rPr>
        <w:t xml:space="preserve">      </w:t>
      </w:r>
      <w:r>
        <w:rPr>
          <w:rFonts w:hint="eastAsia"/>
          <w:szCs w:val="21"/>
        </w:rPr>
        <w:t>日。</w:t>
      </w:r>
    </w:p>
    <w:p w14:paraId="2990FAB0">
      <w:pPr>
        <w:spacing w:line="360" w:lineRule="auto"/>
        <w:ind w:firstLine="422" w:firstLineChars="200"/>
        <w:rPr>
          <w:b/>
          <w:color w:val="FF0000"/>
          <w:szCs w:val="21"/>
        </w:rPr>
      </w:pPr>
      <w:r>
        <w:rPr>
          <w:rFonts w:hint="eastAsia"/>
          <w:b/>
          <w:color w:val="FF0000"/>
          <w:szCs w:val="21"/>
        </w:rPr>
        <w:t>附：请提供代理人身份证扫描件（正反两面）；港澳台居民可提供来往通行证扫描件；非中国国籍管辖范围人员，可提供公安部门认可的身份证明材料扫描件。</w:t>
      </w:r>
    </w:p>
    <w:tbl>
      <w:tblPr>
        <w:tblStyle w:val="18"/>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4100E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14:paraId="501C85DC">
            <w:pPr>
              <w:jc w:val="center"/>
            </w:pPr>
            <w:r>
              <w:rPr>
                <w:rFonts w:hint="eastAsia" w:ascii="Times New Roman" w:eastAsia="宋体"/>
              </w:rPr>
              <w:t>证件扫描件正面</w:t>
            </w:r>
          </w:p>
          <w:p w14:paraId="26FC7161">
            <w:pPr>
              <w:pStyle w:val="9"/>
              <w:jc w:val="center"/>
            </w:pPr>
          </w:p>
          <w:p w14:paraId="17FE0984">
            <w:pPr>
              <w:pStyle w:val="13"/>
              <w:jc w:val="center"/>
            </w:pPr>
          </w:p>
        </w:tc>
        <w:tc>
          <w:tcPr>
            <w:tcW w:w="4265" w:type="dxa"/>
          </w:tcPr>
          <w:p w14:paraId="79C6149E">
            <w:pPr>
              <w:jc w:val="center"/>
            </w:pPr>
            <w:r>
              <w:rPr>
                <w:rFonts w:hint="eastAsia" w:ascii="Times New Roman" w:eastAsia="宋体"/>
              </w:rPr>
              <w:t>证件扫描件反面</w:t>
            </w:r>
          </w:p>
          <w:p w14:paraId="1360BE52">
            <w:pPr>
              <w:pStyle w:val="9"/>
              <w:jc w:val="center"/>
            </w:pPr>
          </w:p>
          <w:p w14:paraId="1220D7CC">
            <w:pPr>
              <w:pStyle w:val="13"/>
              <w:jc w:val="center"/>
            </w:pPr>
          </w:p>
        </w:tc>
      </w:tr>
    </w:tbl>
    <w:p w14:paraId="58640C7C">
      <w:pPr>
        <w:tabs>
          <w:tab w:val="left" w:pos="651"/>
        </w:tabs>
        <w:snapToGrid w:val="0"/>
        <w:jc w:val="both"/>
        <w:rPr>
          <w:rFonts w:ascii="黑体" w:eastAsia="黑体"/>
          <w:kern w:val="0"/>
          <w:sz w:val="24"/>
          <w:szCs w:val="24"/>
        </w:rPr>
      </w:pPr>
      <w:r>
        <w:rPr>
          <w:rFonts w:hint="eastAsia"/>
          <w:b/>
          <w:bCs/>
          <w:color w:val="FF0000"/>
          <w:szCs w:val="21"/>
          <w:u w:val="none"/>
        </w:rPr>
        <w:t>温馨提示：为避免出现《深圳经济特区政府采购条例实施细则》第七十五条第二项所列情形，请投标供应商核实你单位法定代表人、本项目投标授权代表人、项目负责人（如有）、主要技术人员（如有）等是否在贵公司缴纳社会保险。</w:t>
      </w:r>
    </w:p>
    <w:p w14:paraId="15FBD5CF">
      <w:pPr>
        <w:tabs>
          <w:tab w:val="left" w:pos="651"/>
        </w:tabs>
        <w:snapToGrid w:val="0"/>
        <w:jc w:val="center"/>
        <w:rPr>
          <w:rFonts w:ascii="黑体" w:eastAsia="黑体"/>
          <w:kern w:val="0"/>
          <w:sz w:val="24"/>
          <w:szCs w:val="24"/>
        </w:rPr>
      </w:pPr>
    </w:p>
    <w:p w14:paraId="1A0759D5">
      <w:pPr>
        <w:tabs>
          <w:tab w:val="left" w:pos="651"/>
        </w:tabs>
        <w:snapToGrid w:val="0"/>
        <w:jc w:val="center"/>
        <w:rPr>
          <w:rFonts w:ascii="黑体" w:eastAsia="黑体"/>
          <w:kern w:val="0"/>
          <w:sz w:val="24"/>
          <w:szCs w:val="24"/>
        </w:rPr>
      </w:pPr>
    </w:p>
    <w:p w14:paraId="00BDD552">
      <w:pPr>
        <w:tabs>
          <w:tab w:val="left" w:pos="651"/>
        </w:tabs>
        <w:snapToGrid w:val="0"/>
        <w:jc w:val="center"/>
        <w:rPr>
          <w:rFonts w:ascii="黑体" w:eastAsia="黑体"/>
          <w:kern w:val="0"/>
          <w:sz w:val="24"/>
          <w:szCs w:val="24"/>
        </w:rPr>
      </w:pPr>
    </w:p>
    <w:p w14:paraId="36791B13">
      <w:pPr>
        <w:tabs>
          <w:tab w:val="left" w:pos="651"/>
        </w:tabs>
        <w:snapToGrid w:val="0"/>
        <w:jc w:val="center"/>
        <w:rPr>
          <w:rFonts w:hint="eastAsia" w:ascii="宋体" w:hAnsi="宋体" w:eastAsia="宋体" w:cs="Times New Roman"/>
          <w:b/>
          <w:bCs/>
          <w:kern w:val="0"/>
          <w:sz w:val="24"/>
          <w:szCs w:val="20"/>
        </w:rPr>
      </w:pPr>
      <w:r>
        <w:rPr>
          <w:rFonts w:hint="eastAsia" w:ascii="黑体" w:eastAsia="黑体"/>
          <w:kern w:val="0"/>
          <w:sz w:val="24"/>
          <w:szCs w:val="24"/>
        </w:rPr>
        <w:t>三、</w:t>
      </w:r>
      <w:bookmarkStart w:id="39" w:name="_Hlk72092634"/>
      <w:r>
        <w:rPr>
          <w:rFonts w:hint="eastAsia" w:ascii="黑体" w:eastAsia="黑体"/>
          <w:kern w:val="0"/>
          <w:sz w:val="24"/>
          <w:szCs w:val="24"/>
        </w:rPr>
        <w:t>实质性条款响应情况表</w:t>
      </w:r>
      <w:bookmarkEnd w:id="39"/>
    </w:p>
    <w:p w14:paraId="0F1B8E23">
      <w:pPr>
        <w:snapToGrid w:val="0"/>
        <w:rPr>
          <w:rFonts w:ascii="Arial" w:hAnsi="Arial" w:eastAsia="宋体" w:cs="Arial"/>
          <w:sz w:val="24"/>
          <w:szCs w:val="24"/>
        </w:rPr>
      </w:pPr>
      <w:r>
        <w:rPr>
          <w:rFonts w:hint="eastAsia" w:ascii="Arial" w:hAnsi="Arial" w:eastAsia="宋体" w:cs="Arial"/>
          <w:color w:val="000000"/>
          <w:sz w:val="24"/>
          <w:szCs w:val="24"/>
        </w:rPr>
        <w:t>投标单位（投标人）名称：</w:t>
      </w:r>
      <w:r>
        <w:rPr>
          <w:rFonts w:ascii="Arial" w:hAnsi="Arial" w:eastAsia="宋体" w:cs="Arial"/>
          <w:color w:val="000000"/>
          <w:sz w:val="24"/>
          <w:szCs w:val="24"/>
          <w:u w:val="single"/>
        </w:rPr>
        <w:t xml:space="preserve">                         </w:t>
      </w:r>
    </w:p>
    <w:p w14:paraId="4045D530">
      <w:pPr>
        <w:snapToGrid w:val="0"/>
        <w:rPr>
          <w:rFonts w:hint="eastAsia" w:cs="Times New Roman" w:asciiTheme="minorEastAsia" w:hAnsiTheme="minorEastAsia"/>
          <w:b/>
          <w:sz w:val="24"/>
          <w:szCs w:val="24"/>
        </w:rPr>
      </w:pPr>
    </w:p>
    <w:tbl>
      <w:tblPr>
        <w:tblStyle w:val="17"/>
        <w:tblW w:w="9403" w:type="dxa"/>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602"/>
        <w:gridCol w:w="3901"/>
        <w:gridCol w:w="2176"/>
        <w:gridCol w:w="1732"/>
        <w:gridCol w:w="992"/>
      </w:tblGrid>
      <w:tr w14:paraId="27725404">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529" w:hRule="atLeast"/>
          <w:jc w:val="center"/>
        </w:trPr>
        <w:tc>
          <w:tcPr>
            <w:tcW w:w="602" w:type="dxa"/>
            <w:vAlign w:val="center"/>
          </w:tcPr>
          <w:p w14:paraId="226FE8F6">
            <w:pPr>
              <w:jc w:val="center"/>
              <w:rPr>
                <w:rFonts w:hint="eastAsia" w:ascii="宋体" w:hAnsi="宋体" w:eastAsia="宋体" w:cs="Arial"/>
                <w:b/>
                <w:szCs w:val="21"/>
              </w:rPr>
            </w:pPr>
            <w:r>
              <w:rPr>
                <w:rFonts w:hint="eastAsia" w:ascii="宋体" w:hAnsi="宋体" w:eastAsia="宋体" w:cs="Arial"/>
                <w:b/>
                <w:szCs w:val="21"/>
              </w:rPr>
              <w:t>序号</w:t>
            </w:r>
          </w:p>
        </w:tc>
        <w:tc>
          <w:tcPr>
            <w:tcW w:w="3901" w:type="dxa"/>
            <w:vAlign w:val="center"/>
          </w:tcPr>
          <w:p w14:paraId="2E68D836">
            <w:pPr>
              <w:jc w:val="center"/>
              <w:rPr>
                <w:rFonts w:hint="eastAsia" w:ascii="宋体" w:hAnsi="宋体" w:eastAsia="宋体" w:cs="Arial"/>
                <w:b/>
                <w:szCs w:val="21"/>
              </w:rPr>
            </w:pPr>
            <w:r>
              <w:rPr>
                <w:rFonts w:hint="eastAsia" w:ascii="宋体" w:hAnsi="宋体" w:eastAsia="宋体" w:cs="Arial"/>
                <w:b/>
                <w:szCs w:val="21"/>
              </w:rPr>
              <w:t>实质性条款具体内容</w:t>
            </w:r>
          </w:p>
        </w:tc>
        <w:tc>
          <w:tcPr>
            <w:tcW w:w="2176" w:type="dxa"/>
            <w:vAlign w:val="center"/>
          </w:tcPr>
          <w:p w14:paraId="13052D3E">
            <w:pPr>
              <w:jc w:val="center"/>
              <w:rPr>
                <w:rFonts w:hint="eastAsia" w:ascii="宋体" w:hAnsi="宋体" w:eastAsia="宋体" w:cs="Arial"/>
                <w:b/>
                <w:szCs w:val="21"/>
              </w:rPr>
            </w:pPr>
            <w:r>
              <w:rPr>
                <w:rFonts w:hint="eastAsia" w:ascii="宋体" w:hAnsi="宋体" w:eastAsia="宋体" w:cs="Arial"/>
                <w:b/>
                <w:szCs w:val="21"/>
              </w:rPr>
              <w:t>投标文件响应</w:t>
            </w:r>
          </w:p>
        </w:tc>
        <w:tc>
          <w:tcPr>
            <w:tcW w:w="1732" w:type="dxa"/>
          </w:tcPr>
          <w:p w14:paraId="6614B271">
            <w:pPr>
              <w:spacing w:before="156" w:beforeLines="50"/>
              <w:jc w:val="center"/>
              <w:rPr>
                <w:rFonts w:hint="eastAsia" w:ascii="宋体" w:hAnsi="宋体" w:eastAsia="宋体" w:cs="Arial"/>
                <w:b/>
                <w:szCs w:val="21"/>
              </w:rPr>
            </w:pPr>
            <w:r>
              <w:rPr>
                <w:rFonts w:hint="eastAsia" w:ascii="宋体" w:hAnsi="宋体" w:eastAsia="宋体" w:cs="Arial"/>
                <w:b/>
                <w:szCs w:val="21"/>
              </w:rPr>
              <w:t>偏离情况</w:t>
            </w:r>
          </w:p>
        </w:tc>
        <w:tc>
          <w:tcPr>
            <w:tcW w:w="992" w:type="dxa"/>
            <w:vAlign w:val="center"/>
          </w:tcPr>
          <w:p w14:paraId="1B472CA2">
            <w:pPr>
              <w:jc w:val="center"/>
              <w:rPr>
                <w:rFonts w:hint="eastAsia" w:ascii="宋体" w:hAnsi="宋体" w:eastAsia="宋体" w:cs="Arial"/>
                <w:b/>
                <w:szCs w:val="21"/>
              </w:rPr>
            </w:pPr>
            <w:r>
              <w:rPr>
                <w:rFonts w:hint="eastAsia" w:ascii="宋体" w:hAnsi="宋体" w:eastAsia="宋体" w:cs="Arial"/>
                <w:b/>
                <w:szCs w:val="21"/>
              </w:rPr>
              <w:t>说明</w:t>
            </w:r>
          </w:p>
        </w:tc>
      </w:tr>
      <w:tr w14:paraId="39713517">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1060" w:hRule="atLeast"/>
          <w:jc w:val="center"/>
        </w:trPr>
        <w:tc>
          <w:tcPr>
            <w:tcW w:w="602" w:type="dxa"/>
            <w:vAlign w:val="center"/>
          </w:tcPr>
          <w:p w14:paraId="22083D30">
            <w:pPr>
              <w:spacing w:line="300" w:lineRule="auto"/>
              <w:jc w:val="center"/>
              <w:rPr>
                <w:rFonts w:hint="eastAsia" w:ascii="宋体" w:hAnsi="宋体" w:eastAsia="宋体" w:cs="Times New Roman"/>
                <w:b/>
                <w:color w:val="FF0000"/>
                <w:kern w:val="0"/>
                <w:szCs w:val="21"/>
              </w:rPr>
            </w:pPr>
            <w:r>
              <w:rPr>
                <w:rFonts w:hint="eastAsia" w:ascii="宋体" w:hAnsi="宋体" w:eastAsia="宋体" w:cs="Times New Roman"/>
                <w:b/>
                <w:color w:val="FF0000"/>
                <w:kern w:val="0"/>
                <w:szCs w:val="21"/>
              </w:rPr>
              <w:t>1</w:t>
            </w:r>
          </w:p>
        </w:tc>
        <w:tc>
          <w:tcPr>
            <w:tcW w:w="3901" w:type="dxa"/>
            <w:vAlign w:val="center"/>
          </w:tcPr>
          <w:p w14:paraId="55F5D102">
            <w:pPr>
              <w:spacing w:line="300" w:lineRule="auto"/>
              <w:jc w:val="center"/>
              <w:rPr>
                <w:rFonts w:hint="eastAsia" w:ascii="宋体" w:hAnsi="宋体" w:eastAsia="宋体" w:cs="Times New Roman"/>
                <w:b/>
                <w:color w:val="FF0000"/>
                <w:kern w:val="0"/>
                <w:szCs w:val="21"/>
              </w:rPr>
            </w:pPr>
            <w:r>
              <w:rPr>
                <w:rFonts w:hint="eastAsia" w:ascii="宋体" w:hAnsi="宋体" w:eastAsia="宋体" w:cs="Times New Roman"/>
                <w:b/>
                <w:color w:val="FF0000"/>
                <w:kern w:val="0"/>
                <w:szCs w:val="21"/>
              </w:rPr>
              <w:t>本项目招标文件中所有带★号条款内容</w:t>
            </w:r>
          </w:p>
        </w:tc>
        <w:tc>
          <w:tcPr>
            <w:tcW w:w="2176" w:type="dxa"/>
            <w:vAlign w:val="center"/>
          </w:tcPr>
          <w:p w14:paraId="37FBFD78">
            <w:pPr>
              <w:spacing w:line="300" w:lineRule="auto"/>
              <w:jc w:val="center"/>
              <w:rPr>
                <w:rFonts w:hint="eastAsia" w:ascii="宋体" w:hAnsi="宋体" w:eastAsia="宋体" w:cs="Times New Roman"/>
                <w:b/>
                <w:kern w:val="0"/>
                <w:szCs w:val="21"/>
              </w:rPr>
            </w:pPr>
            <w:r>
              <w:rPr>
                <w:rFonts w:hint="eastAsia" w:ascii="宋体" w:hAnsi="宋体" w:eastAsia="宋体" w:cs="Times New Roman"/>
                <w:b/>
                <w:kern w:val="0"/>
                <w:szCs w:val="21"/>
              </w:rPr>
              <w:t>完全响应</w:t>
            </w:r>
          </w:p>
        </w:tc>
        <w:tc>
          <w:tcPr>
            <w:tcW w:w="1732" w:type="dxa"/>
            <w:vAlign w:val="center"/>
          </w:tcPr>
          <w:p w14:paraId="20ED3458">
            <w:pPr>
              <w:spacing w:line="300" w:lineRule="auto"/>
              <w:jc w:val="center"/>
              <w:rPr>
                <w:rFonts w:hint="eastAsia" w:ascii="宋体" w:hAnsi="宋体" w:eastAsia="宋体" w:cs="Times New Roman"/>
                <w:b/>
                <w:kern w:val="0"/>
                <w:szCs w:val="21"/>
              </w:rPr>
            </w:pPr>
            <w:r>
              <w:rPr>
                <w:rFonts w:hint="eastAsia" w:ascii="宋体" w:hAnsi="宋体" w:eastAsia="宋体" w:cs="Times New Roman"/>
                <w:b/>
                <w:kern w:val="0"/>
                <w:szCs w:val="21"/>
              </w:rPr>
              <w:t>无偏离</w:t>
            </w:r>
          </w:p>
        </w:tc>
        <w:tc>
          <w:tcPr>
            <w:tcW w:w="992" w:type="dxa"/>
            <w:vAlign w:val="center"/>
          </w:tcPr>
          <w:p w14:paraId="48B4A69D">
            <w:pPr>
              <w:spacing w:line="300" w:lineRule="auto"/>
              <w:jc w:val="center"/>
              <w:rPr>
                <w:rFonts w:hint="eastAsia" w:ascii="宋体" w:hAnsi="宋体" w:eastAsia="宋体" w:cs="Times New Roman"/>
                <w:b/>
                <w:color w:val="FF0000"/>
                <w:kern w:val="0"/>
                <w:szCs w:val="21"/>
              </w:rPr>
            </w:pPr>
          </w:p>
        </w:tc>
      </w:tr>
    </w:tbl>
    <w:p w14:paraId="054846FA">
      <w:pPr>
        <w:snapToGrid w:val="0"/>
        <w:rPr>
          <w:rFonts w:hint="eastAsia" w:cs="Times New Roman" w:asciiTheme="minorEastAsia" w:hAnsiTheme="minorEastAsia"/>
          <w:b/>
          <w:sz w:val="24"/>
          <w:szCs w:val="24"/>
        </w:rPr>
      </w:pPr>
      <w:r>
        <w:rPr>
          <w:rFonts w:hint="eastAsia" w:ascii="宋体" w:hAnsi="宋体" w:eastAsia="宋体" w:cs="Times New Roman"/>
          <w:b/>
          <w:sz w:val="24"/>
          <w:szCs w:val="24"/>
        </w:rPr>
        <w:t>填写说明：</w:t>
      </w:r>
    </w:p>
    <w:p w14:paraId="1E8BF324">
      <w:pPr>
        <w:spacing w:line="276" w:lineRule="auto"/>
        <w:ind w:firstLine="480" w:firstLineChars="200"/>
        <w:rPr>
          <w:rFonts w:hint="eastAsia" w:ascii="宋体" w:hAnsi="宋体" w:cs="宋体"/>
          <w:bCs/>
          <w:sz w:val="24"/>
          <w:szCs w:val="24"/>
        </w:rPr>
      </w:pPr>
      <w:r>
        <w:rPr>
          <w:rFonts w:hint="eastAsia" w:ascii="宋体" w:hAnsi="宋体" w:cs="宋体"/>
          <w:bCs/>
          <w:sz w:val="24"/>
          <w:szCs w:val="24"/>
        </w:rPr>
        <w:t>1、上表所列各项均为不可负偏离条款。</w:t>
      </w:r>
    </w:p>
    <w:p w14:paraId="44B15740">
      <w:pPr>
        <w:spacing w:line="276" w:lineRule="auto"/>
        <w:ind w:firstLine="480" w:firstLineChars="200"/>
        <w:rPr>
          <w:rFonts w:hint="eastAsia" w:ascii="宋体" w:hAnsi="宋体" w:cs="宋体"/>
          <w:bCs/>
          <w:sz w:val="24"/>
          <w:szCs w:val="24"/>
        </w:rPr>
      </w:pPr>
      <w:r>
        <w:rPr>
          <w:rFonts w:hint="eastAsia" w:ascii="宋体" w:hAnsi="宋体" w:cs="宋体"/>
          <w:bCs/>
          <w:sz w:val="24"/>
          <w:szCs w:val="24"/>
        </w:rPr>
        <w:t>2、“投标文件响应”一栏应当详细填写投标人自身响应情况，而不能不合理照搬照抄招标文件实质性条款具体内容。</w:t>
      </w:r>
      <w:r>
        <w:rPr>
          <w:rFonts w:hint="eastAsia" w:ascii="宋体" w:hAnsi="宋体" w:cs="宋体"/>
          <w:b/>
          <w:bCs/>
          <w:sz w:val="24"/>
          <w:szCs w:val="24"/>
        </w:rPr>
        <w:t>如完全满足实质性条款具体内容可填写“完全响应”，除招标文件另有注明外，不强制要求逐条列出响应。</w:t>
      </w:r>
    </w:p>
    <w:p w14:paraId="71CA3BE5">
      <w:pPr>
        <w:spacing w:line="276" w:lineRule="auto"/>
        <w:ind w:firstLine="480" w:firstLineChars="200"/>
        <w:rPr>
          <w:rFonts w:hint="eastAsia" w:ascii="宋体" w:hAnsi="宋体" w:cs="宋体"/>
          <w:bCs/>
          <w:sz w:val="24"/>
          <w:szCs w:val="24"/>
        </w:rPr>
      </w:pPr>
      <w:r>
        <w:rPr>
          <w:rFonts w:hint="eastAsia" w:ascii="宋体" w:hAnsi="宋体" w:cs="宋体"/>
          <w:bCs/>
          <w:sz w:val="24"/>
          <w:szCs w:val="24"/>
        </w:rPr>
        <w:t>3、“偏离情况”一栏应填写</w:t>
      </w:r>
      <w:r>
        <w:rPr>
          <w:rFonts w:hint="eastAsia" w:ascii="宋体" w:hAnsi="宋体" w:cs="宋体"/>
          <w:sz w:val="24"/>
          <w:szCs w:val="24"/>
        </w:rPr>
        <w:t>“</w:t>
      </w:r>
      <w:r>
        <w:rPr>
          <w:rFonts w:hint="eastAsia" w:ascii="宋体" w:hAnsi="宋体" w:cs="宋体"/>
          <w:b/>
          <w:bCs/>
          <w:sz w:val="24"/>
          <w:szCs w:val="24"/>
        </w:rPr>
        <w:t>正偏离</w:t>
      </w:r>
      <w:r>
        <w:rPr>
          <w:rFonts w:hint="eastAsia" w:ascii="宋体" w:hAnsi="宋体" w:cs="宋体"/>
          <w:sz w:val="24"/>
          <w:szCs w:val="24"/>
        </w:rPr>
        <w:t>”或“</w:t>
      </w:r>
      <w:r>
        <w:rPr>
          <w:rFonts w:hint="eastAsia" w:ascii="宋体" w:hAnsi="宋体" w:cs="宋体"/>
          <w:b/>
          <w:bCs/>
          <w:sz w:val="24"/>
          <w:szCs w:val="24"/>
        </w:rPr>
        <w:t>负偏离</w:t>
      </w:r>
      <w:r>
        <w:rPr>
          <w:rFonts w:hint="eastAsia" w:ascii="宋体" w:hAnsi="宋体" w:cs="宋体"/>
          <w:sz w:val="24"/>
          <w:szCs w:val="24"/>
        </w:rPr>
        <w:t>”或“</w:t>
      </w:r>
      <w:r>
        <w:rPr>
          <w:rFonts w:hint="eastAsia" w:ascii="宋体" w:hAnsi="宋体" w:cs="宋体"/>
          <w:b/>
          <w:bCs/>
          <w:sz w:val="24"/>
          <w:szCs w:val="24"/>
        </w:rPr>
        <w:t>无偏离</w:t>
      </w:r>
      <w:r>
        <w:rPr>
          <w:rFonts w:hint="eastAsia" w:ascii="宋体" w:hAnsi="宋体" w:cs="宋体"/>
          <w:sz w:val="24"/>
          <w:szCs w:val="24"/>
        </w:rPr>
        <w:t>”</w:t>
      </w:r>
      <w:r>
        <w:rPr>
          <w:rFonts w:hint="eastAsia" w:ascii="宋体" w:hAnsi="宋体" w:cs="宋体"/>
          <w:bCs/>
          <w:sz w:val="24"/>
          <w:szCs w:val="24"/>
        </w:rPr>
        <w:t>，“正偏离”表示“投标响应优于实质性条款具体内容要求”，“负偏离”表示“投标响应不满足实质性条款具体内容要求”，“无偏离”表示“投标响应与实质性条款具体内容要求一致”。</w:t>
      </w:r>
    </w:p>
    <w:p w14:paraId="7E5D3DAF">
      <w:pPr>
        <w:spacing w:line="276" w:lineRule="auto"/>
        <w:ind w:firstLine="480" w:firstLineChars="200"/>
        <w:rPr>
          <w:rFonts w:hint="eastAsia" w:ascii="宋体" w:hAnsi="宋体" w:cs="宋体"/>
          <w:bCs/>
          <w:sz w:val="24"/>
          <w:szCs w:val="24"/>
        </w:rPr>
      </w:pPr>
      <w:r>
        <w:rPr>
          <w:rFonts w:hint="eastAsia" w:ascii="宋体" w:hAnsi="宋体" w:cs="宋体"/>
          <w:bCs/>
          <w:sz w:val="24"/>
          <w:szCs w:val="24"/>
        </w:rPr>
        <w:t>4、评审委员会有权对投标响应情况作出判断。</w:t>
      </w:r>
    </w:p>
    <w:p w14:paraId="478F6AD0">
      <w:pPr>
        <w:spacing w:line="276" w:lineRule="auto"/>
        <w:ind w:firstLine="480" w:firstLineChars="200"/>
        <w:rPr>
          <w:rFonts w:hint="eastAsia" w:ascii="宋体" w:hAnsi="宋体" w:cs="宋体"/>
          <w:bCs/>
          <w:sz w:val="24"/>
          <w:szCs w:val="24"/>
        </w:rPr>
      </w:pPr>
      <w:r>
        <w:rPr>
          <w:rFonts w:hint="eastAsia" w:ascii="宋体" w:hAnsi="宋体" w:cs="宋体"/>
          <w:bCs/>
          <w:sz w:val="24"/>
          <w:szCs w:val="24"/>
        </w:rPr>
        <w:t>5、实质性响应条款“投标响应情况”与投标文件其它内容冲突的，以实质性响应条款“投标响应情况”为准。</w:t>
      </w:r>
    </w:p>
    <w:p w14:paraId="30F9CA4A">
      <w:pPr>
        <w:spacing w:line="276" w:lineRule="auto"/>
        <w:ind w:firstLine="480" w:firstLineChars="200"/>
        <w:rPr>
          <w:rFonts w:hint="eastAsia" w:ascii="宋体" w:hAnsi="宋体" w:cs="宋体"/>
          <w:bCs/>
          <w:sz w:val="24"/>
          <w:szCs w:val="24"/>
        </w:rPr>
      </w:pPr>
      <w:r>
        <w:rPr>
          <w:rFonts w:hint="eastAsia" w:ascii="宋体" w:hAnsi="宋体" w:cs="宋体"/>
          <w:bCs/>
          <w:sz w:val="24"/>
          <w:szCs w:val="24"/>
        </w:rPr>
        <w:t>6、以上实质性条款中要求提供证明材料，需如实提供证明材料扫描件，在“说明”一栏中列明证明材料的位置，以便评审；未要求提供证明材料的，投标人可以不提供。</w:t>
      </w:r>
    </w:p>
    <w:p w14:paraId="79075827">
      <w:pPr>
        <w:rPr>
          <w:rFonts w:hint="eastAsia" w:ascii="宋体" w:hAnsi="宋体" w:eastAsia="宋体" w:cs="Times New Roman"/>
          <w:b/>
          <w:bCs/>
          <w:kern w:val="0"/>
          <w:sz w:val="24"/>
          <w:szCs w:val="20"/>
        </w:rPr>
      </w:pPr>
      <w:r>
        <w:rPr>
          <w:rFonts w:hint="eastAsia" w:ascii="宋体" w:hAnsi="宋体" w:eastAsia="宋体" w:cs="Times New Roman"/>
          <w:b/>
          <w:bCs/>
          <w:kern w:val="0"/>
          <w:sz w:val="24"/>
          <w:szCs w:val="20"/>
        </w:rPr>
        <w:br w:type="page"/>
      </w:r>
    </w:p>
    <w:p w14:paraId="7B13EF2B">
      <w:pPr>
        <w:pStyle w:val="4"/>
        <w:jc w:val="center"/>
        <w:rPr>
          <w:rFonts w:hint="eastAsia"/>
          <w:sz w:val="24"/>
        </w:rPr>
      </w:pPr>
      <w:r>
        <w:rPr>
          <w:rFonts w:hint="eastAsia" w:ascii="黑体" w:eastAsia="黑体"/>
          <w:b w:val="0"/>
          <w:bCs w:val="0"/>
          <w:sz w:val="24"/>
          <w:szCs w:val="20"/>
        </w:rPr>
        <w:t>四、商务要求偏离表</w:t>
      </w:r>
    </w:p>
    <w:tbl>
      <w:tblPr>
        <w:tblStyle w:val="17"/>
        <w:tblW w:w="9091" w:type="dxa"/>
        <w:tblInd w:w="-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
        <w:gridCol w:w="1408"/>
        <w:gridCol w:w="4918"/>
        <w:gridCol w:w="973"/>
        <w:gridCol w:w="642"/>
        <w:gridCol w:w="540"/>
      </w:tblGrid>
      <w:tr w14:paraId="388C7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10" w:type="dxa"/>
            <w:vAlign w:val="center"/>
          </w:tcPr>
          <w:p w14:paraId="6EC5F26A">
            <w:pPr>
              <w:jc w:val="center"/>
              <w:rPr>
                <w:b/>
              </w:rPr>
            </w:pPr>
            <w:r>
              <w:rPr>
                <w:rFonts w:hint="eastAsia"/>
                <w:sz w:val="24"/>
              </w:rPr>
              <w:t>序号</w:t>
            </w:r>
          </w:p>
        </w:tc>
        <w:tc>
          <w:tcPr>
            <w:tcW w:w="1408" w:type="dxa"/>
            <w:vAlign w:val="center"/>
          </w:tcPr>
          <w:p w14:paraId="5F8A71B8">
            <w:pPr>
              <w:jc w:val="center"/>
              <w:rPr>
                <w:b/>
              </w:rPr>
            </w:pPr>
            <w:r>
              <w:rPr>
                <w:rFonts w:hint="eastAsia"/>
                <w:b/>
              </w:rPr>
              <w:t>商务需求项</w:t>
            </w:r>
          </w:p>
        </w:tc>
        <w:tc>
          <w:tcPr>
            <w:tcW w:w="4918" w:type="dxa"/>
            <w:vAlign w:val="center"/>
          </w:tcPr>
          <w:p w14:paraId="47B60722">
            <w:pPr>
              <w:jc w:val="center"/>
              <w:rPr>
                <w:b/>
              </w:rPr>
            </w:pPr>
            <w:r>
              <w:rPr>
                <w:rFonts w:hint="eastAsia"/>
                <w:sz w:val="24"/>
              </w:rPr>
              <w:t>招标商务要求</w:t>
            </w:r>
          </w:p>
        </w:tc>
        <w:tc>
          <w:tcPr>
            <w:tcW w:w="973" w:type="dxa"/>
            <w:vAlign w:val="center"/>
          </w:tcPr>
          <w:p w14:paraId="4E64F8B7">
            <w:pPr>
              <w:jc w:val="center"/>
              <w:rPr>
                <w:b/>
              </w:rPr>
            </w:pPr>
            <w:r>
              <w:rPr>
                <w:rFonts w:hint="eastAsia"/>
                <w:sz w:val="24"/>
              </w:rPr>
              <w:t>投标商务响应</w:t>
            </w:r>
          </w:p>
        </w:tc>
        <w:tc>
          <w:tcPr>
            <w:tcW w:w="642" w:type="dxa"/>
            <w:vAlign w:val="center"/>
          </w:tcPr>
          <w:p w14:paraId="7CCBF861">
            <w:pPr>
              <w:jc w:val="center"/>
              <w:rPr>
                <w:b/>
              </w:rPr>
            </w:pPr>
            <w:r>
              <w:rPr>
                <w:rFonts w:hint="eastAsia"/>
              </w:rPr>
              <w:t>偏离情况</w:t>
            </w:r>
          </w:p>
        </w:tc>
        <w:tc>
          <w:tcPr>
            <w:tcW w:w="540" w:type="dxa"/>
            <w:vAlign w:val="center"/>
          </w:tcPr>
          <w:p w14:paraId="37F92233">
            <w:pPr>
              <w:jc w:val="center"/>
              <w:rPr>
                <w:b/>
              </w:rPr>
            </w:pPr>
            <w:r>
              <w:rPr>
                <w:rFonts w:hint="eastAsia"/>
                <w:sz w:val="24"/>
              </w:rPr>
              <w:t>说明</w:t>
            </w:r>
          </w:p>
        </w:tc>
      </w:tr>
      <w:tr w14:paraId="53FC7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091" w:type="dxa"/>
            <w:gridSpan w:val="6"/>
          </w:tcPr>
          <w:p w14:paraId="7CFB7FDA">
            <w:pPr>
              <w:rPr>
                <w:b/>
              </w:rPr>
            </w:pPr>
            <w:r>
              <w:rPr>
                <w:rFonts w:hint="eastAsia"/>
                <w:b/>
              </w:rPr>
              <w:t>（一）免费保修期内售后服务要求</w:t>
            </w:r>
          </w:p>
        </w:tc>
      </w:tr>
      <w:tr w14:paraId="203B0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610" w:type="dxa"/>
            <w:vAlign w:val="center"/>
          </w:tcPr>
          <w:p w14:paraId="472ED137">
            <w:pPr>
              <w:jc w:val="center"/>
              <w:rPr>
                <w:bCs/>
              </w:rPr>
            </w:pPr>
            <w:r>
              <w:rPr>
                <w:rFonts w:hint="eastAsia"/>
                <w:bCs/>
              </w:rPr>
              <w:t>1</w:t>
            </w:r>
          </w:p>
        </w:tc>
        <w:tc>
          <w:tcPr>
            <w:tcW w:w="1408" w:type="dxa"/>
          </w:tcPr>
          <w:p w14:paraId="3C01289A">
            <w:pPr>
              <w:jc w:val="center"/>
            </w:pPr>
            <w:r>
              <w:rPr>
                <w:rFonts w:hint="eastAsia"/>
              </w:rPr>
              <w:t>*</w:t>
            </w:r>
            <w:r>
              <w:t>***</w:t>
            </w:r>
          </w:p>
        </w:tc>
        <w:tc>
          <w:tcPr>
            <w:tcW w:w="4918" w:type="dxa"/>
          </w:tcPr>
          <w:p w14:paraId="69885CCF">
            <w:pPr>
              <w:jc w:val="center"/>
              <w:rPr>
                <w:b/>
              </w:rPr>
            </w:pPr>
            <w:r>
              <w:rPr>
                <w:rFonts w:hint="eastAsia"/>
                <w:bCs/>
                <w:szCs w:val="21"/>
              </w:rPr>
              <w:t>（填写相关内容）</w:t>
            </w:r>
          </w:p>
        </w:tc>
        <w:tc>
          <w:tcPr>
            <w:tcW w:w="973" w:type="dxa"/>
          </w:tcPr>
          <w:p w14:paraId="53FFF509">
            <w:pPr>
              <w:rPr>
                <w:bCs/>
                <w:szCs w:val="21"/>
              </w:rPr>
            </w:pPr>
          </w:p>
        </w:tc>
        <w:tc>
          <w:tcPr>
            <w:tcW w:w="642" w:type="dxa"/>
          </w:tcPr>
          <w:p w14:paraId="598BB951">
            <w:pPr>
              <w:rPr>
                <w:bCs/>
                <w:szCs w:val="21"/>
              </w:rPr>
            </w:pPr>
          </w:p>
        </w:tc>
        <w:tc>
          <w:tcPr>
            <w:tcW w:w="540" w:type="dxa"/>
          </w:tcPr>
          <w:p w14:paraId="15F5FD60">
            <w:pPr>
              <w:rPr>
                <w:bCs/>
                <w:szCs w:val="21"/>
              </w:rPr>
            </w:pPr>
          </w:p>
        </w:tc>
      </w:tr>
      <w:tr w14:paraId="600D6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610" w:type="dxa"/>
            <w:vAlign w:val="center"/>
          </w:tcPr>
          <w:p w14:paraId="680944FE">
            <w:pPr>
              <w:jc w:val="center"/>
              <w:rPr>
                <w:bCs/>
              </w:rPr>
            </w:pPr>
            <w:r>
              <w:rPr>
                <w:bCs/>
              </w:rPr>
              <w:t>2</w:t>
            </w:r>
          </w:p>
        </w:tc>
        <w:tc>
          <w:tcPr>
            <w:tcW w:w="1408" w:type="dxa"/>
          </w:tcPr>
          <w:p w14:paraId="09D980A0">
            <w:pPr>
              <w:jc w:val="center"/>
            </w:pPr>
            <w:r>
              <w:rPr>
                <w:rFonts w:hint="eastAsia"/>
              </w:rPr>
              <w:t>****</w:t>
            </w:r>
          </w:p>
        </w:tc>
        <w:tc>
          <w:tcPr>
            <w:tcW w:w="4918" w:type="dxa"/>
          </w:tcPr>
          <w:p w14:paraId="6FBF4BE2">
            <w:pPr>
              <w:jc w:val="center"/>
              <w:rPr>
                <w:bCs/>
                <w:szCs w:val="21"/>
              </w:rPr>
            </w:pPr>
            <w:r>
              <w:rPr>
                <w:rFonts w:hint="eastAsia"/>
              </w:rPr>
              <w:t>（填写相关内容）</w:t>
            </w:r>
          </w:p>
        </w:tc>
        <w:tc>
          <w:tcPr>
            <w:tcW w:w="973" w:type="dxa"/>
          </w:tcPr>
          <w:p w14:paraId="79F69E69">
            <w:pPr>
              <w:rPr>
                <w:bCs/>
                <w:szCs w:val="21"/>
              </w:rPr>
            </w:pPr>
          </w:p>
        </w:tc>
        <w:tc>
          <w:tcPr>
            <w:tcW w:w="642" w:type="dxa"/>
          </w:tcPr>
          <w:p w14:paraId="5B7DB41E">
            <w:pPr>
              <w:rPr>
                <w:bCs/>
                <w:szCs w:val="21"/>
              </w:rPr>
            </w:pPr>
          </w:p>
        </w:tc>
        <w:tc>
          <w:tcPr>
            <w:tcW w:w="540" w:type="dxa"/>
          </w:tcPr>
          <w:p w14:paraId="38810481">
            <w:pPr>
              <w:rPr>
                <w:bCs/>
                <w:szCs w:val="21"/>
              </w:rPr>
            </w:pPr>
          </w:p>
        </w:tc>
      </w:tr>
      <w:tr w14:paraId="46719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9091" w:type="dxa"/>
            <w:gridSpan w:val="6"/>
            <w:vAlign w:val="center"/>
          </w:tcPr>
          <w:p w14:paraId="56923064">
            <w:pPr>
              <w:rPr>
                <w:bCs/>
                <w:szCs w:val="21"/>
              </w:rPr>
            </w:pPr>
            <w:r>
              <w:rPr>
                <w:rFonts w:hint="eastAsia"/>
                <w:b/>
              </w:rPr>
              <w:t>（二）免费保修期外售后服务要求</w:t>
            </w:r>
          </w:p>
        </w:tc>
      </w:tr>
      <w:tr w14:paraId="0BB0A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610" w:type="dxa"/>
          </w:tcPr>
          <w:p w14:paraId="22E24658">
            <w:pPr>
              <w:jc w:val="center"/>
              <w:rPr>
                <w:bCs/>
              </w:rPr>
            </w:pPr>
            <w:r>
              <w:rPr>
                <w:rFonts w:hint="eastAsia"/>
              </w:rPr>
              <w:t>1</w:t>
            </w:r>
          </w:p>
        </w:tc>
        <w:tc>
          <w:tcPr>
            <w:tcW w:w="1408" w:type="dxa"/>
          </w:tcPr>
          <w:p w14:paraId="06655743">
            <w:pPr>
              <w:jc w:val="center"/>
            </w:pPr>
            <w:r>
              <w:rPr>
                <w:rFonts w:hint="eastAsia"/>
              </w:rPr>
              <w:t>****</w:t>
            </w:r>
          </w:p>
        </w:tc>
        <w:tc>
          <w:tcPr>
            <w:tcW w:w="4918" w:type="dxa"/>
          </w:tcPr>
          <w:p w14:paraId="2B28463F">
            <w:pPr>
              <w:jc w:val="center"/>
            </w:pPr>
            <w:r>
              <w:rPr>
                <w:rFonts w:hint="eastAsia"/>
              </w:rPr>
              <w:t>（填写相关内容）</w:t>
            </w:r>
          </w:p>
        </w:tc>
        <w:tc>
          <w:tcPr>
            <w:tcW w:w="973" w:type="dxa"/>
          </w:tcPr>
          <w:p w14:paraId="168942CF">
            <w:pPr>
              <w:rPr>
                <w:bCs/>
                <w:szCs w:val="21"/>
              </w:rPr>
            </w:pPr>
          </w:p>
        </w:tc>
        <w:tc>
          <w:tcPr>
            <w:tcW w:w="642" w:type="dxa"/>
          </w:tcPr>
          <w:p w14:paraId="47C99129">
            <w:pPr>
              <w:rPr>
                <w:bCs/>
                <w:szCs w:val="21"/>
              </w:rPr>
            </w:pPr>
          </w:p>
        </w:tc>
        <w:tc>
          <w:tcPr>
            <w:tcW w:w="540" w:type="dxa"/>
          </w:tcPr>
          <w:p w14:paraId="31B215E7">
            <w:pPr>
              <w:rPr>
                <w:bCs/>
                <w:szCs w:val="21"/>
              </w:rPr>
            </w:pPr>
          </w:p>
        </w:tc>
      </w:tr>
      <w:tr w14:paraId="42712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9091" w:type="dxa"/>
            <w:gridSpan w:val="6"/>
          </w:tcPr>
          <w:p w14:paraId="39B7A48B">
            <w:pPr>
              <w:rPr>
                <w:bCs/>
                <w:szCs w:val="21"/>
              </w:rPr>
            </w:pPr>
            <w:r>
              <w:rPr>
                <w:rFonts w:hint="eastAsia"/>
                <w:b/>
              </w:rPr>
              <w:t>（三）其他商务要求</w:t>
            </w:r>
          </w:p>
        </w:tc>
      </w:tr>
      <w:tr w14:paraId="60E84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610" w:type="dxa"/>
          </w:tcPr>
          <w:p w14:paraId="12FE84E9">
            <w:pPr>
              <w:jc w:val="center"/>
            </w:pPr>
            <w:r>
              <w:rPr>
                <w:rFonts w:hint="eastAsia"/>
              </w:rPr>
              <w:t>1</w:t>
            </w:r>
          </w:p>
        </w:tc>
        <w:tc>
          <w:tcPr>
            <w:tcW w:w="1408" w:type="dxa"/>
          </w:tcPr>
          <w:p w14:paraId="5AF1727B">
            <w:pPr>
              <w:jc w:val="center"/>
            </w:pPr>
            <w:r>
              <w:rPr>
                <w:rFonts w:hint="eastAsia"/>
              </w:rPr>
              <w:t>****</w:t>
            </w:r>
          </w:p>
        </w:tc>
        <w:tc>
          <w:tcPr>
            <w:tcW w:w="4918" w:type="dxa"/>
          </w:tcPr>
          <w:p w14:paraId="15D29A29">
            <w:pPr>
              <w:jc w:val="center"/>
            </w:pPr>
            <w:r>
              <w:rPr>
                <w:rFonts w:hint="eastAsia"/>
              </w:rPr>
              <w:t>（填写相关内容）</w:t>
            </w:r>
          </w:p>
        </w:tc>
        <w:tc>
          <w:tcPr>
            <w:tcW w:w="973" w:type="dxa"/>
          </w:tcPr>
          <w:p w14:paraId="32068BF9">
            <w:pPr>
              <w:rPr>
                <w:bCs/>
                <w:szCs w:val="21"/>
              </w:rPr>
            </w:pPr>
          </w:p>
        </w:tc>
        <w:tc>
          <w:tcPr>
            <w:tcW w:w="642" w:type="dxa"/>
          </w:tcPr>
          <w:p w14:paraId="02D23682">
            <w:pPr>
              <w:rPr>
                <w:bCs/>
                <w:szCs w:val="21"/>
              </w:rPr>
            </w:pPr>
          </w:p>
        </w:tc>
        <w:tc>
          <w:tcPr>
            <w:tcW w:w="540" w:type="dxa"/>
          </w:tcPr>
          <w:p w14:paraId="0BD25963">
            <w:pPr>
              <w:rPr>
                <w:bCs/>
                <w:szCs w:val="21"/>
              </w:rPr>
            </w:pPr>
          </w:p>
        </w:tc>
      </w:tr>
    </w:tbl>
    <w:p w14:paraId="60F596B4">
      <w:pPr>
        <w:ind w:firstLine="420" w:firstLineChars="200"/>
        <w:rPr>
          <w:bCs/>
          <w:szCs w:val="21"/>
        </w:rPr>
      </w:pPr>
      <w:r>
        <w:rPr>
          <w:rFonts w:hint="eastAsia"/>
          <w:bCs/>
          <w:szCs w:val="21"/>
        </w:rPr>
        <w:t>《商务要求偏离表》编制指引：</w:t>
      </w:r>
    </w:p>
    <w:p w14:paraId="55D34FD3">
      <w:pPr>
        <w:ind w:firstLine="420" w:firstLineChars="200"/>
        <w:rPr>
          <w:bCs/>
          <w:szCs w:val="21"/>
        </w:rPr>
      </w:pPr>
      <w:r>
        <w:rPr>
          <w:rFonts w:hint="eastAsia"/>
          <w:bCs/>
          <w:szCs w:val="21"/>
        </w:rPr>
        <w:t>1、商务要求偏离表的序号、商务需求项、招标商务要求等栏目对应“用户需求书”中的“商务要求”章节相关内容。</w:t>
      </w:r>
    </w:p>
    <w:p w14:paraId="04F6E45F">
      <w:pPr>
        <w:ind w:firstLine="420" w:firstLineChars="200"/>
        <w:rPr>
          <w:bCs/>
          <w:szCs w:val="21"/>
        </w:rPr>
      </w:pPr>
      <w:r>
        <w:rPr>
          <w:bCs/>
          <w:szCs w:val="21"/>
        </w:rPr>
        <w:t>2</w:t>
      </w:r>
      <w:r>
        <w:rPr>
          <w:rFonts w:hint="eastAsia"/>
          <w:bCs/>
          <w:szCs w:val="21"/>
        </w:rPr>
        <w:t>、“投标商务响应”一栏必须一一对照“招标商务要求”，详细填写自身响应情况，而不能不合理照搬照抄招标文件的商务要求，以体现具体响应情况。</w:t>
      </w:r>
    </w:p>
    <w:p w14:paraId="0F36EB3F">
      <w:pPr>
        <w:ind w:firstLine="420" w:firstLineChars="200"/>
        <w:rPr>
          <w:bCs/>
          <w:color w:val="FF0000"/>
          <w:szCs w:val="21"/>
        </w:rPr>
      </w:pPr>
      <w:r>
        <w:rPr>
          <w:bCs/>
          <w:szCs w:val="21"/>
        </w:rPr>
        <w:t>3</w:t>
      </w:r>
      <w:r>
        <w:rPr>
          <w:rFonts w:hint="eastAsia"/>
          <w:bCs/>
          <w:szCs w:val="21"/>
        </w:rPr>
        <w:t>、“偏离情况”一栏填写如实填写“正偏离”、“负偏离”或“无偏离”，其中：“正偏离”表示“投标响应优于招标商务要求”，“负偏离”表示“投标响应不满足招标商务要求”，“无偏离”表示“投标响应与招标商务要求一致”。</w:t>
      </w:r>
    </w:p>
    <w:p w14:paraId="49E04888">
      <w:pPr>
        <w:rPr>
          <w:bCs/>
          <w:szCs w:val="21"/>
        </w:rPr>
      </w:pPr>
      <w:r>
        <w:rPr>
          <w:rFonts w:hint="eastAsia"/>
          <w:bCs/>
          <w:szCs w:val="21"/>
        </w:rPr>
        <w:t>“投标商务响应”对比“招标商务要求”存在响应不全（包括未响应整项招标商务要求或者未响应一项招标商务要求的部分内容），均视为“负偏离”。</w:t>
      </w:r>
    </w:p>
    <w:p w14:paraId="01245FDF">
      <w:pPr>
        <w:ind w:firstLine="420" w:firstLineChars="200"/>
        <w:rPr>
          <w:bCs/>
          <w:szCs w:val="21"/>
        </w:rPr>
      </w:pPr>
      <w:r>
        <w:rPr>
          <w:rFonts w:hint="eastAsia"/>
          <w:bCs/>
          <w:szCs w:val="21"/>
        </w:rPr>
        <w:t>4、带★号条款为不可偏离条款，如未响应或出现负偏离的，将作投标无效处理。</w:t>
      </w:r>
    </w:p>
    <w:p w14:paraId="1350B05E">
      <w:pPr>
        <w:widowControl/>
        <w:jc w:val="left"/>
        <w:rPr>
          <w:rFonts w:hint="eastAsia" w:ascii="宋体" w:hAnsi="宋体" w:eastAsia="宋体" w:cs="Times New Roman"/>
          <w:color w:val="FF0000"/>
          <w:sz w:val="32"/>
          <w:szCs w:val="32"/>
        </w:rPr>
      </w:pPr>
      <w:r>
        <w:rPr>
          <w:rFonts w:ascii="宋体" w:hAnsi="宋体" w:eastAsia="宋体" w:cs="Times New Roman"/>
          <w:color w:val="FF0000"/>
          <w:sz w:val="32"/>
          <w:szCs w:val="32"/>
        </w:rPr>
        <w:br w:type="page"/>
      </w:r>
    </w:p>
    <w:p w14:paraId="189FC49D">
      <w:pPr>
        <w:pStyle w:val="4"/>
        <w:jc w:val="center"/>
        <w:rPr>
          <w:rFonts w:hint="eastAsia"/>
          <w:sz w:val="24"/>
        </w:rPr>
      </w:pPr>
      <w:r>
        <w:rPr>
          <w:rFonts w:hint="eastAsia" w:ascii="黑体" w:eastAsia="黑体"/>
          <w:b w:val="0"/>
          <w:sz w:val="24"/>
          <w:szCs w:val="24"/>
        </w:rPr>
        <w:t>五、技术要求偏离表</w:t>
      </w:r>
    </w:p>
    <w:tbl>
      <w:tblPr>
        <w:tblStyle w:val="17"/>
        <w:tblW w:w="8754" w:type="dxa"/>
        <w:tblInd w:w="-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
        <w:gridCol w:w="772"/>
        <w:gridCol w:w="3795"/>
        <w:gridCol w:w="2623"/>
        <w:gridCol w:w="710"/>
        <w:gridCol w:w="390"/>
      </w:tblGrid>
      <w:tr w14:paraId="1BD31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464" w:type="dxa"/>
            <w:vAlign w:val="center"/>
          </w:tcPr>
          <w:p w14:paraId="34ACDEE5">
            <w:pPr>
              <w:jc w:val="center"/>
              <w:rPr>
                <w:color w:val="000000" w:themeColor="text1"/>
                <w:szCs w:val="21"/>
                <w14:textFill>
                  <w14:solidFill>
                    <w14:schemeClr w14:val="tx1"/>
                  </w14:solidFill>
                </w14:textFill>
              </w:rPr>
            </w:pPr>
            <w:r>
              <w:rPr>
                <w:rFonts w:hint="eastAsia"/>
                <w:sz w:val="24"/>
              </w:rPr>
              <w:t>序号</w:t>
            </w:r>
          </w:p>
        </w:tc>
        <w:tc>
          <w:tcPr>
            <w:tcW w:w="772" w:type="dxa"/>
            <w:vAlign w:val="center"/>
          </w:tcPr>
          <w:p w14:paraId="1B74ADC1">
            <w:pPr>
              <w:jc w:val="center"/>
              <w:rPr>
                <w:color w:val="000000" w:themeColor="text1"/>
                <w:szCs w:val="21"/>
                <w14:textFill>
                  <w14:solidFill>
                    <w14:schemeClr w14:val="tx1"/>
                  </w14:solidFill>
                </w14:textFill>
              </w:rPr>
            </w:pPr>
            <w:r>
              <w:rPr>
                <w:rFonts w:hint="eastAsia"/>
                <w:sz w:val="24"/>
              </w:rPr>
              <w:t>货物名称</w:t>
            </w:r>
          </w:p>
        </w:tc>
        <w:tc>
          <w:tcPr>
            <w:tcW w:w="3795" w:type="dxa"/>
            <w:vAlign w:val="center"/>
          </w:tcPr>
          <w:p w14:paraId="287D04DB">
            <w:pPr>
              <w:jc w:val="center"/>
              <w:rPr>
                <w:color w:val="000000" w:themeColor="text1"/>
                <w:szCs w:val="21"/>
                <w14:textFill>
                  <w14:solidFill>
                    <w14:schemeClr w14:val="tx1"/>
                  </w14:solidFill>
                </w14:textFill>
              </w:rPr>
            </w:pPr>
            <w:r>
              <w:rPr>
                <w:rFonts w:hint="eastAsia"/>
                <w:sz w:val="24"/>
              </w:rPr>
              <w:t>招标技术要求</w:t>
            </w:r>
          </w:p>
        </w:tc>
        <w:tc>
          <w:tcPr>
            <w:tcW w:w="2623" w:type="dxa"/>
            <w:vAlign w:val="center"/>
          </w:tcPr>
          <w:p w14:paraId="722BE84A">
            <w:pPr>
              <w:jc w:val="center"/>
              <w:rPr>
                <w:color w:val="000000" w:themeColor="text1"/>
                <w:szCs w:val="21"/>
                <w14:textFill>
                  <w14:solidFill>
                    <w14:schemeClr w14:val="tx1"/>
                  </w14:solidFill>
                </w14:textFill>
              </w:rPr>
            </w:pPr>
            <w:r>
              <w:rPr>
                <w:rFonts w:hint="eastAsia"/>
                <w:sz w:val="24"/>
              </w:rPr>
              <w:t>投标技术响应</w:t>
            </w:r>
          </w:p>
        </w:tc>
        <w:tc>
          <w:tcPr>
            <w:tcW w:w="710" w:type="dxa"/>
            <w:vAlign w:val="center"/>
          </w:tcPr>
          <w:p w14:paraId="3921BE6F">
            <w:pPr>
              <w:jc w:val="center"/>
              <w:rPr>
                <w:color w:val="000000" w:themeColor="text1"/>
                <w:szCs w:val="21"/>
                <w14:textFill>
                  <w14:solidFill>
                    <w14:schemeClr w14:val="tx1"/>
                  </w14:solidFill>
                </w14:textFill>
              </w:rPr>
            </w:pPr>
            <w:r>
              <w:rPr>
                <w:rFonts w:hint="eastAsia"/>
                <w:sz w:val="24"/>
              </w:rPr>
              <w:t>偏离情况</w:t>
            </w:r>
          </w:p>
        </w:tc>
        <w:tc>
          <w:tcPr>
            <w:tcW w:w="390" w:type="dxa"/>
            <w:vAlign w:val="center"/>
          </w:tcPr>
          <w:p w14:paraId="3401145C">
            <w:pPr>
              <w:jc w:val="center"/>
              <w:rPr>
                <w:color w:val="000000" w:themeColor="text1"/>
                <w:szCs w:val="21"/>
                <w14:textFill>
                  <w14:solidFill>
                    <w14:schemeClr w14:val="tx1"/>
                  </w14:solidFill>
                </w14:textFill>
              </w:rPr>
            </w:pPr>
            <w:r>
              <w:rPr>
                <w:rFonts w:hint="eastAsia"/>
                <w:sz w:val="24"/>
              </w:rPr>
              <w:t>说明</w:t>
            </w:r>
          </w:p>
        </w:tc>
      </w:tr>
      <w:tr w14:paraId="4F346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restart"/>
            <w:vAlign w:val="center"/>
          </w:tcPr>
          <w:p w14:paraId="5D243078">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w:t>
            </w:r>
          </w:p>
        </w:tc>
        <w:tc>
          <w:tcPr>
            <w:tcW w:w="772" w:type="dxa"/>
            <w:vMerge w:val="restart"/>
            <w:vAlign w:val="center"/>
          </w:tcPr>
          <w:p w14:paraId="2B969183">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设备</w:t>
            </w:r>
          </w:p>
        </w:tc>
        <w:tc>
          <w:tcPr>
            <w:tcW w:w="3795" w:type="dxa"/>
          </w:tcPr>
          <w:p w14:paraId="0C9B9159">
            <w:pPr>
              <w:jc w:val="center"/>
              <w:rPr>
                <w:color w:val="000000" w:themeColor="text1"/>
                <w:szCs w:val="21"/>
                <w14:textFill>
                  <w14:solidFill>
                    <w14:schemeClr w14:val="tx1"/>
                  </w14:solidFill>
                </w14:textFill>
              </w:rPr>
            </w:pPr>
            <w:r>
              <w:rPr>
                <w:rFonts w:hint="eastAsia"/>
              </w:rPr>
              <w:t>（填写相关内容）</w:t>
            </w:r>
          </w:p>
        </w:tc>
        <w:tc>
          <w:tcPr>
            <w:tcW w:w="2623" w:type="dxa"/>
          </w:tcPr>
          <w:p w14:paraId="55CAFF73">
            <w:pPr>
              <w:rPr>
                <w:color w:val="000000" w:themeColor="text1"/>
                <w:szCs w:val="21"/>
                <w14:textFill>
                  <w14:solidFill>
                    <w14:schemeClr w14:val="tx1"/>
                  </w14:solidFill>
                </w14:textFill>
              </w:rPr>
            </w:pPr>
          </w:p>
        </w:tc>
        <w:tc>
          <w:tcPr>
            <w:tcW w:w="710" w:type="dxa"/>
          </w:tcPr>
          <w:p w14:paraId="56C06A49">
            <w:pPr>
              <w:rPr>
                <w:color w:val="000000" w:themeColor="text1"/>
                <w:szCs w:val="21"/>
                <w14:textFill>
                  <w14:solidFill>
                    <w14:schemeClr w14:val="tx1"/>
                  </w14:solidFill>
                </w14:textFill>
              </w:rPr>
            </w:pPr>
          </w:p>
        </w:tc>
        <w:tc>
          <w:tcPr>
            <w:tcW w:w="390" w:type="dxa"/>
          </w:tcPr>
          <w:p w14:paraId="0E6D8D5A">
            <w:pPr>
              <w:rPr>
                <w:color w:val="000000" w:themeColor="text1"/>
                <w:szCs w:val="21"/>
                <w14:textFill>
                  <w14:solidFill>
                    <w14:schemeClr w14:val="tx1"/>
                  </w14:solidFill>
                </w14:textFill>
              </w:rPr>
            </w:pPr>
          </w:p>
        </w:tc>
      </w:tr>
      <w:tr w14:paraId="702A2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vAlign w:val="center"/>
          </w:tcPr>
          <w:p w14:paraId="37749D84">
            <w:pPr>
              <w:jc w:val="center"/>
              <w:rPr>
                <w:color w:val="000000" w:themeColor="text1"/>
                <w:szCs w:val="21"/>
                <w14:textFill>
                  <w14:solidFill>
                    <w14:schemeClr w14:val="tx1"/>
                  </w14:solidFill>
                </w14:textFill>
              </w:rPr>
            </w:pPr>
          </w:p>
        </w:tc>
        <w:tc>
          <w:tcPr>
            <w:tcW w:w="772" w:type="dxa"/>
            <w:vMerge w:val="continue"/>
            <w:vAlign w:val="center"/>
          </w:tcPr>
          <w:p w14:paraId="3A3BE22B">
            <w:pPr>
              <w:jc w:val="center"/>
              <w:rPr>
                <w:color w:val="000000" w:themeColor="text1"/>
                <w:szCs w:val="21"/>
                <w14:textFill>
                  <w14:solidFill>
                    <w14:schemeClr w14:val="tx1"/>
                  </w14:solidFill>
                </w14:textFill>
              </w:rPr>
            </w:pPr>
          </w:p>
        </w:tc>
        <w:tc>
          <w:tcPr>
            <w:tcW w:w="3795" w:type="dxa"/>
          </w:tcPr>
          <w:p w14:paraId="4119137A">
            <w:pPr>
              <w:jc w:val="center"/>
              <w:rPr>
                <w:color w:val="000000" w:themeColor="text1"/>
                <w:szCs w:val="21"/>
                <w14:textFill>
                  <w14:solidFill>
                    <w14:schemeClr w14:val="tx1"/>
                  </w14:solidFill>
                </w14:textFill>
              </w:rPr>
            </w:pPr>
            <w:r>
              <w:rPr>
                <w:rFonts w:hint="eastAsia"/>
              </w:rPr>
              <w:t>（填写相关内容）</w:t>
            </w:r>
          </w:p>
        </w:tc>
        <w:tc>
          <w:tcPr>
            <w:tcW w:w="2623" w:type="dxa"/>
          </w:tcPr>
          <w:p w14:paraId="1AA4BED1">
            <w:pPr>
              <w:rPr>
                <w:color w:val="000000" w:themeColor="text1"/>
                <w:szCs w:val="21"/>
                <w14:textFill>
                  <w14:solidFill>
                    <w14:schemeClr w14:val="tx1"/>
                  </w14:solidFill>
                </w14:textFill>
              </w:rPr>
            </w:pPr>
          </w:p>
        </w:tc>
        <w:tc>
          <w:tcPr>
            <w:tcW w:w="710" w:type="dxa"/>
          </w:tcPr>
          <w:p w14:paraId="7585FD6A">
            <w:pPr>
              <w:rPr>
                <w:color w:val="000000" w:themeColor="text1"/>
                <w:szCs w:val="21"/>
                <w14:textFill>
                  <w14:solidFill>
                    <w14:schemeClr w14:val="tx1"/>
                  </w14:solidFill>
                </w14:textFill>
              </w:rPr>
            </w:pPr>
          </w:p>
        </w:tc>
        <w:tc>
          <w:tcPr>
            <w:tcW w:w="390" w:type="dxa"/>
          </w:tcPr>
          <w:p w14:paraId="065D332C">
            <w:pPr>
              <w:rPr>
                <w:color w:val="000000" w:themeColor="text1"/>
                <w:szCs w:val="21"/>
                <w14:textFill>
                  <w14:solidFill>
                    <w14:schemeClr w14:val="tx1"/>
                  </w14:solidFill>
                </w14:textFill>
              </w:rPr>
            </w:pPr>
          </w:p>
        </w:tc>
      </w:tr>
      <w:tr w14:paraId="0005A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vAlign w:val="center"/>
          </w:tcPr>
          <w:p w14:paraId="20332048">
            <w:pPr>
              <w:jc w:val="center"/>
              <w:rPr>
                <w:color w:val="000000" w:themeColor="text1"/>
                <w:szCs w:val="21"/>
                <w14:textFill>
                  <w14:solidFill>
                    <w14:schemeClr w14:val="tx1"/>
                  </w14:solidFill>
                </w14:textFill>
              </w:rPr>
            </w:pPr>
          </w:p>
        </w:tc>
        <w:tc>
          <w:tcPr>
            <w:tcW w:w="772" w:type="dxa"/>
            <w:vMerge w:val="continue"/>
            <w:vAlign w:val="center"/>
          </w:tcPr>
          <w:p w14:paraId="6C6754D8">
            <w:pPr>
              <w:jc w:val="center"/>
              <w:rPr>
                <w:color w:val="000000" w:themeColor="text1"/>
                <w:szCs w:val="21"/>
                <w14:textFill>
                  <w14:solidFill>
                    <w14:schemeClr w14:val="tx1"/>
                  </w14:solidFill>
                </w14:textFill>
              </w:rPr>
            </w:pPr>
          </w:p>
        </w:tc>
        <w:tc>
          <w:tcPr>
            <w:tcW w:w="3795" w:type="dxa"/>
          </w:tcPr>
          <w:p w14:paraId="7123F49E">
            <w:pPr>
              <w:jc w:val="center"/>
              <w:rPr>
                <w:color w:val="000000" w:themeColor="text1"/>
                <w:szCs w:val="21"/>
                <w14:textFill>
                  <w14:solidFill>
                    <w14:schemeClr w14:val="tx1"/>
                  </w14:solidFill>
                </w14:textFill>
              </w:rPr>
            </w:pPr>
            <w:r>
              <w:rPr>
                <w:rFonts w:hint="eastAsia"/>
              </w:rPr>
              <w:t>（填写相关内容）</w:t>
            </w:r>
          </w:p>
        </w:tc>
        <w:tc>
          <w:tcPr>
            <w:tcW w:w="2623" w:type="dxa"/>
          </w:tcPr>
          <w:p w14:paraId="4479D990">
            <w:pPr>
              <w:rPr>
                <w:color w:val="000000" w:themeColor="text1"/>
                <w:szCs w:val="21"/>
                <w14:textFill>
                  <w14:solidFill>
                    <w14:schemeClr w14:val="tx1"/>
                  </w14:solidFill>
                </w14:textFill>
              </w:rPr>
            </w:pPr>
          </w:p>
        </w:tc>
        <w:tc>
          <w:tcPr>
            <w:tcW w:w="710" w:type="dxa"/>
          </w:tcPr>
          <w:p w14:paraId="57B87962">
            <w:pPr>
              <w:rPr>
                <w:color w:val="000000" w:themeColor="text1"/>
                <w:szCs w:val="21"/>
                <w14:textFill>
                  <w14:solidFill>
                    <w14:schemeClr w14:val="tx1"/>
                  </w14:solidFill>
                </w14:textFill>
              </w:rPr>
            </w:pPr>
          </w:p>
        </w:tc>
        <w:tc>
          <w:tcPr>
            <w:tcW w:w="390" w:type="dxa"/>
          </w:tcPr>
          <w:p w14:paraId="70695D46">
            <w:pPr>
              <w:rPr>
                <w:color w:val="000000" w:themeColor="text1"/>
                <w:szCs w:val="21"/>
                <w14:textFill>
                  <w14:solidFill>
                    <w14:schemeClr w14:val="tx1"/>
                  </w14:solidFill>
                </w14:textFill>
              </w:rPr>
            </w:pPr>
          </w:p>
        </w:tc>
      </w:tr>
      <w:tr w14:paraId="1E5FD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vAlign w:val="center"/>
          </w:tcPr>
          <w:p w14:paraId="6C0FB6E3">
            <w:pPr>
              <w:jc w:val="center"/>
              <w:rPr>
                <w:color w:val="000000" w:themeColor="text1"/>
                <w:szCs w:val="21"/>
                <w14:textFill>
                  <w14:solidFill>
                    <w14:schemeClr w14:val="tx1"/>
                  </w14:solidFill>
                </w14:textFill>
              </w:rPr>
            </w:pPr>
          </w:p>
        </w:tc>
        <w:tc>
          <w:tcPr>
            <w:tcW w:w="772" w:type="dxa"/>
            <w:vMerge w:val="continue"/>
            <w:vAlign w:val="center"/>
          </w:tcPr>
          <w:p w14:paraId="48AC5741">
            <w:pPr>
              <w:jc w:val="center"/>
              <w:rPr>
                <w:color w:val="000000" w:themeColor="text1"/>
                <w:szCs w:val="21"/>
                <w14:textFill>
                  <w14:solidFill>
                    <w14:schemeClr w14:val="tx1"/>
                  </w14:solidFill>
                </w14:textFill>
              </w:rPr>
            </w:pPr>
          </w:p>
        </w:tc>
        <w:tc>
          <w:tcPr>
            <w:tcW w:w="3795" w:type="dxa"/>
          </w:tcPr>
          <w:p w14:paraId="60203385">
            <w:pPr>
              <w:jc w:val="center"/>
              <w:rPr>
                <w:color w:val="000000" w:themeColor="text1"/>
                <w:szCs w:val="21"/>
                <w14:textFill>
                  <w14:solidFill>
                    <w14:schemeClr w14:val="tx1"/>
                  </w14:solidFill>
                </w14:textFill>
              </w:rPr>
            </w:pPr>
            <w:r>
              <w:rPr>
                <w:rFonts w:hint="eastAsia"/>
              </w:rPr>
              <w:t>（填写相关内容）</w:t>
            </w:r>
          </w:p>
        </w:tc>
        <w:tc>
          <w:tcPr>
            <w:tcW w:w="2623" w:type="dxa"/>
          </w:tcPr>
          <w:p w14:paraId="7CE7F7C5">
            <w:pPr>
              <w:rPr>
                <w:color w:val="000000" w:themeColor="text1"/>
                <w:szCs w:val="21"/>
                <w14:textFill>
                  <w14:solidFill>
                    <w14:schemeClr w14:val="tx1"/>
                  </w14:solidFill>
                </w14:textFill>
              </w:rPr>
            </w:pPr>
          </w:p>
        </w:tc>
        <w:tc>
          <w:tcPr>
            <w:tcW w:w="710" w:type="dxa"/>
          </w:tcPr>
          <w:p w14:paraId="7BFD7C86">
            <w:pPr>
              <w:rPr>
                <w:color w:val="000000" w:themeColor="text1"/>
                <w:szCs w:val="21"/>
                <w14:textFill>
                  <w14:solidFill>
                    <w14:schemeClr w14:val="tx1"/>
                  </w14:solidFill>
                </w14:textFill>
              </w:rPr>
            </w:pPr>
          </w:p>
        </w:tc>
        <w:tc>
          <w:tcPr>
            <w:tcW w:w="390" w:type="dxa"/>
          </w:tcPr>
          <w:p w14:paraId="5F0E7E5D">
            <w:pPr>
              <w:rPr>
                <w:color w:val="000000" w:themeColor="text1"/>
                <w:szCs w:val="21"/>
                <w14:textFill>
                  <w14:solidFill>
                    <w14:schemeClr w14:val="tx1"/>
                  </w14:solidFill>
                </w14:textFill>
              </w:rPr>
            </w:pPr>
          </w:p>
        </w:tc>
      </w:tr>
      <w:tr w14:paraId="2DF2C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vAlign w:val="center"/>
          </w:tcPr>
          <w:p w14:paraId="72FD9FC8">
            <w:pPr>
              <w:jc w:val="center"/>
              <w:rPr>
                <w:color w:val="000000" w:themeColor="text1"/>
                <w:szCs w:val="21"/>
                <w14:textFill>
                  <w14:solidFill>
                    <w14:schemeClr w14:val="tx1"/>
                  </w14:solidFill>
                </w14:textFill>
              </w:rPr>
            </w:pPr>
          </w:p>
        </w:tc>
        <w:tc>
          <w:tcPr>
            <w:tcW w:w="772" w:type="dxa"/>
            <w:vMerge w:val="continue"/>
            <w:vAlign w:val="center"/>
          </w:tcPr>
          <w:p w14:paraId="157E70FB">
            <w:pPr>
              <w:jc w:val="center"/>
              <w:rPr>
                <w:color w:val="000000" w:themeColor="text1"/>
                <w:szCs w:val="21"/>
                <w14:textFill>
                  <w14:solidFill>
                    <w14:schemeClr w14:val="tx1"/>
                  </w14:solidFill>
                </w14:textFill>
              </w:rPr>
            </w:pPr>
          </w:p>
        </w:tc>
        <w:tc>
          <w:tcPr>
            <w:tcW w:w="3795" w:type="dxa"/>
          </w:tcPr>
          <w:p w14:paraId="591C2762">
            <w:pPr>
              <w:jc w:val="center"/>
              <w:rPr>
                <w:color w:val="000000" w:themeColor="text1"/>
                <w:szCs w:val="21"/>
                <w14:textFill>
                  <w14:solidFill>
                    <w14:schemeClr w14:val="tx1"/>
                  </w14:solidFill>
                </w14:textFill>
              </w:rPr>
            </w:pPr>
            <w:r>
              <w:rPr>
                <w:rFonts w:hint="eastAsia"/>
              </w:rPr>
              <w:t>（填写相关内容）</w:t>
            </w:r>
          </w:p>
        </w:tc>
        <w:tc>
          <w:tcPr>
            <w:tcW w:w="2623" w:type="dxa"/>
          </w:tcPr>
          <w:p w14:paraId="732DEC1A">
            <w:pPr>
              <w:rPr>
                <w:rStyle w:val="20"/>
                <w:b w:val="0"/>
                <w:bCs w:val="0"/>
                <w:color w:val="000000" w:themeColor="text1"/>
                <w:szCs w:val="21"/>
                <w14:textFill>
                  <w14:solidFill>
                    <w14:schemeClr w14:val="tx1"/>
                  </w14:solidFill>
                </w14:textFill>
              </w:rPr>
            </w:pPr>
          </w:p>
        </w:tc>
        <w:tc>
          <w:tcPr>
            <w:tcW w:w="710" w:type="dxa"/>
          </w:tcPr>
          <w:p w14:paraId="1331C492">
            <w:pPr>
              <w:rPr>
                <w:rStyle w:val="20"/>
                <w:b w:val="0"/>
                <w:bCs w:val="0"/>
                <w:color w:val="000000" w:themeColor="text1"/>
                <w:szCs w:val="21"/>
                <w14:textFill>
                  <w14:solidFill>
                    <w14:schemeClr w14:val="tx1"/>
                  </w14:solidFill>
                </w14:textFill>
              </w:rPr>
            </w:pPr>
          </w:p>
        </w:tc>
        <w:tc>
          <w:tcPr>
            <w:tcW w:w="390" w:type="dxa"/>
          </w:tcPr>
          <w:p w14:paraId="59762D91">
            <w:pPr>
              <w:rPr>
                <w:rStyle w:val="20"/>
                <w:b w:val="0"/>
                <w:bCs w:val="0"/>
                <w:color w:val="000000" w:themeColor="text1"/>
                <w:szCs w:val="21"/>
                <w14:textFill>
                  <w14:solidFill>
                    <w14:schemeClr w14:val="tx1"/>
                  </w14:solidFill>
                </w14:textFill>
              </w:rPr>
            </w:pPr>
          </w:p>
        </w:tc>
      </w:tr>
      <w:tr w14:paraId="37670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vAlign w:val="center"/>
          </w:tcPr>
          <w:p w14:paraId="3DD48482">
            <w:pPr>
              <w:jc w:val="center"/>
              <w:rPr>
                <w:color w:val="000000" w:themeColor="text1"/>
                <w:szCs w:val="21"/>
                <w14:textFill>
                  <w14:solidFill>
                    <w14:schemeClr w14:val="tx1"/>
                  </w14:solidFill>
                </w14:textFill>
              </w:rPr>
            </w:pPr>
          </w:p>
        </w:tc>
        <w:tc>
          <w:tcPr>
            <w:tcW w:w="772" w:type="dxa"/>
            <w:vMerge w:val="continue"/>
            <w:vAlign w:val="center"/>
          </w:tcPr>
          <w:p w14:paraId="392FAEEF">
            <w:pPr>
              <w:jc w:val="center"/>
              <w:rPr>
                <w:color w:val="000000" w:themeColor="text1"/>
                <w:szCs w:val="21"/>
                <w14:textFill>
                  <w14:solidFill>
                    <w14:schemeClr w14:val="tx1"/>
                  </w14:solidFill>
                </w14:textFill>
              </w:rPr>
            </w:pPr>
          </w:p>
        </w:tc>
        <w:tc>
          <w:tcPr>
            <w:tcW w:w="3795" w:type="dxa"/>
          </w:tcPr>
          <w:p w14:paraId="2E2E5A8D">
            <w:pPr>
              <w:jc w:val="center"/>
              <w:rPr>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p>
        </w:tc>
        <w:tc>
          <w:tcPr>
            <w:tcW w:w="2623" w:type="dxa"/>
          </w:tcPr>
          <w:p w14:paraId="2B2E2008">
            <w:pPr>
              <w:rPr>
                <w:color w:val="000000" w:themeColor="text1"/>
                <w:szCs w:val="21"/>
                <w14:textFill>
                  <w14:solidFill>
                    <w14:schemeClr w14:val="tx1"/>
                  </w14:solidFill>
                </w14:textFill>
              </w:rPr>
            </w:pPr>
          </w:p>
        </w:tc>
        <w:tc>
          <w:tcPr>
            <w:tcW w:w="710" w:type="dxa"/>
          </w:tcPr>
          <w:p w14:paraId="49B3D8B2">
            <w:pPr>
              <w:rPr>
                <w:color w:val="000000" w:themeColor="text1"/>
                <w:szCs w:val="21"/>
                <w14:textFill>
                  <w14:solidFill>
                    <w14:schemeClr w14:val="tx1"/>
                  </w14:solidFill>
                </w14:textFill>
              </w:rPr>
            </w:pPr>
          </w:p>
        </w:tc>
        <w:tc>
          <w:tcPr>
            <w:tcW w:w="390" w:type="dxa"/>
          </w:tcPr>
          <w:p w14:paraId="76B17B93">
            <w:pPr>
              <w:rPr>
                <w:color w:val="000000" w:themeColor="text1"/>
                <w:szCs w:val="21"/>
                <w14:textFill>
                  <w14:solidFill>
                    <w14:schemeClr w14:val="tx1"/>
                  </w14:solidFill>
                </w14:textFill>
              </w:rPr>
            </w:pPr>
          </w:p>
        </w:tc>
      </w:tr>
      <w:tr w14:paraId="3424C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vAlign w:val="center"/>
          </w:tcPr>
          <w:p w14:paraId="4DF786BC">
            <w:pPr>
              <w:jc w:val="center"/>
              <w:rPr>
                <w:color w:val="000000" w:themeColor="text1"/>
                <w:szCs w:val="21"/>
                <w14:textFill>
                  <w14:solidFill>
                    <w14:schemeClr w14:val="tx1"/>
                  </w14:solidFill>
                </w14:textFill>
              </w:rPr>
            </w:pPr>
          </w:p>
        </w:tc>
        <w:tc>
          <w:tcPr>
            <w:tcW w:w="772" w:type="dxa"/>
            <w:vMerge w:val="continue"/>
            <w:vAlign w:val="center"/>
          </w:tcPr>
          <w:p w14:paraId="57471473">
            <w:pPr>
              <w:jc w:val="center"/>
              <w:rPr>
                <w:color w:val="000000" w:themeColor="text1"/>
                <w:szCs w:val="21"/>
                <w14:textFill>
                  <w14:solidFill>
                    <w14:schemeClr w14:val="tx1"/>
                  </w14:solidFill>
                </w14:textFill>
              </w:rPr>
            </w:pPr>
          </w:p>
        </w:tc>
        <w:tc>
          <w:tcPr>
            <w:tcW w:w="3795" w:type="dxa"/>
          </w:tcPr>
          <w:p w14:paraId="70891448">
            <w:pPr>
              <w:jc w:val="center"/>
              <w:rPr>
                <w:b/>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p>
        </w:tc>
        <w:tc>
          <w:tcPr>
            <w:tcW w:w="2623" w:type="dxa"/>
          </w:tcPr>
          <w:p w14:paraId="7B69A8B5">
            <w:pPr>
              <w:rPr>
                <w:b/>
                <w:bCs/>
                <w:color w:val="FF0000"/>
                <w:szCs w:val="21"/>
              </w:rPr>
            </w:pPr>
          </w:p>
        </w:tc>
        <w:tc>
          <w:tcPr>
            <w:tcW w:w="710" w:type="dxa"/>
          </w:tcPr>
          <w:p w14:paraId="07ADCB70">
            <w:pPr>
              <w:rPr>
                <w:b/>
                <w:bCs/>
                <w:color w:val="FF0000"/>
                <w:szCs w:val="21"/>
              </w:rPr>
            </w:pPr>
          </w:p>
        </w:tc>
        <w:tc>
          <w:tcPr>
            <w:tcW w:w="390" w:type="dxa"/>
          </w:tcPr>
          <w:p w14:paraId="1D56C6AF">
            <w:pPr>
              <w:rPr>
                <w:b/>
                <w:bCs/>
                <w:color w:val="FF0000"/>
                <w:szCs w:val="21"/>
              </w:rPr>
            </w:pPr>
          </w:p>
        </w:tc>
      </w:tr>
      <w:tr w14:paraId="58BFD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vAlign w:val="center"/>
          </w:tcPr>
          <w:p w14:paraId="035AF758">
            <w:pPr>
              <w:jc w:val="center"/>
              <w:rPr>
                <w:color w:val="000000" w:themeColor="text1"/>
                <w:szCs w:val="21"/>
                <w14:textFill>
                  <w14:solidFill>
                    <w14:schemeClr w14:val="tx1"/>
                  </w14:solidFill>
                </w14:textFill>
              </w:rPr>
            </w:pPr>
          </w:p>
        </w:tc>
        <w:tc>
          <w:tcPr>
            <w:tcW w:w="772" w:type="dxa"/>
            <w:vMerge w:val="continue"/>
            <w:vAlign w:val="center"/>
          </w:tcPr>
          <w:p w14:paraId="18BD131C">
            <w:pPr>
              <w:jc w:val="center"/>
              <w:rPr>
                <w:color w:val="000000" w:themeColor="text1"/>
                <w:szCs w:val="21"/>
                <w14:textFill>
                  <w14:solidFill>
                    <w14:schemeClr w14:val="tx1"/>
                  </w14:solidFill>
                </w14:textFill>
              </w:rPr>
            </w:pPr>
          </w:p>
        </w:tc>
        <w:tc>
          <w:tcPr>
            <w:tcW w:w="3795" w:type="dxa"/>
          </w:tcPr>
          <w:p w14:paraId="1880401B">
            <w:pPr>
              <w:jc w:val="center"/>
              <w:rPr>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p>
        </w:tc>
        <w:tc>
          <w:tcPr>
            <w:tcW w:w="2623" w:type="dxa"/>
          </w:tcPr>
          <w:p w14:paraId="76E9118E">
            <w:pPr>
              <w:rPr>
                <w:color w:val="000000" w:themeColor="text1"/>
                <w:szCs w:val="21"/>
                <w14:textFill>
                  <w14:solidFill>
                    <w14:schemeClr w14:val="tx1"/>
                  </w14:solidFill>
                </w14:textFill>
              </w:rPr>
            </w:pPr>
          </w:p>
        </w:tc>
        <w:tc>
          <w:tcPr>
            <w:tcW w:w="710" w:type="dxa"/>
          </w:tcPr>
          <w:p w14:paraId="5D97B551">
            <w:pPr>
              <w:rPr>
                <w:color w:val="000000" w:themeColor="text1"/>
                <w:szCs w:val="21"/>
                <w14:textFill>
                  <w14:solidFill>
                    <w14:schemeClr w14:val="tx1"/>
                  </w14:solidFill>
                </w14:textFill>
              </w:rPr>
            </w:pPr>
          </w:p>
        </w:tc>
        <w:tc>
          <w:tcPr>
            <w:tcW w:w="390" w:type="dxa"/>
          </w:tcPr>
          <w:p w14:paraId="18F21F57">
            <w:pPr>
              <w:rPr>
                <w:color w:val="000000" w:themeColor="text1"/>
                <w:szCs w:val="21"/>
                <w14:textFill>
                  <w14:solidFill>
                    <w14:schemeClr w14:val="tx1"/>
                  </w14:solidFill>
                </w14:textFill>
              </w:rPr>
            </w:pPr>
          </w:p>
        </w:tc>
      </w:tr>
      <w:tr w14:paraId="5E299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464" w:type="dxa"/>
            <w:vMerge w:val="restart"/>
            <w:vAlign w:val="center"/>
          </w:tcPr>
          <w:p w14:paraId="3C31BC51">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w:t>
            </w:r>
          </w:p>
        </w:tc>
        <w:tc>
          <w:tcPr>
            <w:tcW w:w="772" w:type="dxa"/>
            <w:vMerge w:val="restart"/>
            <w:vAlign w:val="center"/>
          </w:tcPr>
          <w:p w14:paraId="09E52A36">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设备</w:t>
            </w:r>
          </w:p>
        </w:tc>
        <w:tc>
          <w:tcPr>
            <w:tcW w:w="3795" w:type="dxa"/>
          </w:tcPr>
          <w:p w14:paraId="55048551">
            <w:pPr>
              <w:jc w:val="center"/>
              <w:rPr>
                <w:b/>
                <w:bCs/>
                <w:color w:val="000000" w:themeColor="text1"/>
                <w:szCs w:val="21"/>
                <w14:textFill>
                  <w14:solidFill>
                    <w14:schemeClr w14:val="tx1"/>
                  </w14:solidFill>
                </w14:textFill>
              </w:rPr>
            </w:pPr>
            <w:r>
              <w:rPr>
                <w:rFonts w:hint="eastAsia"/>
              </w:rPr>
              <w:t>（填写相关内容）</w:t>
            </w:r>
          </w:p>
        </w:tc>
        <w:tc>
          <w:tcPr>
            <w:tcW w:w="2623" w:type="dxa"/>
          </w:tcPr>
          <w:p w14:paraId="444F8728">
            <w:pPr>
              <w:rPr>
                <w:b/>
                <w:bCs/>
                <w:color w:val="FF0000"/>
                <w:szCs w:val="21"/>
              </w:rPr>
            </w:pPr>
          </w:p>
        </w:tc>
        <w:tc>
          <w:tcPr>
            <w:tcW w:w="710" w:type="dxa"/>
          </w:tcPr>
          <w:p w14:paraId="583A63A2">
            <w:pPr>
              <w:rPr>
                <w:b/>
                <w:bCs/>
                <w:color w:val="FF0000"/>
                <w:szCs w:val="21"/>
              </w:rPr>
            </w:pPr>
          </w:p>
        </w:tc>
        <w:tc>
          <w:tcPr>
            <w:tcW w:w="390" w:type="dxa"/>
          </w:tcPr>
          <w:p w14:paraId="1E720F17">
            <w:pPr>
              <w:rPr>
                <w:b/>
                <w:bCs/>
                <w:color w:val="FF0000"/>
                <w:szCs w:val="21"/>
              </w:rPr>
            </w:pPr>
          </w:p>
        </w:tc>
      </w:tr>
      <w:tr w14:paraId="377CE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tcPr>
          <w:p w14:paraId="4EAD25B0">
            <w:pPr>
              <w:jc w:val="center"/>
              <w:rPr>
                <w:color w:val="000000" w:themeColor="text1"/>
                <w:szCs w:val="21"/>
                <w14:textFill>
                  <w14:solidFill>
                    <w14:schemeClr w14:val="tx1"/>
                  </w14:solidFill>
                </w14:textFill>
              </w:rPr>
            </w:pPr>
          </w:p>
        </w:tc>
        <w:tc>
          <w:tcPr>
            <w:tcW w:w="772" w:type="dxa"/>
            <w:vMerge w:val="continue"/>
          </w:tcPr>
          <w:p w14:paraId="1A601342">
            <w:pPr>
              <w:rPr>
                <w:color w:val="000000" w:themeColor="text1"/>
                <w:szCs w:val="21"/>
                <w14:textFill>
                  <w14:solidFill>
                    <w14:schemeClr w14:val="tx1"/>
                  </w14:solidFill>
                </w14:textFill>
              </w:rPr>
            </w:pPr>
          </w:p>
        </w:tc>
        <w:tc>
          <w:tcPr>
            <w:tcW w:w="3795" w:type="dxa"/>
          </w:tcPr>
          <w:p w14:paraId="2E3FD101">
            <w:pPr>
              <w:jc w:val="center"/>
              <w:rPr>
                <w:color w:val="000000" w:themeColor="text1"/>
                <w:szCs w:val="21"/>
                <w14:textFill>
                  <w14:solidFill>
                    <w14:schemeClr w14:val="tx1"/>
                  </w14:solidFill>
                </w14:textFill>
              </w:rPr>
            </w:pPr>
            <w:r>
              <w:rPr>
                <w:rFonts w:hint="eastAsia"/>
              </w:rPr>
              <w:t>（填写相关内容）</w:t>
            </w:r>
          </w:p>
        </w:tc>
        <w:tc>
          <w:tcPr>
            <w:tcW w:w="2623" w:type="dxa"/>
          </w:tcPr>
          <w:p w14:paraId="41A6E209">
            <w:pPr>
              <w:rPr>
                <w:color w:val="000000" w:themeColor="text1"/>
                <w:szCs w:val="21"/>
                <w14:textFill>
                  <w14:solidFill>
                    <w14:schemeClr w14:val="tx1"/>
                  </w14:solidFill>
                </w14:textFill>
              </w:rPr>
            </w:pPr>
          </w:p>
        </w:tc>
        <w:tc>
          <w:tcPr>
            <w:tcW w:w="710" w:type="dxa"/>
          </w:tcPr>
          <w:p w14:paraId="7081773E">
            <w:pPr>
              <w:rPr>
                <w:color w:val="000000" w:themeColor="text1"/>
                <w:szCs w:val="21"/>
                <w14:textFill>
                  <w14:solidFill>
                    <w14:schemeClr w14:val="tx1"/>
                  </w14:solidFill>
                </w14:textFill>
              </w:rPr>
            </w:pPr>
          </w:p>
        </w:tc>
        <w:tc>
          <w:tcPr>
            <w:tcW w:w="390" w:type="dxa"/>
          </w:tcPr>
          <w:p w14:paraId="27FE82D6">
            <w:pPr>
              <w:rPr>
                <w:color w:val="000000" w:themeColor="text1"/>
                <w:szCs w:val="21"/>
                <w14:textFill>
                  <w14:solidFill>
                    <w14:schemeClr w14:val="tx1"/>
                  </w14:solidFill>
                </w14:textFill>
              </w:rPr>
            </w:pPr>
          </w:p>
        </w:tc>
      </w:tr>
      <w:tr w14:paraId="7E35E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 w:hRule="atLeast"/>
        </w:trPr>
        <w:tc>
          <w:tcPr>
            <w:tcW w:w="464" w:type="dxa"/>
            <w:vMerge w:val="continue"/>
          </w:tcPr>
          <w:p w14:paraId="14B75D89">
            <w:pPr>
              <w:jc w:val="center"/>
              <w:rPr>
                <w:color w:val="000000" w:themeColor="text1"/>
                <w:szCs w:val="21"/>
                <w14:textFill>
                  <w14:solidFill>
                    <w14:schemeClr w14:val="tx1"/>
                  </w14:solidFill>
                </w14:textFill>
              </w:rPr>
            </w:pPr>
          </w:p>
        </w:tc>
        <w:tc>
          <w:tcPr>
            <w:tcW w:w="772" w:type="dxa"/>
            <w:vMerge w:val="continue"/>
          </w:tcPr>
          <w:p w14:paraId="35D63233">
            <w:pPr>
              <w:rPr>
                <w:color w:val="000000" w:themeColor="text1"/>
                <w:szCs w:val="21"/>
                <w14:textFill>
                  <w14:solidFill>
                    <w14:schemeClr w14:val="tx1"/>
                  </w14:solidFill>
                </w14:textFill>
              </w:rPr>
            </w:pPr>
          </w:p>
        </w:tc>
        <w:tc>
          <w:tcPr>
            <w:tcW w:w="3795" w:type="dxa"/>
          </w:tcPr>
          <w:p w14:paraId="4A78D6CF">
            <w:pPr>
              <w:jc w:val="center"/>
              <w:rPr>
                <w:color w:val="000000" w:themeColor="text1"/>
                <w:szCs w:val="21"/>
                <w14:textFill>
                  <w14:solidFill>
                    <w14:schemeClr w14:val="tx1"/>
                  </w14:solidFill>
                </w14:textFill>
              </w:rPr>
            </w:pPr>
            <w:r>
              <w:rPr>
                <w:rFonts w:hint="eastAsia"/>
              </w:rPr>
              <w:t>（填写相关内容）</w:t>
            </w:r>
          </w:p>
        </w:tc>
        <w:tc>
          <w:tcPr>
            <w:tcW w:w="2623" w:type="dxa"/>
          </w:tcPr>
          <w:p w14:paraId="45DCF469">
            <w:pPr>
              <w:rPr>
                <w:color w:val="000000" w:themeColor="text1"/>
                <w:szCs w:val="21"/>
                <w14:textFill>
                  <w14:solidFill>
                    <w14:schemeClr w14:val="tx1"/>
                  </w14:solidFill>
                </w14:textFill>
              </w:rPr>
            </w:pPr>
          </w:p>
        </w:tc>
        <w:tc>
          <w:tcPr>
            <w:tcW w:w="710" w:type="dxa"/>
          </w:tcPr>
          <w:p w14:paraId="307BB178">
            <w:pPr>
              <w:rPr>
                <w:color w:val="000000" w:themeColor="text1"/>
                <w:szCs w:val="21"/>
                <w14:textFill>
                  <w14:solidFill>
                    <w14:schemeClr w14:val="tx1"/>
                  </w14:solidFill>
                </w14:textFill>
              </w:rPr>
            </w:pPr>
          </w:p>
        </w:tc>
        <w:tc>
          <w:tcPr>
            <w:tcW w:w="390" w:type="dxa"/>
          </w:tcPr>
          <w:p w14:paraId="0FA44A18">
            <w:pPr>
              <w:rPr>
                <w:color w:val="000000" w:themeColor="text1"/>
                <w:szCs w:val="21"/>
                <w14:textFill>
                  <w14:solidFill>
                    <w14:schemeClr w14:val="tx1"/>
                  </w14:solidFill>
                </w14:textFill>
              </w:rPr>
            </w:pPr>
          </w:p>
        </w:tc>
      </w:tr>
      <w:tr w14:paraId="14D3D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4" w:type="dxa"/>
            <w:vMerge w:val="continue"/>
          </w:tcPr>
          <w:p w14:paraId="48ABC5BF">
            <w:pPr>
              <w:jc w:val="center"/>
              <w:rPr>
                <w:color w:val="000000" w:themeColor="text1"/>
                <w:szCs w:val="21"/>
                <w14:textFill>
                  <w14:solidFill>
                    <w14:schemeClr w14:val="tx1"/>
                  </w14:solidFill>
                </w14:textFill>
              </w:rPr>
            </w:pPr>
          </w:p>
        </w:tc>
        <w:tc>
          <w:tcPr>
            <w:tcW w:w="772" w:type="dxa"/>
            <w:vMerge w:val="continue"/>
          </w:tcPr>
          <w:p w14:paraId="6A50F58D">
            <w:pPr>
              <w:rPr>
                <w:color w:val="000000" w:themeColor="text1"/>
                <w:szCs w:val="21"/>
                <w14:textFill>
                  <w14:solidFill>
                    <w14:schemeClr w14:val="tx1"/>
                  </w14:solidFill>
                </w14:textFill>
              </w:rPr>
            </w:pPr>
          </w:p>
        </w:tc>
        <w:tc>
          <w:tcPr>
            <w:tcW w:w="3795" w:type="dxa"/>
          </w:tcPr>
          <w:p w14:paraId="6DFC397B">
            <w:pPr>
              <w:jc w:val="center"/>
              <w:rPr>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p>
        </w:tc>
        <w:tc>
          <w:tcPr>
            <w:tcW w:w="2623" w:type="dxa"/>
          </w:tcPr>
          <w:p w14:paraId="4A87B5CF">
            <w:pPr>
              <w:rPr>
                <w:color w:val="000000" w:themeColor="text1"/>
                <w:szCs w:val="21"/>
                <w14:textFill>
                  <w14:solidFill>
                    <w14:schemeClr w14:val="tx1"/>
                  </w14:solidFill>
                </w14:textFill>
              </w:rPr>
            </w:pPr>
          </w:p>
        </w:tc>
        <w:tc>
          <w:tcPr>
            <w:tcW w:w="710" w:type="dxa"/>
          </w:tcPr>
          <w:p w14:paraId="060DCBA2">
            <w:pPr>
              <w:rPr>
                <w:color w:val="000000" w:themeColor="text1"/>
                <w:szCs w:val="21"/>
                <w14:textFill>
                  <w14:solidFill>
                    <w14:schemeClr w14:val="tx1"/>
                  </w14:solidFill>
                </w14:textFill>
              </w:rPr>
            </w:pPr>
          </w:p>
        </w:tc>
        <w:tc>
          <w:tcPr>
            <w:tcW w:w="390" w:type="dxa"/>
          </w:tcPr>
          <w:p w14:paraId="5821CCB2">
            <w:pPr>
              <w:rPr>
                <w:color w:val="000000" w:themeColor="text1"/>
                <w:szCs w:val="21"/>
                <w14:textFill>
                  <w14:solidFill>
                    <w14:schemeClr w14:val="tx1"/>
                  </w14:solidFill>
                </w14:textFill>
              </w:rPr>
            </w:pPr>
          </w:p>
        </w:tc>
      </w:tr>
    </w:tbl>
    <w:p w14:paraId="17477EF3">
      <w:pPr>
        <w:rPr>
          <w:sz w:val="24"/>
        </w:rPr>
      </w:pPr>
    </w:p>
    <w:p w14:paraId="143171F0">
      <w:pPr>
        <w:rPr>
          <w:szCs w:val="21"/>
        </w:rPr>
      </w:pPr>
      <w:bookmarkStart w:id="40" w:name="_Hlk72095977"/>
      <w:r>
        <w:rPr>
          <w:rFonts w:hint="eastAsia"/>
          <w:szCs w:val="21"/>
        </w:rPr>
        <w:t>证明资料【如有的话，提供的证明资料应统一编号（排序），格式自定】</w:t>
      </w:r>
      <w:bookmarkEnd w:id="40"/>
      <w:r>
        <w:rPr>
          <w:rFonts w:hint="eastAsia"/>
          <w:szCs w:val="21"/>
        </w:rPr>
        <w:t>：</w:t>
      </w:r>
    </w:p>
    <w:p w14:paraId="3132B4E1">
      <w:pPr>
        <w:rPr>
          <w:b/>
          <w:szCs w:val="21"/>
        </w:rPr>
      </w:pPr>
    </w:p>
    <w:p w14:paraId="07DA5E08">
      <w:pPr>
        <w:ind w:firstLine="420" w:firstLineChars="200"/>
        <w:rPr>
          <w:bCs/>
          <w:szCs w:val="21"/>
        </w:rPr>
      </w:pPr>
      <w:r>
        <w:rPr>
          <w:rFonts w:hint="eastAsia"/>
          <w:bCs/>
          <w:szCs w:val="21"/>
        </w:rPr>
        <w:t>《技术要求偏离表》编制指引：</w:t>
      </w:r>
    </w:p>
    <w:p w14:paraId="1972B1A7">
      <w:pPr>
        <w:ind w:firstLine="420" w:firstLineChars="200"/>
        <w:rPr>
          <w:bCs/>
          <w:szCs w:val="21"/>
        </w:rPr>
      </w:pPr>
      <w:r>
        <w:rPr>
          <w:rFonts w:hint="eastAsia"/>
          <w:bCs/>
          <w:szCs w:val="21"/>
        </w:rPr>
        <w:t>1、技术要求偏离表的序号、货物名称、招标技术要求等栏目</w:t>
      </w:r>
      <w:bookmarkStart w:id="41" w:name="_Hlk72094407"/>
      <w:r>
        <w:rPr>
          <w:rFonts w:hint="eastAsia"/>
          <w:bCs/>
          <w:szCs w:val="21"/>
        </w:rPr>
        <w:t>对应“用户需求书”中的“技术要求”章节</w:t>
      </w:r>
      <w:bookmarkEnd w:id="41"/>
      <w:r>
        <w:rPr>
          <w:rFonts w:hint="eastAsia"/>
          <w:bCs/>
          <w:szCs w:val="21"/>
        </w:rPr>
        <w:t>相关内容。</w:t>
      </w:r>
    </w:p>
    <w:p w14:paraId="6A566926">
      <w:pPr>
        <w:pStyle w:val="14"/>
        <w:spacing w:beforeAutospacing="0" w:afterAutospacing="0"/>
        <w:ind w:firstLine="420" w:firstLineChars="200"/>
        <w:jc w:val="both"/>
        <w:outlineLvl w:val="1"/>
        <w:rPr>
          <w:rFonts w:ascii="Times New Roman" w:hAnsi="Times New Roman" w:eastAsia="宋体" w:cs="Times New Roman"/>
          <w:bCs/>
          <w:color w:val="FF0000"/>
          <w:sz w:val="21"/>
          <w:szCs w:val="21"/>
        </w:rPr>
      </w:pPr>
      <w:r>
        <w:rPr>
          <w:bCs/>
          <w:sz w:val="21"/>
          <w:szCs w:val="21"/>
        </w:rPr>
        <w:t>2</w:t>
      </w:r>
      <w:r>
        <w:rPr>
          <w:rFonts w:hint="eastAsia"/>
          <w:bCs/>
          <w:sz w:val="21"/>
          <w:szCs w:val="21"/>
        </w:rPr>
        <w:t>、“投标技术响应”一栏必须一一对照“招标技术要求”，详细填写投标人自身投标货物的具体参数，而不能不合理照搬照抄招标文件的技术要求，以体现具体响应情况。</w:t>
      </w:r>
      <w:r>
        <w:rPr>
          <w:rFonts w:hint="eastAsia" w:ascii="Times New Roman" w:hAnsi="Times New Roman" w:eastAsia="宋体" w:cs="Times New Roman"/>
          <w:bCs/>
          <w:color w:val="FF0000"/>
          <w:sz w:val="21"/>
          <w:szCs w:val="21"/>
        </w:rPr>
        <w:t>“投标技术响应”必须与</w:t>
      </w:r>
      <w:r>
        <w:rPr>
          <w:rFonts w:hint="eastAsia" w:cs="Times New Roman"/>
          <w:bCs/>
          <w:color w:val="FF0000"/>
          <w:sz w:val="21"/>
          <w:szCs w:val="21"/>
        </w:rPr>
        <w:t>所投产品</w:t>
      </w:r>
      <w:r>
        <w:rPr>
          <w:rFonts w:hint="eastAsia" w:ascii="Times New Roman" w:hAnsi="Times New Roman" w:eastAsia="宋体" w:cs="Times New Roman"/>
          <w:bCs/>
          <w:color w:val="FF0000"/>
          <w:sz w:val="21"/>
          <w:szCs w:val="21"/>
        </w:rPr>
        <w:t>客观实际保持一致，响应不实且情节严重的，经查实，将依法记入供应商诚信档案或受到行政处罚。</w:t>
      </w:r>
    </w:p>
    <w:p w14:paraId="58603496">
      <w:pPr>
        <w:ind w:firstLine="420" w:firstLineChars="200"/>
        <w:rPr>
          <w:rFonts w:ascii="Times New Roman" w:hAnsi="Times New Roman" w:eastAsia="宋体" w:cs="Times New Roman"/>
          <w:bCs/>
          <w:color w:val="FF0000"/>
          <w:szCs w:val="21"/>
        </w:rPr>
      </w:pPr>
      <w:r>
        <w:rPr>
          <w:bCs/>
          <w:szCs w:val="21"/>
        </w:rPr>
        <w:t>3</w:t>
      </w:r>
      <w:r>
        <w:rPr>
          <w:rFonts w:hint="eastAsia"/>
          <w:bCs/>
          <w:szCs w:val="21"/>
        </w:rPr>
        <w:t>、</w:t>
      </w:r>
      <w:bookmarkStart w:id="42" w:name="_Hlk72158270"/>
      <w:r>
        <w:rPr>
          <w:rFonts w:hint="eastAsia"/>
          <w:bCs/>
          <w:szCs w:val="21"/>
        </w:rPr>
        <w:t>“偏离情况”</w:t>
      </w:r>
      <w:bookmarkEnd w:id="42"/>
      <w:r>
        <w:rPr>
          <w:rFonts w:hint="eastAsia"/>
          <w:bCs/>
          <w:szCs w:val="21"/>
        </w:rPr>
        <w:t>一栏填写如实填写“正偏离”、“负偏离”或“无偏离”，其中：</w:t>
      </w:r>
      <w:bookmarkStart w:id="43" w:name="_Hlk72093866"/>
      <w:r>
        <w:rPr>
          <w:rFonts w:hint="eastAsia"/>
          <w:bCs/>
          <w:szCs w:val="21"/>
        </w:rPr>
        <w:t>“正偏离”表示“投标响应优于招标技术要求”，“负偏离”表示“投标响应不满足招标技术要求”，“无偏离”表示“投标响应与招标技术要求一致”</w:t>
      </w:r>
      <w:bookmarkEnd w:id="43"/>
      <w:r>
        <w:rPr>
          <w:rFonts w:hint="eastAsia"/>
          <w:bCs/>
          <w:szCs w:val="21"/>
        </w:rPr>
        <w:t>。“投标技术响应”对比“招标技术要求”存在响应不全（包括未响应整项招标技术要求或者未响应一项招标技术要求的部分内容），均视为“负偏离”。带★号条款为不可负偏离条款，不作为评分准则中的评分内容</w:t>
      </w:r>
      <w:r>
        <w:rPr>
          <w:rFonts w:hint="eastAsia" w:eastAsia="宋体"/>
          <w:bCs/>
          <w:szCs w:val="21"/>
        </w:rPr>
        <w:t>，</w:t>
      </w:r>
      <w:r>
        <w:rPr>
          <w:rFonts w:hint="eastAsia"/>
          <w:bCs/>
          <w:szCs w:val="21"/>
        </w:rPr>
        <w:t>如未响应或出现负偏离的，将做投标无效处理。</w:t>
      </w:r>
      <w:r>
        <w:rPr>
          <w:rFonts w:hint="eastAsia" w:ascii="Times New Roman" w:hAnsi="Times New Roman" w:eastAsia="宋体" w:cs="Times New Roman"/>
          <w:bCs/>
          <w:color w:val="FF0000"/>
          <w:szCs w:val="21"/>
        </w:rPr>
        <w:t>“偏离情况”必须与所投产品客观实际保持一致，响应不实且情节严重的，经查实，将依法记入供应商诚信档案或受到行政处罚。</w:t>
      </w:r>
    </w:p>
    <w:p w14:paraId="01A88F9A">
      <w:pPr>
        <w:ind w:firstLine="420" w:firstLineChars="200"/>
        <w:rPr>
          <w:bCs/>
          <w:szCs w:val="21"/>
        </w:rPr>
      </w:pPr>
      <w:r>
        <w:rPr>
          <w:bCs/>
          <w:szCs w:val="21"/>
        </w:rPr>
        <w:t>4</w:t>
      </w:r>
      <w:r>
        <w:rPr>
          <w:rFonts w:hint="eastAsia"/>
          <w:bCs/>
          <w:szCs w:val="21"/>
        </w:rPr>
        <w:t>、未要求提供证明资料的招标技术要求，可以不提供证明资料（如实响应即可）。</w:t>
      </w:r>
    </w:p>
    <w:p w14:paraId="2BEB56C4">
      <w:pPr>
        <w:ind w:firstLine="420" w:firstLineChars="200"/>
        <w:rPr>
          <w:bCs/>
          <w:szCs w:val="21"/>
        </w:rPr>
      </w:pPr>
      <w:r>
        <w:rPr>
          <w:rFonts w:hint="eastAsia"/>
          <w:bCs/>
          <w:szCs w:val="21"/>
        </w:rPr>
        <w:t>5、</w:t>
      </w:r>
      <w:bookmarkStart w:id="44" w:name="_Hlk72096106"/>
      <w:r>
        <w:rPr>
          <w:rFonts w:hint="eastAsia"/>
          <w:bCs/>
          <w:szCs w:val="21"/>
        </w:rPr>
        <w:t>证明资料条款响应要求</w:t>
      </w:r>
      <w:bookmarkEnd w:id="44"/>
      <w:r>
        <w:rPr>
          <w:rFonts w:hint="eastAsia"/>
          <w:bCs/>
          <w:szCs w:val="21"/>
        </w:rPr>
        <w:t>：要求提供证明资料（且已对证明资料的形式、内容作出明确要求）进行响应的条款，应当在“说明”一栏中列明是否提供了符合要求的证明资料，以及所提供证明资料在表后“证明资料”中的编号（位置）,以便评审；</w:t>
      </w:r>
      <w:bookmarkStart w:id="45" w:name="_Hlk73558782"/>
      <w:r>
        <w:rPr>
          <w:rFonts w:hint="eastAsia"/>
          <w:bCs/>
          <w:szCs w:val="21"/>
        </w:rPr>
        <w:t>此类条款应严格依照要求的形式、内容提供证明资料，如未提供证明资料（或：证明资料的形式、内容等不符合要求；证明资料显示不符合招标技术要求；证明资料模糊不清无法判断或未显示是否满足招标技术要求），</w:t>
      </w:r>
      <w:bookmarkStart w:id="46" w:name="_Hlk73558164"/>
      <w:r>
        <w:rPr>
          <w:rFonts w:hint="eastAsia"/>
          <w:bCs/>
          <w:szCs w:val="21"/>
        </w:rPr>
        <w:t>且投标人在“偏离情况”一栏响应为“正偏离”或“无偏离”的，经评审委员会认定，将判定为负偏离。</w:t>
      </w:r>
      <w:bookmarkEnd w:id="45"/>
      <w:bookmarkEnd w:id="46"/>
    </w:p>
    <w:p w14:paraId="4C46E83C">
      <w:pPr>
        <w:ind w:firstLine="420" w:firstLineChars="200"/>
        <w:rPr>
          <w:bCs/>
          <w:szCs w:val="21"/>
        </w:rPr>
      </w:pPr>
      <w:r>
        <w:rPr>
          <w:rFonts w:hint="eastAsia"/>
          <w:bCs/>
          <w:szCs w:val="21"/>
        </w:rPr>
        <w:t>6、</w:t>
      </w:r>
      <w:bookmarkStart w:id="47" w:name="_Hlk72096137"/>
      <w:r>
        <w:rPr>
          <w:rFonts w:hint="eastAsia"/>
          <w:bCs/>
          <w:szCs w:val="21"/>
        </w:rPr>
        <w:t>表后“证明资料”部分内容的编制</w:t>
      </w:r>
      <w:bookmarkEnd w:id="47"/>
      <w:r>
        <w:rPr>
          <w:rFonts w:hint="eastAsia"/>
          <w:bCs/>
          <w:szCs w:val="21"/>
        </w:rPr>
        <w:t>：提供的所有证明资料应当统一编号（排序），且证明资料的编号（顺序）、数量和名称（形式）均应与“说明”一栏所填内容保持一致（一一对应），以便评审委员会查看。</w:t>
      </w:r>
      <w:bookmarkStart w:id="48" w:name="_Hlk73558180"/>
      <w:r>
        <w:rPr>
          <w:rFonts w:hint="eastAsia"/>
          <w:bCs/>
          <w:szCs w:val="21"/>
        </w:rPr>
        <w:t>未按照招标文件要求在表后放置证明材料的供应商将承担不利后果，经评审委员会认定，相关技术要求将判定为负偏离。</w:t>
      </w:r>
      <w:bookmarkEnd w:id="48"/>
    </w:p>
    <w:p w14:paraId="5BBDE422">
      <w:pPr>
        <w:ind w:firstLine="420" w:firstLineChars="200"/>
        <w:rPr>
          <w:bCs/>
          <w:szCs w:val="21"/>
        </w:rPr>
      </w:pPr>
      <w:r>
        <w:rPr>
          <w:rFonts w:hint="eastAsia"/>
          <w:bCs/>
          <w:szCs w:val="21"/>
        </w:rPr>
        <w:t>7、</w:t>
      </w:r>
      <w:bookmarkStart w:id="49" w:name="_Hlk72096176"/>
      <w:r>
        <w:rPr>
          <w:rFonts w:hint="eastAsia"/>
          <w:bCs/>
          <w:szCs w:val="21"/>
        </w:rPr>
        <w:t>证明资料的形式及其它具体要求</w:t>
      </w:r>
      <w:bookmarkEnd w:id="49"/>
      <w:r>
        <w:rPr>
          <w:rFonts w:hint="eastAsia"/>
          <w:bCs/>
          <w:szCs w:val="21"/>
        </w:rPr>
        <w:t>：</w:t>
      </w:r>
    </w:p>
    <w:p w14:paraId="4FBAB76D">
      <w:pPr>
        <w:ind w:firstLine="420" w:firstLineChars="200"/>
        <w:rPr>
          <w:bCs/>
          <w:szCs w:val="21"/>
        </w:rPr>
      </w:pPr>
      <w:r>
        <w:rPr>
          <w:rFonts w:hint="eastAsia"/>
          <w:bCs/>
          <w:szCs w:val="21"/>
        </w:rPr>
        <w:t>（1）除照片、图片（截图）及不需加盖公章的文字说明（技术说明）外，其它证明资料均要求为原件扫描件；</w:t>
      </w:r>
    </w:p>
    <w:p w14:paraId="0507149A">
      <w:pPr>
        <w:ind w:firstLine="420" w:firstLineChars="200"/>
        <w:rPr>
          <w:bCs/>
          <w:szCs w:val="21"/>
        </w:rPr>
      </w:pPr>
      <w:r>
        <w:rPr>
          <w:rFonts w:hint="eastAsia"/>
          <w:bCs/>
          <w:szCs w:val="21"/>
        </w:rPr>
        <w:t>（2）提供证明资料的形式包括但不限于：a.制造商公布（出具）的产品说明书、产品彩页；b.我国政府机构出具的产品检验和核准证件等；c.第三方机构出具的检测（检验、测试）报告、认证证书等；已对证明资料的形式、内容作出具体要求的，必须严格按要求的形式、内容提供证明资料；</w:t>
      </w:r>
    </w:p>
    <w:p w14:paraId="0C597246">
      <w:pPr>
        <w:ind w:firstLine="420" w:firstLineChars="200"/>
        <w:rPr>
          <w:bCs/>
          <w:szCs w:val="21"/>
        </w:rPr>
      </w:pPr>
      <w:r>
        <w:rPr>
          <w:rFonts w:hint="eastAsia"/>
          <w:bCs/>
          <w:szCs w:val="21"/>
        </w:rPr>
        <w:t>（3）产品说明书或彩页应为制造商公布（出具）的中文产品说明书或彩页；提供外文说明书或彩页的，必须同时提供加盖制造商公章的对应中文翻译说明，评标依据以中文翻译内容为准，外文说明书或彩页仅供参考；产品说明书或彩页的尺寸和清晰度应该能够在电脑上被阅读、识别和判断；</w:t>
      </w:r>
    </w:p>
    <w:p w14:paraId="65AC15AD">
      <w:pPr>
        <w:ind w:firstLine="420" w:firstLineChars="200"/>
        <w:rPr>
          <w:bCs/>
          <w:szCs w:val="21"/>
        </w:rPr>
      </w:pPr>
      <w:r>
        <w:rPr>
          <w:rFonts w:hint="eastAsia"/>
          <w:bCs/>
          <w:szCs w:val="21"/>
        </w:rPr>
        <w:t>我国政府机构出具的产品检验和核准证件应为证件正面、背面和附件标注的全部具体内容；产品检验和核准证件的尺寸和清晰度应该能够在电脑上被阅读、识别和判断；</w:t>
      </w:r>
    </w:p>
    <w:p w14:paraId="053E7792">
      <w:pPr>
        <w:ind w:firstLine="420" w:firstLineChars="200"/>
        <w:rPr>
          <w:bCs/>
          <w:szCs w:val="21"/>
        </w:rPr>
      </w:pPr>
      <w:r>
        <w:rPr>
          <w:rFonts w:hint="eastAsia"/>
          <w:bCs/>
          <w:szCs w:val="21"/>
        </w:rPr>
        <w:t>第三方机构出具的检测（检验、测试）报告、认证（证明）证书应为中文报告或证书；提供外文报告或证书的，必须同时提供对应的中文翻译文字说明，评标依据以中文翻译文字说明内容为准，外文报告或证书仅供参考；报告或证书的尺寸和清晰度应该能够在电脑上被阅读、识别和判断；</w:t>
      </w:r>
    </w:p>
    <w:p w14:paraId="69E0856D">
      <w:pPr>
        <w:ind w:firstLine="420" w:firstLineChars="200"/>
        <w:rPr>
          <w:bCs/>
          <w:szCs w:val="21"/>
        </w:rPr>
      </w:pPr>
      <w:r>
        <w:rPr>
          <w:rFonts w:hint="eastAsia"/>
          <w:bCs/>
          <w:szCs w:val="21"/>
        </w:rPr>
        <w:t>其它证明资料的形式要求参照以上要求执行；</w:t>
      </w:r>
    </w:p>
    <w:p w14:paraId="39132A5E">
      <w:pPr>
        <w:ind w:firstLine="420" w:firstLineChars="200"/>
        <w:rPr>
          <w:bCs/>
          <w:szCs w:val="21"/>
        </w:rPr>
      </w:pPr>
      <w:r>
        <w:rPr>
          <w:rFonts w:hint="eastAsia"/>
          <w:bCs/>
          <w:szCs w:val="21"/>
        </w:rPr>
        <w:t>（4）证明资料均要求原件备查。</w:t>
      </w:r>
    </w:p>
    <w:p w14:paraId="2497387D">
      <w:pPr>
        <w:ind w:firstLine="420" w:firstLineChars="200"/>
        <w:rPr>
          <w:bCs/>
          <w:szCs w:val="21"/>
        </w:rPr>
      </w:pPr>
      <w:r>
        <w:rPr>
          <w:rFonts w:hint="eastAsia"/>
          <w:bCs/>
          <w:szCs w:val="21"/>
        </w:rPr>
        <w:t>8、其它注意事项：</w:t>
      </w:r>
    </w:p>
    <w:p w14:paraId="6312DBA2">
      <w:pPr>
        <w:ind w:firstLine="420" w:firstLineChars="200"/>
        <w:rPr>
          <w:bCs/>
          <w:szCs w:val="21"/>
        </w:rPr>
      </w:pPr>
      <w:r>
        <w:rPr>
          <w:rFonts w:hint="eastAsia"/>
          <w:bCs/>
          <w:szCs w:val="21"/>
        </w:rPr>
        <w:t>（1）评审委员会有权对投标人的响应情况作出判断（评审结论）；</w:t>
      </w:r>
    </w:p>
    <w:p w14:paraId="00C45D01">
      <w:pPr>
        <w:ind w:firstLine="420" w:firstLineChars="200"/>
        <w:rPr>
          <w:bCs/>
          <w:szCs w:val="21"/>
        </w:rPr>
      </w:pPr>
      <w:r>
        <w:rPr>
          <w:rFonts w:hint="eastAsia"/>
          <w:bCs/>
          <w:szCs w:val="21"/>
        </w:rPr>
        <w:t>（2）</w:t>
      </w:r>
      <w:bookmarkStart w:id="50" w:name="_Hlk72158213"/>
      <w:r>
        <w:rPr>
          <w:rFonts w:hint="eastAsia"/>
          <w:bCs/>
          <w:szCs w:val="21"/>
        </w:rPr>
        <w:t>评审委员会有权对以谋取中标为目的的技术规格模糊响应（如有意不合理照搬照抄招标文件的技术要求）或虚假响应予以认定，并视情况经政府集中采购机构报主管部门进行处理。</w:t>
      </w:r>
      <w:bookmarkEnd w:id="50"/>
    </w:p>
    <w:p w14:paraId="64B19F2B">
      <w:pPr>
        <w:ind w:firstLine="482" w:firstLineChars="200"/>
        <w:rPr>
          <w:b/>
          <w:sz w:val="24"/>
        </w:rPr>
      </w:pPr>
    </w:p>
    <w:p w14:paraId="5FCD9247">
      <w:pPr>
        <w:ind w:firstLine="482" w:firstLineChars="200"/>
        <w:rPr>
          <w:b/>
          <w:sz w:val="24"/>
        </w:rPr>
      </w:pPr>
    </w:p>
    <w:p w14:paraId="6B872B09">
      <w:pPr>
        <w:ind w:firstLine="482" w:firstLineChars="200"/>
        <w:rPr>
          <w:b/>
          <w:sz w:val="24"/>
        </w:rPr>
      </w:pPr>
    </w:p>
    <w:p w14:paraId="6AAD69F4">
      <w:pPr>
        <w:rPr>
          <w:rFonts w:hint="eastAsia" w:ascii="宋体" w:hAnsi="宋体"/>
        </w:rPr>
      </w:pPr>
      <w:r>
        <w:rPr>
          <w:rFonts w:ascii="宋体" w:hAnsi="宋体" w:eastAsia="宋体" w:cs="Times New Roman"/>
          <w:color w:val="FF0000"/>
          <w:sz w:val="32"/>
          <w:szCs w:val="32"/>
        </w:rPr>
        <w:br w:type="page"/>
      </w:r>
      <w:r>
        <w:t xml:space="preserve"> </w:t>
      </w:r>
      <w:bookmarkStart w:id="51" w:name="_Hlk72588611"/>
      <w:bookmarkStart w:id="52" w:name="_Hlk72260843"/>
      <w:r>
        <w:rPr>
          <w:rFonts w:hint="eastAsia" w:ascii="宋体" w:hAnsi="宋体"/>
        </w:rPr>
        <w:t>………………</w:t>
      </w:r>
      <w:bookmarkEnd w:id="51"/>
      <w:r>
        <w:rPr>
          <w:rFonts w:hint="eastAsia" w:ascii="宋体" w:hAnsi="宋体"/>
        </w:rPr>
        <w:t>（根据项目具体情况增加与技术、商务评审相关的节点）</w:t>
      </w:r>
      <w:bookmarkEnd w:id="52"/>
      <w:r>
        <w:rPr>
          <w:rFonts w:hint="eastAsia" w:ascii="宋体" w:hAnsi="宋体"/>
        </w:rPr>
        <w:t>………………</w:t>
      </w:r>
    </w:p>
    <w:p w14:paraId="05B9FF41">
      <w:pPr>
        <w:jc w:val="center"/>
        <w:rPr>
          <w:sz w:val="24"/>
        </w:rPr>
      </w:pPr>
    </w:p>
    <w:p w14:paraId="69104960">
      <w:pPr>
        <w:ind w:left="718" w:leftChars="342" w:firstLine="1620" w:firstLineChars="675"/>
        <w:rPr>
          <w:rFonts w:hint="eastAsia" w:ascii="黑体" w:hAnsi="宋体" w:eastAsia="黑体" w:cstheme="minorBidi"/>
          <w:b w:val="0"/>
          <w:bCs w:val="0"/>
          <w:kern w:val="2"/>
          <w:sz w:val="24"/>
          <w:szCs w:val="20"/>
          <w:lang w:val="en-US" w:eastAsia="zh-CN" w:bidi="ar-SA"/>
        </w:rPr>
      </w:pPr>
      <w:bookmarkStart w:id="53" w:name="_Hlk72062872"/>
      <w:r>
        <w:rPr>
          <w:rFonts w:hint="eastAsia" w:ascii="黑体" w:hAnsi="宋体" w:eastAsia="黑体" w:cstheme="minorBidi"/>
          <w:b w:val="0"/>
          <w:bCs w:val="0"/>
          <w:kern w:val="2"/>
          <w:sz w:val="24"/>
          <w:szCs w:val="20"/>
          <w:lang w:val="en-US" w:eastAsia="zh-CN" w:bidi="ar-SA"/>
        </w:rPr>
        <w:t>六、技术保障措施</w:t>
      </w:r>
    </w:p>
    <w:p w14:paraId="08331334">
      <w:pPr>
        <w:ind w:left="718" w:leftChars="342" w:firstLine="1620" w:firstLineChars="675"/>
        <w:jc w:val="both"/>
        <w:rPr>
          <w:rFonts w:hint="eastAsia" w:ascii="黑体" w:hAnsi="宋体" w:eastAsia="黑体" w:cstheme="minorBidi"/>
          <w:b w:val="0"/>
          <w:bCs w:val="0"/>
          <w:kern w:val="2"/>
          <w:sz w:val="24"/>
          <w:szCs w:val="20"/>
          <w:lang w:val="en-US" w:eastAsia="zh-CN" w:bidi="ar-SA"/>
        </w:rPr>
      </w:pPr>
      <w:r>
        <w:rPr>
          <w:rFonts w:hint="eastAsia" w:ascii="黑体" w:hAnsi="宋体" w:eastAsia="黑体" w:cstheme="minorBidi"/>
          <w:b w:val="0"/>
          <w:bCs w:val="0"/>
          <w:kern w:val="2"/>
          <w:sz w:val="24"/>
          <w:szCs w:val="20"/>
          <w:lang w:val="en-US" w:eastAsia="zh-CN" w:bidi="ar-SA"/>
        </w:rPr>
        <w:t>七、效果图</w:t>
      </w:r>
    </w:p>
    <w:p w14:paraId="3FD3637C">
      <w:pPr>
        <w:ind w:left="718" w:leftChars="342" w:firstLine="1620" w:firstLineChars="675"/>
        <w:jc w:val="both"/>
        <w:rPr>
          <w:rFonts w:hint="eastAsia" w:ascii="黑体" w:hAnsi="宋体" w:eastAsia="黑体" w:cstheme="minorBidi"/>
          <w:b w:val="0"/>
          <w:bCs w:val="0"/>
          <w:kern w:val="2"/>
          <w:sz w:val="24"/>
          <w:szCs w:val="20"/>
          <w:lang w:val="en-US" w:eastAsia="zh-CN" w:bidi="ar-SA"/>
        </w:rPr>
      </w:pPr>
      <w:r>
        <w:rPr>
          <w:rFonts w:hint="eastAsia" w:ascii="黑体" w:hAnsi="宋体" w:eastAsia="黑体" w:cstheme="minorBidi"/>
          <w:b w:val="0"/>
          <w:bCs w:val="0"/>
          <w:kern w:val="2"/>
          <w:sz w:val="24"/>
          <w:szCs w:val="20"/>
          <w:lang w:val="en-US" w:eastAsia="zh-CN" w:bidi="ar-SA"/>
        </w:rPr>
        <w:t>八、现场踏勘</w:t>
      </w:r>
    </w:p>
    <w:p w14:paraId="1DB5F88C">
      <w:pPr>
        <w:ind w:left="718" w:leftChars="342" w:firstLine="1620" w:firstLineChars="675"/>
        <w:jc w:val="both"/>
        <w:rPr>
          <w:rFonts w:hint="eastAsia" w:ascii="黑体" w:hAnsi="宋体" w:eastAsia="黑体" w:cstheme="minorBidi"/>
          <w:b w:val="0"/>
          <w:bCs w:val="0"/>
          <w:kern w:val="2"/>
          <w:sz w:val="24"/>
          <w:szCs w:val="20"/>
          <w:lang w:val="en-US" w:eastAsia="zh-CN" w:bidi="ar-SA"/>
        </w:rPr>
      </w:pPr>
      <w:r>
        <w:rPr>
          <w:rFonts w:hint="eastAsia" w:ascii="黑体" w:hAnsi="宋体" w:eastAsia="黑体" w:cstheme="minorBidi"/>
          <w:b w:val="0"/>
          <w:bCs w:val="0"/>
          <w:kern w:val="2"/>
          <w:sz w:val="24"/>
          <w:szCs w:val="20"/>
          <w:lang w:val="en-US" w:eastAsia="zh-CN" w:bidi="ar-SA"/>
        </w:rPr>
        <w:t>九、同类项目业绩</w:t>
      </w:r>
    </w:p>
    <w:p w14:paraId="07E4D7EE">
      <w:pPr>
        <w:ind w:left="718" w:leftChars="342" w:firstLine="1620" w:firstLineChars="675"/>
        <w:jc w:val="both"/>
        <w:rPr>
          <w:rFonts w:hint="eastAsia" w:ascii="黑体" w:hAnsi="宋体" w:eastAsia="黑体" w:cstheme="minorBidi"/>
          <w:b w:val="0"/>
          <w:bCs w:val="0"/>
          <w:kern w:val="2"/>
          <w:sz w:val="24"/>
          <w:szCs w:val="20"/>
          <w:lang w:val="en-US" w:eastAsia="zh-CN" w:bidi="ar-SA"/>
        </w:rPr>
      </w:pPr>
      <w:r>
        <w:rPr>
          <w:rFonts w:hint="eastAsia" w:ascii="黑体" w:hAnsi="宋体" w:eastAsia="黑体" w:cstheme="minorBidi"/>
          <w:b w:val="0"/>
          <w:bCs w:val="0"/>
          <w:kern w:val="2"/>
          <w:sz w:val="24"/>
          <w:szCs w:val="20"/>
          <w:lang w:val="en-US" w:eastAsia="zh-CN" w:bidi="ar-SA"/>
        </w:rPr>
        <w:t>十、投标人认证情况</w:t>
      </w:r>
    </w:p>
    <w:p w14:paraId="15E7EDCD">
      <w:pPr>
        <w:ind w:left="718" w:leftChars="342" w:firstLine="1620" w:firstLineChars="675"/>
        <w:jc w:val="both"/>
        <w:rPr>
          <w:rFonts w:hint="eastAsia" w:ascii="黑体" w:hAnsi="宋体" w:eastAsia="黑体" w:cstheme="minorBidi"/>
          <w:b w:val="0"/>
          <w:bCs w:val="0"/>
          <w:kern w:val="2"/>
          <w:sz w:val="24"/>
          <w:szCs w:val="20"/>
          <w:lang w:val="en-US" w:eastAsia="zh-CN" w:bidi="ar-SA"/>
        </w:rPr>
      </w:pPr>
      <w:r>
        <w:rPr>
          <w:rFonts w:hint="eastAsia" w:ascii="黑体" w:hAnsi="宋体" w:eastAsia="黑体" w:cstheme="minorBidi"/>
          <w:b w:val="0"/>
          <w:bCs w:val="0"/>
          <w:kern w:val="2"/>
          <w:sz w:val="24"/>
          <w:szCs w:val="20"/>
          <w:lang w:val="en-US" w:eastAsia="zh-CN" w:bidi="ar-SA"/>
        </w:rPr>
        <w:t>十一、投标人认为需要加以说明的其他内容</w:t>
      </w:r>
    </w:p>
    <w:bookmarkEnd w:id="53"/>
    <w:p w14:paraId="1A4AB00A">
      <w:pPr>
        <w:widowControl/>
        <w:jc w:val="center"/>
        <w:rPr>
          <w:rFonts w:hint="eastAsia" w:ascii="黑体" w:hAnsi="宋体" w:eastAsia="黑体"/>
          <w:kern w:val="0"/>
          <w:sz w:val="24"/>
          <w:szCs w:val="20"/>
        </w:rPr>
      </w:pPr>
    </w:p>
    <w:p w14:paraId="16371B5E">
      <w:pPr>
        <w:widowControl/>
        <w:jc w:val="center"/>
        <w:rPr>
          <w:rFonts w:ascii="黑体" w:hAnsi="宋体" w:eastAsia="黑体"/>
          <w:kern w:val="0"/>
          <w:sz w:val="24"/>
          <w:szCs w:val="20"/>
        </w:rPr>
      </w:pPr>
      <w:r>
        <w:rPr>
          <w:rFonts w:hint="eastAsia" w:ascii="黑体" w:hAnsi="宋体" w:eastAsia="黑体"/>
          <w:kern w:val="0"/>
          <w:sz w:val="24"/>
          <w:szCs w:val="20"/>
        </w:rPr>
        <w:t>（一）</w:t>
      </w:r>
      <w:r>
        <w:rPr>
          <w:rFonts w:hint="eastAsia" w:ascii="黑体" w:hAnsi="宋体" w:eastAsia="黑体"/>
          <w:kern w:val="0"/>
          <w:sz w:val="24"/>
          <w:szCs w:val="20"/>
          <w:highlight w:val="yellow"/>
        </w:rPr>
        <w:t>政府采购违法行为风险知悉确认书</w:t>
      </w:r>
    </w:p>
    <w:p w14:paraId="40736512">
      <w:pPr>
        <w:widowControl/>
        <w:jc w:val="center"/>
        <w:rPr>
          <w:rFonts w:ascii="黑体" w:hAnsi="宋体" w:eastAsia="黑体"/>
          <w:kern w:val="0"/>
          <w:sz w:val="24"/>
          <w:szCs w:val="20"/>
        </w:rPr>
      </w:pPr>
    </w:p>
    <w:p w14:paraId="69746415">
      <w:pPr>
        <w:spacing w:before="0" w:beforeLines="0" w:after="157" w:afterLines="50" w:line="360" w:lineRule="exact"/>
        <w:ind w:firstLine="482" w:firstLineChars="200"/>
        <w:rPr>
          <w:rFonts w:hint="eastAsia" w:eastAsia="宋体" w:cs="Times New Roman"/>
          <w:b/>
          <w:bCs/>
          <w:color w:val="auto"/>
          <w:sz w:val="24"/>
          <w:lang w:val="en-US" w:eastAsia="zh-CN"/>
        </w:rPr>
      </w:pPr>
      <w:r>
        <w:rPr>
          <w:rFonts w:hint="eastAsia"/>
          <w:b/>
          <w:bCs/>
          <w:color w:val="auto"/>
          <w:sz w:val="24"/>
          <w:lang w:eastAsia="zh-CN"/>
        </w:rPr>
        <w:t>我</w:t>
      </w:r>
      <w:r>
        <w:rPr>
          <w:rFonts w:hint="eastAsia" w:ascii="Calibri" w:hAnsi="Calibri" w:eastAsia="宋体" w:cs="Times New Roman"/>
          <w:b/>
          <w:bCs/>
          <w:color w:val="auto"/>
          <w:sz w:val="24"/>
          <w:szCs w:val="24"/>
          <w:lang w:val="en-US" w:eastAsia="zh-CN"/>
        </w:rPr>
        <w:t>单位</w:t>
      </w:r>
      <w:r>
        <w:rPr>
          <w:rFonts w:hint="eastAsia" w:eastAsia="宋体"/>
          <w:b/>
          <w:bCs/>
          <w:color w:val="auto"/>
          <w:sz w:val="24"/>
        </w:rPr>
        <w:t>在</w:t>
      </w:r>
      <w:r>
        <w:rPr>
          <w:rFonts w:hint="eastAsia"/>
          <w:b/>
          <w:bCs/>
          <w:color w:val="auto"/>
          <w:sz w:val="24"/>
        </w:rPr>
        <w:t>投标前已充分知悉以下情形为参与政府采购活动时的重大风险事项，并承诺已对下述风险提示事项重点排查，</w:t>
      </w:r>
      <w:r>
        <w:rPr>
          <w:rFonts w:hint="eastAsia" w:eastAsia="宋体" w:cs="Times New Roman"/>
          <w:b/>
          <w:bCs/>
          <w:color w:val="auto"/>
          <w:sz w:val="24"/>
          <w:lang w:val="en-US" w:eastAsia="zh-CN"/>
        </w:rPr>
        <w:t>若存在下述情况，我单位愿意依法承担被记入供应商诚信档案、罚款、取消参与政府采购资格、吊销营业执照等处罚；构成犯罪的，依法承担刑事责任。</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7811"/>
      </w:tblGrid>
      <w:tr w14:paraId="271E7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1" w:hRule="atLeast"/>
        </w:trPr>
        <w:tc>
          <w:tcPr>
            <w:tcW w:w="711" w:type="dxa"/>
            <w:noWrap w:val="0"/>
            <w:vAlign w:val="top"/>
          </w:tcPr>
          <w:p w14:paraId="0D6FE2C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序号</w:t>
            </w:r>
          </w:p>
        </w:tc>
        <w:tc>
          <w:tcPr>
            <w:tcW w:w="7811" w:type="dxa"/>
            <w:noWrap w:val="0"/>
            <w:vAlign w:val="top"/>
          </w:tcPr>
          <w:p w14:paraId="796850C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供应商参与投标禁止情形</w:t>
            </w:r>
          </w:p>
        </w:tc>
      </w:tr>
      <w:tr w14:paraId="761E1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14:paraId="39323C4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w:t>
            </w:r>
          </w:p>
        </w:tc>
        <w:tc>
          <w:tcPr>
            <w:tcW w:w="7811" w:type="dxa"/>
            <w:noWrap w:val="0"/>
            <w:vAlign w:val="center"/>
          </w:tcPr>
          <w:p w14:paraId="4412F7D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与其他投标供应商的法定代表人、主要经营负责人、投标授权代表人、项目负责人、主要技术人员为</w:t>
            </w:r>
            <w:r>
              <w:rPr>
                <w:rFonts w:hint="eastAsia" w:ascii="仿宋_GB2312" w:hAnsi="仿宋_GB2312" w:eastAsia="仿宋_GB2312" w:cs="仿宋_GB2312"/>
                <w:b/>
                <w:bCs/>
                <w:color w:val="auto"/>
                <w:sz w:val="24"/>
                <w:szCs w:val="24"/>
                <w:highlight w:val="none"/>
                <w:lang w:val="en-US" w:eastAsia="zh-CN"/>
              </w:rPr>
              <w:t>同一人、属同一单位或者在同一单位缴纳社会保险</w:t>
            </w:r>
            <w:r>
              <w:rPr>
                <w:rFonts w:hint="eastAsia" w:ascii="仿宋_GB2312" w:hAnsi="仿宋_GB2312" w:eastAsia="仿宋_GB2312" w:cs="仿宋_GB2312"/>
                <w:color w:val="auto"/>
                <w:sz w:val="24"/>
                <w:szCs w:val="24"/>
                <w:highlight w:val="none"/>
                <w:lang w:val="en-US" w:eastAsia="zh-CN"/>
              </w:rPr>
              <w:t>。</w:t>
            </w:r>
          </w:p>
        </w:tc>
      </w:tr>
      <w:tr w14:paraId="23FA1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noWrap w:val="0"/>
            <w:vAlign w:val="top"/>
          </w:tcPr>
          <w:p w14:paraId="165F47D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w:t>
            </w:r>
          </w:p>
        </w:tc>
        <w:tc>
          <w:tcPr>
            <w:tcW w:w="7811" w:type="dxa"/>
            <w:noWrap w:val="0"/>
            <w:vAlign w:val="center"/>
          </w:tcPr>
          <w:p w14:paraId="1BE1D4B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参与本项目政府采购活动时，与其他投标供应商存在单位负责人为</w:t>
            </w:r>
            <w:r>
              <w:rPr>
                <w:rFonts w:hint="eastAsia" w:ascii="仿宋_GB2312" w:hAnsi="仿宋_GB2312" w:eastAsia="仿宋_GB2312" w:cs="仿宋_GB2312"/>
                <w:b/>
                <w:bCs/>
                <w:color w:val="auto"/>
                <w:sz w:val="24"/>
                <w:szCs w:val="24"/>
                <w:highlight w:val="none"/>
                <w:lang w:val="en-US" w:eastAsia="zh-CN"/>
              </w:rPr>
              <w:t>同一人或直接控股、管理关系</w:t>
            </w:r>
            <w:r>
              <w:rPr>
                <w:rFonts w:hint="eastAsia" w:ascii="仿宋_GB2312" w:hAnsi="仿宋_GB2312" w:eastAsia="仿宋_GB2312" w:cs="仿宋_GB2312"/>
                <w:color w:val="auto"/>
                <w:sz w:val="24"/>
                <w:szCs w:val="24"/>
                <w:highlight w:val="none"/>
                <w:lang w:val="en-US" w:eastAsia="zh-CN"/>
              </w:rPr>
              <w:t>。</w:t>
            </w:r>
          </w:p>
        </w:tc>
      </w:tr>
      <w:tr w14:paraId="31FAE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14:paraId="076B380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w:t>
            </w:r>
          </w:p>
        </w:tc>
        <w:tc>
          <w:tcPr>
            <w:tcW w:w="7811" w:type="dxa"/>
            <w:noWrap w:val="0"/>
            <w:vAlign w:val="center"/>
          </w:tcPr>
          <w:p w14:paraId="4B33DEC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与其他投标供应商的投标文件或部分投标文件</w:t>
            </w:r>
            <w:r>
              <w:rPr>
                <w:rFonts w:hint="eastAsia" w:ascii="仿宋_GB2312" w:hAnsi="仿宋_GB2312" w:eastAsia="仿宋_GB2312" w:cs="仿宋_GB2312"/>
                <w:b/>
                <w:bCs/>
                <w:color w:val="auto"/>
                <w:sz w:val="24"/>
                <w:szCs w:val="24"/>
                <w:highlight w:val="none"/>
                <w:lang w:val="en-US" w:eastAsia="zh-CN"/>
              </w:rPr>
              <w:t>相互混装或存在非正常一致</w:t>
            </w:r>
            <w:r>
              <w:rPr>
                <w:rFonts w:hint="eastAsia" w:ascii="仿宋_GB2312" w:hAnsi="仿宋_GB2312" w:eastAsia="仿宋_GB2312" w:cs="仿宋_GB2312"/>
                <w:color w:val="auto"/>
                <w:sz w:val="24"/>
                <w:szCs w:val="24"/>
                <w:highlight w:val="none"/>
                <w:lang w:val="en-US" w:eastAsia="zh-CN"/>
              </w:rPr>
              <w:t>。</w:t>
            </w:r>
          </w:p>
        </w:tc>
      </w:tr>
      <w:tr w14:paraId="61B98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14:paraId="7994DDB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w:t>
            </w:r>
          </w:p>
        </w:tc>
        <w:tc>
          <w:tcPr>
            <w:tcW w:w="7811" w:type="dxa"/>
            <w:noWrap w:val="0"/>
            <w:vAlign w:val="center"/>
          </w:tcPr>
          <w:p w14:paraId="3020315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与其他投标供应商的投标文件由</w:t>
            </w:r>
            <w:r>
              <w:rPr>
                <w:rFonts w:hint="eastAsia" w:ascii="仿宋_GB2312" w:hAnsi="仿宋_GB2312" w:eastAsia="仿宋_GB2312" w:cs="仿宋_GB2312"/>
                <w:b/>
                <w:bCs/>
                <w:color w:val="auto"/>
                <w:sz w:val="24"/>
                <w:szCs w:val="24"/>
                <w:highlight w:val="none"/>
                <w:lang w:val="en-US" w:eastAsia="zh-CN"/>
              </w:rPr>
              <w:t>同一单位或者同一人编制</w:t>
            </w:r>
            <w:r>
              <w:rPr>
                <w:rFonts w:hint="eastAsia" w:ascii="仿宋_GB2312" w:hAnsi="仿宋_GB2312" w:eastAsia="仿宋_GB2312" w:cs="仿宋_GB2312"/>
                <w:color w:val="auto"/>
                <w:sz w:val="24"/>
                <w:szCs w:val="24"/>
                <w:highlight w:val="none"/>
                <w:lang w:val="en-US" w:eastAsia="zh-CN"/>
              </w:rPr>
              <w:t>，或者使用</w:t>
            </w:r>
            <w:r>
              <w:rPr>
                <w:rFonts w:hint="eastAsia" w:ascii="仿宋_GB2312" w:hAnsi="仿宋_GB2312" w:eastAsia="仿宋_GB2312" w:cs="仿宋_GB2312"/>
                <w:b/>
                <w:bCs/>
                <w:color w:val="auto"/>
                <w:sz w:val="24"/>
                <w:szCs w:val="24"/>
                <w:highlight w:val="none"/>
                <w:lang w:val="en-US" w:eastAsia="zh-CN"/>
              </w:rPr>
              <w:t>同一设备编制</w:t>
            </w:r>
            <w:r>
              <w:rPr>
                <w:rFonts w:hint="eastAsia" w:ascii="仿宋_GB2312" w:hAnsi="仿宋_GB2312" w:eastAsia="仿宋_GB2312" w:cs="仿宋_GB2312"/>
                <w:color w:val="auto"/>
                <w:sz w:val="24"/>
                <w:szCs w:val="24"/>
                <w:highlight w:val="none"/>
                <w:lang w:val="en-US" w:eastAsia="zh-CN"/>
              </w:rPr>
              <w:t>（“文件制作机器码”“文件创建标识码”一致）。</w:t>
            </w:r>
          </w:p>
        </w:tc>
      </w:tr>
      <w:tr w14:paraId="27030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noWrap w:val="0"/>
            <w:vAlign w:val="top"/>
          </w:tcPr>
          <w:p w14:paraId="35E6777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5</w:t>
            </w:r>
          </w:p>
        </w:tc>
        <w:tc>
          <w:tcPr>
            <w:tcW w:w="7811" w:type="dxa"/>
            <w:noWrap w:val="0"/>
            <w:vAlign w:val="center"/>
          </w:tcPr>
          <w:p w14:paraId="1C6E412B">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提供</w:t>
            </w:r>
            <w:r>
              <w:rPr>
                <w:rFonts w:hint="eastAsia" w:ascii="仿宋_GB2312" w:hAnsi="仿宋_GB2312" w:eastAsia="仿宋_GB2312" w:cs="仿宋_GB2312"/>
                <w:b/>
                <w:bCs/>
                <w:color w:val="auto"/>
                <w:sz w:val="24"/>
                <w:szCs w:val="24"/>
                <w:highlight w:val="none"/>
                <w:lang w:val="en-US" w:eastAsia="zh-CN"/>
              </w:rPr>
              <w:t>未经出具机构核实</w:t>
            </w:r>
            <w:r>
              <w:rPr>
                <w:rFonts w:hint="eastAsia" w:ascii="仿宋_GB2312" w:hAnsi="仿宋_GB2312" w:eastAsia="仿宋_GB2312" w:cs="仿宋_GB2312"/>
                <w:color w:val="auto"/>
                <w:sz w:val="24"/>
                <w:szCs w:val="24"/>
                <w:highlight w:val="none"/>
                <w:lang w:val="en-US" w:eastAsia="zh-CN"/>
              </w:rPr>
              <w:t>的虚假的检验检测报告、业绩材料、社保缴纳证明、学历学位证书、职称认证证书等材料。</w:t>
            </w:r>
          </w:p>
        </w:tc>
      </w:tr>
      <w:tr w14:paraId="7D0A3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14:paraId="7D9A9B4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6</w:t>
            </w:r>
          </w:p>
        </w:tc>
        <w:tc>
          <w:tcPr>
            <w:tcW w:w="7811" w:type="dxa"/>
            <w:noWrap w:val="0"/>
            <w:vAlign w:val="center"/>
          </w:tcPr>
          <w:p w14:paraId="6E1C619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擅自将投标密钥或电子营业执照出借他人使用或未妥善保管。</w:t>
            </w:r>
          </w:p>
        </w:tc>
      </w:tr>
    </w:tbl>
    <w:p w14:paraId="70587D84">
      <w:pPr>
        <w:spacing w:before="157" w:beforeLines="50" w:line="380" w:lineRule="exact"/>
        <w:ind w:firstLine="422" w:firstLineChars="200"/>
        <w:rPr>
          <w:b/>
          <w:color w:val="auto"/>
        </w:rPr>
      </w:pPr>
      <w:r>
        <w:rPr>
          <w:rFonts w:hint="eastAsia"/>
          <w:b/>
          <w:color w:val="auto"/>
        </w:rPr>
        <w:t>一、</w:t>
      </w:r>
      <w:r>
        <w:rPr>
          <w:rFonts w:hint="eastAsia"/>
          <w:b/>
          <w:color w:val="auto"/>
          <w:lang w:eastAsia="zh-CN"/>
        </w:rPr>
        <w:t>我</w:t>
      </w:r>
      <w:r>
        <w:rPr>
          <w:rFonts w:hint="eastAsia"/>
          <w:b/>
          <w:color w:val="auto"/>
          <w:lang w:val="en-US" w:eastAsia="zh-CN"/>
        </w:rPr>
        <w:t>单位</w:t>
      </w:r>
      <w:r>
        <w:rPr>
          <w:rFonts w:hint="eastAsia"/>
          <w:b/>
          <w:color w:val="auto"/>
        </w:rPr>
        <w:t>已充分知悉“隐瞒真实情况，提供虚假资料”的法定情形，包括但不限于：</w:t>
      </w:r>
    </w:p>
    <w:p w14:paraId="4B815E9E">
      <w:pPr>
        <w:spacing w:beforeLines="0" w:line="380" w:lineRule="exact"/>
        <w:ind w:firstLine="420" w:firstLineChars="200"/>
        <w:rPr>
          <w:color w:val="auto"/>
        </w:rPr>
      </w:pPr>
      <w:r>
        <w:rPr>
          <w:rFonts w:hint="eastAsia"/>
          <w:color w:val="auto"/>
        </w:rPr>
        <w:t>（一）通过转让或者租借等方式从其他单位获取资格或者资质证书投标的</w:t>
      </w:r>
      <w:r>
        <w:rPr>
          <w:rFonts w:hint="eastAsia"/>
          <w:color w:val="auto"/>
          <w:highlight w:val="none"/>
        </w:rPr>
        <w:t>。</w:t>
      </w:r>
    </w:p>
    <w:p w14:paraId="1B1DB4AE">
      <w:pPr>
        <w:spacing w:beforeLines="0" w:line="380" w:lineRule="exact"/>
        <w:ind w:firstLine="420" w:firstLineChars="200"/>
        <w:rPr>
          <w:color w:val="auto"/>
        </w:rPr>
      </w:pPr>
      <w:r>
        <w:rPr>
          <w:rFonts w:hint="eastAsia"/>
          <w:color w:val="auto"/>
        </w:rPr>
        <w:t>（二）由其他单位或者其他单位负责人在投标供应商编制的投标文件上加盖印章或者签字的。</w:t>
      </w:r>
    </w:p>
    <w:p w14:paraId="315354F4">
      <w:pPr>
        <w:spacing w:beforeLines="0" w:line="380" w:lineRule="exact"/>
        <w:ind w:firstLine="420" w:firstLineChars="200"/>
        <w:rPr>
          <w:color w:val="auto"/>
        </w:rPr>
      </w:pPr>
      <w:r>
        <w:rPr>
          <w:rFonts w:hint="eastAsia"/>
          <w:color w:val="auto"/>
        </w:rPr>
        <w:t>（三）项目负责人或者主要技术人员不是本单位人员的。</w:t>
      </w:r>
    </w:p>
    <w:p w14:paraId="6EA6A388">
      <w:pPr>
        <w:spacing w:beforeLines="0" w:line="380" w:lineRule="exact"/>
        <w:ind w:firstLine="420" w:firstLineChars="200"/>
        <w:rPr>
          <w:color w:val="auto"/>
        </w:rPr>
      </w:pPr>
      <w:r>
        <w:rPr>
          <w:rFonts w:hint="eastAsia"/>
          <w:color w:val="auto"/>
        </w:rPr>
        <w:t>（四）投标保证金不是从投标供应商基本账户转出的。</w:t>
      </w:r>
    </w:p>
    <w:p w14:paraId="4D5B87F1">
      <w:pPr>
        <w:spacing w:beforeLines="0" w:line="380" w:lineRule="exact"/>
        <w:ind w:firstLine="420" w:firstLineChars="200"/>
        <w:rPr>
          <w:color w:val="auto"/>
        </w:rPr>
      </w:pPr>
      <w:r>
        <w:rPr>
          <w:rFonts w:hint="eastAsia"/>
          <w:color w:val="auto"/>
        </w:rPr>
        <w:t>（五）其他隐瞒真实情况、提供虚假资料的行为。</w:t>
      </w:r>
    </w:p>
    <w:p w14:paraId="635FED5D">
      <w:pPr>
        <w:spacing w:beforeLines="0" w:line="380" w:lineRule="exact"/>
        <w:ind w:firstLine="422" w:firstLineChars="200"/>
        <w:rPr>
          <w:b/>
          <w:color w:val="auto"/>
        </w:rPr>
      </w:pPr>
      <w:r>
        <w:rPr>
          <w:rFonts w:hint="eastAsia"/>
          <w:b/>
          <w:color w:val="auto"/>
        </w:rPr>
        <w:t>二、</w:t>
      </w:r>
      <w:r>
        <w:rPr>
          <w:rFonts w:hint="eastAsia"/>
          <w:b/>
          <w:color w:val="auto"/>
          <w:lang w:eastAsia="zh-CN"/>
        </w:rPr>
        <w:t>我</w:t>
      </w:r>
      <w:r>
        <w:rPr>
          <w:rFonts w:hint="eastAsia"/>
          <w:b/>
          <w:color w:val="auto"/>
          <w:lang w:val="en-US" w:eastAsia="zh-CN"/>
        </w:rPr>
        <w:t>单位</w:t>
      </w:r>
      <w:r>
        <w:rPr>
          <w:rFonts w:hint="eastAsia"/>
          <w:b/>
          <w:color w:val="auto"/>
        </w:rPr>
        <w:t>已充分知悉“与其他采购参加人串通投标”的法定情形，包括但不限于：</w:t>
      </w:r>
    </w:p>
    <w:p w14:paraId="4A0941D2">
      <w:pPr>
        <w:spacing w:beforeLines="0" w:line="380" w:lineRule="exact"/>
        <w:ind w:firstLine="420" w:firstLineChars="200"/>
        <w:rPr>
          <w:color w:val="auto"/>
        </w:rPr>
      </w:pPr>
      <w:r>
        <w:rPr>
          <w:rFonts w:hint="eastAsia"/>
          <w:color w:val="auto"/>
        </w:rPr>
        <w:t>（一）投标供应商之间相互约定给予未中标的供应商利益补偿。</w:t>
      </w:r>
    </w:p>
    <w:p w14:paraId="45C23BF3">
      <w:pPr>
        <w:spacing w:beforeLines="0" w:line="380" w:lineRule="exact"/>
        <w:ind w:firstLine="420" w:firstLineChars="200"/>
        <w:rPr>
          <w:color w:val="auto"/>
        </w:rPr>
      </w:pPr>
      <w:r>
        <w:rPr>
          <w:rFonts w:hint="eastAsia"/>
          <w:color w:val="auto"/>
        </w:rPr>
        <w:t>（二）不同投标供应商的法定代表人、主要经营负责人、项目投标授权代表人、项目负责人、主要技术人员为同一人、属同一单位或者在同一单位缴纳社会保险。</w:t>
      </w:r>
    </w:p>
    <w:p w14:paraId="40C8696C">
      <w:pPr>
        <w:spacing w:beforeLines="0" w:line="340" w:lineRule="exact"/>
        <w:ind w:firstLine="420" w:firstLineChars="200"/>
        <w:rPr>
          <w:color w:val="auto"/>
        </w:rPr>
      </w:pPr>
      <w:r>
        <w:rPr>
          <w:rFonts w:hint="eastAsia"/>
          <w:color w:val="auto"/>
        </w:rPr>
        <w:t>（三）不同投标供应商的投标文件由同一单位或者同一人编制，或者由同一人分阶段参与编制的。</w:t>
      </w:r>
    </w:p>
    <w:p w14:paraId="5943E31B">
      <w:pPr>
        <w:spacing w:beforeLines="0" w:line="340" w:lineRule="exact"/>
        <w:ind w:firstLine="420" w:firstLineChars="200"/>
        <w:rPr>
          <w:color w:val="auto"/>
        </w:rPr>
      </w:pPr>
      <w:r>
        <w:rPr>
          <w:rFonts w:hint="eastAsia"/>
          <w:color w:val="auto"/>
        </w:rPr>
        <w:t>（四）不同投标供应商的投标文件或部分投标文件相互混装。</w:t>
      </w:r>
    </w:p>
    <w:p w14:paraId="2DD60DE2">
      <w:pPr>
        <w:spacing w:beforeLines="0" w:line="340" w:lineRule="exact"/>
        <w:ind w:firstLine="420" w:firstLineChars="200"/>
        <w:rPr>
          <w:color w:val="auto"/>
        </w:rPr>
      </w:pPr>
      <w:r>
        <w:rPr>
          <w:rFonts w:hint="eastAsia"/>
          <w:color w:val="auto"/>
        </w:rPr>
        <w:t>（五）不同投标供应商的投标文件内容存在非正常一致。</w:t>
      </w:r>
    </w:p>
    <w:p w14:paraId="717D03BC">
      <w:pPr>
        <w:spacing w:beforeLines="0" w:line="340" w:lineRule="exact"/>
        <w:ind w:firstLine="420" w:firstLineChars="200"/>
        <w:rPr>
          <w:color w:val="auto"/>
        </w:rPr>
      </w:pPr>
      <w:r>
        <w:rPr>
          <w:rFonts w:hint="eastAsia"/>
          <w:color w:val="auto"/>
        </w:rPr>
        <w:t>（六）由同一单位工作人员为两家以上（含两家）供应商进行同一项投标活动的。</w:t>
      </w:r>
    </w:p>
    <w:p w14:paraId="366F6D6C">
      <w:pPr>
        <w:spacing w:beforeLines="0" w:line="340" w:lineRule="exact"/>
        <w:ind w:firstLine="420" w:firstLineChars="200"/>
        <w:rPr>
          <w:color w:val="auto"/>
        </w:rPr>
      </w:pPr>
      <w:r>
        <w:rPr>
          <w:rFonts w:hint="eastAsia"/>
          <w:color w:val="auto"/>
        </w:rPr>
        <w:t>（七）不同投标人的投标报价呈规律性差异。</w:t>
      </w:r>
    </w:p>
    <w:p w14:paraId="2F4D8A18">
      <w:pPr>
        <w:spacing w:beforeLines="0" w:line="340" w:lineRule="exact"/>
        <w:ind w:firstLine="420" w:firstLineChars="200"/>
        <w:rPr>
          <w:color w:val="auto"/>
        </w:rPr>
      </w:pPr>
      <w:r>
        <w:rPr>
          <w:rFonts w:hint="eastAsia"/>
          <w:color w:val="auto"/>
        </w:rPr>
        <w:t>（八）不同投标人的投标保证金从同一单位或者个人的账户转出。</w:t>
      </w:r>
    </w:p>
    <w:p w14:paraId="31F1C698">
      <w:pPr>
        <w:spacing w:beforeLines="0" w:line="340" w:lineRule="exact"/>
        <w:ind w:firstLine="420" w:firstLineChars="200"/>
        <w:rPr>
          <w:color w:val="auto"/>
        </w:rPr>
      </w:pPr>
      <w:r>
        <w:rPr>
          <w:rFonts w:hint="eastAsia"/>
          <w:color w:val="auto"/>
        </w:rPr>
        <w:t>（九）主管部门依照法律、法规认定的其他情形。</w:t>
      </w:r>
    </w:p>
    <w:p w14:paraId="4D437313">
      <w:pPr>
        <w:spacing w:beforeLines="0" w:line="340" w:lineRule="exact"/>
        <w:ind w:firstLine="422" w:firstLineChars="200"/>
        <w:rPr>
          <w:b/>
          <w:color w:val="auto"/>
        </w:rPr>
      </w:pPr>
      <w:r>
        <w:rPr>
          <w:rFonts w:hint="eastAsia"/>
          <w:b/>
          <w:color w:val="auto"/>
        </w:rPr>
        <w:t>三、</w:t>
      </w:r>
      <w:r>
        <w:rPr>
          <w:rFonts w:hint="eastAsia"/>
          <w:b/>
          <w:color w:val="auto"/>
          <w:lang w:eastAsia="zh-CN"/>
        </w:rPr>
        <w:t>我</w:t>
      </w:r>
      <w:r>
        <w:rPr>
          <w:rFonts w:hint="eastAsia"/>
          <w:b/>
          <w:color w:val="auto"/>
          <w:lang w:val="en-US" w:eastAsia="zh-CN"/>
        </w:rPr>
        <w:t>单位</w:t>
      </w:r>
      <w:r>
        <w:rPr>
          <w:rFonts w:hint="eastAsia"/>
          <w:b/>
          <w:color w:val="auto"/>
        </w:rPr>
        <w:t>已充分知悉下列情形</w:t>
      </w:r>
      <w:r>
        <w:rPr>
          <w:rFonts w:hint="eastAsia"/>
          <w:b/>
          <w:color w:val="auto"/>
          <w:lang w:eastAsia="zh-CN"/>
        </w:rPr>
        <w:t>存在</w:t>
      </w:r>
      <w:r>
        <w:rPr>
          <w:rFonts w:hint="eastAsia"/>
          <w:b/>
          <w:color w:val="auto"/>
        </w:rPr>
        <w:t>法律风险，在投标前已对相关风险事项进行排</w:t>
      </w:r>
      <w:r>
        <w:rPr>
          <w:rFonts w:hint="eastAsia"/>
          <w:b/>
          <w:color w:val="auto"/>
          <w:highlight w:val="none"/>
        </w:rPr>
        <w:t>查。</w:t>
      </w:r>
    </w:p>
    <w:p w14:paraId="4DFE1908">
      <w:pPr>
        <w:spacing w:beforeLines="0" w:line="340" w:lineRule="exact"/>
        <w:ind w:firstLine="420" w:firstLineChars="200"/>
        <w:rPr>
          <w:b/>
          <w:color w:val="auto"/>
        </w:rPr>
      </w:pPr>
      <w:r>
        <w:rPr>
          <w:rFonts w:hint="eastAsia"/>
          <w:color w:val="auto"/>
        </w:rPr>
        <w:t>（一）对于从其他主体获取的投标资料，</w:t>
      </w:r>
      <w:r>
        <w:rPr>
          <w:rFonts w:hint="eastAsia"/>
          <w:color w:val="auto"/>
          <w:lang w:eastAsia="zh-CN"/>
        </w:rPr>
        <w:t>我</w:t>
      </w:r>
      <w:r>
        <w:rPr>
          <w:rFonts w:hint="eastAsia"/>
          <w:color w:val="auto"/>
          <w:lang w:val="en-US" w:eastAsia="zh-CN"/>
        </w:rPr>
        <w:t>单位</w:t>
      </w:r>
      <w:r>
        <w:rPr>
          <w:rFonts w:hint="eastAsia"/>
          <w:color w:val="auto"/>
        </w:rPr>
        <w:t>应审慎核查，确保</w:t>
      </w:r>
      <w:r>
        <w:rPr>
          <w:rFonts w:hint="eastAsia"/>
          <w:color w:val="auto"/>
          <w:lang w:eastAsia="zh-CN"/>
        </w:rPr>
        <w:t>其</w:t>
      </w:r>
      <w:r>
        <w:rPr>
          <w:rFonts w:hint="eastAsia"/>
          <w:color w:val="auto"/>
        </w:rPr>
        <w:t>真实性。</w:t>
      </w:r>
      <w:r>
        <w:rPr>
          <w:rFonts w:hint="eastAsia"/>
          <w:b/>
          <w:color w:val="auto"/>
        </w:rPr>
        <w:t>如主管部门查实投标文件中存在虚假资料的，无论相关资料是否由第三方或本公司员工提供，均不影响主管部门对供应商存在“隐瞒真实情况，提供虚假资料”违法行为的认定。</w:t>
      </w:r>
    </w:p>
    <w:p w14:paraId="6242A774">
      <w:pPr>
        <w:spacing w:beforeLines="0" w:line="340" w:lineRule="exact"/>
        <w:ind w:firstLine="420" w:firstLineChars="200"/>
        <w:rPr>
          <w:color w:val="auto"/>
        </w:rPr>
      </w:pPr>
      <w:r>
        <w:rPr>
          <w:rFonts w:hint="eastAsia"/>
          <w:color w:val="auto"/>
        </w:rPr>
        <w:t>（二）对于涉及国家机关出具的公文、证件、证明材料等文件，一旦涉嫌虚假，经查实，主管部门将依法从严处理，并移送有关部门追究法律责任；涉嫌犯罪的，移送司法机关</w:t>
      </w:r>
      <w:r>
        <w:rPr>
          <w:rFonts w:hint="eastAsia"/>
          <w:color w:val="auto"/>
          <w:lang w:eastAsia="zh-CN"/>
        </w:rPr>
        <w:t>处理</w:t>
      </w:r>
      <w:r>
        <w:rPr>
          <w:rFonts w:hint="eastAsia"/>
          <w:color w:val="auto"/>
        </w:rPr>
        <w:t>。</w:t>
      </w:r>
    </w:p>
    <w:p w14:paraId="147329C4">
      <w:pPr>
        <w:spacing w:beforeLines="0" w:line="340" w:lineRule="exact"/>
        <w:ind w:firstLine="420" w:firstLineChars="200"/>
        <w:rPr>
          <w:color w:val="auto"/>
        </w:rPr>
      </w:pPr>
      <w:r>
        <w:rPr>
          <w:rFonts w:hint="eastAsia"/>
          <w:color w:val="auto"/>
        </w:rPr>
        <w:t>（</w:t>
      </w:r>
      <w:r>
        <w:rPr>
          <w:rFonts w:hint="eastAsia"/>
          <w:color w:val="auto"/>
          <w:lang w:eastAsia="zh-CN"/>
        </w:rPr>
        <w:t>三</w:t>
      </w:r>
      <w:r>
        <w:rPr>
          <w:rFonts w:hint="eastAsia"/>
          <w:color w:val="auto"/>
        </w:rPr>
        <w:t>）</w:t>
      </w:r>
      <w:r>
        <w:rPr>
          <w:rFonts w:hint="eastAsia"/>
          <w:color w:val="auto"/>
          <w:lang w:eastAsia="zh-CN"/>
        </w:rPr>
        <w:t>我</w:t>
      </w:r>
      <w:r>
        <w:rPr>
          <w:rFonts w:hint="eastAsia"/>
          <w:color w:val="auto"/>
          <w:lang w:val="en-US" w:eastAsia="zh-CN"/>
        </w:rPr>
        <w:t>单位</w:t>
      </w:r>
      <w:r>
        <w:rPr>
          <w:rFonts w:hint="eastAsia"/>
          <w:color w:val="auto"/>
        </w:rPr>
        <w:t>对投标电子密钥</w:t>
      </w:r>
      <w:r>
        <w:rPr>
          <w:rFonts w:hint="eastAsia"/>
          <w:color w:val="auto"/>
          <w:lang w:eastAsia="zh-CN"/>
        </w:rPr>
        <w:t>或</w:t>
      </w:r>
      <w:r>
        <w:rPr>
          <w:rFonts w:hint="eastAsia"/>
          <w:color w:val="auto"/>
          <w:lang w:val="en-US" w:eastAsia="zh-CN"/>
        </w:rPr>
        <w:t>电子营业执照</w:t>
      </w:r>
      <w:r>
        <w:rPr>
          <w:rFonts w:hint="eastAsia"/>
          <w:color w:val="auto"/>
        </w:rPr>
        <w:t>负有妥善保管、及时变更和续期等主体责任</w:t>
      </w:r>
      <w:r>
        <w:rPr>
          <w:rFonts w:hint="eastAsia"/>
          <w:color w:val="auto"/>
          <w:lang w:eastAsia="zh-CN"/>
        </w:rPr>
        <w:t>；</w:t>
      </w:r>
      <w:r>
        <w:rPr>
          <w:rFonts w:hint="eastAsia"/>
          <w:color w:val="auto"/>
        </w:rPr>
        <w:t>使用电子密钥</w:t>
      </w:r>
      <w:r>
        <w:rPr>
          <w:rFonts w:hint="eastAsia"/>
          <w:color w:val="auto"/>
          <w:lang w:eastAsia="zh-CN"/>
        </w:rPr>
        <w:t>或</w:t>
      </w:r>
      <w:r>
        <w:rPr>
          <w:rFonts w:hint="eastAsia"/>
          <w:color w:val="auto"/>
          <w:lang w:val="en-US" w:eastAsia="zh-CN"/>
        </w:rPr>
        <w:t>电子营业执照</w:t>
      </w:r>
      <w:r>
        <w:rPr>
          <w:rFonts w:hint="eastAsia"/>
          <w:color w:val="auto"/>
        </w:rPr>
        <w:t>在深圳政府采购网站进行的活动，均具有法律效力，须承担相应的法律后果。</w:t>
      </w:r>
      <w:r>
        <w:rPr>
          <w:rFonts w:hint="eastAsia"/>
          <w:color w:val="auto"/>
          <w:lang w:eastAsia="zh-CN"/>
        </w:rPr>
        <w:t>若</w:t>
      </w:r>
      <w:r>
        <w:rPr>
          <w:rFonts w:hint="eastAsia"/>
          <w:b/>
          <w:bCs/>
          <w:color w:val="auto"/>
        </w:rPr>
        <w:t>擅自将投标密钥</w:t>
      </w:r>
      <w:r>
        <w:rPr>
          <w:rFonts w:hint="eastAsia"/>
          <w:b/>
          <w:bCs/>
          <w:color w:val="auto"/>
          <w:lang w:eastAsia="zh-CN"/>
        </w:rPr>
        <w:t>或</w:t>
      </w:r>
      <w:r>
        <w:rPr>
          <w:rFonts w:hint="eastAsia"/>
          <w:b/>
          <w:bCs/>
          <w:color w:val="auto"/>
          <w:lang w:val="en-US" w:eastAsia="zh-CN"/>
        </w:rPr>
        <w:t>电子营业执照</w:t>
      </w:r>
      <w:r>
        <w:rPr>
          <w:rFonts w:hint="eastAsia"/>
          <w:b/>
          <w:bCs/>
          <w:color w:val="auto"/>
        </w:rPr>
        <w:t>出借他人使用所造成的法律后果，由</w:t>
      </w:r>
      <w:r>
        <w:rPr>
          <w:rFonts w:hint="eastAsia"/>
          <w:b/>
          <w:bCs/>
          <w:color w:val="auto"/>
          <w:lang w:eastAsia="zh-CN"/>
        </w:rPr>
        <w:t>我</w:t>
      </w:r>
      <w:r>
        <w:rPr>
          <w:rFonts w:hint="eastAsia"/>
          <w:b/>
          <w:bCs/>
          <w:color w:val="auto"/>
          <w:lang w:val="en-US" w:eastAsia="zh-CN"/>
        </w:rPr>
        <w:t>单位</w:t>
      </w:r>
      <w:r>
        <w:rPr>
          <w:rFonts w:hint="eastAsia"/>
          <w:b/>
          <w:bCs/>
          <w:color w:val="auto"/>
        </w:rPr>
        <w:t>自行承担</w:t>
      </w:r>
      <w:r>
        <w:rPr>
          <w:rFonts w:hint="eastAsia"/>
          <w:color w:val="auto"/>
        </w:rPr>
        <w:t>。</w:t>
      </w:r>
    </w:p>
    <w:p w14:paraId="41E6F857">
      <w:pPr>
        <w:spacing w:beforeLines="0" w:line="340" w:lineRule="exact"/>
        <w:ind w:firstLine="422" w:firstLineChars="200"/>
        <w:rPr>
          <w:b/>
          <w:color w:val="auto"/>
        </w:rPr>
      </w:pPr>
      <w:r>
        <w:rPr>
          <w:rFonts w:hint="eastAsia"/>
          <w:b/>
          <w:color w:val="auto"/>
        </w:rPr>
        <w:t>四、</w:t>
      </w:r>
      <w:r>
        <w:rPr>
          <w:rFonts w:hint="eastAsia"/>
          <w:b/>
          <w:color w:val="auto"/>
          <w:lang w:eastAsia="zh-CN"/>
        </w:rPr>
        <w:t>我</w:t>
      </w:r>
      <w:r>
        <w:rPr>
          <w:rFonts w:hint="eastAsia"/>
          <w:b/>
          <w:color w:val="auto"/>
          <w:lang w:val="en-US" w:eastAsia="zh-CN"/>
        </w:rPr>
        <w:t>单位</w:t>
      </w:r>
      <w:r>
        <w:rPr>
          <w:rFonts w:hint="eastAsia"/>
          <w:b/>
          <w:color w:val="auto"/>
        </w:rPr>
        <w:t>已充分知悉政府采购违法、违规行为的法律</w:t>
      </w:r>
      <w:r>
        <w:rPr>
          <w:rFonts w:hint="eastAsia"/>
          <w:b/>
          <w:color w:val="auto"/>
          <w:highlight w:val="none"/>
        </w:rPr>
        <w:t>后果。</w:t>
      </w:r>
    </w:p>
    <w:p w14:paraId="7644E027">
      <w:pPr>
        <w:spacing w:beforeLines="0" w:line="340" w:lineRule="exact"/>
        <w:ind w:firstLine="420" w:firstLineChars="200"/>
        <w:rPr>
          <w:color w:val="auto"/>
          <w:highlight w:val="none"/>
        </w:rPr>
      </w:pPr>
      <w:r>
        <w:rPr>
          <w:rFonts w:hint="eastAsia"/>
          <w:color w:val="auto"/>
        </w:rPr>
        <w:t>经查实，若</w:t>
      </w:r>
      <w:r>
        <w:rPr>
          <w:rFonts w:hint="eastAsia"/>
          <w:color w:val="auto"/>
          <w:lang w:eastAsia="zh-CN"/>
        </w:rPr>
        <w:t>我</w:t>
      </w:r>
      <w:r>
        <w:rPr>
          <w:rFonts w:hint="eastAsia"/>
          <w:color w:val="auto"/>
          <w:lang w:val="en-US" w:eastAsia="zh-CN"/>
        </w:rPr>
        <w:t>单位</w:t>
      </w:r>
      <w:r>
        <w:rPr>
          <w:rFonts w:hint="eastAsia"/>
          <w:color w:val="auto"/>
        </w:rPr>
        <w:t>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w:t>
      </w:r>
      <w:r>
        <w:rPr>
          <w:rFonts w:hint="eastAsia"/>
          <w:color w:val="auto"/>
          <w:highlight w:val="none"/>
        </w:rPr>
        <w:t>分之二十以上千分之三十以下罚款，由市场监管部门依法吊销营业执照。</w:t>
      </w:r>
    </w:p>
    <w:p w14:paraId="4E81B2BF">
      <w:pPr>
        <w:spacing w:beforeLines="0" w:line="340" w:lineRule="exact"/>
        <w:ind w:firstLine="420" w:firstLineChars="200"/>
        <w:rPr>
          <w:color w:val="auto"/>
          <w:highlight w:val="yellow"/>
        </w:rPr>
      </w:pPr>
      <w:r>
        <w:rPr>
          <w:rFonts w:hint="eastAsia"/>
          <w:color w:val="auto"/>
          <w:highlight w:val="yellow"/>
        </w:rPr>
        <w:t>以下文字请投标供应商抄写并确认：“</w:t>
      </w:r>
      <w:r>
        <w:rPr>
          <w:rFonts w:hint="eastAsia"/>
          <w:color w:val="auto"/>
          <w:highlight w:val="yellow"/>
          <w:lang w:eastAsia="zh-CN"/>
        </w:rPr>
        <w:t>我</w:t>
      </w:r>
      <w:r>
        <w:rPr>
          <w:rFonts w:hint="eastAsia"/>
          <w:color w:val="auto"/>
          <w:highlight w:val="yellow"/>
          <w:lang w:val="en-US" w:eastAsia="zh-CN"/>
        </w:rPr>
        <w:t>单位</w:t>
      </w:r>
      <w:r>
        <w:rPr>
          <w:rFonts w:hint="eastAsia"/>
          <w:color w:val="auto"/>
          <w:highlight w:val="yellow"/>
        </w:rPr>
        <w:t>已仔细阅读《政府采购违法行为风险知悉确认书》，充分知悉违法行为的法律后果，并承诺将严谨、诚信、依法依规参与政府采购活动”。</w:t>
      </w:r>
    </w:p>
    <w:tbl>
      <w:tblPr>
        <w:tblStyle w:val="40"/>
        <w:tblW w:w="8529" w:type="dxa"/>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9"/>
      </w:tblGrid>
      <w:tr w14:paraId="5C47B89D">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8529" w:type="dxa"/>
            <w:tcBorders>
              <w:top w:val="nil"/>
              <w:left w:val="nil"/>
              <w:bottom w:val="single" w:color="000000" w:sz="8" w:space="0"/>
              <w:right w:val="nil"/>
            </w:tcBorders>
            <w:noWrap w:val="0"/>
            <w:vAlign w:val="top"/>
          </w:tcPr>
          <w:p w14:paraId="28EF2152">
            <w:pPr>
              <w:autoSpaceDE w:val="0"/>
              <w:autoSpaceDN w:val="0"/>
              <w:spacing w:beforeLines="0" w:line="340" w:lineRule="exact"/>
              <w:ind w:firstLine="1866"/>
              <w:rPr>
                <w:rFonts w:ascii="宋体" w:hAnsi="宋体" w:eastAsia="宋体"/>
                <w:color w:val="auto"/>
                <w:spacing w:val="-4"/>
                <w:kern w:val="0"/>
                <w:szCs w:val="21"/>
                <w:highlight w:val="none"/>
              </w:rPr>
            </w:pPr>
          </w:p>
        </w:tc>
      </w:tr>
      <w:tr w14:paraId="7BD021CF">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noWrap w:val="0"/>
            <w:vAlign w:val="top"/>
          </w:tcPr>
          <w:p w14:paraId="533790BE">
            <w:pPr>
              <w:autoSpaceDE w:val="0"/>
              <w:autoSpaceDN w:val="0"/>
              <w:spacing w:beforeLines="0" w:line="340" w:lineRule="exact"/>
              <w:ind w:firstLine="1866"/>
              <w:rPr>
                <w:rFonts w:ascii="宋体" w:hAnsi="宋体" w:eastAsia="宋体"/>
                <w:color w:val="auto"/>
                <w:spacing w:val="-4"/>
                <w:kern w:val="0"/>
                <w:szCs w:val="21"/>
              </w:rPr>
            </w:pPr>
          </w:p>
        </w:tc>
      </w:tr>
      <w:tr w14:paraId="41ADC26F">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noWrap w:val="0"/>
            <w:vAlign w:val="top"/>
          </w:tcPr>
          <w:p w14:paraId="457E3E79">
            <w:pPr>
              <w:autoSpaceDE w:val="0"/>
              <w:autoSpaceDN w:val="0"/>
              <w:spacing w:beforeLines="0" w:line="340" w:lineRule="exact"/>
              <w:ind w:firstLine="1866"/>
              <w:rPr>
                <w:rFonts w:ascii="宋体" w:hAnsi="宋体" w:eastAsia="宋体"/>
                <w:color w:val="auto"/>
                <w:spacing w:val="-4"/>
                <w:kern w:val="0"/>
                <w:szCs w:val="21"/>
              </w:rPr>
            </w:pPr>
          </w:p>
        </w:tc>
      </w:tr>
      <w:tr w14:paraId="74DAB4DA">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auto" w:sz="8" w:space="0"/>
              <w:right w:val="nil"/>
            </w:tcBorders>
            <w:noWrap w:val="0"/>
            <w:vAlign w:val="top"/>
          </w:tcPr>
          <w:p w14:paraId="09BC3CE0">
            <w:pPr>
              <w:autoSpaceDE w:val="0"/>
              <w:autoSpaceDN w:val="0"/>
              <w:spacing w:beforeLines="0" w:line="340" w:lineRule="exact"/>
              <w:ind w:firstLine="1866"/>
              <w:rPr>
                <w:rFonts w:ascii="宋体" w:hAnsi="宋体" w:eastAsia="宋体"/>
                <w:color w:val="auto"/>
                <w:spacing w:val="-4"/>
                <w:kern w:val="0"/>
                <w:szCs w:val="21"/>
              </w:rPr>
            </w:pPr>
          </w:p>
        </w:tc>
      </w:tr>
    </w:tbl>
    <w:p w14:paraId="632ADF42">
      <w:pPr>
        <w:widowControl/>
        <w:wordWrap w:val="0"/>
        <w:autoSpaceDE w:val="0"/>
        <w:autoSpaceDN w:val="0"/>
        <w:spacing w:beforeLines="0" w:line="340" w:lineRule="exact"/>
        <w:ind w:right="808" w:firstLine="404" w:firstLineChars="200"/>
        <w:jc w:val="right"/>
        <w:rPr>
          <w:rFonts w:hint="eastAsia" w:ascii="宋体" w:hAnsi="宋体" w:eastAsia="宋体"/>
          <w:color w:val="auto"/>
          <w:spacing w:val="-4"/>
          <w:kern w:val="0"/>
          <w:szCs w:val="21"/>
        </w:rPr>
      </w:pPr>
    </w:p>
    <w:p w14:paraId="6ADF4797">
      <w:pPr>
        <w:widowControl/>
        <w:wordWrap w:val="0"/>
        <w:autoSpaceDE w:val="0"/>
        <w:autoSpaceDN w:val="0"/>
        <w:spacing w:beforeLines="0" w:line="340" w:lineRule="exact"/>
        <w:ind w:right="808" w:firstLine="404" w:firstLineChars="200"/>
        <w:jc w:val="right"/>
        <w:rPr>
          <w:rFonts w:ascii="宋体" w:hAnsi="宋体" w:eastAsia="宋体"/>
          <w:color w:val="auto"/>
          <w:spacing w:val="-4"/>
          <w:kern w:val="0"/>
          <w:szCs w:val="21"/>
          <w:u w:val="single"/>
        </w:rPr>
      </w:pPr>
      <w:r>
        <w:rPr>
          <w:rFonts w:hint="eastAsia" w:ascii="宋体" w:hAnsi="宋体" w:eastAsia="宋体"/>
          <w:color w:val="auto"/>
          <w:spacing w:val="-4"/>
          <w:kern w:val="0"/>
          <w:szCs w:val="21"/>
          <w:lang w:eastAsia="zh-CN"/>
        </w:rPr>
        <w:t>单位</w:t>
      </w:r>
      <w:r>
        <w:rPr>
          <w:rFonts w:hint="eastAsia" w:ascii="宋体" w:hAnsi="宋体" w:eastAsia="宋体"/>
          <w:color w:val="auto"/>
          <w:spacing w:val="-4"/>
          <w:kern w:val="0"/>
          <w:szCs w:val="21"/>
        </w:rPr>
        <w:t>负责人签名：</w:t>
      </w:r>
      <w:r>
        <w:rPr>
          <w:rFonts w:hint="eastAsia" w:ascii="宋体" w:hAnsi="宋体" w:eastAsia="宋体"/>
          <w:color w:val="auto"/>
          <w:spacing w:val="-4"/>
          <w:kern w:val="0"/>
          <w:szCs w:val="21"/>
          <w:u w:val="single"/>
        </w:rPr>
        <w:t xml:space="preserve">              </w:t>
      </w:r>
    </w:p>
    <w:p w14:paraId="05800479">
      <w:pPr>
        <w:widowControl/>
        <w:wordWrap w:val="0"/>
        <w:autoSpaceDE w:val="0"/>
        <w:autoSpaceDN w:val="0"/>
        <w:spacing w:beforeLines="0" w:line="340" w:lineRule="exact"/>
        <w:ind w:right="808" w:firstLine="404" w:firstLineChars="200"/>
        <w:jc w:val="center"/>
        <w:rPr>
          <w:rFonts w:ascii="宋体" w:hAnsi="宋体" w:eastAsia="宋体"/>
          <w:color w:val="auto"/>
          <w:spacing w:val="-4"/>
          <w:kern w:val="0"/>
          <w:szCs w:val="21"/>
          <w:u w:val="single"/>
        </w:rPr>
      </w:pPr>
      <w:r>
        <w:rPr>
          <w:rFonts w:hint="eastAsia" w:ascii="宋体" w:hAnsi="宋体" w:eastAsia="宋体"/>
          <w:color w:val="auto"/>
          <w:spacing w:val="-4"/>
          <w:kern w:val="0"/>
          <w:szCs w:val="21"/>
          <w:lang w:val="en-US" w:eastAsia="zh-CN"/>
        </w:rPr>
        <w:t xml:space="preserve">                                 </w:t>
      </w:r>
      <w:r>
        <w:rPr>
          <w:rFonts w:hint="eastAsia" w:ascii="宋体" w:hAnsi="宋体" w:eastAsia="宋体"/>
          <w:color w:val="auto"/>
          <w:spacing w:val="-4"/>
          <w:kern w:val="0"/>
          <w:szCs w:val="21"/>
          <w:lang w:eastAsia="zh-CN"/>
        </w:rPr>
        <w:t>（加盖</w:t>
      </w:r>
      <w:r>
        <w:rPr>
          <w:rFonts w:hint="eastAsia" w:ascii="宋体" w:hAnsi="宋体" w:eastAsia="宋体"/>
          <w:color w:val="auto"/>
          <w:spacing w:val="-4"/>
          <w:kern w:val="0"/>
          <w:szCs w:val="21"/>
        </w:rPr>
        <w:t>公章</w:t>
      </w:r>
      <w:r>
        <w:rPr>
          <w:rFonts w:hint="eastAsia" w:ascii="宋体" w:hAnsi="宋体" w:eastAsia="宋体"/>
          <w:color w:val="auto"/>
          <w:spacing w:val="-4"/>
          <w:kern w:val="0"/>
          <w:szCs w:val="21"/>
          <w:lang w:eastAsia="zh-CN"/>
        </w:rPr>
        <w:t>）</w:t>
      </w:r>
    </w:p>
    <w:p w14:paraId="13D25496">
      <w:pPr>
        <w:widowControl/>
        <w:wordWrap w:val="0"/>
        <w:autoSpaceDE w:val="0"/>
        <w:autoSpaceDN w:val="0"/>
        <w:spacing w:beforeLines="0" w:line="340" w:lineRule="exact"/>
        <w:ind w:right="808" w:firstLine="404" w:firstLineChars="200"/>
        <w:jc w:val="right"/>
        <w:rPr>
          <w:rFonts w:ascii="宋体" w:hAnsi="宋体" w:eastAsia="宋体"/>
          <w:color w:val="auto"/>
          <w:spacing w:val="-4"/>
          <w:kern w:val="0"/>
          <w:szCs w:val="21"/>
          <w:u w:val="single"/>
        </w:rPr>
      </w:pPr>
      <w:r>
        <w:rPr>
          <w:rFonts w:hint="eastAsia" w:ascii="宋体" w:hAnsi="宋体" w:eastAsia="宋体"/>
          <w:color w:val="auto"/>
          <w:spacing w:val="-4"/>
          <w:kern w:val="0"/>
          <w:szCs w:val="21"/>
        </w:rPr>
        <w:t xml:space="preserve">     日期：</w:t>
      </w:r>
      <w:r>
        <w:rPr>
          <w:rFonts w:hint="eastAsia" w:ascii="宋体" w:hAnsi="宋体" w:eastAsia="宋体"/>
          <w:color w:val="auto"/>
          <w:spacing w:val="-4"/>
          <w:kern w:val="0"/>
          <w:szCs w:val="21"/>
          <w:u w:val="single"/>
        </w:rPr>
        <w:t xml:space="preserve">              </w:t>
      </w:r>
    </w:p>
    <w:p w14:paraId="789B71CF">
      <w:pPr>
        <w:widowControl/>
        <w:autoSpaceDE w:val="0"/>
        <w:autoSpaceDN w:val="0"/>
        <w:spacing w:beforeLines="0" w:line="340" w:lineRule="exact"/>
        <w:ind w:firstLine="406" w:firstLineChars="200"/>
        <w:jc w:val="left"/>
        <w:rPr>
          <w:rFonts w:hint="eastAsia" w:ascii="宋体" w:hAnsi="宋体" w:eastAsia="宋体"/>
          <w:b/>
          <w:bCs/>
          <w:color w:val="auto"/>
          <w:spacing w:val="-4"/>
          <w:kern w:val="0"/>
          <w:szCs w:val="21"/>
        </w:rPr>
      </w:pPr>
    </w:p>
    <w:p w14:paraId="0F258617">
      <w:pPr>
        <w:keepNext w:val="0"/>
        <w:keepLines w:val="0"/>
        <w:pageBreakBefore w:val="0"/>
        <w:widowControl/>
        <w:suppressLineNumbers w:val="0"/>
        <w:kinsoku/>
        <w:wordWrap/>
        <w:overflowPunct/>
        <w:topLinePunct w:val="0"/>
        <w:autoSpaceDE w:val="0"/>
        <w:autoSpaceDN w:val="0"/>
        <w:bidi w:val="0"/>
        <w:adjustRightInd/>
        <w:snapToGrid/>
        <w:spacing w:beforeLines="0" w:line="340" w:lineRule="exact"/>
        <w:ind w:firstLine="406" w:firstLineChars="200"/>
        <w:jc w:val="left"/>
        <w:textAlignment w:val="auto"/>
        <w:rPr>
          <w:rFonts w:hint="eastAsia" w:ascii="宋体" w:hAnsi="宋体" w:eastAsia="宋体"/>
          <w:b/>
          <w:bCs/>
          <w:color w:val="auto"/>
          <w:spacing w:val="-4"/>
          <w:kern w:val="0"/>
          <w:szCs w:val="21"/>
          <w:highlight w:val="none"/>
        </w:rPr>
      </w:pPr>
      <w:r>
        <w:rPr>
          <w:rFonts w:hint="eastAsia" w:ascii="宋体" w:hAnsi="宋体" w:eastAsia="宋体"/>
          <w:b/>
          <w:bCs/>
          <w:color w:val="auto"/>
          <w:spacing w:val="-4"/>
          <w:kern w:val="0"/>
          <w:szCs w:val="21"/>
        </w:rPr>
        <w:t>注：</w:t>
      </w:r>
      <w:r>
        <w:rPr>
          <w:rFonts w:hint="eastAsia" w:ascii="宋体" w:hAnsi="宋体"/>
          <w:b/>
          <w:bCs/>
          <w:color w:val="auto"/>
          <w:spacing w:val="-4"/>
          <w:kern w:val="0"/>
          <w:szCs w:val="21"/>
          <w:lang w:val="en-US" w:eastAsia="zh-CN"/>
        </w:rPr>
        <w:t>1.</w:t>
      </w:r>
      <w:r>
        <w:rPr>
          <w:rFonts w:hint="eastAsia" w:ascii="宋体" w:hAnsi="宋体" w:eastAsia="宋体"/>
          <w:b/>
          <w:bCs/>
          <w:color w:val="auto"/>
          <w:spacing w:val="-4"/>
          <w:kern w:val="0"/>
          <w:szCs w:val="21"/>
          <w:lang w:eastAsia="zh-CN"/>
        </w:rPr>
        <w:t>《</w:t>
      </w:r>
      <w:r>
        <w:rPr>
          <w:rFonts w:hint="eastAsia" w:ascii="宋体" w:hAnsi="宋体" w:eastAsia="宋体"/>
          <w:b/>
          <w:bCs/>
          <w:color w:val="auto"/>
          <w:spacing w:val="-4"/>
          <w:kern w:val="0"/>
          <w:szCs w:val="21"/>
          <w:lang w:val="en-US" w:eastAsia="zh-CN"/>
        </w:rPr>
        <w:t>政府采购违法行为风险知悉确认书</w:t>
      </w:r>
      <w:r>
        <w:rPr>
          <w:rFonts w:hint="eastAsia" w:ascii="宋体" w:hAnsi="宋体" w:eastAsia="宋体"/>
          <w:b/>
          <w:bCs/>
          <w:color w:val="auto"/>
          <w:spacing w:val="-4"/>
          <w:kern w:val="0"/>
          <w:szCs w:val="21"/>
          <w:lang w:eastAsia="zh-CN"/>
        </w:rPr>
        <w:t>》需由</w:t>
      </w:r>
      <w:r>
        <w:rPr>
          <w:rFonts w:hint="eastAsia" w:ascii="宋体" w:hAnsi="宋体" w:eastAsia="宋体"/>
          <w:b/>
          <w:bCs/>
          <w:color w:val="auto"/>
          <w:spacing w:val="-4"/>
          <w:kern w:val="0"/>
          <w:szCs w:val="21"/>
          <w:highlight w:val="none"/>
        </w:rPr>
        <w:t>投标供应商负责人签字并加盖单位公章后，扫描上传至投标文件一并提交。</w:t>
      </w:r>
    </w:p>
    <w:p w14:paraId="5F3171D1">
      <w:pPr>
        <w:pStyle w:val="52"/>
        <w:keepNext w:val="0"/>
        <w:keepLines w:val="0"/>
        <w:pageBreakBefore w:val="0"/>
        <w:kinsoku/>
        <w:wordWrap/>
        <w:overflowPunct/>
        <w:topLinePunct w:val="0"/>
        <w:bidi w:val="0"/>
        <w:adjustRightInd/>
        <w:snapToGrid/>
        <w:ind w:firstLine="422" w:firstLineChars="200"/>
        <w:textAlignment w:val="auto"/>
        <w:rPr>
          <w:b/>
          <w:bCs/>
          <w:color w:val="auto"/>
          <w:lang w:val="en-US" w:eastAsia="zh-CN"/>
        </w:rPr>
      </w:pPr>
      <w:r>
        <w:rPr>
          <w:rFonts w:hint="eastAsia"/>
          <w:b/>
          <w:bCs/>
          <w:color w:val="auto"/>
          <w:lang w:val="en-US" w:eastAsia="zh-CN"/>
        </w:rPr>
        <w:t>2.根据《深圳市财政局关于在采购文件及深圳政府采购智慧平台增设供应商投标特别警示条款等事宜的通知》（深财购〔2025〕7号）的要求，《政府采购违法行为风险知悉确认书》用于对供应商违法行为的提醒，不作为供应商资格性审查及符合性审查条件。</w:t>
      </w:r>
    </w:p>
    <w:p w14:paraId="770FC7CA">
      <w:pPr>
        <w:widowControl/>
        <w:autoSpaceDE w:val="0"/>
        <w:autoSpaceDN w:val="0"/>
        <w:spacing w:line="400" w:lineRule="exact"/>
        <w:ind w:firstLine="404" w:firstLineChars="200"/>
        <w:jc w:val="left"/>
        <w:rPr>
          <w:rFonts w:ascii="宋体" w:hAnsi="宋体" w:eastAsiaTheme="minorEastAsia"/>
          <w:color w:val="FF0000"/>
          <w:spacing w:val="-4"/>
          <w:kern w:val="0"/>
          <w:szCs w:val="21"/>
        </w:rPr>
      </w:pPr>
    </w:p>
    <w:p w14:paraId="5E7EE387">
      <w:pPr>
        <w:widowControl/>
        <w:wordWrap/>
        <w:autoSpaceDE w:val="0"/>
        <w:autoSpaceDN w:val="0"/>
        <w:spacing w:line="400" w:lineRule="exact"/>
        <w:ind w:right="1414" w:firstLine="480" w:firstLineChars="200"/>
        <w:jc w:val="right"/>
        <w:rPr>
          <w:rFonts w:eastAsiaTheme="minorEastAsia"/>
          <w:kern w:val="0"/>
          <w:sz w:val="24"/>
        </w:rPr>
      </w:pPr>
    </w:p>
    <w:p w14:paraId="04D40462">
      <w:pPr>
        <w:widowControl/>
        <w:wordWrap/>
        <w:autoSpaceDE w:val="0"/>
        <w:autoSpaceDN w:val="0"/>
        <w:spacing w:line="400" w:lineRule="exact"/>
        <w:ind w:right="1414" w:firstLine="480" w:firstLineChars="200"/>
        <w:jc w:val="right"/>
        <w:rPr>
          <w:rFonts w:eastAsiaTheme="minorEastAsia"/>
          <w:kern w:val="0"/>
          <w:sz w:val="24"/>
        </w:rPr>
      </w:pPr>
    </w:p>
    <w:p w14:paraId="050D67B0">
      <w:pPr>
        <w:widowControl/>
        <w:wordWrap/>
        <w:autoSpaceDE w:val="0"/>
        <w:autoSpaceDN w:val="0"/>
        <w:spacing w:line="400" w:lineRule="exact"/>
        <w:ind w:right="1414" w:firstLine="480" w:firstLineChars="200"/>
        <w:jc w:val="right"/>
        <w:rPr>
          <w:rFonts w:eastAsiaTheme="minorEastAsia"/>
          <w:kern w:val="0"/>
          <w:sz w:val="24"/>
        </w:rPr>
      </w:pPr>
    </w:p>
    <w:p w14:paraId="53651222">
      <w:pPr>
        <w:jc w:val="center"/>
        <w:rPr>
          <w:rFonts w:hint="eastAsia" w:ascii="黑体" w:eastAsia="黑体"/>
          <w:b w:val="0"/>
          <w:bCs w:val="0"/>
          <w:sz w:val="24"/>
          <w:szCs w:val="20"/>
          <w:lang w:val="en-US" w:eastAsia="zh-CN"/>
        </w:rPr>
      </w:pPr>
      <w:r>
        <w:rPr>
          <w:rFonts w:hint="eastAsia" w:ascii="黑体" w:eastAsia="黑体"/>
          <w:b w:val="0"/>
          <w:bCs w:val="0"/>
          <w:sz w:val="24"/>
          <w:szCs w:val="20"/>
          <w:lang w:val="en-US" w:eastAsia="zh-CN"/>
        </w:rPr>
        <w:t>（二）订单融资情况</w:t>
      </w:r>
    </w:p>
    <w:p w14:paraId="4790F8EB">
      <w:pPr>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ascii="宋体" w:hAnsi="宋体" w:cs="宋体"/>
          <w:b/>
          <w:bCs/>
        </w:rPr>
      </w:pPr>
      <w:r>
        <w:rPr>
          <w:rFonts w:hint="eastAsia" w:ascii="宋体" w:hAnsi="宋体" w:cs="宋体"/>
          <w:b/>
          <w:bCs/>
          <w:lang w:val="en-US" w:eastAsia="zh-CN"/>
        </w:rPr>
        <w:t>1</w:t>
      </w:r>
      <w:r>
        <w:rPr>
          <w:rFonts w:hint="eastAsia" w:ascii="宋体" w:hAnsi="宋体" w:cs="宋体"/>
          <w:b/>
          <w:bCs/>
          <w:lang w:eastAsia="zh-CN"/>
        </w:rPr>
        <w:t>、</w:t>
      </w:r>
      <w:r>
        <w:rPr>
          <w:rFonts w:hint="eastAsia" w:ascii="宋体" w:hAnsi="宋体" w:cs="宋体"/>
          <w:b/>
          <w:bCs/>
        </w:rPr>
        <w:t>关于政府采购订单融资政策</w:t>
      </w:r>
    </w:p>
    <w:p w14:paraId="3BAF8FA2">
      <w:pPr>
        <w:pStyle w:val="9"/>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Times New Roman" w:hAnsi="Times New Roman" w:eastAsia="宋体" w:cs="Times New Roman"/>
          <w:b w:val="0"/>
          <w:bCs/>
          <w:kern w:val="2"/>
          <w:sz w:val="21"/>
          <w:szCs w:val="21"/>
          <w:lang w:val="en-US" w:eastAsia="zh-CN" w:bidi="ar-SA"/>
        </w:rPr>
      </w:pPr>
      <w:r>
        <w:rPr>
          <w:rFonts w:hint="eastAsia" w:ascii="Times New Roman" w:hAnsi="Times New Roman" w:eastAsia="宋体" w:cs="Times New Roman"/>
          <w:b w:val="0"/>
          <w:bCs/>
          <w:kern w:val="2"/>
          <w:sz w:val="21"/>
          <w:szCs w:val="21"/>
          <w:lang w:val="en-US" w:eastAsia="zh-CN" w:bidi="ar-SA"/>
        </w:rPr>
        <w:t>为深入贯彻落实国家深化政府采购制度改革精神，充分发挥政府采购扶持中小企业发展的政策功能，缓解中小微企业融资难、融资贵的问题，根据《深圳市财政局关于加大力度运用政府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14:paraId="25A24FA5">
      <w:pPr>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hint="eastAsia" w:ascii="宋体" w:hAnsi="宋体" w:cs="宋体"/>
          <w:b/>
          <w:bCs/>
          <w:lang w:val="en-US" w:eastAsia="zh-CN"/>
        </w:rPr>
      </w:pPr>
      <w:r>
        <w:rPr>
          <w:rFonts w:hint="eastAsia" w:ascii="宋体" w:hAnsi="宋体" w:cs="宋体"/>
          <w:b/>
          <w:bCs/>
          <w:lang w:val="en-US" w:eastAsia="zh-CN"/>
        </w:rPr>
        <w:t>2</w:t>
      </w:r>
      <w:r>
        <w:rPr>
          <w:rFonts w:hint="eastAsia" w:ascii="宋体" w:hAnsi="宋体" w:cs="宋体"/>
          <w:b/>
          <w:bCs/>
          <w:lang w:eastAsia="zh-CN"/>
        </w:rPr>
        <w:t>、</w:t>
      </w:r>
      <w:r>
        <w:rPr>
          <w:rFonts w:hint="eastAsia" w:ascii="宋体" w:hAnsi="宋体" w:cs="宋体"/>
          <w:b/>
          <w:bCs/>
          <w:lang w:val="en-US" w:eastAsia="zh-CN"/>
        </w:rPr>
        <w:t>供应商账户信息</w:t>
      </w:r>
    </w:p>
    <w:p w14:paraId="1B6C8529">
      <w:pPr>
        <w:keepNext w:val="0"/>
        <w:keepLines w:val="0"/>
        <w:pageBreakBefore w:val="0"/>
        <w:widowControl w:val="0"/>
        <w:kinsoku/>
        <w:wordWrap w:val="0"/>
        <w:overflowPunct/>
        <w:topLinePunct w:val="0"/>
        <w:autoSpaceDE/>
        <w:autoSpaceDN/>
        <w:bidi w:val="0"/>
        <w:adjustRightInd/>
        <w:snapToGrid/>
        <w:ind w:left="420" w:leftChars="200" w:firstLine="210" w:firstLineChars="100"/>
        <w:textAlignment w:val="auto"/>
        <w:rPr>
          <w:rFonts w:hint="eastAsia"/>
          <w:szCs w:val="21"/>
        </w:rPr>
      </w:pPr>
      <w:r>
        <w:rPr>
          <w:rFonts w:hint="eastAsia"/>
          <w:szCs w:val="21"/>
        </w:rPr>
        <w:t>投标人</w:t>
      </w:r>
      <w:r>
        <w:rPr>
          <w:rFonts w:hint="eastAsia"/>
          <w:szCs w:val="21"/>
          <w:lang w:eastAsia="zh-CN"/>
        </w:rPr>
        <w:t>（</w:t>
      </w:r>
      <w:r>
        <w:rPr>
          <w:rFonts w:hint="eastAsia"/>
          <w:szCs w:val="21"/>
          <w:lang w:val="en-US" w:eastAsia="zh-CN"/>
        </w:rPr>
        <w:t>单位全称</w:t>
      </w:r>
      <w:r>
        <w:rPr>
          <w:rFonts w:hint="eastAsia"/>
          <w:szCs w:val="21"/>
          <w:lang w:eastAsia="zh-CN"/>
        </w:rPr>
        <w:t>）</w:t>
      </w:r>
      <w:r>
        <w:rPr>
          <w:rFonts w:hint="eastAsia"/>
          <w:szCs w:val="21"/>
        </w:rPr>
        <w:t>：</w:t>
      </w:r>
      <w:r>
        <w:rPr>
          <w:rFonts w:hint="eastAsia"/>
          <w:szCs w:val="21"/>
          <w:u w:val="thick"/>
        </w:rPr>
        <w:t xml:space="preserve">      </w:t>
      </w:r>
      <w:r>
        <w:rPr>
          <w:rFonts w:hint="eastAsia"/>
          <w:szCs w:val="21"/>
          <w:u w:val="thick"/>
          <w:lang w:val="en-US" w:eastAsia="zh-CN"/>
        </w:rPr>
        <w:t xml:space="preserve">                            </w:t>
      </w:r>
      <w:r>
        <w:rPr>
          <w:rFonts w:hint="eastAsia" w:eastAsia="宋体"/>
          <w:szCs w:val="21"/>
          <w:lang w:eastAsia="zh-CN"/>
        </w:rPr>
        <w:t>；</w:t>
      </w:r>
      <w:r>
        <w:rPr>
          <w:rFonts w:hint="eastAsia"/>
          <w:szCs w:val="21"/>
        </w:rPr>
        <w:t xml:space="preserve">  </w:t>
      </w:r>
    </w:p>
    <w:p w14:paraId="60652EE9">
      <w:pPr>
        <w:keepNext w:val="0"/>
        <w:keepLines w:val="0"/>
        <w:pageBreakBefore w:val="0"/>
        <w:widowControl w:val="0"/>
        <w:kinsoku/>
        <w:wordWrap w:val="0"/>
        <w:overflowPunct/>
        <w:topLinePunct w:val="0"/>
        <w:autoSpaceDE/>
        <w:autoSpaceDN/>
        <w:bidi w:val="0"/>
        <w:adjustRightInd/>
        <w:snapToGrid/>
        <w:ind w:left="420" w:leftChars="200" w:firstLine="210" w:firstLineChars="100"/>
        <w:textAlignment w:val="auto"/>
        <w:rPr>
          <w:rFonts w:hint="eastAsia"/>
          <w:szCs w:val="21"/>
          <w:u w:val="none"/>
          <w:lang w:eastAsia="zh-CN"/>
        </w:rPr>
      </w:pPr>
      <w:r>
        <w:rPr>
          <w:rFonts w:hint="eastAsia"/>
          <w:szCs w:val="21"/>
          <w:lang w:val="en-US" w:eastAsia="zh-CN"/>
        </w:rPr>
        <w:t>投标人</w:t>
      </w:r>
      <w:r>
        <w:rPr>
          <w:rFonts w:hint="eastAsia"/>
          <w:szCs w:val="21"/>
        </w:rPr>
        <w:t>单位地址：</w:t>
      </w:r>
      <w:r>
        <w:rPr>
          <w:rFonts w:hint="eastAsia"/>
          <w:szCs w:val="21"/>
          <w:u w:val="thick"/>
        </w:rPr>
        <w:t xml:space="preserve">       </w:t>
      </w:r>
      <w:r>
        <w:rPr>
          <w:rFonts w:hint="eastAsia" w:ascii="Times New Roman" w:eastAsia="宋体"/>
          <w:szCs w:val="21"/>
          <w:u w:val="thick"/>
          <w:lang w:val="en-US" w:eastAsia="zh-CN"/>
        </w:rPr>
        <w:t xml:space="preserve">      </w:t>
      </w:r>
      <w:r>
        <w:rPr>
          <w:rFonts w:hint="eastAsia"/>
          <w:szCs w:val="21"/>
          <w:u w:val="thick"/>
          <w:lang w:val="en-US" w:eastAsia="zh-CN"/>
        </w:rPr>
        <w:t xml:space="preserve">                      </w:t>
      </w:r>
      <w:r>
        <w:rPr>
          <w:rFonts w:hint="eastAsia" w:ascii="Times New Roman" w:eastAsia="宋体"/>
          <w:szCs w:val="21"/>
          <w:u w:val="thick"/>
          <w:lang w:val="en-US" w:eastAsia="zh-CN"/>
        </w:rPr>
        <w:t xml:space="preserve">   </w:t>
      </w:r>
      <w:r>
        <w:rPr>
          <w:rFonts w:hint="eastAsia" w:eastAsia="宋体"/>
          <w:szCs w:val="21"/>
          <w:u w:val="none"/>
          <w:lang w:eastAsia="zh-CN"/>
        </w:rPr>
        <w:t>；</w:t>
      </w:r>
    </w:p>
    <w:p w14:paraId="56F734A9">
      <w:pPr>
        <w:keepNext w:val="0"/>
        <w:keepLines w:val="0"/>
        <w:pageBreakBefore w:val="0"/>
        <w:widowControl w:val="0"/>
        <w:kinsoku/>
        <w:wordWrap w:val="0"/>
        <w:overflowPunct/>
        <w:topLinePunct w:val="0"/>
        <w:autoSpaceDE/>
        <w:autoSpaceDN/>
        <w:bidi w:val="0"/>
        <w:adjustRightInd/>
        <w:snapToGrid/>
        <w:ind w:left="420" w:leftChars="200" w:firstLine="210" w:firstLineChars="100"/>
        <w:textAlignment w:val="auto"/>
        <w:rPr>
          <w:rFonts w:hint="eastAsia"/>
          <w:szCs w:val="21"/>
          <w:u w:val="none"/>
          <w:lang w:eastAsia="zh-CN"/>
        </w:rPr>
      </w:pPr>
      <w:r>
        <w:rPr>
          <w:rFonts w:hint="eastAsia"/>
          <w:szCs w:val="21"/>
        </w:rPr>
        <w:t>法定代表人（负责人）或其</w:t>
      </w:r>
      <w:r>
        <w:rPr>
          <w:rFonts w:hint="eastAsia" w:ascii="Times New Roman" w:eastAsia="宋体"/>
          <w:szCs w:val="21"/>
          <w:lang w:val="en-US" w:eastAsia="zh-CN"/>
        </w:rPr>
        <w:t>授权</w:t>
      </w:r>
      <w:r>
        <w:rPr>
          <w:rFonts w:hint="eastAsia"/>
          <w:szCs w:val="21"/>
        </w:rPr>
        <w:t>委托代理人：</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eastAsia="宋体"/>
          <w:szCs w:val="21"/>
          <w:u w:val="none"/>
          <w:lang w:eastAsia="zh-CN"/>
        </w:rPr>
        <w:t>；</w:t>
      </w:r>
    </w:p>
    <w:p w14:paraId="41BBF294">
      <w:pPr>
        <w:keepNext w:val="0"/>
        <w:keepLines w:val="0"/>
        <w:pageBreakBefore w:val="0"/>
        <w:widowControl w:val="0"/>
        <w:kinsoku/>
        <w:wordWrap w:val="0"/>
        <w:overflowPunct/>
        <w:topLinePunct w:val="0"/>
        <w:autoSpaceDE/>
        <w:autoSpaceDN/>
        <w:bidi w:val="0"/>
        <w:adjustRightInd/>
        <w:snapToGrid/>
        <w:ind w:left="420" w:leftChars="200" w:firstLine="210" w:firstLineChars="100"/>
        <w:textAlignment w:val="auto"/>
        <w:rPr>
          <w:rFonts w:hint="eastAsia"/>
          <w:szCs w:val="21"/>
          <w:u w:val="thick"/>
        </w:rPr>
      </w:pPr>
      <w:r>
        <w:rPr>
          <w:rFonts w:hint="eastAsia"/>
          <w:szCs w:val="21"/>
          <w:lang w:val="en-US" w:eastAsia="zh-CN"/>
        </w:rPr>
        <w:t>联系</w:t>
      </w:r>
      <w:r>
        <w:rPr>
          <w:rFonts w:hint="eastAsia"/>
          <w:szCs w:val="21"/>
        </w:rPr>
        <w:t>电话</w:t>
      </w:r>
      <w:r>
        <w:rPr>
          <w:rFonts w:hint="eastAsia"/>
          <w:szCs w:val="21"/>
          <w:u w:val="none"/>
        </w:rPr>
        <w:t>：</w:t>
      </w:r>
      <w:r>
        <w:rPr>
          <w:rFonts w:hint="eastAsia"/>
          <w:szCs w:val="21"/>
          <w:u w:val="thick"/>
        </w:rPr>
        <w:t xml:space="preserve">        </w:t>
      </w:r>
      <w:r>
        <w:rPr>
          <w:rFonts w:hint="eastAsia" w:ascii="Times New Roman" w:eastAsia="宋体"/>
          <w:szCs w:val="21"/>
          <w:u w:val="thick"/>
          <w:lang w:val="en-US" w:eastAsia="zh-CN"/>
        </w:rPr>
        <w:t xml:space="preserve">      </w:t>
      </w:r>
      <w:r>
        <w:rPr>
          <w:rFonts w:hint="eastAsia"/>
          <w:szCs w:val="21"/>
          <w:u w:val="thick"/>
          <w:lang w:val="en-US" w:eastAsia="zh-CN"/>
        </w:rPr>
        <w:t xml:space="preserve">           </w:t>
      </w:r>
      <w:r>
        <w:rPr>
          <w:rFonts w:hint="eastAsia" w:eastAsia="宋体"/>
          <w:szCs w:val="21"/>
          <w:u w:val="none"/>
          <w:lang w:eastAsia="zh-CN"/>
        </w:rPr>
        <w:t>；</w:t>
      </w:r>
    </w:p>
    <w:p w14:paraId="53C6C756">
      <w:pPr>
        <w:keepNext w:val="0"/>
        <w:keepLines w:val="0"/>
        <w:pageBreakBefore w:val="0"/>
        <w:widowControl w:val="0"/>
        <w:kinsoku/>
        <w:wordWrap w:val="0"/>
        <w:overflowPunct/>
        <w:topLinePunct w:val="0"/>
        <w:autoSpaceDE/>
        <w:autoSpaceDN/>
        <w:bidi w:val="0"/>
        <w:adjustRightInd/>
        <w:snapToGrid/>
        <w:ind w:left="420" w:leftChars="200" w:firstLine="210" w:firstLineChars="100"/>
        <w:textAlignment w:val="auto"/>
        <w:rPr>
          <w:rFonts w:hint="eastAsia"/>
          <w:szCs w:val="21"/>
          <w:u w:val="none"/>
          <w:lang w:eastAsia="zh-CN"/>
        </w:rPr>
      </w:pPr>
      <w:r>
        <w:rPr>
          <w:rFonts w:hint="eastAsia" w:ascii="Times New Roman" w:eastAsia="宋体"/>
          <w:szCs w:val="21"/>
          <w:lang w:val="en-US" w:eastAsia="zh-CN"/>
        </w:rPr>
        <w:t>开户银行名称：</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eastAsia="宋体"/>
          <w:szCs w:val="21"/>
          <w:u w:val="none"/>
          <w:lang w:eastAsia="zh-CN"/>
        </w:rPr>
        <w:t>；</w:t>
      </w:r>
    </w:p>
    <w:p w14:paraId="124CBCD8">
      <w:pPr>
        <w:keepNext w:val="0"/>
        <w:keepLines w:val="0"/>
        <w:pageBreakBefore w:val="0"/>
        <w:widowControl w:val="0"/>
        <w:kinsoku/>
        <w:wordWrap w:val="0"/>
        <w:overflowPunct/>
        <w:topLinePunct w:val="0"/>
        <w:autoSpaceDE/>
        <w:autoSpaceDN/>
        <w:bidi w:val="0"/>
        <w:adjustRightInd/>
        <w:snapToGrid/>
        <w:ind w:left="420" w:leftChars="200" w:firstLine="210" w:firstLineChars="100"/>
        <w:textAlignment w:val="auto"/>
        <w:rPr>
          <w:rFonts w:hint="eastAsia"/>
          <w:szCs w:val="21"/>
          <w:u w:val="thick"/>
          <w:lang w:eastAsia="zh-CN"/>
        </w:rPr>
      </w:pPr>
      <w:r>
        <w:rPr>
          <w:rFonts w:hint="eastAsia"/>
          <w:szCs w:val="21"/>
          <w:u w:val="none"/>
          <w:lang w:val="en-US" w:eastAsia="zh-CN"/>
        </w:rPr>
        <w:t>开户银行账号：</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szCs w:val="21"/>
          <w:u w:val="none"/>
          <w:lang w:eastAsia="zh-CN"/>
        </w:rPr>
        <w:t>；</w:t>
      </w:r>
    </w:p>
    <w:p w14:paraId="2AD05541">
      <w:pPr>
        <w:keepNext w:val="0"/>
        <w:keepLines w:val="0"/>
        <w:pageBreakBefore w:val="0"/>
        <w:widowControl w:val="0"/>
        <w:kinsoku/>
        <w:wordWrap w:val="0"/>
        <w:overflowPunct/>
        <w:topLinePunct w:val="0"/>
        <w:autoSpaceDE/>
        <w:autoSpaceDN/>
        <w:bidi w:val="0"/>
        <w:adjustRightInd/>
        <w:snapToGrid/>
        <w:ind w:left="420" w:leftChars="200" w:firstLine="210" w:firstLineChars="100"/>
        <w:textAlignment w:val="auto"/>
        <w:rPr>
          <w:rFonts w:hint="eastAsia"/>
          <w:szCs w:val="21"/>
          <w:u w:val="none"/>
          <w:lang w:eastAsia="zh-CN"/>
        </w:rPr>
      </w:pPr>
      <w:r>
        <w:rPr>
          <w:rFonts w:hint="eastAsia"/>
          <w:szCs w:val="21"/>
          <w:u w:val="none"/>
          <w:lang w:val="en-US" w:eastAsia="zh-CN"/>
        </w:rPr>
        <w:t>开户银行地址：</w:t>
      </w:r>
      <w:r>
        <w:rPr>
          <w:rFonts w:hint="eastAsia"/>
          <w:szCs w:val="21"/>
          <w:u w:val="thick"/>
        </w:rPr>
        <w:t xml:space="preserve">    </w:t>
      </w:r>
      <w:r>
        <w:rPr>
          <w:rFonts w:hint="eastAsia"/>
          <w:szCs w:val="21"/>
          <w:u w:val="thick"/>
          <w:lang w:val="en-US" w:eastAsia="zh-CN"/>
        </w:rPr>
        <w:t xml:space="preserve">                 </w:t>
      </w:r>
      <w:r>
        <w:rPr>
          <w:rFonts w:hint="eastAsia"/>
          <w:szCs w:val="21"/>
          <w:u w:val="none"/>
          <w:lang w:eastAsia="zh-CN"/>
        </w:rPr>
        <w:t>。</w:t>
      </w:r>
    </w:p>
    <w:p w14:paraId="44A3F133">
      <w:pPr>
        <w:ind w:left="420" w:leftChars="200" w:firstLine="210" w:firstLineChars="100"/>
        <w:rPr>
          <w:rFonts w:hint="eastAsia"/>
          <w:szCs w:val="21"/>
          <w:u w:val="none"/>
        </w:rPr>
      </w:pPr>
      <w:r>
        <w:rPr>
          <w:rFonts w:hint="eastAsia"/>
          <w:szCs w:val="21"/>
          <w:u w:val="none"/>
        </w:rPr>
        <w:t xml:space="preserve"> </w:t>
      </w:r>
      <w:r>
        <w:rPr>
          <w:rFonts w:hint="eastAsia" w:ascii="宋体" w:hAnsi="宋体" w:eastAsiaTheme="minorEastAsia"/>
          <w:b/>
          <w:bCs/>
          <w:color w:val="FF0000"/>
          <w:spacing w:val="-4"/>
          <w:kern w:val="0"/>
          <w:szCs w:val="21"/>
          <w:lang w:val="en-US" w:eastAsia="zh-CN"/>
        </w:rPr>
        <w:t>注：本项填写内容作为订单融资开展的参考信息，</w:t>
      </w:r>
      <w:r>
        <w:rPr>
          <w:rFonts w:hint="eastAsia" w:ascii="宋体" w:hAnsi="宋体" w:eastAsiaTheme="minorEastAsia"/>
          <w:b/>
          <w:bCs/>
          <w:color w:val="FF0000"/>
          <w:spacing w:val="-4"/>
          <w:kern w:val="0"/>
          <w:szCs w:val="21"/>
        </w:rPr>
        <w:t>不作为供应商资格性审查及符合性审查条件。</w:t>
      </w:r>
    </w:p>
    <w:p w14:paraId="250889FD">
      <w:pPr>
        <w:widowControl/>
        <w:tabs>
          <w:tab w:val="left" w:pos="8200"/>
        </w:tabs>
        <w:wordWrap/>
        <w:autoSpaceDE w:val="0"/>
        <w:autoSpaceDN w:val="0"/>
        <w:spacing w:line="400" w:lineRule="exact"/>
        <w:ind w:right="1414" w:firstLine="406" w:firstLineChars="200"/>
        <w:jc w:val="both"/>
        <w:rPr>
          <w:rFonts w:hint="eastAsia" w:ascii="宋体" w:hAnsi="宋体" w:eastAsiaTheme="minorEastAsia"/>
          <w:b/>
          <w:bCs/>
          <w:color w:val="FF0000"/>
          <w:spacing w:val="-4"/>
          <w:kern w:val="0"/>
          <w:szCs w:val="21"/>
          <w:lang w:val="en-US" w:eastAsia="zh-CN"/>
        </w:rPr>
      </w:pPr>
    </w:p>
    <w:p w14:paraId="13249F81">
      <w:pPr>
        <w:widowControl/>
        <w:tabs>
          <w:tab w:val="left" w:pos="6930"/>
          <w:tab w:val="left" w:pos="8200"/>
        </w:tabs>
        <w:wordWrap/>
        <w:autoSpaceDE w:val="0"/>
        <w:autoSpaceDN w:val="0"/>
        <w:spacing w:line="400" w:lineRule="exact"/>
        <w:ind w:right="1414" w:firstLine="480" w:firstLineChars="200"/>
        <w:jc w:val="both"/>
        <w:rPr>
          <w:rFonts w:eastAsiaTheme="minorEastAsia"/>
          <w:kern w:val="0"/>
          <w:sz w:val="24"/>
        </w:rPr>
      </w:pPr>
    </w:p>
    <w:p w14:paraId="7779E5EE">
      <w:pPr>
        <w:widowControl/>
        <w:wordWrap/>
        <w:autoSpaceDE w:val="0"/>
        <w:autoSpaceDN w:val="0"/>
        <w:spacing w:line="400" w:lineRule="exact"/>
        <w:ind w:right="1414" w:firstLine="480" w:firstLineChars="200"/>
        <w:jc w:val="right"/>
        <w:rPr>
          <w:rFonts w:eastAsiaTheme="minorEastAsia"/>
          <w:kern w:val="0"/>
          <w:sz w:val="24"/>
        </w:rPr>
      </w:pPr>
    </w:p>
    <w:p w14:paraId="615BD44B">
      <w:pPr>
        <w:ind w:firstLine="630" w:firstLineChars="300"/>
        <w:rPr>
          <w:rFonts w:ascii="宋体" w:hAnsi="宋体"/>
        </w:rPr>
      </w:pPr>
      <w:r>
        <w:t xml:space="preserve">  </w:t>
      </w:r>
      <w:r>
        <w:rPr>
          <w:rFonts w:hint="eastAsia" w:ascii="宋体" w:hAnsi="宋体"/>
        </w:rPr>
        <w:t>………………（根据项目具体情况增加与综合实力评审相关的节点）</w:t>
      </w:r>
    </w:p>
    <w:p w14:paraId="79BB7C55">
      <w:pPr>
        <w:ind w:firstLine="720" w:firstLineChars="300"/>
        <w:rPr>
          <w:sz w:val="24"/>
        </w:rPr>
      </w:pPr>
    </w:p>
    <w:p w14:paraId="132A7280">
      <w:pPr>
        <w:widowControl/>
        <w:spacing w:line="360" w:lineRule="auto"/>
        <w:jc w:val="left"/>
        <w:rPr>
          <w:rFonts w:eastAsiaTheme="minorEastAsia"/>
          <w:b/>
          <w:bCs/>
          <w:kern w:val="0"/>
          <w:sz w:val="24"/>
        </w:rPr>
      </w:pPr>
    </w:p>
    <w:p w14:paraId="337C3E28">
      <w:pPr>
        <w:widowControl/>
        <w:jc w:val="center"/>
        <w:rPr>
          <w:rFonts w:ascii="黑体" w:hAnsi="宋体" w:eastAsia="黑体"/>
          <w:kern w:val="0"/>
          <w:sz w:val="24"/>
          <w:szCs w:val="20"/>
        </w:rPr>
      </w:pPr>
      <w:r>
        <w:rPr>
          <w:rFonts w:hint="eastAsia" w:ascii="黑体" w:hAnsi="宋体" w:eastAsia="黑体"/>
          <w:kern w:val="0"/>
          <w:sz w:val="24"/>
          <w:szCs w:val="20"/>
        </w:rPr>
        <w:t>（</w:t>
      </w:r>
      <w:r>
        <w:rPr>
          <w:rFonts w:hint="eastAsia" w:ascii="黑体" w:hAnsi="宋体" w:eastAsia="黑体"/>
          <w:kern w:val="0"/>
          <w:sz w:val="24"/>
          <w:szCs w:val="20"/>
          <w:lang w:val="en-US" w:eastAsia="zh-CN"/>
        </w:rPr>
        <w:t>三</w:t>
      </w:r>
      <w:r>
        <w:rPr>
          <w:rFonts w:hint="eastAsia" w:ascii="黑体" w:hAnsi="宋体" w:eastAsia="黑体"/>
          <w:kern w:val="0"/>
          <w:sz w:val="24"/>
          <w:szCs w:val="20"/>
        </w:rPr>
        <w:t>）投标人认为需要加以说明的其他内容（格式自定）</w:t>
      </w:r>
    </w:p>
    <w:p w14:paraId="363CA8BA">
      <w:pPr>
        <w:widowControl/>
        <w:jc w:val="center"/>
        <w:rPr>
          <w:rFonts w:ascii="黑体" w:hAnsi="宋体" w:eastAsia="黑体"/>
          <w:kern w:val="0"/>
          <w:sz w:val="24"/>
          <w:szCs w:val="20"/>
        </w:rPr>
      </w:pPr>
    </w:p>
    <w:p w14:paraId="0B862301">
      <w:pPr>
        <w:spacing w:after="78" w:afterLines="25" w:line="300" w:lineRule="auto"/>
        <w:rPr>
          <w:rFonts w:ascii="Arial" w:hAnsi="Arial" w:eastAsia="宋体" w:cs="Times New Roman"/>
          <w:sz w:val="24"/>
          <w:szCs w:val="24"/>
        </w:rPr>
      </w:pPr>
    </w:p>
    <w:p w14:paraId="6D932DB3">
      <w:pPr>
        <w:spacing w:after="78" w:afterLines="25" w:line="300" w:lineRule="auto"/>
        <w:rPr>
          <w:rFonts w:ascii="Arial" w:hAnsi="Arial" w:eastAsia="宋体" w:cs="Times New Roman"/>
          <w:sz w:val="24"/>
          <w:szCs w:val="24"/>
        </w:rPr>
      </w:pPr>
    </w:p>
    <w:p w14:paraId="6DDD5773">
      <w:pPr>
        <w:keepNext/>
        <w:keepLines/>
        <w:adjustRightInd w:val="0"/>
        <w:spacing w:before="260" w:after="260"/>
        <w:jc w:val="center"/>
        <w:textAlignment w:val="baseline"/>
        <w:outlineLvl w:val="1"/>
        <w:rPr>
          <w:rFonts w:hint="eastAsia" w:ascii="宋体" w:hAnsi="宋体" w:eastAsia="宋体" w:cs="Times New Roman"/>
          <w:b/>
          <w:bCs/>
          <w:kern w:val="0"/>
          <w:sz w:val="28"/>
          <w:szCs w:val="28"/>
        </w:rPr>
      </w:pPr>
      <w:r>
        <w:rPr>
          <w:rFonts w:hint="eastAsia" w:ascii="宋体" w:hAnsi="宋体" w:eastAsia="宋体" w:cs="Times New Roman"/>
          <w:b/>
          <w:bCs/>
          <w:kern w:val="0"/>
          <w:sz w:val="28"/>
          <w:szCs w:val="28"/>
        </w:rPr>
        <w:t>第五章  合同条款及格式</w:t>
      </w:r>
    </w:p>
    <w:p w14:paraId="47436AFA">
      <w:pPr>
        <w:widowControl/>
        <w:jc w:val="center"/>
        <w:rPr>
          <w:rFonts w:hint="eastAsia" w:ascii="宋体" w:hAnsi="宋体" w:eastAsia="黑体" w:cs="Times New Roman"/>
          <w:bCs/>
          <w:kern w:val="44"/>
          <w:sz w:val="28"/>
          <w:szCs w:val="44"/>
        </w:rPr>
      </w:pPr>
      <w:bookmarkStart w:id="54" w:name="_Hlk72574405"/>
      <w:r>
        <w:rPr>
          <w:rFonts w:hint="eastAsia"/>
          <w:b/>
          <w:sz w:val="24"/>
        </w:rPr>
        <w:t>（仅供参考，具体以项目需求及采购结果为准）</w:t>
      </w:r>
      <w:bookmarkEnd w:id="54"/>
    </w:p>
    <w:p w14:paraId="00DDC1F2">
      <w:pPr>
        <w:snapToGrid w:val="0"/>
        <w:spacing w:line="300" w:lineRule="auto"/>
        <w:jc w:val="center"/>
        <w:rPr>
          <w:rFonts w:hint="eastAsia" w:ascii="仿宋" w:hAnsi="仿宋" w:eastAsia="仿宋" w:cs="Times New Roman"/>
          <w:sz w:val="28"/>
          <w:szCs w:val="28"/>
        </w:rPr>
      </w:pPr>
    </w:p>
    <w:p w14:paraId="4C15900D">
      <w:pPr>
        <w:jc w:val="center"/>
        <w:rPr>
          <w:rFonts w:hint="eastAsia" w:ascii="宋体" w:hAnsi="宋体" w:eastAsia="宋体" w:cs="宋体"/>
          <w:b/>
          <w:bCs/>
          <w:spacing w:val="-20"/>
          <w:kern w:val="44"/>
          <w:sz w:val="48"/>
          <w:szCs w:val="48"/>
        </w:rPr>
      </w:pPr>
      <w:r>
        <w:rPr>
          <w:rFonts w:hint="eastAsia" w:ascii="宋体" w:hAnsi="宋体" w:eastAsia="宋体" w:cs="宋体"/>
          <w:b/>
          <w:bCs/>
          <w:spacing w:val="-20"/>
          <w:kern w:val="44"/>
          <w:sz w:val="48"/>
          <w:szCs w:val="48"/>
        </w:rPr>
        <w:t>政府采购货物买卖合同</w:t>
      </w:r>
    </w:p>
    <w:p w14:paraId="1D61633C">
      <w:pPr>
        <w:jc w:val="center"/>
        <w:rPr>
          <w:rFonts w:hint="eastAsia" w:ascii="宋体" w:hAnsi="宋体" w:eastAsia="宋体" w:cs="宋体"/>
          <w:b/>
          <w:bCs/>
          <w:spacing w:val="-20"/>
          <w:kern w:val="44"/>
          <w:sz w:val="48"/>
          <w:szCs w:val="48"/>
        </w:rPr>
      </w:pPr>
      <w:r>
        <w:rPr>
          <w:rFonts w:hint="eastAsia" w:ascii="宋体" w:hAnsi="宋体" w:eastAsia="宋体" w:cs="宋体"/>
          <w:b/>
          <w:bCs/>
          <w:spacing w:val="-20"/>
          <w:kern w:val="44"/>
          <w:sz w:val="48"/>
          <w:szCs w:val="48"/>
        </w:rPr>
        <w:t>（试行）</w:t>
      </w:r>
    </w:p>
    <w:p w14:paraId="0DE3532E">
      <w:pPr>
        <w:rPr>
          <w:rFonts w:hint="eastAsia" w:ascii="宋体" w:hAnsi="宋体" w:eastAsia="宋体" w:cs="宋体"/>
          <w:b/>
          <w:bCs/>
          <w:spacing w:val="-20"/>
          <w:kern w:val="44"/>
          <w:sz w:val="40"/>
          <w:szCs w:val="40"/>
        </w:rPr>
      </w:pPr>
    </w:p>
    <w:p w14:paraId="2C2E75F0">
      <w:pPr>
        <w:rPr>
          <w:rFonts w:hint="eastAsia" w:ascii="宋体" w:hAnsi="宋体" w:eastAsia="宋体" w:cs="宋体"/>
          <w:b/>
          <w:bCs/>
          <w:spacing w:val="-20"/>
          <w:kern w:val="44"/>
          <w:sz w:val="40"/>
          <w:szCs w:val="40"/>
        </w:rPr>
      </w:pPr>
    </w:p>
    <w:p w14:paraId="304BB898">
      <w:pPr>
        <w:rPr>
          <w:rFonts w:hint="eastAsia" w:ascii="宋体" w:hAnsi="宋体" w:eastAsia="宋体" w:cs="宋体"/>
          <w:b/>
          <w:bCs/>
          <w:spacing w:val="-20"/>
          <w:kern w:val="44"/>
          <w:sz w:val="40"/>
          <w:szCs w:val="40"/>
        </w:rPr>
      </w:pPr>
    </w:p>
    <w:p w14:paraId="6BD61A45">
      <w:pPr>
        <w:spacing w:line="360" w:lineRule="auto"/>
        <w:ind w:left="420" w:leftChars="200"/>
        <w:rPr>
          <w:rFonts w:eastAsia="宋体"/>
          <w:sz w:val="32"/>
          <w:szCs w:val="32"/>
        </w:rPr>
      </w:pPr>
      <w:r>
        <w:rPr>
          <w:rFonts w:hint="eastAsia" w:ascii="宋体" w:hAnsi="宋体" w:eastAsia="宋体" w:cs="宋体"/>
          <w:kern w:val="0"/>
          <w:sz w:val="32"/>
          <w:szCs w:val="32"/>
        </w:rPr>
        <w:t>项目名称：</w:t>
      </w:r>
      <w:r>
        <w:rPr>
          <w:rFonts w:hint="eastAsia" w:eastAsia="宋体"/>
          <w:sz w:val="32"/>
          <w:szCs w:val="32"/>
          <w:u w:val="single"/>
        </w:rPr>
        <w:t xml:space="preserve">                             </w:t>
      </w:r>
    </w:p>
    <w:p w14:paraId="49855F55">
      <w:pPr>
        <w:spacing w:line="360" w:lineRule="auto"/>
        <w:ind w:left="420" w:leftChars="200"/>
        <w:rPr>
          <w:rFonts w:eastAsia="宋体"/>
          <w:sz w:val="32"/>
          <w:szCs w:val="32"/>
          <w:u w:val="single"/>
        </w:rPr>
      </w:pPr>
      <w:r>
        <w:rPr>
          <w:rFonts w:hint="eastAsia" w:eastAsia="宋体"/>
          <w:sz w:val="32"/>
          <w:szCs w:val="32"/>
        </w:rPr>
        <w:t>合同编号：</w:t>
      </w:r>
      <w:r>
        <w:rPr>
          <w:rFonts w:hint="eastAsia" w:eastAsia="宋体"/>
          <w:sz w:val="32"/>
          <w:szCs w:val="32"/>
          <w:u w:val="single"/>
        </w:rPr>
        <w:t xml:space="preserve">                             </w:t>
      </w:r>
    </w:p>
    <w:p w14:paraId="429AFC70">
      <w:pPr>
        <w:spacing w:line="360" w:lineRule="auto"/>
        <w:ind w:left="420" w:leftChars="200"/>
        <w:rPr>
          <w:rFonts w:eastAsia="宋体"/>
          <w:sz w:val="32"/>
          <w:szCs w:val="32"/>
        </w:rPr>
      </w:pPr>
      <w:r>
        <w:rPr>
          <w:rFonts w:hint="eastAsia" w:eastAsia="宋体"/>
          <w:sz w:val="32"/>
          <w:szCs w:val="32"/>
        </w:rPr>
        <w:t>甲    方：</w:t>
      </w:r>
      <w:r>
        <w:rPr>
          <w:rFonts w:hint="eastAsia" w:eastAsia="宋体"/>
          <w:sz w:val="32"/>
          <w:szCs w:val="32"/>
          <w:u w:val="single"/>
        </w:rPr>
        <w:t xml:space="preserve">                             </w:t>
      </w:r>
    </w:p>
    <w:p w14:paraId="481249E7">
      <w:pPr>
        <w:spacing w:line="360" w:lineRule="auto"/>
        <w:ind w:left="420" w:leftChars="200"/>
        <w:rPr>
          <w:rFonts w:eastAsia="宋体"/>
          <w:sz w:val="32"/>
          <w:szCs w:val="32"/>
          <w:u w:val="single"/>
        </w:rPr>
      </w:pPr>
      <w:r>
        <w:rPr>
          <w:rFonts w:hint="eastAsia" w:eastAsia="宋体"/>
          <w:sz w:val="32"/>
          <w:szCs w:val="32"/>
        </w:rPr>
        <w:t>乙    方：</w:t>
      </w:r>
      <w:r>
        <w:rPr>
          <w:rFonts w:hint="eastAsia" w:eastAsia="宋体"/>
          <w:sz w:val="32"/>
          <w:szCs w:val="32"/>
          <w:u w:val="single"/>
        </w:rPr>
        <w:t xml:space="preserve">                             </w:t>
      </w:r>
    </w:p>
    <w:p w14:paraId="24C7BA21">
      <w:pPr>
        <w:spacing w:line="360" w:lineRule="auto"/>
        <w:ind w:left="420" w:leftChars="200"/>
        <w:rPr>
          <w:rFonts w:eastAsia="宋体"/>
          <w:sz w:val="32"/>
          <w:szCs w:val="32"/>
        </w:rPr>
      </w:pPr>
      <w:r>
        <w:rPr>
          <w:rFonts w:hint="eastAsia" w:eastAsia="宋体"/>
          <w:sz w:val="32"/>
          <w:szCs w:val="32"/>
        </w:rPr>
        <w:t>签订时间：</w:t>
      </w:r>
      <w:r>
        <w:rPr>
          <w:rFonts w:hint="eastAsia" w:eastAsia="宋体"/>
          <w:sz w:val="32"/>
          <w:szCs w:val="32"/>
          <w:u w:val="single"/>
        </w:rPr>
        <w:t xml:space="preserve">      </w:t>
      </w:r>
      <w:r>
        <w:rPr>
          <w:rFonts w:eastAsia="宋体"/>
          <w:sz w:val="32"/>
          <w:szCs w:val="32"/>
          <w:u w:val="single"/>
        </w:rPr>
        <w:t xml:space="preserve">           </w:t>
      </w:r>
      <w:r>
        <w:rPr>
          <w:rFonts w:hint="eastAsia" w:eastAsia="宋体"/>
          <w:sz w:val="32"/>
          <w:szCs w:val="32"/>
          <w:u w:val="single"/>
        </w:rPr>
        <w:t xml:space="preserve">            </w:t>
      </w:r>
    </w:p>
    <w:p w14:paraId="1A7532C9">
      <w:pPr>
        <w:rPr>
          <w:rFonts w:eastAsia="宋体"/>
        </w:rPr>
      </w:pPr>
    </w:p>
    <w:p w14:paraId="6765BE8C">
      <w:pPr>
        <w:rPr>
          <w:rFonts w:eastAsia="黑体"/>
          <w:sz w:val="44"/>
          <w:szCs w:val="44"/>
        </w:rPr>
      </w:pPr>
      <w:r>
        <w:rPr>
          <w:rFonts w:eastAsia="黑体"/>
          <w:sz w:val="44"/>
          <w:szCs w:val="44"/>
        </w:rPr>
        <w:br w:type="page"/>
      </w:r>
    </w:p>
    <w:p w14:paraId="7A98E696">
      <w:pPr>
        <w:rPr>
          <w:rFonts w:eastAsia="黑体"/>
          <w:sz w:val="44"/>
          <w:szCs w:val="44"/>
        </w:rPr>
      </w:pPr>
    </w:p>
    <w:p w14:paraId="7F2E5FD6">
      <w:pPr>
        <w:rPr>
          <w:rFonts w:eastAsia="黑体"/>
          <w:sz w:val="44"/>
          <w:szCs w:val="44"/>
        </w:rPr>
      </w:pPr>
    </w:p>
    <w:p w14:paraId="2E9E43FF">
      <w:pPr>
        <w:jc w:val="center"/>
        <w:rPr>
          <w:rFonts w:eastAsia="黑体"/>
          <w:sz w:val="44"/>
          <w:szCs w:val="44"/>
        </w:rPr>
      </w:pPr>
      <w:r>
        <w:rPr>
          <w:rFonts w:hint="eastAsia" w:eastAsia="黑体"/>
          <w:sz w:val="44"/>
          <w:szCs w:val="44"/>
        </w:rPr>
        <w:t>使 用 说 明</w:t>
      </w:r>
    </w:p>
    <w:p w14:paraId="6E556730">
      <w:pPr>
        <w:ind w:firstLine="640" w:firstLineChars="200"/>
        <w:rPr>
          <w:rFonts w:hint="eastAsia" w:ascii="仿宋_GB2312" w:hAnsi="仿宋_GB2312" w:eastAsia="仿宋_GB2312" w:cs="仿宋_GB2312"/>
          <w:sz w:val="32"/>
          <w:szCs w:val="32"/>
        </w:rPr>
      </w:pPr>
    </w:p>
    <w:p w14:paraId="609B2AA4">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1.本合同标准文本适用于购买现成货物的采购项目，不包括需要供应商定制开发、创新研发的货物采购项目。</w:t>
      </w:r>
    </w:p>
    <w:p w14:paraId="0BB3D21E">
      <w:pPr>
        <w:ind w:firstLine="640" w:firstLineChars="200"/>
        <w:rPr>
          <w:rFonts w:eastAsia="黑体"/>
          <w:sz w:val="44"/>
          <w:szCs w:val="44"/>
        </w:rPr>
      </w:pPr>
      <w:r>
        <w:rPr>
          <w:rFonts w:hint="eastAsia" w:ascii="仿宋_GB2312" w:hAnsi="仿宋_GB2312" w:eastAsia="仿宋_GB2312" w:cs="仿宋_GB2312"/>
          <w:sz w:val="32"/>
          <w:szCs w:val="32"/>
        </w:rPr>
        <w:t>2.本合同标准文本为政府采购货物买卖合同编制提供参考，可以结合采购项目具体情况，对文本作必要的调整修订后使用。</w:t>
      </w:r>
    </w:p>
    <w:p w14:paraId="2B40DDC3">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3.本合同标准文本各条款中，如涉及填写多家供应商、制造商，多种采购标的、分包主要内容等信息的，可根据采购项目具体情况添加信息项。</w:t>
      </w:r>
    </w:p>
    <w:p w14:paraId="289EFE79">
      <w:pPr>
        <w:ind w:firstLine="880" w:firstLineChars="200"/>
        <w:rPr>
          <w:rFonts w:eastAsia="黑体"/>
          <w:sz w:val="44"/>
          <w:szCs w:val="44"/>
        </w:rPr>
        <w:sectPr>
          <w:headerReference r:id="rId6" w:type="default"/>
          <w:footerReference r:id="rId7" w:type="default"/>
          <w:pgSz w:w="11906" w:h="16838"/>
          <w:pgMar w:top="1440" w:right="1800" w:bottom="1440" w:left="1800" w:header="851" w:footer="992" w:gutter="0"/>
          <w:cols w:space="425" w:num="1"/>
          <w:docGrid w:type="lines" w:linePitch="312" w:charSpace="0"/>
        </w:sectPr>
      </w:pPr>
    </w:p>
    <w:p w14:paraId="6A4F574B">
      <w:pPr>
        <w:keepNext/>
        <w:keepLines/>
        <w:adjustRightInd w:val="0"/>
        <w:snapToGrid w:val="0"/>
        <w:spacing w:line="400" w:lineRule="exact"/>
        <w:jc w:val="center"/>
        <w:outlineLvl w:val="1"/>
        <w:rPr>
          <w:rFonts w:hint="eastAsia" w:ascii="黑体" w:hAnsi="黑体" w:eastAsia="黑体" w:cs="Times New Roman"/>
          <w:b/>
          <w:bCs/>
          <w:sz w:val="28"/>
          <w:szCs w:val="28"/>
        </w:rPr>
      </w:pPr>
      <w:bookmarkStart w:id="55" w:name="_Toc22209"/>
    </w:p>
    <w:p w14:paraId="772950B6">
      <w:pPr>
        <w:keepNext/>
        <w:keepLines/>
        <w:adjustRightInd w:val="0"/>
        <w:snapToGrid w:val="0"/>
        <w:spacing w:line="400" w:lineRule="exact"/>
        <w:jc w:val="center"/>
        <w:outlineLvl w:val="1"/>
        <w:rPr>
          <w:rFonts w:hint="eastAsia" w:ascii="黑体" w:hAnsi="华文中宋" w:eastAsia="黑体" w:cs="Times New Roman"/>
          <w:sz w:val="28"/>
          <w:szCs w:val="28"/>
        </w:rPr>
      </w:pPr>
      <w:r>
        <w:rPr>
          <w:rFonts w:hint="eastAsia" w:ascii="黑体" w:hAnsi="黑体" w:eastAsia="黑体" w:cs="Times New Roman"/>
          <w:sz w:val="28"/>
          <w:szCs w:val="28"/>
        </w:rPr>
        <w:t xml:space="preserve">第一节 </w:t>
      </w:r>
      <w:r>
        <w:rPr>
          <w:rFonts w:hint="eastAsia" w:ascii="黑体" w:hAnsi="华文中宋" w:eastAsia="黑体" w:cs="Times New Roman"/>
          <w:sz w:val="28"/>
          <w:szCs w:val="28"/>
        </w:rPr>
        <w:t>政府采购合同协议书</w:t>
      </w:r>
      <w:bookmarkEnd w:id="55"/>
    </w:p>
    <w:p w14:paraId="2E7B1692">
      <w:pPr>
        <w:keepNext/>
        <w:keepLines/>
        <w:adjustRightInd w:val="0"/>
        <w:snapToGrid w:val="0"/>
        <w:spacing w:line="400" w:lineRule="exact"/>
        <w:jc w:val="center"/>
        <w:outlineLvl w:val="1"/>
        <w:rPr>
          <w:rFonts w:hint="eastAsia" w:ascii="黑体" w:hAnsi="华文中宋" w:eastAsia="黑体" w:cs="Times New Roman"/>
          <w:sz w:val="28"/>
          <w:szCs w:val="28"/>
        </w:rPr>
      </w:pPr>
    </w:p>
    <w:p w14:paraId="09DF8977">
      <w:pPr>
        <w:adjustRightInd w:val="0"/>
        <w:snapToGrid w:val="0"/>
        <w:spacing w:line="400" w:lineRule="exact"/>
        <w:rPr>
          <w:rFonts w:hint="eastAsia" w:ascii="宋体" w:hAnsi="宋体" w:eastAsia="宋体"/>
          <w:szCs w:val="21"/>
        </w:rPr>
      </w:pPr>
      <w:r>
        <w:rPr>
          <w:rFonts w:hint="eastAsia" w:ascii="宋体" w:hAnsi="宋体" w:eastAsia="宋体"/>
          <w:szCs w:val="21"/>
        </w:rPr>
        <w:t>甲方（全称）：</w:t>
      </w:r>
      <w:r>
        <w:rPr>
          <w:rFonts w:hint="eastAsia" w:ascii="宋体" w:hAnsi="宋体" w:eastAsia="宋体"/>
          <w:szCs w:val="21"/>
          <w:u w:val="single"/>
        </w:rPr>
        <w:t xml:space="preserve">                       </w:t>
      </w:r>
      <w:r>
        <w:rPr>
          <w:rFonts w:hint="eastAsia" w:ascii="宋体" w:hAnsi="宋体" w:eastAsia="宋体"/>
          <w:szCs w:val="21"/>
        </w:rPr>
        <w:t>（采购人、受采购人委托签订合同的单位或采购</w:t>
      </w:r>
      <w:r>
        <w:rPr>
          <w:rFonts w:hint="eastAsia" w:ascii="宋体" w:hAnsi="宋体" w:eastAsia="宋体"/>
          <w:szCs w:val="21"/>
        </w:rPr>
        <w:tab/>
      </w:r>
      <w:r>
        <w:rPr>
          <w:rFonts w:hint="eastAsia" w:ascii="宋体" w:hAnsi="宋体" w:eastAsia="宋体"/>
          <w:szCs w:val="21"/>
        </w:rPr>
        <w:t xml:space="preserve">                                   文件约定的合同甲方）</w:t>
      </w:r>
    </w:p>
    <w:p w14:paraId="2A12F4F0">
      <w:pPr>
        <w:adjustRightInd w:val="0"/>
        <w:snapToGrid w:val="0"/>
        <w:spacing w:line="400" w:lineRule="exact"/>
        <w:rPr>
          <w:rFonts w:hint="eastAsia" w:ascii="宋体" w:hAnsi="宋体" w:eastAsia="宋体"/>
          <w:szCs w:val="21"/>
        </w:rPr>
      </w:pPr>
      <w:r>
        <w:rPr>
          <w:rFonts w:hint="eastAsia" w:ascii="宋体" w:hAnsi="宋体" w:eastAsia="宋体"/>
          <w:szCs w:val="21"/>
        </w:rPr>
        <w:t>乙方1（全称）：</w:t>
      </w:r>
      <w:r>
        <w:rPr>
          <w:rFonts w:hint="eastAsia" w:ascii="宋体" w:hAnsi="宋体" w:eastAsia="宋体"/>
          <w:szCs w:val="21"/>
          <w:u w:val="single"/>
        </w:rPr>
        <w:t xml:space="preserve">                       </w:t>
      </w:r>
      <w:r>
        <w:rPr>
          <w:rFonts w:hint="eastAsia" w:ascii="宋体" w:hAnsi="宋体" w:eastAsia="宋体"/>
          <w:szCs w:val="21"/>
        </w:rPr>
        <w:t>（供应商）</w:t>
      </w:r>
    </w:p>
    <w:p w14:paraId="50A4EC1B">
      <w:pPr>
        <w:adjustRightInd w:val="0"/>
        <w:snapToGrid w:val="0"/>
        <w:spacing w:line="400" w:lineRule="exact"/>
        <w:rPr>
          <w:rFonts w:hint="eastAsia" w:ascii="宋体" w:hAnsi="宋体" w:eastAsia="宋体"/>
          <w:szCs w:val="21"/>
        </w:rPr>
      </w:pPr>
      <w:r>
        <w:rPr>
          <w:rFonts w:hint="eastAsia" w:ascii="宋体" w:hAnsi="宋体" w:eastAsia="宋体"/>
          <w:szCs w:val="21"/>
        </w:rPr>
        <w:t>乙方2（全称）：</w:t>
      </w:r>
      <w:r>
        <w:rPr>
          <w:rFonts w:hint="eastAsia" w:ascii="宋体" w:hAnsi="宋体" w:eastAsia="宋体"/>
          <w:szCs w:val="21"/>
          <w:u w:val="single"/>
        </w:rPr>
        <w:t xml:space="preserve">                        </w:t>
      </w:r>
      <w:r>
        <w:rPr>
          <w:rFonts w:hint="eastAsia" w:ascii="宋体" w:hAnsi="宋体" w:eastAsia="宋体"/>
          <w:szCs w:val="21"/>
        </w:rPr>
        <w:t>（联合体成员供应商或其他合同主体）（如有）</w:t>
      </w:r>
    </w:p>
    <w:p w14:paraId="6331E38E">
      <w:pPr>
        <w:adjustRightInd w:val="0"/>
        <w:snapToGrid w:val="0"/>
        <w:spacing w:line="400" w:lineRule="exact"/>
        <w:rPr>
          <w:rFonts w:hint="eastAsia" w:ascii="宋体" w:hAnsi="宋体" w:eastAsia="宋体"/>
          <w:szCs w:val="21"/>
        </w:rPr>
      </w:pPr>
      <w:r>
        <w:rPr>
          <w:rFonts w:hint="eastAsia" w:eastAsia="宋体"/>
        </w:rPr>
        <w:t>乙方</w:t>
      </w:r>
      <w:r>
        <w:rPr>
          <w:rFonts w:hint="eastAsia" w:ascii="宋体" w:hAnsi="宋体" w:eastAsia="宋体"/>
          <w:szCs w:val="21"/>
        </w:rPr>
        <w:t>3</w:t>
      </w:r>
      <w:r>
        <w:rPr>
          <w:rFonts w:hint="eastAsia" w:eastAsia="宋体"/>
        </w:rPr>
        <w:t>（全称）</w:t>
      </w:r>
      <w:r>
        <w:rPr>
          <w:rFonts w:hint="eastAsia" w:ascii="宋体" w:hAnsi="宋体" w:eastAsia="宋体"/>
          <w:szCs w:val="21"/>
          <w:u w:val="single"/>
        </w:rPr>
        <w:t xml:space="preserve">                          </w:t>
      </w:r>
      <w:r>
        <w:rPr>
          <w:rFonts w:hint="eastAsia" w:ascii="宋体" w:hAnsi="宋体" w:eastAsia="宋体"/>
          <w:szCs w:val="21"/>
        </w:rPr>
        <w:t>（联合体成员供应商或其他合同主体）（如有）</w:t>
      </w:r>
    </w:p>
    <w:p w14:paraId="62FDA660">
      <w:pPr>
        <w:spacing w:line="400" w:lineRule="exact"/>
        <w:rPr>
          <w:rFonts w:eastAsia="宋体"/>
        </w:rPr>
      </w:pPr>
    </w:p>
    <w:p w14:paraId="7FB53C19">
      <w:pPr>
        <w:adjustRightInd w:val="0"/>
        <w:snapToGrid w:val="0"/>
        <w:spacing w:line="400" w:lineRule="exact"/>
        <w:ind w:firstLine="420" w:firstLineChars="200"/>
        <w:rPr>
          <w:rFonts w:hint="eastAsia" w:ascii="宋体" w:hAnsi="宋体" w:eastAsia="宋体" w:cs="Times New Roman"/>
          <w:szCs w:val="21"/>
        </w:rPr>
      </w:pPr>
      <w:r>
        <w:rPr>
          <w:rFonts w:hint="eastAsia" w:ascii="宋体" w:hAnsi="宋体" w:eastAsia="宋体" w:cs="Times New Roman"/>
          <w:szCs w:val="21"/>
        </w:rPr>
        <w:t xml:space="preserve">依据《中华人民共和国民法典》《中华人民共和国政府采购法》《深圳经济特区政府采购条例》等有关的法律法规，以及本采购项目的招标文件等采购文件、乙方的《投标（响应）文件》及《中标（成交）通知书》，甲乙双方同意签订本合同。具体情况及要求如下：     </w:t>
      </w:r>
    </w:p>
    <w:p w14:paraId="1D3D8B07">
      <w:pPr>
        <w:numPr>
          <w:ilvl w:val="0"/>
          <w:numId w:val="6"/>
        </w:numPr>
        <w:adjustRightInd w:val="0"/>
        <w:snapToGrid w:val="0"/>
        <w:spacing w:line="400" w:lineRule="exact"/>
        <w:ind w:firstLine="422" w:firstLineChars="200"/>
        <w:rPr>
          <w:rFonts w:hint="eastAsia" w:ascii="宋体" w:hAnsi="宋体" w:eastAsia="宋体"/>
          <w:b/>
          <w:szCs w:val="21"/>
        </w:rPr>
      </w:pPr>
      <w:r>
        <w:rPr>
          <w:rFonts w:hint="eastAsia" w:ascii="宋体" w:hAnsi="宋体" w:eastAsia="宋体"/>
          <w:b/>
          <w:szCs w:val="21"/>
        </w:rPr>
        <w:t>项目信息</w:t>
      </w:r>
    </w:p>
    <w:p w14:paraId="00495D37">
      <w:pPr>
        <w:numPr>
          <w:ilvl w:val="0"/>
          <w:numId w:val="7"/>
        </w:numPr>
        <w:adjustRightInd w:val="0"/>
        <w:snapToGrid w:val="0"/>
        <w:spacing w:line="400" w:lineRule="exact"/>
        <w:ind w:firstLine="420" w:firstLineChars="200"/>
        <w:rPr>
          <w:rFonts w:hint="eastAsia" w:ascii="宋体" w:hAnsi="宋体" w:eastAsia="宋体" w:cs="Times New Roman"/>
          <w:szCs w:val="21"/>
          <w:u w:val="single"/>
        </w:rPr>
      </w:pPr>
      <w:r>
        <w:rPr>
          <w:rFonts w:hint="eastAsia" w:ascii="宋体" w:hAnsi="宋体" w:eastAsia="宋体" w:cs="Times New Roman"/>
          <w:szCs w:val="21"/>
        </w:rPr>
        <w:t>采购项目名称：</w:t>
      </w:r>
      <w:r>
        <w:rPr>
          <w:rFonts w:hint="eastAsia" w:ascii="宋体" w:hAnsi="宋体" w:eastAsia="宋体"/>
          <w:szCs w:val="21"/>
          <w:u w:val="single"/>
        </w:rPr>
        <w:t xml:space="preserve">                                            </w:t>
      </w:r>
    </w:p>
    <w:p w14:paraId="105C3C46">
      <w:pPr>
        <w:numPr>
          <w:ilvl w:val="255"/>
          <w:numId w:val="0"/>
        </w:numPr>
        <w:tabs>
          <w:tab w:val="left" w:pos="999"/>
        </w:tabs>
        <w:adjustRightInd w:val="0"/>
        <w:snapToGrid w:val="0"/>
        <w:spacing w:line="400" w:lineRule="exact"/>
        <w:rPr>
          <w:rFonts w:hint="eastAsia" w:ascii="宋体" w:hAnsi="宋体" w:eastAsia="宋体" w:cs="Times New Roman"/>
          <w:szCs w:val="21"/>
        </w:rPr>
      </w:pPr>
      <w:r>
        <w:rPr>
          <w:rFonts w:hint="eastAsia" w:ascii="宋体" w:hAnsi="宋体" w:eastAsia="宋体" w:cs="Times New Roman"/>
          <w:szCs w:val="21"/>
        </w:rPr>
        <w:t xml:space="preserve">         采购项目编号：</w:t>
      </w:r>
      <w:r>
        <w:rPr>
          <w:rFonts w:ascii="宋体" w:hAnsi="宋体" w:eastAsia="宋体" w:cs="Times New Roman"/>
          <w:szCs w:val="21"/>
          <w:u w:val="single"/>
        </w:rPr>
        <w:t xml:space="preserve">                                          </w:t>
      </w:r>
    </w:p>
    <w:p w14:paraId="5762C531">
      <w:pPr>
        <w:adjustRightInd w:val="0"/>
        <w:snapToGrid w:val="0"/>
        <w:spacing w:line="400" w:lineRule="exact"/>
        <w:ind w:firstLine="420" w:firstLineChars="200"/>
        <w:rPr>
          <w:rFonts w:hint="eastAsia" w:ascii="宋体" w:hAnsi="宋体" w:eastAsia="宋体" w:cs="Times New Roman"/>
          <w:szCs w:val="21"/>
        </w:rPr>
      </w:pPr>
      <w:r>
        <w:rPr>
          <w:rFonts w:hint="eastAsia" w:ascii="宋体" w:hAnsi="宋体" w:eastAsia="宋体" w:cs="Times New Roman"/>
          <w:szCs w:val="21"/>
        </w:rPr>
        <w:t>（2）采购计划编号：</w:t>
      </w:r>
      <w:r>
        <w:rPr>
          <w:rFonts w:ascii="宋体" w:hAnsi="宋体" w:eastAsia="宋体" w:cs="Times New Roman"/>
          <w:szCs w:val="21"/>
          <w:u w:val="single"/>
        </w:rPr>
        <w:t xml:space="preserve">                     </w:t>
      </w:r>
      <w:r>
        <w:rPr>
          <w:rFonts w:hint="eastAsia" w:ascii="宋体" w:hAnsi="宋体" w:eastAsia="宋体" w:cs="Times New Roman"/>
          <w:szCs w:val="21"/>
          <w:u w:val="single"/>
        </w:rPr>
        <w:t xml:space="preserve">                </w:t>
      </w:r>
      <w:r>
        <w:rPr>
          <w:rFonts w:ascii="宋体" w:hAnsi="宋体" w:eastAsia="宋体" w:cs="Times New Roman"/>
          <w:szCs w:val="21"/>
          <w:u w:val="single"/>
        </w:rPr>
        <w:t xml:space="preserve">     </w:t>
      </w:r>
      <w:r>
        <w:rPr>
          <w:rFonts w:ascii="宋体" w:hAnsi="宋体" w:eastAsia="宋体" w:cs="Times New Roman"/>
          <w:szCs w:val="21"/>
        </w:rPr>
        <w:t xml:space="preserve"> </w:t>
      </w:r>
    </w:p>
    <w:p w14:paraId="63704EEE">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（3）项目内容：</w:t>
      </w:r>
    </w:p>
    <w:p w14:paraId="0A1210F9">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 xml:space="preserve">     采购标的及数量（台/套</w:t>
      </w:r>
      <w:r>
        <w:rPr>
          <w:rFonts w:ascii="宋体" w:hAnsi="宋体" w:eastAsia="宋体"/>
          <w:szCs w:val="21"/>
          <w:lang w:val="en"/>
        </w:rPr>
        <w:t>/</w:t>
      </w:r>
      <w:r>
        <w:rPr>
          <w:rFonts w:hint="eastAsia" w:ascii="宋体" w:hAnsi="宋体" w:eastAsia="宋体"/>
          <w:szCs w:val="21"/>
          <w:lang w:val="en"/>
        </w:rPr>
        <w:t>个</w:t>
      </w:r>
      <w:r>
        <w:rPr>
          <w:rFonts w:ascii="宋体" w:hAnsi="宋体" w:eastAsia="宋体"/>
          <w:szCs w:val="21"/>
          <w:lang w:val="en"/>
        </w:rPr>
        <w:t>/</w:t>
      </w:r>
      <w:r>
        <w:rPr>
          <w:rFonts w:hint="eastAsia" w:ascii="宋体" w:hAnsi="宋体" w:eastAsia="宋体"/>
          <w:szCs w:val="21"/>
          <w:lang w:val="en"/>
        </w:rPr>
        <w:t>架</w:t>
      </w:r>
      <w:r>
        <w:rPr>
          <w:rFonts w:ascii="宋体" w:hAnsi="宋体" w:eastAsia="宋体"/>
          <w:szCs w:val="21"/>
          <w:lang w:val="en"/>
        </w:rPr>
        <w:t>/</w:t>
      </w:r>
      <w:r>
        <w:rPr>
          <w:rFonts w:hint="eastAsia" w:ascii="宋体" w:hAnsi="宋体" w:eastAsia="宋体"/>
          <w:szCs w:val="21"/>
          <w:lang w:val="en"/>
        </w:rPr>
        <w:t>组等</w:t>
      </w:r>
      <w:r>
        <w:rPr>
          <w:rFonts w:hint="eastAsia" w:ascii="宋体" w:hAnsi="宋体" w:eastAsia="宋体"/>
          <w:szCs w:val="21"/>
        </w:rPr>
        <w:t>）：</w:t>
      </w:r>
      <w:r>
        <w:rPr>
          <w:rFonts w:hint="eastAsia" w:ascii="宋体" w:hAnsi="宋体" w:eastAsia="宋体"/>
          <w:szCs w:val="21"/>
          <w:u w:val="single"/>
        </w:rPr>
        <w:t xml:space="preserve">                       </w:t>
      </w:r>
      <w:r>
        <w:rPr>
          <w:rFonts w:hint="eastAsia" w:ascii="宋体" w:hAnsi="宋体" w:eastAsia="宋体"/>
          <w:szCs w:val="21"/>
        </w:rPr>
        <w:t xml:space="preserve">            </w:t>
      </w:r>
      <w:r>
        <w:rPr>
          <w:rFonts w:hint="eastAsia" w:ascii="宋体" w:hAnsi="宋体" w:eastAsia="宋体"/>
          <w:szCs w:val="21"/>
          <w:u w:val="single"/>
        </w:rPr>
        <w:t xml:space="preserve">                  </w:t>
      </w:r>
      <w:r>
        <w:rPr>
          <w:rFonts w:hint="eastAsia" w:ascii="宋体" w:hAnsi="宋体" w:eastAsia="宋体"/>
          <w:szCs w:val="21"/>
        </w:rPr>
        <w:t xml:space="preserve"> </w:t>
      </w:r>
    </w:p>
    <w:p w14:paraId="46997706">
      <w:pPr>
        <w:numPr>
          <w:ilvl w:val="255"/>
          <w:numId w:val="0"/>
        </w:numPr>
        <w:adjustRightInd w:val="0"/>
        <w:snapToGrid w:val="0"/>
        <w:spacing w:line="400" w:lineRule="exact"/>
        <w:ind w:firstLine="420" w:firstLineChars="200"/>
        <w:rPr>
          <w:rFonts w:hint="eastAsia" w:ascii="宋体" w:hAnsi="宋体" w:eastAsia="宋体" w:cs="宋体"/>
          <w:szCs w:val="21"/>
          <w:lang w:val="en"/>
        </w:rPr>
      </w:pPr>
      <w:r>
        <w:rPr>
          <w:rFonts w:hint="eastAsia" w:ascii="宋体" w:hAnsi="宋体" w:eastAsia="宋体"/>
          <w:szCs w:val="21"/>
        </w:rPr>
        <w:t xml:space="preserve">     </w:t>
      </w:r>
      <w:r>
        <w:rPr>
          <w:rFonts w:hint="eastAsia" w:ascii="宋体" w:hAnsi="宋体" w:eastAsia="宋体" w:cs="宋体"/>
          <w:szCs w:val="21"/>
        </w:rPr>
        <w:t>品牌：</w:t>
      </w:r>
      <w:r>
        <w:rPr>
          <w:rFonts w:hint="eastAsia" w:ascii="宋体" w:hAnsi="宋体" w:eastAsia="宋体" w:cs="宋体"/>
          <w:szCs w:val="21"/>
          <w:u w:val="single"/>
        </w:rPr>
        <w:t xml:space="preserve">      </w:t>
      </w:r>
      <w:r>
        <w:rPr>
          <w:rFonts w:ascii="宋体" w:hAnsi="宋体" w:eastAsia="宋体" w:cs="宋体"/>
          <w:szCs w:val="21"/>
          <w:u w:val="single"/>
          <w:lang w:val="en"/>
        </w:rPr>
        <w:t xml:space="preserve">   </w:t>
      </w:r>
      <w:r>
        <w:rPr>
          <w:rFonts w:hint="eastAsia" w:ascii="宋体" w:hAnsi="宋体" w:eastAsia="宋体" w:cs="宋体"/>
          <w:szCs w:val="21"/>
          <w:u w:val="single"/>
        </w:rPr>
        <w:t xml:space="preserve">    </w:t>
      </w:r>
      <w:r>
        <w:rPr>
          <w:rFonts w:ascii="宋体" w:hAnsi="宋体" w:eastAsia="宋体" w:cs="宋体"/>
          <w:szCs w:val="21"/>
          <w:u w:val="single"/>
          <w:lang w:val="en"/>
        </w:rPr>
        <w:t xml:space="preserve"> </w:t>
      </w:r>
      <w:r>
        <w:rPr>
          <w:rFonts w:hint="eastAsia" w:ascii="宋体" w:hAnsi="宋体" w:eastAsia="宋体" w:cs="宋体"/>
          <w:szCs w:val="21"/>
          <w:u w:val="single"/>
        </w:rPr>
        <w:t xml:space="preserve"> </w:t>
      </w:r>
      <w:r>
        <w:rPr>
          <w:rFonts w:ascii="宋体" w:hAnsi="宋体" w:eastAsia="宋体" w:cs="宋体"/>
          <w:szCs w:val="21"/>
          <w:lang w:val="en"/>
        </w:rPr>
        <w:t xml:space="preserve">     </w:t>
      </w:r>
      <w:r>
        <w:rPr>
          <w:rFonts w:hint="eastAsia" w:ascii="宋体" w:hAnsi="宋体" w:eastAsia="宋体" w:cs="宋体"/>
          <w:szCs w:val="21"/>
        </w:rPr>
        <w:t>规格型号：</w:t>
      </w:r>
      <w:r>
        <w:rPr>
          <w:rFonts w:hint="eastAsia" w:ascii="宋体" w:hAnsi="宋体" w:eastAsia="宋体" w:cs="宋体"/>
          <w:szCs w:val="21"/>
          <w:u w:val="single"/>
        </w:rPr>
        <w:t xml:space="preserve">   </w:t>
      </w:r>
      <w:r>
        <w:rPr>
          <w:rFonts w:ascii="宋体" w:hAnsi="宋体" w:eastAsia="宋体" w:cs="宋体"/>
          <w:szCs w:val="21"/>
          <w:u w:val="single"/>
          <w:lang w:val="en"/>
        </w:rPr>
        <w:t xml:space="preserve">  </w:t>
      </w:r>
      <w:r>
        <w:rPr>
          <w:rFonts w:hint="eastAsia" w:ascii="宋体" w:hAnsi="宋体" w:eastAsia="宋体" w:cs="宋体"/>
          <w:szCs w:val="21"/>
          <w:u w:val="single"/>
        </w:rPr>
        <w:t xml:space="preserve">       </w:t>
      </w:r>
      <w:r>
        <w:rPr>
          <w:rFonts w:ascii="宋体" w:hAnsi="宋体" w:eastAsia="宋体" w:cs="宋体"/>
          <w:szCs w:val="21"/>
          <w:u w:val="single"/>
          <w:lang w:val="en"/>
        </w:rPr>
        <w:t xml:space="preserve">   </w:t>
      </w:r>
    </w:p>
    <w:p w14:paraId="6F235D81">
      <w:pPr>
        <w:adjustRightInd w:val="0"/>
        <w:snapToGrid w:val="0"/>
        <w:spacing w:line="400" w:lineRule="exact"/>
        <w:ind w:firstLine="945" w:firstLineChars="450"/>
        <w:rPr>
          <w:rFonts w:hint="eastAsia" w:ascii="宋体" w:hAnsi="宋体" w:eastAsia="宋体"/>
          <w:szCs w:val="21"/>
          <w:u w:val="single"/>
        </w:rPr>
      </w:pPr>
      <w:r>
        <w:rPr>
          <w:rFonts w:hint="eastAsia" w:ascii="宋体" w:hAnsi="宋体" w:eastAsia="宋体"/>
          <w:szCs w:val="21"/>
        </w:rPr>
        <w:t>采购标的的技术要求、商务要求具体见附件。</w:t>
      </w:r>
    </w:p>
    <w:p w14:paraId="52C456C7">
      <w:pPr>
        <w:numPr>
          <w:ilvl w:val="255"/>
          <w:numId w:val="0"/>
        </w:numPr>
        <w:adjustRightInd w:val="0"/>
        <w:snapToGrid w:val="0"/>
        <w:spacing w:line="400" w:lineRule="exact"/>
        <w:ind w:firstLine="945" w:firstLineChars="450"/>
        <w:rPr>
          <w:rFonts w:hint="eastAsia" w:ascii="宋体" w:hAnsi="宋体" w:eastAsia="宋体" w:cs="宋体"/>
          <w:szCs w:val="21"/>
        </w:rPr>
      </w:pPr>
      <w:r>
        <w:rPr>
          <w:rFonts w:hint="eastAsia" w:ascii="汉仪书宋二S" w:hAnsi="汉仪书宋二S" w:eastAsia="汉仪书宋二S" w:cs="汉仪书宋二S"/>
          <w:szCs w:val="21"/>
        </w:rPr>
        <w:t>①</w:t>
      </w:r>
      <w:r>
        <w:rPr>
          <w:rFonts w:hint="eastAsia" w:ascii="宋体" w:hAnsi="宋体" w:eastAsia="宋体" w:cs="宋体"/>
          <w:szCs w:val="21"/>
        </w:rPr>
        <w:t>涉及信息类产品，请填写该产品关键部件的品牌、型号：</w:t>
      </w:r>
    </w:p>
    <w:p w14:paraId="722DE38C">
      <w:pPr>
        <w:numPr>
          <w:ilvl w:val="255"/>
          <w:numId w:val="0"/>
        </w:numPr>
        <w:adjustRightInd w:val="0"/>
        <w:snapToGrid w:val="0"/>
        <w:spacing w:line="400" w:lineRule="exact"/>
        <w:ind w:firstLine="420" w:firstLineChars="200"/>
        <w:rPr>
          <w:rFonts w:hint="eastAsia" w:ascii="宋体" w:hAnsi="宋体" w:eastAsia="宋体" w:cs="宋体"/>
          <w:kern w:val="0"/>
          <w:szCs w:val="21"/>
          <w:u w:val="single"/>
        </w:rPr>
      </w:pPr>
      <w:r>
        <w:rPr>
          <w:rFonts w:hint="eastAsia" w:ascii="宋体" w:hAnsi="宋体" w:eastAsia="宋体" w:cs="宋体"/>
          <w:szCs w:val="21"/>
        </w:rPr>
        <w:t xml:space="preserve">     标的名称：</w:t>
      </w:r>
      <w:r>
        <w:rPr>
          <w:rFonts w:hint="eastAsia" w:ascii="宋体" w:hAnsi="宋体" w:eastAsia="宋体" w:cs="宋体"/>
          <w:kern w:val="0"/>
          <w:szCs w:val="21"/>
          <w:u w:val="single"/>
        </w:rPr>
        <w:t xml:space="preserve">      </w:t>
      </w:r>
      <w:r>
        <w:rPr>
          <w:rFonts w:ascii="宋体" w:hAnsi="宋体" w:eastAsia="宋体" w:cs="宋体"/>
          <w:kern w:val="0"/>
          <w:szCs w:val="21"/>
          <w:u w:val="single"/>
          <w:lang w:val="en"/>
        </w:rPr>
        <w:t xml:space="preserve">               </w:t>
      </w:r>
      <w:r>
        <w:rPr>
          <w:rFonts w:hint="eastAsia" w:ascii="宋体" w:hAnsi="宋体" w:eastAsia="宋体" w:cs="宋体"/>
          <w:kern w:val="0"/>
          <w:szCs w:val="21"/>
          <w:u w:val="single"/>
        </w:rPr>
        <w:t xml:space="preserve">    </w:t>
      </w:r>
    </w:p>
    <w:p w14:paraId="768B1E33">
      <w:pPr>
        <w:numPr>
          <w:ilvl w:val="255"/>
          <w:numId w:val="0"/>
        </w:numPr>
        <w:adjustRightInd w:val="0"/>
        <w:snapToGri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 xml:space="preserve">     关键部件：</w:t>
      </w:r>
      <w:r>
        <w:rPr>
          <w:rFonts w:hint="eastAsia" w:ascii="宋体" w:hAnsi="宋体" w:eastAsia="宋体" w:cs="宋体"/>
          <w:kern w:val="0"/>
          <w:szCs w:val="21"/>
          <w:u w:val="single"/>
        </w:rPr>
        <w:t xml:space="preserve">          </w:t>
      </w:r>
      <w:r>
        <w:rPr>
          <w:rFonts w:hint="eastAsia" w:ascii="宋体" w:hAnsi="宋体" w:eastAsia="宋体" w:cs="宋体"/>
          <w:kern w:val="0"/>
          <w:szCs w:val="21"/>
        </w:rPr>
        <w:t xml:space="preserve"> </w:t>
      </w:r>
      <w:r>
        <w:rPr>
          <w:rFonts w:hint="eastAsia" w:ascii="宋体" w:hAnsi="宋体" w:eastAsia="宋体" w:cs="宋体"/>
          <w:szCs w:val="21"/>
        </w:rPr>
        <w:t>品牌：</w:t>
      </w:r>
      <w:r>
        <w:rPr>
          <w:rFonts w:hint="eastAsia" w:ascii="宋体" w:hAnsi="宋体" w:eastAsia="宋体" w:cs="宋体"/>
          <w:szCs w:val="21"/>
          <w:u w:val="single"/>
        </w:rPr>
        <w:t xml:space="preserve">        </w:t>
      </w:r>
      <w:r>
        <w:rPr>
          <w:rFonts w:hint="eastAsia" w:ascii="宋体" w:hAnsi="宋体" w:eastAsia="宋体" w:cs="宋体"/>
          <w:szCs w:val="21"/>
        </w:rPr>
        <w:t xml:space="preserve"> 型号：</w:t>
      </w:r>
      <w:r>
        <w:rPr>
          <w:rFonts w:hint="eastAsia" w:ascii="宋体" w:hAnsi="宋体" w:eastAsia="宋体" w:cs="宋体"/>
          <w:szCs w:val="21"/>
          <w:u w:val="single"/>
        </w:rPr>
        <w:t xml:space="preserve">       </w:t>
      </w:r>
      <w:r>
        <w:rPr>
          <w:rFonts w:hint="eastAsia" w:ascii="宋体" w:hAnsi="宋体" w:eastAsia="宋体" w:cs="宋体"/>
          <w:szCs w:val="21"/>
        </w:rPr>
        <w:t xml:space="preserve"> </w:t>
      </w:r>
    </w:p>
    <w:p w14:paraId="6A7A69FE">
      <w:pPr>
        <w:autoSpaceDE w:val="0"/>
        <w:autoSpaceDN w:val="0"/>
        <w:adjustRightIn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 xml:space="preserve">     关键部件：</w:t>
      </w:r>
      <w:r>
        <w:rPr>
          <w:rFonts w:hint="eastAsia" w:ascii="宋体" w:hAnsi="宋体" w:eastAsia="宋体" w:cs="宋体"/>
          <w:szCs w:val="21"/>
          <w:u w:val="single"/>
        </w:rPr>
        <w:t xml:space="preserve">          </w:t>
      </w:r>
      <w:r>
        <w:rPr>
          <w:rFonts w:hint="eastAsia" w:ascii="宋体" w:hAnsi="宋体" w:eastAsia="宋体" w:cs="宋体"/>
          <w:szCs w:val="21"/>
        </w:rPr>
        <w:t xml:space="preserve"> 品牌：</w:t>
      </w:r>
      <w:r>
        <w:rPr>
          <w:rFonts w:hint="eastAsia" w:ascii="宋体" w:hAnsi="宋体" w:eastAsia="宋体" w:cs="宋体"/>
          <w:szCs w:val="21"/>
          <w:u w:val="single"/>
        </w:rPr>
        <w:t xml:space="preserve">        </w:t>
      </w:r>
      <w:r>
        <w:rPr>
          <w:rFonts w:hint="eastAsia" w:ascii="宋体" w:hAnsi="宋体" w:eastAsia="宋体" w:cs="宋体"/>
          <w:szCs w:val="21"/>
        </w:rPr>
        <w:t xml:space="preserve"> 型号：</w:t>
      </w:r>
      <w:r>
        <w:rPr>
          <w:rFonts w:hint="eastAsia" w:ascii="宋体" w:hAnsi="宋体" w:eastAsia="宋体" w:cs="宋体"/>
          <w:szCs w:val="21"/>
          <w:u w:val="single"/>
        </w:rPr>
        <w:t xml:space="preserve">       </w:t>
      </w:r>
      <w:r>
        <w:rPr>
          <w:rFonts w:hint="eastAsia" w:ascii="宋体" w:hAnsi="宋体" w:eastAsia="宋体" w:cs="宋体"/>
          <w:szCs w:val="21"/>
        </w:rPr>
        <w:t xml:space="preserve"> </w:t>
      </w:r>
    </w:p>
    <w:p w14:paraId="573FCB97">
      <w:pPr>
        <w:autoSpaceDE w:val="0"/>
        <w:autoSpaceDN w:val="0"/>
        <w:adjustRightIn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 xml:space="preserve">     关键部件：</w:t>
      </w:r>
      <w:r>
        <w:rPr>
          <w:rFonts w:hint="eastAsia" w:ascii="宋体" w:hAnsi="宋体" w:eastAsia="宋体" w:cs="宋体"/>
          <w:szCs w:val="21"/>
          <w:u w:val="single"/>
        </w:rPr>
        <w:t xml:space="preserve">          </w:t>
      </w:r>
      <w:r>
        <w:rPr>
          <w:rFonts w:hint="eastAsia" w:ascii="宋体" w:hAnsi="宋体" w:eastAsia="宋体" w:cs="宋体"/>
          <w:szCs w:val="21"/>
        </w:rPr>
        <w:t xml:space="preserve"> 品牌：</w:t>
      </w:r>
      <w:r>
        <w:rPr>
          <w:rFonts w:hint="eastAsia" w:ascii="宋体" w:hAnsi="宋体" w:eastAsia="宋体" w:cs="宋体"/>
          <w:szCs w:val="21"/>
          <w:u w:val="single"/>
        </w:rPr>
        <w:t xml:space="preserve">        </w:t>
      </w:r>
      <w:r>
        <w:rPr>
          <w:rFonts w:hint="eastAsia" w:ascii="宋体" w:hAnsi="宋体" w:eastAsia="宋体" w:cs="宋体"/>
          <w:szCs w:val="21"/>
        </w:rPr>
        <w:t xml:space="preserve"> 型号：</w:t>
      </w:r>
      <w:r>
        <w:rPr>
          <w:rFonts w:hint="eastAsia" w:ascii="宋体" w:hAnsi="宋体" w:eastAsia="宋体" w:cs="宋体"/>
          <w:szCs w:val="21"/>
          <w:u w:val="single"/>
        </w:rPr>
        <w:t xml:space="preserve">       </w:t>
      </w:r>
    </w:p>
    <w:p w14:paraId="3F98C1C9">
      <w:pPr>
        <w:numPr>
          <w:ilvl w:val="255"/>
          <w:numId w:val="0"/>
        </w:numPr>
        <w:autoSpaceDE w:val="0"/>
        <w:autoSpaceDN w:val="0"/>
        <w:adjustRightInd w:val="0"/>
        <w:snapToGrid w:val="0"/>
        <w:spacing w:line="400" w:lineRule="exact"/>
        <w:rPr>
          <w:rFonts w:hint="eastAsia" w:ascii="宋体" w:hAnsi="宋体" w:eastAsia="宋体" w:cs="宋体"/>
          <w:szCs w:val="21"/>
        </w:rPr>
      </w:pPr>
      <w:r>
        <w:rPr>
          <w:rFonts w:hint="eastAsia" w:ascii="宋体" w:hAnsi="宋体" w:eastAsia="宋体" w:cs="宋体"/>
          <w:szCs w:val="21"/>
        </w:rPr>
        <w:t xml:space="preserve">   （注：关键部件是指财政部会同有关部门发布的政府采购需求标准规定的需要通过国家有关部门指定的测评机构开展的安全可靠测评的软硬件，如CPU芯片、操作系统、数据库等。）</w:t>
      </w:r>
    </w:p>
    <w:p w14:paraId="43E5336C">
      <w:pPr>
        <w:numPr>
          <w:ilvl w:val="255"/>
          <w:numId w:val="0"/>
        </w:numPr>
        <w:autoSpaceDE w:val="0"/>
        <w:autoSpaceDN w:val="0"/>
        <w:adjustRightInd w:val="0"/>
        <w:snapToGrid w:val="0"/>
        <w:spacing w:line="400" w:lineRule="exact"/>
        <w:rPr>
          <w:rFonts w:hint="eastAsia" w:ascii="宋体" w:hAnsi="宋体" w:eastAsia="宋体" w:cs="宋体"/>
          <w:szCs w:val="21"/>
        </w:rPr>
      </w:pPr>
      <w:r>
        <w:rPr>
          <w:rFonts w:hint="eastAsia" w:ascii="宋体" w:hAnsi="宋体" w:eastAsia="宋体" w:cs="宋体"/>
          <w:szCs w:val="21"/>
        </w:rPr>
        <w:t xml:space="preserve">         </w:t>
      </w:r>
      <w:r>
        <w:rPr>
          <w:rFonts w:hint="eastAsia" w:ascii="汉仪书宋二S" w:hAnsi="汉仪书宋二S" w:eastAsia="汉仪书宋二S" w:cs="汉仪书宋二S"/>
          <w:szCs w:val="21"/>
        </w:rPr>
        <w:t>②</w:t>
      </w:r>
      <w:r>
        <w:rPr>
          <w:rFonts w:hint="eastAsia" w:ascii="宋体" w:hAnsi="宋体" w:eastAsia="宋体" w:cs="宋体"/>
          <w:szCs w:val="21"/>
        </w:rPr>
        <w:t>涉及车辆采购，请填写是否属于新能源汽车：</w:t>
      </w:r>
    </w:p>
    <w:p w14:paraId="1F83DB48">
      <w:pPr>
        <w:numPr>
          <w:ilvl w:val="255"/>
          <w:numId w:val="0"/>
        </w:numPr>
        <w:autoSpaceDE w:val="0"/>
        <w:autoSpaceDN w:val="0"/>
        <w:adjustRightInd w:val="0"/>
        <w:snapToGrid w:val="0"/>
        <w:spacing w:line="400" w:lineRule="exact"/>
        <w:rPr>
          <w:rFonts w:hint="eastAsia" w:ascii="宋体" w:hAnsi="宋体" w:eastAsia="宋体" w:cs="宋体"/>
          <w:szCs w:val="21"/>
        </w:rPr>
      </w:pPr>
      <w:r>
        <w:rPr>
          <w:rFonts w:hint="eastAsia" w:ascii="宋体" w:hAnsi="宋体" w:eastAsia="宋体" w:cs="宋体"/>
          <w:szCs w:val="21"/>
        </w:rPr>
        <w:t xml:space="preserve">         </w:t>
      </w:r>
      <w:r>
        <w:rPr>
          <w:rFonts w:hint="eastAsia" w:ascii="宋体" w:hAnsi="宋体" w:eastAsia="宋体" w:cs="宋体"/>
          <w:szCs w:val="21"/>
        </w:rPr>
        <w:sym w:font="Wingdings" w:char="00A8"/>
      </w:r>
      <w:r>
        <w:rPr>
          <w:rFonts w:hint="eastAsia" w:ascii="宋体" w:hAnsi="宋体" w:eastAsia="宋体" w:cs="宋体"/>
          <w:szCs w:val="21"/>
        </w:rPr>
        <w:t>是，《政府采购品目分类目录》底级品目名称：</w:t>
      </w:r>
      <w:r>
        <w:rPr>
          <w:rFonts w:hint="eastAsia" w:ascii="宋体" w:hAnsi="宋体" w:eastAsia="宋体" w:cs="宋体"/>
          <w:szCs w:val="21"/>
          <w:u w:val="single"/>
        </w:rPr>
        <w:t xml:space="preserve">     </w:t>
      </w:r>
      <w:r>
        <w:rPr>
          <w:rFonts w:hint="eastAsia" w:ascii="宋体" w:hAnsi="宋体" w:eastAsia="宋体" w:cs="宋体"/>
          <w:szCs w:val="21"/>
        </w:rPr>
        <w:t xml:space="preserve"> 数量：</w:t>
      </w:r>
      <w:r>
        <w:rPr>
          <w:rFonts w:hint="eastAsia" w:ascii="宋体" w:hAnsi="宋体" w:eastAsia="宋体" w:cs="宋体"/>
          <w:szCs w:val="21"/>
          <w:u w:val="single"/>
        </w:rPr>
        <w:t xml:space="preserve">    </w:t>
      </w:r>
      <w:r>
        <w:rPr>
          <w:rFonts w:hint="eastAsia" w:ascii="宋体" w:hAnsi="宋体" w:eastAsia="宋体" w:cs="宋体"/>
          <w:szCs w:val="21"/>
        </w:rPr>
        <w:t xml:space="preserve"> 金额：</w:t>
      </w:r>
      <w:r>
        <w:rPr>
          <w:rFonts w:hint="eastAsia" w:ascii="宋体" w:hAnsi="宋体" w:eastAsia="宋体" w:cs="宋体"/>
          <w:szCs w:val="21"/>
          <w:u w:val="single"/>
        </w:rPr>
        <w:t xml:space="preserve">     </w:t>
      </w:r>
      <w:r>
        <w:rPr>
          <w:rFonts w:hint="eastAsia" w:ascii="宋体" w:hAnsi="宋体" w:eastAsia="宋体" w:cs="宋体"/>
          <w:szCs w:val="21"/>
        </w:rPr>
        <w:t xml:space="preserve"> </w:t>
      </w:r>
    </w:p>
    <w:p w14:paraId="1DBDCF21">
      <w:pPr>
        <w:numPr>
          <w:ilvl w:val="255"/>
          <w:numId w:val="0"/>
        </w:numPr>
        <w:autoSpaceDE w:val="0"/>
        <w:autoSpaceDN w:val="0"/>
        <w:adjustRightInd w:val="0"/>
        <w:snapToGrid w:val="0"/>
        <w:spacing w:line="400" w:lineRule="exact"/>
        <w:rPr>
          <w:rFonts w:hint="eastAsia" w:ascii="宋体" w:hAnsi="宋体" w:eastAsia="宋体" w:cs="宋体"/>
          <w:szCs w:val="21"/>
        </w:rPr>
      </w:pPr>
      <w:r>
        <w:rPr>
          <w:rFonts w:hint="eastAsia" w:ascii="宋体" w:hAnsi="宋体" w:eastAsia="宋体" w:cs="宋体"/>
          <w:szCs w:val="21"/>
        </w:rPr>
        <w:t xml:space="preserve">         </w:t>
      </w:r>
      <w:r>
        <w:rPr>
          <w:rFonts w:hint="eastAsia" w:ascii="宋体" w:hAnsi="宋体" w:eastAsia="宋体" w:cs="宋体"/>
          <w:szCs w:val="21"/>
        </w:rPr>
        <w:sym w:font="Wingdings" w:char="00A8"/>
      </w:r>
      <w:r>
        <w:rPr>
          <w:rFonts w:hint="eastAsia" w:ascii="宋体" w:hAnsi="宋体" w:eastAsia="宋体" w:cs="宋体"/>
          <w:szCs w:val="21"/>
        </w:rPr>
        <w:t>否</w:t>
      </w:r>
    </w:p>
    <w:p w14:paraId="219EB45F">
      <w:pPr>
        <w:numPr>
          <w:ilvl w:val="255"/>
          <w:numId w:val="0"/>
        </w:numPr>
        <w:autoSpaceDE w:val="0"/>
        <w:autoSpaceDN w:val="0"/>
        <w:adjustRightInd w:val="0"/>
        <w:snapToGrid w:val="0"/>
        <w:spacing w:line="400" w:lineRule="exact"/>
        <w:rPr>
          <w:rFonts w:hint="eastAsia" w:ascii="宋体" w:hAnsi="宋体" w:eastAsia="宋体" w:cs="宋体"/>
          <w:szCs w:val="21"/>
        </w:rPr>
      </w:pPr>
      <w:r>
        <w:rPr>
          <w:rFonts w:hint="eastAsia" w:ascii="宋体" w:hAnsi="宋体" w:eastAsia="宋体" w:cs="宋体"/>
          <w:szCs w:val="21"/>
        </w:rPr>
        <w:t xml:space="preserve">    （</w:t>
      </w:r>
      <w:r>
        <w:rPr>
          <w:rFonts w:ascii="宋体" w:hAnsi="宋体" w:eastAsia="宋体" w:cs="宋体"/>
          <w:szCs w:val="21"/>
          <w:lang w:val="en"/>
        </w:rPr>
        <w:t>4</w:t>
      </w:r>
      <w:r>
        <w:rPr>
          <w:rFonts w:hint="eastAsia" w:ascii="宋体" w:hAnsi="宋体" w:eastAsia="宋体" w:cs="宋体"/>
          <w:szCs w:val="21"/>
        </w:rPr>
        <w:t>）政府采购组织形式：</w:t>
      </w:r>
      <w:r>
        <w:rPr>
          <w:rFonts w:hint="eastAsia" w:ascii="宋体" w:hAnsi="宋体" w:eastAsia="宋体" w:cs="宋体"/>
          <w:szCs w:val="21"/>
        </w:rPr>
        <w:sym w:font="Wingdings" w:char="00A8"/>
      </w:r>
      <w:r>
        <w:rPr>
          <w:rFonts w:hint="eastAsia" w:ascii="宋体" w:hAnsi="宋体" w:eastAsia="宋体" w:cs="宋体"/>
          <w:szCs w:val="21"/>
        </w:rPr>
        <w:t xml:space="preserve">集中采购    </w:t>
      </w:r>
      <w:r>
        <w:rPr>
          <w:rFonts w:hint="eastAsia" w:ascii="宋体" w:hAnsi="宋体" w:eastAsia="宋体" w:cs="宋体"/>
          <w:szCs w:val="21"/>
        </w:rPr>
        <w:sym w:font="Wingdings" w:char="00A8"/>
      </w:r>
      <w:r>
        <w:rPr>
          <w:rFonts w:hint="eastAsia" w:ascii="宋体" w:hAnsi="宋体" w:eastAsia="宋体" w:cs="宋体"/>
          <w:szCs w:val="21"/>
        </w:rPr>
        <w:t>自行采购</w:t>
      </w:r>
    </w:p>
    <w:p w14:paraId="43A9BE15">
      <w:pPr>
        <w:numPr>
          <w:ilvl w:val="255"/>
          <w:numId w:val="0"/>
        </w:numPr>
        <w:autoSpaceDE w:val="0"/>
        <w:autoSpaceDN w:val="0"/>
        <w:adjustRightInd w:val="0"/>
        <w:snapToGrid w:val="0"/>
        <w:spacing w:line="400" w:lineRule="exact"/>
        <w:ind w:left="210" w:leftChars="100" w:firstLine="210" w:firstLineChars="100"/>
        <w:rPr>
          <w:rFonts w:hint="eastAsia" w:ascii="宋体" w:hAnsi="宋体" w:eastAsia="宋体" w:cs="宋体"/>
          <w:szCs w:val="21"/>
          <w:u w:val="single"/>
        </w:rPr>
      </w:pPr>
      <w:r>
        <w:rPr>
          <w:rFonts w:hint="eastAsia" w:ascii="宋体" w:hAnsi="宋体" w:eastAsia="宋体" w:cs="宋体"/>
          <w:szCs w:val="21"/>
        </w:rPr>
        <w:t>（</w:t>
      </w:r>
      <w:r>
        <w:rPr>
          <w:rFonts w:ascii="宋体" w:hAnsi="宋体" w:eastAsia="宋体" w:cs="宋体"/>
          <w:szCs w:val="21"/>
          <w:lang w:val="en"/>
        </w:rPr>
        <w:t>5</w:t>
      </w:r>
      <w:r>
        <w:rPr>
          <w:rFonts w:hint="eastAsia" w:ascii="宋体" w:hAnsi="宋体" w:eastAsia="宋体" w:cs="宋体"/>
          <w:szCs w:val="21"/>
        </w:rPr>
        <w:t>）政府采购方式：</w:t>
      </w:r>
      <w:r>
        <w:rPr>
          <w:rFonts w:hint="eastAsia" w:ascii="宋体" w:hAnsi="宋体" w:eastAsia="宋体" w:cs="宋体"/>
          <w:szCs w:val="21"/>
        </w:rPr>
        <w:sym w:font="Wingdings" w:char="00A8"/>
      </w:r>
      <w:r>
        <w:rPr>
          <w:rFonts w:hint="eastAsia" w:ascii="宋体" w:hAnsi="宋体" w:eastAsia="宋体" w:cs="宋体"/>
          <w:szCs w:val="21"/>
        </w:rPr>
        <w:t xml:space="preserve">公开招标  </w:t>
      </w:r>
      <w:r>
        <w:rPr>
          <w:rFonts w:hint="eastAsia" w:ascii="宋体" w:hAnsi="宋体" w:eastAsia="宋体" w:cs="宋体"/>
          <w:szCs w:val="21"/>
        </w:rPr>
        <w:sym w:font="Wingdings" w:char="00A8"/>
      </w:r>
      <w:r>
        <w:rPr>
          <w:rFonts w:hint="eastAsia" w:ascii="宋体" w:hAnsi="宋体" w:eastAsia="宋体" w:cs="宋体"/>
          <w:szCs w:val="21"/>
        </w:rPr>
        <w:t>竞争性谈判</w:t>
      </w:r>
      <w:r>
        <w:rPr>
          <w:rFonts w:hint="eastAsia" w:ascii="宋体" w:hAnsi="宋体" w:eastAsia="华文楷体" w:cs="宋体"/>
          <w:sz w:val="22"/>
          <w:szCs w:val="21"/>
        </w:rPr>
        <w:t xml:space="preserve">  </w:t>
      </w:r>
      <w:r>
        <w:rPr>
          <w:rFonts w:hint="eastAsia" w:ascii="宋体" w:hAnsi="宋体" w:eastAsia="宋体" w:cs="宋体"/>
          <w:szCs w:val="21"/>
        </w:rPr>
        <w:sym w:font="Wingdings" w:char="00A8"/>
      </w:r>
      <w:r>
        <w:rPr>
          <w:rFonts w:hint="eastAsia" w:ascii="宋体" w:hAnsi="宋体" w:eastAsia="宋体" w:cs="宋体"/>
          <w:szCs w:val="21"/>
        </w:rPr>
        <w:t xml:space="preserve">单一来源  </w:t>
      </w:r>
      <w:r>
        <w:rPr>
          <w:rFonts w:hint="eastAsia" w:ascii="宋体" w:hAnsi="宋体" w:eastAsia="宋体" w:cs="宋体"/>
          <w:szCs w:val="21"/>
        </w:rPr>
        <w:sym w:font="Wingdings" w:char="00A8"/>
      </w:r>
      <w:r>
        <w:rPr>
          <w:rFonts w:hint="eastAsia" w:ascii="宋体" w:hAnsi="宋体" w:eastAsia="宋体" w:cs="宋体"/>
          <w:szCs w:val="21"/>
        </w:rPr>
        <w:t xml:space="preserve">竞价  </w:t>
      </w:r>
      <w:r>
        <w:rPr>
          <w:rFonts w:hint="eastAsia" w:ascii="宋体" w:hAnsi="宋体" w:eastAsia="宋体" w:cs="宋体"/>
          <w:szCs w:val="21"/>
        </w:rPr>
        <w:sym w:font="Wingdings" w:char="00A8"/>
      </w:r>
      <w:r>
        <w:rPr>
          <w:rFonts w:hint="eastAsia" w:ascii="宋体" w:hAnsi="宋体" w:eastAsia="宋体" w:cs="宋体"/>
          <w:szCs w:val="21"/>
        </w:rPr>
        <w:t xml:space="preserve">框架协议 </w:t>
      </w:r>
      <w:r>
        <w:rPr>
          <w:rFonts w:hint="eastAsia" w:ascii="宋体" w:hAnsi="宋体" w:eastAsia="宋体" w:cs="宋体"/>
          <w:szCs w:val="21"/>
        </w:rPr>
        <w:sym w:font="Wingdings" w:char="00A8"/>
      </w:r>
      <w:r>
        <w:rPr>
          <w:rFonts w:hint="eastAsia" w:ascii="宋体" w:hAnsi="宋体" w:eastAsia="宋体" w:cs="宋体"/>
          <w:szCs w:val="21"/>
        </w:rPr>
        <w:t>其他：</w:t>
      </w:r>
      <w:r>
        <w:rPr>
          <w:rFonts w:hint="eastAsia" w:ascii="宋体" w:hAnsi="宋体" w:eastAsia="宋体" w:cs="宋体"/>
          <w:szCs w:val="21"/>
          <w:u w:val="single"/>
        </w:rPr>
        <w:t xml:space="preserve">          </w:t>
      </w:r>
    </w:p>
    <w:p w14:paraId="4A5F0249">
      <w:pPr>
        <w:numPr>
          <w:ilvl w:val="255"/>
          <w:numId w:val="0"/>
        </w:numPr>
        <w:autoSpaceDE w:val="0"/>
        <w:autoSpaceDN w:val="0"/>
        <w:adjustRightInd w:val="0"/>
        <w:snapToGrid w:val="0"/>
        <w:spacing w:line="400" w:lineRule="exact"/>
        <w:ind w:firstLine="420"/>
        <w:rPr>
          <w:rFonts w:hint="eastAsia" w:ascii="宋体" w:hAnsi="宋体" w:eastAsia="宋体" w:cs="宋体"/>
          <w:szCs w:val="21"/>
        </w:rPr>
      </w:pPr>
      <w:r>
        <w:rPr>
          <w:rFonts w:hint="eastAsia" w:ascii="宋体" w:hAnsi="宋体" w:eastAsia="宋体" w:cs="宋体"/>
          <w:szCs w:val="21"/>
        </w:rPr>
        <w:t>（注：在框架协议采购的第二阶段，可选择使用该合同文本）</w:t>
      </w:r>
    </w:p>
    <w:p w14:paraId="30410503">
      <w:pPr>
        <w:numPr>
          <w:ilvl w:val="255"/>
          <w:numId w:val="0"/>
        </w:numPr>
        <w:autoSpaceDE w:val="0"/>
        <w:autoSpaceDN w:val="0"/>
        <w:adjustRightInd w:val="0"/>
        <w:snapToGrid w:val="0"/>
        <w:spacing w:line="400" w:lineRule="exact"/>
        <w:ind w:firstLine="220" w:firstLineChars="100"/>
        <w:rPr>
          <w:rFonts w:hint="eastAsia" w:ascii="宋体" w:hAnsi="宋体" w:eastAsia="宋体" w:cs="Times New Roman"/>
          <w:szCs w:val="21"/>
        </w:rPr>
      </w:pPr>
      <w:r>
        <w:rPr>
          <w:rFonts w:hint="eastAsia" w:ascii="宋体" w:hAnsi="宋体" w:eastAsia="华文楷体" w:cs="华文楷体"/>
          <w:sz w:val="22"/>
          <w:szCs w:val="21"/>
        </w:rPr>
        <w:t xml:space="preserve"> （</w:t>
      </w:r>
      <w:r>
        <w:rPr>
          <w:rFonts w:ascii="宋体" w:hAnsi="宋体" w:eastAsia="华文楷体" w:cs="华文楷体"/>
          <w:sz w:val="22"/>
          <w:szCs w:val="21"/>
          <w:lang w:val="en"/>
        </w:rPr>
        <w:t>6</w:t>
      </w:r>
      <w:r>
        <w:rPr>
          <w:rFonts w:hint="eastAsia" w:ascii="宋体" w:hAnsi="宋体" w:eastAsia="华文楷体" w:cs="华文楷体"/>
          <w:sz w:val="22"/>
          <w:szCs w:val="21"/>
        </w:rPr>
        <w:t>）</w:t>
      </w:r>
      <w:r>
        <w:rPr>
          <w:rFonts w:hint="eastAsia" w:ascii="宋体" w:hAnsi="宋体" w:eastAsia="宋体" w:cs="Times New Roman"/>
          <w:szCs w:val="21"/>
        </w:rPr>
        <w:t>中标（成交）采购标的制造商是否为中小企业：</w:t>
      </w:r>
      <w:r>
        <w:rPr>
          <w:rFonts w:hint="eastAsia" w:ascii="宋体" w:hAnsi="宋体" w:eastAsia="宋体" w:cs="Times New Roman"/>
          <w:szCs w:val="21"/>
        </w:rPr>
        <w:sym w:font="Wingdings" w:char="00A8"/>
      </w:r>
      <w:r>
        <w:rPr>
          <w:rFonts w:hint="eastAsia" w:ascii="宋体" w:hAnsi="宋体" w:eastAsia="宋体" w:cs="Times New Roman"/>
          <w:szCs w:val="21"/>
        </w:rPr>
        <w:t xml:space="preserve">是      </w:t>
      </w:r>
      <w:r>
        <w:rPr>
          <w:rFonts w:hint="eastAsia" w:ascii="宋体" w:hAnsi="宋体" w:eastAsia="宋体" w:cs="Times New Roman"/>
          <w:szCs w:val="21"/>
        </w:rPr>
        <w:sym w:font="Wingdings" w:char="00A8"/>
      </w:r>
      <w:r>
        <w:rPr>
          <w:rFonts w:hint="eastAsia" w:ascii="宋体" w:hAnsi="宋体" w:eastAsia="宋体" w:cs="Times New Roman"/>
          <w:szCs w:val="21"/>
        </w:rPr>
        <w:t>否</w:t>
      </w:r>
    </w:p>
    <w:p w14:paraId="1C19C5DD">
      <w:pPr>
        <w:numPr>
          <w:ilvl w:val="255"/>
          <w:numId w:val="0"/>
        </w:numPr>
        <w:adjustRightInd w:val="0"/>
        <w:snapToGrid w:val="0"/>
        <w:spacing w:line="400" w:lineRule="exact"/>
        <w:rPr>
          <w:rFonts w:hint="eastAsia" w:ascii="宋体" w:hAnsi="宋体" w:eastAsia="宋体"/>
          <w:iCs/>
          <w:szCs w:val="21"/>
        </w:rPr>
      </w:pPr>
      <w:r>
        <w:rPr>
          <w:rFonts w:hint="eastAsia" w:ascii="宋体" w:hAnsi="宋体" w:eastAsia="宋体"/>
          <w:szCs w:val="21"/>
        </w:rPr>
        <w:t xml:space="preserve">         本合同是否为专门面向中小企业的采购合同（中小企业预留合同）：</w:t>
      </w:r>
      <w:r>
        <w:rPr>
          <w:rFonts w:hint="eastAsia" w:ascii="宋体" w:hAnsi="宋体" w:eastAsia="宋体"/>
          <w:iCs/>
          <w:szCs w:val="21"/>
        </w:rPr>
        <w:sym w:font="Wingdings" w:char="00A8"/>
      </w:r>
      <w:r>
        <w:rPr>
          <w:rFonts w:hint="eastAsia" w:ascii="宋体" w:hAnsi="宋体" w:eastAsia="宋体"/>
          <w:iCs/>
          <w:szCs w:val="21"/>
        </w:rPr>
        <w:t xml:space="preserve">是    </w:t>
      </w:r>
      <w:r>
        <w:rPr>
          <w:rFonts w:hint="eastAsia" w:ascii="宋体" w:hAnsi="宋体" w:eastAsia="宋体"/>
          <w:iCs/>
          <w:szCs w:val="21"/>
        </w:rPr>
        <w:sym w:font="Wingdings" w:char="00A8"/>
      </w:r>
      <w:r>
        <w:rPr>
          <w:rFonts w:hint="eastAsia" w:ascii="宋体" w:hAnsi="宋体" w:eastAsia="宋体"/>
          <w:iCs/>
          <w:szCs w:val="21"/>
        </w:rPr>
        <w:t>否</w:t>
      </w:r>
    </w:p>
    <w:p w14:paraId="38EFA500">
      <w:pPr>
        <w:numPr>
          <w:ilvl w:val="255"/>
          <w:numId w:val="0"/>
        </w:numPr>
        <w:adjustRightInd w:val="0"/>
        <w:snapToGrid w:val="0"/>
        <w:spacing w:line="400" w:lineRule="exact"/>
        <w:rPr>
          <w:rFonts w:hint="eastAsia" w:ascii="宋体" w:hAnsi="宋体" w:eastAsia="宋体"/>
          <w:iCs/>
          <w:szCs w:val="21"/>
        </w:rPr>
      </w:pPr>
      <w:r>
        <w:rPr>
          <w:rFonts w:hint="eastAsia" w:eastAsia="宋体"/>
        </w:rPr>
        <w:t xml:space="preserve">         若本项目不专门面向中小企业采购，是否给予小微企业评审优惠：</w:t>
      </w:r>
      <w:r>
        <w:rPr>
          <w:rFonts w:hint="eastAsia" w:ascii="宋体" w:hAnsi="宋体" w:eastAsia="宋体"/>
          <w:iCs/>
          <w:szCs w:val="21"/>
        </w:rPr>
        <w:sym w:font="Wingdings" w:char="00A8"/>
      </w:r>
      <w:r>
        <w:rPr>
          <w:rFonts w:hint="eastAsia" w:ascii="宋体" w:hAnsi="宋体" w:eastAsia="宋体"/>
          <w:iCs/>
          <w:szCs w:val="21"/>
        </w:rPr>
        <w:t xml:space="preserve">是   </w:t>
      </w:r>
      <w:r>
        <w:rPr>
          <w:rFonts w:hint="eastAsia" w:ascii="宋体" w:hAnsi="宋体" w:eastAsia="宋体"/>
          <w:iCs/>
          <w:szCs w:val="21"/>
        </w:rPr>
        <w:sym w:font="Wingdings" w:char="00A8"/>
      </w:r>
      <w:r>
        <w:rPr>
          <w:rFonts w:hint="eastAsia" w:ascii="宋体" w:hAnsi="宋体" w:eastAsia="宋体"/>
          <w:iCs/>
          <w:szCs w:val="21"/>
        </w:rPr>
        <w:t>否</w:t>
      </w:r>
    </w:p>
    <w:p w14:paraId="590AB5DE">
      <w:pPr>
        <w:numPr>
          <w:ilvl w:val="255"/>
          <w:numId w:val="0"/>
        </w:numPr>
        <w:adjustRightInd w:val="0"/>
        <w:snapToGrid w:val="0"/>
        <w:spacing w:line="400" w:lineRule="exact"/>
        <w:rPr>
          <w:rFonts w:hint="eastAsia" w:ascii="宋体" w:hAnsi="宋体" w:eastAsia="宋体"/>
          <w:iCs/>
          <w:szCs w:val="21"/>
        </w:rPr>
      </w:pPr>
      <w:r>
        <w:rPr>
          <w:rFonts w:hint="eastAsia" w:eastAsia="宋体"/>
        </w:rPr>
        <w:t xml:space="preserve">         中标（成交）采购标的制造商是否为残疾人福利性单位：</w:t>
      </w:r>
      <w:r>
        <w:rPr>
          <w:rFonts w:hint="eastAsia" w:ascii="宋体" w:hAnsi="宋体" w:eastAsia="宋体"/>
          <w:iCs/>
          <w:szCs w:val="21"/>
        </w:rPr>
        <w:sym w:font="Wingdings" w:char="00A8"/>
      </w:r>
      <w:r>
        <w:rPr>
          <w:rFonts w:hint="eastAsia" w:ascii="宋体" w:hAnsi="宋体" w:eastAsia="宋体"/>
          <w:iCs/>
          <w:szCs w:val="21"/>
        </w:rPr>
        <w:t xml:space="preserve">是   </w:t>
      </w:r>
      <w:r>
        <w:rPr>
          <w:rFonts w:hint="eastAsia" w:ascii="宋体" w:hAnsi="宋体" w:eastAsia="宋体"/>
          <w:iCs/>
          <w:szCs w:val="21"/>
        </w:rPr>
        <w:sym w:font="Wingdings" w:char="00A8"/>
      </w:r>
      <w:r>
        <w:rPr>
          <w:rFonts w:hint="eastAsia" w:ascii="宋体" w:hAnsi="宋体" w:eastAsia="宋体"/>
          <w:iCs/>
          <w:szCs w:val="21"/>
        </w:rPr>
        <w:t>否</w:t>
      </w:r>
    </w:p>
    <w:p w14:paraId="283CEE10">
      <w:pPr>
        <w:snapToGrid w:val="0"/>
        <w:spacing w:line="400" w:lineRule="exact"/>
        <w:rPr>
          <w:rFonts w:eastAsia="宋体"/>
        </w:rPr>
      </w:pPr>
      <w:r>
        <w:rPr>
          <w:rFonts w:hint="eastAsia" w:eastAsia="宋体"/>
        </w:rPr>
        <w:t xml:space="preserve">         中标（成交）采购标的制造商是否为监狱企业：</w:t>
      </w:r>
      <w:r>
        <w:rPr>
          <w:rFonts w:hint="eastAsia" w:ascii="宋体" w:hAnsi="宋体" w:eastAsia="宋体"/>
          <w:iCs/>
          <w:szCs w:val="21"/>
        </w:rPr>
        <w:sym w:font="Wingdings" w:char="00A8"/>
      </w:r>
      <w:r>
        <w:rPr>
          <w:rFonts w:hint="eastAsia" w:ascii="宋体" w:hAnsi="宋体" w:eastAsia="宋体"/>
          <w:iCs/>
          <w:szCs w:val="21"/>
        </w:rPr>
        <w:t xml:space="preserve">是       </w:t>
      </w:r>
      <w:r>
        <w:rPr>
          <w:rFonts w:hint="eastAsia" w:ascii="宋体" w:hAnsi="宋体" w:eastAsia="宋体"/>
          <w:iCs/>
          <w:szCs w:val="21"/>
        </w:rPr>
        <w:sym w:font="Wingdings" w:char="00A8"/>
      </w:r>
      <w:r>
        <w:rPr>
          <w:rFonts w:hint="eastAsia" w:ascii="宋体" w:hAnsi="宋体" w:eastAsia="宋体"/>
          <w:iCs/>
          <w:szCs w:val="21"/>
        </w:rPr>
        <w:t>否</w:t>
      </w:r>
    </w:p>
    <w:p w14:paraId="367FAE7B">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w:t>
      </w:r>
      <w:r>
        <w:rPr>
          <w:rFonts w:ascii="宋体" w:hAnsi="宋体" w:eastAsia="宋体"/>
          <w:szCs w:val="21"/>
          <w:lang w:val="en"/>
        </w:rPr>
        <w:t>7</w:t>
      </w:r>
      <w:r>
        <w:rPr>
          <w:rFonts w:hint="eastAsia" w:ascii="宋体" w:hAnsi="宋体" w:eastAsia="宋体"/>
          <w:szCs w:val="21"/>
        </w:rPr>
        <w:t>）合同是否分包：</w:t>
      </w:r>
      <w:r>
        <w:rPr>
          <w:rFonts w:hint="eastAsia" w:ascii="宋体" w:hAnsi="宋体" w:eastAsia="宋体"/>
          <w:iCs/>
          <w:szCs w:val="21"/>
        </w:rPr>
        <w:sym w:font="Wingdings" w:char="00A8"/>
      </w:r>
      <w:r>
        <w:rPr>
          <w:rFonts w:hint="eastAsia" w:ascii="宋体" w:hAnsi="宋体" w:eastAsia="宋体"/>
          <w:iCs/>
          <w:szCs w:val="21"/>
        </w:rPr>
        <w:t xml:space="preserve">是       </w:t>
      </w:r>
      <w:r>
        <w:rPr>
          <w:rFonts w:hint="eastAsia" w:ascii="宋体" w:hAnsi="宋体" w:eastAsia="宋体"/>
          <w:iCs/>
          <w:szCs w:val="21"/>
        </w:rPr>
        <w:sym w:font="Wingdings" w:char="00A8"/>
      </w:r>
      <w:r>
        <w:rPr>
          <w:rFonts w:hint="eastAsia" w:ascii="宋体" w:hAnsi="宋体" w:eastAsia="宋体"/>
          <w:iCs/>
          <w:szCs w:val="21"/>
        </w:rPr>
        <w:t>否</w:t>
      </w:r>
    </w:p>
    <w:p w14:paraId="4372DBA7">
      <w:pPr>
        <w:adjustRightInd w:val="0"/>
        <w:snapToGrid w:val="0"/>
        <w:spacing w:line="400" w:lineRule="exact"/>
        <w:ind w:firstLine="840" w:firstLineChars="400"/>
        <w:rPr>
          <w:rFonts w:hint="eastAsia" w:ascii="宋体" w:hAnsi="宋体" w:eastAsia="宋体"/>
          <w:szCs w:val="21"/>
          <w:u w:val="single"/>
        </w:rPr>
      </w:pPr>
      <w:r>
        <w:rPr>
          <w:rFonts w:hint="eastAsia" w:ascii="宋体" w:hAnsi="宋体" w:eastAsia="宋体"/>
          <w:szCs w:val="21"/>
        </w:rPr>
        <w:t xml:space="preserve"> 分包主要内容：</w:t>
      </w:r>
      <w:r>
        <w:rPr>
          <w:rFonts w:hint="eastAsia" w:ascii="宋体" w:hAnsi="宋体" w:eastAsia="宋体"/>
          <w:szCs w:val="21"/>
          <w:u w:val="single"/>
        </w:rPr>
        <w:t xml:space="preserve">                                            </w:t>
      </w:r>
    </w:p>
    <w:p w14:paraId="7A5B7C60">
      <w:pPr>
        <w:adjustRightInd w:val="0"/>
        <w:snapToGrid w:val="0"/>
        <w:spacing w:line="400" w:lineRule="exact"/>
        <w:ind w:firstLine="840" w:firstLineChars="400"/>
        <w:rPr>
          <w:rFonts w:hint="eastAsia" w:ascii="宋体" w:hAnsi="宋体" w:eastAsia="宋体"/>
          <w:szCs w:val="21"/>
        </w:rPr>
      </w:pPr>
      <w:r>
        <w:rPr>
          <w:rFonts w:hint="eastAsia" w:ascii="宋体" w:hAnsi="宋体" w:eastAsia="宋体"/>
          <w:szCs w:val="21"/>
        </w:rPr>
        <w:t xml:space="preserve"> 分包供应商/制造商名称（如供应商和制造商不同，请分别填写）：</w:t>
      </w:r>
    </w:p>
    <w:p w14:paraId="5D1D93BB">
      <w:pPr>
        <w:adjustRightInd w:val="0"/>
        <w:snapToGrid w:val="0"/>
        <w:spacing w:line="400" w:lineRule="exact"/>
        <w:ind w:firstLine="840" w:firstLineChars="400"/>
        <w:rPr>
          <w:rFonts w:hint="eastAsia" w:ascii="宋体" w:hAnsi="宋体" w:eastAsia="宋体"/>
          <w:szCs w:val="21"/>
          <w:u w:val="single"/>
        </w:rPr>
      </w:pPr>
      <w:r>
        <w:rPr>
          <w:rFonts w:hint="eastAsia" w:ascii="宋体" w:hAnsi="宋体" w:eastAsia="宋体"/>
          <w:szCs w:val="21"/>
        </w:rPr>
        <w:t xml:space="preserve"> </w:t>
      </w:r>
      <w:r>
        <w:rPr>
          <w:rFonts w:hint="eastAsia" w:ascii="宋体" w:hAnsi="宋体" w:eastAsia="宋体"/>
          <w:szCs w:val="21"/>
          <w:u w:val="single"/>
        </w:rPr>
        <w:t xml:space="preserve">                                                          </w:t>
      </w:r>
    </w:p>
    <w:p w14:paraId="04B34B53">
      <w:pPr>
        <w:adjustRightInd w:val="0"/>
        <w:snapToGrid w:val="0"/>
        <w:spacing w:line="400" w:lineRule="exact"/>
        <w:ind w:firstLine="840" w:firstLineChars="400"/>
        <w:rPr>
          <w:rFonts w:hint="eastAsia" w:ascii="宋体" w:hAnsi="宋体" w:eastAsia="宋体"/>
          <w:szCs w:val="21"/>
        </w:rPr>
      </w:pPr>
      <w:r>
        <w:rPr>
          <w:rFonts w:hint="eastAsia" w:ascii="宋体" w:hAnsi="宋体" w:eastAsia="宋体"/>
          <w:szCs w:val="21"/>
        </w:rPr>
        <w:t xml:space="preserve"> 分包供应商/制造商类型（如果供应商和制造商不同，只填写制造商类型）：</w:t>
      </w:r>
    </w:p>
    <w:p w14:paraId="2034F798">
      <w:pPr>
        <w:adjustRightInd w:val="0"/>
        <w:snapToGrid w:val="0"/>
        <w:spacing w:line="400" w:lineRule="exact"/>
        <w:ind w:firstLine="840" w:firstLineChars="400"/>
        <w:rPr>
          <w:rFonts w:hint="eastAsia" w:ascii="宋体" w:hAnsi="宋体" w:eastAsia="宋体"/>
          <w:iCs/>
          <w:szCs w:val="21"/>
        </w:rPr>
      </w:pPr>
      <w:r>
        <w:rPr>
          <w:rFonts w:hint="eastAsia" w:ascii="宋体" w:hAnsi="宋体" w:eastAsia="宋体"/>
          <w:iCs/>
          <w:szCs w:val="21"/>
        </w:rPr>
        <w:t xml:space="preserve"> </w:t>
      </w:r>
      <w:r>
        <w:rPr>
          <w:rFonts w:hint="eastAsia" w:ascii="宋体" w:hAnsi="宋体" w:eastAsia="宋体"/>
          <w:iCs/>
          <w:szCs w:val="21"/>
        </w:rPr>
        <w:sym w:font="Wingdings" w:char="00A8"/>
      </w:r>
      <w:r>
        <w:rPr>
          <w:rFonts w:hint="eastAsia" w:ascii="宋体" w:hAnsi="宋体" w:eastAsia="宋体"/>
          <w:iCs/>
          <w:szCs w:val="21"/>
        </w:rPr>
        <w:t xml:space="preserve">大型企业  </w:t>
      </w:r>
      <w:r>
        <w:rPr>
          <w:rFonts w:hint="eastAsia" w:ascii="宋体" w:hAnsi="宋体" w:eastAsia="宋体"/>
          <w:iCs/>
          <w:szCs w:val="21"/>
        </w:rPr>
        <w:sym w:font="Wingdings" w:char="00A8"/>
      </w:r>
      <w:r>
        <w:rPr>
          <w:rFonts w:hint="eastAsia" w:ascii="宋体" w:hAnsi="宋体" w:eastAsia="宋体"/>
          <w:iCs/>
          <w:szCs w:val="21"/>
        </w:rPr>
        <w:t xml:space="preserve">中型企业  </w:t>
      </w:r>
      <w:r>
        <w:rPr>
          <w:rFonts w:hint="eastAsia" w:ascii="宋体" w:hAnsi="宋体" w:eastAsia="宋体"/>
          <w:iCs/>
          <w:szCs w:val="21"/>
        </w:rPr>
        <w:sym w:font="Wingdings" w:char="00A8"/>
      </w:r>
      <w:r>
        <w:rPr>
          <w:rFonts w:hint="eastAsia" w:ascii="宋体" w:hAnsi="宋体" w:eastAsia="宋体"/>
          <w:iCs/>
          <w:szCs w:val="21"/>
        </w:rPr>
        <w:t xml:space="preserve">小微型企业  </w:t>
      </w:r>
    </w:p>
    <w:p w14:paraId="2D7224C3">
      <w:pPr>
        <w:adjustRightInd w:val="0"/>
        <w:snapToGrid w:val="0"/>
        <w:spacing w:line="400" w:lineRule="exact"/>
        <w:ind w:firstLine="840" w:firstLineChars="400"/>
        <w:rPr>
          <w:rFonts w:eastAsia="华文楷体"/>
        </w:rPr>
      </w:pPr>
      <w:r>
        <w:rPr>
          <w:rFonts w:hint="eastAsia" w:ascii="宋体" w:hAnsi="宋体" w:eastAsia="宋体"/>
          <w:iCs/>
          <w:szCs w:val="21"/>
        </w:rPr>
        <w:t xml:space="preserve"> </w:t>
      </w:r>
      <w:r>
        <w:rPr>
          <w:rFonts w:hint="eastAsia" w:ascii="宋体" w:hAnsi="宋体" w:eastAsia="宋体"/>
          <w:iCs/>
          <w:szCs w:val="21"/>
        </w:rPr>
        <w:sym w:font="Wingdings" w:char="00A8"/>
      </w:r>
      <w:r>
        <w:rPr>
          <w:rFonts w:hint="eastAsia" w:ascii="宋体" w:hAnsi="宋体" w:eastAsia="宋体"/>
          <w:iCs/>
          <w:szCs w:val="21"/>
        </w:rPr>
        <w:t xml:space="preserve">残疾人福利性单位 </w:t>
      </w:r>
      <w:r>
        <w:rPr>
          <w:rFonts w:hint="eastAsia" w:ascii="宋体" w:hAnsi="宋体" w:eastAsia="宋体"/>
          <w:iCs/>
          <w:szCs w:val="21"/>
        </w:rPr>
        <w:sym w:font="Wingdings" w:char="00A8"/>
      </w:r>
      <w:r>
        <w:rPr>
          <w:rFonts w:hint="eastAsia" w:ascii="宋体" w:hAnsi="宋体" w:eastAsia="宋体"/>
          <w:iCs/>
          <w:szCs w:val="21"/>
        </w:rPr>
        <w:t xml:space="preserve">监狱企业 </w:t>
      </w:r>
      <w:r>
        <w:rPr>
          <w:rFonts w:hint="eastAsia" w:ascii="宋体" w:hAnsi="宋体" w:eastAsia="宋体"/>
          <w:iCs/>
          <w:szCs w:val="21"/>
        </w:rPr>
        <w:sym w:font="Wingdings" w:char="00A8"/>
      </w:r>
      <w:r>
        <w:rPr>
          <w:rFonts w:hint="eastAsia" w:ascii="宋体" w:hAnsi="宋体" w:eastAsia="宋体"/>
          <w:iCs/>
          <w:szCs w:val="21"/>
        </w:rPr>
        <w:t>其他</w:t>
      </w:r>
    </w:p>
    <w:p w14:paraId="04789D31">
      <w:pPr>
        <w:numPr>
          <w:ilvl w:val="255"/>
          <w:numId w:val="0"/>
        </w:numPr>
        <w:adjustRightInd w:val="0"/>
        <w:snapToGrid w:val="0"/>
        <w:spacing w:line="400" w:lineRule="exact"/>
        <w:rPr>
          <w:rFonts w:hint="eastAsia" w:ascii="宋体" w:hAnsi="宋体" w:eastAsia="宋体" w:cs="宋体"/>
          <w:iCs/>
          <w:szCs w:val="21"/>
        </w:rPr>
      </w:pPr>
      <w:r>
        <w:rPr>
          <w:rFonts w:hint="eastAsia" w:ascii="宋体" w:hAnsi="宋体" w:eastAsia="宋体"/>
          <w:szCs w:val="21"/>
        </w:rPr>
        <w:t xml:space="preserve">    </w:t>
      </w:r>
      <w:r>
        <w:rPr>
          <w:rFonts w:hint="eastAsia" w:ascii="宋体" w:hAnsi="宋体" w:eastAsia="宋体" w:cs="宋体"/>
          <w:szCs w:val="21"/>
        </w:rPr>
        <w:t>（</w:t>
      </w:r>
      <w:r>
        <w:rPr>
          <w:rFonts w:ascii="宋体" w:hAnsi="宋体" w:eastAsia="宋体" w:cs="宋体"/>
          <w:szCs w:val="21"/>
          <w:lang w:val="en"/>
        </w:rPr>
        <w:t>8</w:t>
      </w:r>
      <w:r>
        <w:rPr>
          <w:rFonts w:hint="eastAsia" w:ascii="宋体" w:hAnsi="宋体" w:eastAsia="宋体" w:cs="宋体"/>
          <w:szCs w:val="21"/>
        </w:rPr>
        <w:t>）中标（成交）供应商是否为外商投资企业：</w:t>
      </w:r>
      <w:r>
        <w:rPr>
          <w:rFonts w:hint="eastAsia" w:ascii="宋体" w:hAnsi="宋体" w:eastAsia="宋体" w:cs="宋体"/>
          <w:iCs/>
          <w:szCs w:val="21"/>
        </w:rPr>
        <w:sym w:font="Wingdings" w:char="00A8"/>
      </w:r>
      <w:r>
        <w:rPr>
          <w:rFonts w:hint="eastAsia" w:ascii="宋体" w:hAnsi="宋体" w:eastAsia="宋体" w:cs="宋体"/>
          <w:iCs/>
          <w:szCs w:val="21"/>
        </w:rPr>
        <w:t xml:space="preserve">是       </w:t>
      </w:r>
      <w:r>
        <w:rPr>
          <w:rFonts w:hint="eastAsia" w:ascii="宋体" w:hAnsi="宋体" w:eastAsia="宋体" w:cs="宋体"/>
          <w:iCs/>
          <w:szCs w:val="21"/>
        </w:rPr>
        <w:sym w:font="Wingdings" w:char="00A8"/>
      </w:r>
      <w:r>
        <w:rPr>
          <w:rFonts w:hint="eastAsia" w:ascii="宋体" w:hAnsi="宋体" w:eastAsia="宋体" w:cs="宋体"/>
          <w:iCs/>
          <w:szCs w:val="21"/>
        </w:rPr>
        <w:t>否</w:t>
      </w:r>
    </w:p>
    <w:p w14:paraId="2427CCB0">
      <w:pPr>
        <w:tabs>
          <w:tab w:val="left" w:pos="1340"/>
        </w:tabs>
        <w:autoSpaceDE w:val="0"/>
        <w:autoSpaceDN w:val="0"/>
        <w:adjustRightInd w:val="0"/>
        <w:spacing w:line="400" w:lineRule="exact"/>
        <w:ind w:firstLine="420" w:firstLineChars="200"/>
        <w:rPr>
          <w:rFonts w:hint="eastAsia" w:ascii="宋体" w:hAnsi="宋体" w:eastAsia="宋体" w:cs="宋体"/>
          <w:szCs w:val="21"/>
          <w:u w:val="single"/>
        </w:rPr>
      </w:pPr>
      <w:r>
        <w:rPr>
          <w:rFonts w:hint="eastAsia" w:ascii="宋体" w:hAnsi="宋体" w:eastAsia="宋体" w:cs="宋体"/>
          <w:szCs w:val="21"/>
        </w:rPr>
        <w:t xml:space="preserve">     外商投资企业类型：</w:t>
      </w:r>
      <w:r>
        <w:rPr>
          <w:rFonts w:hint="eastAsia" w:ascii="宋体" w:hAnsi="宋体" w:eastAsia="宋体" w:cs="宋体"/>
          <w:iCs/>
          <w:szCs w:val="21"/>
        </w:rPr>
        <w:sym w:font="Wingdings" w:char="00A8"/>
      </w:r>
      <w:r>
        <w:rPr>
          <w:rFonts w:hint="eastAsia" w:ascii="宋体" w:hAnsi="宋体" w:eastAsia="宋体" w:cs="宋体"/>
          <w:szCs w:val="21"/>
        </w:rPr>
        <w:t xml:space="preserve">全部由外国投资者投资  </w:t>
      </w:r>
      <w:r>
        <w:rPr>
          <w:rFonts w:hint="eastAsia" w:ascii="宋体" w:hAnsi="宋体" w:eastAsia="宋体" w:cs="宋体"/>
          <w:iCs/>
          <w:szCs w:val="21"/>
        </w:rPr>
        <w:sym w:font="Wingdings" w:char="00A8"/>
      </w:r>
      <w:r>
        <w:rPr>
          <w:rFonts w:hint="eastAsia" w:ascii="宋体" w:hAnsi="宋体" w:eastAsia="宋体" w:cs="宋体"/>
          <w:iCs/>
          <w:szCs w:val="21"/>
        </w:rPr>
        <w:t>部分由外国投资者投资</w:t>
      </w:r>
    </w:p>
    <w:p w14:paraId="5F0F7007">
      <w:pPr>
        <w:numPr>
          <w:ilvl w:val="255"/>
          <w:numId w:val="0"/>
        </w:numPr>
        <w:adjustRightInd w:val="0"/>
        <w:snapToGri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w:t>
      </w:r>
      <w:r>
        <w:rPr>
          <w:rFonts w:ascii="宋体" w:hAnsi="宋体" w:eastAsia="宋体" w:cs="宋体"/>
          <w:szCs w:val="21"/>
          <w:lang w:val="en"/>
        </w:rPr>
        <w:t>9</w:t>
      </w:r>
      <w:r>
        <w:rPr>
          <w:rFonts w:hint="eastAsia" w:ascii="宋体" w:hAnsi="宋体" w:eastAsia="宋体" w:cs="宋体"/>
          <w:szCs w:val="21"/>
        </w:rPr>
        <w:t>）是否涉及进口产品：</w:t>
      </w:r>
    </w:p>
    <w:p w14:paraId="06C19A38">
      <w:pPr>
        <w:numPr>
          <w:ilvl w:val="255"/>
          <w:numId w:val="0"/>
        </w:numPr>
        <w:adjustRightInd w:val="0"/>
        <w:snapToGrid w:val="0"/>
        <w:spacing w:line="400" w:lineRule="exact"/>
        <w:ind w:firstLine="840" w:firstLineChars="400"/>
        <w:rPr>
          <w:rFonts w:hint="eastAsia" w:ascii="宋体" w:hAnsi="宋体" w:eastAsia="宋体" w:cs="宋体"/>
          <w:szCs w:val="21"/>
          <w:u w:val="single"/>
        </w:rPr>
      </w:pPr>
      <w:r>
        <w:rPr>
          <w:rFonts w:hint="eastAsia" w:ascii="宋体" w:hAnsi="宋体" w:eastAsia="宋体" w:cs="宋体"/>
          <w:szCs w:val="21"/>
        </w:rPr>
        <w:t xml:space="preserve"> </w:t>
      </w:r>
      <w:r>
        <w:rPr>
          <w:rFonts w:hint="eastAsia" w:ascii="宋体" w:hAnsi="宋体" w:eastAsia="宋体" w:cs="宋体"/>
          <w:szCs w:val="21"/>
        </w:rPr>
        <w:sym w:font="Wingdings" w:char="00A8"/>
      </w:r>
      <w:r>
        <w:rPr>
          <w:rFonts w:hint="eastAsia" w:ascii="宋体" w:hAnsi="宋体" w:eastAsia="宋体" w:cs="宋体"/>
          <w:szCs w:val="21"/>
        </w:rPr>
        <w:t>是，《政府采购品目分类目录》底级品目名称：</w:t>
      </w:r>
      <w:r>
        <w:rPr>
          <w:rFonts w:hint="eastAsia" w:ascii="宋体" w:hAnsi="宋体" w:eastAsia="宋体" w:cs="宋体"/>
          <w:szCs w:val="21"/>
          <w:u w:val="single"/>
        </w:rPr>
        <w:t xml:space="preserve">         </w:t>
      </w:r>
      <w:r>
        <w:rPr>
          <w:rFonts w:hint="eastAsia" w:ascii="宋体" w:hAnsi="宋体" w:eastAsia="宋体" w:cs="宋体"/>
          <w:szCs w:val="21"/>
        </w:rPr>
        <w:t xml:space="preserve"> 金额：</w:t>
      </w:r>
      <w:r>
        <w:rPr>
          <w:rFonts w:hint="eastAsia" w:ascii="宋体" w:hAnsi="宋体" w:eastAsia="宋体" w:cs="宋体"/>
          <w:szCs w:val="21"/>
          <w:u w:val="single"/>
        </w:rPr>
        <w:t xml:space="preserve">        </w:t>
      </w:r>
    </w:p>
    <w:p w14:paraId="255906BC">
      <w:pPr>
        <w:numPr>
          <w:ilvl w:val="255"/>
          <w:numId w:val="0"/>
        </w:numPr>
        <w:adjustRightInd w:val="0"/>
        <w:snapToGrid w:val="0"/>
        <w:spacing w:line="400" w:lineRule="exact"/>
        <w:ind w:firstLine="840" w:firstLineChars="400"/>
        <w:rPr>
          <w:rFonts w:hint="eastAsia" w:ascii="宋体" w:hAnsi="宋体" w:eastAsia="宋体"/>
          <w:szCs w:val="21"/>
        </w:rPr>
      </w:pPr>
      <w:r>
        <w:rPr>
          <w:rFonts w:hint="eastAsia" w:ascii="宋体" w:hAnsi="宋体" w:eastAsia="宋体" w:cs="宋体"/>
          <w:szCs w:val="21"/>
        </w:rPr>
        <w:t xml:space="preserve">        国别：</w:t>
      </w:r>
      <w:r>
        <w:rPr>
          <w:rFonts w:hint="eastAsia" w:ascii="宋体" w:hAnsi="宋体" w:eastAsia="宋体" w:cs="宋体"/>
          <w:szCs w:val="21"/>
          <w:u w:val="single"/>
        </w:rPr>
        <w:t xml:space="preserve">        </w:t>
      </w:r>
      <w:r>
        <w:rPr>
          <w:rFonts w:hint="eastAsia" w:ascii="宋体" w:hAnsi="宋体" w:eastAsia="宋体" w:cs="宋体"/>
          <w:szCs w:val="21"/>
        </w:rPr>
        <w:t xml:space="preserve"> 品牌：</w:t>
      </w:r>
      <w:r>
        <w:rPr>
          <w:rFonts w:hint="eastAsia" w:ascii="宋体" w:hAnsi="宋体" w:eastAsia="宋体" w:cs="宋体"/>
          <w:szCs w:val="21"/>
          <w:u w:val="single"/>
        </w:rPr>
        <w:t xml:space="preserve">        </w:t>
      </w:r>
      <w:r>
        <w:rPr>
          <w:rFonts w:hint="eastAsia" w:ascii="宋体" w:hAnsi="宋体" w:eastAsia="宋体" w:cs="宋体"/>
          <w:szCs w:val="21"/>
        </w:rPr>
        <w:t xml:space="preserve"> 规格型号：</w:t>
      </w:r>
      <w:r>
        <w:rPr>
          <w:rFonts w:hint="eastAsia" w:ascii="宋体" w:hAnsi="宋体" w:eastAsia="宋体" w:cs="宋体"/>
          <w:szCs w:val="21"/>
          <w:u w:val="single"/>
        </w:rPr>
        <w:t xml:space="preserve">        </w:t>
      </w:r>
      <w:r>
        <w:rPr>
          <w:rFonts w:hint="eastAsia" w:ascii="宋体" w:hAnsi="宋体" w:eastAsia="宋体"/>
          <w:szCs w:val="21"/>
        </w:rPr>
        <w:t xml:space="preserve">      </w:t>
      </w:r>
    </w:p>
    <w:p w14:paraId="7E7948B4">
      <w:pPr>
        <w:adjustRightInd w:val="0"/>
        <w:snapToGrid w:val="0"/>
        <w:spacing w:line="400" w:lineRule="exact"/>
        <w:ind w:firstLine="840" w:firstLineChars="400"/>
        <w:rPr>
          <w:rFonts w:hint="eastAsia" w:ascii="宋体" w:hAnsi="宋体" w:eastAsia="宋体"/>
          <w:szCs w:val="21"/>
        </w:rPr>
      </w:pPr>
      <w:r>
        <w:rPr>
          <w:rFonts w:hint="eastAsia" w:ascii="宋体" w:hAnsi="宋体" w:eastAsia="宋体"/>
          <w:szCs w:val="21"/>
        </w:rPr>
        <w:t xml:space="preserve"> </w:t>
      </w:r>
      <w:r>
        <w:rPr>
          <w:rFonts w:hint="eastAsia" w:ascii="宋体" w:hAnsi="宋体" w:eastAsia="宋体"/>
          <w:szCs w:val="21"/>
        </w:rPr>
        <w:sym w:font="Wingdings" w:char="00A8"/>
      </w:r>
      <w:r>
        <w:rPr>
          <w:rFonts w:hint="eastAsia" w:ascii="宋体" w:hAnsi="宋体" w:eastAsia="宋体"/>
          <w:szCs w:val="21"/>
        </w:rPr>
        <w:t>否</w:t>
      </w:r>
    </w:p>
    <w:p w14:paraId="3E8CF12E">
      <w:pPr>
        <w:numPr>
          <w:ilvl w:val="255"/>
          <w:numId w:val="0"/>
        </w:numPr>
        <w:tabs>
          <w:tab w:val="left" w:pos="740"/>
        </w:tabs>
        <w:adjustRightInd w:val="0"/>
        <w:snapToGrid w:val="0"/>
        <w:spacing w:line="400" w:lineRule="exact"/>
        <w:rPr>
          <w:rFonts w:hint="eastAsia" w:ascii="宋体" w:hAnsi="宋体" w:eastAsia="宋体"/>
          <w:szCs w:val="21"/>
        </w:rPr>
      </w:pPr>
      <w:r>
        <w:rPr>
          <w:rFonts w:hint="eastAsia" w:ascii="宋体" w:hAnsi="宋体" w:eastAsia="宋体"/>
          <w:szCs w:val="21"/>
        </w:rPr>
        <w:t xml:space="preserve">    （1</w:t>
      </w:r>
      <w:r>
        <w:rPr>
          <w:rFonts w:ascii="宋体" w:hAnsi="宋体" w:eastAsia="宋体"/>
          <w:szCs w:val="21"/>
          <w:lang w:val="en"/>
        </w:rPr>
        <w:t>0</w:t>
      </w:r>
      <w:r>
        <w:rPr>
          <w:rFonts w:hint="eastAsia" w:ascii="宋体" w:hAnsi="宋体" w:eastAsia="宋体"/>
          <w:szCs w:val="21"/>
        </w:rPr>
        <w:t>）是否涉及节能产品：</w:t>
      </w:r>
    </w:p>
    <w:p w14:paraId="208C63FD">
      <w:pPr>
        <w:numPr>
          <w:ilvl w:val="255"/>
          <w:numId w:val="0"/>
        </w:numPr>
        <w:tabs>
          <w:tab w:val="left" w:pos="740"/>
        </w:tabs>
        <w:adjustRightInd w:val="0"/>
        <w:snapToGrid w:val="0"/>
        <w:spacing w:line="400" w:lineRule="exact"/>
        <w:rPr>
          <w:rFonts w:hint="eastAsia" w:ascii="宋体" w:hAnsi="宋体" w:eastAsia="宋体"/>
          <w:iCs/>
          <w:szCs w:val="21"/>
        </w:rPr>
      </w:pPr>
      <w:r>
        <w:rPr>
          <w:rFonts w:hint="eastAsia" w:ascii="宋体" w:hAnsi="宋体" w:eastAsia="宋体"/>
          <w:szCs w:val="21"/>
        </w:rPr>
        <w:t xml:space="preserve">         </w:t>
      </w:r>
      <w:r>
        <w:rPr>
          <w:rFonts w:hint="eastAsia" w:ascii="宋体" w:hAnsi="宋体" w:eastAsia="宋体"/>
          <w:szCs w:val="21"/>
        </w:rPr>
        <w:sym w:font="Wingdings" w:char="00A8"/>
      </w:r>
      <w:r>
        <w:rPr>
          <w:rFonts w:hint="eastAsia" w:ascii="宋体" w:hAnsi="宋体" w:eastAsia="宋体"/>
          <w:szCs w:val="21"/>
        </w:rPr>
        <w:t>是，《节能产品政府采购品目清单》的底级品目名称：</w:t>
      </w:r>
      <w:r>
        <w:rPr>
          <w:rFonts w:hint="eastAsia" w:ascii="宋体" w:hAnsi="宋体" w:eastAsia="宋体"/>
          <w:szCs w:val="21"/>
          <w:u w:val="single"/>
        </w:rPr>
        <w:t xml:space="preserve">         </w:t>
      </w:r>
      <w:r>
        <w:rPr>
          <w:rFonts w:hint="eastAsia" w:ascii="宋体" w:hAnsi="宋体" w:eastAsia="宋体"/>
          <w:iCs/>
          <w:szCs w:val="21"/>
        </w:rPr>
        <w:t xml:space="preserve">     </w:t>
      </w:r>
    </w:p>
    <w:p w14:paraId="6BA3392F">
      <w:pPr>
        <w:numPr>
          <w:ilvl w:val="255"/>
          <w:numId w:val="0"/>
        </w:numPr>
        <w:tabs>
          <w:tab w:val="left" w:pos="740"/>
        </w:tabs>
        <w:adjustRightInd w:val="0"/>
        <w:snapToGrid w:val="0"/>
        <w:spacing w:line="400" w:lineRule="exact"/>
        <w:rPr>
          <w:rFonts w:hint="eastAsia" w:ascii="宋体" w:hAnsi="宋体" w:eastAsia="宋体"/>
          <w:iCs/>
          <w:szCs w:val="21"/>
        </w:rPr>
      </w:pPr>
      <w:r>
        <w:rPr>
          <w:rFonts w:hint="eastAsia" w:ascii="宋体" w:hAnsi="宋体" w:eastAsia="宋体"/>
          <w:iCs/>
          <w:szCs w:val="21"/>
        </w:rPr>
        <w:t xml:space="preserve">                </w:t>
      </w:r>
      <w:r>
        <w:rPr>
          <w:rFonts w:hint="eastAsia" w:ascii="宋体" w:hAnsi="宋体" w:eastAsia="宋体"/>
          <w:iCs/>
          <w:szCs w:val="21"/>
        </w:rPr>
        <w:sym w:font="Wingdings" w:char="00A8"/>
      </w:r>
      <w:r>
        <w:rPr>
          <w:rFonts w:hint="eastAsia" w:ascii="宋体" w:hAnsi="宋体" w:eastAsia="宋体"/>
          <w:iCs/>
          <w:szCs w:val="21"/>
        </w:rPr>
        <w:t xml:space="preserve">强制采购       </w:t>
      </w:r>
      <w:r>
        <w:rPr>
          <w:rFonts w:hint="eastAsia" w:ascii="宋体" w:hAnsi="宋体" w:eastAsia="宋体"/>
          <w:iCs/>
          <w:szCs w:val="21"/>
        </w:rPr>
        <w:sym w:font="Wingdings" w:char="00A8"/>
      </w:r>
      <w:r>
        <w:rPr>
          <w:rFonts w:hint="eastAsia" w:ascii="宋体" w:hAnsi="宋体" w:eastAsia="宋体"/>
          <w:iCs/>
          <w:szCs w:val="21"/>
        </w:rPr>
        <w:t xml:space="preserve">优先采购    </w:t>
      </w:r>
    </w:p>
    <w:p w14:paraId="30A026D2">
      <w:pPr>
        <w:numPr>
          <w:ilvl w:val="255"/>
          <w:numId w:val="0"/>
        </w:numPr>
        <w:tabs>
          <w:tab w:val="left" w:pos="740"/>
        </w:tabs>
        <w:adjustRightInd w:val="0"/>
        <w:snapToGrid w:val="0"/>
        <w:spacing w:line="400" w:lineRule="exact"/>
        <w:rPr>
          <w:rFonts w:hint="eastAsia" w:ascii="宋体" w:hAnsi="宋体" w:eastAsia="宋体"/>
          <w:szCs w:val="21"/>
        </w:rPr>
      </w:pPr>
      <w:r>
        <w:rPr>
          <w:rFonts w:hint="eastAsia" w:ascii="宋体" w:hAnsi="宋体" w:eastAsia="宋体"/>
          <w:iCs/>
          <w:szCs w:val="21"/>
        </w:rPr>
        <w:t xml:space="preserve">         </w:t>
      </w:r>
      <w:r>
        <w:rPr>
          <w:rFonts w:hint="eastAsia" w:ascii="宋体" w:hAnsi="宋体" w:eastAsia="宋体"/>
          <w:szCs w:val="21"/>
        </w:rPr>
        <w:sym w:font="Wingdings" w:char="00A8"/>
      </w:r>
      <w:r>
        <w:rPr>
          <w:rFonts w:hint="eastAsia" w:ascii="宋体" w:hAnsi="宋体" w:eastAsia="宋体"/>
          <w:szCs w:val="21"/>
        </w:rPr>
        <w:t>否</w:t>
      </w:r>
    </w:p>
    <w:p w14:paraId="06F39141">
      <w:pPr>
        <w:numPr>
          <w:ilvl w:val="255"/>
          <w:numId w:val="0"/>
        </w:numPr>
        <w:tabs>
          <w:tab w:val="left" w:pos="740"/>
        </w:tabs>
        <w:adjustRightInd w:val="0"/>
        <w:snapToGrid w:val="0"/>
        <w:spacing w:line="400" w:lineRule="exact"/>
        <w:rPr>
          <w:rFonts w:hint="eastAsia" w:ascii="宋体" w:hAnsi="宋体" w:eastAsia="宋体"/>
          <w:szCs w:val="21"/>
        </w:rPr>
      </w:pPr>
      <w:r>
        <w:rPr>
          <w:rFonts w:hint="eastAsia" w:ascii="宋体" w:hAnsi="宋体" w:eastAsia="宋体"/>
          <w:szCs w:val="21"/>
        </w:rPr>
        <w:t xml:space="preserve">          是否涉及环境标志产品：</w:t>
      </w:r>
    </w:p>
    <w:p w14:paraId="74FC481A">
      <w:pPr>
        <w:numPr>
          <w:ilvl w:val="255"/>
          <w:numId w:val="0"/>
        </w:numPr>
        <w:tabs>
          <w:tab w:val="left" w:pos="740"/>
        </w:tabs>
        <w:adjustRightInd w:val="0"/>
        <w:snapToGrid w:val="0"/>
        <w:spacing w:line="400" w:lineRule="exact"/>
        <w:rPr>
          <w:rFonts w:hint="eastAsia" w:ascii="宋体" w:hAnsi="宋体" w:eastAsia="宋体"/>
          <w:szCs w:val="21"/>
        </w:rPr>
      </w:pPr>
      <w:r>
        <w:rPr>
          <w:rFonts w:hint="eastAsia" w:ascii="宋体" w:hAnsi="宋体" w:eastAsia="宋体"/>
          <w:szCs w:val="21"/>
        </w:rPr>
        <w:t xml:space="preserve">         </w:t>
      </w:r>
      <w:r>
        <w:rPr>
          <w:rFonts w:hint="eastAsia" w:ascii="宋体" w:hAnsi="宋体" w:eastAsia="宋体"/>
          <w:szCs w:val="21"/>
        </w:rPr>
        <w:sym w:font="Wingdings" w:char="00A8"/>
      </w:r>
      <w:r>
        <w:rPr>
          <w:rFonts w:hint="eastAsia" w:ascii="宋体" w:hAnsi="宋体" w:eastAsia="宋体"/>
          <w:szCs w:val="21"/>
        </w:rPr>
        <w:t>是，《环境标志产品政府采购品目清单》的底级品目名称：</w:t>
      </w:r>
      <w:r>
        <w:rPr>
          <w:rFonts w:hint="eastAsia" w:ascii="宋体" w:hAnsi="宋体" w:eastAsia="宋体"/>
          <w:szCs w:val="21"/>
          <w:u w:val="single"/>
        </w:rPr>
        <w:t xml:space="preserve">         </w:t>
      </w:r>
      <w:r>
        <w:rPr>
          <w:rFonts w:hint="eastAsia" w:ascii="宋体" w:hAnsi="宋体" w:eastAsia="宋体"/>
          <w:iCs/>
          <w:szCs w:val="21"/>
        </w:rPr>
        <w:t xml:space="preserve"> </w:t>
      </w:r>
    </w:p>
    <w:p w14:paraId="264C9DED">
      <w:pPr>
        <w:numPr>
          <w:ilvl w:val="255"/>
          <w:numId w:val="0"/>
        </w:numPr>
        <w:tabs>
          <w:tab w:val="left" w:pos="740"/>
        </w:tabs>
        <w:adjustRightInd w:val="0"/>
        <w:snapToGrid w:val="0"/>
        <w:spacing w:line="400" w:lineRule="exact"/>
        <w:rPr>
          <w:rFonts w:hint="eastAsia" w:ascii="宋体" w:hAnsi="宋体" w:eastAsia="宋体"/>
          <w:iCs/>
          <w:szCs w:val="21"/>
        </w:rPr>
      </w:pPr>
      <w:r>
        <w:rPr>
          <w:rFonts w:hint="eastAsia" w:ascii="宋体" w:hAnsi="宋体" w:eastAsia="宋体"/>
          <w:iCs/>
          <w:szCs w:val="21"/>
        </w:rPr>
        <w:t xml:space="preserve">                </w:t>
      </w:r>
      <w:r>
        <w:rPr>
          <w:rFonts w:hint="eastAsia" w:ascii="宋体" w:hAnsi="宋体" w:eastAsia="宋体"/>
          <w:iCs/>
          <w:szCs w:val="21"/>
        </w:rPr>
        <w:sym w:font="Wingdings" w:char="00A8"/>
      </w:r>
      <w:r>
        <w:rPr>
          <w:rFonts w:hint="eastAsia" w:ascii="宋体" w:hAnsi="宋体" w:eastAsia="宋体"/>
          <w:iCs/>
          <w:szCs w:val="21"/>
        </w:rPr>
        <w:t xml:space="preserve">强制采购       </w:t>
      </w:r>
      <w:r>
        <w:rPr>
          <w:rFonts w:hint="eastAsia" w:ascii="宋体" w:hAnsi="宋体" w:eastAsia="宋体"/>
          <w:iCs/>
          <w:szCs w:val="21"/>
        </w:rPr>
        <w:sym w:font="Wingdings" w:char="00A8"/>
      </w:r>
      <w:r>
        <w:rPr>
          <w:rFonts w:hint="eastAsia" w:ascii="宋体" w:hAnsi="宋体" w:eastAsia="宋体"/>
          <w:iCs/>
          <w:szCs w:val="21"/>
        </w:rPr>
        <w:t xml:space="preserve">优先采购    </w:t>
      </w:r>
    </w:p>
    <w:p w14:paraId="626C93AF">
      <w:pPr>
        <w:numPr>
          <w:ilvl w:val="255"/>
          <w:numId w:val="0"/>
        </w:numPr>
        <w:tabs>
          <w:tab w:val="left" w:pos="740"/>
        </w:tabs>
        <w:adjustRightInd w:val="0"/>
        <w:snapToGrid w:val="0"/>
        <w:spacing w:line="400" w:lineRule="exact"/>
        <w:rPr>
          <w:rFonts w:hint="eastAsia" w:ascii="宋体" w:hAnsi="宋体" w:eastAsia="宋体"/>
          <w:szCs w:val="21"/>
        </w:rPr>
      </w:pPr>
      <w:r>
        <w:rPr>
          <w:rFonts w:hint="eastAsia" w:ascii="宋体" w:hAnsi="宋体" w:eastAsia="宋体"/>
          <w:iCs/>
          <w:szCs w:val="21"/>
        </w:rPr>
        <w:t xml:space="preserve">         </w:t>
      </w:r>
      <w:r>
        <w:rPr>
          <w:rFonts w:hint="eastAsia" w:ascii="宋体" w:hAnsi="宋体" w:eastAsia="宋体"/>
          <w:szCs w:val="21"/>
        </w:rPr>
        <w:sym w:font="Wingdings" w:char="00A8"/>
      </w:r>
      <w:r>
        <w:rPr>
          <w:rFonts w:hint="eastAsia" w:ascii="宋体" w:hAnsi="宋体" w:eastAsia="宋体"/>
          <w:szCs w:val="21"/>
        </w:rPr>
        <w:t>否</w:t>
      </w:r>
    </w:p>
    <w:p w14:paraId="1F64B7A4">
      <w:pPr>
        <w:numPr>
          <w:ilvl w:val="255"/>
          <w:numId w:val="0"/>
        </w:numPr>
        <w:autoSpaceDE w:val="0"/>
        <w:autoSpaceDN w:val="0"/>
        <w:adjustRightInd w:val="0"/>
        <w:snapToGrid w:val="0"/>
        <w:spacing w:line="400" w:lineRule="exact"/>
        <w:rPr>
          <w:rFonts w:hint="eastAsia" w:ascii="宋体" w:hAnsi="宋体" w:eastAsia="宋体" w:cs="Times New Roman"/>
          <w:szCs w:val="21"/>
        </w:rPr>
      </w:pPr>
      <w:r>
        <w:rPr>
          <w:rFonts w:hint="eastAsia" w:ascii="宋体" w:hAnsi="宋体" w:eastAsia="华文楷体" w:cs="华文楷体"/>
          <w:szCs w:val="21"/>
        </w:rPr>
        <w:t xml:space="preserve">          </w:t>
      </w:r>
      <w:r>
        <w:rPr>
          <w:rFonts w:hint="eastAsia" w:ascii="宋体" w:hAnsi="宋体" w:eastAsia="宋体" w:cs="Times New Roman"/>
          <w:szCs w:val="21"/>
        </w:rPr>
        <w:t xml:space="preserve">是否涉及绿色产品： </w:t>
      </w:r>
    </w:p>
    <w:p w14:paraId="7EF2CDD6">
      <w:pPr>
        <w:autoSpaceDE w:val="0"/>
        <w:autoSpaceDN w:val="0"/>
        <w:adjustRightInd w:val="0"/>
        <w:spacing w:line="400" w:lineRule="exact"/>
        <w:ind w:firstLine="420"/>
        <w:rPr>
          <w:rFonts w:hint="eastAsia" w:ascii="宋体" w:hAnsi="宋体" w:eastAsia="宋体" w:cs="华文楷体"/>
          <w:sz w:val="22"/>
          <w:szCs w:val="21"/>
          <w:u w:val="single"/>
        </w:rPr>
      </w:pPr>
      <w:r>
        <w:rPr>
          <w:rFonts w:hint="eastAsia" w:ascii="宋体" w:hAnsi="宋体" w:eastAsia="宋体" w:cs="Times New Roman"/>
          <w:szCs w:val="21"/>
        </w:rPr>
        <w:t xml:space="preserve">     </w:t>
      </w:r>
      <w:r>
        <w:rPr>
          <w:rFonts w:hint="eastAsia" w:ascii="宋体" w:hAnsi="宋体" w:eastAsia="宋体" w:cs="Times New Roman"/>
          <w:szCs w:val="21"/>
        </w:rPr>
        <w:sym w:font="Wingdings" w:char="00A8"/>
      </w:r>
      <w:r>
        <w:rPr>
          <w:rFonts w:hint="eastAsia" w:ascii="宋体" w:hAnsi="宋体" w:eastAsia="宋体" w:cs="Times New Roman"/>
          <w:szCs w:val="21"/>
        </w:rPr>
        <w:t>是，绿色产品政府采购相关政策确定的底级品目名称：</w:t>
      </w:r>
      <w:r>
        <w:rPr>
          <w:rFonts w:hint="eastAsia" w:ascii="宋体" w:hAnsi="宋体" w:eastAsia="宋体" w:cs="华文楷体"/>
          <w:sz w:val="22"/>
          <w:szCs w:val="21"/>
          <w:u w:val="single"/>
        </w:rPr>
        <w:t xml:space="preserve">         </w:t>
      </w:r>
    </w:p>
    <w:p w14:paraId="2E7C9E6C">
      <w:pPr>
        <w:numPr>
          <w:ilvl w:val="255"/>
          <w:numId w:val="0"/>
        </w:numPr>
        <w:tabs>
          <w:tab w:val="left" w:pos="740"/>
        </w:tabs>
        <w:adjustRightInd w:val="0"/>
        <w:snapToGrid w:val="0"/>
        <w:spacing w:line="400" w:lineRule="exact"/>
        <w:rPr>
          <w:rFonts w:hint="eastAsia" w:ascii="宋体" w:hAnsi="宋体" w:eastAsia="宋体"/>
          <w:iCs/>
          <w:szCs w:val="21"/>
        </w:rPr>
      </w:pPr>
      <w:r>
        <w:rPr>
          <w:rFonts w:hint="eastAsia" w:ascii="宋体" w:hAnsi="宋体" w:eastAsia="宋体"/>
          <w:iCs/>
          <w:szCs w:val="21"/>
        </w:rPr>
        <w:t xml:space="preserve">                </w:t>
      </w:r>
      <w:r>
        <w:rPr>
          <w:rFonts w:hint="eastAsia" w:ascii="宋体" w:hAnsi="宋体" w:eastAsia="宋体"/>
          <w:iCs/>
          <w:szCs w:val="21"/>
        </w:rPr>
        <w:sym w:font="Wingdings" w:char="00A8"/>
      </w:r>
      <w:r>
        <w:rPr>
          <w:rFonts w:hint="eastAsia" w:ascii="宋体" w:hAnsi="宋体" w:eastAsia="宋体"/>
          <w:iCs/>
          <w:szCs w:val="21"/>
        </w:rPr>
        <w:t xml:space="preserve">强制采购       </w:t>
      </w:r>
      <w:r>
        <w:rPr>
          <w:rFonts w:hint="eastAsia" w:ascii="宋体" w:hAnsi="宋体" w:eastAsia="宋体"/>
          <w:iCs/>
          <w:szCs w:val="21"/>
        </w:rPr>
        <w:sym w:font="Wingdings" w:char="00A8"/>
      </w:r>
      <w:r>
        <w:rPr>
          <w:rFonts w:hint="eastAsia" w:ascii="宋体" w:hAnsi="宋体" w:eastAsia="宋体"/>
          <w:iCs/>
          <w:szCs w:val="21"/>
        </w:rPr>
        <w:t xml:space="preserve">优先采购    </w:t>
      </w:r>
    </w:p>
    <w:p w14:paraId="0ABF4B43">
      <w:pPr>
        <w:autoSpaceDE w:val="0"/>
        <w:autoSpaceDN w:val="0"/>
        <w:adjustRightInd w:val="0"/>
        <w:spacing w:line="400" w:lineRule="exact"/>
        <w:ind w:firstLine="420"/>
        <w:rPr>
          <w:rFonts w:hint="eastAsia" w:ascii="宋体" w:hAnsi="宋体" w:eastAsia="华文楷体" w:cs="华文楷体"/>
          <w:szCs w:val="21"/>
        </w:rPr>
      </w:pPr>
      <w:r>
        <w:rPr>
          <w:rFonts w:hint="eastAsia" w:ascii="宋体" w:hAnsi="宋体" w:eastAsia="宋体" w:cs="Times New Roman"/>
          <w:szCs w:val="21"/>
        </w:rPr>
        <w:t xml:space="preserve">     </w:t>
      </w:r>
      <w:r>
        <w:rPr>
          <w:rFonts w:hint="eastAsia" w:ascii="宋体" w:hAnsi="宋体" w:eastAsia="宋体" w:cs="Times New Roman"/>
          <w:szCs w:val="21"/>
        </w:rPr>
        <w:sym w:font="Wingdings" w:char="00A8"/>
      </w:r>
      <w:r>
        <w:rPr>
          <w:rFonts w:hint="eastAsia" w:ascii="宋体" w:hAnsi="宋体" w:eastAsia="宋体" w:cs="Times New Roman"/>
          <w:szCs w:val="21"/>
        </w:rPr>
        <w:t>否</w:t>
      </w:r>
    </w:p>
    <w:p w14:paraId="342348CE">
      <w:pPr>
        <w:numPr>
          <w:ilvl w:val="255"/>
          <w:numId w:val="0"/>
        </w:numPr>
        <w:adjustRightInd w:val="0"/>
        <w:snapToGrid w:val="0"/>
        <w:spacing w:line="400" w:lineRule="exact"/>
        <w:rPr>
          <w:rFonts w:hint="eastAsia" w:ascii="宋体" w:hAnsi="宋体" w:eastAsia="宋体"/>
          <w:szCs w:val="21"/>
        </w:rPr>
      </w:pPr>
      <w:r>
        <w:rPr>
          <w:rFonts w:hint="eastAsia" w:ascii="宋体" w:hAnsi="宋体" w:eastAsia="宋体"/>
          <w:szCs w:val="21"/>
        </w:rPr>
        <w:t xml:space="preserve">    （1</w:t>
      </w:r>
      <w:r>
        <w:rPr>
          <w:rFonts w:ascii="宋体" w:hAnsi="宋体" w:eastAsia="宋体"/>
          <w:szCs w:val="21"/>
          <w:lang w:val="en"/>
        </w:rPr>
        <w:t>1</w:t>
      </w:r>
      <w:r>
        <w:rPr>
          <w:rFonts w:hint="eastAsia" w:ascii="宋体" w:hAnsi="宋体" w:eastAsia="宋体"/>
          <w:szCs w:val="21"/>
        </w:rPr>
        <w:t>）涉及商品包装和快递包装的，是否参考《商品包装政府采购需求标准（试行）》、《快递包装政府采购需求标准（试行）》明确产品及相关快递服务的具体包装要求：</w:t>
      </w:r>
    </w:p>
    <w:p w14:paraId="2D7458EB">
      <w:pPr>
        <w:numPr>
          <w:ilvl w:val="255"/>
          <w:numId w:val="0"/>
        </w:numPr>
        <w:adjustRightInd w:val="0"/>
        <w:snapToGrid w:val="0"/>
        <w:spacing w:line="400" w:lineRule="exact"/>
        <w:ind w:firstLine="840" w:firstLineChars="400"/>
        <w:rPr>
          <w:rFonts w:hint="eastAsia" w:ascii="宋体" w:hAnsi="宋体" w:eastAsia="宋体"/>
          <w:szCs w:val="21"/>
        </w:rPr>
      </w:pPr>
      <w:r>
        <w:rPr>
          <w:rFonts w:hint="eastAsia" w:ascii="宋体" w:hAnsi="宋体" w:eastAsia="宋体"/>
          <w:szCs w:val="21"/>
        </w:rPr>
        <w:sym w:font="Wingdings" w:char="00A8"/>
      </w:r>
      <w:r>
        <w:rPr>
          <w:rFonts w:hint="eastAsia" w:ascii="宋体" w:hAnsi="宋体" w:eastAsia="宋体"/>
          <w:szCs w:val="21"/>
        </w:rPr>
        <w:t xml:space="preserve">是       </w:t>
      </w:r>
      <w:r>
        <w:rPr>
          <w:rFonts w:hint="eastAsia" w:ascii="宋体" w:hAnsi="宋体" w:eastAsia="宋体"/>
          <w:szCs w:val="21"/>
        </w:rPr>
        <w:sym w:font="Wingdings" w:char="00A8"/>
      </w:r>
      <w:r>
        <w:rPr>
          <w:rFonts w:hint="eastAsia" w:ascii="宋体" w:hAnsi="宋体" w:eastAsia="宋体"/>
          <w:szCs w:val="21"/>
        </w:rPr>
        <w:t xml:space="preserve">否      </w:t>
      </w:r>
      <w:r>
        <w:rPr>
          <w:rFonts w:hint="eastAsia" w:ascii="宋体" w:hAnsi="宋体" w:eastAsia="宋体"/>
          <w:szCs w:val="21"/>
        </w:rPr>
        <w:sym w:font="Wingdings" w:char="00A8"/>
      </w:r>
      <w:r>
        <w:rPr>
          <w:rFonts w:hint="eastAsia" w:ascii="宋体" w:hAnsi="宋体" w:eastAsia="宋体"/>
          <w:szCs w:val="21"/>
        </w:rPr>
        <w:t>不涉及</w:t>
      </w:r>
    </w:p>
    <w:p w14:paraId="4F89F77A">
      <w:pPr>
        <w:numPr>
          <w:ilvl w:val="0"/>
          <w:numId w:val="6"/>
        </w:numPr>
        <w:adjustRightInd w:val="0"/>
        <w:snapToGrid w:val="0"/>
        <w:spacing w:line="400" w:lineRule="exact"/>
        <w:ind w:firstLine="422" w:firstLineChars="200"/>
        <w:rPr>
          <w:rFonts w:hint="eastAsia" w:ascii="宋体" w:hAnsi="宋体" w:eastAsia="宋体"/>
          <w:b/>
          <w:szCs w:val="21"/>
        </w:rPr>
      </w:pPr>
      <w:r>
        <w:rPr>
          <w:rFonts w:hint="eastAsia" w:ascii="宋体" w:hAnsi="宋体" w:eastAsia="宋体"/>
          <w:b/>
          <w:szCs w:val="21"/>
        </w:rPr>
        <w:t>合同金额</w:t>
      </w:r>
    </w:p>
    <w:p w14:paraId="1E0FC5CC">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（1）合同金额小写：</w:t>
      </w:r>
      <w:r>
        <w:rPr>
          <w:rFonts w:hint="eastAsia" w:ascii="宋体" w:hAnsi="宋体" w:eastAsia="宋体"/>
          <w:szCs w:val="21"/>
          <w:u w:val="single"/>
        </w:rPr>
        <w:t xml:space="preserve">                           </w:t>
      </w:r>
    </w:p>
    <w:p w14:paraId="562C14D1">
      <w:pPr>
        <w:adjustRightInd w:val="0"/>
        <w:snapToGrid w:val="0"/>
        <w:spacing w:line="400" w:lineRule="exact"/>
        <w:rPr>
          <w:rFonts w:hint="eastAsia" w:ascii="宋体" w:hAnsi="宋体" w:eastAsia="宋体"/>
          <w:szCs w:val="21"/>
          <w:u w:val="single"/>
        </w:rPr>
      </w:pPr>
      <w:r>
        <w:rPr>
          <w:rFonts w:hint="eastAsia" w:ascii="宋体" w:hAnsi="宋体" w:eastAsia="宋体"/>
          <w:szCs w:val="21"/>
        </w:rPr>
        <w:t xml:space="preserve">                 大写：</w:t>
      </w:r>
      <w:r>
        <w:rPr>
          <w:rFonts w:hint="eastAsia" w:ascii="宋体" w:hAnsi="宋体" w:eastAsia="宋体"/>
          <w:szCs w:val="21"/>
          <w:u w:val="single"/>
        </w:rPr>
        <w:t xml:space="preserve">                           </w:t>
      </w:r>
    </w:p>
    <w:p w14:paraId="731542BE">
      <w:pPr>
        <w:adjustRightInd w:val="0"/>
        <w:snapToGrid w:val="0"/>
        <w:spacing w:line="400" w:lineRule="exact"/>
        <w:rPr>
          <w:rFonts w:hint="eastAsia" w:ascii="宋体" w:hAnsi="宋体" w:eastAsia="宋体"/>
          <w:szCs w:val="21"/>
        </w:rPr>
      </w:pPr>
      <w:r>
        <w:rPr>
          <w:rFonts w:hint="eastAsia" w:ascii="宋体" w:hAnsi="宋体" w:eastAsia="宋体"/>
          <w:szCs w:val="21"/>
        </w:rPr>
        <w:t xml:space="preserve">         分包金额（如有）小写：</w:t>
      </w:r>
      <w:r>
        <w:rPr>
          <w:rFonts w:hint="eastAsia" w:ascii="宋体" w:hAnsi="宋体" w:eastAsia="宋体"/>
          <w:szCs w:val="21"/>
          <w:u w:val="single"/>
        </w:rPr>
        <w:t xml:space="preserve">                   </w:t>
      </w:r>
    </w:p>
    <w:p w14:paraId="00501E67">
      <w:pPr>
        <w:adjustRightInd w:val="0"/>
        <w:snapToGrid w:val="0"/>
        <w:spacing w:line="400" w:lineRule="exact"/>
        <w:rPr>
          <w:rFonts w:hint="eastAsia" w:ascii="宋体" w:hAnsi="宋体" w:eastAsia="宋体"/>
          <w:szCs w:val="21"/>
          <w:u w:val="single"/>
        </w:rPr>
      </w:pPr>
      <w:r>
        <w:rPr>
          <w:rFonts w:hint="eastAsia" w:ascii="宋体" w:hAnsi="宋体" w:eastAsia="宋体"/>
          <w:szCs w:val="21"/>
        </w:rPr>
        <w:t xml:space="preserve">                     大写：</w:t>
      </w:r>
      <w:r>
        <w:rPr>
          <w:rFonts w:hint="eastAsia" w:ascii="宋体" w:hAnsi="宋体" w:eastAsia="宋体"/>
          <w:szCs w:val="21"/>
          <w:u w:val="single"/>
        </w:rPr>
        <w:t xml:space="preserve">                       </w:t>
      </w:r>
    </w:p>
    <w:p w14:paraId="1C6AFB2F">
      <w:pPr>
        <w:adjustRightInd w:val="0"/>
        <w:snapToGrid w:val="0"/>
        <w:spacing w:line="400" w:lineRule="exact"/>
        <w:rPr>
          <w:rFonts w:hint="eastAsia" w:ascii="宋体" w:hAnsi="宋体" w:eastAsia="宋体"/>
          <w:szCs w:val="21"/>
        </w:rPr>
      </w:pPr>
      <w:r>
        <w:rPr>
          <w:rFonts w:hint="eastAsia" w:ascii="宋体" w:hAnsi="宋体" w:eastAsia="宋体"/>
          <w:szCs w:val="21"/>
        </w:rPr>
        <w:t xml:space="preserve">    （注：固定单价合同应填写单价和最高限价）</w:t>
      </w:r>
    </w:p>
    <w:p w14:paraId="6A49F3E6">
      <w:pPr>
        <w:numPr>
          <w:ilvl w:val="255"/>
          <w:numId w:val="0"/>
        </w:numPr>
        <w:adjustRightInd w:val="0"/>
        <w:snapToGrid w:val="0"/>
        <w:spacing w:line="400" w:lineRule="exact"/>
        <w:rPr>
          <w:rFonts w:hint="eastAsia" w:ascii="宋体" w:hAnsi="宋体" w:eastAsia="宋体"/>
          <w:szCs w:val="21"/>
        </w:rPr>
      </w:pPr>
      <w:r>
        <w:rPr>
          <w:rFonts w:hint="eastAsia" w:ascii="宋体" w:hAnsi="宋体" w:eastAsia="宋体"/>
          <w:szCs w:val="21"/>
        </w:rPr>
        <w:t xml:space="preserve">    （2）合同定价方式（采用组合定价方式的，可以勾选多项）：</w:t>
      </w:r>
    </w:p>
    <w:p w14:paraId="6B950BA6">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iCs/>
          <w:szCs w:val="21"/>
        </w:rPr>
        <w:t xml:space="preserve">  </w:t>
      </w:r>
      <w:r>
        <w:rPr>
          <w:rFonts w:hint="eastAsia" w:ascii="宋体" w:hAnsi="宋体" w:eastAsia="宋体"/>
          <w:iCs/>
          <w:szCs w:val="21"/>
        </w:rPr>
        <w:sym w:font="Wingdings" w:char="00A8"/>
      </w:r>
      <w:r>
        <w:rPr>
          <w:rFonts w:hint="eastAsia" w:ascii="宋体" w:hAnsi="宋体" w:eastAsia="宋体"/>
          <w:iCs/>
          <w:szCs w:val="21"/>
        </w:rPr>
        <w:t xml:space="preserve">固定总价 </w:t>
      </w:r>
      <w:r>
        <w:rPr>
          <w:rFonts w:hint="eastAsia" w:ascii="宋体" w:hAnsi="宋体" w:eastAsia="宋体"/>
          <w:iCs/>
          <w:szCs w:val="21"/>
        </w:rPr>
        <w:sym w:font="Wingdings" w:char="00A8"/>
      </w:r>
      <w:r>
        <w:rPr>
          <w:rFonts w:hint="eastAsia" w:ascii="宋体" w:hAnsi="宋体" w:eastAsia="宋体"/>
          <w:iCs/>
          <w:szCs w:val="21"/>
        </w:rPr>
        <w:t xml:space="preserve">固定单价 </w:t>
      </w:r>
      <w:r>
        <w:rPr>
          <w:rFonts w:hint="eastAsia" w:ascii="宋体" w:hAnsi="宋体" w:eastAsia="宋体"/>
          <w:iCs/>
          <w:szCs w:val="21"/>
        </w:rPr>
        <w:sym w:font="Wingdings" w:char="00A8"/>
      </w:r>
      <w:r>
        <w:rPr>
          <w:rFonts w:hint="eastAsia" w:ascii="宋体" w:hAnsi="宋体" w:eastAsia="宋体"/>
          <w:iCs/>
          <w:szCs w:val="21"/>
        </w:rPr>
        <w:t xml:space="preserve">固定费率 </w:t>
      </w:r>
      <w:r>
        <w:rPr>
          <w:rFonts w:hint="eastAsia" w:ascii="宋体" w:hAnsi="宋体" w:eastAsia="宋体"/>
          <w:iCs/>
          <w:szCs w:val="21"/>
        </w:rPr>
        <w:sym w:font="Wingdings" w:char="00A8"/>
      </w:r>
      <w:r>
        <w:rPr>
          <w:rFonts w:hint="eastAsia" w:ascii="宋体" w:hAnsi="宋体" w:eastAsia="宋体"/>
          <w:iCs/>
          <w:szCs w:val="21"/>
        </w:rPr>
        <w:t xml:space="preserve">成本补偿 </w:t>
      </w:r>
      <w:r>
        <w:rPr>
          <w:rFonts w:hint="eastAsia" w:ascii="宋体" w:hAnsi="宋体" w:eastAsia="宋体"/>
          <w:iCs/>
          <w:szCs w:val="21"/>
        </w:rPr>
        <w:sym w:font="Wingdings" w:char="00A8"/>
      </w:r>
      <w:r>
        <w:rPr>
          <w:rFonts w:hint="eastAsia" w:ascii="宋体" w:hAnsi="宋体" w:eastAsia="宋体"/>
          <w:iCs/>
          <w:szCs w:val="21"/>
        </w:rPr>
        <w:t xml:space="preserve">绩效激励 </w:t>
      </w:r>
      <w:r>
        <w:rPr>
          <w:rFonts w:hint="eastAsia" w:ascii="宋体" w:hAnsi="宋体" w:eastAsia="宋体"/>
          <w:iCs/>
          <w:szCs w:val="21"/>
        </w:rPr>
        <w:sym w:font="Wingdings" w:char="00A8"/>
      </w:r>
      <w:r>
        <w:rPr>
          <w:rFonts w:hint="eastAsia" w:ascii="宋体" w:hAnsi="宋体" w:eastAsia="宋体"/>
          <w:iCs/>
          <w:szCs w:val="21"/>
        </w:rPr>
        <w:t>其他</w:t>
      </w:r>
      <w:r>
        <w:rPr>
          <w:rFonts w:hint="eastAsia" w:ascii="宋体" w:hAnsi="宋体" w:eastAsia="宋体"/>
          <w:szCs w:val="21"/>
          <w:u w:val="single"/>
        </w:rPr>
        <w:t xml:space="preserve">       </w:t>
      </w:r>
    </w:p>
    <w:p w14:paraId="42B8FE8A">
      <w:pPr>
        <w:spacing w:line="400" w:lineRule="exact"/>
        <w:ind w:firstLine="420" w:firstLineChars="200"/>
        <w:rPr>
          <w:rFonts w:ascii="Times New Roman" w:hAnsi="Times New Roman" w:eastAsia="宋体" w:cs="Times New Roman"/>
          <w:szCs w:val="21"/>
        </w:rPr>
      </w:pPr>
      <w:r>
        <w:rPr>
          <w:rFonts w:hint="eastAsia" w:ascii="宋体" w:hAnsi="宋体" w:eastAsia="宋体" w:cs="Times New Roman"/>
          <w:szCs w:val="21"/>
        </w:rPr>
        <w:t>（3）付款方式（按项目实际勾选填写）：</w:t>
      </w:r>
    </w:p>
    <w:p w14:paraId="7A3E6BC9">
      <w:pPr>
        <w:adjustRightInd w:val="0"/>
        <w:snapToGrid w:val="0"/>
        <w:spacing w:line="400" w:lineRule="exact"/>
        <w:ind w:firstLine="630" w:firstLineChars="300"/>
        <w:rPr>
          <w:rFonts w:hint="eastAsia" w:ascii="宋体" w:hAnsi="宋体" w:eastAsia="宋体"/>
          <w:szCs w:val="21"/>
          <w:u w:val="single"/>
        </w:rPr>
      </w:pPr>
      <w:r>
        <w:rPr>
          <w:rFonts w:hint="eastAsia" w:ascii="宋体" w:hAnsi="宋体" w:eastAsia="宋体"/>
          <w:szCs w:val="21"/>
        </w:rPr>
        <w:sym w:font="Wingdings" w:char="00A8"/>
      </w:r>
      <w:r>
        <w:rPr>
          <w:rFonts w:hint="eastAsia" w:ascii="宋体" w:hAnsi="宋体" w:eastAsia="宋体"/>
          <w:szCs w:val="21"/>
        </w:rPr>
        <w:t>全额付款：</w:t>
      </w:r>
      <w:r>
        <w:rPr>
          <w:rFonts w:hint="eastAsia" w:ascii="宋体" w:hAnsi="宋体" w:eastAsia="宋体"/>
          <w:szCs w:val="21"/>
          <w:u w:val="single"/>
        </w:rPr>
        <w:t xml:space="preserve">     （应明确一次性支付合同款项的条件）                    </w:t>
      </w:r>
    </w:p>
    <w:p w14:paraId="562761E1">
      <w:pPr>
        <w:snapToGrid w:val="0"/>
        <w:spacing w:line="400" w:lineRule="exact"/>
        <w:ind w:firstLine="630" w:firstLineChars="300"/>
        <w:rPr>
          <w:rFonts w:eastAsia="宋体"/>
        </w:rPr>
      </w:pPr>
      <w:r>
        <w:rPr>
          <w:rFonts w:hint="eastAsia" w:ascii="宋体" w:hAnsi="宋体" w:eastAsia="宋体"/>
          <w:szCs w:val="21"/>
        </w:rPr>
        <w:sym w:font="Wingdings" w:char="00A8"/>
      </w:r>
      <w:r>
        <w:rPr>
          <w:rFonts w:hint="eastAsia" w:ascii="宋体" w:hAnsi="宋体" w:eastAsia="宋体"/>
          <w:szCs w:val="21"/>
        </w:rPr>
        <w:t>分期付款：</w:t>
      </w:r>
      <w:r>
        <w:rPr>
          <w:rFonts w:hint="eastAsia" w:ascii="宋体" w:hAnsi="宋体" w:eastAsia="宋体"/>
          <w:szCs w:val="21"/>
          <w:u w:val="single"/>
        </w:rPr>
        <w:t xml:space="preserve">  （应明确分期支付合同款项的各期比例和支付条件，各期支付条件应与分期履约验收情况挂钩） </w:t>
      </w:r>
      <w:r>
        <w:rPr>
          <w:rFonts w:hint="eastAsia" w:ascii="宋体" w:hAnsi="宋体" w:eastAsia="宋体"/>
          <w:szCs w:val="21"/>
        </w:rPr>
        <w:t>，其中涉及预付款的：</w:t>
      </w:r>
      <w:r>
        <w:rPr>
          <w:rFonts w:hint="eastAsia" w:ascii="宋体" w:hAnsi="宋体" w:eastAsia="宋体"/>
          <w:szCs w:val="21"/>
          <w:u w:val="single"/>
        </w:rPr>
        <w:t xml:space="preserve"> （应明确预付款的支付比例和支付条件） </w:t>
      </w:r>
    </w:p>
    <w:p w14:paraId="4C2448DB">
      <w:pPr>
        <w:adjustRightInd w:val="0"/>
        <w:snapToGrid w:val="0"/>
        <w:spacing w:line="400" w:lineRule="exact"/>
        <w:ind w:firstLine="630" w:firstLineChars="300"/>
        <w:rPr>
          <w:rFonts w:hint="eastAsia" w:ascii="宋体" w:hAnsi="宋体" w:eastAsia="宋体"/>
          <w:szCs w:val="21"/>
          <w:u w:val="single"/>
        </w:rPr>
      </w:pPr>
      <w:r>
        <w:rPr>
          <w:rFonts w:hint="eastAsia" w:ascii="宋体" w:hAnsi="宋体" w:eastAsia="宋体"/>
          <w:szCs w:val="21"/>
        </w:rPr>
        <w:sym w:font="Wingdings" w:char="00A8"/>
      </w:r>
      <w:r>
        <w:rPr>
          <w:rFonts w:hint="eastAsia" w:ascii="宋体" w:hAnsi="宋体" w:eastAsia="宋体"/>
          <w:szCs w:val="21"/>
        </w:rPr>
        <w:t>成本补偿：</w:t>
      </w:r>
      <w:r>
        <w:rPr>
          <w:rFonts w:hint="eastAsia" w:ascii="宋体" w:hAnsi="宋体" w:eastAsia="宋体"/>
          <w:szCs w:val="21"/>
          <w:u w:val="single"/>
        </w:rPr>
        <w:t xml:space="preserve">      （应明确按照成本补偿方式的支付方式和支付条件）   </w:t>
      </w:r>
    </w:p>
    <w:p w14:paraId="1DEAC3B6">
      <w:pPr>
        <w:adjustRightInd w:val="0"/>
        <w:snapToGrid w:val="0"/>
        <w:spacing w:line="400" w:lineRule="exact"/>
        <w:ind w:firstLine="630" w:firstLineChars="300"/>
        <w:rPr>
          <w:rFonts w:hint="eastAsia" w:ascii="宋体" w:hAnsi="宋体" w:eastAsia="宋体"/>
          <w:szCs w:val="21"/>
        </w:rPr>
      </w:pPr>
      <w:r>
        <w:rPr>
          <w:rFonts w:hint="eastAsia" w:ascii="宋体" w:hAnsi="宋体" w:eastAsia="宋体"/>
          <w:szCs w:val="21"/>
        </w:rPr>
        <w:sym w:font="Wingdings" w:char="00A8"/>
      </w:r>
      <w:r>
        <w:rPr>
          <w:rFonts w:hint="eastAsia" w:ascii="宋体" w:hAnsi="宋体" w:eastAsia="宋体"/>
          <w:szCs w:val="21"/>
        </w:rPr>
        <w:t>绩效激励：</w:t>
      </w:r>
      <w:r>
        <w:rPr>
          <w:rFonts w:hint="eastAsia" w:ascii="宋体" w:hAnsi="宋体" w:eastAsia="宋体"/>
          <w:szCs w:val="21"/>
          <w:u w:val="single"/>
        </w:rPr>
        <w:t xml:space="preserve">      （应明确按照绩效激励方式的支付方式和支付条件）   </w:t>
      </w:r>
    </w:p>
    <w:p w14:paraId="40FAC9EA">
      <w:pPr>
        <w:numPr>
          <w:ilvl w:val="0"/>
          <w:numId w:val="6"/>
        </w:numPr>
        <w:adjustRightInd w:val="0"/>
        <w:snapToGrid w:val="0"/>
        <w:spacing w:line="400" w:lineRule="exact"/>
        <w:ind w:firstLine="422" w:firstLineChars="200"/>
        <w:rPr>
          <w:rFonts w:hint="eastAsia" w:ascii="宋体" w:hAnsi="宋体" w:eastAsia="宋体"/>
          <w:b/>
          <w:szCs w:val="21"/>
          <w:u w:val="single"/>
        </w:rPr>
      </w:pPr>
      <w:r>
        <w:rPr>
          <w:rFonts w:hint="eastAsia" w:ascii="宋体" w:hAnsi="宋体" w:eastAsia="宋体"/>
          <w:b/>
          <w:szCs w:val="21"/>
        </w:rPr>
        <w:t>合同履行</w:t>
      </w:r>
    </w:p>
    <w:p w14:paraId="3E885327">
      <w:pPr>
        <w:adjustRightInd w:val="0"/>
        <w:snapToGri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（1）起始日期：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日，完成日期：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p w14:paraId="570162E5">
      <w:pPr>
        <w:adjustRightInd w:val="0"/>
        <w:snapToGrid w:val="0"/>
        <w:spacing w:line="400" w:lineRule="exact"/>
        <w:ind w:firstLine="420" w:firstLineChars="200"/>
        <w:rPr>
          <w:rFonts w:hint="eastAsia" w:ascii="宋体" w:hAnsi="宋体" w:eastAsia="宋体" w:cs="宋体"/>
          <w:szCs w:val="21"/>
          <w:u w:val="single"/>
        </w:rPr>
      </w:pPr>
      <w:r>
        <w:rPr>
          <w:rFonts w:hint="eastAsia" w:ascii="宋体" w:hAnsi="宋体" w:eastAsia="宋体" w:cs="宋体"/>
          <w:szCs w:val="21"/>
        </w:rPr>
        <w:t>（2）履约地点</w:t>
      </w:r>
      <w:r>
        <w:rPr>
          <w:rFonts w:hint="eastAsia" w:ascii="宋体" w:hAnsi="宋体" w:eastAsia="宋体" w:cs="宋体"/>
          <w:bCs/>
          <w:szCs w:val="21"/>
        </w:rPr>
        <w:t>：</w:t>
      </w:r>
      <w:r>
        <w:rPr>
          <w:rFonts w:hint="eastAsia" w:ascii="宋体" w:hAnsi="宋体" w:eastAsia="宋体" w:cs="宋体"/>
          <w:szCs w:val="21"/>
          <w:u w:val="single"/>
        </w:rPr>
        <w:t xml:space="preserve">                             </w:t>
      </w:r>
    </w:p>
    <w:p w14:paraId="14399BD7">
      <w:pPr>
        <w:adjustRightInd w:val="0"/>
        <w:snapToGrid w:val="0"/>
        <w:spacing w:line="400" w:lineRule="exact"/>
        <w:ind w:firstLine="420" w:firstLineChars="200"/>
        <w:rPr>
          <w:rFonts w:hint="eastAsia" w:ascii="宋体" w:hAnsi="宋体" w:eastAsia="宋体" w:cs="宋体"/>
          <w:szCs w:val="21"/>
        </w:rPr>
      </w:pPr>
      <w:r>
        <w:rPr>
          <w:rFonts w:hint="eastAsia" w:ascii="宋体" w:hAnsi="宋体" w:eastAsia="宋体" w:cs="宋体"/>
          <w:bCs/>
          <w:szCs w:val="21"/>
        </w:rPr>
        <w:t>（3）履约担保：</w:t>
      </w:r>
      <w:r>
        <w:rPr>
          <w:rFonts w:hint="eastAsia" w:ascii="宋体" w:hAnsi="宋体" w:eastAsia="宋体" w:cs="宋体"/>
        </w:rPr>
        <w:t>是否收取履约保证金：</w:t>
      </w:r>
      <w:r>
        <w:rPr>
          <w:rFonts w:hint="eastAsia" w:ascii="宋体" w:hAnsi="宋体" w:eastAsia="宋体" w:cs="宋体"/>
          <w:szCs w:val="21"/>
        </w:rPr>
        <w:sym w:font="Wingdings" w:char="00A8"/>
      </w:r>
      <w:r>
        <w:rPr>
          <w:rFonts w:hint="eastAsia" w:ascii="宋体" w:hAnsi="宋体" w:eastAsia="宋体" w:cs="宋体"/>
          <w:szCs w:val="21"/>
        </w:rPr>
        <w:t xml:space="preserve">是    </w:t>
      </w:r>
      <w:r>
        <w:rPr>
          <w:rFonts w:hint="eastAsia" w:ascii="宋体" w:hAnsi="宋体" w:eastAsia="宋体" w:cs="宋体"/>
          <w:szCs w:val="21"/>
        </w:rPr>
        <w:sym w:font="Wingdings" w:char="00A8"/>
      </w:r>
      <w:r>
        <w:rPr>
          <w:rFonts w:hint="eastAsia" w:ascii="宋体" w:hAnsi="宋体" w:eastAsia="宋体" w:cs="宋体"/>
          <w:szCs w:val="21"/>
        </w:rPr>
        <w:t>否</w:t>
      </w:r>
    </w:p>
    <w:p w14:paraId="537A229B">
      <w:pPr>
        <w:autoSpaceDE w:val="0"/>
        <w:autoSpaceDN w:val="0"/>
        <w:adjustRightInd w:val="0"/>
        <w:spacing w:line="400" w:lineRule="exact"/>
        <w:ind w:firstLine="440" w:firstLineChars="200"/>
        <w:rPr>
          <w:rFonts w:hint="eastAsia" w:ascii="宋体" w:hAnsi="宋体" w:eastAsia="宋体" w:cs="宋体"/>
          <w:szCs w:val="21"/>
        </w:rPr>
      </w:pPr>
      <w:r>
        <w:rPr>
          <w:rFonts w:hint="eastAsia" w:ascii="宋体" w:hAnsi="宋体" w:eastAsia="华文楷体" w:cs="宋体"/>
          <w:bCs/>
          <w:sz w:val="22"/>
          <w:szCs w:val="21"/>
        </w:rPr>
        <w:t xml:space="preserve">  </w:t>
      </w:r>
      <w:r>
        <w:rPr>
          <w:rFonts w:hint="eastAsia" w:ascii="宋体" w:hAnsi="宋体" w:eastAsia="宋体" w:cs="宋体"/>
          <w:szCs w:val="21"/>
        </w:rPr>
        <w:t xml:space="preserve">  收取履约保证金形式：</w:t>
      </w:r>
      <w:r>
        <w:rPr>
          <w:rFonts w:hint="eastAsia" w:ascii="宋体" w:hAnsi="宋体" w:eastAsia="宋体" w:cs="宋体"/>
          <w:bCs/>
          <w:szCs w:val="21"/>
          <w:u w:val="single"/>
        </w:rPr>
        <w:t xml:space="preserve">                            </w:t>
      </w:r>
    </w:p>
    <w:p w14:paraId="6C1C1E9D">
      <w:pPr>
        <w:autoSpaceDE w:val="0"/>
        <w:autoSpaceDN w:val="0"/>
        <w:adjustRightIn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 xml:space="preserve">    收取履约保证金金额：</w:t>
      </w:r>
      <w:r>
        <w:rPr>
          <w:rFonts w:hint="eastAsia" w:ascii="宋体" w:hAnsi="宋体" w:eastAsia="宋体" w:cs="宋体"/>
          <w:bCs/>
          <w:szCs w:val="21"/>
          <w:u w:val="single"/>
        </w:rPr>
        <w:t xml:space="preserve">                            </w:t>
      </w:r>
    </w:p>
    <w:p w14:paraId="0ECB06C1">
      <w:pPr>
        <w:snapToGrid w:val="0"/>
        <w:spacing w:line="400" w:lineRule="exact"/>
        <w:ind w:firstLine="420" w:firstLineChars="200"/>
        <w:rPr>
          <w:rFonts w:hint="eastAsia" w:ascii="宋体" w:hAnsi="宋体" w:eastAsia="宋体" w:cs="宋体"/>
        </w:rPr>
      </w:pPr>
      <w:r>
        <w:rPr>
          <w:rFonts w:hint="eastAsia" w:ascii="宋体" w:hAnsi="宋体" w:eastAsia="宋体" w:cs="宋体"/>
          <w:bCs/>
          <w:szCs w:val="21"/>
        </w:rPr>
        <w:t xml:space="preserve">    履约担保期限：</w:t>
      </w:r>
      <w:r>
        <w:rPr>
          <w:rFonts w:hint="eastAsia" w:ascii="宋体" w:hAnsi="宋体" w:eastAsia="宋体" w:cs="宋体"/>
          <w:bCs/>
          <w:szCs w:val="21"/>
          <w:u w:val="single"/>
        </w:rPr>
        <w:t xml:space="preserve">                                  </w:t>
      </w:r>
    </w:p>
    <w:p w14:paraId="0E7E8DC7">
      <w:pPr>
        <w:adjustRightInd w:val="0"/>
        <w:snapToGrid w:val="0"/>
        <w:spacing w:line="400" w:lineRule="exact"/>
        <w:ind w:firstLine="420" w:firstLineChars="200"/>
        <w:rPr>
          <w:rFonts w:hint="eastAsia" w:ascii="宋体" w:hAnsi="宋体" w:eastAsia="宋体" w:cs="宋体"/>
          <w:bCs/>
          <w:szCs w:val="21"/>
        </w:rPr>
      </w:pPr>
      <w:r>
        <w:rPr>
          <w:rFonts w:hint="eastAsia" w:ascii="宋体" w:hAnsi="宋体" w:eastAsia="宋体" w:cs="宋体"/>
          <w:bCs/>
          <w:szCs w:val="21"/>
        </w:rPr>
        <w:t>（4）分期履行要求：</w:t>
      </w:r>
      <w:r>
        <w:rPr>
          <w:rFonts w:hint="eastAsia" w:ascii="宋体" w:hAnsi="宋体" w:eastAsia="宋体" w:cs="宋体"/>
          <w:bCs/>
          <w:szCs w:val="21"/>
          <w:u w:val="single"/>
        </w:rPr>
        <w:t xml:space="preserve">                                                        </w:t>
      </w:r>
    </w:p>
    <w:p w14:paraId="50533ED1">
      <w:pPr>
        <w:adjustRightInd w:val="0"/>
        <w:snapToGrid w:val="0"/>
        <w:spacing w:line="400" w:lineRule="exact"/>
        <w:ind w:firstLine="420" w:firstLineChars="200"/>
        <w:rPr>
          <w:rFonts w:hint="eastAsia" w:ascii="宋体" w:hAnsi="宋体" w:eastAsia="宋体" w:cs="宋体"/>
          <w:szCs w:val="21"/>
          <w:u w:val="single"/>
        </w:rPr>
      </w:pPr>
      <w:r>
        <w:rPr>
          <w:rFonts w:hint="eastAsia" w:ascii="宋体" w:hAnsi="宋体" w:eastAsia="宋体" w:cs="宋体"/>
          <w:bCs/>
          <w:szCs w:val="21"/>
        </w:rPr>
        <w:t>（5）风险处置措施和替代方案：</w:t>
      </w:r>
      <w:r>
        <w:rPr>
          <w:rFonts w:hint="eastAsia" w:ascii="宋体" w:hAnsi="宋体" w:eastAsia="宋体" w:cs="宋体"/>
          <w:color w:val="0000FF"/>
          <w:szCs w:val="21"/>
          <w:u w:val="single"/>
        </w:rPr>
        <w:t xml:space="preserve"> </w:t>
      </w:r>
      <w:r>
        <w:rPr>
          <w:rFonts w:hint="eastAsia" w:ascii="宋体" w:hAnsi="宋体" w:eastAsia="宋体" w:cs="宋体"/>
          <w:color w:val="000000"/>
          <w:szCs w:val="21"/>
          <w:u w:val="single"/>
        </w:rPr>
        <w:t xml:space="preserve">              </w:t>
      </w:r>
      <w:r>
        <w:rPr>
          <w:rFonts w:hint="eastAsia" w:ascii="宋体" w:hAnsi="宋体" w:eastAsia="宋体" w:cs="宋体"/>
          <w:szCs w:val="21"/>
          <w:u w:val="single"/>
        </w:rPr>
        <w:t xml:space="preserve">                                                </w:t>
      </w:r>
    </w:p>
    <w:p w14:paraId="671A2DFB">
      <w:pPr>
        <w:numPr>
          <w:ilvl w:val="0"/>
          <w:numId w:val="6"/>
        </w:numPr>
        <w:adjustRightInd w:val="0"/>
        <w:snapToGrid w:val="0"/>
        <w:spacing w:line="400" w:lineRule="exact"/>
        <w:ind w:firstLine="422" w:firstLineChars="200"/>
        <w:rPr>
          <w:rFonts w:hint="eastAsia" w:ascii="宋体" w:hAnsi="宋体" w:eastAsia="宋体"/>
          <w:b/>
          <w:szCs w:val="21"/>
        </w:rPr>
      </w:pPr>
      <w:r>
        <w:rPr>
          <w:rFonts w:hint="eastAsia" w:ascii="宋体" w:hAnsi="宋体" w:eastAsia="宋体"/>
          <w:b/>
          <w:szCs w:val="21"/>
        </w:rPr>
        <w:t>合同验收</w:t>
      </w:r>
    </w:p>
    <w:p w14:paraId="0C90DA5E">
      <w:pPr>
        <w:numPr>
          <w:ilvl w:val="0"/>
          <w:numId w:val="8"/>
        </w:numPr>
        <w:adjustRightInd w:val="0"/>
        <w:snapToGrid w:val="0"/>
        <w:spacing w:line="400" w:lineRule="exact"/>
        <w:ind w:firstLine="420" w:firstLineChars="200"/>
        <w:rPr>
          <w:rFonts w:hint="eastAsia" w:ascii="宋体" w:hAnsi="宋体" w:eastAsia="宋体"/>
          <w:bCs/>
          <w:szCs w:val="21"/>
        </w:rPr>
      </w:pPr>
      <w:r>
        <w:rPr>
          <w:rFonts w:hint="eastAsia" w:ascii="宋体" w:hAnsi="宋体" w:eastAsia="宋体"/>
          <w:bCs/>
          <w:szCs w:val="21"/>
        </w:rPr>
        <w:t>验收组织方式：</w:t>
      </w:r>
      <w:r>
        <w:rPr>
          <w:rFonts w:hint="eastAsia" w:ascii="宋体" w:hAnsi="宋体" w:eastAsia="宋体" w:cs="宋体"/>
          <w:szCs w:val="21"/>
        </w:rPr>
        <w:sym w:font="Wingdings" w:char="00A8"/>
      </w:r>
      <w:r>
        <w:rPr>
          <w:rFonts w:hint="eastAsia" w:ascii="宋体" w:hAnsi="宋体" w:eastAsia="宋体"/>
          <w:bCs/>
          <w:szCs w:val="21"/>
        </w:rPr>
        <w:t xml:space="preserve">自行组织 </w:t>
      </w:r>
      <w:r>
        <w:rPr>
          <w:rFonts w:hint="eastAsia" w:ascii="宋体" w:hAnsi="宋体" w:eastAsia="宋体" w:cs="宋体"/>
          <w:szCs w:val="21"/>
        </w:rPr>
        <w:sym w:font="Wingdings" w:char="00A8"/>
      </w:r>
      <w:r>
        <w:rPr>
          <w:rFonts w:hint="eastAsia" w:ascii="宋体" w:hAnsi="宋体" w:eastAsia="宋体"/>
          <w:bCs/>
          <w:szCs w:val="21"/>
        </w:rPr>
        <w:t>委托第三方组织</w:t>
      </w:r>
    </w:p>
    <w:p w14:paraId="78426EF9">
      <w:pPr>
        <w:adjustRightInd w:val="0"/>
        <w:snapToGrid w:val="0"/>
        <w:spacing w:line="400" w:lineRule="exact"/>
        <w:rPr>
          <w:rFonts w:hint="eastAsia" w:ascii="宋体" w:hAnsi="宋体" w:eastAsia="宋体"/>
          <w:bCs/>
          <w:szCs w:val="21"/>
        </w:rPr>
      </w:pPr>
      <w:r>
        <w:rPr>
          <w:rFonts w:hint="eastAsia" w:ascii="宋体" w:hAnsi="宋体" w:eastAsia="宋体"/>
          <w:bCs/>
          <w:szCs w:val="21"/>
        </w:rPr>
        <w:t xml:space="preserve">         验收主体：</w:t>
      </w:r>
      <w:r>
        <w:rPr>
          <w:rFonts w:hint="eastAsia" w:ascii="宋体" w:hAnsi="宋体" w:eastAsia="宋体"/>
          <w:bCs/>
          <w:szCs w:val="21"/>
          <w:u w:val="single"/>
        </w:rPr>
        <w:t xml:space="preserve">                  </w:t>
      </w:r>
    </w:p>
    <w:p w14:paraId="1F8F8B04">
      <w:pPr>
        <w:adjustRightInd w:val="0"/>
        <w:snapToGrid w:val="0"/>
        <w:spacing w:line="400" w:lineRule="exact"/>
        <w:rPr>
          <w:rFonts w:hint="eastAsia" w:ascii="宋体" w:hAnsi="宋体" w:eastAsia="宋体"/>
          <w:bCs/>
          <w:szCs w:val="21"/>
        </w:rPr>
      </w:pPr>
      <w:r>
        <w:rPr>
          <w:rFonts w:hint="eastAsia" w:ascii="宋体" w:hAnsi="宋体" w:eastAsia="宋体"/>
          <w:bCs/>
          <w:szCs w:val="21"/>
        </w:rPr>
        <w:t xml:space="preserve">        是否邀请本项目的其他供应商参加验收：</w:t>
      </w:r>
      <w:r>
        <w:rPr>
          <w:rFonts w:hint="eastAsia" w:ascii="宋体" w:hAnsi="宋体" w:eastAsia="宋体" w:cs="宋体"/>
          <w:szCs w:val="21"/>
        </w:rPr>
        <w:sym w:font="Wingdings" w:char="00A8"/>
      </w:r>
      <w:r>
        <w:rPr>
          <w:rFonts w:hint="eastAsia" w:ascii="宋体" w:hAnsi="宋体" w:eastAsia="宋体"/>
          <w:bCs/>
          <w:szCs w:val="21"/>
        </w:rPr>
        <w:t xml:space="preserve">是  </w:t>
      </w:r>
      <w:r>
        <w:rPr>
          <w:rFonts w:hint="eastAsia" w:ascii="宋体" w:hAnsi="宋体" w:eastAsia="宋体" w:cs="宋体"/>
          <w:szCs w:val="21"/>
        </w:rPr>
        <w:sym w:font="Wingdings" w:char="00A8"/>
      </w:r>
      <w:r>
        <w:rPr>
          <w:rFonts w:hint="eastAsia" w:ascii="宋体" w:hAnsi="宋体" w:eastAsia="宋体"/>
          <w:bCs/>
          <w:szCs w:val="21"/>
        </w:rPr>
        <w:t>否</w:t>
      </w:r>
    </w:p>
    <w:p w14:paraId="69EE628A">
      <w:pPr>
        <w:adjustRightInd w:val="0"/>
        <w:snapToGrid w:val="0"/>
        <w:spacing w:line="400" w:lineRule="exact"/>
        <w:ind w:firstLine="840" w:firstLineChars="400"/>
        <w:rPr>
          <w:rFonts w:hint="eastAsia" w:ascii="宋体" w:hAnsi="宋体" w:eastAsia="宋体"/>
          <w:bCs/>
          <w:szCs w:val="21"/>
        </w:rPr>
      </w:pPr>
      <w:r>
        <w:rPr>
          <w:rFonts w:hint="eastAsia" w:ascii="宋体" w:hAnsi="宋体" w:eastAsia="宋体"/>
          <w:bCs/>
          <w:szCs w:val="21"/>
        </w:rPr>
        <w:t>是否邀请专家参加验收：</w:t>
      </w:r>
      <w:r>
        <w:rPr>
          <w:rFonts w:hint="eastAsia" w:ascii="宋体" w:hAnsi="宋体" w:eastAsia="宋体" w:cs="宋体"/>
          <w:szCs w:val="21"/>
        </w:rPr>
        <w:sym w:font="Wingdings" w:char="00A8"/>
      </w:r>
      <w:r>
        <w:rPr>
          <w:rFonts w:hint="eastAsia" w:ascii="宋体" w:hAnsi="宋体" w:eastAsia="宋体"/>
          <w:bCs/>
          <w:szCs w:val="21"/>
        </w:rPr>
        <w:t xml:space="preserve">是  </w:t>
      </w:r>
      <w:r>
        <w:rPr>
          <w:rFonts w:hint="eastAsia" w:ascii="宋体" w:hAnsi="宋体" w:eastAsia="宋体" w:cs="宋体"/>
          <w:szCs w:val="21"/>
        </w:rPr>
        <w:sym w:font="Wingdings" w:char="00A8"/>
      </w:r>
      <w:r>
        <w:rPr>
          <w:rFonts w:hint="eastAsia" w:ascii="宋体" w:hAnsi="宋体" w:eastAsia="宋体"/>
          <w:bCs/>
          <w:szCs w:val="21"/>
        </w:rPr>
        <w:t>否</w:t>
      </w:r>
    </w:p>
    <w:p w14:paraId="346441ED">
      <w:pPr>
        <w:adjustRightInd w:val="0"/>
        <w:snapToGrid w:val="0"/>
        <w:spacing w:line="400" w:lineRule="exact"/>
        <w:ind w:firstLine="840" w:firstLineChars="400"/>
        <w:rPr>
          <w:rFonts w:hint="eastAsia" w:ascii="宋体" w:hAnsi="宋体" w:eastAsia="宋体"/>
          <w:bCs/>
          <w:szCs w:val="21"/>
        </w:rPr>
      </w:pPr>
      <w:r>
        <w:rPr>
          <w:rFonts w:hint="eastAsia" w:ascii="宋体" w:hAnsi="宋体" w:eastAsia="宋体"/>
          <w:bCs/>
          <w:szCs w:val="21"/>
        </w:rPr>
        <w:t>是否邀请服务对象参加验收：</w:t>
      </w:r>
      <w:r>
        <w:rPr>
          <w:rFonts w:hint="eastAsia" w:ascii="宋体" w:hAnsi="宋体" w:eastAsia="宋体" w:cs="宋体"/>
          <w:szCs w:val="21"/>
        </w:rPr>
        <w:sym w:font="Wingdings" w:char="00A8"/>
      </w:r>
      <w:r>
        <w:rPr>
          <w:rFonts w:hint="eastAsia" w:ascii="宋体" w:hAnsi="宋体" w:eastAsia="宋体"/>
          <w:bCs/>
          <w:szCs w:val="21"/>
        </w:rPr>
        <w:t xml:space="preserve">是  </w:t>
      </w:r>
      <w:r>
        <w:rPr>
          <w:rFonts w:hint="eastAsia" w:ascii="宋体" w:hAnsi="宋体" w:eastAsia="宋体" w:cs="宋体"/>
          <w:szCs w:val="21"/>
        </w:rPr>
        <w:sym w:font="Wingdings" w:char="00A8"/>
      </w:r>
      <w:r>
        <w:rPr>
          <w:rFonts w:hint="eastAsia" w:ascii="宋体" w:hAnsi="宋体" w:eastAsia="宋体"/>
          <w:bCs/>
          <w:szCs w:val="21"/>
        </w:rPr>
        <w:t>否</w:t>
      </w:r>
    </w:p>
    <w:p w14:paraId="2DCC04C6">
      <w:pPr>
        <w:adjustRightInd w:val="0"/>
        <w:snapToGrid w:val="0"/>
        <w:spacing w:line="400" w:lineRule="exact"/>
        <w:ind w:firstLine="840" w:firstLineChars="400"/>
        <w:rPr>
          <w:rFonts w:hint="eastAsia" w:ascii="宋体" w:hAnsi="宋体" w:eastAsia="宋体"/>
          <w:bCs/>
          <w:szCs w:val="21"/>
        </w:rPr>
      </w:pPr>
      <w:r>
        <w:rPr>
          <w:rFonts w:hint="eastAsia" w:ascii="宋体" w:hAnsi="宋体" w:eastAsia="宋体"/>
          <w:bCs/>
          <w:szCs w:val="21"/>
        </w:rPr>
        <w:t>是否邀请第三方检测机构参加验收：</w:t>
      </w:r>
      <w:r>
        <w:rPr>
          <w:rFonts w:hint="eastAsia" w:ascii="宋体" w:hAnsi="宋体" w:eastAsia="宋体" w:cs="宋体"/>
          <w:szCs w:val="21"/>
        </w:rPr>
        <w:sym w:font="Wingdings" w:char="00A8"/>
      </w:r>
      <w:r>
        <w:rPr>
          <w:rFonts w:hint="eastAsia" w:ascii="宋体" w:hAnsi="宋体" w:eastAsia="宋体"/>
          <w:bCs/>
          <w:szCs w:val="21"/>
        </w:rPr>
        <w:t xml:space="preserve">是  </w:t>
      </w:r>
      <w:r>
        <w:rPr>
          <w:rFonts w:hint="eastAsia" w:ascii="宋体" w:hAnsi="宋体" w:eastAsia="宋体" w:cs="宋体"/>
          <w:szCs w:val="21"/>
        </w:rPr>
        <w:sym w:font="Wingdings" w:char="00A8"/>
      </w:r>
      <w:r>
        <w:rPr>
          <w:rFonts w:hint="eastAsia" w:ascii="宋体" w:hAnsi="宋体" w:eastAsia="宋体"/>
          <w:bCs/>
          <w:szCs w:val="21"/>
        </w:rPr>
        <w:t>否</w:t>
      </w:r>
    </w:p>
    <w:p w14:paraId="79588F4D">
      <w:pPr>
        <w:adjustRightInd w:val="0"/>
        <w:snapToGrid w:val="0"/>
        <w:spacing w:line="400" w:lineRule="exact"/>
        <w:ind w:firstLine="840" w:firstLineChars="400"/>
        <w:rPr>
          <w:rFonts w:hint="eastAsia" w:ascii="宋体" w:hAnsi="宋体" w:eastAsia="宋体"/>
          <w:bCs/>
          <w:szCs w:val="21"/>
        </w:rPr>
      </w:pPr>
      <w:r>
        <w:rPr>
          <w:rFonts w:hint="eastAsia" w:ascii="宋体" w:hAnsi="宋体" w:eastAsia="宋体"/>
          <w:bCs/>
          <w:szCs w:val="21"/>
        </w:rPr>
        <w:t>是否进行抽查检测：</w:t>
      </w:r>
      <w:r>
        <w:rPr>
          <w:rFonts w:hint="eastAsia" w:ascii="宋体" w:hAnsi="宋体" w:eastAsia="宋体" w:cs="宋体"/>
          <w:szCs w:val="21"/>
        </w:rPr>
        <w:sym w:font="Wingdings" w:char="00A8"/>
      </w:r>
      <w:r>
        <w:rPr>
          <w:rFonts w:hint="eastAsia" w:ascii="宋体" w:hAnsi="宋体" w:eastAsia="宋体"/>
          <w:bCs/>
          <w:szCs w:val="21"/>
        </w:rPr>
        <w:t>是，抽查比例：</w:t>
      </w:r>
      <w:r>
        <w:rPr>
          <w:rFonts w:hint="eastAsia" w:ascii="宋体" w:hAnsi="宋体" w:eastAsia="宋体"/>
          <w:bCs/>
          <w:szCs w:val="21"/>
          <w:u w:val="single"/>
        </w:rPr>
        <w:t xml:space="preserve">        </w:t>
      </w:r>
      <w:r>
        <w:rPr>
          <w:rFonts w:hint="eastAsia" w:ascii="宋体" w:hAnsi="宋体" w:eastAsia="宋体"/>
          <w:bCs/>
          <w:szCs w:val="21"/>
        </w:rPr>
        <w:t xml:space="preserve"> </w:t>
      </w:r>
      <w:r>
        <w:rPr>
          <w:rFonts w:hint="eastAsia" w:ascii="宋体" w:hAnsi="宋体" w:eastAsia="宋体" w:cs="宋体"/>
          <w:szCs w:val="21"/>
        </w:rPr>
        <w:sym w:font="Wingdings" w:char="00A8"/>
      </w:r>
      <w:r>
        <w:rPr>
          <w:rFonts w:hint="eastAsia" w:ascii="宋体" w:hAnsi="宋体" w:eastAsia="宋体"/>
          <w:bCs/>
          <w:szCs w:val="21"/>
        </w:rPr>
        <w:t>否</w:t>
      </w:r>
    </w:p>
    <w:p w14:paraId="0418A3EA">
      <w:pPr>
        <w:adjustRightInd w:val="0"/>
        <w:snapToGrid w:val="0"/>
        <w:spacing w:line="400" w:lineRule="exact"/>
        <w:ind w:firstLine="840" w:firstLineChars="400"/>
        <w:rPr>
          <w:rFonts w:hint="eastAsia" w:ascii="宋体" w:hAnsi="宋体" w:eastAsia="宋体"/>
          <w:bCs/>
          <w:szCs w:val="21"/>
          <w:u w:val="single"/>
        </w:rPr>
      </w:pPr>
      <w:r>
        <w:rPr>
          <w:rFonts w:hint="eastAsia" w:ascii="宋体" w:hAnsi="宋体" w:eastAsia="宋体"/>
          <w:bCs/>
          <w:szCs w:val="21"/>
        </w:rPr>
        <w:t>是否存在破坏性检测：</w:t>
      </w:r>
      <w:r>
        <w:rPr>
          <w:rFonts w:hint="eastAsia" w:ascii="宋体" w:hAnsi="宋体" w:eastAsia="宋体" w:cs="宋体"/>
          <w:szCs w:val="21"/>
        </w:rPr>
        <w:sym w:font="Wingdings" w:char="00A8"/>
      </w:r>
      <w:r>
        <w:rPr>
          <w:rFonts w:hint="eastAsia" w:ascii="宋体" w:hAnsi="宋体" w:eastAsia="宋体"/>
          <w:bCs/>
          <w:szCs w:val="21"/>
        </w:rPr>
        <w:t>是，</w:t>
      </w:r>
      <w:r>
        <w:rPr>
          <w:rFonts w:hint="eastAsia" w:ascii="宋体" w:hAnsi="宋体" w:eastAsia="宋体"/>
          <w:bCs/>
          <w:szCs w:val="21"/>
          <w:u w:val="single"/>
        </w:rPr>
        <w:t>（应明确对被破坏的检测产品的处理方式）</w:t>
      </w:r>
    </w:p>
    <w:p w14:paraId="3E4677EE">
      <w:pPr>
        <w:adjustRightInd w:val="0"/>
        <w:snapToGrid w:val="0"/>
        <w:spacing w:line="400" w:lineRule="exact"/>
        <w:ind w:firstLine="840" w:firstLineChars="400"/>
        <w:rPr>
          <w:rFonts w:hint="eastAsia" w:ascii="宋体" w:hAnsi="宋体" w:eastAsia="宋体"/>
          <w:bCs/>
          <w:szCs w:val="21"/>
        </w:rPr>
      </w:pPr>
      <w:r>
        <w:rPr>
          <w:rFonts w:hint="eastAsia" w:ascii="宋体" w:hAnsi="宋体" w:eastAsia="宋体"/>
          <w:bCs/>
          <w:szCs w:val="21"/>
        </w:rPr>
        <w:t xml:space="preserve">                    </w:t>
      </w:r>
      <w:r>
        <w:rPr>
          <w:rFonts w:hint="eastAsia" w:ascii="宋体" w:hAnsi="宋体" w:eastAsia="宋体" w:cs="宋体"/>
          <w:szCs w:val="21"/>
        </w:rPr>
        <w:sym w:font="Wingdings" w:char="00A8"/>
      </w:r>
      <w:r>
        <w:rPr>
          <w:rFonts w:hint="eastAsia" w:ascii="宋体" w:hAnsi="宋体" w:eastAsia="宋体"/>
          <w:bCs/>
          <w:szCs w:val="21"/>
        </w:rPr>
        <w:t>否</w:t>
      </w:r>
    </w:p>
    <w:p w14:paraId="2A9731F2">
      <w:pPr>
        <w:adjustRightInd w:val="0"/>
        <w:snapToGrid w:val="0"/>
        <w:spacing w:line="400" w:lineRule="exact"/>
        <w:ind w:firstLine="840" w:firstLineChars="400"/>
        <w:rPr>
          <w:rFonts w:hint="eastAsia" w:ascii="宋体" w:hAnsi="宋体" w:eastAsia="宋体"/>
          <w:bCs/>
          <w:szCs w:val="21"/>
          <w:u w:val="single"/>
        </w:rPr>
      </w:pPr>
      <w:r>
        <w:rPr>
          <w:rFonts w:hint="eastAsia" w:ascii="宋体" w:hAnsi="宋体" w:eastAsia="宋体"/>
          <w:bCs/>
          <w:szCs w:val="21"/>
        </w:rPr>
        <w:t>验收组织的其他事项：</w:t>
      </w:r>
      <w:r>
        <w:rPr>
          <w:rFonts w:hint="eastAsia" w:ascii="宋体" w:hAnsi="宋体" w:eastAsia="宋体"/>
          <w:bCs/>
          <w:szCs w:val="21"/>
          <w:u w:val="single"/>
        </w:rPr>
        <w:t xml:space="preserve">                </w:t>
      </w:r>
    </w:p>
    <w:p w14:paraId="6DD539DB">
      <w:pPr>
        <w:adjustRightInd w:val="0"/>
        <w:snapToGrid w:val="0"/>
        <w:spacing w:line="400" w:lineRule="exact"/>
        <w:ind w:firstLine="420" w:firstLineChars="200"/>
        <w:rPr>
          <w:rFonts w:hint="eastAsia" w:ascii="宋体" w:hAnsi="宋体" w:eastAsia="宋体"/>
          <w:bCs/>
          <w:szCs w:val="21"/>
          <w:u w:val="single"/>
        </w:rPr>
      </w:pPr>
      <w:r>
        <w:rPr>
          <w:rFonts w:hint="eastAsia" w:ascii="宋体" w:hAnsi="宋体" w:eastAsia="宋体"/>
          <w:bCs/>
          <w:szCs w:val="21"/>
        </w:rPr>
        <w:t>（2）履约验收时间：</w:t>
      </w:r>
      <w:r>
        <w:rPr>
          <w:rFonts w:hint="eastAsia" w:ascii="宋体" w:hAnsi="宋体" w:eastAsia="宋体"/>
          <w:bCs/>
          <w:szCs w:val="21"/>
          <w:u w:val="single"/>
        </w:rPr>
        <w:t xml:space="preserve">（计划于何时验收/供应商提出验收申请之日起   日内组织验收） </w:t>
      </w:r>
    </w:p>
    <w:p w14:paraId="3F5E05DF">
      <w:pPr>
        <w:adjustRightInd w:val="0"/>
        <w:snapToGrid w:val="0"/>
        <w:spacing w:line="400" w:lineRule="exact"/>
        <w:ind w:firstLine="420" w:firstLineChars="200"/>
        <w:rPr>
          <w:rFonts w:hint="eastAsia" w:ascii="宋体" w:hAnsi="宋体" w:eastAsia="宋体"/>
          <w:bCs/>
          <w:szCs w:val="21"/>
        </w:rPr>
      </w:pPr>
      <w:r>
        <w:rPr>
          <w:rFonts w:hint="eastAsia" w:ascii="宋体" w:hAnsi="宋体" w:eastAsia="宋体"/>
          <w:bCs/>
          <w:szCs w:val="21"/>
        </w:rPr>
        <w:t>（3）履约验收方式：</w:t>
      </w:r>
      <w:r>
        <w:rPr>
          <w:rFonts w:hint="eastAsia" w:ascii="宋体" w:hAnsi="宋体" w:eastAsia="宋体" w:cs="宋体"/>
          <w:szCs w:val="21"/>
        </w:rPr>
        <w:sym w:font="Wingdings" w:char="00A8"/>
      </w:r>
      <w:r>
        <w:rPr>
          <w:rFonts w:hint="eastAsia" w:ascii="宋体" w:hAnsi="宋体" w:eastAsia="宋体"/>
          <w:bCs/>
          <w:szCs w:val="21"/>
        </w:rPr>
        <w:t xml:space="preserve">一次性验收         </w:t>
      </w:r>
    </w:p>
    <w:p w14:paraId="045C5D7B">
      <w:pPr>
        <w:adjustRightInd w:val="0"/>
        <w:snapToGrid w:val="0"/>
        <w:spacing w:line="400" w:lineRule="exact"/>
        <w:rPr>
          <w:rFonts w:hint="eastAsia" w:ascii="宋体" w:hAnsi="宋体" w:eastAsia="宋体"/>
          <w:bCs/>
          <w:szCs w:val="21"/>
        </w:rPr>
      </w:pPr>
      <w:r>
        <w:rPr>
          <w:rFonts w:hint="eastAsia" w:ascii="宋体" w:hAnsi="宋体" w:eastAsia="宋体"/>
          <w:bCs/>
          <w:szCs w:val="21"/>
        </w:rPr>
        <w:t xml:space="preserve">                       </w:t>
      </w:r>
      <w:r>
        <w:rPr>
          <w:rFonts w:hint="eastAsia" w:ascii="宋体" w:hAnsi="宋体" w:eastAsia="宋体" w:cs="宋体"/>
          <w:szCs w:val="21"/>
        </w:rPr>
        <w:sym w:font="Wingdings" w:char="00A8"/>
      </w:r>
      <w:r>
        <w:rPr>
          <w:rFonts w:hint="eastAsia" w:ascii="宋体" w:hAnsi="宋体" w:eastAsia="宋体"/>
          <w:bCs/>
          <w:szCs w:val="21"/>
        </w:rPr>
        <w:t>分期/分项验收：</w:t>
      </w:r>
      <w:r>
        <w:rPr>
          <w:rFonts w:hint="eastAsia" w:ascii="宋体" w:hAnsi="宋体" w:eastAsia="宋体"/>
          <w:bCs/>
          <w:szCs w:val="21"/>
          <w:u w:val="single"/>
        </w:rPr>
        <w:t xml:space="preserve"> （应明确分期</w:t>
      </w:r>
      <w:r>
        <w:rPr>
          <w:rFonts w:ascii="宋体" w:hAnsi="宋体" w:eastAsia="宋体"/>
          <w:bCs/>
          <w:szCs w:val="21"/>
          <w:u w:val="single"/>
          <w:lang w:val="en"/>
        </w:rPr>
        <w:t>/</w:t>
      </w:r>
      <w:r>
        <w:rPr>
          <w:rFonts w:hint="eastAsia" w:ascii="宋体" w:hAnsi="宋体" w:eastAsia="宋体"/>
          <w:bCs/>
          <w:szCs w:val="21"/>
          <w:u w:val="single"/>
          <w:lang w:val="en"/>
        </w:rPr>
        <w:t>分项验收的工作安排</w:t>
      </w:r>
      <w:r>
        <w:rPr>
          <w:rFonts w:hint="eastAsia" w:ascii="宋体" w:hAnsi="宋体" w:eastAsia="宋体"/>
          <w:bCs/>
          <w:szCs w:val="21"/>
          <w:u w:val="single"/>
        </w:rPr>
        <w:t xml:space="preserve">）  </w:t>
      </w:r>
    </w:p>
    <w:p w14:paraId="24472260">
      <w:pPr>
        <w:adjustRightInd w:val="0"/>
        <w:snapToGrid w:val="0"/>
        <w:spacing w:line="400" w:lineRule="exact"/>
        <w:ind w:firstLine="420" w:firstLineChars="200"/>
        <w:rPr>
          <w:rFonts w:hint="eastAsia" w:ascii="宋体" w:hAnsi="宋体" w:eastAsia="宋体"/>
          <w:bCs/>
          <w:szCs w:val="21"/>
        </w:rPr>
      </w:pPr>
      <w:r>
        <w:rPr>
          <w:rFonts w:hint="eastAsia" w:ascii="宋体" w:hAnsi="宋体" w:eastAsia="宋体"/>
          <w:bCs/>
          <w:szCs w:val="21"/>
        </w:rPr>
        <w:t>（4）履约验收程序：</w:t>
      </w:r>
      <w:r>
        <w:rPr>
          <w:rFonts w:hint="eastAsia" w:ascii="宋体" w:hAnsi="宋体" w:eastAsia="宋体"/>
          <w:bCs/>
          <w:szCs w:val="21"/>
          <w:u w:val="single"/>
        </w:rPr>
        <w:t xml:space="preserve">                                         </w:t>
      </w:r>
    </w:p>
    <w:p w14:paraId="2B78EB72">
      <w:pPr>
        <w:adjustRightInd w:val="0"/>
        <w:snapToGrid w:val="0"/>
        <w:spacing w:line="400" w:lineRule="exact"/>
        <w:ind w:firstLine="420" w:firstLineChars="200"/>
        <w:rPr>
          <w:rFonts w:hint="eastAsia" w:ascii="宋体" w:hAnsi="宋体" w:eastAsia="宋体"/>
          <w:bCs/>
          <w:szCs w:val="21"/>
          <w:u w:val="single"/>
        </w:rPr>
      </w:pPr>
      <w:r>
        <w:rPr>
          <w:rFonts w:hint="eastAsia" w:ascii="宋体" w:hAnsi="宋体" w:eastAsia="宋体"/>
          <w:bCs/>
          <w:szCs w:val="21"/>
        </w:rPr>
        <w:t>（5）履约验收的内容：</w:t>
      </w:r>
      <w:r>
        <w:rPr>
          <w:rFonts w:hint="eastAsia" w:ascii="宋体" w:hAnsi="宋体" w:eastAsia="宋体"/>
          <w:bCs/>
          <w:szCs w:val="21"/>
          <w:u w:val="single"/>
        </w:rPr>
        <w:t xml:space="preserve"> （应当包括每一项技术和商务要求的履约情况，特别是落实政府采购扶持中小企业，支持绿色发展和乡村振兴等政策情况）                                      </w:t>
      </w:r>
    </w:p>
    <w:p w14:paraId="5BD48468">
      <w:pPr>
        <w:adjustRightInd w:val="0"/>
        <w:snapToGrid w:val="0"/>
        <w:spacing w:line="400" w:lineRule="exact"/>
        <w:ind w:firstLine="420" w:firstLineChars="200"/>
        <w:rPr>
          <w:rFonts w:hint="eastAsia" w:ascii="宋体" w:hAnsi="宋体" w:eastAsia="宋体"/>
          <w:bCs/>
          <w:szCs w:val="21"/>
          <w:u w:val="single"/>
        </w:rPr>
      </w:pPr>
      <w:r>
        <w:rPr>
          <w:rFonts w:hint="eastAsia" w:ascii="宋体" w:hAnsi="宋体" w:eastAsia="宋体"/>
          <w:bCs/>
          <w:szCs w:val="21"/>
        </w:rPr>
        <w:t>（6）履约验收标准：</w:t>
      </w:r>
      <w:r>
        <w:rPr>
          <w:rFonts w:hint="eastAsia" w:ascii="宋体" w:hAnsi="宋体" w:eastAsia="宋体"/>
          <w:bCs/>
          <w:szCs w:val="21"/>
          <w:u w:val="single"/>
        </w:rPr>
        <w:t xml:space="preserve">                                         </w:t>
      </w:r>
    </w:p>
    <w:p w14:paraId="03FFF4EB">
      <w:pPr>
        <w:autoSpaceDE w:val="0"/>
        <w:autoSpaceDN w:val="0"/>
        <w:adjustRightInd w:val="0"/>
        <w:spacing w:line="400" w:lineRule="exact"/>
        <w:ind w:firstLine="420" w:firstLineChars="200"/>
        <w:rPr>
          <w:rFonts w:hint="eastAsia" w:ascii="宋体" w:hAnsi="宋体" w:eastAsia="宋体" w:cs="宋体"/>
          <w:szCs w:val="21"/>
        </w:rPr>
      </w:pPr>
      <w:r>
        <w:rPr>
          <w:rFonts w:hint="eastAsia" w:ascii="宋体" w:hAnsi="宋体" w:eastAsia="宋体" w:cs="宋体"/>
          <w:bCs/>
          <w:szCs w:val="21"/>
        </w:rPr>
        <w:t>（7）是否以采购活动中供应商提供的样品作为参考：</w:t>
      </w:r>
      <w:r>
        <w:rPr>
          <w:rFonts w:hint="eastAsia" w:ascii="宋体" w:hAnsi="宋体" w:eastAsia="宋体" w:cs="宋体"/>
          <w:szCs w:val="21"/>
        </w:rPr>
        <w:sym w:font="Wingdings" w:char="00A8"/>
      </w:r>
      <w:r>
        <w:rPr>
          <w:rFonts w:hint="eastAsia" w:ascii="宋体" w:hAnsi="宋体" w:eastAsia="宋体" w:cs="宋体"/>
          <w:bCs/>
          <w:szCs w:val="21"/>
        </w:rPr>
        <w:t xml:space="preserve">是  </w:t>
      </w:r>
      <w:r>
        <w:rPr>
          <w:rFonts w:hint="eastAsia" w:ascii="宋体" w:hAnsi="宋体" w:eastAsia="宋体" w:cs="宋体"/>
          <w:szCs w:val="21"/>
        </w:rPr>
        <w:sym w:font="Wingdings" w:char="00A8"/>
      </w:r>
      <w:r>
        <w:rPr>
          <w:rFonts w:hint="eastAsia" w:ascii="宋体" w:hAnsi="宋体" w:eastAsia="宋体" w:cs="宋体"/>
          <w:bCs/>
          <w:szCs w:val="21"/>
        </w:rPr>
        <w:t>否</w:t>
      </w:r>
    </w:p>
    <w:p w14:paraId="3C4F5E48">
      <w:pPr>
        <w:adjustRightInd w:val="0"/>
        <w:snapToGrid w:val="0"/>
        <w:spacing w:line="400" w:lineRule="exact"/>
        <w:ind w:firstLine="420" w:firstLineChars="200"/>
        <w:rPr>
          <w:rFonts w:hint="eastAsia" w:ascii="宋体" w:hAnsi="宋体" w:eastAsia="宋体" w:cs="宋体"/>
          <w:bCs/>
          <w:szCs w:val="21"/>
          <w:u w:val="single"/>
        </w:rPr>
      </w:pPr>
      <w:r>
        <w:rPr>
          <w:rFonts w:hint="eastAsia" w:ascii="宋体" w:hAnsi="宋体" w:eastAsia="宋体" w:cs="宋体"/>
          <w:bCs/>
          <w:szCs w:val="21"/>
        </w:rPr>
        <w:t>（8）履约验收其他事项：</w:t>
      </w:r>
      <w:r>
        <w:rPr>
          <w:rFonts w:hint="eastAsia" w:ascii="宋体" w:hAnsi="宋体" w:eastAsia="宋体" w:cs="宋体"/>
          <w:bCs/>
          <w:szCs w:val="21"/>
          <w:u w:val="single"/>
        </w:rPr>
        <w:t xml:space="preserve">      （产权过户登记等）          </w:t>
      </w:r>
    </w:p>
    <w:p w14:paraId="30CC1B75">
      <w:pPr>
        <w:numPr>
          <w:ilvl w:val="0"/>
          <w:numId w:val="6"/>
        </w:numPr>
        <w:adjustRightInd w:val="0"/>
        <w:snapToGrid w:val="0"/>
        <w:spacing w:line="400" w:lineRule="exact"/>
        <w:ind w:firstLine="422" w:firstLineChars="200"/>
        <w:rPr>
          <w:rFonts w:hint="eastAsia" w:ascii="宋体" w:hAnsi="宋体" w:eastAsia="宋体"/>
          <w:b/>
          <w:szCs w:val="21"/>
        </w:rPr>
      </w:pPr>
      <w:r>
        <w:rPr>
          <w:rFonts w:hint="eastAsia" w:ascii="宋体" w:hAnsi="宋体" w:eastAsia="宋体"/>
          <w:b/>
          <w:szCs w:val="21"/>
        </w:rPr>
        <w:t>组成合同的文件</w:t>
      </w:r>
    </w:p>
    <w:p w14:paraId="20A3FF98">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本协议书与下列文件一起构成合同文件，如下述文件之间有任何抵触、矛盾或歧义，应按以下顺序解释：</w:t>
      </w:r>
    </w:p>
    <w:p w14:paraId="140D32A4">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（1）政府采购合同协议书及其变更、补充协议</w:t>
      </w:r>
    </w:p>
    <w:p w14:paraId="0FF69DE4">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（2）政府采购合同专用条款</w:t>
      </w:r>
    </w:p>
    <w:p w14:paraId="73FB9746">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（3）政府采购合同通用条款</w:t>
      </w:r>
    </w:p>
    <w:p w14:paraId="59DFBFBC">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（4）中标（成交）通知书</w:t>
      </w:r>
    </w:p>
    <w:p w14:paraId="4B3067CE">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（5）投标（响应）文件</w:t>
      </w:r>
    </w:p>
    <w:p w14:paraId="2221D85D">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（6）采购文件</w:t>
      </w:r>
    </w:p>
    <w:p w14:paraId="07351FFD">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（7）有关技术文件，图纸</w:t>
      </w:r>
    </w:p>
    <w:p w14:paraId="041CCDE6">
      <w:pPr>
        <w:autoSpaceDE w:val="0"/>
        <w:autoSpaceDN w:val="0"/>
        <w:adjustRightIn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（8）</w:t>
      </w:r>
      <w:r>
        <w:rPr>
          <w:rFonts w:hint="eastAsia" w:ascii="宋体" w:hAnsi="宋体" w:eastAsia="宋体" w:cs="宋体"/>
          <w:color w:val="000000"/>
          <w:szCs w:val="21"/>
        </w:rPr>
        <w:t>国家法律、行政法规和规章制度规定或合同约定的作为合同组成部分的其他文件</w:t>
      </w:r>
    </w:p>
    <w:p w14:paraId="4A502869">
      <w:pPr>
        <w:numPr>
          <w:ilvl w:val="0"/>
          <w:numId w:val="6"/>
        </w:numPr>
        <w:adjustRightInd w:val="0"/>
        <w:snapToGrid w:val="0"/>
        <w:spacing w:line="400" w:lineRule="exact"/>
        <w:ind w:firstLine="422" w:firstLineChars="200"/>
        <w:rPr>
          <w:rFonts w:hint="eastAsia" w:ascii="宋体" w:hAnsi="宋体" w:eastAsia="宋体"/>
          <w:b/>
          <w:szCs w:val="21"/>
        </w:rPr>
      </w:pPr>
      <w:r>
        <w:rPr>
          <w:rFonts w:hint="eastAsia" w:ascii="宋体" w:hAnsi="宋体" w:eastAsia="宋体"/>
          <w:b/>
          <w:szCs w:val="21"/>
        </w:rPr>
        <w:t>合同生效</w:t>
      </w:r>
    </w:p>
    <w:p w14:paraId="039E5833">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本合同自</w:t>
      </w:r>
      <w:r>
        <w:rPr>
          <w:rFonts w:hint="eastAsia" w:ascii="宋体" w:hAnsi="宋体" w:eastAsia="宋体"/>
          <w:szCs w:val="21"/>
          <w:u w:val="single"/>
        </w:rPr>
        <w:t xml:space="preserve">                             </w:t>
      </w:r>
      <w:r>
        <w:rPr>
          <w:rFonts w:hint="eastAsia" w:ascii="宋体" w:hAnsi="宋体" w:eastAsia="宋体"/>
          <w:szCs w:val="21"/>
        </w:rPr>
        <w:t>生效。</w:t>
      </w:r>
    </w:p>
    <w:p w14:paraId="1DF939CE">
      <w:pPr>
        <w:numPr>
          <w:ilvl w:val="0"/>
          <w:numId w:val="6"/>
        </w:numPr>
        <w:adjustRightInd w:val="0"/>
        <w:snapToGrid w:val="0"/>
        <w:spacing w:line="400" w:lineRule="exact"/>
        <w:ind w:firstLine="422" w:firstLineChars="200"/>
        <w:rPr>
          <w:rFonts w:hint="eastAsia" w:ascii="宋体" w:hAnsi="宋体" w:eastAsia="宋体"/>
          <w:b/>
          <w:szCs w:val="21"/>
        </w:rPr>
      </w:pPr>
      <w:r>
        <w:rPr>
          <w:rFonts w:hint="eastAsia" w:ascii="宋体" w:hAnsi="宋体" w:eastAsia="宋体"/>
          <w:b/>
          <w:szCs w:val="21"/>
        </w:rPr>
        <w:t>合同份数</w:t>
      </w:r>
    </w:p>
    <w:p w14:paraId="01ABC277">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本合同一式</w:t>
      </w:r>
      <w:r>
        <w:rPr>
          <w:rFonts w:hint="eastAsia" w:ascii="宋体" w:hAnsi="宋体" w:eastAsia="宋体"/>
          <w:szCs w:val="21"/>
          <w:u w:val="single"/>
        </w:rPr>
        <w:t xml:space="preserve">    </w:t>
      </w:r>
      <w:r>
        <w:rPr>
          <w:rFonts w:hint="eastAsia" w:ascii="宋体" w:hAnsi="宋体" w:eastAsia="宋体"/>
          <w:szCs w:val="21"/>
        </w:rPr>
        <w:t>份，甲方执</w:t>
      </w:r>
      <w:r>
        <w:rPr>
          <w:rFonts w:hint="eastAsia" w:ascii="宋体" w:hAnsi="宋体" w:eastAsia="宋体"/>
          <w:szCs w:val="21"/>
          <w:u w:val="single"/>
        </w:rPr>
        <w:t xml:space="preserve">    </w:t>
      </w:r>
      <w:r>
        <w:rPr>
          <w:rFonts w:hint="eastAsia" w:ascii="宋体" w:hAnsi="宋体" w:eastAsia="宋体"/>
          <w:szCs w:val="21"/>
        </w:rPr>
        <w:t>份，乙方执</w:t>
      </w:r>
      <w:r>
        <w:rPr>
          <w:rFonts w:hint="eastAsia" w:ascii="宋体" w:hAnsi="宋体" w:eastAsia="宋体"/>
          <w:szCs w:val="21"/>
          <w:u w:val="single"/>
        </w:rPr>
        <w:t xml:space="preserve">    </w:t>
      </w:r>
      <w:r>
        <w:rPr>
          <w:rFonts w:hint="eastAsia" w:ascii="宋体" w:hAnsi="宋体" w:eastAsia="宋体"/>
          <w:szCs w:val="21"/>
        </w:rPr>
        <w:t>份，均具有同等法律效力。</w:t>
      </w:r>
    </w:p>
    <w:p w14:paraId="5E406E7E">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合同订立时间：</w:t>
      </w:r>
      <w:r>
        <w:rPr>
          <w:rFonts w:hint="eastAsia" w:ascii="宋体" w:hAnsi="宋体" w:eastAsia="宋体"/>
          <w:szCs w:val="21"/>
          <w:u w:val="single"/>
        </w:rPr>
        <w:t xml:space="preserve">         </w:t>
      </w:r>
      <w:r>
        <w:rPr>
          <w:rFonts w:hint="eastAsia" w:ascii="宋体" w:hAnsi="宋体" w:eastAsia="宋体"/>
          <w:szCs w:val="21"/>
        </w:rPr>
        <w:t>年</w:t>
      </w:r>
      <w:r>
        <w:rPr>
          <w:rFonts w:hint="eastAsia" w:ascii="宋体" w:hAnsi="宋体" w:eastAsia="宋体"/>
          <w:szCs w:val="21"/>
          <w:u w:val="single"/>
        </w:rPr>
        <w:t xml:space="preserve">      </w:t>
      </w:r>
      <w:r>
        <w:rPr>
          <w:rFonts w:hint="eastAsia" w:ascii="宋体" w:hAnsi="宋体" w:eastAsia="宋体"/>
          <w:szCs w:val="21"/>
        </w:rPr>
        <w:t>月</w:t>
      </w:r>
      <w:r>
        <w:rPr>
          <w:rFonts w:hint="eastAsia" w:ascii="宋体" w:hAnsi="宋体" w:eastAsia="宋体"/>
          <w:szCs w:val="21"/>
          <w:u w:val="single"/>
        </w:rPr>
        <w:t xml:space="preserve">      </w:t>
      </w:r>
      <w:r>
        <w:rPr>
          <w:rFonts w:hint="eastAsia" w:ascii="宋体" w:hAnsi="宋体" w:eastAsia="宋体"/>
          <w:szCs w:val="21"/>
        </w:rPr>
        <w:t>日</w:t>
      </w:r>
    </w:p>
    <w:p w14:paraId="3D0485CF">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合同订立地点：</w:t>
      </w:r>
      <w:r>
        <w:rPr>
          <w:rFonts w:hint="eastAsia" w:ascii="宋体" w:hAnsi="宋体" w:eastAsia="宋体"/>
          <w:szCs w:val="21"/>
          <w:u w:val="single"/>
        </w:rPr>
        <w:t xml:space="preserve">                           </w:t>
      </w:r>
    </w:p>
    <w:p w14:paraId="3833A6D4">
      <w:pPr>
        <w:adjustRightInd w:val="0"/>
        <w:snapToGrid w:val="0"/>
        <w:spacing w:line="400" w:lineRule="exact"/>
        <w:ind w:firstLine="420" w:firstLineChars="200"/>
        <w:rPr>
          <w:rFonts w:eastAsia="宋体"/>
        </w:rPr>
      </w:pPr>
      <w:r>
        <w:rPr>
          <w:rFonts w:hint="eastAsia" w:ascii="宋体" w:hAnsi="宋体" w:eastAsia="宋体"/>
          <w:szCs w:val="21"/>
        </w:rPr>
        <w:t>附件：具体标的及其技术要求和商务要求、联合协议、分包意向协议等。</w:t>
      </w:r>
    </w:p>
    <w:p w14:paraId="024E27A8">
      <w:pPr>
        <w:rPr>
          <w:rFonts w:eastAsia="宋体"/>
        </w:rPr>
      </w:pPr>
      <w:r>
        <w:rPr>
          <w:rFonts w:hint="eastAsia" w:eastAsia="宋体"/>
        </w:rPr>
        <w:br w:type="page"/>
      </w:r>
    </w:p>
    <w:p w14:paraId="6FA363DD">
      <w:pPr>
        <w:ind w:firstLine="420" w:firstLineChars="200"/>
        <w:rPr>
          <w:rFonts w:ascii="Times New Roman" w:hAnsi="Times New Roman" w:eastAsia="宋体" w:cs="Times New Roman"/>
          <w:szCs w:val="21"/>
        </w:rPr>
      </w:pPr>
    </w:p>
    <w:tbl>
      <w:tblPr>
        <w:tblStyle w:val="17"/>
        <w:tblW w:w="8398" w:type="dxa"/>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1891"/>
        <w:gridCol w:w="2412"/>
        <w:gridCol w:w="1979"/>
        <w:gridCol w:w="2116"/>
      </w:tblGrid>
      <w:tr w14:paraId="2ED394E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4303" w:type="dxa"/>
            <w:gridSpan w:val="2"/>
            <w:tcBorders>
              <w:bottom w:val="single" w:color="auto" w:sz="2" w:space="0"/>
              <w:right w:val="single" w:color="auto" w:sz="2" w:space="0"/>
            </w:tcBorders>
            <w:vAlign w:val="center"/>
          </w:tcPr>
          <w:p w14:paraId="24F49B74">
            <w:pPr>
              <w:adjustRightInd w:val="0"/>
              <w:snapToGrid w:val="0"/>
              <w:spacing w:line="300" w:lineRule="exact"/>
              <w:jc w:val="center"/>
              <w:rPr>
                <w:rFonts w:eastAsia="宋体"/>
              </w:rPr>
            </w:pPr>
            <w:r>
              <w:rPr>
                <w:rFonts w:eastAsia="宋体"/>
                <w:szCs w:val="21"/>
              </w:rPr>
              <w:t>甲方</w:t>
            </w:r>
            <w:r>
              <w:rPr>
                <w:rFonts w:hint="eastAsia" w:eastAsia="宋体"/>
                <w:szCs w:val="21"/>
              </w:rPr>
              <w:t>（采购人</w:t>
            </w:r>
            <w:r>
              <w:rPr>
                <w:rFonts w:hint="eastAsia" w:ascii="宋体" w:hAnsi="宋体" w:eastAsia="宋体"/>
                <w:szCs w:val="21"/>
              </w:rPr>
              <w:t>、受采购人委托签订合同的单位或</w:t>
            </w:r>
            <w:r>
              <w:rPr>
                <w:rFonts w:hint="eastAsia" w:eastAsia="宋体"/>
                <w:szCs w:val="21"/>
              </w:rPr>
              <w:t>采购文件约定的合同甲方）</w:t>
            </w:r>
          </w:p>
        </w:tc>
        <w:tc>
          <w:tcPr>
            <w:tcW w:w="4095" w:type="dxa"/>
            <w:gridSpan w:val="2"/>
            <w:tcBorders>
              <w:left w:val="single" w:color="auto" w:sz="2" w:space="0"/>
              <w:bottom w:val="single" w:color="auto" w:sz="2" w:space="0"/>
            </w:tcBorders>
            <w:vAlign w:val="center"/>
          </w:tcPr>
          <w:p w14:paraId="06BE41A5">
            <w:pPr>
              <w:adjustRightInd w:val="0"/>
              <w:snapToGrid w:val="0"/>
              <w:spacing w:line="300" w:lineRule="exact"/>
              <w:jc w:val="center"/>
              <w:rPr>
                <w:rFonts w:eastAsia="宋体"/>
              </w:rPr>
            </w:pPr>
            <w:r>
              <w:rPr>
                <w:rFonts w:eastAsia="宋体"/>
                <w:szCs w:val="21"/>
              </w:rPr>
              <w:t>乙方</w:t>
            </w:r>
            <w:r>
              <w:rPr>
                <w:rFonts w:hint="eastAsia" w:eastAsia="宋体"/>
                <w:szCs w:val="21"/>
              </w:rPr>
              <w:t>（供应商）</w:t>
            </w:r>
          </w:p>
        </w:tc>
      </w:tr>
      <w:tr w14:paraId="7D218B5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891" w:type="dxa"/>
            <w:tcBorders>
              <w:top w:val="single" w:color="auto" w:sz="2" w:space="0"/>
              <w:bottom w:val="single" w:color="auto" w:sz="2" w:space="0"/>
              <w:right w:val="single" w:color="auto" w:sz="2" w:space="0"/>
            </w:tcBorders>
            <w:vAlign w:val="center"/>
          </w:tcPr>
          <w:p w14:paraId="34336D1F">
            <w:pPr>
              <w:adjustRightInd w:val="0"/>
              <w:snapToGrid w:val="0"/>
              <w:spacing w:line="300" w:lineRule="exact"/>
              <w:jc w:val="center"/>
              <w:rPr>
                <w:rFonts w:eastAsia="宋体"/>
                <w:szCs w:val="21"/>
              </w:rPr>
            </w:pPr>
            <w:r>
              <w:rPr>
                <w:rFonts w:eastAsia="宋体"/>
                <w:szCs w:val="21"/>
              </w:rPr>
              <w:t>单位名称</w:t>
            </w:r>
            <w:r>
              <w:rPr>
                <w:rFonts w:hint="eastAsia" w:eastAsia="宋体"/>
                <w:szCs w:val="21"/>
              </w:rPr>
              <w:t>（公章或合同章）</w:t>
            </w:r>
          </w:p>
        </w:tc>
        <w:tc>
          <w:tcPr>
            <w:tcW w:w="2412" w:type="dxa"/>
            <w:tcBorders>
              <w:top w:val="single" w:color="auto" w:sz="2" w:space="0"/>
              <w:left w:val="single" w:color="auto" w:sz="2" w:space="0"/>
              <w:bottom w:val="single" w:color="auto" w:sz="2" w:space="0"/>
              <w:right w:val="single" w:color="auto" w:sz="2" w:space="0"/>
            </w:tcBorders>
            <w:vAlign w:val="center"/>
          </w:tcPr>
          <w:p w14:paraId="458470DB">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42F6DCF2">
            <w:pPr>
              <w:adjustRightInd w:val="0"/>
              <w:snapToGrid w:val="0"/>
              <w:spacing w:line="300" w:lineRule="exact"/>
              <w:jc w:val="center"/>
              <w:rPr>
                <w:rFonts w:eastAsia="宋体"/>
                <w:szCs w:val="21"/>
              </w:rPr>
            </w:pPr>
            <w:r>
              <w:rPr>
                <w:rFonts w:eastAsia="宋体"/>
                <w:szCs w:val="21"/>
              </w:rPr>
              <w:t>单位名称</w:t>
            </w:r>
            <w:r>
              <w:rPr>
                <w:rFonts w:hint="eastAsia" w:eastAsia="宋体"/>
                <w:szCs w:val="21"/>
              </w:rPr>
              <w:t>（公章或合同章）</w:t>
            </w:r>
          </w:p>
        </w:tc>
        <w:tc>
          <w:tcPr>
            <w:tcW w:w="2116" w:type="dxa"/>
            <w:tcBorders>
              <w:top w:val="single" w:color="auto" w:sz="2" w:space="0"/>
              <w:left w:val="single" w:color="auto" w:sz="2" w:space="0"/>
              <w:bottom w:val="single" w:color="auto" w:sz="2" w:space="0"/>
            </w:tcBorders>
            <w:vAlign w:val="center"/>
          </w:tcPr>
          <w:p w14:paraId="7DA29EF0">
            <w:pPr>
              <w:adjustRightInd w:val="0"/>
              <w:snapToGrid w:val="0"/>
              <w:spacing w:line="300" w:lineRule="exact"/>
              <w:jc w:val="center"/>
              <w:rPr>
                <w:rFonts w:eastAsia="宋体"/>
                <w:spacing w:val="20"/>
                <w:szCs w:val="21"/>
              </w:rPr>
            </w:pPr>
          </w:p>
        </w:tc>
      </w:tr>
      <w:tr w14:paraId="54E32E1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891" w:type="dxa"/>
            <w:vMerge w:val="restart"/>
            <w:tcBorders>
              <w:top w:val="single" w:color="auto" w:sz="2" w:space="0"/>
              <w:right w:val="single" w:color="auto" w:sz="2" w:space="0"/>
            </w:tcBorders>
            <w:vAlign w:val="center"/>
          </w:tcPr>
          <w:p w14:paraId="09AEB391">
            <w:pPr>
              <w:adjustRightInd w:val="0"/>
              <w:snapToGrid w:val="0"/>
              <w:spacing w:line="300" w:lineRule="exact"/>
              <w:jc w:val="center"/>
              <w:rPr>
                <w:rFonts w:eastAsia="宋体"/>
                <w:szCs w:val="21"/>
              </w:rPr>
            </w:pPr>
            <w:r>
              <w:rPr>
                <w:rFonts w:eastAsia="宋体"/>
                <w:szCs w:val="21"/>
              </w:rPr>
              <w:t>法定代表人</w:t>
            </w:r>
          </w:p>
          <w:p w14:paraId="0DE09892">
            <w:pPr>
              <w:adjustRightInd w:val="0"/>
              <w:snapToGrid w:val="0"/>
              <w:spacing w:line="300" w:lineRule="exact"/>
              <w:ind w:firstLine="100" w:firstLineChars="48"/>
              <w:jc w:val="center"/>
              <w:rPr>
                <w:rFonts w:eastAsia="宋体"/>
                <w:szCs w:val="21"/>
              </w:rPr>
            </w:pPr>
            <w:r>
              <w:rPr>
                <w:rFonts w:hint="eastAsia" w:eastAsia="宋体"/>
                <w:szCs w:val="21"/>
              </w:rPr>
              <w:t>或其</w:t>
            </w:r>
            <w:r>
              <w:rPr>
                <w:rFonts w:eastAsia="宋体"/>
                <w:szCs w:val="21"/>
              </w:rPr>
              <w:t>委托代理人</w:t>
            </w:r>
            <w:r>
              <w:rPr>
                <w:rFonts w:hint="eastAsia" w:eastAsia="宋体"/>
                <w:szCs w:val="21"/>
              </w:rPr>
              <w:t>（签章）</w:t>
            </w:r>
          </w:p>
        </w:tc>
        <w:tc>
          <w:tcPr>
            <w:tcW w:w="2412" w:type="dxa"/>
            <w:vMerge w:val="restart"/>
            <w:tcBorders>
              <w:top w:val="single" w:color="auto" w:sz="2" w:space="0"/>
              <w:left w:val="single" w:color="auto" w:sz="2" w:space="0"/>
              <w:right w:val="single" w:color="auto" w:sz="2" w:space="0"/>
            </w:tcBorders>
            <w:vAlign w:val="center"/>
          </w:tcPr>
          <w:p w14:paraId="3F039E4B">
            <w:pPr>
              <w:adjustRightInd w:val="0"/>
              <w:snapToGrid w:val="0"/>
              <w:spacing w:line="300" w:lineRule="exact"/>
              <w:jc w:val="center"/>
              <w:rPr>
                <w:rFonts w:eastAsia="宋体"/>
                <w:szCs w:val="21"/>
              </w:rPr>
            </w:pPr>
          </w:p>
        </w:tc>
        <w:tc>
          <w:tcPr>
            <w:tcW w:w="1979" w:type="dxa"/>
            <w:tcBorders>
              <w:top w:val="single" w:color="auto" w:sz="2" w:space="0"/>
              <w:left w:val="single" w:color="auto" w:sz="2" w:space="0"/>
              <w:right w:val="single" w:color="auto" w:sz="2" w:space="0"/>
            </w:tcBorders>
            <w:vAlign w:val="center"/>
          </w:tcPr>
          <w:p w14:paraId="7A4E6EE3">
            <w:pPr>
              <w:adjustRightInd w:val="0"/>
              <w:snapToGrid w:val="0"/>
              <w:spacing w:line="300" w:lineRule="exact"/>
              <w:jc w:val="center"/>
              <w:rPr>
                <w:rFonts w:eastAsia="宋体"/>
                <w:szCs w:val="21"/>
              </w:rPr>
            </w:pPr>
            <w:r>
              <w:rPr>
                <w:rFonts w:eastAsia="宋体"/>
                <w:szCs w:val="21"/>
              </w:rPr>
              <w:t>法定代表人</w:t>
            </w:r>
          </w:p>
          <w:p w14:paraId="561B867C">
            <w:pPr>
              <w:adjustRightInd w:val="0"/>
              <w:snapToGrid w:val="0"/>
              <w:spacing w:line="300" w:lineRule="exact"/>
              <w:jc w:val="center"/>
              <w:rPr>
                <w:rFonts w:eastAsia="宋体"/>
                <w:szCs w:val="21"/>
              </w:rPr>
            </w:pPr>
            <w:r>
              <w:rPr>
                <w:rFonts w:hint="eastAsia" w:eastAsia="宋体"/>
                <w:szCs w:val="21"/>
              </w:rPr>
              <w:t>或其</w:t>
            </w:r>
            <w:r>
              <w:rPr>
                <w:rFonts w:eastAsia="宋体"/>
                <w:szCs w:val="21"/>
              </w:rPr>
              <w:t>委托代理人</w:t>
            </w:r>
            <w:r>
              <w:rPr>
                <w:rFonts w:hint="eastAsia" w:eastAsia="宋体"/>
                <w:szCs w:val="21"/>
              </w:rPr>
              <w:t>（签章）</w:t>
            </w:r>
          </w:p>
        </w:tc>
        <w:tc>
          <w:tcPr>
            <w:tcW w:w="2116" w:type="dxa"/>
            <w:tcBorders>
              <w:top w:val="single" w:color="auto" w:sz="2" w:space="0"/>
              <w:left w:val="single" w:color="auto" w:sz="2" w:space="0"/>
              <w:bottom w:val="single" w:color="auto" w:sz="2" w:space="0"/>
            </w:tcBorders>
            <w:vAlign w:val="center"/>
          </w:tcPr>
          <w:p w14:paraId="1E74ABA8">
            <w:pPr>
              <w:adjustRightInd w:val="0"/>
              <w:snapToGrid w:val="0"/>
              <w:spacing w:line="300" w:lineRule="exact"/>
              <w:jc w:val="center"/>
              <w:rPr>
                <w:rFonts w:eastAsia="宋体"/>
                <w:szCs w:val="21"/>
              </w:rPr>
            </w:pPr>
          </w:p>
        </w:tc>
      </w:tr>
      <w:tr w14:paraId="5D3883D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vMerge w:val="continue"/>
            <w:tcBorders>
              <w:bottom w:val="single" w:color="auto" w:sz="2" w:space="0"/>
              <w:right w:val="single" w:color="auto" w:sz="2" w:space="0"/>
            </w:tcBorders>
            <w:vAlign w:val="center"/>
          </w:tcPr>
          <w:p w14:paraId="1BBF2CA2">
            <w:pPr>
              <w:adjustRightInd w:val="0"/>
              <w:snapToGrid w:val="0"/>
              <w:spacing w:line="300" w:lineRule="exact"/>
              <w:jc w:val="center"/>
              <w:rPr>
                <w:rFonts w:eastAsia="宋体"/>
                <w:szCs w:val="21"/>
              </w:rPr>
            </w:pPr>
          </w:p>
        </w:tc>
        <w:tc>
          <w:tcPr>
            <w:tcW w:w="2412" w:type="dxa"/>
            <w:vMerge w:val="continue"/>
            <w:tcBorders>
              <w:left w:val="single" w:color="auto" w:sz="2" w:space="0"/>
              <w:bottom w:val="single" w:color="auto" w:sz="2" w:space="0"/>
              <w:right w:val="single" w:color="auto" w:sz="2" w:space="0"/>
            </w:tcBorders>
            <w:vAlign w:val="center"/>
          </w:tcPr>
          <w:p w14:paraId="5BC25E88">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398BB4E2">
            <w:pPr>
              <w:adjustRightInd w:val="0"/>
              <w:snapToGrid w:val="0"/>
              <w:spacing w:line="300" w:lineRule="exact"/>
              <w:jc w:val="center"/>
              <w:rPr>
                <w:rFonts w:eastAsia="宋体"/>
                <w:szCs w:val="21"/>
              </w:rPr>
            </w:pPr>
            <w:r>
              <w:rPr>
                <w:rFonts w:hint="eastAsia" w:eastAsia="宋体"/>
                <w:szCs w:val="21"/>
              </w:rPr>
              <w:t>拥有者性别</w:t>
            </w:r>
          </w:p>
        </w:tc>
        <w:tc>
          <w:tcPr>
            <w:tcW w:w="2116" w:type="dxa"/>
            <w:tcBorders>
              <w:top w:val="single" w:color="auto" w:sz="2" w:space="0"/>
              <w:left w:val="single" w:color="auto" w:sz="2" w:space="0"/>
              <w:bottom w:val="single" w:color="auto" w:sz="2" w:space="0"/>
            </w:tcBorders>
            <w:vAlign w:val="center"/>
          </w:tcPr>
          <w:p w14:paraId="64098EF7">
            <w:pPr>
              <w:adjustRightInd w:val="0"/>
              <w:snapToGrid w:val="0"/>
              <w:spacing w:line="300" w:lineRule="exact"/>
              <w:jc w:val="center"/>
              <w:rPr>
                <w:rFonts w:eastAsia="宋体"/>
                <w:spacing w:val="20"/>
                <w:szCs w:val="21"/>
              </w:rPr>
            </w:pPr>
          </w:p>
        </w:tc>
      </w:tr>
      <w:tr w14:paraId="1E76232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75537B82">
            <w:pPr>
              <w:adjustRightInd w:val="0"/>
              <w:snapToGrid w:val="0"/>
              <w:spacing w:line="300" w:lineRule="exact"/>
              <w:jc w:val="center"/>
              <w:rPr>
                <w:rFonts w:eastAsia="宋体"/>
                <w:szCs w:val="21"/>
              </w:rPr>
            </w:pPr>
            <w:r>
              <w:rPr>
                <w:rFonts w:hint="eastAsia" w:eastAsia="宋体"/>
                <w:szCs w:val="21"/>
              </w:rPr>
              <w:t>住  所</w:t>
            </w:r>
          </w:p>
        </w:tc>
        <w:tc>
          <w:tcPr>
            <w:tcW w:w="2412" w:type="dxa"/>
            <w:tcBorders>
              <w:top w:val="single" w:color="auto" w:sz="2" w:space="0"/>
              <w:left w:val="single" w:color="auto" w:sz="2" w:space="0"/>
              <w:bottom w:val="single" w:color="auto" w:sz="2" w:space="0"/>
              <w:right w:val="single" w:color="auto" w:sz="2" w:space="0"/>
            </w:tcBorders>
            <w:vAlign w:val="center"/>
          </w:tcPr>
          <w:p w14:paraId="38253D23">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2CD5F31A">
            <w:pPr>
              <w:adjustRightInd w:val="0"/>
              <w:snapToGrid w:val="0"/>
              <w:spacing w:line="300" w:lineRule="exact"/>
              <w:jc w:val="center"/>
              <w:rPr>
                <w:rFonts w:eastAsia="宋体"/>
                <w:szCs w:val="21"/>
              </w:rPr>
            </w:pPr>
            <w:r>
              <w:rPr>
                <w:rFonts w:hint="eastAsia" w:eastAsia="宋体"/>
                <w:szCs w:val="21"/>
              </w:rPr>
              <w:t>住  所</w:t>
            </w:r>
          </w:p>
        </w:tc>
        <w:tc>
          <w:tcPr>
            <w:tcW w:w="2116" w:type="dxa"/>
            <w:tcBorders>
              <w:top w:val="single" w:color="auto" w:sz="2" w:space="0"/>
              <w:left w:val="single" w:color="auto" w:sz="2" w:space="0"/>
              <w:bottom w:val="single" w:color="auto" w:sz="2" w:space="0"/>
            </w:tcBorders>
            <w:vAlign w:val="center"/>
          </w:tcPr>
          <w:p w14:paraId="092DAD11">
            <w:pPr>
              <w:adjustRightInd w:val="0"/>
              <w:snapToGrid w:val="0"/>
              <w:spacing w:line="300" w:lineRule="exact"/>
              <w:jc w:val="center"/>
              <w:rPr>
                <w:rFonts w:eastAsia="宋体"/>
                <w:spacing w:val="20"/>
                <w:szCs w:val="21"/>
              </w:rPr>
            </w:pPr>
          </w:p>
        </w:tc>
      </w:tr>
      <w:tr w14:paraId="160AB16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7B979A40">
            <w:pPr>
              <w:adjustRightInd w:val="0"/>
              <w:snapToGrid w:val="0"/>
              <w:spacing w:line="300" w:lineRule="exact"/>
              <w:jc w:val="center"/>
              <w:rPr>
                <w:rFonts w:eastAsia="宋体"/>
                <w:szCs w:val="21"/>
              </w:rPr>
            </w:pPr>
            <w:r>
              <w:rPr>
                <w:rFonts w:eastAsia="宋体"/>
                <w:szCs w:val="21"/>
              </w:rPr>
              <w:t>联 系 人</w:t>
            </w:r>
          </w:p>
        </w:tc>
        <w:tc>
          <w:tcPr>
            <w:tcW w:w="2412" w:type="dxa"/>
            <w:tcBorders>
              <w:top w:val="single" w:color="auto" w:sz="2" w:space="0"/>
              <w:left w:val="single" w:color="auto" w:sz="2" w:space="0"/>
              <w:bottom w:val="single" w:color="auto" w:sz="2" w:space="0"/>
              <w:right w:val="single" w:color="auto" w:sz="2" w:space="0"/>
            </w:tcBorders>
            <w:vAlign w:val="center"/>
          </w:tcPr>
          <w:p w14:paraId="6BCA6A8B">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310FCBDE">
            <w:pPr>
              <w:adjustRightInd w:val="0"/>
              <w:snapToGrid w:val="0"/>
              <w:spacing w:line="300" w:lineRule="exact"/>
              <w:jc w:val="center"/>
              <w:rPr>
                <w:rFonts w:eastAsia="宋体"/>
                <w:szCs w:val="21"/>
              </w:rPr>
            </w:pPr>
            <w:r>
              <w:rPr>
                <w:rFonts w:eastAsia="宋体"/>
                <w:szCs w:val="21"/>
              </w:rPr>
              <w:t>联 系 人</w:t>
            </w:r>
          </w:p>
        </w:tc>
        <w:tc>
          <w:tcPr>
            <w:tcW w:w="2116" w:type="dxa"/>
            <w:tcBorders>
              <w:top w:val="single" w:color="auto" w:sz="2" w:space="0"/>
              <w:left w:val="single" w:color="auto" w:sz="2" w:space="0"/>
              <w:bottom w:val="single" w:color="auto" w:sz="2" w:space="0"/>
            </w:tcBorders>
            <w:vAlign w:val="center"/>
          </w:tcPr>
          <w:p w14:paraId="01BBB45F">
            <w:pPr>
              <w:adjustRightInd w:val="0"/>
              <w:snapToGrid w:val="0"/>
              <w:spacing w:line="300" w:lineRule="exact"/>
              <w:jc w:val="center"/>
              <w:rPr>
                <w:rFonts w:eastAsia="宋体"/>
                <w:spacing w:val="20"/>
                <w:szCs w:val="21"/>
              </w:rPr>
            </w:pPr>
          </w:p>
        </w:tc>
      </w:tr>
      <w:tr w14:paraId="7C8BD5D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18C6D150">
            <w:pPr>
              <w:adjustRightInd w:val="0"/>
              <w:snapToGrid w:val="0"/>
              <w:spacing w:line="300" w:lineRule="exact"/>
              <w:jc w:val="center"/>
              <w:rPr>
                <w:rFonts w:eastAsia="宋体"/>
                <w:szCs w:val="21"/>
              </w:rPr>
            </w:pPr>
            <w:r>
              <w:rPr>
                <w:rFonts w:eastAsia="宋体"/>
                <w:szCs w:val="21"/>
              </w:rPr>
              <w:t>联系电话</w:t>
            </w:r>
          </w:p>
        </w:tc>
        <w:tc>
          <w:tcPr>
            <w:tcW w:w="2412" w:type="dxa"/>
            <w:tcBorders>
              <w:top w:val="single" w:color="auto" w:sz="2" w:space="0"/>
              <w:left w:val="single" w:color="auto" w:sz="2" w:space="0"/>
              <w:bottom w:val="single" w:color="auto" w:sz="2" w:space="0"/>
              <w:right w:val="single" w:color="auto" w:sz="2" w:space="0"/>
            </w:tcBorders>
            <w:vAlign w:val="center"/>
          </w:tcPr>
          <w:p w14:paraId="68FD82F1">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5FBF6FDE">
            <w:pPr>
              <w:adjustRightInd w:val="0"/>
              <w:snapToGrid w:val="0"/>
              <w:spacing w:line="300" w:lineRule="exact"/>
              <w:jc w:val="center"/>
              <w:rPr>
                <w:rFonts w:eastAsia="宋体"/>
                <w:szCs w:val="21"/>
              </w:rPr>
            </w:pPr>
            <w:r>
              <w:rPr>
                <w:rFonts w:eastAsia="宋体"/>
                <w:szCs w:val="21"/>
              </w:rPr>
              <w:t>联系电话</w:t>
            </w:r>
          </w:p>
        </w:tc>
        <w:tc>
          <w:tcPr>
            <w:tcW w:w="2116" w:type="dxa"/>
            <w:tcBorders>
              <w:top w:val="single" w:color="auto" w:sz="2" w:space="0"/>
              <w:left w:val="single" w:color="auto" w:sz="2" w:space="0"/>
              <w:bottom w:val="single" w:color="auto" w:sz="2" w:space="0"/>
            </w:tcBorders>
            <w:vAlign w:val="center"/>
          </w:tcPr>
          <w:p w14:paraId="481CDD95">
            <w:pPr>
              <w:adjustRightInd w:val="0"/>
              <w:snapToGrid w:val="0"/>
              <w:spacing w:line="300" w:lineRule="exact"/>
              <w:jc w:val="center"/>
              <w:rPr>
                <w:rFonts w:eastAsia="宋体"/>
                <w:spacing w:val="20"/>
                <w:szCs w:val="21"/>
              </w:rPr>
            </w:pPr>
          </w:p>
        </w:tc>
      </w:tr>
      <w:tr w14:paraId="679F604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3FE9C822">
            <w:pPr>
              <w:adjustRightInd w:val="0"/>
              <w:snapToGrid w:val="0"/>
              <w:spacing w:line="300" w:lineRule="exact"/>
              <w:jc w:val="center"/>
              <w:rPr>
                <w:rFonts w:eastAsia="宋体"/>
                <w:szCs w:val="21"/>
              </w:rPr>
            </w:pPr>
            <w:r>
              <w:rPr>
                <w:rFonts w:hint="eastAsia" w:eastAsia="宋体"/>
                <w:szCs w:val="21"/>
              </w:rPr>
              <w:t>通信地址</w:t>
            </w:r>
          </w:p>
        </w:tc>
        <w:tc>
          <w:tcPr>
            <w:tcW w:w="2412" w:type="dxa"/>
            <w:tcBorders>
              <w:top w:val="single" w:color="auto" w:sz="2" w:space="0"/>
              <w:left w:val="single" w:color="auto" w:sz="2" w:space="0"/>
              <w:bottom w:val="single" w:color="auto" w:sz="2" w:space="0"/>
              <w:right w:val="single" w:color="auto" w:sz="2" w:space="0"/>
            </w:tcBorders>
            <w:vAlign w:val="center"/>
          </w:tcPr>
          <w:p w14:paraId="63A4F625">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015F99A2">
            <w:pPr>
              <w:adjustRightInd w:val="0"/>
              <w:snapToGrid w:val="0"/>
              <w:spacing w:line="300" w:lineRule="exact"/>
              <w:jc w:val="center"/>
              <w:rPr>
                <w:rFonts w:eastAsia="宋体"/>
                <w:szCs w:val="21"/>
              </w:rPr>
            </w:pPr>
            <w:r>
              <w:rPr>
                <w:rFonts w:hint="eastAsia" w:eastAsia="宋体"/>
                <w:szCs w:val="21"/>
              </w:rPr>
              <w:t>通信地址</w:t>
            </w:r>
          </w:p>
        </w:tc>
        <w:tc>
          <w:tcPr>
            <w:tcW w:w="2116" w:type="dxa"/>
            <w:tcBorders>
              <w:top w:val="single" w:color="auto" w:sz="2" w:space="0"/>
              <w:left w:val="single" w:color="auto" w:sz="2" w:space="0"/>
              <w:bottom w:val="single" w:color="auto" w:sz="2" w:space="0"/>
            </w:tcBorders>
            <w:vAlign w:val="center"/>
          </w:tcPr>
          <w:p w14:paraId="73BDA6B9">
            <w:pPr>
              <w:adjustRightInd w:val="0"/>
              <w:snapToGrid w:val="0"/>
              <w:spacing w:line="300" w:lineRule="exact"/>
              <w:jc w:val="center"/>
              <w:rPr>
                <w:rFonts w:eastAsia="宋体"/>
                <w:spacing w:val="20"/>
                <w:szCs w:val="21"/>
              </w:rPr>
            </w:pPr>
          </w:p>
        </w:tc>
      </w:tr>
      <w:tr w14:paraId="4A2CA34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3B4447FC">
            <w:pPr>
              <w:adjustRightInd w:val="0"/>
              <w:snapToGrid w:val="0"/>
              <w:spacing w:line="300" w:lineRule="exact"/>
              <w:jc w:val="center"/>
              <w:rPr>
                <w:rFonts w:eastAsia="宋体"/>
                <w:szCs w:val="21"/>
              </w:rPr>
            </w:pPr>
            <w:r>
              <w:rPr>
                <w:rFonts w:eastAsia="宋体"/>
                <w:szCs w:val="21"/>
              </w:rPr>
              <w:t>邮政编码</w:t>
            </w:r>
          </w:p>
        </w:tc>
        <w:tc>
          <w:tcPr>
            <w:tcW w:w="2412" w:type="dxa"/>
            <w:tcBorders>
              <w:top w:val="single" w:color="auto" w:sz="2" w:space="0"/>
              <w:left w:val="single" w:color="auto" w:sz="2" w:space="0"/>
              <w:bottom w:val="single" w:color="auto" w:sz="2" w:space="0"/>
              <w:right w:val="single" w:color="auto" w:sz="2" w:space="0"/>
            </w:tcBorders>
            <w:vAlign w:val="center"/>
          </w:tcPr>
          <w:p w14:paraId="1E75191E">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1FFCFB2A">
            <w:pPr>
              <w:adjustRightInd w:val="0"/>
              <w:snapToGrid w:val="0"/>
              <w:spacing w:line="300" w:lineRule="exact"/>
              <w:jc w:val="center"/>
              <w:rPr>
                <w:rFonts w:eastAsia="宋体"/>
                <w:szCs w:val="21"/>
              </w:rPr>
            </w:pPr>
            <w:r>
              <w:rPr>
                <w:rFonts w:eastAsia="宋体"/>
                <w:szCs w:val="21"/>
              </w:rPr>
              <w:t>邮政编码</w:t>
            </w:r>
          </w:p>
        </w:tc>
        <w:tc>
          <w:tcPr>
            <w:tcW w:w="2116" w:type="dxa"/>
            <w:tcBorders>
              <w:top w:val="single" w:color="auto" w:sz="2" w:space="0"/>
              <w:left w:val="single" w:color="auto" w:sz="2" w:space="0"/>
              <w:bottom w:val="single" w:color="auto" w:sz="2" w:space="0"/>
            </w:tcBorders>
            <w:vAlign w:val="center"/>
          </w:tcPr>
          <w:p w14:paraId="6A01B4B4">
            <w:pPr>
              <w:adjustRightInd w:val="0"/>
              <w:snapToGrid w:val="0"/>
              <w:spacing w:line="300" w:lineRule="exact"/>
              <w:jc w:val="center"/>
              <w:rPr>
                <w:rFonts w:eastAsia="宋体"/>
                <w:spacing w:val="20"/>
                <w:szCs w:val="21"/>
              </w:rPr>
            </w:pPr>
          </w:p>
        </w:tc>
      </w:tr>
      <w:tr w14:paraId="6C623DD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377C2664">
            <w:pPr>
              <w:adjustRightInd w:val="0"/>
              <w:snapToGrid w:val="0"/>
              <w:spacing w:line="300" w:lineRule="exact"/>
              <w:jc w:val="center"/>
              <w:rPr>
                <w:rFonts w:eastAsia="宋体"/>
                <w:szCs w:val="21"/>
              </w:rPr>
            </w:pPr>
            <w:r>
              <w:rPr>
                <w:rFonts w:hint="eastAsia" w:eastAsia="宋体"/>
                <w:szCs w:val="21"/>
              </w:rPr>
              <w:t>电子邮箱</w:t>
            </w:r>
          </w:p>
        </w:tc>
        <w:tc>
          <w:tcPr>
            <w:tcW w:w="2412" w:type="dxa"/>
            <w:tcBorders>
              <w:top w:val="single" w:color="auto" w:sz="2" w:space="0"/>
              <w:left w:val="single" w:color="auto" w:sz="2" w:space="0"/>
              <w:bottom w:val="single" w:color="auto" w:sz="2" w:space="0"/>
              <w:right w:val="single" w:color="auto" w:sz="2" w:space="0"/>
            </w:tcBorders>
            <w:vAlign w:val="center"/>
          </w:tcPr>
          <w:p w14:paraId="66E54452">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677CC38C">
            <w:pPr>
              <w:adjustRightInd w:val="0"/>
              <w:snapToGrid w:val="0"/>
              <w:spacing w:line="300" w:lineRule="exact"/>
              <w:jc w:val="center"/>
              <w:rPr>
                <w:rFonts w:eastAsia="宋体"/>
                <w:szCs w:val="21"/>
              </w:rPr>
            </w:pPr>
            <w:r>
              <w:rPr>
                <w:rFonts w:hint="eastAsia" w:eastAsia="宋体"/>
                <w:szCs w:val="21"/>
              </w:rPr>
              <w:t>电子邮箱</w:t>
            </w:r>
          </w:p>
        </w:tc>
        <w:tc>
          <w:tcPr>
            <w:tcW w:w="2116" w:type="dxa"/>
            <w:tcBorders>
              <w:top w:val="single" w:color="auto" w:sz="2" w:space="0"/>
              <w:left w:val="single" w:color="auto" w:sz="2" w:space="0"/>
              <w:bottom w:val="single" w:color="auto" w:sz="2" w:space="0"/>
            </w:tcBorders>
            <w:vAlign w:val="center"/>
          </w:tcPr>
          <w:p w14:paraId="30369B1C">
            <w:pPr>
              <w:adjustRightInd w:val="0"/>
              <w:snapToGrid w:val="0"/>
              <w:spacing w:line="300" w:lineRule="exact"/>
              <w:jc w:val="center"/>
              <w:rPr>
                <w:rFonts w:eastAsia="宋体"/>
                <w:spacing w:val="20"/>
                <w:szCs w:val="21"/>
              </w:rPr>
            </w:pPr>
          </w:p>
        </w:tc>
      </w:tr>
      <w:tr w14:paraId="7AB8E63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2FBAE12E">
            <w:pPr>
              <w:adjustRightInd w:val="0"/>
              <w:snapToGrid w:val="0"/>
              <w:spacing w:line="300" w:lineRule="exact"/>
              <w:jc w:val="center"/>
              <w:rPr>
                <w:rFonts w:eastAsia="宋体"/>
                <w:szCs w:val="21"/>
              </w:rPr>
            </w:pPr>
            <w:r>
              <w:rPr>
                <w:rFonts w:hint="eastAsia" w:eastAsia="宋体"/>
                <w:szCs w:val="21"/>
              </w:rPr>
              <w:t>统一社会信用代码</w:t>
            </w:r>
          </w:p>
        </w:tc>
        <w:tc>
          <w:tcPr>
            <w:tcW w:w="2412" w:type="dxa"/>
            <w:tcBorders>
              <w:top w:val="single" w:color="auto" w:sz="2" w:space="0"/>
              <w:left w:val="single" w:color="auto" w:sz="2" w:space="0"/>
              <w:bottom w:val="single" w:color="auto" w:sz="2" w:space="0"/>
              <w:right w:val="single" w:color="auto" w:sz="2" w:space="0"/>
            </w:tcBorders>
            <w:vAlign w:val="center"/>
          </w:tcPr>
          <w:p w14:paraId="75CBA140">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58499B88">
            <w:pPr>
              <w:adjustRightInd w:val="0"/>
              <w:snapToGrid w:val="0"/>
              <w:spacing w:line="300" w:lineRule="exact"/>
              <w:jc w:val="center"/>
              <w:rPr>
                <w:rFonts w:eastAsia="宋体"/>
                <w:szCs w:val="21"/>
              </w:rPr>
            </w:pPr>
            <w:r>
              <w:rPr>
                <w:rFonts w:hint="eastAsia" w:eastAsia="宋体"/>
                <w:szCs w:val="21"/>
              </w:rPr>
              <w:t>统一社会信用代码</w:t>
            </w:r>
          </w:p>
        </w:tc>
        <w:tc>
          <w:tcPr>
            <w:tcW w:w="2116" w:type="dxa"/>
            <w:tcBorders>
              <w:top w:val="single" w:color="auto" w:sz="2" w:space="0"/>
              <w:left w:val="single" w:color="auto" w:sz="2" w:space="0"/>
              <w:bottom w:val="single" w:color="auto" w:sz="2" w:space="0"/>
            </w:tcBorders>
            <w:vAlign w:val="center"/>
          </w:tcPr>
          <w:p w14:paraId="6732369D">
            <w:pPr>
              <w:adjustRightInd w:val="0"/>
              <w:snapToGrid w:val="0"/>
              <w:spacing w:line="300" w:lineRule="exact"/>
              <w:jc w:val="center"/>
              <w:rPr>
                <w:rFonts w:eastAsia="宋体"/>
                <w:spacing w:val="20"/>
                <w:szCs w:val="21"/>
              </w:rPr>
            </w:pPr>
          </w:p>
        </w:tc>
      </w:tr>
      <w:tr w14:paraId="0D9B402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17263D0E">
            <w:pPr>
              <w:adjustRightInd w:val="0"/>
              <w:snapToGrid w:val="0"/>
              <w:spacing w:line="300" w:lineRule="exact"/>
              <w:jc w:val="center"/>
              <w:rPr>
                <w:rFonts w:eastAsia="宋体"/>
                <w:szCs w:val="21"/>
              </w:rPr>
            </w:pPr>
          </w:p>
        </w:tc>
        <w:tc>
          <w:tcPr>
            <w:tcW w:w="2412" w:type="dxa"/>
            <w:tcBorders>
              <w:top w:val="single" w:color="auto" w:sz="2" w:space="0"/>
              <w:left w:val="single" w:color="auto" w:sz="2" w:space="0"/>
              <w:bottom w:val="single" w:color="auto" w:sz="2" w:space="0"/>
              <w:right w:val="single" w:color="auto" w:sz="2" w:space="0"/>
            </w:tcBorders>
            <w:vAlign w:val="center"/>
          </w:tcPr>
          <w:p w14:paraId="566C0DAB">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3256B6FD">
            <w:pPr>
              <w:adjustRightInd w:val="0"/>
              <w:snapToGrid w:val="0"/>
              <w:spacing w:line="300" w:lineRule="exact"/>
              <w:jc w:val="center"/>
              <w:rPr>
                <w:rFonts w:eastAsia="宋体"/>
                <w:szCs w:val="21"/>
              </w:rPr>
            </w:pPr>
            <w:r>
              <w:rPr>
                <w:rFonts w:eastAsia="宋体"/>
                <w:szCs w:val="21"/>
              </w:rPr>
              <w:t>开户名称</w:t>
            </w:r>
          </w:p>
        </w:tc>
        <w:tc>
          <w:tcPr>
            <w:tcW w:w="2116" w:type="dxa"/>
            <w:tcBorders>
              <w:top w:val="single" w:color="auto" w:sz="2" w:space="0"/>
              <w:left w:val="single" w:color="auto" w:sz="2" w:space="0"/>
              <w:bottom w:val="single" w:color="auto" w:sz="2" w:space="0"/>
            </w:tcBorders>
            <w:vAlign w:val="center"/>
          </w:tcPr>
          <w:p w14:paraId="678ECA75">
            <w:pPr>
              <w:adjustRightInd w:val="0"/>
              <w:snapToGrid w:val="0"/>
              <w:spacing w:line="300" w:lineRule="exact"/>
              <w:jc w:val="center"/>
              <w:rPr>
                <w:rFonts w:eastAsia="宋体"/>
                <w:spacing w:val="20"/>
                <w:szCs w:val="21"/>
              </w:rPr>
            </w:pPr>
          </w:p>
        </w:tc>
      </w:tr>
      <w:tr w14:paraId="768D2B8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13E8FB71">
            <w:pPr>
              <w:adjustRightInd w:val="0"/>
              <w:snapToGrid w:val="0"/>
              <w:spacing w:line="300" w:lineRule="exact"/>
              <w:jc w:val="center"/>
              <w:rPr>
                <w:rFonts w:eastAsia="宋体"/>
                <w:szCs w:val="21"/>
              </w:rPr>
            </w:pPr>
          </w:p>
        </w:tc>
        <w:tc>
          <w:tcPr>
            <w:tcW w:w="2412" w:type="dxa"/>
            <w:tcBorders>
              <w:top w:val="single" w:color="auto" w:sz="2" w:space="0"/>
              <w:left w:val="single" w:color="auto" w:sz="2" w:space="0"/>
              <w:bottom w:val="single" w:color="auto" w:sz="2" w:space="0"/>
              <w:right w:val="single" w:color="auto" w:sz="2" w:space="0"/>
            </w:tcBorders>
            <w:vAlign w:val="center"/>
          </w:tcPr>
          <w:p w14:paraId="1E40A8BB">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0CBF6979">
            <w:pPr>
              <w:adjustRightInd w:val="0"/>
              <w:snapToGrid w:val="0"/>
              <w:spacing w:line="300" w:lineRule="exact"/>
              <w:jc w:val="center"/>
              <w:rPr>
                <w:rFonts w:eastAsia="宋体"/>
                <w:szCs w:val="21"/>
              </w:rPr>
            </w:pPr>
            <w:r>
              <w:rPr>
                <w:rFonts w:eastAsia="宋体"/>
                <w:szCs w:val="21"/>
              </w:rPr>
              <w:t>开户银行</w:t>
            </w:r>
          </w:p>
        </w:tc>
        <w:tc>
          <w:tcPr>
            <w:tcW w:w="2116" w:type="dxa"/>
            <w:tcBorders>
              <w:top w:val="single" w:color="auto" w:sz="2" w:space="0"/>
              <w:left w:val="single" w:color="auto" w:sz="2" w:space="0"/>
              <w:bottom w:val="single" w:color="auto" w:sz="2" w:space="0"/>
            </w:tcBorders>
            <w:vAlign w:val="center"/>
          </w:tcPr>
          <w:p w14:paraId="01722303">
            <w:pPr>
              <w:adjustRightInd w:val="0"/>
              <w:snapToGrid w:val="0"/>
              <w:spacing w:line="300" w:lineRule="exact"/>
              <w:jc w:val="center"/>
              <w:rPr>
                <w:rFonts w:eastAsia="宋体"/>
                <w:spacing w:val="20"/>
                <w:szCs w:val="21"/>
              </w:rPr>
            </w:pPr>
          </w:p>
        </w:tc>
      </w:tr>
      <w:tr w14:paraId="5A22702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7544EBE2">
            <w:pPr>
              <w:adjustRightInd w:val="0"/>
              <w:snapToGrid w:val="0"/>
              <w:spacing w:line="300" w:lineRule="exact"/>
              <w:jc w:val="center"/>
              <w:rPr>
                <w:rFonts w:eastAsia="宋体"/>
                <w:szCs w:val="21"/>
              </w:rPr>
            </w:pPr>
          </w:p>
        </w:tc>
        <w:tc>
          <w:tcPr>
            <w:tcW w:w="2412" w:type="dxa"/>
            <w:tcBorders>
              <w:top w:val="single" w:color="auto" w:sz="2" w:space="0"/>
              <w:left w:val="single" w:color="auto" w:sz="2" w:space="0"/>
              <w:bottom w:val="single" w:color="auto" w:sz="2" w:space="0"/>
              <w:right w:val="single" w:color="auto" w:sz="2" w:space="0"/>
            </w:tcBorders>
            <w:vAlign w:val="center"/>
          </w:tcPr>
          <w:p w14:paraId="751EEF56">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3CBA9B4E">
            <w:pPr>
              <w:adjustRightInd w:val="0"/>
              <w:snapToGrid w:val="0"/>
              <w:spacing w:line="300" w:lineRule="exact"/>
              <w:jc w:val="center"/>
              <w:rPr>
                <w:rFonts w:eastAsia="宋体"/>
                <w:szCs w:val="21"/>
              </w:rPr>
            </w:pPr>
            <w:r>
              <w:rPr>
                <w:rFonts w:eastAsia="宋体"/>
                <w:szCs w:val="21"/>
              </w:rPr>
              <w:t>银行账号</w:t>
            </w:r>
          </w:p>
        </w:tc>
        <w:tc>
          <w:tcPr>
            <w:tcW w:w="2116" w:type="dxa"/>
            <w:tcBorders>
              <w:top w:val="single" w:color="auto" w:sz="2" w:space="0"/>
              <w:left w:val="single" w:color="auto" w:sz="2" w:space="0"/>
              <w:bottom w:val="single" w:color="auto" w:sz="2" w:space="0"/>
            </w:tcBorders>
            <w:vAlign w:val="center"/>
          </w:tcPr>
          <w:p w14:paraId="53AE31A2">
            <w:pPr>
              <w:adjustRightInd w:val="0"/>
              <w:snapToGrid w:val="0"/>
              <w:spacing w:line="300" w:lineRule="exact"/>
              <w:jc w:val="center"/>
              <w:rPr>
                <w:rFonts w:eastAsia="宋体"/>
                <w:spacing w:val="20"/>
                <w:szCs w:val="21"/>
              </w:rPr>
            </w:pPr>
          </w:p>
        </w:tc>
      </w:tr>
      <w:tr w14:paraId="079A111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8398" w:type="dxa"/>
            <w:gridSpan w:val="4"/>
            <w:tcBorders>
              <w:top w:val="single" w:color="auto" w:sz="2" w:space="0"/>
            </w:tcBorders>
            <w:vAlign w:val="center"/>
          </w:tcPr>
          <w:p w14:paraId="5487FC4A">
            <w:pPr>
              <w:adjustRightInd w:val="0"/>
              <w:snapToGrid w:val="0"/>
              <w:spacing w:before="156" w:beforeLines="50" w:line="360" w:lineRule="auto"/>
              <w:jc w:val="left"/>
              <w:rPr>
                <w:rFonts w:ascii="Times New Roman" w:hAnsi="Times New Roman" w:eastAsia="宋体" w:cs="Times New Roman"/>
                <w:spacing w:val="20"/>
                <w:szCs w:val="21"/>
              </w:rPr>
            </w:pPr>
            <w:r>
              <w:rPr>
                <w:rFonts w:hint="eastAsia" w:ascii="宋体" w:hAnsi="宋体" w:eastAsia="宋体" w:cs="Times New Roman"/>
                <w:szCs w:val="21"/>
              </w:rPr>
              <w:t>注：涉及联合体或其他合同主体的信息应按上表格式加列。</w:t>
            </w:r>
          </w:p>
        </w:tc>
      </w:tr>
    </w:tbl>
    <w:p w14:paraId="7A38FE55">
      <w:pPr>
        <w:ind w:firstLine="527" w:firstLineChars="250"/>
        <w:rPr>
          <w:rFonts w:hint="eastAsia" w:ascii="宋体" w:hAnsi="宋体"/>
          <w:b/>
          <w:szCs w:val="21"/>
        </w:rPr>
      </w:pPr>
    </w:p>
    <w:p w14:paraId="187F7B30">
      <w:pPr>
        <w:keepNext/>
        <w:keepLines/>
        <w:adjustRightInd w:val="0"/>
        <w:snapToGrid w:val="0"/>
        <w:spacing w:before="156" w:beforeLines="50" w:line="360" w:lineRule="auto"/>
        <w:jc w:val="center"/>
        <w:outlineLvl w:val="1"/>
        <w:rPr>
          <w:rFonts w:hint="eastAsia" w:ascii="黑体" w:hAnsi="黑体" w:eastAsia="黑体" w:cs="Times New Roman"/>
          <w:b/>
          <w:bCs/>
          <w:sz w:val="28"/>
          <w:szCs w:val="28"/>
        </w:rPr>
      </w:pPr>
      <w:bookmarkStart w:id="56" w:name="_Toc27624"/>
      <w:r>
        <w:rPr>
          <w:rFonts w:hint="eastAsia" w:ascii="黑体" w:hAnsi="黑体" w:eastAsia="黑体" w:cs="Times New Roman"/>
          <w:sz w:val="28"/>
          <w:szCs w:val="28"/>
        </w:rPr>
        <w:t>第二节 政府采购合同通用条款</w:t>
      </w:r>
      <w:bookmarkEnd w:id="56"/>
    </w:p>
    <w:p w14:paraId="36CCFD7C">
      <w:pPr>
        <w:tabs>
          <w:tab w:val="left" w:pos="8820"/>
          <w:tab w:val="left" w:pos="9345"/>
          <w:tab w:val="left" w:pos="9765"/>
        </w:tabs>
        <w:adjustRightInd w:val="0"/>
        <w:snapToGrid w:val="0"/>
        <w:spacing w:line="400" w:lineRule="exact"/>
        <w:jc w:val="left"/>
        <w:rPr>
          <w:rFonts w:hint="eastAsia" w:ascii="宋体" w:hAnsi="宋体" w:eastAsia="宋体"/>
          <w:b/>
          <w:bCs/>
          <w:sz w:val="24"/>
        </w:rPr>
      </w:pPr>
      <w:r>
        <w:rPr>
          <w:rFonts w:hint="eastAsia" w:ascii="宋体" w:hAnsi="宋体" w:eastAsia="宋体"/>
          <w:b/>
          <w:sz w:val="24"/>
        </w:rPr>
        <w:t xml:space="preserve">1. </w:t>
      </w:r>
      <w:r>
        <w:rPr>
          <w:rFonts w:hint="eastAsia" w:ascii="宋体" w:hAnsi="宋体" w:eastAsia="宋体"/>
          <w:b/>
          <w:bCs/>
          <w:sz w:val="24"/>
        </w:rPr>
        <w:t>定义</w:t>
      </w:r>
    </w:p>
    <w:p w14:paraId="799C39B2">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1.1合同当事人</w:t>
      </w:r>
    </w:p>
    <w:p w14:paraId="1663E40B">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（1）采购人（以下称甲方）是指使用财政性资金，通过政府采购方式向供应商购买货物及其相关服务的国家机关、事业单位、团体组织。</w:t>
      </w:r>
    </w:p>
    <w:p w14:paraId="7352C3AF">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（2）供应商（以下称乙方）是指参加政府采购活动并且中标（成交），向采购人提供合同约定的货物及其相关服务的法人、非法人组织或者自然人。</w:t>
      </w:r>
    </w:p>
    <w:p w14:paraId="36747E22">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（3）其他合同主体是指除采购人和供应商以外，</w:t>
      </w:r>
      <w:r>
        <w:rPr>
          <w:rFonts w:hint="eastAsia" w:ascii="宋体" w:hAnsi="宋体" w:eastAsia="宋体" w:cs="宋体"/>
          <w:bCs/>
          <w:color w:val="000000"/>
          <w:szCs w:val="21"/>
        </w:rPr>
        <w:t>依法参与合同缔结或履行，享有权利、承担义务的合同当事人</w:t>
      </w:r>
      <w:r>
        <w:rPr>
          <w:rFonts w:hint="eastAsia" w:ascii="宋体" w:hAnsi="宋体" w:eastAsia="宋体"/>
          <w:szCs w:val="21"/>
        </w:rPr>
        <w:t>。</w:t>
      </w:r>
    </w:p>
    <w:p w14:paraId="25B4E6B9">
      <w:pPr>
        <w:tabs>
          <w:tab w:val="left" w:pos="570"/>
          <w:tab w:val="left" w:pos="9240"/>
          <w:tab w:val="left" w:pos="9555"/>
        </w:tabs>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1.2本合同下列术语应解释为：</w:t>
      </w:r>
    </w:p>
    <w:p w14:paraId="0D79B2FB">
      <w:pPr>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（1）“合同”系指</w:t>
      </w:r>
      <w:r>
        <w:rPr>
          <w:rFonts w:hint="eastAsia" w:ascii="宋体" w:hAnsi="宋体" w:eastAsia="宋体" w:cs="宋体"/>
          <w:bCs/>
          <w:color w:val="000000"/>
          <w:szCs w:val="21"/>
        </w:rPr>
        <w:t>合同当事人意思表示达成一致的任何协议，包括签署的</w:t>
      </w:r>
      <w:r>
        <w:rPr>
          <w:rFonts w:hint="eastAsia" w:ascii="宋体" w:hAnsi="宋体" w:eastAsia="宋体"/>
          <w:szCs w:val="21"/>
        </w:rPr>
        <w:t>政府采购合同协议书及其变更、补充协议，政府采购合同专用条款，政府采购合同通用条款，中标（成交）通知书，投标（响应）文件，采购文件，有关技术文件和图纸，以及</w:t>
      </w:r>
      <w:r>
        <w:rPr>
          <w:rFonts w:hint="eastAsia" w:ascii="宋体" w:hAnsi="宋体" w:eastAsia="宋体" w:cs="宋体"/>
          <w:color w:val="000000"/>
          <w:szCs w:val="21"/>
        </w:rPr>
        <w:t>国家法律、行政法规和规章制度规定或合同约定的作为合同组成部分的其他文件</w:t>
      </w:r>
      <w:r>
        <w:rPr>
          <w:rFonts w:hint="eastAsia" w:ascii="宋体" w:hAnsi="宋体" w:eastAsia="宋体"/>
          <w:szCs w:val="21"/>
        </w:rPr>
        <w:t>。</w:t>
      </w:r>
    </w:p>
    <w:p w14:paraId="70E993E0">
      <w:pPr>
        <w:tabs>
          <w:tab w:val="left" w:pos="570"/>
          <w:tab w:val="left" w:pos="9240"/>
          <w:tab w:val="left" w:pos="9555"/>
        </w:tabs>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（2）“合同价款”系指根据本合同规定乙方在全面履行合同义务后甲方应支付给乙方的价款。</w:t>
      </w:r>
    </w:p>
    <w:p w14:paraId="1E63BADB">
      <w:pPr>
        <w:tabs>
          <w:tab w:val="left" w:pos="570"/>
          <w:tab w:val="left" w:pos="9240"/>
          <w:tab w:val="left" w:pos="9555"/>
        </w:tabs>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szCs w:val="21"/>
        </w:rPr>
        <w:t>（3）“货物”系指乙方根据本合同规定须向甲方提供的各种形态和种类的物品，包括原材料、设备、产品（</w:t>
      </w:r>
      <w:r>
        <w:rPr>
          <w:rFonts w:hint="eastAsia" w:ascii="宋体" w:hAnsi="宋体" w:eastAsia="宋体"/>
          <w:color w:val="000000"/>
          <w:szCs w:val="21"/>
        </w:rPr>
        <w:t>包括软件）及相关的其备品备件、工具、手册及</w:t>
      </w:r>
      <w:r>
        <w:rPr>
          <w:rFonts w:ascii="宋体" w:hAnsi="宋体" w:eastAsia="宋体"/>
          <w:color w:val="000000"/>
          <w:szCs w:val="21"/>
          <w:lang w:val="en"/>
        </w:rPr>
        <w:t>其他</w:t>
      </w:r>
      <w:r>
        <w:rPr>
          <w:rFonts w:hint="eastAsia" w:ascii="宋体" w:hAnsi="宋体" w:eastAsia="宋体"/>
          <w:color w:val="000000"/>
          <w:szCs w:val="21"/>
        </w:rPr>
        <w:t>技术资料和材料等。</w:t>
      </w:r>
    </w:p>
    <w:p w14:paraId="5FBAA203">
      <w:pPr>
        <w:adjustRightInd w:val="0"/>
        <w:snapToGrid w:val="0"/>
        <w:spacing w:line="400" w:lineRule="exact"/>
        <w:ind w:firstLine="420" w:firstLineChars="200"/>
        <w:jc w:val="left"/>
        <w:rPr>
          <w:rFonts w:hint="eastAsia" w:ascii="宋体" w:hAnsi="宋体" w:eastAsia="宋体"/>
          <w:color w:val="000000"/>
          <w:szCs w:val="21"/>
          <w:highlight w:val="yellow"/>
        </w:rPr>
      </w:pPr>
      <w:r>
        <w:rPr>
          <w:rFonts w:hint="eastAsia" w:ascii="宋体" w:hAnsi="宋体" w:eastAsia="宋体"/>
          <w:color w:val="000000"/>
          <w:szCs w:val="21"/>
        </w:rPr>
        <w:t>（4）“</w:t>
      </w:r>
      <w:r>
        <w:rPr>
          <w:rFonts w:hint="eastAsia" w:ascii="宋体" w:hAnsi="宋体" w:eastAsia="宋体"/>
          <w:szCs w:val="21"/>
        </w:rPr>
        <w:t>相关</w:t>
      </w:r>
      <w:r>
        <w:rPr>
          <w:rFonts w:hint="eastAsia" w:ascii="宋体" w:hAnsi="宋体" w:eastAsia="宋体"/>
          <w:color w:val="000000"/>
          <w:szCs w:val="21"/>
        </w:rPr>
        <w:t>服务”系指根据合同规定，乙方应提供的与货物有关的技术、管理和</w:t>
      </w:r>
      <w:r>
        <w:rPr>
          <w:rFonts w:ascii="宋体" w:hAnsi="宋体" w:eastAsia="宋体"/>
          <w:color w:val="000000"/>
          <w:szCs w:val="21"/>
          <w:lang w:val="en"/>
        </w:rPr>
        <w:t>其他</w:t>
      </w:r>
      <w:r>
        <w:rPr>
          <w:rFonts w:hint="eastAsia" w:ascii="宋体" w:hAnsi="宋体" w:eastAsia="宋体"/>
          <w:color w:val="000000"/>
          <w:szCs w:val="21"/>
        </w:rPr>
        <w:t>服务，包括但不限于：管理和质量保证、运输、保险、检验、现场准备、安装、集成、调试、培训、维修、废弃处置、技术支持等以及合同中规定乙方应承担的</w:t>
      </w:r>
      <w:r>
        <w:rPr>
          <w:rFonts w:ascii="宋体" w:hAnsi="宋体" w:eastAsia="宋体"/>
          <w:color w:val="000000"/>
          <w:szCs w:val="21"/>
          <w:lang w:val="en"/>
        </w:rPr>
        <w:t>其他</w:t>
      </w:r>
      <w:r>
        <w:rPr>
          <w:rFonts w:hint="eastAsia" w:ascii="宋体" w:hAnsi="宋体" w:eastAsia="宋体"/>
          <w:color w:val="000000"/>
          <w:szCs w:val="21"/>
        </w:rPr>
        <w:t>义务。</w:t>
      </w:r>
    </w:p>
    <w:p w14:paraId="0DD86698">
      <w:pPr>
        <w:adjustRightInd w:val="0"/>
        <w:snapToGrid w:val="0"/>
        <w:spacing w:line="400" w:lineRule="exact"/>
        <w:ind w:firstLine="420" w:firstLineChars="200"/>
        <w:jc w:val="left"/>
        <w:rPr>
          <w:rFonts w:hint="eastAsia" w:ascii="宋体" w:hAnsi="宋体" w:eastAsia="宋体"/>
          <w:color w:val="000000"/>
          <w:szCs w:val="21"/>
          <w:highlight w:val="yellow"/>
        </w:rPr>
      </w:pPr>
      <w:r>
        <w:rPr>
          <w:rFonts w:hint="eastAsia" w:ascii="宋体" w:hAnsi="宋体" w:eastAsia="宋体"/>
          <w:color w:val="000000"/>
          <w:szCs w:val="21"/>
        </w:rPr>
        <w:t>（5）“分包”系指中标（成交）供应商按采购文件、投标（响应）文件的规定，根据分包意向协议，将中标（成交）项目中的部分履约内容，分给具有相应资质条件的供应商履行合同的行为。</w:t>
      </w:r>
    </w:p>
    <w:p w14:paraId="66A923C5">
      <w:pPr>
        <w:tabs>
          <w:tab w:val="left" w:pos="570"/>
          <w:tab w:val="left" w:pos="9240"/>
          <w:tab w:val="left" w:pos="9555"/>
        </w:tabs>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（6）</w:t>
      </w:r>
      <w:r>
        <w:rPr>
          <w:rFonts w:hint="eastAsia" w:ascii="宋体" w:hAnsi="宋体" w:eastAsia="宋体"/>
          <w:szCs w:val="21"/>
        </w:rPr>
        <w:t>“联合体”系指由两个以上的自然人、法人或者非法人组织组成，以一个供应商的身份共同参加政府采购的主体</w:t>
      </w:r>
      <w:r>
        <w:rPr>
          <w:rFonts w:hint="eastAsia" w:ascii="宋体" w:hAnsi="宋体" w:eastAsia="宋体"/>
          <w:color w:val="000000"/>
          <w:szCs w:val="21"/>
        </w:rPr>
        <w:t>。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eastAsia="宋体"/>
          <w:b/>
          <w:bCs/>
          <w:color w:val="000000"/>
          <w:szCs w:val="21"/>
        </w:rPr>
        <w:t>政府采购合同专用条款</w:t>
      </w:r>
      <w:r>
        <w:rPr>
          <w:rFonts w:hint="eastAsia" w:ascii="宋体" w:hAnsi="宋体" w:eastAsia="宋体"/>
          <w:color w:val="000000"/>
          <w:szCs w:val="21"/>
        </w:rPr>
        <w:t>】。</w:t>
      </w:r>
    </w:p>
    <w:p w14:paraId="689182AA">
      <w:pPr>
        <w:tabs>
          <w:tab w:val="left" w:pos="570"/>
          <w:tab w:val="left" w:pos="9240"/>
          <w:tab w:val="left" w:pos="9555"/>
        </w:tabs>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（7）其他术语解释，见【</w:t>
      </w:r>
      <w:r>
        <w:rPr>
          <w:rFonts w:hint="eastAsia" w:ascii="宋体" w:hAnsi="宋体" w:eastAsia="宋体"/>
          <w:b/>
          <w:bCs/>
          <w:color w:val="000000"/>
          <w:szCs w:val="21"/>
        </w:rPr>
        <w:t>政府采购合同专用条款</w:t>
      </w:r>
      <w:r>
        <w:rPr>
          <w:rFonts w:hint="eastAsia" w:ascii="宋体" w:hAnsi="宋体" w:eastAsia="宋体"/>
          <w:color w:val="000000"/>
          <w:szCs w:val="21"/>
        </w:rPr>
        <w:t>】。</w:t>
      </w:r>
    </w:p>
    <w:p w14:paraId="54B01C19">
      <w:pPr>
        <w:numPr>
          <w:ilvl w:val="0"/>
          <w:numId w:val="9"/>
        </w:numPr>
        <w:autoSpaceDE w:val="0"/>
        <w:autoSpaceDN w:val="0"/>
        <w:adjustRightInd w:val="0"/>
        <w:snapToGrid w:val="0"/>
        <w:spacing w:line="400" w:lineRule="exact"/>
        <w:jc w:val="left"/>
        <w:rPr>
          <w:rFonts w:hint="eastAsia" w:ascii="宋体" w:hAnsi="宋体" w:eastAsia="宋体"/>
          <w:b/>
          <w:bCs/>
          <w:color w:val="000000"/>
          <w:sz w:val="24"/>
        </w:rPr>
      </w:pPr>
      <w:r>
        <w:rPr>
          <w:rFonts w:hint="eastAsia" w:ascii="宋体" w:hAnsi="宋体" w:eastAsia="宋体"/>
          <w:b/>
          <w:color w:val="000000"/>
          <w:sz w:val="24"/>
        </w:rPr>
        <w:t>合同标的及金额</w:t>
      </w:r>
    </w:p>
    <w:p w14:paraId="3D6C995D">
      <w:pPr>
        <w:autoSpaceDE w:val="0"/>
        <w:autoSpaceDN w:val="0"/>
        <w:adjustRightInd w:val="0"/>
        <w:snapToGrid w:val="0"/>
        <w:spacing w:line="400" w:lineRule="exact"/>
        <w:ind w:firstLine="420" w:firstLineChars="200"/>
        <w:jc w:val="left"/>
        <w:rPr>
          <w:rFonts w:hint="eastAsia" w:ascii="宋体" w:hAnsi="宋体" w:eastAsia="宋体"/>
          <w:b/>
          <w:bCs/>
          <w:i/>
          <w:iCs/>
          <w:color w:val="000000"/>
          <w:szCs w:val="21"/>
        </w:rPr>
      </w:pPr>
      <w:r>
        <w:rPr>
          <w:rFonts w:hint="eastAsia" w:ascii="宋体" w:hAnsi="宋体" w:eastAsia="宋体"/>
          <w:color w:val="000000"/>
          <w:szCs w:val="21"/>
        </w:rPr>
        <w:t>2.1 合同标的及金额应与中标（成交）结果一致。乙方为履行本合同而发生的所有费用均应包含在合同价款中，甲方不再另行支付</w:t>
      </w:r>
      <w:r>
        <w:rPr>
          <w:rFonts w:ascii="宋体" w:hAnsi="宋体" w:eastAsia="宋体"/>
          <w:color w:val="000000"/>
          <w:szCs w:val="21"/>
          <w:lang w:val="en"/>
        </w:rPr>
        <w:t>其他</w:t>
      </w:r>
      <w:r>
        <w:rPr>
          <w:rFonts w:hint="eastAsia" w:ascii="宋体" w:hAnsi="宋体" w:eastAsia="宋体"/>
          <w:color w:val="000000"/>
          <w:szCs w:val="21"/>
        </w:rPr>
        <w:t>任何费用。</w:t>
      </w:r>
    </w:p>
    <w:p w14:paraId="22742FAD">
      <w:pPr>
        <w:adjustRightInd w:val="0"/>
        <w:snapToGrid w:val="0"/>
        <w:spacing w:line="400" w:lineRule="exact"/>
        <w:jc w:val="left"/>
        <w:rPr>
          <w:rFonts w:hint="eastAsia" w:ascii="宋体" w:hAnsi="宋体" w:eastAsia="宋体"/>
          <w:b/>
          <w:color w:val="000000"/>
          <w:sz w:val="24"/>
        </w:rPr>
      </w:pPr>
      <w:r>
        <w:rPr>
          <w:rFonts w:hint="eastAsia" w:ascii="宋体" w:hAnsi="宋体" w:eastAsia="宋体"/>
          <w:b/>
          <w:color w:val="000000"/>
          <w:sz w:val="24"/>
        </w:rPr>
        <w:t>3. 履行合同的时间、地点和方式</w:t>
      </w:r>
    </w:p>
    <w:p w14:paraId="420E33E9">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 xml:space="preserve">3.1 </w:t>
      </w:r>
      <w:r>
        <w:rPr>
          <w:rFonts w:hint="eastAsia" w:ascii="宋体" w:hAnsi="宋体" w:eastAsia="宋体" w:cs="宋体"/>
          <w:szCs w:val="21"/>
        </w:rPr>
        <w:t>乙方应当在约定的时间、地点，按照约定方式履行合同。</w:t>
      </w:r>
    </w:p>
    <w:p w14:paraId="1A2CF4B2">
      <w:pPr>
        <w:autoSpaceDE w:val="0"/>
        <w:autoSpaceDN w:val="0"/>
        <w:adjustRightInd w:val="0"/>
        <w:snapToGrid w:val="0"/>
        <w:spacing w:line="400" w:lineRule="exact"/>
        <w:jc w:val="left"/>
        <w:rPr>
          <w:rFonts w:hint="eastAsia" w:ascii="宋体" w:hAnsi="宋体" w:eastAsia="宋体"/>
          <w:b/>
          <w:bCs/>
          <w:color w:val="000000"/>
          <w:sz w:val="24"/>
        </w:rPr>
      </w:pPr>
      <w:r>
        <w:rPr>
          <w:rFonts w:hint="eastAsia" w:ascii="宋体" w:hAnsi="宋体" w:eastAsia="宋体"/>
          <w:b/>
          <w:bCs/>
          <w:color w:val="000000"/>
          <w:sz w:val="24"/>
        </w:rPr>
        <w:t>4. 甲方的权利和义务</w:t>
      </w:r>
    </w:p>
    <w:p w14:paraId="78090D19">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4.1</w:t>
      </w:r>
      <w:r>
        <w:rPr>
          <w:rFonts w:ascii="宋体" w:hAnsi="宋体" w:eastAsia="宋体"/>
          <w:color w:val="000000"/>
          <w:szCs w:val="21"/>
        </w:rPr>
        <w:t xml:space="preserve"> 签署合同后，甲方</w:t>
      </w:r>
      <w:r>
        <w:rPr>
          <w:rFonts w:hint="eastAsia" w:ascii="宋体" w:hAnsi="宋体" w:eastAsia="宋体"/>
          <w:color w:val="000000"/>
          <w:szCs w:val="21"/>
        </w:rPr>
        <w:t>应</w:t>
      </w:r>
      <w:r>
        <w:rPr>
          <w:rFonts w:ascii="宋体" w:hAnsi="宋体" w:eastAsia="宋体"/>
          <w:color w:val="000000"/>
          <w:szCs w:val="21"/>
        </w:rPr>
        <w:t>确定</w:t>
      </w:r>
      <w:r>
        <w:rPr>
          <w:rFonts w:hint="eastAsia" w:ascii="宋体" w:hAnsi="宋体" w:eastAsia="宋体"/>
          <w:color w:val="000000"/>
          <w:szCs w:val="21"/>
        </w:rPr>
        <w:t>项目负责人（或项目联系人）</w:t>
      </w:r>
      <w:r>
        <w:rPr>
          <w:rFonts w:ascii="宋体" w:hAnsi="宋体" w:eastAsia="宋体"/>
          <w:color w:val="000000"/>
          <w:szCs w:val="21"/>
        </w:rPr>
        <w:t>，负责与本合同有关的事务。</w:t>
      </w:r>
      <w:r>
        <w:rPr>
          <w:rFonts w:hint="eastAsia" w:ascii="宋体" w:hAnsi="宋体" w:eastAsia="宋体"/>
          <w:color w:val="000000"/>
          <w:szCs w:val="21"/>
        </w:rPr>
        <w:t>甲方有权对乙方的履约行为进行检查，并</w:t>
      </w:r>
      <w:r>
        <w:rPr>
          <w:rFonts w:ascii="宋体" w:hAnsi="宋体" w:eastAsia="宋体"/>
          <w:color w:val="000000"/>
          <w:szCs w:val="21"/>
        </w:rPr>
        <w:t>及时确认乙方提交的事项</w:t>
      </w:r>
      <w:r>
        <w:rPr>
          <w:rFonts w:hint="eastAsia" w:ascii="宋体" w:hAnsi="宋体" w:eastAsia="宋体"/>
          <w:color w:val="000000"/>
          <w:szCs w:val="21"/>
        </w:rPr>
        <w:t>。甲方应当</w:t>
      </w:r>
      <w:r>
        <w:rPr>
          <w:rFonts w:ascii="宋体" w:hAnsi="宋体" w:eastAsia="宋体"/>
          <w:color w:val="000000"/>
          <w:szCs w:val="21"/>
        </w:rPr>
        <w:t>配合乙方完成</w:t>
      </w:r>
      <w:r>
        <w:rPr>
          <w:rFonts w:hint="eastAsia" w:ascii="宋体" w:hAnsi="宋体" w:eastAsia="宋体"/>
          <w:color w:val="000000"/>
          <w:szCs w:val="21"/>
        </w:rPr>
        <w:t>相关项目</w:t>
      </w:r>
      <w:r>
        <w:rPr>
          <w:rFonts w:ascii="宋体" w:hAnsi="宋体" w:eastAsia="宋体"/>
          <w:color w:val="000000"/>
          <w:szCs w:val="21"/>
        </w:rPr>
        <w:t>实施工作。</w:t>
      </w:r>
    </w:p>
    <w:p w14:paraId="00ACBF73">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 xml:space="preserve">4.2 </w:t>
      </w:r>
      <w:r>
        <w:rPr>
          <w:rFonts w:ascii="宋体" w:hAnsi="宋体" w:eastAsia="宋体"/>
          <w:color w:val="000000"/>
          <w:szCs w:val="21"/>
        </w:rPr>
        <w:t>甲方有权要求乙方按时提交各阶段有关</w:t>
      </w:r>
      <w:r>
        <w:rPr>
          <w:rFonts w:hint="eastAsia" w:ascii="宋体" w:hAnsi="宋体" w:eastAsia="宋体"/>
          <w:color w:val="000000"/>
          <w:szCs w:val="21"/>
        </w:rPr>
        <w:t>安排计划</w:t>
      </w:r>
      <w:r>
        <w:rPr>
          <w:rFonts w:ascii="宋体" w:hAnsi="宋体" w:eastAsia="宋体"/>
          <w:color w:val="000000"/>
          <w:szCs w:val="21"/>
        </w:rPr>
        <w:t>，并有权</w:t>
      </w:r>
      <w:r>
        <w:rPr>
          <w:rFonts w:hint="eastAsia" w:ascii="宋体" w:hAnsi="宋体" w:eastAsia="宋体"/>
          <w:color w:val="000000"/>
          <w:szCs w:val="21"/>
        </w:rPr>
        <w:t>定期核对乙方提供货物数量、规格、质量等内容。甲方</w:t>
      </w:r>
      <w:r>
        <w:rPr>
          <w:rFonts w:ascii="宋体" w:hAnsi="宋体" w:eastAsia="宋体"/>
          <w:color w:val="000000"/>
          <w:szCs w:val="21"/>
        </w:rPr>
        <w:t>有权督促乙方工作并要求乙方</w:t>
      </w:r>
      <w:r>
        <w:rPr>
          <w:rFonts w:hint="eastAsia" w:ascii="宋体" w:hAnsi="宋体" w:eastAsia="宋体"/>
          <w:color w:val="000000"/>
          <w:szCs w:val="21"/>
        </w:rPr>
        <w:t>更</w:t>
      </w:r>
      <w:r>
        <w:rPr>
          <w:rFonts w:ascii="宋体" w:hAnsi="宋体" w:eastAsia="宋体"/>
          <w:color w:val="000000"/>
          <w:szCs w:val="21"/>
        </w:rPr>
        <w:t>换不符合要求的</w:t>
      </w:r>
      <w:r>
        <w:rPr>
          <w:rFonts w:hint="eastAsia" w:ascii="宋体" w:hAnsi="宋体" w:eastAsia="宋体"/>
          <w:color w:val="000000"/>
          <w:szCs w:val="21"/>
        </w:rPr>
        <w:t>货物</w:t>
      </w:r>
      <w:r>
        <w:rPr>
          <w:rFonts w:ascii="宋体" w:hAnsi="宋体" w:eastAsia="宋体"/>
          <w:color w:val="000000"/>
          <w:szCs w:val="21"/>
        </w:rPr>
        <w:t>。</w:t>
      </w:r>
    </w:p>
    <w:p w14:paraId="03B7E0A8">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4.</w:t>
      </w:r>
      <w:r>
        <w:rPr>
          <w:rFonts w:ascii="宋体" w:hAnsi="宋体" w:eastAsia="宋体"/>
          <w:color w:val="000000"/>
          <w:szCs w:val="21"/>
        </w:rPr>
        <w:t>3</w:t>
      </w:r>
      <w:r>
        <w:rPr>
          <w:rFonts w:hint="eastAsia" w:ascii="宋体" w:hAnsi="宋体" w:eastAsia="宋体"/>
          <w:color w:val="000000"/>
          <w:szCs w:val="21"/>
        </w:rPr>
        <w:t xml:space="preserve"> </w:t>
      </w:r>
      <w:r>
        <w:rPr>
          <w:rFonts w:ascii="宋体" w:hAnsi="宋体" w:eastAsia="宋体"/>
          <w:color w:val="000000"/>
          <w:szCs w:val="21"/>
        </w:rPr>
        <w:t>甲方</w:t>
      </w:r>
      <w:r>
        <w:rPr>
          <w:rFonts w:hint="eastAsia" w:ascii="宋体" w:hAnsi="宋体" w:eastAsia="宋体"/>
          <w:color w:val="000000"/>
          <w:szCs w:val="21"/>
        </w:rPr>
        <w:t>有权要求乙方对缺陷部分予以修复，并按合同约定享有货物保修及其他合同约定的权利。</w:t>
      </w:r>
    </w:p>
    <w:p w14:paraId="31CEEEB3">
      <w:pPr>
        <w:snapToGrid w:val="0"/>
        <w:spacing w:line="400" w:lineRule="exact"/>
        <w:ind w:firstLine="420" w:firstLineChars="200"/>
        <w:rPr>
          <w:rFonts w:eastAsia="华文楷体"/>
        </w:rPr>
      </w:pPr>
      <w:r>
        <w:rPr>
          <w:rFonts w:ascii="宋体" w:hAnsi="宋体" w:eastAsia="宋体"/>
          <w:color w:val="000000"/>
          <w:szCs w:val="21"/>
        </w:rPr>
        <w:t>4.4 甲方应当按照合同约定及时对交付的货物进行验收</w:t>
      </w:r>
      <w:r>
        <w:rPr>
          <w:rFonts w:hint="eastAsia" w:ascii="宋体" w:hAnsi="宋体" w:eastAsia="宋体"/>
          <w:color w:val="000000"/>
          <w:szCs w:val="21"/>
        </w:rPr>
        <w:t>，</w:t>
      </w:r>
      <w:r>
        <w:rPr>
          <w:rFonts w:hint="eastAsia" w:ascii="宋体" w:hAnsi="宋体" w:eastAsia="宋体" w:cs="宋体"/>
          <w:szCs w:val="21"/>
        </w:rPr>
        <w:t>未</w:t>
      </w:r>
      <w:r>
        <w:rPr>
          <w:rFonts w:hint="eastAsia" w:ascii="宋体" w:hAnsi="宋体" w:eastAsia="宋体"/>
          <w:color w:val="000000"/>
          <w:szCs w:val="21"/>
        </w:rPr>
        <w:t>在</w:t>
      </w:r>
      <w:r>
        <w:rPr>
          <w:rFonts w:hint="eastAsia" w:ascii="宋体" w:hAnsi="宋体" w:eastAsia="宋体" w:cs="宋体"/>
          <w:b/>
          <w:bCs/>
          <w:szCs w:val="21"/>
        </w:rPr>
        <w:t>【政府采购合同专用条款】</w:t>
      </w:r>
      <w:r>
        <w:rPr>
          <w:rFonts w:hint="eastAsia" w:ascii="宋体" w:hAnsi="宋体" w:eastAsia="宋体" w:cs="宋体"/>
          <w:szCs w:val="21"/>
        </w:rPr>
        <w:t>约定的期限内对乙方履约提出任何异议或者向乙方作出任何说明的，</w:t>
      </w:r>
      <w:r>
        <w:rPr>
          <w:rFonts w:hint="eastAsia" w:ascii="宋体" w:hAnsi="宋体" w:eastAsia="宋体"/>
          <w:color w:val="000000"/>
          <w:szCs w:val="21"/>
        </w:rPr>
        <w:t>视为验收通过。</w:t>
      </w:r>
    </w:p>
    <w:p w14:paraId="16414656">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ascii="宋体" w:hAnsi="宋体" w:eastAsia="宋体"/>
          <w:color w:val="000000"/>
          <w:szCs w:val="21"/>
        </w:rPr>
        <w:t>4</w:t>
      </w:r>
      <w:r>
        <w:rPr>
          <w:rFonts w:hint="eastAsia" w:ascii="宋体" w:hAnsi="宋体" w:eastAsia="宋体"/>
          <w:color w:val="000000"/>
          <w:szCs w:val="21"/>
        </w:rPr>
        <w:t>.</w:t>
      </w:r>
      <w:r>
        <w:rPr>
          <w:rFonts w:ascii="宋体" w:hAnsi="宋体" w:eastAsia="宋体"/>
          <w:color w:val="000000"/>
          <w:szCs w:val="21"/>
        </w:rPr>
        <w:t xml:space="preserve">5 </w:t>
      </w:r>
      <w:r>
        <w:rPr>
          <w:rFonts w:hint="eastAsia" w:ascii="宋体" w:hAnsi="宋体" w:eastAsia="宋体"/>
          <w:color w:val="000000"/>
          <w:szCs w:val="21"/>
        </w:rPr>
        <w:t>甲方应当根据合同约定及时向乙方支付合同价款</w:t>
      </w:r>
      <w:r>
        <w:rPr>
          <w:rFonts w:ascii="宋体" w:hAnsi="宋体" w:eastAsia="宋体"/>
          <w:color w:val="000000"/>
          <w:szCs w:val="21"/>
        </w:rPr>
        <w:t>，不得以内部人员变更、履行内部付款流程等为由，拒绝或迟延支付。</w:t>
      </w:r>
    </w:p>
    <w:p w14:paraId="062943AB">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4.6</w:t>
      </w:r>
      <w:r>
        <w:rPr>
          <w:rFonts w:ascii="宋体" w:hAnsi="宋体" w:eastAsia="宋体"/>
          <w:color w:val="000000"/>
          <w:szCs w:val="21"/>
        </w:rPr>
        <w:t xml:space="preserve"> </w:t>
      </w:r>
      <w:r>
        <w:rPr>
          <w:rFonts w:hint="eastAsia" w:ascii="宋体" w:hAnsi="宋体" w:eastAsia="宋体"/>
          <w:color w:val="000000"/>
          <w:szCs w:val="21"/>
        </w:rPr>
        <w:t>国家法律法规规定及</w:t>
      </w:r>
      <w:r>
        <w:rPr>
          <w:rFonts w:hint="eastAsia" w:ascii="宋体" w:hAnsi="宋体" w:eastAsia="宋体" w:cs="宋体"/>
          <w:b/>
          <w:bCs/>
          <w:szCs w:val="21"/>
        </w:rPr>
        <w:t>【政府采购合同专用条款】</w:t>
      </w:r>
      <w:r>
        <w:rPr>
          <w:rFonts w:hint="eastAsia" w:ascii="宋体" w:hAnsi="宋体" w:eastAsia="宋体"/>
          <w:color w:val="000000"/>
          <w:szCs w:val="21"/>
        </w:rPr>
        <w:t>约定应由甲方承担的其他义务和责任。</w:t>
      </w:r>
    </w:p>
    <w:p w14:paraId="04422F6C">
      <w:pPr>
        <w:autoSpaceDE w:val="0"/>
        <w:autoSpaceDN w:val="0"/>
        <w:adjustRightInd w:val="0"/>
        <w:snapToGrid w:val="0"/>
        <w:spacing w:line="400" w:lineRule="exact"/>
        <w:jc w:val="left"/>
        <w:rPr>
          <w:rFonts w:hint="eastAsia" w:ascii="宋体" w:hAnsi="宋体" w:eastAsia="宋体"/>
          <w:b/>
          <w:bCs/>
          <w:color w:val="000000"/>
          <w:sz w:val="24"/>
        </w:rPr>
      </w:pPr>
      <w:r>
        <w:rPr>
          <w:rFonts w:hint="eastAsia" w:ascii="宋体" w:hAnsi="宋体" w:eastAsia="宋体"/>
          <w:b/>
          <w:bCs/>
          <w:color w:val="000000"/>
          <w:sz w:val="24"/>
        </w:rPr>
        <w:t>5. 乙方的权利和义务</w:t>
      </w:r>
    </w:p>
    <w:p w14:paraId="52E3B356">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 xml:space="preserve">5.1 </w:t>
      </w:r>
      <w:r>
        <w:rPr>
          <w:rFonts w:ascii="宋体" w:hAnsi="宋体" w:eastAsia="宋体"/>
          <w:color w:val="000000"/>
          <w:szCs w:val="21"/>
        </w:rPr>
        <w:t>签署合同后，乙方</w:t>
      </w:r>
      <w:r>
        <w:rPr>
          <w:rFonts w:hint="eastAsia" w:ascii="宋体" w:hAnsi="宋体" w:eastAsia="宋体"/>
          <w:color w:val="000000"/>
          <w:szCs w:val="21"/>
        </w:rPr>
        <w:t>应</w:t>
      </w:r>
      <w:r>
        <w:rPr>
          <w:rFonts w:ascii="宋体" w:hAnsi="宋体" w:eastAsia="宋体"/>
          <w:color w:val="000000"/>
          <w:szCs w:val="21"/>
        </w:rPr>
        <w:t>确定</w:t>
      </w:r>
      <w:r>
        <w:rPr>
          <w:rFonts w:hint="eastAsia" w:ascii="宋体" w:hAnsi="宋体" w:eastAsia="宋体"/>
          <w:color w:val="000000"/>
          <w:szCs w:val="21"/>
        </w:rPr>
        <w:t>项目负责人（或项目联系人）</w:t>
      </w:r>
      <w:r>
        <w:rPr>
          <w:rFonts w:ascii="宋体" w:hAnsi="宋体" w:eastAsia="宋体"/>
          <w:color w:val="000000"/>
          <w:szCs w:val="21"/>
        </w:rPr>
        <w:t>，负责与本合同有关的事务。</w:t>
      </w:r>
    </w:p>
    <w:p w14:paraId="410BF7A2">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5.</w:t>
      </w:r>
      <w:r>
        <w:rPr>
          <w:rFonts w:ascii="宋体" w:hAnsi="宋体" w:eastAsia="宋体"/>
          <w:color w:val="000000"/>
          <w:szCs w:val="21"/>
        </w:rPr>
        <w:t>2 乙方应按照合同要求</w:t>
      </w:r>
      <w:r>
        <w:rPr>
          <w:rFonts w:hint="eastAsia" w:ascii="宋体" w:hAnsi="宋体" w:eastAsia="宋体"/>
          <w:color w:val="000000"/>
          <w:szCs w:val="21"/>
        </w:rPr>
        <w:t>履约</w:t>
      </w:r>
      <w:r>
        <w:rPr>
          <w:rFonts w:ascii="宋体" w:hAnsi="宋体" w:eastAsia="宋体"/>
          <w:color w:val="000000"/>
          <w:szCs w:val="21"/>
        </w:rPr>
        <w:t>，充分合理安排，确保</w:t>
      </w:r>
      <w:r>
        <w:rPr>
          <w:rFonts w:hint="eastAsia" w:ascii="宋体" w:hAnsi="宋体" w:eastAsia="宋体"/>
          <w:color w:val="000000"/>
          <w:szCs w:val="21"/>
        </w:rPr>
        <w:t>提供的货物及相关服务符合合同有关</w:t>
      </w:r>
      <w:r>
        <w:rPr>
          <w:rFonts w:ascii="宋体" w:hAnsi="宋体" w:eastAsia="宋体"/>
          <w:color w:val="000000"/>
          <w:szCs w:val="21"/>
        </w:rPr>
        <w:t>要求</w:t>
      </w:r>
      <w:r>
        <w:rPr>
          <w:rFonts w:hint="eastAsia" w:ascii="宋体" w:hAnsi="宋体" w:eastAsia="宋体"/>
          <w:color w:val="000000"/>
          <w:szCs w:val="21"/>
        </w:rPr>
        <w:t>。接受项目行业管理部门及政府有关部门的指导，配合甲方的履约检查及验收，并</w:t>
      </w:r>
      <w:r>
        <w:rPr>
          <w:rFonts w:ascii="宋体" w:hAnsi="宋体" w:eastAsia="宋体"/>
          <w:color w:val="000000"/>
          <w:szCs w:val="21"/>
        </w:rPr>
        <w:t>负责项目实施过程中的所有协调工作。</w:t>
      </w:r>
    </w:p>
    <w:p w14:paraId="17509539">
      <w:pPr>
        <w:spacing w:line="400" w:lineRule="exact"/>
        <w:ind w:firstLine="369" w:firstLineChars="176"/>
        <w:rPr>
          <w:rFonts w:hint="eastAsia" w:ascii="宋体" w:hAnsi="宋体" w:eastAsia="宋体" w:cs="宋体"/>
          <w:color w:val="000000"/>
          <w:szCs w:val="21"/>
        </w:rPr>
      </w:pPr>
      <w:r>
        <w:rPr>
          <w:rFonts w:hint="eastAsia" w:ascii="宋体" w:hAnsi="宋体" w:eastAsia="宋体" w:cs="Times New Roman"/>
          <w:color w:val="000000"/>
          <w:szCs w:val="21"/>
        </w:rPr>
        <w:t>5.</w:t>
      </w:r>
      <w:r>
        <w:rPr>
          <w:rFonts w:ascii="宋体" w:hAnsi="宋体" w:eastAsia="宋体" w:cs="Times New Roman"/>
          <w:color w:val="000000"/>
          <w:szCs w:val="21"/>
        </w:rPr>
        <w:t>3</w:t>
      </w:r>
      <w:r>
        <w:rPr>
          <w:rFonts w:hint="eastAsia" w:ascii="宋体" w:hAnsi="宋体" w:eastAsia="宋体" w:cs="Times New Roman"/>
          <w:color w:val="000000"/>
          <w:szCs w:val="21"/>
        </w:rPr>
        <w:t>乙方有权</w:t>
      </w:r>
      <w:r>
        <w:rPr>
          <w:rFonts w:hint="eastAsia" w:ascii="宋体" w:hAnsi="宋体" w:eastAsia="宋体" w:cs="宋体"/>
          <w:color w:val="000000"/>
          <w:szCs w:val="21"/>
        </w:rPr>
        <w:t>根据合同约定向甲方收取合同价款。</w:t>
      </w:r>
    </w:p>
    <w:p w14:paraId="2A4304F5">
      <w:pPr>
        <w:spacing w:line="400" w:lineRule="exact"/>
        <w:ind w:firstLine="369" w:firstLineChars="176"/>
        <w:rPr>
          <w:rFonts w:hint="eastAsia" w:ascii="宋体" w:hAnsi="宋体" w:eastAsia="宋体" w:cs="宋体"/>
          <w:color w:val="000000"/>
          <w:szCs w:val="21"/>
        </w:rPr>
      </w:pPr>
      <w:r>
        <w:rPr>
          <w:rFonts w:hint="eastAsia" w:ascii="宋体" w:hAnsi="宋体" w:eastAsia="宋体" w:cs="Times New Roman"/>
          <w:color w:val="000000"/>
          <w:szCs w:val="21"/>
        </w:rPr>
        <w:t>5.</w:t>
      </w:r>
      <w:r>
        <w:rPr>
          <w:rFonts w:ascii="宋体" w:hAnsi="宋体" w:eastAsia="宋体" w:cs="Times New Roman"/>
          <w:color w:val="000000"/>
          <w:szCs w:val="21"/>
        </w:rPr>
        <w:t>4</w:t>
      </w:r>
      <w:r>
        <w:rPr>
          <w:rFonts w:hint="eastAsia" w:ascii="宋体" w:hAnsi="宋体" w:eastAsia="宋体" w:cs="宋体"/>
          <w:color w:val="000000"/>
          <w:szCs w:val="21"/>
        </w:rPr>
        <w:t>国家法律法规规定</w:t>
      </w:r>
      <w:r>
        <w:rPr>
          <w:rFonts w:hint="eastAsia" w:ascii="宋体" w:hAnsi="宋体" w:eastAsia="宋体" w:cs="Times New Roman"/>
          <w:color w:val="000000"/>
          <w:szCs w:val="21"/>
        </w:rPr>
        <w:t>及</w:t>
      </w:r>
      <w:r>
        <w:rPr>
          <w:rFonts w:hint="eastAsia" w:ascii="宋体" w:hAnsi="宋体" w:eastAsia="宋体" w:cs="宋体"/>
          <w:b/>
          <w:bCs/>
          <w:szCs w:val="21"/>
        </w:rPr>
        <w:t>【政府采购合同专用条款】</w:t>
      </w:r>
      <w:r>
        <w:rPr>
          <w:rFonts w:hint="eastAsia" w:ascii="宋体" w:hAnsi="宋体" w:eastAsia="宋体" w:cs="宋体"/>
          <w:szCs w:val="21"/>
        </w:rPr>
        <w:t>约定应</w:t>
      </w:r>
      <w:r>
        <w:rPr>
          <w:rFonts w:hint="eastAsia" w:ascii="宋体" w:hAnsi="宋体" w:eastAsia="宋体" w:cs="宋体"/>
          <w:color w:val="000000"/>
          <w:szCs w:val="21"/>
        </w:rPr>
        <w:t>由乙方承担的其他义务和责任。</w:t>
      </w:r>
    </w:p>
    <w:p w14:paraId="1595E33C">
      <w:pPr>
        <w:numPr>
          <w:ilvl w:val="0"/>
          <w:numId w:val="10"/>
        </w:numPr>
        <w:autoSpaceDE w:val="0"/>
        <w:autoSpaceDN w:val="0"/>
        <w:adjustRightInd w:val="0"/>
        <w:snapToGrid w:val="0"/>
        <w:spacing w:line="400" w:lineRule="exact"/>
        <w:jc w:val="left"/>
        <w:rPr>
          <w:rFonts w:hint="eastAsia" w:ascii="宋体" w:hAnsi="宋体" w:eastAsia="宋体"/>
          <w:b/>
          <w:bCs/>
          <w:color w:val="000000"/>
          <w:sz w:val="24"/>
        </w:rPr>
      </w:pPr>
      <w:r>
        <w:rPr>
          <w:rFonts w:hint="eastAsia" w:ascii="宋体" w:hAnsi="宋体" w:eastAsia="宋体"/>
          <w:b/>
          <w:bCs/>
          <w:color w:val="000000"/>
          <w:sz w:val="24"/>
        </w:rPr>
        <w:t>合同履行</w:t>
      </w:r>
    </w:p>
    <w:p w14:paraId="77E7E309">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6.1 甲乙双方应当按照</w:t>
      </w:r>
      <w:r>
        <w:rPr>
          <w:rFonts w:hint="eastAsia" w:ascii="宋体" w:hAnsi="宋体" w:eastAsia="宋体" w:cs="宋体"/>
          <w:b/>
          <w:bCs/>
          <w:szCs w:val="21"/>
        </w:rPr>
        <w:t>【政府采购合同专用条款】</w:t>
      </w:r>
      <w:r>
        <w:rPr>
          <w:rFonts w:hint="eastAsia" w:ascii="宋体" w:hAnsi="宋体" w:eastAsia="宋体"/>
          <w:color w:val="000000"/>
          <w:szCs w:val="21"/>
        </w:rPr>
        <w:t>约定顺序履行合同义务；如果没有先后顺序的，应当同时履行。</w:t>
      </w:r>
    </w:p>
    <w:p w14:paraId="2FA260A4">
      <w:pPr>
        <w:autoSpaceDE w:val="0"/>
        <w:autoSpaceDN w:val="0"/>
        <w:adjustRightInd w:val="0"/>
        <w:snapToGrid w:val="0"/>
        <w:spacing w:line="400" w:lineRule="exact"/>
        <w:ind w:firstLine="420" w:firstLineChars="200"/>
        <w:jc w:val="left"/>
        <w:rPr>
          <w:rFonts w:eastAsia="宋体"/>
        </w:rPr>
      </w:pPr>
      <w:r>
        <w:rPr>
          <w:rFonts w:hint="eastAsia" w:ascii="宋体" w:hAnsi="宋体" w:eastAsia="宋体"/>
          <w:color w:val="000000"/>
          <w:szCs w:val="21"/>
        </w:rPr>
        <w:t>6.2 甲乙双方按照合同约定顺序履行合同义务时，应当先履行一方未履行的，后履行一方有权拒绝其履行请求。先履行一方履行不符合约定的，后履行一方有权拒绝其相应的履行请求。</w:t>
      </w:r>
    </w:p>
    <w:p w14:paraId="2C74DF96">
      <w:pPr>
        <w:adjustRightInd w:val="0"/>
        <w:snapToGrid w:val="0"/>
        <w:spacing w:line="400" w:lineRule="exact"/>
        <w:jc w:val="left"/>
        <w:rPr>
          <w:rFonts w:hint="eastAsia" w:ascii="宋体" w:hAnsi="宋体" w:eastAsia="宋体"/>
          <w:b/>
          <w:bCs/>
          <w:color w:val="000000"/>
          <w:sz w:val="24"/>
        </w:rPr>
      </w:pPr>
      <w:r>
        <w:rPr>
          <w:rFonts w:hint="eastAsia" w:ascii="宋体" w:hAnsi="宋体" w:eastAsia="宋体"/>
          <w:b/>
          <w:bCs/>
          <w:color w:val="000000"/>
          <w:sz w:val="24"/>
        </w:rPr>
        <w:t>7. 货物包装、运输、保险和交付要求</w:t>
      </w:r>
    </w:p>
    <w:p w14:paraId="076E9A5F">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7.1 本合同</w:t>
      </w:r>
      <w:r>
        <w:rPr>
          <w:rFonts w:hint="eastAsia" w:ascii="宋体" w:hAnsi="宋体" w:eastAsia="宋体"/>
          <w:bCs/>
          <w:color w:val="000000"/>
          <w:szCs w:val="21"/>
        </w:rPr>
        <w:t>涉及商品包装、快递包装的，</w:t>
      </w:r>
      <w:r>
        <w:rPr>
          <w:rFonts w:hint="eastAsia" w:ascii="宋体" w:hAnsi="宋体" w:eastAsia="宋体"/>
          <w:color w:val="000000"/>
          <w:szCs w:val="21"/>
        </w:rPr>
        <w:t>除</w:t>
      </w:r>
      <w:r>
        <w:rPr>
          <w:rFonts w:hint="eastAsia" w:ascii="宋体" w:hAnsi="宋体" w:eastAsia="宋体"/>
          <w:b/>
          <w:color w:val="000000"/>
          <w:szCs w:val="21"/>
        </w:rPr>
        <w:t>【政府采购合同专用条款】</w:t>
      </w:r>
      <w:r>
        <w:rPr>
          <w:rFonts w:hint="eastAsia" w:ascii="宋体" w:hAnsi="宋体" w:eastAsia="宋体"/>
          <w:bCs/>
          <w:color w:val="000000"/>
          <w:szCs w:val="21"/>
        </w:rPr>
        <w:t>另有约定外，</w:t>
      </w:r>
      <w:r>
        <w:rPr>
          <w:rFonts w:hint="eastAsia" w:ascii="宋体" w:hAnsi="宋体" w:eastAsia="宋体"/>
          <w:color w:val="000000"/>
          <w:szCs w:val="21"/>
        </w:rPr>
        <w:t>包装应适应远距离运输、防潮、防震、防锈和防野蛮装卸等要求，确保货物安全无损地运抵</w:t>
      </w:r>
      <w:r>
        <w:rPr>
          <w:rFonts w:hint="eastAsia" w:ascii="宋体" w:hAnsi="宋体" w:eastAsia="宋体"/>
          <w:b/>
          <w:color w:val="000000"/>
          <w:szCs w:val="21"/>
        </w:rPr>
        <w:t>【政府采购合同专用条款】</w:t>
      </w:r>
      <w:r>
        <w:rPr>
          <w:rFonts w:hint="eastAsia" w:ascii="宋体" w:hAnsi="宋体" w:eastAsia="宋体"/>
          <w:bCs/>
          <w:color w:val="000000"/>
          <w:szCs w:val="21"/>
        </w:rPr>
        <w:t>约定的</w:t>
      </w:r>
      <w:r>
        <w:rPr>
          <w:rFonts w:hint="eastAsia" w:ascii="宋体" w:hAnsi="宋体" w:eastAsia="宋体"/>
          <w:color w:val="000000"/>
          <w:szCs w:val="21"/>
        </w:rPr>
        <w:t>指定现场。</w:t>
      </w:r>
    </w:p>
    <w:p w14:paraId="3FB3E31E">
      <w:pPr>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7.2 除</w:t>
      </w:r>
      <w:r>
        <w:rPr>
          <w:rFonts w:hint="eastAsia" w:ascii="宋体" w:hAnsi="宋体" w:eastAsia="宋体"/>
          <w:b/>
          <w:color w:val="000000"/>
          <w:szCs w:val="21"/>
        </w:rPr>
        <w:t>【政府采购合同专用条款】</w:t>
      </w:r>
      <w:r>
        <w:rPr>
          <w:rFonts w:hint="eastAsia" w:ascii="宋体" w:hAnsi="宋体" w:eastAsia="宋体"/>
          <w:bCs/>
          <w:color w:val="000000"/>
          <w:szCs w:val="21"/>
        </w:rPr>
        <w:t>另有约定外，</w:t>
      </w:r>
      <w:r>
        <w:rPr>
          <w:rFonts w:hint="eastAsia" w:ascii="宋体" w:hAnsi="宋体" w:eastAsia="宋体"/>
          <w:color w:val="000000"/>
          <w:szCs w:val="21"/>
        </w:rPr>
        <w:t>乙方负责办理将货物运抵本合同规定的交货地点，并装卸、交付至甲方的一切运输事项，相关费用应包含在合同价款中。</w:t>
      </w:r>
    </w:p>
    <w:p w14:paraId="51F73644">
      <w:pPr>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7.3 货物保险要求按</w:t>
      </w:r>
      <w:r>
        <w:rPr>
          <w:rFonts w:hint="eastAsia" w:ascii="宋体" w:hAnsi="宋体" w:eastAsia="宋体"/>
          <w:b/>
          <w:color w:val="000000"/>
          <w:szCs w:val="21"/>
        </w:rPr>
        <w:t>【政府采购合同专用条款】</w:t>
      </w:r>
      <w:r>
        <w:rPr>
          <w:rFonts w:hint="eastAsia" w:ascii="宋体" w:hAnsi="宋体" w:eastAsia="宋体"/>
          <w:bCs/>
          <w:color w:val="000000"/>
          <w:szCs w:val="21"/>
        </w:rPr>
        <w:t>规定执行</w:t>
      </w:r>
      <w:r>
        <w:rPr>
          <w:rFonts w:hint="eastAsia" w:ascii="宋体" w:hAnsi="宋体" w:eastAsia="宋体"/>
          <w:color w:val="000000"/>
          <w:szCs w:val="21"/>
        </w:rPr>
        <w:t>。</w:t>
      </w:r>
    </w:p>
    <w:p w14:paraId="340E0F28">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35510BA7">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 xml:space="preserve">7.5 </w:t>
      </w:r>
      <w:r>
        <w:rPr>
          <w:rFonts w:hint="eastAsia" w:ascii="宋体" w:hAnsi="宋体" w:eastAsia="宋体" w:cs="宋体"/>
          <w:color w:val="000000"/>
          <w:szCs w:val="21"/>
        </w:rPr>
        <w:t>乙方在运输到达之前应提前通知甲方，并提示货物运输装卸的注意事项，甲方配合乙方做好货物的接收工作。</w:t>
      </w:r>
    </w:p>
    <w:p w14:paraId="3299A345">
      <w:pPr>
        <w:autoSpaceDE w:val="0"/>
        <w:autoSpaceDN w:val="0"/>
        <w:adjustRightInd w:val="0"/>
        <w:spacing w:line="400" w:lineRule="exact"/>
        <w:ind w:firstLine="420" w:firstLineChars="200"/>
        <w:rPr>
          <w:rFonts w:hint="eastAsia" w:ascii="华文楷体" w:hAnsi="华文楷体" w:eastAsia="华文楷体" w:cs="华文楷体"/>
          <w:szCs w:val="21"/>
        </w:rPr>
      </w:pPr>
      <w:r>
        <w:rPr>
          <w:rFonts w:hint="eastAsia" w:ascii="宋体" w:hAnsi="宋体" w:eastAsia="宋体" w:cs="Times New Roman"/>
          <w:color w:val="000000"/>
          <w:szCs w:val="21"/>
        </w:rPr>
        <w:t>7.6 如因包装、运输问题导致货物损毁、丢失或者品质下降，甲方有权要求降价、换货、拒收部分或整批货物，由此产生的费用和损失，均由乙方承担。</w:t>
      </w:r>
    </w:p>
    <w:p w14:paraId="48D4839E">
      <w:pPr>
        <w:adjustRightInd w:val="0"/>
        <w:snapToGrid w:val="0"/>
        <w:spacing w:line="400" w:lineRule="exact"/>
        <w:jc w:val="left"/>
        <w:rPr>
          <w:rFonts w:hint="eastAsia" w:ascii="宋体" w:hAnsi="宋体" w:eastAsia="宋体"/>
          <w:b/>
          <w:sz w:val="24"/>
        </w:rPr>
      </w:pPr>
      <w:r>
        <w:rPr>
          <w:rFonts w:hint="eastAsia" w:ascii="宋体" w:hAnsi="宋体" w:eastAsia="宋体"/>
          <w:b/>
          <w:color w:val="000000"/>
          <w:sz w:val="24"/>
        </w:rPr>
        <w:t xml:space="preserve">8. </w:t>
      </w:r>
      <w:r>
        <w:rPr>
          <w:rFonts w:hint="eastAsia" w:ascii="宋体" w:hAnsi="宋体" w:eastAsia="宋体"/>
          <w:b/>
          <w:sz w:val="24"/>
        </w:rPr>
        <w:t>质量标准和保证</w:t>
      </w:r>
    </w:p>
    <w:p w14:paraId="1487960D">
      <w:pPr>
        <w:adjustRightInd w:val="0"/>
        <w:snapToGrid w:val="0"/>
        <w:spacing w:line="400" w:lineRule="exact"/>
        <w:ind w:firstLine="420" w:firstLineChars="200"/>
        <w:jc w:val="left"/>
        <w:rPr>
          <w:rFonts w:hint="eastAsia" w:ascii="宋体" w:hAnsi="宋体" w:eastAsia="宋体" w:cs="Courier New"/>
          <w:b/>
          <w:szCs w:val="21"/>
        </w:rPr>
      </w:pPr>
      <w:r>
        <w:rPr>
          <w:rFonts w:hint="eastAsia" w:ascii="宋体" w:hAnsi="宋体" w:eastAsia="宋体" w:cs="Courier New"/>
          <w:szCs w:val="21"/>
        </w:rPr>
        <w:t>8.1 质量标准</w:t>
      </w:r>
    </w:p>
    <w:p w14:paraId="187C0076">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（1）本合同下提供的货物应符合合同</w:t>
      </w:r>
      <w:r>
        <w:rPr>
          <w:rFonts w:hint="eastAsia" w:ascii="宋体" w:hAnsi="宋体" w:eastAsia="宋体" w:cs="宋体"/>
          <w:color w:val="000000"/>
          <w:szCs w:val="21"/>
        </w:rPr>
        <w:t>约定的</w:t>
      </w:r>
      <w:r>
        <w:rPr>
          <w:rFonts w:hint="eastAsia" w:ascii="宋体" w:hAnsi="宋体" w:eastAsia="宋体" w:cs="宋体"/>
          <w:szCs w:val="21"/>
        </w:rPr>
        <w:t>品牌、规格型号、技术性能、配置、质量、数量等要求。</w:t>
      </w:r>
      <w:r>
        <w:rPr>
          <w:rFonts w:hint="eastAsia" w:ascii="宋体" w:hAnsi="宋体" w:eastAsia="宋体"/>
          <w:szCs w:val="21"/>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4FD32F57">
      <w:pPr>
        <w:adjustRightInd w:val="0"/>
        <w:snapToGrid w:val="0"/>
        <w:spacing w:line="400" w:lineRule="exact"/>
        <w:ind w:firstLine="420" w:firstLineChars="200"/>
        <w:jc w:val="left"/>
        <w:rPr>
          <w:rFonts w:hint="eastAsia" w:ascii="宋体" w:hAnsi="宋体" w:eastAsia="宋体" w:cs="Courier New"/>
          <w:szCs w:val="21"/>
        </w:rPr>
      </w:pPr>
      <w:r>
        <w:rPr>
          <w:rFonts w:hint="eastAsia" w:ascii="宋体" w:hAnsi="宋体" w:eastAsia="宋体" w:cs="Courier New"/>
          <w:szCs w:val="21"/>
        </w:rPr>
        <w:t>（2）采用中华人民共和国法定计量单位。</w:t>
      </w:r>
    </w:p>
    <w:p w14:paraId="13BF9D69">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（3）乙方所提供的货物应符合国家有关安全、环保、卫生的规定。</w:t>
      </w:r>
    </w:p>
    <w:p w14:paraId="11058B62">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（4）乙方应向甲方提交所提供货物的技术文件，包括相应的中文技术文件，如：产品目录、图纸、操作手册、使用说明、维护手册或服务指南等。上述文件应包装好随货物一同发运。</w:t>
      </w:r>
    </w:p>
    <w:p w14:paraId="7A631038">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8.2 保证</w:t>
      </w:r>
    </w:p>
    <w:p w14:paraId="1C62320C">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（1）乙方应保证提供的货物完全符合合同规定的质量、规格和性能要求。乙方应保证货物在正确安装、正常使用和保养条件下，</w:t>
      </w:r>
      <w:r>
        <w:rPr>
          <w:rFonts w:hint="eastAsia" w:ascii="宋体" w:hAnsi="宋体" w:eastAsia="宋体" w:cs="宋体"/>
          <w:szCs w:val="21"/>
        </w:rPr>
        <w:t>在其使用寿命期内具备合同约定的性能</w:t>
      </w:r>
      <w:r>
        <w:rPr>
          <w:rFonts w:hint="eastAsia" w:ascii="宋体" w:hAnsi="宋体" w:eastAsia="宋体"/>
          <w:szCs w:val="21"/>
        </w:rPr>
        <w:t>。存在质量保证期的，货物最终交付验收合格后在</w:t>
      </w:r>
      <w:r>
        <w:rPr>
          <w:rFonts w:hint="eastAsia" w:ascii="宋体" w:hAnsi="宋体" w:eastAsia="宋体"/>
          <w:b/>
          <w:szCs w:val="21"/>
        </w:rPr>
        <w:t>【政府采购合同专用条款】</w:t>
      </w:r>
      <w:r>
        <w:rPr>
          <w:rFonts w:hint="eastAsia" w:ascii="宋体" w:hAnsi="宋体" w:eastAsia="宋体"/>
          <w:szCs w:val="21"/>
        </w:rPr>
        <w:t>规定或乙方书面承诺（两者以较长的为准）的质量保证期内，本保证保持有效。</w:t>
      </w:r>
    </w:p>
    <w:p w14:paraId="013C1F54">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（2）在质量保证期内所发现的缺陷，甲方应尽快以书面形式通知乙方。</w:t>
      </w:r>
    </w:p>
    <w:p w14:paraId="7FDCBCD8">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（3）乙方收到通知后，应在</w:t>
      </w:r>
      <w:r>
        <w:rPr>
          <w:rFonts w:hint="eastAsia" w:ascii="宋体" w:hAnsi="宋体" w:eastAsia="宋体"/>
          <w:b/>
          <w:szCs w:val="21"/>
        </w:rPr>
        <w:t>【政府采购合同专用条款】</w:t>
      </w:r>
      <w:r>
        <w:rPr>
          <w:rFonts w:hint="eastAsia" w:ascii="宋体" w:hAnsi="宋体" w:eastAsia="宋体"/>
          <w:szCs w:val="21"/>
        </w:rPr>
        <w:t>规定的响应时间内以合理的速度免费维修或更换有缺陷的货物或部件。</w:t>
      </w:r>
    </w:p>
    <w:p w14:paraId="6C5FE4BD">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（4）在质量保证期内，如果货物的质量或规格与合同不符，或证实货物是有缺陷的，包括潜在的缺陷或使用不符合要求的材料等，甲方可以根据本合同第1</w:t>
      </w:r>
      <w:r>
        <w:rPr>
          <w:rFonts w:hint="eastAsia" w:ascii="宋体" w:hAnsi="宋体" w:eastAsia="宋体"/>
          <w:color w:val="000000"/>
          <w:szCs w:val="21"/>
        </w:rPr>
        <w:t>5</w:t>
      </w:r>
      <w:r>
        <w:rPr>
          <w:rFonts w:hint="eastAsia" w:ascii="宋体" w:hAnsi="宋体" w:eastAsia="宋体"/>
          <w:szCs w:val="21"/>
        </w:rPr>
        <w:t>.1条规定以书面形式</w:t>
      </w:r>
      <w:r>
        <w:rPr>
          <w:rFonts w:hint="eastAsia" w:ascii="宋体" w:hAnsi="宋体" w:eastAsia="宋体"/>
          <w:color w:val="000000"/>
          <w:szCs w:val="21"/>
        </w:rPr>
        <w:t>追究</w:t>
      </w:r>
      <w:r>
        <w:rPr>
          <w:rFonts w:hint="eastAsia" w:ascii="宋体" w:hAnsi="宋体" w:eastAsia="宋体"/>
          <w:szCs w:val="21"/>
        </w:rPr>
        <w:t>乙方</w:t>
      </w:r>
      <w:r>
        <w:rPr>
          <w:rFonts w:hint="eastAsia" w:ascii="宋体" w:hAnsi="宋体" w:eastAsia="宋体"/>
          <w:color w:val="000000"/>
          <w:szCs w:val="21"/>
        </w:rPr>
        <w:t>的违约责任</w:t>
      </w:r>
      <w:r>
        <w:rPr>
          <w:rFonts w:hint="eastAsia" w:ascii="宋体" w:hAnsi="宋体" w:eastAsia="宋体"/>
          <w:szCs w:val="21"/>
        </w:rPr>
        <w:t>。</w:t>
      </w:r>
    </w:p>
    <w:p w14:paraId="5D3A0989">
      <w:pPr>
        <w:adjustRightInd w:val="0"/>
        <w:snapToGrid w:val="0"/>
        <w:spacing w:line="400" w:lineRule="exact"/>
        <w:ind w:firstLine="420" w:firstLineChars="200"/>
        <w:jc w:val="left"/>
        <w:rPr>
          <w:rFonts w:eastAsia="宋体"/>
        </w:rPr>
      </w:pPr>
      <w:r>
        <w:rPr>
          <w:rFonts w:hint="eastAsia" w:ascii="宋体" w:hAnsi="宋体" w:eastAsia="宋体"/>
          <w:szCs w:val="21"/>
        </w:rPr>
        <w:t>（5）乙方在约定的时间内未能弥补缺陷，甲方可采取必要的补救措施，但其风险和费用将由乙方承担，甲方根据合同约定对乙方行使的其他权利不受影响。</w:t>
      </w:r>
    </w:p>
    <w:p w14:paraId="4E7B71DB">
      <w:pPr>
        <w:adjustRightInd w:val="0"/>
        <w:snapToGrid w:val="0"/>
        <w:spacing w:line="400" w:lineRule="exact"/>
        <w:jc w:val="left"/>
        <w:rPr>
          <w:rFonts w:hint="eastAsia" w:ascii="宋体" w:hAnsi="宋体" w:eastAsia="宋体"/>
          <w:b/>
          <w:bCs/>
          <w:sz w:val="24"/>
        </w:rPr>
      </w:pPr>
      <w:r>
        <w:rPr>
          <w:rFonts w:hint="eastAsia" w:ascii="宋体" w:hAnsi="宋体" w:eastAsia="宋体"/>
          <w:b/>
          <w:bCs/>
          <w:color w:val="000000"/>
          <w:sz w:val="24"/>
        </w:rPr>
        <w:t>9</w:t>
      </w:r>
      <w:r>
        <w:rPr>
          <w:rFonts w:hint="eastAsia" w:ascii="宋体" w:hAnsi="宋体" w:eastAsia="宋体"/>
          <w:b/>
          <w:bCs/>
          <w:sz w:val="24"/>
        </w:rPr>
        <w:t>.</w:t>
      </w:r>
      <w:r>
        <w:rPr>
          <w:rFonts w:hint="eastAsia" w:ascii="宋体" w:hAnsi="宋体" w:eastAsia="宋体"/>
          <w:b/>
          <w:bCs/>
          <w:color w:val="000000"/>
          <w:sz w:val="24"/>
        </w:rPr>
        <w:t xml:space="preserve"> </w:t>
      </w:r>
      <w:r>
        <w:rPr>
          <w:rFonts w:hint="eastAsia" w:ascii="宋体" w:hAnsi="宋体" w:eastAsia="宋体"/>
          <w:b/>
          <w:bCs/>
          <w:sz w:val="24"/>
        </w:rPr>
        <w:t>权利瑕疵担保</w:t>
      </w:r>
    </w:p>
    <w:p w14:paraId="3E967D3A">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9.1 乙方保证对其出售的货物享有合法的权利。</w:t>
      </w:r>
    </w:p>
    <w:p w14:paraId="683AFEF2">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 xml:space="preserve">9.2 </w:t>
      </w:r>
      <w:r>
        <w:rPr>
          <w:rFonts w:hint="eastAsia" w:ascii="宋体" w:hAnsi="宋体" w:eastAsia="宋体" w:cs="宋体"/>
          <w:szCs w:val="15"/>
        </w:rPr>
        <w:t>乙方保证在交付的货物上不存在抵押权等担保物权。</w:t>
      </w:r>
    </w:p>
    <w:p w14:paraId="41EF6A99">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9.3 如甲方使用上述货物构成对第三人侵权的，则由乙方承担全部责任。</w:t>
      </w:r>
    </w:p>
    <w:p w14:paraId="21641C91">
      <w:pPr>
        <w:autoSpaceDE w:val="0"/>
        <w:autoSpaceDN w:val="0"/>
        <w:adjustRightInd w:val="0"/>
        <w:snapToGrid w:val="0"/>
        <w:spacing w:line="400" w:lineRule="exact"/>
        <w:jc w:val="left"/>
        <w:rPr>
          <w:rFonts w:hint="eastAsia" w:ascii="宋体" w:hAnsi="宋体" w:eastAsia="宋体"/>
          <w:b/>
          <w:bCs/>
          <w:color w:val="000000"/>
          <w:sz w:val="24"/>
        </w:rPr>
      </w:pPr>
      <w:r>
        <w:rPr>
          <w:rFonts w:hint="eastAsia" w:ascii="宋体" w:hAnsi="宋体" w:eastAsia="宋体"/>
          <w:b/>
          <w:bCs/>
          <w:color w:val="000000"/>
          <w:sz w:val="24"/>
        </w:rPr>
        <w:t>10. 知识产权保护</w:t>
      </w:r>
    </w:p>
    <w:p w14:paraId="0AA4AE8E">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color w:val="000000"/>
          <w:szCs w:val="21"/>
        </w:rPr>
        <w:t>10.1 乙方对其所销售的货物应当享有知识产权或经权利人合法授权，保证没有侵犯任</w:t>
      </w:r>
      <w:r>
        <w:rPr>
          <w:rFonts w:hint="eastAsia" w:ascii="宋体" w:hAnsi="宋体" w:eastAsia="宋体"/>
          <w:szCs w:val="21"/>
        </w:rPr>
        <w:t>何第三人的知识产权等权利。</w:t>
      </w:r>
      <w:bookmarkStart w:id="57" w:name="_Hlk163047038"/>
      <w:r>
        <w:rPr>
          <w:rFonts w:hint="eastAsia" w:ascii="宋体" w:hAnsi="宋体" w:eastAsia="宋体" w:cs="宋体"/>
          <w:szCs w:val="15"/>
        </w:rPr>
        <w:t>因违反前述约定对第三人构成侵权的，应当由乙方向第三人承担法律责任；甲方依法向第三人赔偿后，有权向乙方追偿。甲方有其他损失的，乙方应当赔偿</w:t>
      </w:r>
      <w:bookmarkEnd w:id="57"/>
      <w:r>
        <w:rPr>
          <w:rFonts w:hint="eastAsia" w:ascii="宋体" w:hAnsi="宋体" w:eastAsia="宋体"/>
          <w:szCs w:val="21"/>
        </w:rPr>
        <w:t>。</w:t>
      </w:r>
    </w:p>
    <w:p w14:paraId="43BD3A2D">
      <w:pPr>
        <w:autoSpaceDE w:val="0"/>
        <w:autoSpaceDN w:val="0"/>
        <w:adjustRightInd w:val="0"/>
        <w:snapToGrid w:val="0"/>
        <w:spacing w:line="400" w:lineRule="exact"/>
        <w:jc w:val="left"/>
        <w:rPr>
          <w:rFonts w:hint="eastAsia" w:ascii="宋体" w:hAnsi="宋体" w:eastAsia="宋体"/>
          <w:b/>
          <w:bCs/>
          <w:sz w:val="24"/>
        </w:rPr>
      </w:pPr>
      <w:r>
        <w:rPr>
          <w:rFonts w:hint="eastAsia" w:ascii="宋体" w:hAnsi="宋体" w:eastAsia="宋体"/>
          <w:b/>
          <w:bCs/>
          <w:sz w:val="24"/>
        </w:rPr>
        <w:t>11. 保密义务</w:t>
      </w:r>
    </w:p>
    <w:p w14:paraId="025EEA14">
      <w:pPr>
        <w:autoSpaceDE w:val="0"/>
        <w:autoSpaceDN w:val="0"/>
        <w:adjustRightInd w:val="0"/>
        <w:snapToGrid w:val="0"/>
        <w:spacing w:line="400" w:lineRule="exact"/>
        <w:ind w:firstLine="420" w:firstLineChars="200"/>
        <w:jc w:val="left"/>
        <w:rPr>
          <w:rFonts w:hint="eastAsia" w:ascii="宋体" w:hAnsi="宋体" w:eastAsia="宋体" w:cs="宋体"/>
          <w:szCs w:val="15"/>
        </w:rPr>
      </w:pPr>
      <w:r>
        <w:rPr>
          <w:rFonts w:hint="eastAsia" w:ascii="宋体" w:hAnsi="宋体" w:eastAsia="宋体" w:cs="宋体"/>
          <w:szCs w:val="15"/>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eastAsia="宋体" w:cs="宋体"/>
          <w:b/>
          <w:bCs/>
          <w:szCs w:val="15"/>
        </w:rPr>
        <w:t>【政府采购合同专用条款】</w:t>
      </w:r>
      <w:r>
        <w:rPr>
          <w:rFonts w:hint="eastAsia" w:ascii="宋体" w:hAnsi="宋体" w:eastAsia="宋体" w:cs="宋体"/>
          <w:szCs w:val="15"/>
        </w:rPr>
        <w:t>中约定。</w:t>
      </w:r>
    </w:p>
    <w:p w14:paraId="1437AF8C">
      <w:pPr>
        <w:autoSpaceDE w:val="0"/>
        <w:autoSpaceDN w:val="0"/>
        <w:adjustRightInd w:val="0"/>
        <w:snapToGrid w:val="0"/>
        <w:spacing w:line="400" w:lineRule="exact"/>
        <w:jc w:val="left"/>
        <w:rPr>
          <w:rFonts w:hint="eastAsia" w:ascii="宋体" w:hAnsi="宋体" w:eastAsia="宋体"/>
          <w:b/>
          <w:bCs/>
          <w:sz w:val="24"/>
        </w:rPr>
      </w:pPr>
      <w:r>
        <w:rPr>
          <w:rFonts w:hint="eastAsia" w:ascii="宋体" w:hAnsi="宋体" w:eastAsia="宋体"/>
          <w:b/>
          <w:bCs/>
          <w:sz w:val="24"/>
        </w:rPr>
        <w:t>12. 合同价款支付</w:t>
      </w:r>
    </w:p>
    <w:p w14:paraId="129F5274">
      <w:pPr>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12.1 合同价款支付按照国库集中支付制度及财政管理相关规定执行。</w:t>
      </w:r>
    </w:p>
    <w:p w14:paraId="6AE3569F">
      <w:pPr>
        <w:keepNext/>
        <w:keepLines/>
        <w:spacing w:line="400" w:lineRule="exact"/>
        <w:ind w:firstLine="420" w:firstLineChars="200"/>
        <w:outlineLvl w:val="1"/>
        <w:rPr>
          <w:rFonts w:ascii="Arial" w:hAnsi="Arial" w:eastAsia="宋体" w:cs="Times New Roman"/>
          <w:b/>
          <w:bCs/>
          <w:sz w:val="24"/>
          <w:szCs w:val="32"/>
        </w:rPr>
      </w:pPr>
      <w:r>
        <w:rPr>
          <w:rFonts w:hint="eastAsia" w:ascii="宋体" w:hAnsi="宋体" w:eastAsia="宋体" w:cs="Times New Roman"/>
          <w:szCs w:val="21"/>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eastAsia="宋体" w:cs="Times New Roman"/>
          <w:b/>
          <w:bCs/>
          <w:szCs w:val="21"/>
        </w:rPr>
        <w:t>政府采购合同专用条款</w:t>
      </w:r>
      <w:r>
        <w:rPr>
          <w:rFonts w:hint="eastAsia" w:ascii="宋体" w:hAnsi="宋体" w:eastAsia="宋体" w:cs="Times New Roman"/>
          <w:szCs w:val="21"/>
        </w:rPr>
        <w:t>】中约定。</w:t>
      </w:r>
    </w:p>
    <w:p w14:paraId="34FF0BAF">
      <w:pPr>
        <w:spacing w:line="400" w:lineRule="exact"/>
        <w:rPr>
          <w:rFonts w:hint="eastAsia" w:ascii="宋体" w:hAnsi="宋体" w:eastAsia="宋体" w:cs="Times New Roman"/>
          <w:b/>
          <w:bCs/>
          <w:sz w:val="24"/>
          <w:szCs w:val="24"/>
        </w:rPr>
      </w:pPr>
      <w:r>
        <w:rPr>
          <w:rFonts w:hint="eastAsia" w:ascii="宋体" w:hAnsi="宋体" w:eastAsia="宋体" w:cs="Times New Roman"/>
          <w:b/>
          <w:bCs/>
          <w:sz w:val="24"/>
          <w:szCs w:val="24"/>
        </w:rPr>
        <w:t>13. 履约保证金</w:t>
      </w:r>
    </w:p>
    <w:p w14:paraId="375CDB64">
      <w:pPr>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 xml:space="preserve">13.1 </w:t>
      </w:r>
      <w:r>
        <w:rPr>
          <w:rFonts w:hint="eastAsia" w:ascii="宋体" w:hAnsi="宋体" w:eastAsia="宋体" w:cs="宋体"/>
          <w:szCs w:val="15"/>
        </w:rPr>
        <w:t>乙方应当以支票、汇票、本票或者金融机构、担保机构出具的保函等非现金形式提交。</w:t>
      </w:r>
    </w:p>
    <w:p w14:paraId="0F9E71AF">
      <w:pPr>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13.2 如果乙方出现</w:t>
      </w:r>
      <w:r>
        <w:rPr>
          <w:rFonts w:hint="eastAsia" w:ascii="宋体" w:hAnsi="宋体" w:eastAsia="宋体" w:cs="宋体"/>
          <w:b/>
          <w:bCs/>
          <w:szCs w:val="15"/>
        </w:rPr>
        <w:t>【政府采购合同专用条款】</w:t>
      </w:r>
      <w:r>
        <w:rPr>
          <w:rFonts w:hint="eastAsia" w:ascii="宋体" w:hAnsi="宋体" w:eastAsia="宋体" w:cs="宋体"/>
          <w:szCs w:val="15"/>
        </w:rPr>
        <w:t>约定情形的</w:t>
      </w:r>
      <w:r>
        <w:rPr>
          <w:rFonts w:hint="eastAsia" w:ascii="宋体" w:hAnsi="宋体" w:eastAsia="宋体"/>
          <w:szCs w:val="21"/>
        </w:rPr>
        <w:t>，履约保证金不予退还；如果乙方未能按合同约定全面履行义务，甲方有权从履约保证金中取得补偿或赔偿，且不影响甲方要求乙方承担合同约定的超过履约保证金的违约责任的权利。</w:t>
      </w:r>
    </w:p>
    <w:p w14:paraId="08DDF0B2">
      <w:pPr>
        <w:spacing w:line="400" w:lineRule="exact"/>
        <w:ind w:firstLine="420"/>
        <w:rPr>
          <w:rFonts w:eastAsia="宋体"/>
        </w:rPr>
      </w:pPr>
      <w:r>
        <w:rPr>
          <w:rFonts w:hint="eastAsia" w:ascii="宋体" w:hAnsi="宋体" w:eastAsia="宋体"/>
          <w:szCs w:val="21"/>
        </w:rPr>
        <w:t>13.3 甲方在项目通过验收后按照</w:t>
      </w:r>
      <w:r>
        <w:rPr>
          <w:rFonts w:hint="eastAsia" w:ascii="宋体" w:hAnsi="宋体" w:eastAsia="宋体"/>
          <w:b/>
          <w:szCs w:val="21"/>
        </w:rPr>
        <w:t>【政府采购合同专用条款】</w:t>
      </w:r>
      <w:r>
        <w:rPr>
          <w:rFonts w:hint="eastAsia" w:ascii="宋体" w:hAnsi="宋体" w:eastAsia="宋体"/>
          <w:szCs w:val="21"/>
        </w:rPr>
        <w:t>规定的时间内将履约保证金退还乙方；逾期退还的，乙方可要求甲方支付违约金，违约金按照</w:t>
      </w:r>
      <w:r>
        <w:rPr>
          <w:rFonts w:hint="eastAsia" w:ascii="宋体" w:hAnsi="宋体" w:eastAsia="宋体"/>
          <w:b/>
          <w:szCs w:val="21"/>
        </w:rPr>
        <w:t>【政府采购合同专用条款】</w:t>
      </w:r>
      <w:r>
        <w:rPr>
          <w:rFonts w:hint="eastAsia" w:ascii="宋体" w:hAnsi="宋体" w:eastAsia="宋体"/>
          <w:szCs w:val="21"/>
        </w:rPr>
        <w:t>规定支付。</w:t>
      </w:r>
    </w:p>
    <w:p w14:paraId="1094B6F7">
      <w:pPr>
        <w:autoSpaceDE w:val="0"/>
        <w:autoSpaceDN w:val="0"/>
        <w:adjustRightInd w:val="0"/>
        <w:snapToGrid w:val="0"/>
        <w:spacing w:line="400" w:lineRule="exact"/>
        <w:jc w:val="left"/>
        <w:rPr>
          <w:rFonts w:hint="eastAsia" w:ascii="宋体" w:hAnsi="宋体" w:eastAsia="宋体"/>
          <w:b/>
          <w:sz w:val="24"/>
        </w:rPr>
      </w:pPr>
      <w:r>
        <w:rPr>
          <w:rFonts w:hint="eastAsia" w:ascii="宋体" w:hAnsi="宋体" w:eastAsia="宋体"/>
          <w:b/>
          <w:bCs/>
          <w:sz w:val="24"/>
        </w:rPr>
        <w:t xml:space="preserve">14. </w:t>
      </w:r>
      <w:r>
        <w:rPr>
          <w:rFonts w:hint="eastAsia" w:eastAsia="宋体"/>
          <w:b/>
          <w:sz w:val="24"/>
        </w:rPr>
        <w:t>售后</w:t>
      </w:r>
      <w:r>
        <w:rPr>
          <w:rFonts w:hint="eastAsia" w:ascii="宋体" w:hAnsi="宋体" w:eastAsia="宋体"/>
          <w:b/>
          <w:sz w:val="24"/>
        </w:rPr>
        <w:t>服务</w:t>
      </w:r>
    </w:p>
    <w:p w14:paraId="7E5A0A15">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14.1 除项目不涉及或采购活动中明确约定无须承担外，乙方还应提供下列服务：</w:t>
      </w:r>
    </w:p>
    <w:p w14:paraId="287ACECB">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（1）货物的现场移动、安装、调试、启动监督及技术支持；</w:t>
      </w:r>
    </w:p>
    <w:p w14:paraId="6E8184AC">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（2）提供货物组装和维修所需的专用工具和辅助材料；</w:t>
      </w:r>
    </w:p>
    <w:p w14:paraId="7F548993">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（3）在</w:t>
      </w:r>
      <w:r>
        <w:rPr>
          <w:rFonts w:hint="eastAsia" w:ascii="宋体" w:hAnsi="宋体" w:eastAsia="宋体" w:cs="宋体"/>
          <w:b/>
          <w:bCs/>
          <w:szCs w:val="15"/>
        </w:rPr>
        <w:t>【政府采购合同专用条款】</w:t>
      </w:r>
      <w:r>
        <w:rPr>
          <w:rFonts w:hint="eastAsia" w:ascii="宋体" w:hAnsi="宋体" w:eastAsia="宋体"/>
          <w:szCs w:val="21"/>
        </w:rPr>
        <w:t>约定的期限内对所有的货物实施运行监督、维修，但前提条件是该服务并不能免除乙方在质量保证期内所承担的义务；</w:t>
      </w:r>
    </w:p>
    <w:p w14:paraId="57F55DEE">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（4）在制造商所在地或指定现场就货物的安装、启动、运营、维护、废弃处置等对甲方操作人员进行培训</w:t>
      </w:r>
      <w:r>
        <w:rPr>
          <w:rFonts w:hint="eastAsia" w:ascii="宋体" w:hAnsi="宋体" w:eastAsia="宋体" w:cs="宋体"/>
          <w:szCs w:val="15"/>
        </w:rPr>
        <w:t>；</w:t>
      </w:r>
    </w:p>
    <w:p w14:paraId="23E9B568">
      <w:pPr>
        <w:autoSpaceDE w:val="0"/>
        <w:autoSpaceDN w:val="0"/>
        <w:adjustRightIn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（5）依照法律、行政法规的规定或者按照</w:t>
      </w:r>
      <w:r>
        <w:rPr>
          <w:rFonts w:hint="eastAsia" w:ascii="宋体" w:hAnsi="宋体" w:eastAsia="宋体" w:cs="宋体"/>
          <w:b/>
          <w:bCs/>
          <w:szCs w:val="21"/>
        </w:rPr>
        <w:t>【政府采购合同专用条款】</w:t>
      </w:r>
      <w:r>
        <w:rPr>
          <w:rFonts w:hint="eastAsia" w:ascii="宋体" w:hAnsi="宋体" w:eastAsia="宋体" w:cs="宋体"/>
          <w:szCs w:val="21"/>
        </w:rPr>
        <w:t>约定，货物在有效使用年限届满后应予回收的，乙方负有自行或者委托第三人对货物予以回收的义务；</w:t>
      </w:r>
    </w:p>
    <w:p w14:paraId="1BA5A83F">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（6）</w:t>
      </w:r>
      <w:r>
        <w:rPr>
          <w:rFonts w:hint="eastAsia" w:ascii="宋体" w:hAnsi="宋体" w:eastAsia="宋体"/>
          <w:b/>
          <w:szCs w:val="21"/>
        </w:rPr>
        <w:t>【政府采购合同专用条款】</w:t>
      </w:r>
      <w:r>
        <w:rPr>
          <w:rFonts w:hint="eastAsia" w:ascii="宋体" w:hAnsi="宋体" w:eastAsia="宋体"/>
          <w:szCs w:val="21"/>
        </w:rPr>
        <w:t>规定由乙方提供的其他服务。</w:t>
      </w:r>
    </w:p>
    <w:p w14:paraId="58A59A9F">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14.2 乙方提供的售后服务的费用已包含在合同价款中，甲方不再另行支付。</w:t>
      </w:r>
    </w:p>
    <w:p w14:paraId="77816BBE">
      <w:pPr>
        <w:adjustRightInd w:val="0"/>
        <w:snapToGrid w:val="0"/>
        <w:spacing w:line="400" w:lineRule="exact"/>
        <w:jc w:val="left"/>
        <w:rPr>
          <w:rFonts w:hint="eastAsia" w:ascii="宋体" w:hAnsi="宋体" w:eastAsia="宋体"/>
          <w:b/>
          <w:bCs/>
          <w:sz w:val="24"/>
        </w:rPr>
      </w:pPr>
      <w:r>
        <w:rPr>
          <w:rFonts w:hint="eastAsia" w:ascii="宋体" w:hAnsi="宋体" w:eastAsia="宋体"/>
          <w:b/>
          <w:bCs/>
          <w:sz w:val="24"/>
        </w:rPr>
        <w:t>15. 违约责任</w:t>
      </w:r>
    </w:p>
    <w:p w14:paraId="0E041CB2">
      <w:pPr>
        <w:adjustRightInd w:val="0"/>
        <w:snapToGrid w:val="0"/>
        <w:spacing w:line="400" w:lineRule="exact"/>
        <w:ind w:firstLine="420" w:firstLineChars="200"/>
        <w:jc w:val="left"/>
        <w:rPr>
          <w:rFonts w:hint="eastAsia" w:ascii="宋体" w:hAnsi="宋体" w:eastAsia="宋体"/>
          <w:bCs/>
          <w:szCs w:val="21"/>
        </w:rPr>
      </w:pPr>
      <w:r>
        <w:rPr>
          <w:rFonts w:hint="eastAsia" w:ascii="宋体" w:hAnsi="宋体" w:eastAsia="宋体"/>
          <w:bCs/>
          <w:szCs w:val="21"/>
        </w:rPr>
        <w:t>15.1质量瑕疵的违约责任</w:t>
      </w:r>
    </w:p>
    <w:p w14:paraId="5E27787E">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乙方提供的产品不符合合同约定的质量标准或存在产品质量缺陷，甲方有权要求乙方根据</w:t>
      </w:r>
      <w:r>
        <w:rPr>
          <w:rFonts w:hint="eastAsia" w:ascii="宋体" w:hAnsi="宋体" w:eastAsia="宋体"/>
          <w:b/>
          <w:szCs w:val="21"/>
        </w:rPr>
        <w:t>【政府采购合同专用条款】</w:t>
      </w:r>
      <w:r>
        <w:rPr>
          <w:rFonts w:hint="eastAsia" w:ascii="宋体" w:hAnsi="宋体" w:eastAsia="宋体"/>
          <w:bCs/>
          <w:szCs w:val="21"/>
        </w:rPr>
        <w:t>要求</w:t>
      </w:r>
      <w:r>
        <w:rPr>
          <w:rFonts w:hint="eastAsia" w:ascii="宋体" w:hAnsi="宋体" w:eastAsia="宋体"/>
          <w:szCs w:val="21"/>
        </w:rPr>
        <w:t>及时修理、重作、更换，并承担由此给甲方造成的损失。</w:t>
      </w:r>
    </w:p>
    <w:p w14:paraId="534D6DCF">
      <w:pPr>
        <w:autoSpaceDE w:val="0"/>
        <w:autoSpaceDN w:val="0"/>
        <w:adjustRightInd w:val="0"/>
        <w:snapToGrid w:val="0"/>
        <w:spacing w:line="400" w:lineRule="exact"/>
        <w:ind w:firstLine="420" w:firstLineChars="200"/>
        <w:jc w:val="left"/>
        <w:rPr>
          <w:rFonts w:hint="eastAsia" w:ascii="宋体" w:hAnsi="宋体" w:eastAsia="宋体"/>
          <w:bCs/>
          <w:szCs w:val="21"/>
        </w:rPr>
      </w:pPr>
      <w:r>
        <w:rPr>
          <w:rFonts w:hint="eastAsia" w:ascii="宋体" w:hAnsi="宋体" w:eastAsia="宋体"/>
          <w:bCs/>
          <w:szCs w:val="21"/>
        </w:rPr>
        <w:t>15.2 迟延交货的违约责任</w:t>
      </w:r>
    </w:p>
    <w:p w14:paraId="11A8405E">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0ADB6C26">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（2）如果乙方没有按照合同规定的时间交货和提供相关服务，甲方有权从货款中扣除误期赔偿费而不影响合同项下的其他补救方法，赔偿费按</w:t>
      </w:r>
      <w:r>
        <w:rPr>
          <w:rFonts w:hint="eastAsia" w:ascii="宋体" w:hAnsi="宋体" w:eastAsia="宋体"/>
          <w:b/>
          <w:szCs w:val="21"/>
        </w:rPr>
        <w:t>【政府采购合同专用条款】</w:t>
      </w:r>
      <w:r>
        <w:rPr>
          <w:rFonts w:hint="eastAsia" w:ascii="宋体" w:hAnsi="宋体" w:eastAsia="宋体"/>
          <w:szCs w:val="21"/>
        </w:rPr>
        <w:t>规定执行。如果涉及公共利益，且赔偿金额无法弥补公共利益损失，甲方可要求继续履行或者采取其他补救措施。</w:t>
      </w:r>
    </w:p>
    <w:p w14:paraId="74C9FEA4">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15.3 迟延支付的违约责任</w:t>
      </w:r>
    </w:p>
    <w:p w14:paraId="0E59F5ED">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甲方存在迟延支付乙方合同款项的，应当承担</w:t>
      </w:r>
      <w:r>
        <w:rPr>
          <w:rFonts w:hint="eastAsia" w:ascii="宋体" w:hAnsi="宋体" w:eastAsia="宋体"/>
          <w:b/>
          <w:bCs/>
          <w:szCs w:val="21"/>
        </w:rPr>
        <w:t>【政府采购合同专用条款】</w:t>
      </w:r>
      <w:r>
        <w:rPr>
          <w:rFonts w:hint="eastAsia" w:ascii="宋体" w:hAnsi="宋体" w:eastAsia="宋体"/>
          <w:szCs w:val="21"/>
        </w:rPr>
        <w:t>规定的逾期付款利息。</w:t>
      </w:r>
    </w:p>
    <w:p w14:paraId="78283611">
      <w:pPr>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bCs/>
          <w:szCs w:val="21"/>
        </w:rPr>
        <w:t>15.4其他违约责任根据项目实际需要按</w:t>
      </w:r>
      <w:r>
        <w:rPr>
          <w:rFonts w:hint="eastAsia" w:ascii="宋体" w:hAnsi="宋体" w:eastAsia="宋体"/>
          <w:b/>
          <w:bCs/>
          <w:szCs w:val="21"/>
        </w:rPr>
        <w:t>【政府采购合同专用条款】</w:t>
      </w:r>
      <w:r>
        <w:rPr>
          <w:rFonts w:hint="eastAsia" w:ascii="宋体" w:hAnsi="宋体" w:eastAsia="宋体"/>
          <w:szCs w:val="21"/>
        </w:rPr>
        <w:t>规定执行。</w:t>
      </w:r>
    </w:p>
    <w:p w14:paraId="5FA03A80">
      <w:pPr>
        <w:numPr>
          <w:ilvl w:val="0"/>
          <w:numId w:val="11"/>
        </w:numPr>
        <w:autoSpaceDE w:val="0"/>
        <w:autoSpaceDN w:val="0"/>
        <w:adjustRightInd w:val="0"/>
        <w:snapToGrid w:val="0"/>
        <w:spacing w:line="400" w:lineRule="exact"/>
        <w:jc w:val="left"/>
        <w:rPr>
          <w:rFonts w:hint="eastAsia" w:ascii="宋体" w:hAnsi="宋体" w:eastAsia="宋体"/>
          <w:b/>
          <w:sz w:val="24"/>
        </w:rPr>
      </w:pPr>
      <w:r>
        <w:rPr>
          <w:rFonts w:hint="eastAsia" w:ascii="宋体" w:hAnsi="宋体" w:eastAsia="宋体"/>
          <w:b/>
          <w:sz w:val="24"/>
        </w:rPr>
        <w:t>合同变更、中止与终止</w:t>
      </w:r>
    </w:p>
    <w:p w14:paraId="232DA098">
      <w:pPr>
        <w:adjustRightInd w:val="0"/>
        <w:snapToGrid w:val="0"/>
        <w:spacing w:line="400" w:lineRule="exact"/>
        <w:jc w:val="left"/>
        <w:rPr>
          <w:rFonts w:hint="eastAsia" w:ascii="宋体" w:hAnsi="宋体" w:eastAsia="宋体"/>
          <w:szCs w:val="21"/>
        </w:rPr>
      </w:pPr>
      <w:r>
        <w:rPr>
          <w:rFonts w:hint="eastAsia" w:ascii="宋体" w:hAnsi="宋体" w:eastAsia="宋体"/>
          <w:szCs w:val="21"/>
        </w:rPr>
        <w:t xml:space="preserve">    16.1合同的变更</w:t>
      </w:r>
    </w:p>
    <w:p w14:paraId="27A68285">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政府采购合同履行中，在不改变合同其他条款的前提下，甲方可以在合同价款10%的范围内追加与合同标的相同的货物，并就此与乙方协商一致后签订补充协议。</w:t>
      </w:r>
    </w:p>
    <w:p w14:paraId="234C6F47">
      <w:pPr>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16.2合同的中止</w:t>
      </w:r>
    </w:p>
    <w:p w14:paraId="041C5717">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（1）合同履行过程中因供应商就采购文件、采购过程或结果提起投诉的，甲方认为有必要的，可以中止合同的履行。</w:t>
      </w:r>
    </w:p>
    <w:p w14:paraId="25691C42">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2C93C218">
      <w:pPr>
        <w:autoSpaceDE w:val="0"/>
        <w:autoSpaceDN w:val="0"/>
        <w:adjustRightInd w:val="0"/>
        <w:spacing w:line="400" w:lineRule="exact"/>
        <w:ind w:firstLine="420" w:firstLineChars="200"/>
        <w:rPr>
          <w:rFonts w:hint="eastAsia" w:ascii="华文楷体" w:hAnsi="华文楷体" w:eastAsia="华文楷体" w:cs="华文楷体"/>
          <w:szCs w:val="21"/>
        </w:rPr>
      </w:pPr>
      <w:r>
        <w:rPr>
          <w:rFonts w:hint="eastAsia" w:ascii="宋体" w:hAnsi="宋体" w:eastAsia="宋体" w:cs="宋体"/>
          <w:szCs w:val="21"/>
        </w:rPr>
        <w:t>（3）乙方分立、合并或者变更住所的，应当及时以书面形式告知甲方。乙方没有及时告知甲方，致使合同履行发生困难的，甲方可以中止合同履行并要求乙方承担由此给甲方造成的损失。</w:t>
      </w:r>
    </w:p>
    <w:p w14:paraId="0EAAA12A">
      <w:pPr>
        <w:snapToGrid w:val="0"/>
        <w:spacing w:line="400" w:lineRule="exact"/>
        <w:ind w:firstLine="420" w:firstLineChars="200"/>
        <w:jc w:val="left"/>
        <w:rPr>
          <w:rFonts w:eastAsia="宋体"/>
        </w:rPr>
      </w:pPr>
      <w:r>
        <w:rPr>
          <w:rFonts w:hint="eastAsia" w:ascii="宋体" w:hAnsi="宋体" w:eastAsia="宋体"/>
          <w:szCs w:val="21"/>
        </w:rPr>
        <w:t>（4）甲方不得以行政区划调整、政府换届、机构或者职能调整以及相关责任人更替为由中止合同。</w:t>
      </w:r>
    </w:p>
    <w:p w14:paraId="02C9C75C">
      <w:pPr>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16.3合同的终止</w:t>
      </w:r>
    </w:p>
    <w:p w14:paraId="6514B599">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（1）合同因有效期限届满而终止；</w:t>
      </w:r>
    </w:p>
    <w:p w14:paraId="31712376">
      <w:pPr>
        <w:snapToGrid w:val="0"/>
        <w:spacing w:line="400" w:lineRule="exact"/>
        <w:ind w:firstLine="420" w:firstLineChars="200"/>
        <w:rPr>
          <w:rFonts w:hint="eastAsia" w:ascii="宋体" w:hAnsi="宋体" w:eastAsia="宋体" w:cs="宋体"/>
          <w:szCs w:val="21"/>
        </w:rPr>
      </w:pPr>
      <w:r>
        <w:rPr>
          <w:rFonts w:hint="eastAsia" w:ascii="宋体" w:hAnsi="宋体" w:eastAsia="宋体"/>
          <w:szCs w:val="21"/>
        </w:rPr>
        <w:t>（2）乙方未按合同约定履行，构成根本性违约的，甲方有权终止合同，</w:t>
      </w:r>
      <w:r>
        <w:rPr>
          <w:rFonts w:hint="eastAsia" w:ascii="宋体" w:hAnsi="宋体" w:eastAsia="宋体" w:cs="宋体"/>
          <w:szCs w:val="21"/>
        </w:rPr>
        <w:t>并追究乙方的违约责任</w:t>
      </w:r>
      <w:r>
        <w:rPr>
          <w:rFonts w:hint="eastAsia" w:ascii="宋体" w:hAnsi="宋体" w:eastAsia="宋体"/>
          <w:szCs w:val="21"/>
        </w:rPr>
        <w:t>。</w:t>
      </w:r>
    </w:p>
    <w:p w14:paraId="78F3C246">
      <w:pPr>
        <w:autoSpaceDE w:val="0"/>
        <w:autoSpaceDN w:val="0"/>
        <w:adjustRightInd w:val="0"/>
        <w:spacing w:line="400" w:lineRule="exact"/>
        <w:ind w:firstLine="440" w:firstLineChars="200"/>
        <w:rPr>
          <w:rFonts w:hint="eastAsia" w:ascii="宋体" w:hAnsi="宋体" w:eastAsia="华文楷体" w:cs="华文楷体"/>
          <w:sz w:val="22"/>
          <w:szCs w:val="21"/>
        </w:rPr>
      </w:pPr>
      <w:r>
        <w:rPr>
          <w:rFonts w:hint="eastAsia" w:ascii="宋体" w:hAnsi="宋体" w:eastAsia="华文楷体" w:cs="华文楷体"/>
          <w:sz w:val="22"/>
          <w:szCs w:val="21"/>
        </w:rPr>
        <w:t xml:space="preserve">16.4 </w:t>
      </w:r>
      <w:r>
        <w:rPr>
          <w:rFonts w:hint="eastAsia" w:ascii="宋体" w:hAnsi="宋体" w:eastAsia="宋体" w:cs="Times New Roman"/>
          <w:szCs w:val="21"/>
        </w:rPr>
        <w:t>涉及国家利益、社会公共利益的情形</w:t>
      </w:r>
    </w:p>
    <w:p w14:paraId="2E20334E">
      <w:pPr>
        <w:autoSpaceDE w:val="0"/>
        <w:autoSpaceDN w:val="0"/>
        <w:adjustRightInd w:val="0"/>
        <w:spacing w:line="400" w:lineRule="exact"/>
        <w:ind w:firstLine="420" w:firstLineChars="200"/>
        <w:rPr>
          <w:rFonts w:hint="eastAsia" w:ascii="华文楷体" w:hAnsi="华文楷体" w:eastAsia="华文楷体" w:cs="华文楷体"/>
          <w:szCs w:val="21"/>
        </w:rPr>
      </w:pPr>
      <w:r>
        <w:rPr>
          <w:rFonts w:hint="eastAsia" w:ascii="宋体" w:hAnsi="宋体" w:eastAsia="宋体" w:cs="宋体"/>
          <w:szCs w:val="21"/>
        </w:rPr>
        <w:t>政府采购合同继续履行将损害国家利益和社会公共利益的，双方当事人应当变更、中止或者终止合同。有过错的一方应当承担赔偿责任，双方都有过错的，各自承担相应的责任。</w:t>
      </w:r>
    </w:p>
    <w:p w14:paraId="06991D6D">
      <w:pPr>
        <w:autoSpaceDE w:val="0"/>
        <w:autoSpaceDN w:val="0"/>
        <w:adjustRightInd w:val="0"/>
        <w:snapToGrid w:val="0"/>
        <w:spacing w:line="400" w:lineRule="exact"/>
        <w:jc w:val="left"/>
        <w:rPr>
          <w:rFonts w:hint="eastAsia" w:ascii="宋体" w:hAnsi="宋体" w:eastAsia="宋体"/>
          <w:b/>
          <w:bCs/>
          <w:sz w:val="24"/>
        </w:rPr>
      </w:pPr>
      <w:r>
        <w:rPr>
          <w:rFonts w:hint="eastAsia" w:ascii="宋体" w:hAnsi="宋体" w:eastAsia="宋体"/>
          <w:b/>
          <w:bCs/>
          <w:sz w:val="24"/>
        </w:rPr>
        <w:t>17. 合同分包</w:t>
      </w:r>
    </w:p>
    <w:p w14:paraId="6051DA2C">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17.1 乙方不得将合同转包给其他供应商。涉及合同分包的，乙方应根据采购文件和投标（响应）文件规定进行合同分包。</w:t>
      </w:r>
    </w:p>
    <w:p w14:paraId="2927C36D">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17.2 乙方执行政府采购政策向中小企业依法分包的，乙方应当按采购文件和投标（响应）文件签订分包意向协议，分包意向协议属于本合同组成部分。</w:t>
      </w:r>
    </w:p>
    <w:p w14:paraId="4B7AF703">
      <w:pPr>
        <w:autoSpaceDE w:val="0"/>
        <w:autoSpaceDN w:val="0"/>
        <w:adjustRightInd w:val="0"/>
        <w:snapToGrid w:val="0"/>
        <w:spacing w:line="400" w:lineRule="exact"/>
        <w:jc w:val="left"/>
        <w:rPr>
          <w:rFonts w:hint="eastAsia" w:ascii="宋体" w:hAnsi="宋体" w:eastAsia="宋体"/>
          <w:b/>
          <w:bCs/>
          <w:sz w:val="24"/>
        </w:rPr>
      </w:pPr>
      <w:r>
        <w:rPr>
          <w:rFonts w:hint="eastAsia" w:ascii="宋体" w:hAnsi="宋体" w:eastAsia="宋体"/>
          <w:b/>
          <w:bCs/>
          <w:sz w:val="24"/>
        </w:rPr>
        <w:t>18. 不可抗力</w:t>
      </w:r>
    </w:p>
    <w:p w14:paraId="5ED4A28D">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18.1 不可抗力是指合同双方不能预见、不能避免且不能克服的客观情况。</w:t>
      </w:r>
    </w:p>
    <w:p w14:paraId="712464C3">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18.2 任何一方对由于不可抗力造成的部分或全部不能履行合同不承担违约责任。但迟延履行后发生不可抗力的，不能免除责任。</w:t>
      </w:r>
    </w:p>
    <w:p w14:paraId="0BFA0E24">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0EC77B24">
      <w:pPr>
        <w:autoSpaceDE w:val="0"/>
        <w:autoSpaceDN w:val="0"/>
        <w:adjustRightInd w:val="0"/>
        <w:snapToGrid w:val="0"/>
        <w:spacing w:line="400" w:lineRule="exact"/>
        <w:jc w:val="left"/>
        <w:rPr>
          <w:rFonts w:hint="eastAsia" w:ascii="宋体" w:hAnsi="宋体" w:eastAsia="宋体"/>
          <w:b/>
          <w:bCs/>
          <w:sz w:val="24"/>
        </w:rPr>
      </w:pPr>
      <w:r>
        <w:rPr>
          <w:rFonts w:hint="eastAsia" w:ascii="宋体" w:hAnsi="宋体" w:eastAsia="宋体"/>
          <w:b/>
          <w:bCs/>
          <w:sz w:val="24"/>
        </w:rPr>
        <w:t>19. 解决争议的方法</w:t>
      </w:r>
    </w:p>
    <w:p w14:paraId="24D0A511">
      <w:pPr>
        <w:autoSpaceDE w:val="0"/>
        <w:autoSpaceDN w:val="0"/>
        <w:adjustRightIn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19.1 因本合同及合同有关事项发生的争议，由甲乙双方友好协商解决。协商不成时，可以向有关组织申请调解。合同一方或双方不愿调解或调解不成的，可以通过仲裁或诉讼的方式解决争议。</w:t>
      </w:r>
    </w:p>
    <w:p w14:paraId="05B5908D">
      <w:pPr>
        <w:autoSpaceDE w:val="0"/>
        <w:autoSpaceDN w:val="0"/>
        <w:adjustRightIn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19.2 选择仲裁的，应在</w:t>
      </w:r>
      <w:r>
        <w:rPr>
          <w:rFonts w:hint="eastAsia" w:ascii="宋体" w:hAnsi="宋体" w:eastAsia="宋体" w:cs="宋体"/>
          <w:b/>
          <w:bCs/>
          <w:szCs w:val="21"/>
        </w:rPr>
        <w:t>【政府采购合同专用条款】</w:t>
      </w:r>
      <w:r>
        <w:rPr>
          <w:rFonts w:hint="eastAsia" w:ascii="宋体" w:hAnsi="宋体" w:eastAsia="宋体" w:cs="宋体"/>
          <w:szCs w:val="21"/>
        </w:rPr>
        <w:t>中明确仲裁机构及仲裁地；通过诉讼方式解决的，可以在</w:t>
      </w:r>
      <w:r>
        <w:rPr>
          <w:rFonts w:hint="eastAsia" w:ascii="宋体" w:hAnsi="宋体" w:eastAsia="宋体" w:cs="宋体"/>
          <w:b/>
          <w:bCs/>
          <w:szCs w:val="21"/>
        </w:rPr>
        <w:t>【政府采购合同专用条款】</w:t>
      </w:r>
      <w:r>
        <w:rPr>
          <w:rFonts w:hint="eastAsia" w:ascii="宋体" w:hAnsi="宋体" w:eastAsia="宋体" w:cs="宋体"/>
          <w:szCs w:val="21"/>
        </w:rPr>
        <w:t>中进一步约定选择与争议有实际联系的地点的人民法院管辖，但管辖法院的约定不得违反级别管辖和专属管辖的规定。</w:t>
      </w:r>
    </w:p>
    <w:p w14:paraId="21B437B6">
      <w:pPr>
        <w:autoSpaceDE w:val="0"/>
        <w:autoSpaceDN w:val="0"/>
        <w:adjustRightIn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19.3 如甲乙双方有争议的事项不影响合同其他部分的履行，在争议解决期间，合同其他部分应当继续履行。</w:t>
      </w:r>
    </w:p>
    <w:p w14:paraId="3D2884E5">
      <w:pPr>
        <w:autoSpaceDE w:val="0"/>
        <w:autoSpaceDN w:val="0"/>
        <w:adjustRightInd w:val="0"/>
        <w:snapToGrid w:val="0"/>
        <w:spacing w:line="400" w:lineRule="exact"/>
        <w:jc w:val="left"/>
        <w:rPr>
          <w:rFonts w:hint="eastAsia" w:ascii="宋体" w:hAnsi="宋体" w:eastAsia="宋体"/>
          <w:sz w:val="24"/>
        </w:rPr>
      </w:pPr>
      <w:r>
        <w:rPr>
          <w:rFonts w:hint="eastAsia" w:ascii="宋体" w:hAnsi="宋体" w:eastAsia="宋体"/>
          <w:b/>
          <w:sz w:val="24"/>
        </w:rPr>
        <w:t>20. 政府采购政策</w:t>
      </w:r>
    </w:p>
    <w:p w14:paraId="6D9950A7">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 xml:space="preserve">20.1 </w:t>
      </w:r>
      <w:r>
        <w:rPr>
          <w:rFonts w:hint="eastAsia" w:ascii="宋体" w:hAnsi="宋体" w:eastAsia="宋体" w:cs="宋体"/>
          <w:lang w:val="en-GB"/>
        </w:rPr>
        <w:t>本合同应当按照规定执行政府采购政策。</w:t>
      </w:r>
    </w:p>
    <w:p w14:paraId="41FCF5B2">
      <w:pPr>
        <w:autoSpaceDE w:val="0"/>
        <w:autoSpaceDN w:val="0"/>
        <w:adjustRightInd w:val="0"/>
        <w:snapToGrid w:val="0"/>
        <w:spacing w:line="400" w:lineRule="exact"/>
        <w:ind w:firstLine="420" w:firstLineChars="200"/>
        <w:jc w:val="left"/>
        <w:rPr>
          <w:rFonts w:hint="eastAsia" w:ascii="宋体" w:hAnsi="宋体" w:eastAsia="宋体"/>
          <w:szCs w:val="21"/>
        </w:rPr>
      </w:pPr>
      <w:r>
        <w:rPr>
          <w:rFonts w:ascii="宋体" w:hAnsi="宋体" w:eastAsia="宋体"/>
          <w:szCs w:val="21"/>
        </w:rPr>
        <w:t>2</w:t>
      </w:r>
      <w:r>
        <w:rPr>
          <w:rFonts w:hint="eastAsia" w:ascii="宋体" w:hAnsi="宋体" w:eastAsia="宋体"/>
          <w:szCs w:val="21"/>
        </w:rPr>
        <w:t>0.2 本合同依法执行政府采购政策的方式和内容，属于合同履约验收的范围。</w:t>
      </w:r>
      <w:r>
        <w:rPr>
          <w:rFonts w:hint="eastAsia" w:ascii="宋体" w:hAnsi="宋体" w:eastAsia="宋体" w:cs="宋体"/>
        </w:rPr>
        <w:t>甲乙双方</w:t>
      </w:r>
      <w:r>
        <w:rPr>
          <w:rFonts w:hint="eastAsia" w:ascii="宋体" w:hAnsi="宋体" w:eastAsia="宋体" w:cs="宋体"/>
          <w:lang w:val="en-GB"/>
        </w:rPr>
        <w:t>未按规定要求执行政府采购政策造成损失的</w:t>
      </w:r>
      <w:r>
        <w:rPr>
          <w:rFonts w:hint="eastAsia" w:ascii="宋体" w:hAnsi="宋体" w:eastAsia="宋体"/>
          <w:szCs w:val="21"/>
        </w:rPr>
        <w:t>，有过错的一方应当承担赔偿责任，双方都有过错的，各自承担相应的责任。</w:t>
      </w:r>
    </w:p>
    <w:p w14:paraId="77479395">
      <w:pPr>
        <w:spacing w:line="400" w:lineRule="exact"/>
        <w:ind w:firstLine="420" w:firstLineChars="200"/>
        <w:rPr>
          <w:rFonts w:ascii="Calibri" w:hAnsi="Calibri" w:eastAsia="宋体" w:cs="Times New Roman"/>
        </w:rPr>
      </w:pPr>
      <w:r>
        <w:rPr>
          <w:rFonts w:ascii="宋体" w:hAnsi="宋体" w:eastAsia="宋体" w:cs="Times New Roman"/>
          <w:szCs w:val="21"/>
        </w:rPr>
        <w:t>2</w:t>
      </w:r>
      <w:r>
        <w:rPr>
          <w:rFonts w:hint="eastAsia" w:ascii="宋体" w:hAnsi="宋体" w:eastAsia="宋体" w:cs="Times New Roman"/>
          <w:szCs w:val="21"/>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149EF216">
      <w:pPr>
        <w:autoSpaceDE w:val="0"/>
        <w:autoSpaceDN w:val="0"/>
        <w:adjustRightInd w:val="0"/>
        <w:snapToGrid w:val="0"/>
        <w:spacing w:line="400" w:lineRule="exact"/>
        <w:jc w:val="left"/>
        <w:rPr>
          <w:rFonts w:hint="eastAsia" w:ascii="宋体" w:hAnsi="宋体" w:eastAsia="宋体"/>
          <w:b/>
          <w:sz w:val="24"/>
        </w:rPr>
      </w:pPr>
      <w:r>
        <w:rPr>
          <w:rFonts w:hint="eastAsia" w:ascii="宋体" w:hAnsi="宋体" w:eastAsia="宋体"/>
          <w:b/>
          <w:sz w:val="24"/>
        </w:rPr>
        <w:t>21. 法律适用</w:t>
      </w:r>
    </w:p>
    <w:p w14:paraId="2A886EC4">
      <w:pPr>
        <w:autoSpaceDE w:val="0"/>
        <w:autoSpaceDN w:val="0"/>
        <w:adjustRightIn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21.1 本合同的订立、生效、解释、履行及与本合同有关的争议解决，均适用法律、行政法规。</w:t>
      </w:r>
    </w:p>
    <w:p w14:paraId="2EB4BB98">
      <w:pPr>
        <w:autoSpaceDE w:val="0"/>
        <w:autoSpaceDN w:val="0"/>
        <w:adjustRightIn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21.2 本合同条款与法律、行政法规的强制性规定不一致的，双方当事人应按照法律、行政法规的强制性规定修改本合同的相关条款。</w:t>
      </w:r>
    </w:p>
    <w:p w14:paraId="44DD3BB5">
      <w:pPr>
        <w:numPr>
          <w:ilvl w:val="255"/>
          <w:numId w:val="0"/>
        </w:numPr>
        <w:autoSpaceDE w:val="0"/>
        <w:autoSpaceDN w:val="0"/>
        <w:adjustRightInd w:val="0"/>
        <w:snapToGrid w:val="0"/>
        <w:spacing w:line="400" w:lineRule="exact"/>
        <w:jc w:val="left"/>
        <w:rPr>
          <w:rFonts w:hint="eastAsia" w:ascii="宋体" w:hAnsi="宋体" w:eastAsia="宋体"/>
          <w:b/>
          <w:sz w:val="24"/>
        </w:rPr>
      </w:pPr>
      <w:r>
        <w:rPr>
          <w:rFonts w:hint="eastAsia" w:ascii="宋体" w:hAnsi="宋体" w:eastAsia="宋体"/>
          <w:b/>
          <w:sz w:val="24"/>
        </w:rPr>
        <w:t>22. 通知</w:t>
      </w:r>
    </w:p>
    <w:p w14:paraId="02C05E78">
      <w:pPr>
        <w:autoSpaceDE w:val="0"/>
        <w:autoSpaceDN w:val="0"/>
        <w:adjustRightIn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22.1 本合同任何一方向对方发出的通知、信件、数据电文等，应当发送至本合同第一部分《政府采购合同协议书》所约定的通讯地址、联系人、联系电话或电子邮箱。</w:t>
      </w:r>
    </w:p>
    <w:p w14:paraId="28ADE43F">
      <w:pPr>
        <w:autoSpaceDE w:val="0"/>
        <w:autoSpaceDN w:val="0"/>
        <w:adjustRightInd w:val="0"/>
        <w:spacing w:line="400" w:lineRule="exact"/>
        <w:rPr>
          <w:rFonts w:hint="eastAsia" w:ascii="华文楷体" w:hAnsi="华文楷体" w:eastAsia="华文楷体" w:cs="华文楷体"/>
          <w:szCs w:val="21"/>
        </w:rPr>
      </w:pPr>
      <w:r>
        <w:rPr>
          <w:rFonts w:hint="eastAsia" w:ascii="宋体" w:hAnsi="宋体" w:eastAsia="宋体" w:cs="宋体"/>
          <w:szCs w:val="21"/>
        </w:rPr>
        <w:t xml:space="preserve">    22.2 一方当事人变更名称、住所、联系人、联系电话或电子邮箱等信息的，应当在变更后3日内及时书面通知对方，对方实际收到变更通知前的送达仍为有效送达。</w:t>
      </w:r>
    </w:p>
    <w:p w14:paraId="34FD4A80">
      <w:pPr>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22.3本合同一方给另一方的通知均应采用书面形式，传真或快递送到本合同中规定的对方的地址和办理签收手续。</w:t>
      </w:r>
    </w:p>
    <w:p w14:paraId="037ED7E9">
      <w:pPr>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22.4通知以送达之日或通知书中规定的生效之日起生效，两者中以较迟之日为准。</w:t>
      </w:r>
    </w:p>
    <w:p w14:paraId="684AE101">
      <w:pPr>
        <w:numPr>
          <w:ilvl w:val="0"/>
          <w:numId w:val="12"/>
        </w:numPr>
        <w:adjustRightInd w:val="0"/>
        <w:snapToGrid w:val="0"/>
        <w:spacing w:line="400" w:lineRule="exact"/>
        <w:jc w:val="left"/>
        <w:rPr>
          <w:rFonts w:hint="eastAsia" w:ascii="宋体" w:hAnsi="宋体" w:eastAsia="宋体"/>
          <w:b/>
          <w:bCs/>
          <w:sz w:val="24"/>
        </w:rPr>
      </w:pPr>
      <w:r>
        <w:rPr>
          <w:rFonts w:hint="eastAsia" w:ascii="宋体" w:hAnsi="宋体" w:eastAsia="宋体"/>
          <w:b/>
          <w:bCs/>
          <w:sz w:val="24"/>
        </w:rPr>
        <w:t>合同未尽事项</w:t>
      </w:r>
    </w:p>
    <w:p w14:paraId="1601A189">
      <w:pPr>
        <w:adjustRightInd w:val="0"/>
        <w:snapToGrid w:val="0"/>
        <w:spacing w:line="400" w:lineRule="exact"/>
        <w:ind w:firstLine="420" w:firstLineChars="200"/>
        <w:jc w:val="left"/>
        <w:rPr>
          <w:rFonts w:hint="eastAsia" w:ascii="宋体" w:hAnsi="宋体" w:eastAsia="宋体"/>
          <w:bCs/>
          <w:szCs w:val="21"/>
        </w:rPr>
      </w:pPr>
      <w:r>
        <w:rPr>
          <w:rFonts w:hint="eastAsia" w:ascii="宋体" w:hAnsi="宋体" w:eastAsia="宋体"/>
          <w:bCs/>
          <w:szCs w:val="21"/>
        </w:rPr>
        <w:t>23.1合同未尽事项见</w:t>
      </w:r>
      <w:r>
        <w:rPr>
          <w:rFonts w:hint="eastAsia" w:ascii="宋体" w:hAnsi="宋体" w:eastAsia="宋体"/>
          <w:b/>
          <w:szCs w:val="21"/>
        </w:rPr>
        <w:t>【政府采购合同专用条款】</w:t>
      </w:r>
      <w:r>
        <w:rPr>
          <w:rFonts w:hint="eastAsia" w:ascii="宋体" w:hAnsi="宋体" w:eastAsia="宋体"/>
          <w:bCs/>
          <w:szCs w:val="21"/>
        </w:rPr>
        <w:t>。</w:t>
      </w:r>
    </w:p>
    <w:p w14:paraId="110969AB">
      <w:pPr>
        <w:adjustRightInd w:val="0"/>
        <w:snapToGrid w:val="0"/>
        <w:spacing w:line="400" w:lineRule="exact"/>
        <w:jc w:val="left"/>
        <w:rPr>
          <w:rFonts w:hint="eastAsia" w:ascii="黑体" w:hAnsi="华文中宋" w:eastAsia="黑体"/>
          <w:sz w:val="28"/>
          <w:szCs w:val="28"/>
        </w:rPr>
      </w:pPr>
      <w:r>
        <w:rPr>
          <w:rFonts w:hint="eastAsia" w:ascii="宋体" w:hAnsi="宋体" w:eastAsia="宋体"/>
          <w:bCs/>
          <w:szCs w:val="21"/>
        </w:rPr>
        <w:t xml:space="preserve">    23.2 合同附件与合同正文具有同等的法律效力。</w:t>
      </w:r>
      <w:bookmarkStart w:id="58" w:name="_Toc20313"/>
    </w:p>
    <w:p w14:paraId="02E9F875">
      <w:pPr>
        <w:adjustRightInd w:val="0"/>
        <w:snapToGrid w:val="0"/>
        <w:jc w:val="center"/>
        <w:rPr>
          <w:rFonts w:hint="eastAsia" w:ascii="黑体" w:hAnsi="华文中宋" w:eastAsia="黑体"/>
          <w:sz w:val="28"/>
          <w:szCs w:val="28"/>
        </w:rPr>
      </w:pPr>
      <w:r>
        <w:rPr>
          <w:rFonts w:hint="eastAsia" w:ascii="黑体" w:hAnsi="华文中宋" w:eastAsia="黑体"/>
          <w:sz w:val="28"/>
          <w:szCs w:val="28"/>
        </w:rPr>
        <w:br w:type="page"/>
      </w:r>
    </w:p>
    <w:p w14:paraId="1C98ECF9">
      <w:pPr>
        <w:keepNext/>
        <w:keepLines/>
        <w:adjustRightInd w:val="0"/>
        <w:snapToGrid w:val="0"/>
        <w:spacing w:line="360" w:lineRule="auto"/>
        <w:jc w:val="center"/>
        <w:outlineLvl w:val="1"/>
        <w:rPr>
          <w:rFonts w:hint="eastAsia" w:ascii="黑体" w:hAnsi="华文中宋" w:eastAsia="黑体" w:cs="Times New Roman"/>
          <w:sz w:val="28"/>
          <w:szCs w:val="28"/>
        </w:rPr>
      </w:pPr>
      <w:r>
        <w:rPr>
          <w:rFonts w:hint="eastAsia" w:ascii="黑体" w:hAnsi="华文中宋" w:eastAsia="黑体" w:cs="Times New Roman"/>
          <w:sz w:val="28"/>
          <w:szCs w:val="28"/>
        </w:rPr>
        <w:t>第三节 政府采购合同专用条款</w:t>
      </w:r>
      <w:bookmarkEnd w:id="58"/>
    </w:p>
    <w:tbl>
      <w:tblPr>
        <w:tblStyle w:val="17"/>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18CFB87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1C41250">
            <w:pPr>
              <w:adjustRightInd w:val="0"/>
              <w:snapToGrid w:val="0"/>
              <w:jc w:val="center"/>
              <w:rPr>
                <w:rFonts w:hint="eastAsia" w:ascii="宋体" w:hAnsi="宋体" w:eastAsia="宋体"/>
                <w:szCs w:val="21"/>
              </w:rPr>
            </w:pPr>
            <w:r>
              <w:rPr>
                <w:rFonts w:hint="eastAsia" w:ascii="宋体" w:hAnsi="宋体" w:eastAsia="宋体"/>
                <w:szCs w:val="21"/>
              </w:rPr>
              <w:t>第二节</w:t>
            </w:r>
          </w:p>
          <w:p w14:paraId="6CA56942">
            <w:pPr>
              <w:adjustRightInd w:val="0"/>
              <w:snapToGrid w:val="0"/>
              <w:jc w:val="center"/>
              <w:rPr>
                <w:rFonts w:hint="eastAsia" w:ascii="宋体" w:hAnsi="宋体" w:eastAsia="宋体"/>
                <w:szCs w:val="21"/>
              </w:rPr>
            </w:pPr>
            <w:r>
              <w:rPr>
                <w:rFonts w:hint="eastAsia" w:ascii="宋体" w:hAnsi="宋体" w:eastAsia="宋体"/>
                <w:szCs w:val="21"/>
              </w:rPr>
              <w:t>第1.2（6）项</w:t>
            </w:r>
          </w:p>
        </w:tc>
        <w:tc>
          <w:tcPr>
            <w:tcW w:w="1742" w:type="dxa"/>
            <w:vAlign w:val="center"/>
          </w:tcPr>
          <w:p w14:paraId="1C376665">
            <w:pPr>
              <w:adjustRightInd w:val="0"/>
              <w:snapToGrid w:val="0"/>
              <w:jc w:val="left"/>
              <w:rPr>
                <w:rFonts w:hint="eastAsia" w:ascii="宋体" w:hAnsi="宋体" w:eastAsia="宋体"/>
                <w:szCs w:val="21"/>
              </w:rPr>
            </w:pPr>
            <w:r>
              <w:rPr>
                <w:rFonts w:hint="eastAsia" w:ascii="宋体" w:hAnsi="宋体" w:eastAsia="宋体"/>
                <w:szCs w:val="21"/>
              </w:rPr>
              <w:t>联合体具体要求</w:t>
            </w:r>
          </w:p>
        </w:tc>
        <w:tc>
          <w:tcPr>
            <w:tcW w:w="5170" w:type="dxa"/>
            <w:vAlign w:val="center"/>
          </w:tcPr>
          <w:p w14:paraId="03225951">
            <w:pPr>
              <w:adjustRightInd w:val="0"/>
              <w:snapToGrid w:val="0"/>
              <w:jc w:val="left"/>
              <w:rPr>
                <w:rFonts w:hint="eastAsia" w:ascii="宋体" w:hAnsi="宋体" w:eastAsia="宋体"/>
                <w:szCs w:val="21"/>
              </w:rPr>
            </w:pPr>
          </w:p>
        </w:tc>
      </w:tr>
      <w:tr w14:paraId="4A088D6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601542B5">
            <w:pPr>
              <w:adjustRightInd w:val="0"/>
              <w:snapToGrid w:val="0"/>
              <w:jc w:val="center"/>
              <w:rPr>
                <w:rFonts w:hint="eastAsia" w:ascii="宋体" w:hAnsi="宋体" w:eastAsia="宋体"/>
                <w:szCs w:val="21"/>
              </w:rPr>
            </w:pPr>
            <w:r>
              <w:rPr>
                <w:rFonts w:hint="eastAsia" w:ascii="宋体" w:hAnsi="宋体" w:eastAsia="宋体"/>
                <w:szCs w:val="21"/>
              </w:rPr>
              <w:t>第二节</w:t>
            </w:r>
          </w:p>
          <w:p w14:paraId="4E9A36EF">
            <w:pPr>
              <w:adjustRightInd w:val="0"/>
              <w:snapToGrid w:val="0"/>
              <w:jc w:val="center"/>
              <w:rPr>
                <w:rFonts w:hint="eastAsia" w:ascii="宋体" w:hAnsi="宋体" w:eastAsia="宋体" w:cs="Times New Roman"/>
                <w:szCs w:val="21"/>
              </w:rPr>
            </w:pPr>
            <w:r>
              <w:rPr>
                <w:rFonts w:hint="eastAsia" w:ascii="宋体" w:hAnsi="宋体" w:eastAsia="宋体"/>
                <w:szCs w:val="21"/>
              </w:rPr>
              <w:t>第1.2（7）项</w:t>
            </w:r>
          </w:p>
        </w:tc>
        <w:tc>
          <w:tcPr>
            <w:tcW w:w="1742" w:type="dxa"/>
            <w:vAlign w:val="center"/>
          </w:tcPr>
          <w:p w14:paraId="701534CC">
            <w:pPr>
              <w:adjustRightInd w:val="0"/>
              <w:snapToGrid w:val="0"/>
              <w:jc w:val="left"/>
              <w:rPr>
                <w:rFonts w:hint="eastAsia" w:ascii="宋体" w:hAnsi="宋体" w:eastAsia="宋体" w:cs="Times New Roman"/>
                <w:szCs w:val="21"/>
              </w:rPr>
            </w:pPr>
            <w:r>
              <w:rPr>
                <w:rFonts w:hint="eastAsia" w:ascii="宋体" w:hAnsi="宋体" w:eastAsia="宋体"/>
                <w:szCs w:val="21"/>
              </w:rPr>
              <w:t>其他术语解释</w:t>
            </w:r>
          </w:p>
        </w:tc>
        <w:tc>
          <w:tcPr>
            <w:tcW w:w="5170" w:type="dxa"/>
            <w:vAlign w:val="center"/>
          </w:tcPr>
          <w:p w14:paraId="06A789D1">
            <w:pPr>
              <w:adjustRightInd w:val="0"/>
              <w:snapToGrid w:val="0"/>
              <w:jc w:val="left"/>
              <w:rPr>
                <w:rFonts w:hint="eastAsia" w:ascii="宋体" w:hAnsi="宋体" w:eastAsia="宋体" w:cs="Times New Roman"/>
                <w:szCs w:val="21"/>
              </w:rPr>
            </w:pPr>
          </w:p>
        </w:tc>
      </w:tr>
      <w:tr w14:paraId="22AF723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672F3D6">
            <w:pPr>
              <w:adjustRightInd w:val="0"/>
              <w:snapToGrid w:val="0"/>
              <w:jc w:val="center"/>
              <w:rPr>
                <w:rFonts w:hint="eastAsia" w:ascii="宋体" w:hAnsi="宋体" w:eastAsia="宋体"/>
                <w:szCs w:val="21"/>
              </w:rPr>
            </w:pPr>
            <w:r>
              <w:rPr>
                <w:rFonts w:hint="eastAsia" w:ascii="宋体" w:hAnsi="宋体" w:eastAsia="宋体"/>
                <w:szCs w:val="21"/>
              </w:rPr>
              <w:t>第二节</w:t>
            </w:r>
          </w:p>
          <w:p w14:paraId="6BE50B52">
            <w:pPr>
              <w:adjustRightInd w:val="0"/>
              <w:snapToGrid w:val="0"/>
              <w:jc w:val="center"/>
              <w:rPr>
                <w:rFonts w:hint="eastAsia" w:ascii="宋体" w:hAnsi="宋体" w:eastAsia="宋体"/>
                <w:szCs w:val="21"/>
              </w:rPr>
            </w:pPr>
            <w:r>
              <w:rPr>
                <w:rFonts w:hint="eastAsia" w:ascii="宋体" w:hAnsi="宋体" w:eastAsia="宋体"/>
                <w:szCs w:val="21"/>
              </w:rPr>
              <w:t>第4.4款</w:t>
            </w:r>
          </w:p>
        </w:tc>
        <w:tc>
          <w:tcPr>
            <w:tcW w:w="1742" w:type="dxa"/>
            <w:vAlign w:val="center"/>
          </w:tcPr>
          <w:p w14:paraId="738E090D">
            <w:pPr>
              <w:adjustRightInd w:val="0"/>
              <w:snapToGrid w:val="0"/>
              <w:jc w:val="left"/>
              <w:rPr>
                <w:rFonts w:hint="eastAsia" w:ascii="宋体" w:hAnsi="宋体" w:eastAsia="宋体"/>
                <w:szCs w:val="21"/>
              </w:rPr>
            </w:pPr>
            <w:r>
              <w:rPr>
                <w:rFonts w:hint="eastAsia" w:ascii="宋体" w:hAnsi="宋体" w:eastAsia="宋体"/>
                <w:szCs w:val="21"/>
              </w:rPr>
              <w:t>履约验收中甲方提出异议或作出说明的期限</w:t>
            </w:r>
          </w:p>
        </w:tc>
        <w:tc>
          <w:tcPr>
            <w:tcW w:w="5170" w:type="dxa"/>
            <w:vAlign w:val="center"/>
          </w:tcPr>
          <w:p w14:paraId="428E5C48">
            <w:pPr>
              <w:adjustRightInd w:val="0"/>
              <w:snapToGrid w:val="0"/>
              <w:jc w:val="left"/>
              <w:rPr>
                <w:rFonts w:hint="eastAsia" w:ascii="宋体" w:hAnsi="宋体" w:eastAsia="宋体" w:cs="Times New Roman"/>
                <w:szCs w:val="21"/>
              </w:rPr>
            </w:pPr>
          </w:p>
        </w:tc>
      </w:tr>
      <w:tr w14:paraId="1CBFAA9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E994D8C">
            <w:pPr>
              <w:adjustRightInd w:val="0"/>
              <w:snapToGrid w:val="0"/>
              <w:jc w:val="center"/>
              <w:rPr>
                <w:rFonts w:hint="eastAsia" w:ascii="宋体" w:hAnsi="宋体" w:eastAsia="宋体"/>
                <w:szCs w:val="21"/>
              </w:rPr>
            </w:pPr>
            <w:r>
              <w:rPr>
                <w:rFonts w:hint="eastAsia" w:ascii="宋体" w:hAnsi="宋体" w:eastAsia="宋体"/>
                <w:szCs w:val="21"/>
              </w:rPr>
              <w:t>第二节</w:t>
            </w:r>
          </w:p>
          <w:p w14:paraId="370513BF">
            <w:pPr>
              <w:adjustRightInd w:val="0"/>
              <w:snapToGrid w:val="0"/>
              <w:jc w:val="center"/>
              <w:rPr>
                <w:rFonts w:hint="eastAsia" w:ascii="宋体" w:hAnsi="宋体" w:eastAsia="宋体"/>
                <w:szCs w:val="21"/>
              </w:rPr>
            </w:pPr>
            <w:r>
              <w:rPr>
                <w:rFonts w:hint="eastAsia" w:ascii="宋体" w:hAnsi="宋体" w:eastAsia="宋体"/>
                <w:szCs w:val="21"/>
              </w:rPr>
              <w:t>第4.6款</w:t>
            </w:r>
          </w:p>
        </w:tc>
        <w:tc>
          <w:tcPr>
            <w:tcW w:w="1742" w:type="dxa"/>
            <w:vAlign w:val="center"/>
          </w:tcPr>
          <w:p w14:paraId="2B09F7A4">
            <w:pPr>
              <w:adjustRightInd w:val="0"/>
              <w:snapToGrid w:val="0"/>
              <w:jc w:val="left"/>
              <w:rPr>
                <w:rFonts w:hint="eastAsia" w:ascii="宋体" w:hAnsi="宋体" w:eastAsia="宋体"/>
                <w:szCs w:val="21"/>
              </w:rPr>
            </w:pPr>
            <w:r>
              <w:rPr>
                <w:rFonts w:hint="eastAsia" w:ascii="宋体" w:hAnsi="宋体" w:eastAsia="宋体"/>
                <w:szCs w:val="21"/>
              </w:rPr>
              <w:t>约定甲方承担的其他义务和责任</w:t>
            </w:r>
          </w:p>
        </w:tc>
        <w:tc>
          <w:tcPr>
            <w:tcW w:w="5170" w:type="dxa"/>
            <w:vAlign w:val="center"/>
          </w:tcPr>
          <w:p w14:paraId="4BD584B2">
            <w:pPr>
              <w:adjustRightInd w:val="0"/>
              <w:snapToGrid w:val="0"/>
              <w:jc w:val="left"/>
              <w:rPr>
                <w:rFonts w:hint="eastAsia" w:ascii="宋体" w:hAnsi="宋体" w:eastAsia="宋体" w:cs="Times New Roman"/>
                <w:szCs w:val="21"/>
              </w:rPr>
            </w:pPr>
          </w:p>
        </w:tc>
      </w:tr>
      <w:tr w14:paraId="3D5A577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99C1356">
            <w:pPr>
              <w:adjustRightInd w:val="0"/>
              <w:snapToGrid w:val="0"/>
              <w:jc w:val="center"/>
              <w:rPr>
                <w:rFonts w:hint="eastAsia" w:ascii="宋体" w:hAnsi="宋体" w:eastAsia="宋体"/>
                <w:szCs w:val="21"/>
              </w:rPr>
            </w:pPr>
            <w:r>
              <w:rPr>
                <w:rFonts w:hint="eastAsia" w:ascii="宋体" w:hAnsi="宋体" w:eastAsia="宋体"/>
                <w:szCs w:val="21"/>
              </w:rPr>
              <w:t>第二节</w:t>
            </w:r>
          </w:p>
          <w:p w14:paraId="2B01BE01">
            <w:pPr>
              <w:snapToGrid w:val="0"/>
              <w:jc w:val="center"/>
              <w:rPr>
                <w:rFonts w:eastAsia="宋体"/>
              </w:rPr>
            </w:pPr>
            <w:r>
              <w:rPr>
                <w:rFonts w:hint="eastAsia" w:ascii="宋体" w:hAnsi="宋体" w:eastAsia="宋体"/>
                <w:szCs w:val="21"/>
              </w:rPr>
              <w:t>第5.4款</w:t>
            </w:r>
          </w:p>
        </w:tc>
        <w:tc>
          <w:tcPr>
            <w:tcW w:w="1742" w:type="dxa"/>
            <w:vAlign w:val="center"/>
          </w:tcPr>
          <w:p w14:paraId="77792A36">
            <w:pPr>
              <w:adjustRightInd w:val="0"/>
              <w:snapToGrid w:val="0"/>
              <w:jc w:val="left"/>
              <w:rPr>
                <w:rFonts w:hint="eastAsia" w:ascii="宋体" w:hAnsi="宋体" w:eastAsia="宋体"/>
                <w:szCs w:val="21"/>
              </w:rPr>
            </w:pPr>
            <w:r>
              <w:rPr>
                <w:rFonts w:hint="eastAsia" w:ascii="宋体" w:hAnsi="宋体" w:eastAsia="宋体"/>
                <w:szCs w:val="21"/>
              </w:rPr>
              <w:t>约定乙方承担的其他义务和责任</w:t>
            </w:r>
          </w:p>
        </w:tc>
        <w:tc>
          <w:tcPr>
            <w:tcW w:w="5170" w:type="dxa"/>
            <w:vAlign w:val="center"/>
          </w:tcPr>
          <w:p w14:paraId="3DE34C36">
            <w:pPr>
              <w:adjustRightInd w:val="0"/>
              <w:snapToGrid w:val="0"/>
              <w:jc w:val="left"/>
              <w:rPr>
                <w:rFonts w:hint="eastAsia" w:ascii="宋体" w:hAnsi="宋体" w:eastAsia="宋体" w:cs="Times New Roman"/>
                <w:szCs w:val="21"/>
              </w:rPr>
            </w:pPr>
          </w:p>
        </w:tc>
      </w:tr>
      <w:tr w14:paraId="4D944B9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1C1D451">
            <w:pPr>
              <w:adjustRightInd w:val="0"/>
              <w:snapToGrid w:val="0"/>
              <w:jc w:val="center"/>
              <w:rPr>
                <w:rFonts w:hint="eastAsia" w:ascii="宋体" w:hAnsi="宋体" w:eastAsia="宋体"/>
                <w:szCs w:val="21"/>
              </w:rPr>
            </w:pPr>
            <w:r>
              <w:rPr>
                <w:rFonts w:hint="eastAsia" w:ascii="宋体" w:hAnsi="宋体" w:eastAsia="宋体"/>
                <w:szCs w:val="21"/>
              </w:rPr>
              <w:t>第二节</w:t>
            </w:r>
          </w:p>
          <w:p w14:paraId="568B931F">
            <w:pPr>
              <w:snapToGrid w:val="0"/>
              <w:jc w:val="center"/>
              <w:rPr>
                <w:rFonts w:hint="eastAsia" w:ascii="宋体" w:hAnsi="宋体" w:eastAsia="宋体"/>
                <w:szCs w:val="21"/>
              </w:rPr>
            </w:pPr>
            <w:r>
              <w:rPr>
                <w:rFonts w:hint="eastAsia" w:ascii="宋体" w:hAnsi="宋体" w:eastAsia="宋体"/>
                <w:szCs w:val="21"/>
              </w:rPr>
              <w:t>第6.1款</w:t>
            </w:r>
          </w:p>
        </w:tc>
        <w:tc>
          <w:tcPr>
            <w:tcW w:w="1742" w:type="dxa"/>
            <w:vAlign w:val="center"/>
          </w:tcPr>
          <w:p w14:paraId="14AC8A8E">
            <w:pPr>
              <w:adjustRightInd w:val="0"/>
              <w:snapToGrid w:val="0"/>
              <w:jc w:val="left"/>
              <w:rPr>
                <w:rFonts w:hint="eastAsia" w:ascii="宋体" w:hAnsi="宋体" w:eastAsia="宋体"/>
                <w:szCs w:val="21"/>
              </w:rPr>
            </w:pPr>
            <w:r>
              <w:rPr>
                <w:rFonts w:hint="eastAsia" w:ascii="宋体" w:hAnsi="宋体" w:eastAsia="宋体"/>
                <w:szCs w:val="21"/>
              </w:rPr>
              <w:t>履行合同义务的顺序</w:t>
            </w:r>
          </w:p>
        </w:tc>
        <w:tc>
          <w:tcPr>
            <w:tcW w:w="5170" w:type="dxa"/>
            <w:vAlign w:val="center"/>
          </w:tcPr>
          <w:p w14:paraId="66DAC27C">
            <w:pPr>
              <w:adjustRightInd w:val="0"/>
              <w:snapToGrid w:val="0"/>
              <w:jc w:val="left"/>
              <w:rPr>
                <w:rFonts w:hint="eastAsia" w:ascii="宋体" w:hAnsi="宋体" w:eastAsia="宋体" w:cs="Times New Roman"/>
                <w:szCs w:val="21"/>
              </w:rPr>
            </w:pPr>
          </w:p>
        </w:tc>
      </w:tr>
      <w:tr w14:paraId="26ED440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44DBD11A">
            <w:pPr>
              <w:adjustRightInd w:val="0"/>
              <w:snapToGrid w:val="0"/>
              <w:jc w:val="center"/>
              <w:rPr>
                <w:rFonts w:hint="eastAsia" w:ascii="宋体" w:hAnsi="宋体" w:eastAsia="宋体"/>
                <w:szCs w:val="21"/>
              </w:rPr>
            </w:pPr>
            <w:r>
              <w:rPr>
                <w:rFonts w:hint="eastAsia" w:ascii="宋体" w:hAnsi="宋体" w:eastAsia="宋体"/>
                <w:szCs w:val="21"/>
              </w:rPr>
              <w:t>第二节</w:t>
            </w:r>
          </w:p>
          <w:p w14:paraId="1891062F">
            <w:pPr>
              <w:adjustRightInd w:val="0"/>
              <w:snapToGrid w:val="0"/>
              <w:jc w:val="center"/>
              <w:rPr>
                <w:rFonts w:hint="eastAsia" w:ascii="宋体" w:hAnsi="宋体" w:eastAsia="宋体"/>
                <w:szCs w:val="21"/>
              </w:rPr>
            </w:pPr>
            <w:r>
              <w:rPr>
                <w:rFonts w:hint="eastAsia" w:ascii="宋体" w:hAnsi="宋体" w:eastAsia="宋体"/>
                <w:szCs w:val="21"/>
              </w:rPr>
              <w:t>第7.1款</w:t>
            </w:r>
          </w:p>
        </w:tc>
        <w:tc>
          <w:tcPr>
            <w:tcW w:w="1742" w:type="dxa"/>
            <w:vAlign w:val="center"/>
          </w:tcPr>
          <w:p w14:paraId="796BEFDC">
            <w:pPr>
              <w:adjustRightInd w:val="0"/>
              <w:snapToGrid w:val="0"/>
              <w:jc w:val="left"/>
              <w:rPr>
                <w:rFonts w:hint="eastAsia" w:ascii="宋体" w:hAnsi="宋体" w:eastAsia="宋体"/>
                <w:szCs w:val="21"/>
              </w:rPr>
            </w:pPr>
            <w:r>
              <w:rPr>
                <w:rFonts w:hint="eastAsia" w:ascii="宋体" w:hAnsi="宋体" w:eastAsia="宋体"/>
                <w:szCs w:val="21"/>
              </w:rPr>
              <w:t>包装特殊要求</w:t>
            </w:r>
          </w:p>
        </w:tc>
        <w:tc>
          <w:tcPr>
            <w:tcW w:w="5170" w:type="dxa"/>
            <w:vAlign w:val="center"/>
          </w:tcPr>
          <w:p w14:paraId="445B563A">
            <w:pPr>
              <w:rPr>
                <w:rFonts w:eastAsia="宋体"/>
              </w:rPr>
            </w:pPr>
          </w:p>
        </w:tc>
      </w:tr>
      <w:tr w14:paraId="70C380A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50220FCC">
            <w:pPr>
              <w:adjustRightInd w:val="0"/>
              <w:snapToGrid w:val="0"/>
              <w:jc w:val="center"/>
              <w:rPr>
                <w:rFonts w:hint="eastAsia" w:ascii="宋体" w:hAnsi="宋体" w:eastAsia="宋体"/>
                <w:szCs w:val="21"/>
              </w:rPr>
            </w:pPr>
          </w:p>
        </w:tc>
        <w:tc>
          <w:tcPr>
            <w:tcW w:w="1742" w:type="dxa"/>
            <w:vAlign w:val="center"/>
          </w:tcPr>
          <w:p w14:paraId="556359F9">
            <w:pPr>
              <w:adjustRightInd w:val="0"/>
              <w:snapToGrid w:val="0"/>
              <w:jc w:val="left"/>
              <w:rPr>
                <w:rFonts w:hint="eastAsia" w:ascii="宋体" w:hAnsi="宋体" w:eastAsia="宋体"/>
                <w:szCs w:val="21"/>
              </w:rPr>
            </w:pPr>
            <w:r>
              <w:rPr>
                <w:rFonts w:hint="eastAsia" w:ascii="宋体" w:hAnsi="宋体" w:eastAsia="宋体"/>
                <w:szCs w:val="21"/>
              </w:rPr>
              <w:t>指定现场</w:t>
            </w:r>
          </w:p>
        </w:tc>
        <w:tc>
          <w:tcPr>
            <w:tcW w:w="5170" w:type="dxa"/>
            <w:vAlign w:val="center"/>
          </w:tcPr>
          <w:p w14:paraId="3DF25AE9">
            <w:pPr>
              <w:rPr>
                <w:rFonts w:eastAsia="宋体"/>
              </w:rPr>
            </w:pPr>
          </w:p>
        </w:tc>
      </w:tr>
      <w:tr w14:paraId="4869E5C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3720BF63">
            <w:pPr>
              <w:adjustRightInd w:val="0"/>
              <w:snapToGrid w:val="0"/>
              <w:jc w:val="center"/>
              <w:rPr>
                <w:rFonts w:hint="eastAsia" w:ascii="宋体" w:hAnsi="宋体" w:eastAsia="宋体"/>
                <w:szCs w:val="21"/>
              </w:rPr>
            </w:pPr>
            <w:r>
              <w:rPr>
                <w:rFonts w:hint="eastAsia" w:ascii="宋体" w:hAnsi="宋体" w:eastAsia="宋体"/>
                <w:szCs w:val="21"/>
              </w:rPr>
              <w:t>第二节</w:t>
            </w:r>
          </w:p>
          <w:p w14:paraId="60ADD8C4">
            <w:pPr>
              <w:adjustRightInd w:val="0"/>
              <w:snapToGrid w:val="0"/>
              <w:jc w:val="center"/>
              <w:rPr>
                <w:rFonts w:hint="eastAsia" w:ascii="宋体" w:hAnsi="宋体" w:eastAsia="宋体"/>
                <w:szCs w:val="21"/>
              </w:rPr>
            </w:pPr>
            <w:r>
              <w:rPr>
                <w:rFonts w:hint="eastAsia" w:ascii="宋体" w:hAnsi="宋体" w:eastAsia="宋体"/>
                <w:szCs w:val="21"/>
              </w:rPr>
              <w:t>第7.2款</w:t>
            </w:r>
          </w:p>
        </w:tc>
        <w:tc>
          <w:tcPr>
            <w:tcW w:w="1742" w:type="dxa"/>
            <w:vAlign w:val="center"/>
          </w:tcPr>
          <w:p w14:paraId="3D2DC97F">
            <w:pPr>
              <w:adjustRightInd w:val="0"/>
              <w:snapToGrid w:val="0"/>
              <w:jc w:val="left"/>
              <w:rPr>
                <w:rFonts w:hint="eastAsia" w:ascii="宋体" w:hAnsi="宋体" w:eastAsia="宋体"/>
                <w:szCs w:val="21"/>
              </w:rPr>
            </w:pPr>
            <w:r>
              <w:rPr>
                <w:rFonts w:hint="eastAsia" w:ascii="宋体" w:hAnsi="宋体" w:eastAsia="宋体"/>
                <w:szCs w:val="21"/>
              </w:rPr>
              <w:t>运输特殊要求</w:t>
            </w:r>
          </w:p>
        </w:tc>
        <w:tc>
          <w:tcPr>
            <w:tcW w:w="5170" w:type="dxa"/>
            <w:vAlign w:val="center"/>
          </w:tcPr>
          <w:p w14:paraId="2FEB2852">
            <w:pPr>
              <w:rPr>
                <w:rFonts w:eastAsia="宋体"/>
              </w:rPr>
            </w:pPr>
          </w:p>
        </w:tc>
      </w:tr>
      <w:tr w14:paraId="6B84F18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014E24AF">
            <w:pPr>
              <w:adjustRightInd w:val="0"/>
              <w:snapToGrid w:val="0"/>
              <w:jc w:val="center"/>
              <w:rPr>
                <w:rFonts w:hint="eastAsia" w:ascii="宋体" w:hAnsi="宋体" w:eastAsia="宋体"/>
                <w:szCs w:val="21"/>
              </w:rPr>
            </w:pPr>
            <w:r>
              <w:rPr>
                <w:rFonts w:hint="eastAsia" w:ascii="宋体" w:hAnsi="宋体" w:eastAsia="宋体"/>
                <w:szCs w:val="21"/>
              </w:rPr>
              <w:t>第二节</w:t>
            </w:r>
          </w:p>
          <w:p w14:paraId="3AE0DE67">
            <w:pPr>
              <w:adjustRightInd w:val="0"/>
              <w:snapToGrid w:val="0"/>
              <w:jc w:val="center"/>
              <w:rPr>
                <w:rFonts w:hint="eastAsia" w:ascii="宋体" w:hAnsi="宋体" w:eastAsia="宋体"/>
                <w:szCs w:val="21"/>
              </w:rPr>
            </w:pPr>
            <w:r>
              <w:rPr>
                <w:rFonts w:hint="eastAsia" w:ascii="宋体" w:hAnsi="宋体" w:eastAsia="宋体"/>
                <w:szCs w:val="21"/>
              </w:rPr>
              <w:t>第7.3款</w:t>
            </w:r>
          </w:p>
        </w:tc>
        <w:tc>
          <w:tcPr>
            <w:tcW w:w="1742" w:type="dxa"/>
            <w:vAlign w:val="center"/>
          </w:tcPr>
          <w:p w14:paraId="6A221248">
            <w:pPr>
              <w:adjustRightInd w:val="0"/>
              <w:snapToGrid w:val="0"/>
              <w:jc w:val="left"/>
              <w:rPr>
                <w:rFonts w:hint="eastAsia" w:ascii="宋体" w:hAnsi="宋体" w:eastAsia="宋体"/>
                <w:szCs w:val="21"/>
              </w:rPr>
            </w:pPr>
            <w:r>
              <w:rPr>
                <w:rFonts w:hint="eastAsia" w:ascii="宋体" w:hAnsi="宋体" w:eastAsia="宋体"/>
                <w:szCs w:val="21"/>
              </w:rPr>
              <w:t>保险要求</w:t>
            </w:r>
          </w:p>
        </w:tc>
        <w:tc>
          <w:tcPr>
            <w:tcW w:w="5170" w:type="dxa"/>
            <w:vAlign w:val="center"/>
          </w:tcPr>
          <w:p w14:paraId="341F089C">
            <w:pPr>
              <w:rPr>
                <w:rFonts w:eastAsia="宋体"/>
              </w:rPr>
            </w:pPr>
          </w:p>
        </w:tc>
      </w:tr>
      <w:tr w14:paraId="38B941B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562C57A">
            <w:pPr>
              <w:adjustRightInd w:val="0"/>
              <w:snapToGrid w:val="0"/>
              <w:jc w:val="center"/>
              <w:rPr>
                <w:rFonts w:hint="eastAsia" w:ascii="宋体" w:hAnsi="宋体" w:eastAsia="宋体"/>
                <w:szCs w:val="21"/>
              </w:rPr>
            </w:pPr>
            <w:r>
              <w:rPr>
                <w:rFonts w:hint="eastAsia" w:ascii="宋体" w:hAnsi="宋体" w:eastAsia="宋体"/>
                <w:szCs w:val="21"/>
              </w:rPr>
              <w:t>第二节</w:t>
            </w:r>
          </w:p>
          <w:p w14:paraId="7677CAA3">
            <w:pPr>
              <w:adjustRightInd w:val="0"/>
              <w:snapToGrid w:val="0"/>
              <w:jc w:val="center"/>
              <w:rPr>
                <w:rFonts w:hint="eastAsia" w:ascii="宋体" w:hAnsi="宋体" w:eastAsia="宋体"/>
                <w:szCs w:val="21"/>
              </w:rPr>
            </w:pPr>
            <w:r>
              <w:rPr>
                <w:rFonts w:hint="eastAsia" w:ascii="宋体" w:hAnsi="宋体" w:eastAsia="宋体"/>
                <w:szCs w:val="21"/>
              </w:rPr>
              <w:t>第8.2（1）项</w:t>
            </w:r>
          </w:p>
        </w:tc>
        <w:tc>
          <w:tcPr>
            <w:tcW w:w="1742" w:type="dxa"/>
            <w:vAlign w:val="center"/>
          </w:tcPr>
          <w:p w14:paraId="60B5AB79">
            <w:pPr>
              <w:adjustRightInd w:val="0"/>
              <w:snapToGrid w:val="0"/>
              <w:jc w:val="left"/>
              <w:rPr>
                <w:rFonts w:hint="eastAsia" w:ascii="宋体" w:hAnsi="宋体" w:eastAsia="宋体"/>
                <w:szCs w:val="21"/>
              </w:rPr>
            </w:pPr>
            <w:r>
              <w:rPr>
                <w:rFonts w:hint="eastAsia" w:ascii="宋体" w:hAnsi="宋体" w:eastAsia="宋体"/>
                <w:szCs w:val="21"/>
              </w:rPr>
              <w:t>质量保证期</w:t>
            </w:r>
          </w:p>
        </w:tc>
        <w:tc>
          <w:tcPr>
            <w:tcW w:w="5170" w:type="dxa"/>
            <w:vAlign w:val="center"/>
          </w:tcPr>
          <w:p w14:paraId="3FC5188A">
            <w:pPr>
              <w:autoSpaceDE w:val="0"/>
              <w:autoSpaceDN w:val="0"/>
              <w:adjustRightInd w:val="0"/>
              <w:snapToGrid w:val="0"/>
              <w:ind w:firstLine="420" w:firstLineChars="200"/>
              <w:jc w:val="left"/>
              <w:rPr>
                <w:rFonts w:hint="eastAsia" w:ascii="宋体" w:hAnsi="宋体" w:eastAsia="宋体"/>
                <w:szCs w:val="21"/>
              </w:rPr>
            </w:pPr>
          </w:p>
        </w:tc>
      </w:tr>
      <w:tr w14:paraId="0D02168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D59376C">
            <w:pPr>
              <w:adjustRightInd w:val="0"/>
              <w:snapToGrid w:val="0"/>
              <w:jc w:val="center"/>
              <w:rPr>
                <w:rFonts w:hint="eastAsia" w:ascii="宋体" w:hAnsi="宋体" w:eastAsia="宋体"/>
                <w:szCs w:val="21"/>
              </w:rPr>
            </w:pPr>
            <w:r>
              <w:rPr>
                <w:rFonts w:hint="eastAsia" w:ascii="宋体" w:hAnsi="宋体" w:eastAsia="宋体"/>
                <w:szCs w:val="21"/>
              </w:rPr>
              <w:t>第二节</w:t>
            </w:r>
          </w:p>
          <w:p w14:paraId="415816D1">
            <w:pPr>
              <w:adjustRightInd w:val="0"/>
              <w:snapToGrid w:val="0"/>
              <w:jc w:val="center"/>
              <w:rPr>
                <w:rFonts w:hint="eastAsia" w:ascii="宋体" w:hAnsi="宋体" w:eastAsia="宋体"/>
                <w:szCs w:val="21"/>
              </w:rPr>
            </w:pPr>
            <w:r>
              <w:rPr>
                <w:rFonts w:hint="eastAsia" w:ascii="宋体" w:hAnsi="宋体" w:eastAsia="宋体"/>
                <w:szCs w:val="21"/>
              </w:rPr>
              <w:t>第8.2（3）项</w:t>
            </w:r>
          </w:p>
        </w:tc>
        <w:tc>
          <w:tcPr>
            <w:tcW w:w="1742" w:type="dxa"/>
            <w:vAlign w:val="center"/>
          </w:tcPr>
          <w:p w14:paraId="6D5CCB8E">
            <w:pPr>
              <w:adjustRightInd w:val="0"/>
              <w:snapToGrid w:val="0"/>
              <w:jc w:val="left"/>
              <w:rPr>
                <w:rFonts w:hint="eastAsia" w:ascii="宋体" w:hAnsi="宋体" w:eastAsia="宋体"/>
                <w:szCs w:val="21"/>
              </w:rPr>
            </w:pPr>
            <w:r>
              <w:rPr>
                <w:rFonts w:hint="eastAsia" w:ascii="宋体" w:hAnsi="宋体" w:eastAsia="宋体"/>
                <w:szCs w:val="21"/>
              </w:rPr>
              <w:t>货物质量缺陷</w:t>
            </w:r>
          </w:p>
          <w:p w14:paraId="52BA9EF0">
            <w:pPr>
              <w:adjustRightInd w:val="0"/>
              <w:snapToGrid w:val="0"/>
              <w:jc w:val="left"/>
              <w:rPr>
                <w:rFonts w:hint="eastAsia" w:ascii="宋体" w:hAnsi="宋体" w:eastAsia="宋体"/>
                <w:szCs w:val="21"/>
              </w:rPr>
            </w:pPr>
            <w:r>
              <w:rPr>
                <w:rFonts w:hint="eastAsia" w:ascii="宋体" w:hAnsi="宋体" w:eastAsia="宋体"/>
                <w:szCs w:val="21"/>
              </w:rPr>
              <w:t>响应时间</w:t>
            </w:r>
          </w:p>
        </w:tc>
        <w:tc>
          <w:tcPr>
            <w:tcW w:w="5170" w:type="dxa"/>
            <w:vAlign w:val="center"/>
          </w:tcPr>
          <w:p w14:paraId="001C7B53">
            <w:pPr>
              <w:adjustRightInd w:val="0"/>
              <w:snapToGrid w:val="0"/>
              <w:jc w:val="left"/>
              <w:rPr>
                <w:rFonts w:hint="eastAsia" w:ascii="宋体" w:hAnsi="宋体" w:eastAsia="宋体"/>
                <w:szCs w:val="21"/>
              </w:rPr>
            </w:pPr>
          </w:p>
        </w:tc>
      </w:tr>
      <w:tr w14:paraId="1AB992D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ECB0A2F">
            <w:pPr>
              <w:snapToGrid w:val="0"/>
              <w:jc w:val="center"/>
              <w:rPr>
                <w:rFonts w:hint="eastAsia" w:ascii="宋体" w:hAnsi="宋体" w:eastAsia="宋体" w:cs="宋体"/>
                <w:szCs w:val="21"/>
              </w:rPr>
            </w:pPr>
            <w:r>
              <w:rPr>
                <w:rFonts w:hint="eastAsia" w:ascii="宋体" w:hAnsi="宋体" w:eastAsia="宋体" w:cs="宋体"/>
                <w:szCs w:val="21"/>
              </w:rPr>
              <w:t>第二节</w:t>
            </w:r>
          </w:p>
          <w:p w14:paraId="5552F009">
            <w:pPr>
              <w:autoSpaceDE w:val="0"/>
              <w:autoSpaceDN w:val="0"/>
              <w:adjustRightInd w:val="0"/>
              <w:spacing w:line="400" w:lineRule="exact"/>
              <w:jc w:val="center"/>
              <w:rPr>
                <w:rFonts w:hint="eastAsia" w:ascii="华文楷体" w:hAnsi="华文楷体" w:eastAsia="华文楷体" w:cs="华文楷体"/>
                <w:sz w:val="22"/>
                <w:szCs w:val="21"/>
              </w:rPr>
            </w:pPr>
            <w:r>
              <w:rPr>
                <w:rFonts w:hint="eastAsia" w:ascii="宋体" w:hAnsi="宋体" w:eastAsia="宋体" w:cs="宋体"/>
                <w:sz w:val="22"/>
                <w:szCs w:val="21"/>
              </w:rPr>
              <w:t>第11.1款</w:t>
            </w:r>
          </w:p>
        </w:tc>
        <w:tc>
          <w:tcPr>
            <w:tcW w:w="1742" w:type="dxa"/>
            <w:vAlign w:val="center"/>
          </w:tcPr>
          <w:p w14:paraId="1A7F4650">
            <w:pPr>
              <w:adjustRightInd w:val="0"/>
              <w:snapToGrid w:val="0"/>
              <w:rPr>
                <w:rFonts w:hint="eastAsia" w:ascii="宋体" w:hAnsi="宋体" w:eastAsia="宋体"/>
                <w:szCs w:val="21"/>
              </w:rPr>
            </w:pPr>
            <w:r>
              <w:rPr>
                <w:rFonts w:hint="eastAsia" w:ascii="宋体" w:hAnsi="宋体" w:eastAsia="宋体"/>
                <w:szCs w:val="21"/>
              </w:rPr>
              <w:t>其他应当保密的信息</w:t>
            </w:r>
          </w:p>
        </w:tc>
        <w:tc>
          <w:tcPr>
            <w:tcW w:w="5170" w:type="dxa"/>
            <w:vAlign w:val="center"/>
          </w:tcPr>
          <w:p w14:paraId="334F3410">
            <w:pPr>
              <w:adjustRightInd w:val="0"/>
              <w:snapToGrid w:val="0"/>
              <w:jc w:val="left"/>
              <w:rPr>
                <w:rFonts w:hint="eastAsia" w:ascii="宋体" w:hAnsi="宋体" w:eastAsia="宋体"/>
                <w:szCs w:val="21"/>
              </w:rPr>
            </w:pPr>
          </w:p>
        </w:tc>
      </w:tr>
      <w:tr w14:paraId="574966E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536EAA1B">
            <w:pPr>
              <w:adjustRightInd w:val="0"/>
              <w:snapToGrid w:val="0"/>
              <w:jc w:val="center"/>
              <w:rPr>
                <w:rFonts w:hint="eastAsia" w:ascii="宋体" w:hAnsi="宋体" w:eastAsia="宋体"/>
                <w:szCs w:val="21"/>
              </w:rPr>
            </w:pPr>
            <w:r>
              <w:rPr>
                <w:rFonts w:hint="eastAsia" w:ascii="宋体" w:hAnsi="宋体" w:eastAsia="宋体"/>
                <w:szCs w:val="21"/>
              </w:rPr>
              <w:t>第二节</w:t>
            </w:r>
          </w:p>
          <w:p w14:paraId="2D608B34">
            <w:pPr>
              <w:adjustRightInd w:val="0"/>
              <w:snapToGrid w:val="0"/>
              <w:jc w:val="center"/>
              <w:rPr>
                <w:rFonts w:hint="eastAsia" w:ascii="宋体" w:hAnsi="宋体" w:eastAsia="宋体"/>
                <w:szCs w:val="21"/>
              </w:rPr>
            </w:pPr>
            <w:r>
              <w:rPr>
                <w:rFonts w:hint="eastAsia" w:ascii="宋体" w:hAnsi="宋体" w:eastAsia="宋体"/>
                <w:szCs w:val="21"/>
              </w:rPr>
              <w:t>第12.2款</w:t>
            </w:r>
          </w:p>
        </w:tc>
        <w:tc>
          <w:tcPr>
            <w:tcW w:w="1742" w:type="dxa"/>
            <w:vAlign w:val="center"/>
          </w:tcPr>
          <w:p w14:paraId="656CC769">
            <w:pPr>
              <w:adjustRightInd w:val="0"/>
              <w:snapToGrid w:val="0"/>
              <w:jc w:val="left"/>
              <w:rPr>
                <w:rFonts w:hint="eastAsia" w:ascii="宋体" w:hAnsi="宋体" w:eastAsia="宋体"/>
                <w:szCs w:val="21"/>
              </w:rPr>
            </w:pPr>
            <w:r>
              <w:rPr>
                <w:rFonts w:hint="eastAsia" w:ascii="宋体" w:hAnsi="宋体" w:eastAsia="宋体"/>
                <w:szCs w:val="21"/>
              </w:rPr>
              <w:t>合同价款支付时间</w:t>
            </w:r>
          </w:p>
        </w:tc>
        <w:tc>
          <w:tcPr>
            <w:tcW w:w="5170" w:type="dxa"/>
            <w:vAlign w:val="center"/>
          </w:tcPr>
          <w:p w14:paraId="75260B6B">
            <w:pPr>
              <w:adjustRightInd w:val="0"/>
              <w:snapToGrid w:val="0"/>
              <w:jc w:val="left"/>
              <w:rPr>
                <w:rFonts w:hint="eastAsia" w:ascii="宋体" w:hAnsi="宋体" w:eastAsia="宋体"/>
                <w:szCs w:val="21"/>
              </w:rPr>
            </w:pPr>
          </w:p>
        </w:tc>
      </w:tr>
      <w:tr w14:paraId="5CF5BC7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0B40D594">
            <w:pPr>
              <w:adjustRightInd w:val="0"/>
              <w:snapToGrid w:val="0"/>
              <w:jc w:val="center"/>
              <w:rPr>
                <w:rFonts w:hint="eastAsia" w:ascii="宋体" w:hAnsi="宋体" w:eastAsia="宋体"/>
                <w:szCs w:val="21"/>
              </w:rPr>
            </w:pPr>
            <w:r>
              <w:rPr>
                <w:rFonts w:hint="eastAsia" w:ascii="宋体" w:hAnsi="宋体" w:eastAsia="宋体"/>
                <w:szCs w:val="21"/>
              </w:rPr>
              <w:t>第二节</w:t>
            </w:r>
          </w:p>
          <w:p w14:paraId="3E9777DA">
            <w:pPr>
              <w:adjustRightInd w:val="0"/>
              <w:snapToGrid w:val="0"/>
              <w:jc w:val="center"/>
              <w:rPr>
                <w:rFonts w:hint="eastAsia" w:ascii="宋体" w:hAnsi="宋体" w:eastAsia="宋体"/>
                <w:szCs w:val="21"/>
              </w:rPr>
            </w:pPr>
            <w:r>
              <w:rPr>
                <w:rFonts w:hint="eastAsia" w:ascii="宋体" w:hAnsi="宋体" w:eastAsia="宋体"/>
                <w:szCs w:val="21"/>
              </w:rPr>
              <w:t>第13.2款</w:t>
            </w:r>
          </w:p>
        </w:tc>
        <w:tc>
          <w:tcPr>
            <w:tcW w:w="1742" w:type="dxa"/>
            <w:vAlign w:val="center"/>
          </w:tcPr>
          <w:p w14:paraId="20964888">
            <w:pPr>
              <w:adjustRightInd w:val="0"/>
              <w:snapToGrid w:val="0"/>
              <w:jc w:val="left"/>
              <w:rPr>
                <w:rFonts w:hint="eastAsia" w:ascii="宋体" w:hAnsi="宋体" w:eastAsia="宋体"/>
                <w:szCs w:val="21"/>
              </w:rPr>
            </w:pPr>
            <w:r>
              <w:rPr>
                <w:rFonts w:hint="eastAsia" w:ascii="宋体" w:hAnsi="宋体" w:eastAsia="宋体"/>
                <w:szCs w:val="21"/>
              </w:rPr>
              <w:t>履约保证金不予退还的情形</w:t>
            </w:r>
          </w:p>
        </w:tc>
        <w:tc>
          <w:tcPr>
            <w:tcW w:w="5170" w:type="dxa"/>
            <w:vAlign w:val="center"/>
          </w:tcPr>
          <w:p w14:paraId="74628553">
            <w:pPr>
              <w:adjustRightInd w:val="0"/>
              <w:snapToGrid w:val="0"/>
              <w:jc w:val="left"/>
              <w:rPr>
                <w:rFonts w:hint="eastAsia" w:ascii="宋体" w:hAnsi="宋体" w:eastAsia="宋体"/>
                <w:szCs w:val="21"/>
              </w:rPr>
            </w:pPr>
          </w:p>
        </w:tc>
      </w:tr>
      <w:tr w14:paraId="473CDA1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7C94F90">
            <w:pPr>
              <w:adjustRightInd w:val="0"/>
              <w:snapToGrid w:val="0"/>
              <w:jc w:val="center"/>
              <w:rPr>
                <w:rFonts w:hint="eastAsia" w:ascii="宋体" w:hAnsi="宋体" w:eastAsia="宋体"/>
                <w:szCs w:val="21"/>
              </w:rPr>
            </w:pPr>
            <w:r>
              <w:rPr>
                <w:rFonts w:hint="eastAsia" w:ascii="宋体" w:hAnsi="宋体" w:eastAsia="宋体"/>
                <w:szCs w:val="21"/>
              </w:rPr>
              <w:t>第二节</w:t>
            </w:r>
          </w:p>
          <w:p w14:paraId="1869AB75">
            <w:pPr>
              <w:adjustRightInd w:val="0"/>
              <w:snapToGrid w:val="0"/>
              <w:jc w:val="center"/>
              <w:rPr>
                <w:rFonts w:hint="eastAsia" w:ascii="宋体" w:hAnsi="宋体" w:eastAsia="宋体"/>
                <w:szCs w:val="21"/>
              </w:rPr>
            </w:pPr>
            <w:r>
              <w:rPr>
                <w:rFonts w:hint="eastAsia" w:ascii="宋体" w:hAnsi="宋体" w:eastAsia="宋体"/>
                <w:szCs w:val="21"/>
              </w:rPr>
              <w:t>第13.3款</w:t>
            </w:r>
          </w:p>
        </w:tc>
        <w:tc>
          <w:tcPr>
            <w:tcW w:w="1742" w:type="dxa"/>
            <w:vAlign w:val="center"/>
          </w:tcPr>
          <w:p w14:paraId="0ACA2599">
            <w:pPr>
              <w:adjustRightInd w:val="0"/>
              <w:snapToGrid w:val="0"/>
              <w:jc w:val="left"/>
              <w:rPr>
                <w:rFonts w:hint="eastAsia" w:ascii="宋体" w:hAnsi="宋体" w:eastAsia="宋体"/>
                <w:szCs w:val="21"/>
              </w:rPr>
            </w:pPr>
            <w:r>
              <w:rPr>
                <w:rFonts w:hint="eastAsia" w:ascii="宋体" w:hAnsi="宋体" w:eastAsia="宋体"/>
                <w:szCs w:val="21"/>
              </w:rPr>
              <w:t>履约保证金退还时间及逾期退还的违约金</w:t>
            </w:r>
          </w:p>
        </w:tc>
        <w:tc>
          <w:tcPr>
            <w:tcW w:w="5170" w:type="dxa"/>
            <w:vAlign w:val="center"/>
          </w:tcPr>
          <w:p w14:paraId="0F2EAF3E">
            <w:pPr>
              <w:adjustRightInd w:val="0"/>
              <w:snapToGrid w:val="0"/>
              <w:jc w:val="left"/>
              <w:rPr>
                <w:rFonts w:hint="eastAsia" w:ascii="宋体" w:hAnsi="宋体" w:eastAsia="宋体"/>
                <w:szCs w:val="21"/>
              </w:rPr>
            </w:pPr>
          </w:p>
        </w:tc>
      </w:tr>
      <w:tr w14:paraId="2C8CAB4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625E9B29">
            <w:pPr>
              <w:adjustRightInd w:val="0"/>
              <w:snapToGrid w:val="0"/>
              <w:jc w:val="center"/>
              <w:rPr>
                <w:rFonts w:hint="eastAsia" w:ascii="宋体" w:hAnsi="宋体" w:eastAsia="宋体"/>
                <w:szCs w:val="21"/>
              </w:rPr>
            </w:pPr>
            <w:r>
              <w:rPr>
                <w:rFonts w:hint="eastAsia" w:ascii="宋体" w:hAnsi="宋体" w:eastAsia="宋体"/>
                <w:szCs w:val="21"/>
              </w:rPr>
              <w:t>第二节</w:t>
            </w:r>
          </w:p>
          <w:p w14:paraId="615172CC">
            <w:pPr>
              <w:adjustRightInd w:val="0"/>
              <w:snapToGrid w:val="0"/>
              <w:jc w:val="center"/>
              <w:rPr>
                <w:rFonts w:hint="eastAsia" w:ascii="宋体" w:hAnsi="宋体" w:eastAsia="宋体"/>
                <w:szCs w:val="21"/>
              </w:rPr>
            </w:pPr>
            <w:r>
              <w:rPr>
                <w:rFonts w:hint="eastAsia" w:ascii="宋体" w:hAnsi="宋体" w:eastAsia="宋体"/>
                <w:szCs w:val="21"/>
              </w:rPr>
              <w:t>第14.1（3）项</w:t>
            </w:r>
          </w:p>
        </w:tc>
        <w:tc>
          <w:tcPr>
            <w:tcW w:w="1742" w:type="dxa"/>
            <w:vAlign w:val="center"/>
          </w:tcPr>
          <w:p w14:paraId="2E691B9B">
            <w:pPr>
              <w:adjustRightInd w:val="0"/>
              <w:snapToGrid w:val="0"/>
              <w:jc w:val="left"/>
              <w:rPr>
                <w:rFonts w:hint="eastAsia" w:ascii="宋体" w:hAnsi="宋体" w:eastAsia="宋体"/>
                <w:szCs w:val="21"/>
              </w:rPr>
            </w:pPr>
            <w:r>
              <w:rPr>
                <w:rFonts w:hint="eastAsia" w:ascii="宋体" w:hAnsi="宋体" w:eastAsia="宋体"/>
                <w:szCs w:val="21"/>
              </w:rPr>
              <w:t>运行监督、维修期限</w:t>
            </w:r>
          </w:p>
        </w:tc>
        <w:tc>
          <w:tcPr>
            <w:tcW w:w="5170" w:type="dxa"/>
            <w:vAlign w:val="center"/>
          </w:tcPr>
          <w:p w14:paraId="5BAF889A">
            <w:pPr>
              <w:adjustRightInd w:val="0"/>
              <w:snapToGrid w:val="0"/>
              <w:jc w:val="left"/>
              <w:rPr>
                <w:rFonts w:hint="eastAsia" w:ascii="宋体" w:hAnsi="宋体" w:eastAsia="宋体"/>
                <w:szCs w:val="21"/>
              </w:rPr>
            </w:pPr>
          </w:p>
        </w:tc>
      </w:tr>
      <w:tr w14:paraId="40C79C5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49C5F4D7">
            <w:pPr>
              <w:adjustRightInd w:val="0"/>
              <w:snapToGrid w:val="0"/>
              <w:jc w:val="center"/>
              <w:rPr>
                <w:rFonts w:hint="eastAsia" w:ascii="宋体" w:hAnsi="宋体" w:eastAsia="宋体"/>
                <w:szCs w:val="21"/>
              </w:rPr>
            </w:pPr>
            <w:r>
              <w:rPr>
                <w:rFonts w:hint="eastAsia" w:ascii="宋体" w:hAnsi="宋体" w:eastAsia="宋体"/>
                <w:szCs w:val="21"/>
              </w:rPr>
              <w:t>第二节</w:t>
            </w:r>
          </w:p>
          <w:p w14:paraId="072E1BCA">
            <w:pPr>
              <w:adjustRightInd w:val="0"/>
              <w:snapToGrid w:val="0"/>
              <w:jc w:val="center"/>
              <w:rPr>
                <w:rFonts w:hint="eastAsia" w:ascii="宋体" w:hAnsi="宋体" w:eastAsia="宋体"/>
                <w:szCs w:val="21"/>
              </w:rPr>
            </w:pPr>
            <w:r>
              <w:rPr>
                <w:rFonts w:hint="eastAsia" w:ascii="宋体" w:hAnsi="宋体" w:eastAsia="宋体"/>
                <w:szCs w:val="21"/>
              </w:rPr>
              <w:t>第14.1（5）项</w:t>
            </w:r>
          </w:p>
        </w:tc>
        <w:tc>
          <w:tcPr>
            <w:tcW w:w="1742" w:type="dxa"/>
            <w:vAlign w:val="center"/>
          </w:tcPr>
          <w:p w14:paraId="687AB083">
            <w:pPr>
              <w:adjustRightInd w:val="0"/>
              <w:snapToGrid w:val="0"/>
              <w:jc w:val="left"/>
              <w:rPr>
                <w:rFonts w:hint="eastAsia" w:ascii="宋体" w:hAnsi="宋体" w:eastAsia="宋体"/>
                <w:szCs w:val="21"/>
              </w:rPr>
            </w:pPr>
            <w:r>
              <w:rPr>
                <w:rFonts w:hint="eastAsia" w:ascii="宋体" w:hAnsi="宋体" w:eastAsia="宋体"/>
                <w:szCs w:val="21"/>
              </w:rPr>
              <w:t>货物回收的约定</w:t>
            </w:r>
          </w:p>
        </w:tc>
        <w:tc>
          <w:tcPr>
            <w:tcW w:w="5170" w:type="dxa"/>
            <w:vAlign w:val="center"/>
          </w:tcPr>
          <w:p w14:paraId="769FAD28">
            <w:pPr>
              <w:adjustRightInd w:val="0"/>
              <w:snapToGrid w:val="0"/>
              <w:jc w:val="left"/>
              <w:rPr>
                <w:rFonts w:hint="eastAsia" w:ascii="宋体" w:hAnsi="宋体" w:eastAsia="宋体"/>
                <w:szCs w:val="21"/>
              </w:rPr>
            </w:pPr>
          </w:p>
        </w:tc>
      </w:tr>
      <w:tr w14:paraId="5511C40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A7224E8">
            <w:pPr>
              <w:adjustRightInd w:val="0"/>
              <w:snapToGrid w:val="0"/>
              <w:jc w:val="center"/>
              <w:rPr>
                <w:rFonts w:hint="eastAsia" w:ascii="宋体" w:hAnsi="宋体" w:eastAsia="宋体"/>
                <w:szCs w:val="21"/>
              </w:rPr>
            </w:pPr>
            <w:r>
              <w:rPr>
                <w:rFonts w:hint="eastAsia" w:ascii="宋体" w:hAnsi="宋体" w:eastAsia="宋体"/>
                <w:szCs w:val="21"/>
              </w:rPr>
              <w:t>第二节</w:t>
            </w:r>
          </w:p>
          <w:p w14:paraId="6F1761E5">
            <w:pPr>
              <w:adjustRightInd w:val="0"/>
              <w:snapToGrid w:val="0"/>
              <w:jc w:val="center"/>
              <w:rPr>
                <w:rFonts w:hint="eastAsia" w:ascii="宋体" w:hAnsi="宋体" w:eastAsia="宋体"/>
                <w:szCs w:val="21"/>
              </w:rPr>
            </w:pPr>
            <w:r>
              <w:rPr>
                <w:rFonts w:hint="eastAsia" w:ascii="宋体" w:hAnsi="宋体" w:eastAsia="宋体"/>
                <w:szCs w:val="21"/>
              </w:rPr>
              <w:t>第14.1（6）项</w:t>
            </w:r>
          </w:p>
        </w:tc>
        <w:tc>
          <w:tcPr>
            <w:tcW w:w="1742" w:type="dxa"/>
            <w:vAlign w:val="center"/>
          </w:tcPr>
          <w:p w14:paraId="7B714BCD">
            <w:pPr>
              <w:adjustRightInd w:val="0"/>
              <w:snapToGrid w:val="0"/>
              <w:jc w:val="left"/>
              <w:rPr>
                <w:rFonts w:hint="eastAsia" w:ascii="宋体" w:hAnsi="宋体" w:eastAsia="宋体"/>
                <w:szCs w:val="21"/>
              </w:rPr>
            </w:pPr>
            <w:r>
              <w:rPr>
                <w:rFonts w:hint="eastAsia" w:ascii="宋体" w:hAnsi="宋体" w:eastAsia="宋体"/>
                <w:szCs w:val="21"/>
              </w:rPr>
              <w:t>乙方提供的其他服务</w:t>
            </w:r>
          </w:p>
        </w:tc>
        <w:tc>
          <w:tcPr>
            <w:tcW w:w="5170" w:type="dxa"/>
            <w:vAlign w:val="center"/>
          </w:tcPr>
          <w:p w14:paraId="61F79772">
            <w:pPr>
              <w:adjustRightInd w:val="0"/>
              <w:snapToGrid w:val="0"/>
              <w:jc w:val="left"/>
              <w:rPr>
                <w:rFonts w:hint="eastAsia" w:ascii="宋体" w:hAnsi="宋体" w:eastAsia="宋体"/>
                <w:szCs w:val="21"/>
              </w:rPr>
            </w:pPr>
          </w:p>
        </w:tc>
      </w:tr>
      <w:tr w14:paraId="3B005B0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5F0E1E3">
            <w:pPr>
              <w:adjustRightInd w:val="0"/>
              <w:snapToGrid w:val="0"/>
              <w:jc w:val="center"/>
              <w:rPr>
                <w:rFonts w:hint="eastAsia" w:ascii="宋体" w:hAnsi="宋体" w:eastAsia="宋体"/>
                <w:szCs w:val="21"/>
              </w:rPr>
            </w:pPr>
            <w:r>
              <w:rPr>
                <w:rFonts w:hint="eastAsia" w:ascii="宋体" w:hAnsi="宋体" w:eastAsia="宋体"/>
                <w:szCs w:val="21"/>
              </w:rPr>
              <w:t>第二节</w:t>
            </w:r>
          </w:p>
          <w:p w14:paraId="3264A589">
            <w:pPr>
              <w:adjustRightInd w:val="0"/>
              <w:snapToGrid w:val="0"/>
              <w:jc w:val="center"/>
              <w:rPr>
                <w:rFonts w:hint="eastAsia" w:ascii="宋体" w:hAnsi="宋体" w:eastAsia="宋体"/>
                <w:szCs w:val="21"/>
              </w:rPr>
            </w:pPr>
            <w:r>
              <w:rPr>
                <w:rFonts w:hint="eastAsia" w:ascii="宋体" w:hAnsi="宋体" w:eastAsia="宋体"/>
                <w:szCs w:val="21"/>
              </w:rPr>
              <w:t>第15.1款</w:t>
            </w:r>
          </w:p>
        </w:tc>
        <w:tc>
          <w:tcPr>
            <w:tcW w:w="1742" w:type="dxa"/>
            <w:vAlign w:val="center"/>
          </w:tcPr>
          <w:p w14:paraId="0F1D09A2">
            <w:pPr>
              <w:adjustRightInd w:val="0"/>
              <w:snapToGrid w:val="0"/>
              <w:jc w:val="left"/>
              <w:rPr>
                <w:rFonts w:hint="eastAsia" w:ascii="宋体" w:hAnsi="宋体" w:eastAsia="宋体"/>
                <w:szCs w:val="21"/>
              </w:rPr>
            </w:pPr>
            <w:r>
              <w:rPr>
                <w:rFonts w:hint="eastAsia" w:ascii="宋体" w:hAnsi="宋体" w:eastAsia="宋体"/>
                <w:szCs w:val="21"/>
              </w:rPr>
              <w:t>修理、重作、更换相关具体规定</w:t>
            </w:r>
          </w:p>
        </w:tc>
        <w:tc>
          <w:tcPr>
            <w:tcW w:w="5170" w:type="dxa"/>
            <w:vAlign w:val="center"/>
          </w:tcPr>
          <w:p w14:paraId="74E481DA">
            <w:pPr>
              <w:adjustRightInd w:val="0"/>
              <w:snapToGrid w:val="0"/>
              <w:jc w:val="left"/>
              <w:rPr>
                <w:rFonts w:hint="eastAsia" w:ascii="宋体" w:hAnsi="宋体" w:eastAsia="宋体"/>
                <w:szCs w:val="21"/>
              </w:rPr>
            </w:pPr>
          </w:p>
        </w:tc>
      </w:tr>
      <w:tr w14:paraId="3EEEE61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A0CE65A">
            <w:pPr>
              <w:adjustRightInd w:val="0"/>
              <w:snapToGrid w:val="0"/>
              <w:jc w:val="center"/>
              <w:rPr>
                <w:rFonts w:hint="eastAsia" w:ascii="宋体" w:hAnsi="宋体" w:eastAsia="宋体"/>
                <w:szCs w:val="21"/>
              </w:rPr>
            </w:pPr>
            <w:r>
              <w:rPr>
                <w:rFonts w:hint="eastAsia" w:ascii="宋体" w:hAnsi="宋体" w:eastAsia="宋体"/>
                <w:szCs w:val="21"/>
              </w:rPr>
              <w:t>第二节</w:t>
            </w:r>
          </w:p>
          <w:p w14:paraId="71EE8C30">
            <w:pPr>
              <w:adjustRightInd w:val="0"/>
              <w:snapToGrid w:val="0"/>
              <w:jc w:val="center"/>
              <w:rPr>
                <w:rFonts w:hint="eastAsia" w:ascii="宋体" w:hAnsi="宋体" w:eastAsia="宋体"/>
                <w:szCs w:val="21"/>
              </w:rPr>
            </w:pPr>
            <w:r>
              <w:rPr>
                <w:rFonts w:hint="eastAsia" w:ascii="宋体" w:hAnsi="宋体" w:eastAsia="宋体"/>
                <w:szCs w:val="21"/>
              </w:rPr>
              <w:t>第15.2（2）项</w:t>
            </w:r>
          </w:p>
        </w:tc>
        <w:tc>
          <w:tcPr>
            <w:tcW w:w="1742" w:type="dxa"/>
            <w:vAlign w:val="center"/>
          </w:tcPr>
          <w:p w14:paraId="2D67FD0B">
            <w:pPr>
              <w:adjustRightInd w:val="0"/>
              <w:snapToGrid w:val="0"/>
              <w:jc w:val="left"/>
              <w:rPr>
                <w:rFonts w:hint="eastAsia" w:ascii="宋体" w:hAnsi="宋体" w:eastAsia="宋体"/>
                <w:szCs w:val="21"/>
              </w:rPr>
            </w:pPr>
            <w:r>
              <w:rPr>
                <w:rFonts w:hint="eastAsia" w:ascii="宋体" w:hAnsi="宋体" w:eastAsia="宋体"/>
                <w:szCs w:val="21"/>
              </w:rPr>
              <w:t>迟延交货赔偿费</w:t>
            </w:r>
          </w:p>
        </w:tc>
        <w:tc>
          <w:tcPr>
            <w:tcW w:w="5170" w:type="dxa"/>
            <w:vAlign w:val="center"/>
          </w:tcPr>
          <w:p w14:paraId="42DCCA60">
            <w:pPr>
              <w:adjustRightInd w:val="0"/>
              <w:snapToGrid w:val="0"/>
              <w:jc w:val="left"/>
              <w:rPr>
                <w:rFonts w:hint="eastAsia" w:ascii="宋体" w:hAnsi="宋体" w:eastAsia="宋体"/>
                <w:szCs w:val="21"/>
                <w:u w:val="single"/>
              </w:rPr>
            </w:pPr>
          </w:p>
        </w:tc>
      </w:tr>
      <w:tr w14:paraId="36FB146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40F5479">
            <w:pPr>
              <w:adjustRightInd w:val="0"/>
              <w:snapToGrid w:val="0"/>
              <w:jc w:val="center"/>
              <w:rPr>
                <w:rFonts w:hint="eastAsia" w:ascii="宋体" w:hAnsi="宋体" w:eastAsia="宋体"/>
                <w:szCs w:val="21"/>
              </w:rPr>
            </w:pPr>
            <w:r>
              <w:rPr>
                <w:rFonts w:hint="eastAsia" w:ascii="宋体" w:hAnsi="宋体" w:eastAsia="宋体"/>
                <w:szCs w:val="21"/>
              </w:rPr>
              <w:t>第二节</w:t>
            </w:r>
          </w:p>
          <w:p w14:paraId="722685A4">
            <w:pPr>
              <w:adjustRightInd w:val="0"/>
              <w:snapToGrid w:val="0"/>
              <w:jc w:val="center"/>
              <w:rPr>
                <w:rFonts w:hint="eastAsia" w:ascii="宋体" w:hAnsi="宋体" w:eastAsia="宋体"/>
                <w:szCs w:val="21"/>
              </w:rPr>
            </w:pPr>
            <w:r>
              <w:rPr>
                <w:rFonts w:hint="eastAsia" w:ascii="宋体" w:hAnsi="宋体" w:eastAsia="宋体"/>
                <w:szCs w:val="21"/>
              </w:rPr>
              <w:t>第15.3款</w:t>
            </w:r>
          </w:p>
        </w:tc>
        <w:tc>
          <w:tcPr>
            <w:tcW w:w="1742" w:type="dxa"/>
            <w:vAlign w:val="center"/>
          </w:tcPr>
          <w:p w14:paraId="5B8C42A5">
            <w:pPr>
              <w:adjustRightInd w:val="0"/>
              <w:snapToGrid w:val="0"/>
              <w:jc w:val="left"/>
              <w:rPr>
                <w:rFonts w:hint="eastAsia" w:ascii="宋体" w:hAnsi="宋体" w:eastAsia="宋体"/>
                <w:szCs w:val="21"/>
              </w:rPr>
            </w:pPr>
            <w:r>
              <w:rPr>
                <w:rFonts w:hint="eastAsia" w:ascii="宋体" w:hAnsi="宋体" w:eastAsia="宋体"/>
                <w:szCs w:val="21"/>
              </w:rPr>
              <w:t>逾期付款利息</w:t>
            </w:r>
          </w:p>
        </w:tc>
        <w:tc>
          <w:tcPr>
            <w:tcW w:w="5170" w:type="dxa"/>
            <w:vAlign w:val="center"/>
          </w:tcPr>
          <w:p w14:paraId="7A47F40D">
            <w:pPr>
              <w:adjustRightInd w:val="0"/>
              <w:snapToGrid w:val="0"/>
              <w:jc w:val="left"/>
              <w:rPr>
                <w:rFonts w:hint="eastAsia" w:ascii="宋体" w:hAnsi="宋体" w:eastAsia="宋体"/>
                <w:szCs w:val="21"/>
                <w:u w:val="single"/>
              </w:rPr>
            </w:pPr>
          </w:p>
        </w:tc>
      </w:tr>
      <w:tr w14:paraId="2A4DA59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6E745334">
            <w:pPr>
              <w:adjustRightInd w:val="0"/>
              <w:snapToGrid w:val="0"/>
              <w:jc w:val="center"/>
              <w:rPr>
                <w:rFonts w:hint="eastAsia" w:ascii="宋体" w:hAnsi="宋体" w:eastAsia="宋体"/>
                <w:szCs w:val="21"/>
              </w:rPr>
            </w:pPr>
            <w:r>
              <w:rPr>
                <w:rFonts w:hint="eastAsia" w:ascii="宋体" w:hAnsi="宋体" w:eastAsia="宋体"/>
                <w:szCs w:val="21"/>
              </w:rPr>
              <w:t>第二节</w:t>
            </w:r>
          </w:p>
          <w:p w14:paraId="48DD6E54">
            <w:pPr>
              <w:adjustRightInd w:val="0"/>
              <w:snapToGrid w:val="0"/>
              <w:jc w:val="center"/>
              <w:rPr>
                <w:rFonts w:hint="eastAsia" w:ascii="宋体" w:hAnsi="宋体" w:eastAsia="宋体"/>
                <w:szCs w:val="21"/>
              </w:rPr>
            </w:pPr>
            <w:r>
              <w:rPr>
                <w:rFonts w:hint="eastAsia" w:ascii="宋体" w:hAnsi="宋体" w:eastAsia="宋体"/>
                <w:szCs w:val="21"/>
              </w:rPr>
              <w:t>第15.4款</w:t>
            </w:r>
          </w:p>
        </w:tc>
        <w:tc>
          <w:tcPr>
            <w:tcW w:w="1742" w:type="dxa"/>
            <w:tcBorders>
              <w:left w:val="single" w:color="auto" w:sz="2" w:space="0"/>
              <w:bottom w:val="single" w:color="auto" w:sz="2" w:space="0"/>
              <w:right w:val="single" w:color="auto" w:sz="2" w:space="0"/>
            </w:tcBorders>
            <w:vAlign w:val="center"/>
          </w:tcPr>
          <w:p w14:paraId="216DE660">
            <w:pPr>
              <w:adjustRightInd w:val="0"/>
              <w:snapToGrid w:val="0"/>
              <w:jc w:val="left"/>
              <w:rPr>
                <w:rFonts w:hint="eastAsia" w:ascii="宋体" w:hAnsi="宋体" w:eastAsia="宋体"/>
                <w:szCs w:val="21"/>
              </w:rPr>
            </w:pPr>
            <w:r>
              <w:rPr>
                <w:rFonts w:hint="eastAsia" w:ascii="宋体" w:hAnsi="宋体" w:eastAsia="宋体"/>
                <w:szCs w:val="21"/>
              </w:rPr>
              <w:t>其他违约责任</w:t>
            </w:r>
          </w:p>
        </w:tc>
        <w:tc>
          <w:tcPr>
            <w:tcW w:w="5170" w:type="dxa"/>
            <w:tcBorders>
              <w:left w:val="single" w:color="auto" w:sz="2" w:space="0"/>
              <w:bottom w:val="single" w:color="auto" w:sz="2" w:space="0"/>
            </w:tcBorders>
            <w:vAlign w:val="center"/>
          </w:tcPr>
          <w:p w14:paraId="38E07F12">
            <w:pPr>
              <w:adjustRightInd w:val="0"/>
              <w:snapToGrid w:val="0"/>
              <w:jc w:val="left"/>
              <w:rPr>
                <w:rFonts w:hint="eastAsia" w:ascii="宋体" w:hAnsi="宋体" w:eastAsia="宋体"/>
                <w:szCs w:val="21"/>
                <w:u w:val="single"/>
              </w:rPr>
            </w:pPr>
          </w:p>
        </w:tc>
      </w:tr>
      <w:tr w14:paraId="213E79F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21307A4E">
            <w:pPr>
              <w:adjustRightInd w:val="0"/>
              <w:snapToGrid w:val="0"/>
              <w:jc w:val="center"/>
              <w:rPr>
                <w:rFonts w:hint="eastAsia" w:ascii="宋体" w:hAnsi="宋体" w:eastAsia="宋体"/>
                <w:szCs w:val="21"/>
              </w:rPr>
            </w:pPr>
            <w:r>
              <w:rPr>
                <w:rFonts w:hint="eastAsia" w:ascii="宋体" w:hAnsi="宋体" w:eastAsia="宋体"/>
                <w:szCs w:val="21"/>
              </w:rPr>
              <w:t>第二节</w:t>
            </w:r>
          </w:p>
          <w:p w14:paraId="7F7B776D">
            <w:pPr>
              <w:adjustRightInd w:val="0"/>
              <w:snapToGrid w:val="0"/>
              <w:jc w:val="center"/>
              <w:rPr>
                <w:rFonts w:hint="eastAsia" w:ascii="宋体" w:hAnsi="宋体" w:eastAsia="宋体"/>
                <w:szCs w:val="21"/>
              </w:rPr>
            </w:pPr>
            <w:r>
              <w:rPr>
                <w:rFonts w:hint="eastAsia" w:ascii="宋体" w:hAnsi="宋体" w:eastAsia="宋体"/>
                <w:szCs w:val="21"/>
              </w:rPr>
              <w:t>第19.2款</w:t>
            </w:r>
          </w:p>
        </w:tc>
        <w:tc>
          <w:tcPr>
            <w:tcW w:w="1742" w:type="dxa"/>
            <w:tcBorders>
              <w:top w:val="single" w:color="auto" w:sz="2" w:space="0"/>
              <w:left w:val="single" w:color="auto" w:sz="2" w:space="0"/>
              <w:right w:val="single" w:color="auto" w:sz="2" w:space="0"/>
            </w:tcBorders>
            <w:vAlign w:val="center"/>
          </w:tcPr>
          <w:p w14:paraId="22C3ED36">
            <w:pPr>
              <w:adjustRightInd w:val="0"/>
              <w:snapToGrid w:val="0"/>
              <w:jc w:val="left"/>
              <w:rPr>
                <w:rFonts w:hint="eastAsia" w:ascii="宋体" w:hAnsi="宋体" w:eastAsia="宋体"/>
                <w:szCs w:val="21"/>
              </w:rPr>
            </w:pPr>
            <w:r>
              <w:rPr>
                <w:rFonts w:hint="eastAsia" w:ascii="宋体" w:hAnsi="宋体" w:eastAsia="宋体"/>
                <w:szCs w:val="21"/>
              </w:rPr>
              <w:t>解决争议的方法</w:t>
            </w:r>
          </w:p>
        </w:tc>
        <w:tc>
          <w:tcPr>
            <w:tcW w:w="5170" w:type="dxa"/>
            <w:tcBorders>
              <w:top w:val="single" w:color="auto" w:sz="2" w:space="0"/>
              <w:left w:val="single" w:color="auto" w:sz="2" w:space="0"/>
            </w:tcBorders>
            <w:vAlign w:val="center"/>
          </w:tcPr>
          <w:p w14:paraId="49FC4045">
            <w:pPr>
              <w:autoSpaceDE w:val="0"/>
              <w:autoSpaceDN w:val="0"/>
              <w:adjustRightInd w:val="0"/>
              <w:snapToGrid w:val="0"/>
              <w:spacing w:line="400" w:lineRule="exact"/>
              <w:jc w:val="left"/>
              <w:rPr>
                <w:rFonts w:hint="eastAsia" w:ascii="宋体" w:hAnsi="宋体" w:eastAsia="宋体" w:cs="宋体"/>
                <w:iCs/>
                <w:szCs w:val="21"/>
              </w:rPr>
            </w:pPr>
            <w:r>
              <w:rPr>
                <w:rFonts w:hint="eastAsia" w:ascii="宋体" w:hAnsi="宋体" w:eastAsia="宋体" w:cs="宋体"/>
                <w:iCs/>
                <w:szCs w:val="21"/>
              </w:rPr>
              <w:t>因本合同及合同有关事项发生的争议，按下列第</w:t>
            </w:r>
            <w:r>
              <w:rPr>
                <w:rFonts w:hint="eastAsia" w:ascii="宋体" w:hAnsi="宋体" w:eastAsia="宋体" w:cs="宋体"/>
                <w:iCs/>
                <w:szCs w:val="21"/>
                <w:u w:val="single"/>
              </w:rPr>
              <w:t xml:space="preserve">   </w:t>
            </w:r>
            <w:r>
              <w:rPr>
                <w:rFonts w:hint="eastAsia" w:ascii="宋体" w:hAnsi="宋体" w:eastAsia="宋体" w:cs="宋体"/>
                <w:iCs/>
                <w:szCs w:val="21"/>
              </w:rPr>
              <w:t>种方式解决：</w:t>
            </w:r>
          </w:p>
          <w:p w14:paraId="325A88CD">
            <w:pPr>
              <w:autoSpaceDE w:val="0"/>
              <w:autoSpaceDN w:val="0"/>
              <w:adjustRightInd w:val="0"/>
              <w:snapToGrid w:val="0"/>
              <w:spacing w:line="400" w:lineRule="exact"/>
              <w:jc w:val="left"/>
              <w:rPr>
                <w:rFonts w:hint="eastAsia" w:ascii="宋体" w:hAnsi="宋体" w:eastAsia="宋体" w:cs="宋体"/>
                <w:iCs/>
                <w:szCs w:val="21"/>
              </w:rPr>
            </w:pPr>
            <w:r>
              <w:rPr>
                <w:rFonts w:hint="eastAsia" w:ascii="宋体" w:hAnsi="宋体" w:eastAsia="宋体" w:cs="宋体"/>
                <w:iCs/>
                <w:szCs w:val="21"/>
              </w:rPr>
              <w:t>（1）向</w:t>
            </w:r>
            <w:r>
              <w:rPr>
                <w:rFonts w:hint="eastAsia" w:ascii="宋体" w:hAnsi="宋体" w:eastAsia="宋体" w:cs="宋体"/>
                <w:iCs/>
                <w:szCs w:val="21"/>
                <w:u w:val="single"/>
              </w:rPr>
              <w:t xml:space="preserve">                    </w:t>
            </w:r>
            <w:r>
              <w:rPr>
                <w:rFonts w:hint="eastAsia" w:ascii="宋体" w:hAnsi="宋体" w:eastAsia="宋体" w:cs="宋体"/>
                <w:iCs/>
                <w:szCs w:val="21"/>
              </w:rPr>
              <w:t>仲裁委员会申请仲裁，仲裁地点为</w:t>
            </w:r>
            <w:r>
              <w:rPr>
                <w:rFonts w:hint="eastAsia" w:ascii="宋体" w:hAnsi="宋体" w:eastAsia="宋体" w:cs="宋体"/>
                <w:iCs/>
                <w:szCs w:val="21"/>
                <w:u w:val="single"/>
              </w:rPr>
              <w:t xml:space="preserve">           </w:t>
            </w:r>
            <w:r>
              <w:rPr>
                <w:rFonts w:hint="eastAsia" w:ascii="宋体" w:hAnsi="宋体" w:eastAsia="宋体" w:cs="宋体"/>
                <w:iCs/>
                <w:szCs w:val="21"/>
              </w:rPr>
              <w:t>；</w:t>
            </w:r>
          </w:p>
          <w:p w14:paraId="161AFC66">
            <w:pPr>
              <w:adjustRightInd w:val="0"/>
              <w:snapToGrid w:val="0"/>
              <w:jc w:val="left"/>
              <w:rPr>
                <w:rFonts w:hint="eastAsia" w:ascii="宋体" w:hAnsi="宋体" w:eastAsia="宋体"/>
                <w:szCs w:val="21"/>
                <w:u w:val="single"/>
              </w:rPr>
            </w:pPr>
            <w:r>
              <w:rPr>
                <w:rFonts w:hint="eastAsia" w:ascii="宋体" w:hAnsi="宋体" w:eastAsia="宋体" w:cs="宋体"/>
                <w:iCs/>
                <w:szCs w:val="21"/>
              </w:rPr>
              <w:t>（2）向</w:t>
            </w:r>
            <w:r>
              <w:rPr>
                <w:rFonts w:hint="eastAsia" w:ascii="宋体" w:hAnsi="宋体" w:eastAsia="宋体" w:cs="宋体"/>
                <w:iCs/>
                <w:szCs w:val="21"/>
                <w:u w:val="single"/>
              </w:rPr>
              <w:t xml:space="preserve">                    </w:t>
            </w:r>
            <w:r>
              <w:rPr>
                <w:rFonts w:hint="eastAsia" w:ascii="宋体" w:hAnsi="宋体" w:eastAsia="宋体" w:cs="宋体"/>
                <w:iCs/>
                <w:szCs w:val="21"/>
              </w:rPr>
              <w:t>人民法院起诉。</w:t>
            </w:r>
          </w:p>
        </w:tc>
      </w:tr>
      <w:tr w14:paraId="4AEDF88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7B880235">
            <w:pPr>
              <w:adjustRightInd w:val="0"/>
              <w:snapToGrid w:val="0"/>
              <w:jc w:val="center"/>
              <w:rPr>
                <w:rFonts w:hint="eastAsia" w:ascii="宋体" w:hAnsi="宋体" w:eastAsia="宋体"/>
                <w:szCs w:val="21"/>
              </w:rPr>
            </w:pPr>
            <w:r>
              <w:rPr>
                <w:rFonts w:hint="eastAsia" w:ascii="宋体" w:hAnsi="宋体" w:eastAsia="宋体"/>
                <w:szCs w:val="21"/>
              </w:rPr>
              <w:t>第二节</w:t>
            </w:r>
          </w:p>
          <w:p w14:paraId="46FF2ACD">
            <w:pPr>
              <w:adjustRightInd w:val="0"/>
              <w:snapToGrid w:val="0"/>
              <w:jc w:val="center"/>
              <w:rPr>
                <w:rFonts w:hint="eastAsia" w:ascii="宋体" w:hAnsi="宋体" w:eastAsia="宋体"/>
                <w:szCs w:val="21"/>
              </w:rPr>
            </w:pPr>
            <w:r>
              <w:rPr>
                <w:rFonts w:hint="eastAsia" w:ascii="宋体" w:hAnsi="宋体" w:eastAsia="宋体"/>
                <w:szCs w:val="21"/>
              </w:rPr>
              <w:t>第23.1款</w:t>
            </w:r>
          </w:p>
        </w:tc>
        <w:tc>
          <w:tcPr>
            <w:tcW w:w="1742" w:type="dxa"/>
            <w:vAlign w:val="center"/>
          </w:tcPr>
          <w:p w14:paraId="37606C77">
            <w:pPr>
              <w:adjustRightInd w:val="0"/>
              <w:snapToGrid w:val="0"/>
              <w:jc w:val="left"/>
              <w:rPr>
                <w:rFonts w:hint="eastAsia" w:ascii="宋体" w:hAnsi="宋体" w:eastAsia="宋体"/>
                <w:szCs w:val="21"/>
              </w:rPr>
            </w:pPr>
            <w:r>
              <w:rPr>
                <w:rFonts w:hint="eastAsia" w:ascii="宋体" w:hAnsi="宋体" w:eastAsia="宋体"/>
                <w:bCs/>
                <w:szCs w:val="21"/>
              </w:rPr>
              <w:t>其他专用条款</w:t>
            </w:r>
          </w:p>
        </w:tc>
        <w:tc>
          <w:tcPr>
            <w:tcW w:w="5170" w:type="dxa"/>
            <w:vAlign w:val="center"/>
          </w:tcPr>
          <w:p w14:paraId="50BD0382">
            <w:pPr>
              <w:adjustRightInd w:val="0"/>
              <w:snapToGrid w:val="0"/>
              <w:jc w:val="left"/>
              <w:rPr>
                <w:rFonts w:hint="eastAsia" w:ascii="宋体" w:hAnsi="宋体" w:eastAsia="宋体"/>
                <w:szCs w:val="21"/>
              </w:rPr>
            </w:pPr>
          </w:p>
        </w:tc>
      </w:tr>
    </w:tbl>
    <w:p w14:paraId="166CAF77">
      <w:pPr>
        <w:rPr>
          <w:rFonts w:eastAsia="宋体"/>
        </w:rPr>
      </w:pPr>
    </w:p>
    <w:p w14:paraId="37DCC29D">
      <w:pPr>
        <w:widowControl/>
        <w:jc w:val="left"/>
        <w:rPr>
          <w:rFonts w:ascii="Arial" w:hAnsi="Arial" w:eastAsia="宋体" w:cs="Times New Roman"/>
          <w:color w:val="FF0000"/>
          <w:szCs w:val="24"/>
        </w:rPr>
      </w:pPr>
    </w:p>
    <w:p w14:paraId="35C2EC90">
      <w:pPr>
        <w:widowControl/>
        <w:jc w:val="left"/>
        <w:rPr>
          <w:rFonts w:hint="eastAsia" w:ascii="宋体" w:hAnsi="宋体" w:eastAsia="黑体" w:cs="Times New Roman"/>
          <w:b/>
          <w:bCs/>
          <w:color w:val="0000FF"/>
          <w:kern w:val="44"/>
          <w:sz w:val="36"/>
          <w:szCs w:val="44"/>
        </w:rPr>
      </w:pPr>
      <w:r>
        <w:rPr>
          <w:rFonts w:ascii="宋体" w:hAnsi="宋体" w:eastAsia="黑体" w:cs="Times New Roman"/>
          <w:b/>
          <w:bCs/>
          <w:color w:val="0000FF"/>
          <w:kern w:val="44"/>
          <w:sz w:val="36"/>
          <w:szCs w:val="44"/>
        </w:rPr>
        <w:br w:type="page"/>
      </w:r>
    </w:p>
    <w:p w14:paraId="2E87CAFA">
      <w:pPr>
        <w:keepNext/>
        <w:keepLines/>
        <w:spacing w:before="340" w:after="78" w:afterLines="25" w:line="578" w:lineRule="auto"/>
        <w:jc w:val="center"/>
        <w:outlineLvl w:val="0"/>
        <w:rPr>
          <w:rFonts w:ascii="Arial" w:hAnsi="Arial" w:eastAsia="宋体" w:cs="Times New Roman"/>
          <w:b/>
          <w:bCs/>
          <w:kern w:val="44"/>
          <w:sz w:val="32"/>
          <w:szCs w:val="32"/>
        </w:rPr>
      </w:pPr>
      <w:r>
        <w:rPr>
          <w:rFonts w:hint="eastAsia" w:ascii="Arial" w:hAnsi="Arial" w:eastAsia="宋体" w:cs="Times New Roman"/>
          <w:b/>
          <w:bCs/>
          <w:kern w:val="44"/>
          <w:sz w:val="32"/>
          <w:szCs w:val="32"/>
        </w:rPr>
        <w:t>第二册  通用条款（公开招标）</w:t>
      </w:r>
    </w:p>
    <w:p w14:paraId="1A2394ED">
      <w:pPr>
        <w:pStyle w:val="34"/>
        <w:keepNext/>
        <w:keepLines/>
        <w:numPr>
          <w:ilvl w:val="0"/>
          <w:numId w:val="13"/>
        </w:numPr>
        <w:tabs>
          <w:tab w:val="left" w:pos="720"/>
        </w:tabs>
        <w:adjustRightInd w:val="0"/>
        <w:spacing w:before="156" w:beforeLines="50" w:after="156" w:afterLines="50"/>
        <w:ind w:firstLineChars="0"/>
        <w:jc w:val="center"/>
        <w:textAlignment w:val="baseline"/>
        <w:outlineLvl w:val="1"/>
        <w:rPr>
          <w:rFonts w:asciiTheme="majorHAnsi" w:hAnsiTheme="majorHAnsi" w:eastAsiaTheme="majorEastAsia" w:cstheme="majorBidi"/>
          <w:b/>
          <w:bCs/>
          <w:sz w:val="28"/>
          <w:szCs w:val="28"/>
        </w:rPr>
      </w:pPr>
      <w:bookmarkStart w:id="59" w:name="_Hlk72399513"/>
      <w:r>
        <w:rPr>
          <w:rFonts w:hint="eastAsia" w:asciiTheme="majorHAnsi" w:hAnsiTheme="majorHAnsi" w:eastAsiaTheme="majorEastAsia" w:cstheme="majorBidi"/>
          <w:b/>
          <w:bCs/>
          <w:sz w:val="28"/>
          <w:szCs w:val="28"/>
        </w:rPr>
        <w:t>总则</w:t>
      </w:r>
    </w:p>
    <w:bookmarkEnd w:id="59"/>
    <w:p w14:paraId="5D3DDCC1">
      <w:pPr>
        <w:rPr>
          <w:rFonts w:hint="eastAsia" w:ascii="黑体" w:hAnsi="宋体" w:eastAsia="黑体"/>
          <w:sz w:val="24"/>
        </w:rPr>
      </w:pPr>
      <w:bookmarkStart w:id="60" w:name="_Hlk72439706"/>
      <w:r>
        <w:rPr>
          <w:rFonts w:hint="eastAsia" w:ascii="黑体" w:hAnsi="宋体" w:eastAsia="黑体"/>
          <w:sz w:val="24"/>
        </w:rPr>
        <w:t>1. 通用条款说明</w:t>
      </w:r>
    </w:p>
    <w:p w14:paraId="696F9302">
      <w:pPr>
        <w:ind w:firstLine="411" w:firstLineChars="196"/>
        <w:rPr>
          <w:rFonts w:hint="eastAsia" w:ascii="宋体" w:hAnsi="宋体"/>
          <w:szCs w:val="21"/>
        </w:rPr>
      </w:pPr>
      <w:r>
        <w:rPr>
          <w:rFonts w:hint="eastAsia" w:ascii="宋体" w:hAnsi="宋体"/>
          <w:szCs w:val="21"/>
        </w:rPr>
        <w:t>1.1政府集中采购机构发出招标文件通用条款版本，列出深圳市政府采购项目进行招标采购所适用的通用条款内容。</w:t>
      </w:r>
      <w:bookmarkStart w:id="61" w:name="_Hlk72399729"/>
      <w:r>
        <w:rPr>
          <w:rFonts w:hint="eastAsia" w:ascii="宋体" w:hAnsi="宋体"/>
          <w:szCs w:val="21"/>
        </w:rPr>
        <w:t>如有需要，政府集中采购机构可以对通用条款的内容进行补充。</w:t>
      </w:r>
      <w:bookmarkEnd w:id="61"/>
    </w:p>
    <w:p w14:paraId="24479C92">
      <w:pPr>
        <w:ind w:firstLine="411" w:firstLineChars="196"/>
        <w:rPr>
          <w:rFonts w:hint="eastAsia" w:ascii="宋体" w:hAnsi="宋体"/>
          <w:szCs w:val="21"/>
        </w:rPr>
      </w:pPr>
      <w:r>
        <w:rPr>
          <w:rFonts w:hint="eastAsia" w:ascii="宋体" w:hAnsi="宋体"/>
          <w:szCs w:val="21"/>
        </w:rPr>
        <w:t>1.2招标文件分为第一册“专用条款”和第二册“通用条款”。</w:t>
      </w:r>
    </w:p>
    <w:p w14:paraId="3BDA94E1">
      <w:pPr>
        <w:ind w:firstLine="411" w:firstLineChars="196"/>
        <w:rPr>
          <w:rFonts w:hint="eastAsia" w:ascii="宋体" w:hAnsi="宋体"/>
          <w:szCs w:val="21"/>
        </w:rPr>
      </w:pPr>
      <w:r>
        <w:rPr>
          <w:rFonts w:hint="eastAsia" w:ascii="宋体" w:hAnsi="宋体"/>
          <w:szCs w:val="21"/>
        </w:rPr>
        <w:t>1.3“专用条款”是对本次采购项目的具体要求，包含招标公告、对通用条款的补充内容及其他关键信息、用户需求书、投标文件格式及附件、合同条款及格式等内容。</w:t>
      </w:r>
    </w:p>
    <w:p w14:paraId="413522D9">
      <w:pPr>
        <w:ind w:firstLine="411" w:firstLineChars="196"/>
        <w:rPr>
          <w:rFonts w:hint="eastAsia" w:ascii="宋体" w:hAnsi="宋体"/>
          <w:szCs w:val="21"/>
        </w:rPr>
      </w:pPr>
      <w:r>
        <w:rPr>
          <w:rFonts w:hint="eastAsia" w:ascii="宋体" w:hAnsi="宋体"/>
          <w:szCs w:val="21"/>
        </w:rPr>
        <w:t>1.4“通用条款”是适用于政府采购公开招标项目的基础性条款，具有普遍性和通用性。</w:t>
      </w:r>
    </w:p>
    <w:p w14:paraId="3BF30080">
      <w:pPr>
        <w:ind w:firstLine="411" w:firstLineChars="196"/>
        <w:rPr>
          <w:rFonts w:hint="eastAsia" w:ascii="宋体" w:hAnsi="宋体"/>
          <w:szCs w:val="21"/>
        </w:rPr>
      </w:pPr>
      <w:r>
        <w:rPr>
          <w:rFonts w:hint="eastAsia" w:ascii="宋体" w:hAnsi="宋体"/>
          <w:szCs w:val="21"/>
        </w:rPr>
        <w:t>1.5 “专用条款”和“通用条款”表述不一致或有冲突时，以“专用条款”为准。</w:t>
      </w:r>
    </w:p>
    <w:p w14:paraId="23A94B06">
      <w:pPr>
        <w:rPr>
          <w:rFonts w:hint="eastAsia" w:ascii="黑体" w:hAnsi="宋体" w:eastAsia="黑体"/>
          <w:sz w:val="24"/>
        </w:rPr>
      </w:pPr>
      <w:r>
        <w:rPr>
          <w:rFonts w:hint="eastAsia" w:ascii="黑体" w:hAnsi="宋体" w:eastAsia="黑体"/>
          <w:sz w:val="24"/>
        </w:rPr>
        <w:t>2</w:t>
      </w:r>
      <w:r>
        <w:rPr>
          <w:rFonts w:ascii="黑体" w:hAnsi="宋体" w:eastAsia="黑体"/>
          <w:sz w:val="24"/>
        </w:rPr>
        <w:t>．</w:t>
      </w:r>
      <w:r>
        <w:rPr>
          <w:rFonts w:hint="eastAsia" w:ascii="黑体" w:hAnsi="宋体" w:eastAsia="黑体"/>
          <w:sz w:val="24"/>
        </w:rPr>
        <w:t>招标说明</w:t>
      </w:r>
    </w:p>
    <w:p w14:paraId="73F030F9">
      <w:pPr>
        <w:ind w:firstLine="411" w:firstLineChars="196"/>
        <w:rPr>
          <w:rFonts w:hint="eastAsia" w:ascii="宋体" w:hAnsi="宋体"/>
          <w:szCs w:val="21"/>
        </w:rPr>
      </w:pPr>
      <w:r>
        <w:rPr>
          <w:rFonts w:hint="eastAsia" w:ascii="宋体" w:hAnsi="宋体"/>
          <w:szCs w:val="21"/>
        </w:rPr>
        <w:t>本项目参照《深圳经济特区政府采购条例》、《深圳经济特区政府采购条例实施细则》及政府采购其他法律法规，通过公开招标方式确定中标供应商。</w:t>
      </w:r>
    </w:p>
    <w:p w14:paraId="09EDA05C">
      <w:pPr>
        <w:rPr>
          <w:rFonts w:hint="eastAsia" w:ascii="黑体" w:hAnsi="宋体" w:eastAsia="黑体"/>
          <w:sz w:val="24"/>
        </w:rPr>
      </w:pPr>
      <w:r>
        <w:rPr>
          <w:rFonts w:hint="eastAsia" w:ascii="黑体" w:hAnsi="宋体" w:eastAsia="黑体"/>
          <w:sz w:val="24"/>
        </w:rPr>
        <w:t>3．定义</w:t>
      </w:r>
    </w:p>
    <w:p w14:paraId="4480A64C">
      <w:pPr>
        <w:ind w:firstLine="420" w:firstLineChars="200"/>
        <w:rPr>
          <w:rFonts w:hint="eastAsia" w:ascii="宋体" w:hAnsi="宋体"/>
          <w:szCs w:val="21"/>
        </w:rPr>
      </w:pPr>
      <w:r>
        <w:rPr>
          <w:rFonts w:ascii="宋体" w:hAnsi="宋体"/>
          <w:szCs w:val="21"/>
        </w:rPr>
        <w:t>招标文件中下列术语应解释为：</w:t>
      </w:r>
    </w:p>
    <w:p w14:paraId="75516C3D">
      <w:pPr>
        <w:ind w:firstLine="411" w:firstLineChars="196"/>
        <w:rPr>
          <w:rFonts w:hint="eastAsia" w:ascii="宋体" w:hAnsi="宋体"/>
          <w:szCs w:val="21"/>
        </w:rPr>
      </w:pPr>
      <w:r>
        <w:rPr>
          <w:rFonts w:hint="eastAsia" w:ascii="宋体" w:hAnsi="宋体"/>
          <w:szCs w:val="21"/>
        </w:rPr>
        <w:t>3.</w:t>
      </w:r>
      <w:r>
        <w:rPr>
          <w:rFonts w:ascii="宋体" w:hAnsi="宋体"/>
          <w:szCs w:val="21"/>
        </w:rPr>
        <w:t>1</w:t>
      </w:r>
      <w:r>
        <w:rPr>
          <w:rFonts w:hint="eastAsia" w:ascii="宋体" w:hAnsi="宋体"/>
          <w:szCs w:val="21"/>
        </w:rPr>
        <w:t>“采购人”：指利用财政性资金依法进行政府采购的国家机关、事业单位、团体组织；</w:t>
      </w:r>
      <w:r>
        <w:rPr>
          <w:rFonts w:ascii="宋体" w:hAnsi="宋体"/>
          <w:szCs w:val="21"/>
        </w:rPr>
        <w:t xml:space="preserve"> </w:t>
      </w:r>
    </w:p>
    <w:p w14:paraId="3B0ACFFF">
      <w:pPr>
        <w:ind w:firstLine="411" w:firstLineChars="196"/>
        <w:rPr>
          <w:rFonts w:hint="eastAsia" w:ascii="宋体" w:hAnsi="宋体"/>
          <w:szCs w:val="21"/>
        </w:rPr>
      </w:pPr>
      <w:r>
        <w:rPr>
          <w:rFonts w:hint="eastAsia" w:ascii="宋体" w:hAnsi="宋体"/>
          <w:szCs w:val="21"/>
        </w:rPr>
        <w:t>3.2 “政府集中采购机构”</w:t>
      </w:r>
      <w:r>
        <w:rPr>
          <w:rFonts w:hint="eastAsia" w:ascii="Arial" w:hAnsi="Arial" w:cs="Arial"/>
          <w:szCs w:val="21"/>
          <w:shd w:val="clear" w:color="auto" w:fill="FFFFFF"/>
        </w:rPr>
        <w:t>是指市政府设立的，组织实施政府采购项目，并对政府采购活动提供服务的专门机构；</w:t>
      </w:r>
      <w:r>
        <w:rPr>
          <w:rFonts w:hint="eastAsia" w:ascii="宋体" w:hAnsi="宋体"/>
          <w:szCs w:val="21"/>
        </w:rPr>
        <w:t>本文件所述的“政府集中采购机构”</w:t>
      </w:r>
      <w:r>
        <w:rPr>
          <w:rFonts w:ascii="宋体" w:hAnsi="宋体"/>
          <w:szCs w:val="21"/>
        </w:rPr>
        <w:t>指</w:t>
      </w:r>
      <w:r>
        <w:rPr>
          <w:rFonts w:hint="eastAsia" w:ascii="宋体" w:hAnsi="宋体"/>
          <w:b/>
          <w:bCs/>
          <w:szCs w:val="21"/>
        </w:rPr>
        <w:t>深圳公共资源交易中心</w:t>
      </w:r>
      <w:r>
        <w:rPr>
          <w:rFonts w:hint="eastAsia" w:ascii="宋体" w:hAnsi="宋体"/>
          <w:szCs w:val="21"/>
        </w:rPr>
        <w:t>；</w:t>
      </w:r>
    </w:p>
    <w:p w14:paraId="61675526">
      <w:pPr>
        <w:ind w:firstLine="411" w:firstLineChars="196"/>
        <w:rPr>
          <w:rFonts w:hint="eastAsia" w:ascii="宋体" w:hAnsi="宋体"/>
          <w:szCs w:val="21"/>
        </w:rPr>
      </w:pPr>
      <w:r>
        <w:rPr>
          <w:rFonts w:hint="eastAsia" w:ascii="宋体" w:hAnsi="宋体"/>
          <w:szCs w:val="21"/>
        </w:rPr>
        <w:t>3.3“投标人”，即供应商，指参加投标竞争并愿意按照招标文件要求向采购人提供货物、工程或者服务的依法成立的法人、其他组织或者自然人；</w:t>
      </w:r>
    </w:p>
    <w:p w14:paraId="6C3263E1">
      <w:pPr>
        <w:ind w:firstLine="411" w:firstLineChars="196"/>
        <w:rPr>
          <w:rFonts w:hint="eastAsia" w:ascii="宋体" w:hAnsi="宋体"/>
          <w:szCs w:val="21"/>
        </w:rPr>
      </w:pPr>
      <w:r>
        <w:rPr>
          <w:rFonts w:hint="eastAsia" w:ascii="宋体" w:hAnsi="宋体"/>
          <w:szCs w:val="21"/>
        </w:rPr>
        <w:t>3.4“评审委员会”是依据《深圳经济特区政府采购条例》、《深圳经济特区政府采购条例实施细则》等有关规定组建的专门负责本次招标其评审工作的临时性机构；</w:t>
      </w:r>
    </w:p>
    <w:p w14:paraId="4A3ED2E7">
      <w:pPr>
        <w:ind w:firstLine="411" w:firstLineChars="196"/>
        <w:rPr>
          <w:rFonts w:hint="eastAsia" w:ascii="宋体" w:hAnsi="宋体"/>
          <w:szCs w:val="21"/>
        </w:rPr>
      </w:pPr>
      <w:r>
        <w:rPr>
          <w:rFonts w:hint="eastAsia" w:ascii="宋体" w:hAnsi="宋体"/>
          <w:szCs w:val="21"/>
        </w:rPr>
        <w:t>3.5“日期”</w:t>
      </w:r>
      <w:r>
        <w:rPr>
          <w:rFonts w:ascii="宋体" w:hAnsi="宋体"/>
          <w:szCs w:val="21"/>
        </w:rPr>
        <w:t>指</w:t>
      </w:r>
      <w:r>
        <w:rPr>
          <w:rFonts w:hint="eastAsia" w:ascii="宋体" w:hAnsi="宋体"/>
          <w:szCs w:val="21"/>
        </w:rPr>
        <w:t>公历日；</w:t>
      </w:r>
    </w:p>
    <w:p w14:paraId="31021A74">
      <w:pPr>
        <w:ind w:firstLine="411" w:firstLineChars="196"/>
        <w:rPr>
          <w:rFonts w:hint="eastAsia" w:ascii="宋体" w:hAnsi="宋体"/>
          <w:szCs w:val="21"/>
        </w:rPr>
      </w:pPr>
      <w:r>
        <w:rPr>
          <w:rFonts w:hint="eastAsia" w:ascii="宋体" w:hAnsi="宋体"/>
          <w:szCs w:val="21"/>
        </w:rPr>
        <w:t>3.6“合同”指由本次招标所产生的合同或合约文件；</w:t>
      </w:r>
    </w:p>
    <w:p w14:paraId="5CB3D9DD">
      <w:pPr>
        <w:ind w:firstLine="411" w:firstLineChars="196"/>
        <w:rPr>
          <w:rFonts w:hint="eastAsia" w:ascii="宋体" w:hAnsi="宋体"/>
          <w:szCs w:val="21"/>
        </w:rPr>
      </w:pPr>
      <w:r>
        <w:rPr>
          <w:rFonts w:hint="eastAsia" w:ascii="宋体" w:hAnsi="宋体"/>
          <w:szCs w:val="21"/>
        </w:rPr>
        <w:t>3.7“电子投标文件”指利用</w:t>
      </w:r>
      <w:r>
        <w:rPr>
          <w:rFonts w:hint="eastAsia" w:ascii="宋体" w:hAnsi="宋体"/>
          <w:b/>
          <w:bCs/>
          <w:color w:val="FF0000"/>
          <w:szCs w:val="21"/>
        </w:rPr>
        <w:t>深圳公共资源交易中心（深圳交易集团有限公司龙华分公司）</w:t>
      </w:r>
      <w:r>
        <w:rPr>
          <w:rFonts w:hint="eastAsia" w:ascii="宋体" w:hAnsi="宋体"/>
          <w:szCs w:val="21"/>
        </w:rPr>
        <w:t>网站提供的深圳智慧采购平台投标文件制作专用软件（以下简称：投标文件制作软件）制作并加密的投标文件,适用于网上投标；（投标文件制作软件可从“下载地址：http://zfcg.szggzy.com:8081/cgxy/013002/20210923/173e0b2c-7a4c-4246-a0c7-e0ea75d84dd6.html深圳智慧采购平台投标文件制作专用软件.zip”下载）</w:t>
      </w:r>
    </w:p>
    <w:p w14:paraId="6D933622">
      <w:pPr>
        <w:ind w:firstLine="411" w:firstLineChars="196"/>
        <w:rPr>
          <w:rFonts w:hint="eastAsia" w:ascii="宋体" w:hAnsi="宋体"/>
          <w:szCs w:val="21"/>
        </w:rPr>
      </w:pPr>
      <w:r>
        <w:rPr>
          <w:rFonts w:hint="eastAsia" w:ascii="宋体" w:hAnsi="宋体"/>
          <w:szCs w:val="21"/>
        </w:rPr>
        <w:t>3.8“网上投标”指通过</w:t>
      </w:r>
      <w:r>
        <w:rPr>
          <w:rFonts w:hint="eastAsia" w:ascii="宋体" w:hAnsi="宋体"/>
          <w:b/>
          <w:bCs/>
          <w:color w:val="FF0000"/>
          <w:szCs w:val="21"/>
        </w:rPr>
        <w:t>深圳公共资源交易中心（深圳交易集团有限公司龙华分公司）</w:t>
      </w:r>
      <w:r>
        <w:rPr>
          <w:rFonts w:hint="eastAsia" w:ascii="宋体" w:hAnsi="宋体"/>
          <w:szCs w:val="21"/>
        </w:rPr>
        <w:t>网站上传电子投标文件；</w:t>
      </w:r>
    </w:p>
    <w:p w14:paraId="071357B7">
      <w:pPr>
        <w:ind w:firstLine="411" w:firstLineChars="196"/>
        <w:rPr>
          <w:rFonts w:hint="eastAsia" w:ascii="宋体" w:hAnsi="宋体"/>
          <w:szCs w:val="21"/>
        </w:rPr>
      </w:pPr>
      <w:r>
        <w:rPr>
          <w:rFonts w:hint="eastAsia" w:ascii="宋体" w:hAnsi="宋体"/>
          <w:szCs w:val="21"/>
        </w:rPr>
        <w:t>3.9招标文件中的标题或题名仅起引导作用，而不应视为对招标文件内容的理解和解释。</w:t>
      </w:r>
    </w:p>
    <w:p w14:paraId="2EEA0B46">
      <w:pPr>
        <w:rPr>
          <w:rFonts w:hint="eastAsia" w:ascii="黑体" w:hAnsi="宋体" w:eastAsia="黑体"/>
          <w:sz w:val="24"/>
        </w:rPr>
      </w:pPr>
      <w:r>
        <w:rPr>
          <w:rFonts w:hint="eastAsia" w:ascii="黑体" w:hAnsi="宋体" w:eastAsia="黑体"/>
          <w:sz w:val="24"/>
        </w:rPr>
        <w:t xml:space="preserve">4. </w:t>
      </w:r>
      <w:bookmarkStart w:id="62" w:name="_Hlk72398643"/>
      <w:r>
        <w:rPr>
          <w:rFonts w:hint="eastAsia" w:ascii="黑体" w:hAnsi="宋体" w:eastAsia="黑体"/>
          <w:sz w:val="24"/>
        </w:rPr>
        <w:t>政府采购供应商责任</w:t>
      </w:r>
    </w:p>
    <w:p w14:paraId="1690A14E">
      <w:pPr>
        <w:ind w:firstLine="411" w:firstLineChars="196"/>
        <w:rPr>
          <w:rFonts w:hint="eastAsia" w:ascii="宋体" w:hAnsi="宋体"/>
          <w:szCs w:val="21"/>
        </w:rPr>
      </w:pPr>
      <w:r>
        <w:rPr>
          <w:rFonts w:hint="eastAsia" w:ascii="宋体" w:hAnsi="宋体"/>
          <w:szCs w:val="21"/>
        </w:rPr>
        <w:t>4.1欢迎诚信、有实力和有社会责任心的供应商参与政府采购事业。</w:t>
      </w:r>
    </w:p>
    <w:p w14:paraId="20B391C7">
      <w:pPr>
        <w:ind w:firstLine="411" w:firstLineChars="196"/>
        <w:rPr>
          <w:rFonts w:hint="eastAsia" w:ascii="宋体" w:hAnsi="宋体"/>
          <w:szCs w:val="21"/>
        </w:rPr>
      </w:pPr>
      <w:r>
        <w:rPr>
          <w:rFonts w:hint="eastAsia" w:ascii="宋体" w:hAnsi="宋体"/>
          <w:szCs w:val="21"/>
        </w:rPr>
        <w:t>4.2投标人应当遵循公平竞争的原则，不得恶意串通，不得妨碍其他投标人的竞争行为，不得损害采购人或者其他投标人的合法权益。如违反上述要求，经核实后，供应商的投标无效。</w:t>
      </w:r>
    </w:p>
    <w:p w14:paraId="6878DDDE">
      <w:pPr>
        <w:rPr>
          <w:rFonts w:hint="eastAsia" w:ascii="黑体" w:hAnsi="宋体" w:eastAsia="黑体"/>
          <w:sz w:val="24"/>
        </w:rPr>
      </w:pPr>
      <w:r>
        <w:rPr>
          <w:rFonts w:hint="eastAsia" w:ascii="黑体" w:hAnsi="宋体" w:eastAsia="黑体"/>
          <w:sz w:val="24"/>
        </w:rPr>
        <w:t>5．投标人参加政府采购的条件</w:t>
      </w:r>
    </w:p>
    <w:p w14:paraId="6C1EF86A">
      <w:pPr>
        <w:ind w:firstLine="411" w:firstLineChars="196"/>
        <w:jc w:val="left"/>
        <w:rPr>
          <w:rFonts w:hint="eastAsia" w:ascii="宋体" w:hAnsi="宋体"/>
          <w:szCs w:val="21"/>
        </w:rPr>
      </w:pPr>
      <w:r>
        <w:rPr>
          <w:rFonts w:hint="eastAsia" w:ascii="宋体" w:hAnsi="宋体"/>
          <w:szCs w:val="21"/>
        </w:rPr>
        <w:t>5.1投标人应在投标前到</w:t>
      </w:r>
      <w:r>
        <w:rPr>
          <w:rFonts w:hint="eastAsia" w:ascii="宋体" w:hAnsi="宋体"/>
          <w:b/>
          <w:bCs/>
          <w:szCs w:val="21"/>
        </w:rPr>
        <w:t>深圳公共资源交易中心（具体在深圳交易集团有限公司政府采购业务分公司进行办理）</w:t>
      </w:r>
      <w:r>
        <w:rPr>
          <w:rFonts w:hint="eastAsia" w:ascii="宋体" w:hAnsi="宋体"/>
          <w:szCs w:val="21"/>
        </w:rPr>
        <w:t>进行注册并办理电子密钥。《供应商注册及信息变更指引》详见www.szggzy.com网站“交易服务指南-政府采购”。</w:t>
      </w:r>
    </w:p>
    <w:p w14:paraId="6994089B">
      <w:pPr>
        <w:ind w:firstLine="411" w:firstLineChars="196"/>
        <w:rPr>
          <w:rFonts w:hint="eastAsia" w:ascii="宋体" w:hAnsi="宋体"/>
          <w:szCs w:val="21"/>
        </w:rPr>
      </w:pPr>
      <w:r>
        <w:rPr>
          <w:rFonts w:hint="eastAsia" w:ascii="宋体" w:hAnsi="宋体"/>
          <w:szCs w:val="21"/>
        </w:rPr>
        <w:t>5.2投标人资格要求</w:t>
      </w:r>
    </w:p>
    <w:p w14:paraId="2CFFB80B">
      <w:pPr>
        <w:ind w:firstLine="411" w:firstLineChars="196"/>
        <w:rPr>
          <w:rFonts w:hint="eastAsia" w:ascii="宋体" w:hAnsi="宋体"/>
          <w:szCs w:val="21"/>
        </w:rPr>
      </w:pPr>
      <w:r>
        <w:rPr>
          <w:rFonts w:hint="eastAsia" w:ascii="宋体" w:hAnsi="宋体"/>
          <w:szCs w:val="21"/>
        </w:rPr>
        <w:t>参加本项目的投标人应具备的资格条件详见本项目招标公告中 “投标人资格要求”（即申请人的资格要求）的内容。</w:t>
      </w:r>
    </w:p>
    <w:p w14:paraId="31E2DA87">
      <w:pPr>
        <w:ind w:firstLine="411" w:firstLineChars="196"/>
        <w:rPr>
          <w:rFonts w:hint="eastAsia" w:ascii="宋体" w:hAnsi="宋体"/>
          <w:szCs w:val="21"/>
        </w:rPr>
      </w:pPr>
      <w:r>
        <w:rPr>
          <w:rFonts w:hint="eastAsia" w:ascii="宋体" w:hAnsi="宋体"/>
          <w:szCs w:val="21"/>
        </w:rPr>
        <w:t>5.3联合体投标</w:t>
      </w:r>
    </w:p>
    <w:p w14:paraId="6FAE7118">
      <w:pPr>
        <w:ind w:firstLine="411" w:firstLineChars="196"/>
        <w:rPr>
          <w:rFonts w:hint="eastAsia" w:ascii="宋体" w:hAnsi="宋体"/>
          <w:szCs w:val="21"/>
        </w:rPr>
      </w:pPr>
      <w:r>
        <w:rPr>
          <w:rFonts w:hint="eastAsia" w:ascii="宋体" w:hAnsi="宋体"/>
          <w:szCs w:val="21"/>
        </w:rPr>
        <w:t>5.3.1　以下有关联合体投标的条款仅适用于允许投标人组成联合体投标的项目。</w:t>
      </w:r>
    </w:p>
    <w:p w14:paraId="4558E5EB">
      <w:pPr>
        <w:ind w:firstLine="411" w:firstLineChars="196"/>
        <w:rPr>
          <w:rFonts w:hint="eastAsia" w:ascii="宋体" w:hAnsi="宋体"/>
          <w:szCs w:val="21"/>
        </w:rPr>
      </w:pPr>
      <w:r>
        <w:rPr>
          <w:rFonts w:hint="eastAsia" w:ascii="宋体" w:hAnsi="宋体"/>
          <w:szCs w:val="21"/>
        </w:rPr>
        <w:t>5.3.2  由两个或两个以上的自然人、法人或者其他组织可以组成一个联合体，以一个供应商的身份共同投标时，应符合以下原则：</w:t>
      </w:r>
    </w:p>
    <w:p w14:paraId="0DAE449E">
      <w:pPr>
        <w:ind w:firstLine="411" w:firstLineChars="196"/>
        <w:rPr>
          <w:rFonts w:hint="eastAsia" w:ascii="宋体" w:hAnsi="宋体"/>
        </w:rPr>
      </w:pPr>
      <w:r>
        <w:rPr>
          <w:rFonts w:hint="eastAsia" w:ascii="宋体" w:hAnsi="宋体"/>
        </w:rPr>
        <w:t>（1）投标联合体各方参加政府采购活动应当具备下列条件：</w:t>
      </w:r>
      <w:r>
        <w:rPr>
          <w:rFonts w:ascii="宋体" w:hAnsi="宋体"/>
        </w:rPr>
        <w:t xml:space="preserve"> </w:t>
      </w:r>
    </w:p>
    <w:p w14:paraId="0C1BB311">
      <w:pPr>
        <w:ind w:left="420" w:leftChars="200" w:firstLine="411" w:firstLineChars="196"/>
        <w:rPr>
          <w:rFonts w:hint="eastAsia" w:ascii="宋体" w:hAnsi="宋体"/>
        </w:rPr>
      </w:pPr>
      <w:r>
        <w:rPr>
          <w:rFonts w:hint="eastAsia" w:ascii="宋体" w:hAnsi="宋体"/>
        </w:rPr>
        <w:t>1、具有独立承担民事责任的能力；</w:t>
      </w:r>
      <w:r>
        <w:rPr>
          <w:rFonts w:ascii="宋体" w:hAnsi="宋体"/>
        </w:rPr>
        <w:t xml:space="preserve"> </w:t>
      </w:r>
    </w:p>
    <w:p w14:paraId="6493713D">
      <w:pPr>
        <w:ind w:left="420" w:firstLine="411" w:firstLineChars="196"/>
        <w:rPr>
          <w:rFonts w:hint="eastAsia" w:ascii="宋体" w:hAnsi="宋体"/>
        </w:rPr>
      </w:pPr>
      <w:r>
        <w:rPr>
          <w:rFonts w:hint="eastAsia" w:ascii="宋体" w:hAnsi="宋体"/>
        </w:rPr>
        <w:t>2、有良好的商业信誉和健全的财务会计制度；</w:t>
      </w:r>
      <w:r>
        <w:rPr>
          <w:rFonts w:ascii="宋体" w:hAnsi="宋体"/>
        </w:rPr>
        <w:t xml:space="preserve"> </w:t>
      </w:r>
    </w:p>
    <w:p w14:paraId="06931F38">
      <w:pPr>
        <w:ind w:left="420" w:leftChars="200" w:firstLine="411" w:firstLineChars="196"/>
        <w:rPr>
          <w:rFonts w:hint="eastAsia" w:ascii="宋体" w:hAnsi="宋体"/>
        </w:rPr>
      </w:pPr>
      <w:r>
        <w:rPr>
          <w:rFonts w:hint="eastAsia" w:ascii="宋体" w:hAnsi="宋体"/>
        </w:rPr>
        <w:t>3、具有履行合同所必需的设备和专业技术能力；</w:t>
      </w:r>
      <w:r>
        <w:rPr>
          <w:rFonts w:ascii="宋体" w:hAnsi="宋体"/>
        </w:rPr>
        <w:t xml:space="preserve"> </w:t>
      </w:r>
    </w:p>
    <w:p w14:paraId="164DDAC6">
      <w:pPr>
        <w:ind w:left="420" w:leftChars="200" w:firstLine="411" w:firstLineChars="196"/>
        <w:rPr>
          <w:rFonts w:hint="eastAsia" w:ascii="宋体" w:hAnsi="宋体"/>
        </w:rPr>
      </w:pPr>
      <w:r>
        <w:rPr>
          <w:rFonts w:hint="eastAsia" w:ascii="宋体" w:hAnsi="宋体"/>
        </w:rPr>
        <w:t>4、有依法缴纳税收和社会保障资金的良好记录；</w:t>
      </w:r>
      <w:r>
        <w:rPr>
          <w:rFonts w:ascii="宋体" w:hAnsi="宋体"/>
        </w:rPr>
        <w:t xml:space="preserve"> </w:t>
      </w:r>
    </w:p>
    <w:p w14:paraId="747F506A">
      <w:pPr>
        <w:ind w:left="420" w:leftChars="200" w:firstLine="411" w:firstLineChars="196"/>
        <w:rPr>
          <w:rFonts w:hint="eastAsia" w:ascii="宋体" w:hAnsi="宋体"/>
        </w:rPr>
      </w:pPr>
      <w:r>
        <w:rPr>
          <w:rFonts w:hint="eastAsia" w:ascii="宋体" w:hAnsi="宋体"/>
        </w:rPr>
        <w:t>5、参加政府采购活动前三年内，在经营活动中没有重大违法记录；</w:t>
      </w:r>
      <w:r>
        <w:rPr>
          <w:rFonts w:ascii="宋体" w:hAnsi="宋体"/>
        </w:rPr>
        <w:t xml:space="preserve"> </w:t>
      </w:r>
    </w:p>
    <w:p w14:paraId="0AAE7DD7">
      <w:pPr>
        <w:ind w:left="420" w:leftChars="200" w:firstLine="411" w:firstLineChars="196"/>
        <w:rPr>
          <w:rFonts w:hint="eastAsia" w:ascii="宋体" w:hAnsi="宋体"/>
        </w:rPr>
      </w:pPr>
      <w:r>
        <w:rPr>
          <w:rFonts w:hint="eastAsia" w:ascii="宋体" w:hAnsi="宋体"/>
        </w:rPr>
        <w:t>6、法律、行政法规规定的其他条件。</w:t>
      </w:r>
      <w:r>
        <w:rPr>
          <w:rFonts w:ascii="宋体" w:hAnsi="宋体"/>
        </w:rPr>
        <w:t xml:space="preserve"> </w:t>
      </w:r>
    </w:p>
    <w:p w14:paraId="1361FFE6">
      <w:pPr>
        <w:ind w:firstLine="411" w:firstLineChars="196"/>
        <w:rPr>
          <w:rFonts w:hint="eastAsia" w:ascii="宋体" w:hAnsi="宋体"/>
        </w:rPr>
      </w:pPr>
      <w:r>
        <w:rPr>
          <w:rFonts w:hint="eastAsia" w:ascii="宋体" w:hAnsi="宋体"/>
        </w:rPr>
        <w:t>（2）在投标截止前，投标联合体各方均应注册成政府集中采购机构供应商；</w:t>
      </w:r>
    </w:p>
    <w:p w14:paraId="0C23FDBF">
      <w:pPr>
        <w:ind w:firstLine="411" w:firstLineChars="196"/>
        <w:rPr>
          <w:rFonts w:hint="eastAsia" w:ascii="宋体" w:hAnsi="宋体"/>
        </w:rPr>
      </w:pPr>
      <w:r>
        <w:rPr>
          <w:rFonts w:hint="eastAsia" w:ascii="宋体" w:hAnsi="宋体"/>
        </w:rPr>
        <w:t>（3）联合体中有同类资质的供应商按照联合体分工承担相同工作的，应当按照资质等级较低的供应商确定资质等级；</w:t>
      </w:r>
    </w:p>
    <w:p w14:paraId="184E4EA6">
      <w:pPr>
        <w:ind w:firstLine="411" w:firstLineChars="196"/>
      </w:pPr>
      <w:r>
        <w:rPr>
          <w:rFonts w:hint="eastAsia"/>
        </w:rPr>
        <w:t>（4）是否允许联合体参加投标，应当由采购人和采购代理机构根据项目的实际情况和潜在供应商的数量自主决定，如果决定接受联合体投标则应当在招标公告中明示；</w:t>
      </w:r>
    </w:p>
    <w:p w14:paraId="285E746A">
      <w:pPr>
        <w:ind w:firstLine="411" w:firstLineChars="196"/>
        <w:rPr>
          <w:rFonts w:hint="eastAsia" w:ascii="宋体" w:hAnsi="宋体"/>
        </w:rPr>
      </w:pPr>
      <w:r>
        <w:rPr>
          <w:rFonts w:hint="eastAsia" w:ascii="宋体" w:hAnsi="宋体"/>
        </w:rPr>
        <w:t>（5）投标人的投标文件及中标后签署的合同协议对联合体各方均具法律约束力；</w:t>
      </w:r>
    </w:p>
    <w:p w14:paraId="24E1704E">
      <w:pPr>
        <w:ind w:firstLine="411" w:firstLineChars="196"/>
        <w:rPr>
          <w:rFonts w:hint="eastAsia" w:ascii="宋体" w:hAnsi="宋体"/>
        </w:rPr>
      </w:pPr>
      <w:r>
        <w:rPr>
          <w:rFonts w:hint="eastAsia" w:ascii="宋体" w:hAnsi="宋体"/>
        </w:rPr>
        <w:t>（6）联合体各方应当签订联合体投标协议，明确约定各方拟承担的工作和责任，并将该协议随投标文件一并递交给政府集中采购机构；</w:t>
      </w:r>
    </w:p>
    <w:p w14:paraId="6FC4F0B2">
      <w:pPr>
        <w:ind w:firstLine="411" w:firstLineChars="196"/>
        <w:rPr>
          <w:rFonts w:hint="eastAsia" w:ascii="宋体" w:hAnsi="宋体"/>
        </w:rPr>
      </w:pPr>
      <w:r>
        <w:rPr>
          <w:rFonts w:hint="eastAsia" w:ascii="宋体" w:hAnsi="宋体"/>
        </w:rPr>
        <w:t>（7）联合体中标后，联合体各方应当共同与采购人签订合同，就中标项目向采购人承担连带责任；</w:t>
      </w:r>
    </w:p>
    <w:p w14:paraId="2BB3C667">
      <w:pPr>
        <w:ind w:firstLine="411" w:firstLineChars="196"/>
        <w:rPr>
          <w:rFonts w:hint="eastAsia" w:ascii="宋体" w:hAnsi="宋体"/>
        </w:rPr>
      </w:pPr>
      <w:r>
        <w:rPr>
          <w:rFonts w:hint="eastAsia" w:ascii="宋体" w:hAnsi="宋体"/>
        </w:rPr>
        <w:t>（8）以联合体形式参加政府采购活动的，联合体各方不得再单独参加或者与其他供应商另外组成联合体参加同一合同项下的政府采购活动，出现上述情况者，其投标和与此有关联合体、总包单位的投标将被拒绝；</w:t>
      </w:r>
    </w:p>
    <w:p w14:paraId="31DC5DDB">
      <w:pPr>
        <w:ind w:firstLine="411" w:firstLineChars="196"/>
        <w:rPr>
          <w:rFonts w:hint="eastAsia" w:ascii="宋体" w:hAnsi="宋体"/>
          <w:szCs w:val="21"/>
        </w:rPr>
      </w:pPr>
      <w:r>
        <w:rPr>
          <w:rFonts w:hint="eastAsia" w:ascii="宋体" w:hAnsi="宋体"/>
        </w:rPr>
        <w:t>（9）本通用条款中“投标人”一词亦指联合体各方，专用条款另有规定或说明的除外。</w:t>
      </w:r>
    </w:p>
    <w:p w14:paraId="7260E1B5">
      <w:pPr>
        <w:rPr>
          <w:rFonts w:hint="eastAsia" w:ascii="黑体" w:hAnsi="宋体" w:eastAsia="黑体"/>
          <w:sz w:val="24"/>
        </w:rPr>
      </w:pPr>
      <w:r>
        <w:rPr>
          <w:rFonts w:hint="eastAsia" w:ascii="黑体" w:hAnsi="宋体" w:eastAsia="黑体"/>
          <w:sz w:val="24"/>
        </w:rPr>
        <w:t>6．政策导向</w:t>
      </w:r>
    </w:p>
    <w:p w14:paraId="73088154">
      <w:pPr>
        <w:ind w:firstLine="411" w:firstLineChars="196"/>
        <w:rPr>
          <w:rFonts w:hint="eastAsia" w:ascii="宋体" w:hAnsi="宋体"/>
        </w:rPr>
      </w:pPr>
      <w:r>
        <w:rPr>
          <w:rFonts w:hint="eastAsia" w:ascii="宋体" w:hAnsi="宋体"/>
        </w:rPr>
        <w:t>6.1</w:t>
      </w:r>
      <w:r>
        <w:rPr>
          <w:rFonts w:ascii="宋体" w:hAnsi="宋体"/>
        </w:rPr>
        <w:t xml:space="preserve">  </w:t>
      </w:r>
      <w:r>
        <w:rPr>
          <w:rFonts w:hint="eastAsia" w:ascii="宋体" w:hAnsi="宋体"/>
        </w:rPr>
        <w:t>政府采购支持本国产品、支持中小企业、监狱企业和残疾人福利性单位发展，支持乡村产业振兴，支持创新、节能减排、绿色环保等。</w:t>
      </w:r>
    </w:p>
    <w:p w14:paraId="7B85A3F0">
      <w:pPr>
        <w:ind w:firstLine="405"/>
        <w:rPr>
          <w:rFonts w:hint="eastAsia" w:ascii="宋体" w:hAnsi="宋体"/>
        </w:rPr>
      </w:pPr>
      <w:r>
        <w:rPr>
          <w:rFonts w:hint="eastAsia" w:ascii="宋体" w:hAnsi="宋体"/>
        </w:rPr>
        <w:t>6.2</w:t>
      </w:r>
      <w:r>
        <w:rPr>
          <w:rFonts w:ascii="宋体" w:hAnsi="宋体"/>
        </w:rPr>
        <w:t xml:space="preserve">  </w:t>
      </w:r>
      <w:r>
        <w:rPr>
          <w:rFonts w:hint="eastAsia" w:ascii="宋体" w:hAnsi="宋体"/>
        </w:rPr>
        <w:t>本项目落实深圳市政府采购供应商诚信管理政策要求。</w:t>
      </w:r>
    </w:p>
    <w:p w14:paraId="3B8918F9">
      <w:pPr>
        <w:ind w:firstLine="405"/>
        <w:rPr>
          <w:rFonts w:eastAsia="宋体"/>
        </w:rPr>
      </w:pPr>
      <w:r>
        <w:rPr>
          <w:rFonts w:hint="eastAsia" w:ascii="宋体" w:hAnsi="宋体"/>
        </w:rPr>
        <w:t>6.3  本项目支持投标人性别平等的相关政策。</w:t>
      </w:r>
    </w:p>
    <w:p w14:paraId="33460528">
      <w:pPr>
        <w:rPr>
          <w:rFonts w:hint="eastAsia" w:ascii="黑体" w:hAnsi="宋体" w:eastAsia="黑体"/>
          <w:sz w:val="24"/>
        </w:rPr>
      </w:pPr>
      <w:r>
        <w:rPr>
          <w:rFonts w:hint="eastAsia" w:ascii="黑体" w:hAnsi="宋体" w:eastAsia="黑体"/>
          <w:sz w:val="24"/>
        </w:rPr>
        <w:t>7. 本项目若涉及采购货物，则合格的货物及相应服务应满足以下要求：</w:t>
      </w:r>
    </w:p>
    <w:p w14:paraId="646D09A8">
      <w:pPr>
        <w:ind w:firstLine="411" w:firstLineChars="196"/>
        <w:rPr>
          <w:rFonts w:hint="eastAsia" w:ascii="宋体" w:hAnsi="宋体"/>
        </w:rPr>
      </w:pPr>
      <w:r>
        <w:rPr>
          <w:rFonts w:hint="eastAsia" w:ascii="宋体" w:hAnsi="宋体"/>
        </w:rPr>
        <w:t>7</w:t>
      </w:r>
      <w:r>
        <w:rPr>
          <w:rFonts w:ascii="宋体" w:hAnsi="宋体"/>
        </w:rPr>
        <w:t xml:space="preserve">.1  </w:t>
      </w:r>
      <w:r>
        <w:rPr>
          <w:rFonts w:hint="eastAsia" w:ascii="宋体" w:hAnsi="宋体"/>
        </w:rPr>
        <w:t>必须是全新、未使用过的原装合格正品（包括零部件），如安装或配置了软件的，须为正版软件。</w:t>
      </w:r>
    </w:p>
    <w:p w14:paraId="0CCEC392">
      <w:pPr>
        <w:ind w:firstLine="411" w:firstLineChars="196"/>
        <w:rPr>
          <w:rFonts w:hint="eastAsia" w:ascii="宋体" w:hAnsi="宋体"/>
        </w:rPr>
      </w:pPr>
      <w:r>
        <w:rPr>
          <w:rFonts w:hint="eastAsia" w:ascii="宋体" w:hAnsi="宋体"/>
        </w:rPr>
        <w:t>7.2  国产的货物及其有关服务必须符合中华人民共和国的设计、制造生产标准及行业标准。招标公告有其他要求的，亦应符合其要求。</w:t>
      </w:r>
    </w:p>
    <w:p w14:paraId="671E614E">
      <w:pPr>
        <w:ind w:firstLine="411" w:firstLineChars="196"/>
        <w:rPr>
          <w:rFonts w:hint="eastAsia" w:ascii="宋体" w:hAnsi="宋体"/>
        </w:rPr>
      </w:pPr>
      <w:r>
        <w:rPr>
          <w:rFonts w:hint="eastAsia" w:ascii="宋体" w:hAnsi="宋体"/>
        </w:rPr>
        <w:t>7</w:t>
      </w:r>
      <w:r>
        <w:rPr>
          <w:rFonts w:ascii="宋体" w:hAnsi="宋体"/>
        </w:rPr>
        <w:t>.</w:t>
      </w:r>
      <w:r>
        <w:rPr>
          <w:rFonts w:hint="eastAsia" w:ascii="宋体" w:hAnsi="宋体"/>
        </w:rPr>
        <w:t>3</w:t>
      </w:r>
      <w:r>
        <w:rPr>
          <w:rFonts w:ascii="宋体" w:hAnsi="宋体"/>
        </w:rPr>
        <w:t xml:space="preserve">  </w:t>
      </w:r>
      <w:r>
        <w:rPr>
          <w:rFonts w:hint="eastAsia" w:ascii="宋体" w:hAnsi="宋体"/>
        </w:rPr>
        <w:t>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14:paraId="052FA609">
      <w:pPr>
        <w:ind w:firstLine="411" w:firstLineChars="196"/>
        <w:rPr>
          <w:rFonts w:hint="eastAsia" w:ascii="宋体" w:hAnsi="宋体"/>
        </w:rPr>
      </w:pPr>
      <w:r>
        <w:rPr>
          <w:rFonts w:hint="eastAsia" w:ascii="宋体" w:hAnsi="宋体"/>
        </w:rPr>
        <w:t>7</w:t>
      </w:r>
      <w:r>
        <w:rPr>
          <w:rFonts w:ascii="宋体" w:hAnsi="宋体"/>
        </w:rPr>
        <w:t>.</w:t>
      </w:r>
      <w:r>
        <w:rPr>
          <w:rFonts w:hint="eastAsia" w:ascii="宋体" w:hAnsi="宋体"/>
        </w:rPr>
        <w:t>4</w:t>
      </w:r>
      <w:r>
        <w:rPr>
          <w:rFonts w:ascii="宋体" w:hAnsi="宋体"/>
        </w:rPr>
        <w:t xml:space="preserve">  </w:t>
      </w:r>
      <w:r>
        <w:rPr>
          <w:rFonts w:hint="eastAsia" w:ascii="宋体" w:hAnsi="宋体"/>
        </w:rPr>
        <w:t>投标人</w:t>
      </w:r>
      <w:bookmarkStart w:id="63" w:name="_Hlk72152753"/>
      <w:r>
        <w:rPr>
          <w:rFonts w:hint="eastAsia" w:ascii="宋体" w:hAnsi="宋体"/>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63"/>
    </w:p>
    <w:p w14:paraId="4BC13805">
      <w:pPr>
        <w:ind w:firstLine="411" w:firstLineChars="196"/>
        <w:rPr>
          <w:rFonts w:hint="eastAsia" w:ascii="宋体" w:hAnsi="宋体"/>
        </w:rPr>
      </w:pPr>
      <w:r>
        <w:rPr>
          <w:rFonts w:hint="eastAsia" w:ascii="宋体" w:hAnsi="宋体"/>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14:paraId="78295491">
      <w:pPr>
        <w:ind w:firstLine="411" w:firstLineChars="196"/>
        <w:rPr>
          <w:rFonts w:hint="eastAsia" w:ascii="宋体" w:hAnsi="宋体"/>
        </w:rPr>
      </w:pPr>
      <w:r>
        <w:rPr>
          <w:rFonts w:hint="eastAsia" w:ascii="宋体" w:hAnsi="宋体"/>
        </w:rPr>
        <w:t>7.6  工期要求：投标人在投标时对其所投项目应提交交货进度、交货计划等，在合同规定的时间内完成项目实施工作。</w:t>
      </w:r>
    </w:p>
    <w:p w14:paraId="1BE1E7FA">
      <w:pPr>
        <w:ind w:firstLine="411" w:firstLineChars="196"/>
        <w:rPr>
          <w:rFonts w:hint="eastAsia" w:ascii="宋体" w:hAnsi="宋体"/>
        </w:rPr>
      </w:pPr>
      <w:r>
        <w:rPr>
          <w:rFonts w:hint="eastAsia" w:ascii="宋体" w:hAnsi="宋体"/>
        </w:rPr>
        <w:t>7.7  投标人必须承担的设备运输、安装调试、验收检测和提供设备操作说明书、图纸等其他相关及类似的义务。</w:t>
      </w:r>
    </w:p>
    <w:p w14:paraId="4317F427">
      <w:pPr>
        <w:rPr>
          <w:rFonts w:hint="eastAsia" w:ascii="黑体" w:hAnsi="宋体" w:eastAsia="黑体"/>
          <w:sz w:val="24"/>
        </w:rPr>
      </w:pPr>
      <w:r>
        <w:rPr>
          <w:rFonts w:hint="eastAsia" w:ascii="黑体" w:hAnsi="宋体" w:eastAsia="黑体"/>
          <w:sz w:val="24"/>
        </w:rPr>
        <w:t>8．投标费用</w:t>
      </w:r>
    </w:p>
    <w:p w14:paraId="52A8AEAE">
      <w:pPr>
        <w:ind w:firstLine="411" w:firstLineChars="196"/>
        <w:rPr>
          <w:rFonts w:hint="eastAsia" w:ascii="宋体" w:hAnsi="宋体"/>
          <w:szCs w:val="21"/>
        </w:rPr>
      </w:pPr>
      <w:r>
        <w:rPr>
          <w:rFonts w:hint="eastAsia" w:ascii="宋体" w:hAnsi="宋体"/>
          <w:szCs w:val="21"/>
        </w:rPr>
        <w:t>不论投标结果如何，投标人应承担其编制投标文件与递交投标文件所涉及的一切费用。</w:t>
      </w:r>
    </w:p>
    <w:p w14:paraId="7E03A86A">
      <w:pPr>
        <w:rPr>
          <w:rFonts w:hint="eastAsia" w:ascii="黑体" w:hAnsi="宋体" w:eastAsia="黑体"/>
          <w:sz w:val="24"/>
        </w:rPr>
      </w:pPr>
      <w:r>
        <w:rPr>
          <w:rFonts w:hint="eastAsia" w:ascii="黑体" w:hAnsi="宋体" w:eastAsia="黑体"/>
          <w:sz w:val="24"/>
        </w:rPr>
        <w:t>9．踏勘现场</w:t>
      </w:r>
    </w:p>
    <w:p w14:paraId="364AC5E9">
      <w:pPr>
        <w:ind w:firstLine="411" w:firstLineChars="196"/>
        <w:rPr>
          <w:rFonts w:hint="eastAsia" w:ascii="宋体" w:hAnsi="宋体"/>
          <w:szCs w:val="21"/>
        </w:rPr>
      </w:pPr>
      <w:r>
        <w:rPr>
          <w:rFonts w:hint="eastAsia" w:ascii="宋体" w:hAnsi="宋体"/>
          <w:szCs w:val="21"/>
        </w:rPr>
        <w:t>9.1如有需要（详见专用条款），采购人或政府集中采购机构将组织投标人对项目现场及周围环境进行踏勘，以便投标人获取有关编制投标文件和签署合同所需的资料。踏勘现场所发生的费用由投标人自行承担。投标人应按招标文件所约定的时间、地点踏勘现场。</w:t>
      </w:r>
    </w:p>
    <w:p w14:paraId="1F8C7160">
      <w:pPr>
        <w:ind w:firstLine="411" w:firstLineChars="196"/>
        <w:rPr>
          <w:rFonts w:hint="eastAsia" w:ascii="宋体" w:hAnsi="宋体"/>
        </w:rPr>
      </w:pPr>
      <w:r>
        <w:rPr>
          <w:rFonts w:hint="eastAsia" w:ascii="宋体" w:hAnsi="宋体"/>
        </w:rPr>
        <w:t>9.2投标人及其人员经过采购人的允许，可以进入采购人的项目现场踏勘。若招标文件要求投标人于统一时间地点踏勘现场的，投标人应当按时前往。</w:t>
      </w:r>
    </w:p>
    <w:p w14:paraId="7B44B4DD">
      <w:pPr>
        <w:ind w:firstLine="411" w:firstLineChars="196"/>
        <w:rPr>
          <w:rFonts w:hint="eastAsia" w:ascii="宋体" w:hAnsi="宋体"/>
        </w:rPr>
      </w:pPr>
      <w:r>
        <w:rPr>
          <w:rFonts w:hint="eastAsia" w:ascii="宋体" w:hAnsi="宋体"/>
        </w:rPr>
        <w:t>9.3采购人应当通过政府集中采购机构向投标人提供有关现场的书面资料和数据。</w:t>
      </w:r>
    </w:p>
    <w:p w14:paraId="1B7A2317">
      <w:pPr>
        <w:ind w:firstLine="411" w:firstLineChars="196"/>
        <w:rPr>
          <w:rFonts w:hint="eastAsia" w:ascii="宋体" w:hAnsi="宋体"/>
        </w:rPr>
      </w:pPr>
      <w:r>
        <w:rPr>
          <w:rFonts w:hint="eastAsia" w:ascii="宋体" w:hAnsi="宋体"/>
        </w:rPr>
        <w:t>9.4任何人或任何组织在踏勘现场时向投标人提供的任何书面资料或口头承诺，未经政府集中采购机构在网上发布或书面通知，均作无效处理。</w:t>
      </w:r>
    </w:p>
    <w:p w14:paraId="7F3F1361">
      <w:pPr>
        <w:ind w:firstLine="411" w:firstLineChars="196"/>
        <w:rPr>
          <w:rFonts w:hint="eastAsia" w:ascii="宋体" w:hAnsi="宋体"/>
        </w:rPr>
      </w:pPr>
      <w:r>
        <w:rPr>
          <w:rFonts w:ascii="宋体" w:hAnsi="宋体"/>
          <w:szCs w:val="21"/>
        </w:rPr>
        <w:t>9</w:t>
      </w:r>
      <w:r>
        <w:rPr>
          <w:rFonts w:hint="eastAsia" w:ascii="宋体" w:hAnsi="宋体"/>
          <w:szCs w:val="21"/>
        </w:rPr>
        <w:t>.</w:t>
      </w:r>
      <w:r>
        <w:rPr>
          <w:rFonts w:ascii="宋体" w:hAnsi="宋体"/>
          <w:szCs w:val="21"/>
        </w:rPr>
        <w:t>5</w:t>
      </w:r>
      <w:r>
        <w:rPr>
          <w:rFonts w:hint="eastAsia" w:ascii="宋体" w:hAnsi="宋体"/>
          <w:szCs w:val="21"/>
        </w:rPr>
        <w:t>未参与踏勘现场不作为否定投标人资格的理由。</w:t>
      </w:r>
    </w:p>
    <w:p w14:paraId="5EDA4E2D">
      <w:pPr>
        <w:rPr>
          <w:rFonts w:hint="eastAsia" w:ascii="宋体" w:hAnsi="宋体"/>
          <w:szCs w:val="21"/>
        </w:rPr>
      </w:pPr>
      <w:r>
        <w:rPr>
          <w:rFonts w:hint="eastAsia" w:ascii="黑体" w:hAnsi="宋体" w:eastAsia="黑体"/>
          <w:sz w:val="24"/>
        </w:rPr>
        <w:t>1</w:t>
      </w:r>
      <w:r>
        <w:rPr>
          <w:rFonts w:ascii="黑体" w:hAnsi="宋体" w:eastAsia="黑体"/>
          <w:sz w:val="24"/>
        </w:rPr>
        <w:t>0</w:t>
      </w:r>
      <w:r>
        <w:rPr>
          <w:rFonts w:hint="eastAsia" w:ascii="黑体" w:hAnsi="宋体" w:eastAsia="黑体"/>
          <w:sz w:val="24"/>
        </w:rPr>
        <w:t>．标前会议</w:t>
      </w:r>
    </w:p>
    <w:p w14:paraId="325D660D">
      <w:pPr>
        <w:ind w:firstLine="411" w:firstLineChars="196"/>
        <w:rPr>
          <w:rFonts w:hint="eastAsia" w:ascii="宋体" w:hAnsi="宋体"/>
          <w:szCs w:val="21"/>
        </w:rPr>
      </w:pPr>
      <w:r>
        <w:rPr>
          <w:rFonts w:hint="eastAsia" w:ascii="宋体" w:hAnsi="宋体"/>
          <w:szCs w:val="21"/>
        </w:rPr>
        <w:t>1</w:t>
      </w:r>
      <w:r>
        <w:rPr>
          <w:rFonts w:ascii="宋体" w:hAnsi="宋体"/>
          <w:szCs w:val="21"/>
        </w:rPr>
        <w:t>0</w:t>
      </w:r>
      <w:r>
        <w:rPr>
          <w:rFonts w:hint="eastAsia" w:ascii="宋体" w:hAnsi="宋体"/>
          <w:szCs w:val="21"/>
        </w:rPr>
        <w:t>.</w:t>
      </w:r>
      <w:r>
        <w:rPr>
          <w:rFonts w:ascii="宋体" w:hAnsi="宋体"/>
          <w:szCs w:val="21"/>
        </w:rPr>
        <w:t>1</w:t>
      </w:r>
      <w:r>
        <w:rPr>
          <w:rFonts w:hint="eastAsia" w:ascii="宋体" w:hAnsi="宋体"/>
          <w:szCs w:val="21"/>
        </w:rPr>
        <w:t>如采购人或政府集中采购机构认为有必要组织标前会议，投标人应按照招标文件规定的时间或政府集中采购机构另行书面通知（包括政府集中采购机构网站发布方式，如更正公告等）的时间和地点，参与标前会议。</w:t>
      </w:r>
    </w:p>
    <w:p w14:paraId="5977B34F">
      <w:pPr>
        <w:ind w:firstLine="411" w:firstLineChars="196"/>
        <w:rPr>
          <w:rFonts w:hint="eastAsia" w:ascii="宋体" w:hAnsi="宋体"/>
          <w:szCs w:val="21"/>
        </w:rPr>
      </w:pPr>
      <w:r>
        <w:rPr>
          <w:rFonts w:ascii="宋体" w:hAnsi="宋体"/>
        </w:rPr>
        <w:t>10</w:t>
      </w:r>
      <w:r>
        <w:rPr>
          <w:rFonts w:hint="eastAsia" w:ascii="宋体" w:hAnsi="宋体"/>
        </w:rPr>
        <w:t>.</w:t>
      </w:r>
      <w:r>
        <w:rPr>
          <w:rFonts w:ascii="宋体" w:hAnsi="宋体"/>
        </w:rPr>
        <w:t>2</w:t>
      </w:r>
      <w:r>
        <w:rPr>
          <w:rFonts w:hint="eastAsia" w:ascii="宋体" w:hAnsi="宋体"/>
        </w:rPr>
        <w:t>任何人或任何组织在标前会议时向投标人提供的任何书面资料或口头承诺，未经政府集中采购机构在网上发布或书面通知，均作无效处理。</w:t>
      </w:r>
    </w:p>
    <w:p w14:paraId="4BA344EB">
      <w:pPr>
        <w:ind w:firstLine="411" w:firstLineChars="196"/>
        <w:rPr>
          <w:rFonts w:hint="eastAsia" w:ascii="宋体" w:hAnsi="宋体"/>
          <w:szCs w:val="21"/>
        </w:rPr>
      </w:pPr>
      <w:r>
        <w:rPr>
          <w:rFonts w:hint="eastAsia" w:ascii="宋体" w:hAnsi="宋体"/>
          <w:szCs w:val="21"/>
        </w:rPr>
        <w:t>1</w:t>
      </w:r>
      <w:r>
        <w:rPr>
          <w:rFonts w:ascii="宋体" w:hAnsi="宋体"/>
          <w:szCs w:val="21"/>
        </w:rPr>
        <w:t>0</w:t>
      </w:r>
      <w:r>
        <w:rPr>
          <w:rFonts w:hint="eastAsia" w:ascii="宋体" w:hAnsi="宋体"/>
          <w:szCs w:val="21"/>
        </w:rPr>
        <w:t>.</w:t>
      </w:r>
      <w:r>
        <w:rPr>
          <w:rFonts w:ascii="宋体" w:hAnsi="宋体"/>
          <w:szCs w:val="21"/>
        </w:rPr>
        <w:t>3</w:t>
      </w:r>
      <w:r>
        <w:rPr>
          <w:rFonts w:hint="eastAsia" w:ascii="宋体" w:hAnsi="宋体"/>
          <w:szCs w:val="21"/>
        </w:rPr>
        <w:t>未参与标前会议不作为否定投标人资格的理由。</w:t>
      </w:r>
    </w:p>
    <w:bookmarkEnd w:id="62"/>
    <w:p w14:paraId="1169E495">
      <w:pPr>
        <w:ind w:firstLine="411" w:firstLineChars="196"/>
        <w:rPr>
          <w:rFonts w:hint="eastAsia" w:ascii="宋体" w:hAnsi="宋体"/>
        </w:rPr>
      </w:pPr>
    </w:p>
    <w:p w14:paraId="0BA1335E">
      <w:pPr>
        <w:pStyle w:val="3"/>
        <w:numPr>
          <w:ilvl w:val="0"/>
          <w:numId w:val="14"/>
        </w:numPr>
        <w:spacing w:before="156" w:beforeLines="50" w:after="156" w:afterLines="50"/>
        <w:ind w:left="562" w:hanging="562"/>
        <w:rPr>
          <w:sz w:val="28"/>
          <w:szCs w:val="28"/>
        </w:rPr>
      </w:pPr>
      <w:r>
        <w:rPr>
          <w:rFonts w:hint="eastAsia"/>
          <w:sz w:val="28"/>
          <w:szCs w:val="28"/>
        </w:rPr>
        <w:t>招标文件</w:t>
      </w:r>
    </w:p>
    <w:p w14:paraId="700AA272">
      <w:pPr>
        <w:rPr>
          <w:rFonts w:hint="eastAsia" w:ascii="黑体" w:hAnsi="宋体" w:eastAsia="黑体"/>
          <w:sz w:val="24"/>
        </w:rPr>
      </w:pPr>
      <w:r>
        <w:rPr>
          <w:rFonts w:hint="eastAsia" w:ascii="黑体" w:hAnsi="宋体" w:eastAsia="黑体"/>
          <w:sz w:val="24"/>
        </w:rPr>
        <w:t>1</w:t>
      </w:r>
      <w:r>
        <w:rPr>
          <w:rFonts w:ascii="黑体" w:hAnsi="宋体" w:eastAsia="黑体"/>
          <w:sz w:val="24"/>
        </w:rPr>
        <w:t>1</w:t>
      </w:r>
      <w:r>
        <w:rPr>
          <w:rFonts w:hint="eastAsia" w:ascii="黑体" w:hAnsi="宋体" w:eastAsia="黑体"/>
          <w:sz w:val="24"/>
        </w:rPr>
        <w:t>．</w:t>
      </w:r>
      <w:bookmarkStart w:id="64" w:name="_Hlk72399819"/>
      <w:r>
        <w:rPr>
          <w:rFonts w:hint="eastAsia" w:ascii="黑体" w:hAnsi="宋体" w:eastAsia="黑体"/>
          <w:sz w:val="24"/>
        </w:rPr>
        <w:t>招标文件的编制与组成</w:t>
      </w:r>
    </w:p>
    <w:p w14:paraId="2D53FD59">
      <w:pPr>
        <w:snapToGrid w:val="0"/>
        <w:ind w:firstLine="420" w:firstLineChars="200"/>
        <w:rPr>
          <w:rFonts w:hint="eastAsia" w:ascii="宋体" w:hAnsi="宋体"/>
          <w:szCs w:val="21"/>
        </w:rPr>
      </w:pPr>
      <w:r>
        <w:rPr>
          <w:rFonts w:hint="eastAsia" w:ascii="宋体" w:hAnsi="宋体"/>
          <w:szCs w:val="21"/>
        </w:rPr>
        <w:t>1</w:t>
      </w:r>
      <w:r>
        <w:rPr>
          <w:rFonts w:ascii="宋体" w:hAnsi="宋体"/>
          <w:szCs w:val="21"/>
        </w:rPr>
        <w:t>1</w:t>
      </w:r>
      <w:r>
        <w:rPr>
          <w:rFonts w:hint="eastAsia" w:ascii="宋体" w:hAnsi="宋体"/>
          <w:szCs w:val="21"/>
        </w:rPr>
        <w:t>.1招标文件除以下内容外，政府集中采购机构在招标期间发出的澄清或修改等相关公告或通知内容，均是招标文件的组成部分，对投标人起约束作用；</w:t>
      </w:r>
    </w:p>
    <w:p w14:paraId="18FCDEA9">
      <w:pPr>
        <w:ind w:firstLine="411" w:firstLineChars="196"/>
        <w:rPr>
          <w:rFonts w:hint="eastAsia" w:ascii="宋体" w:hAnsi="宋体"/>
          <w:szCs w:val="21"/>
        </w:rPr>
      </w:pPr>
      <w:r>
        <w:rPr>
          <w:rFonts w:hint="eastAsia" w:ascii="宋体" w:hAnsi="宋体"/>
          <w:szCs w:val="21"/>
        </w:rPr>
        <w:t>招标文件包括下列内容：</w:t>
      </w:r>
    </w:p>
    <w:p w14:paraId="36C0EA69">
      <w:pPr>
        <w:ind w:left="420" w:leftChars="200" w:firstLine="413" w:firstLineChars="196"/>
        <w:rPr>
          <w:rFonts w:hint="eastAsia" w:ascii="宋体" w:hAnsi="宋体"/>
          <w:b/>
          <w:szCs w:val="21"/>
        </w:rPr>
      </w:pPr>
      <w:r>
        <w:rPr>
          <w:rFonts w:hint="eastAsia" w:ascii="宋体" w:hAnsi="宋体"/>
          <w:b/>
          <w:szCs w:val="21"/>
        </w:rPr>
        <w:t>第一册  专用条款</w:t>
      </w:r>
    </w:p>
    <w:p w14:paraId="4BB88334">
      <w:pPr>
        <w:ind w:left="1079" w:leftChars="514"/>
        <w:rPr>
          <w:rFonts w:hint="eastAsia" w:ascii="宋体" w:hAnsi="宋体"/>
          <w:b/>
          <w:szCs w:val="21"/>
        </w:rPr>
      </w:pPr>
      <w:r>
        <w:rPr>
          <w:rFonts w:hint="eastAsia" w:ascii="宋体" w:hAnsi="宋体"/>
          <w:b/>
          <w:szCs w:val="21"/>
        </w:rPr>
        <w:t>关键信息</w:t>
      </w:r>
    </w:p>
    <w:p w14:paraId="2CAA40EE">
      <w:pPr>
        <w:ind w:left="630" w:leftChars="300" w:firstLine="411" w:firstLineChars="196"/>
        <w:rPr>
          <w:rFonts w:hint="eastAsia" w:ascii="宋体" w:hAnsi="宋体"/>
          <w:szCs w:val="21"/>
        </w:rPr>
      </w:pPr>
      <w:r>
        <w:rPr>
          <w:rFonts w:hint="eastAsia" w:ascii="宋体" w:hAnsi="宋体"/>
          <w:szCs w:val="21"/>
        </w:rPr>
        <w:t>第一章  招标公告</w:t>
      </w:r>
    </w:p>
    <w:p w14:paraId="2499480C">
      <w:pPr>
        <w:ind w:left="630" w:leftChars="300" w:firstLine="411" w:firstLineChars="196"/>
        <w:rPr>
          <w:rFonts w:hint="eastAsia" w:ascii="宋体" w:hAnsi="宋体"/>
          <w:szCs w:val="21"/>
        </w:rPr>
      </w:pPr>
      <w:r>
        <w:rPr>
          <w:rFonts w:hint="eastAsia" w:ascii="宋体" w:hAnsi="宋体"/>
          <w:szCs w:val="21"/>
        </w:rPr>
        <w:t>第二章  对通用条款的补充内容及其他关键信息</w:t>
      </w:r>
    </w:p>
    <w:p w14:paraId="1773FF0F">
      <w:pPr>
        <w:ind w:left="630" w:leftChars="300" w:firstLine="411" w:firstLineChars="196"/>
        <w:rPr>
          <w:rFonts w:hint="eastAsia" w:ascii="宋体" w:hAnsi="宋体"/>
          <w:szCs w:val="21"/>
        </w:rPr>
      </w:pPr>
      <w:r>
        <w:rPr>
          <w:rFonts w:hint="eastAsia" w:ascii="宋体" w:hAnsi="宋体"/>
          <w:szCs w:val="21"/>
        </w:rPr>
        <w:t>第三章  用户需求书</w:t>
      </w:r>
    </w:p>
    <w:p w14:paraId="1FBDA7D3">
      <w:pPr>
        <w:ind w:left="630" w:leftChars="300" w:firstLine="411" w:firstLineChars="196"/>
        <w:rPr>
          <w:rFonts w:hint="eastAsia" w:ascii="宋体" w:hAnsi="宋体"/>
          <w:szCs w:val="21"/>
        </w:rPr>
      </w:pPr>
      <w:r>
        <w:rPr>
          <w:rFonts w:hint="eastAsia"/>
        </w:rPr>
        <w:t xml:space="preserve">第四章 </w:t>
      </w:r>
      <w:r>
        <w:t xml:space="preserve"> </w:t>
      </w:r>
      <w:r>
        <w:rPr>
          <w:rFonts w:hint="eastAsia"/>
        </w:rPr>
        <w:t>投标文件格式及附件</w:t>
      </w:r>
    </w:p>
    <w:p w14:paraId="13B69E46">
      <w:pPr>
        <w:ind w:left="630" w:leftChars="300" w:firstLine="411" w:firstLineChars="196"/>
        <w:rPr>
          <w:rFonts w:hint="eastAsia" w:ascii="宋体" w:hAnsi="宋体"/>
          <w:szCs w:val="21"/>
        </w:rPr>
      </w:pPr>
      <w:r>
        <w:rPr>
          <w:rFonts w:hint="eastAsia" w:ascii="宋体" w:hAnsi="宋体"/>
          <w:szCs w:val="21"/>
        </w:rPr>
        <w:t>第五章  合同条款及格式</w:t>
      </w:r>
    </w:p>
    <w:p w14:paraId="4E75E00B">
      <w:pPr>
        <w:ind w:left="420" w:leftChars="200" w:firstLine="413" w:firstLineChars="196"/>
        <w:rPr>
          <w:rFonts w:hint="eastAsia" w:ascii="宋体" w:hAnsi="宋体"/>
          <w:b/>
          <w:szCs w:val="21"/>
        </w:rPr>
      </w:pPr>
      <w:r>
        <w:rPr>
          <w:rFonts w:hint="eastAsia" w:ascii="宋体" w:hAnsi="宋体"/>
          <w:b/>
          <w:szCs w:val="21"/>
        </w:rPr>
        <w:t>第二册  通用条款</w:t>
      </w:r>
    </w:p>
    <w:p w14:paraId="45D121B8">
      <w:pPr>
        <w:ind w:left="630" w:leftChars="300" w:firstLine="411" w:firstLineChars="196"/>
        <w:rPr>
          <w:rFonts w:hint="eastAsia" w:ascii="宋体" w:hAnsi="宋体"/>
          <w:szCs w:val="21"/>
        </w:rPr>
      </w:pPr>
      <w:r>
        <w:rPr>
          <w:rFonts w:hint="eastAsia" w:ascii="宋体" w:hAnsi="宋体"/>
          <w:szCs w:val="21"/>
        </w:rPr>
        <w:t>第一章  总则</w:t>
      </w:r>
    </w:p>
    <w:p w14:paraId="6DDE6F23">
      <w:pPr>
        <w:ind w:left="630" w:leftChars="300" w:firstLine="411" w:firstLineChars="196"/>
        <w:rPr>
          <w:rFonts w:hint="eastAsia" w:ascii="宋体" w:hAnsi="宋体"/>
          <w:szCs w:val="21"/>
        </w:rPr>
      </w:pPr>
      <w:r>
        <w:rPr>
          <w:rFonts w:hint="eastAsia" w:ascii="宋体" w:hAnsi="宋体"/>
          <w:szCs w:val="21"/>
        </w:rPr>
        <w:t>第二章  招标文件</w:t>
      </w:r>
    </w:p>
    <w:p w14:paraId="1A9B0038">
      <w:pPr>
        <w:ind w:left="630" w:leftChars="300" w:firstLine="411" w:firstLineChars="196"/>
        <w:rPr>
          <w:rFonts w:hint="eastAsia" w:ascii="宋体" w:hAnsi="宋体"/>
          <w:szCs w:val="21"/>
        </w:rPr>
      </w:pPr>
      <w:r>
        <w:rPr>
          <w:rFonts w:hint="eastAsia" w:ascii="宋体" w:hAnsi="宋体"/>
          <w:szCs w:val="21"/>
        </w:rPr>
        <w:t>第三章  投标文件的编制</w:t>
      </w:r>
    </w:p>
    <w:p w14:paraId="255945BC">
      <w:pPr>
        <w:ind w:left="630" w:leftChars="300" w:firstLine="411" w:firstLineChars="196"/>
        <w:rPr>
          <w:rFonts w:hint="eastAsia" w:ascii="宋体" w:hAnsi="宋体"/>
          <w:szCs w:val="21"/>
        </w:rPr>
      </w:pPr>
      <w:r>
        <w:rPr>
          <w:rFonts w:hint="eastAsia" w:ascii="宋体" w:hAnsi="宋体"/>
          <w:szCs w:val="21"/>
        </w:rPr>
        <w:t>第四章  投标文件的递交</w:t>
      </w:r>
    </w:p>
    <w:p w14:paraId="5A42F5D0">
      <w:pPr>
        <w:ind w:left="630" w:leftChars="300" w:firstLine="411" w:firstLineChars="196"/>
        <w:rPr>
          <w:rFonts w:hint="eastAsia" w:ascii="宋体" w:hAnsi="宋体"/>
          <w:szCs w:val="21"/>
        </w:rPr>
      </w:pPr>
      <w:r>
        <w:rPr>
          <w:rFonts w:hint="eastAsia" w:ascii="宋体" w:hAnsi="宋体"/>
          <w:szCs w:val="21"/>
        </w:rPr>
        <w:t>第五章  开标</w:t>
      </w:r>
    </w:p>
    <w:p w14:paraId="036F1047">
      <w:pPr>
        <w:ind w:left="630" w:leftChars="300" w:firstLine="411" w:firstLineChars="196"/>
        <w:rPr>
          <w:rFonts w:hint="eastAsia" w:ascii="宋体" w:hAnsi="宋体"/>
          <w:szCs w:val="21"/>
        </w:rPr>
      </w:pPr>
      <w:r>
        <w:rPr>
          <w:rFonts w:hint="eastAsia" w:ascii="宋体" w:hAnsi="宋体"/>
          <w:szCs w:val="21"/>
        </w:rPr>
        <w:t>第六章  评审要求</w:t>
      </w:r>
    </w:p>
    <w:p w14:paraId="46976A17">
      <w:pPr>
        <w:ind w:left="630" w:leftChars="300" w:firstLine="411" w:firstLineChars="196"/>
        <w:rPr>
          <w:rFonts w:hint="eastAsia" w:ascii="宋体" w:hAnsi="宋体"/>
          <w:szCs w:val="21"/>
        </w:rPr>
      </w:pPr>
      <w:r>
        <w:rPr>
          <w:rFonts w:hint="eastAsia" w:ascii="宋体" w:hAnsi="宋体"/>
          <w:szCs w:val="21"/>
        </w:rPr>
        <w:t>第七章  评审程序及评审方法</w:t>
      </w:r>
    </w:p>
    <w:p w14:paraId="5E600CE7">
      <w:pPr>
        <w:ind w:left="630" w:leftChars="300" w:firstLine="411" w:firstLineChars="196"/>
        <w:rPr>
          <w:rFonts w:hint="eastAsia" w:ascii="宋体" w:hAnsi="宋体"/>
          <w:szCs w:val="21"/>
        </w:rPr>
      </w:pPr>
      <w:r>
        <w:rPr>
          <w:rFonts w:hint="eastAsia" w:ascii="宋体" w:hAnsi="宋体"/>
          <w:szCs w:val="21"/>
        </w:rPr>
        <w:t>第八章  定标及公示</w:t>
      </w:r>
    </w:p>
    <w:p w14:paraId="38190AE1">
      <w:pPr>
        <w:ind w:left="630" w:leftChars="300" w:firstLine="411" w:firstLineChars="196"/>
        <w:rPr>
          <w:rFonts w:hint="eastAsia" w:ascii="宋体" w:hAnsi="宋体"/>
          <w:szCs w:val="21"/>
        </w:rPr>
      </w:pPr>
      <w:r>
        <w:rPr>
          <w:rFonts w:hint="eastAsia" w:ascii="宋体" w:hAnsi="宋体"/>
          <w:szCs w:val="21"/>
        </w:rPr>
        <w:t>第九章  公开招标失败的后续处理</w:t>
      </w:r>
    </w:p>
    <w:p w14:paraId="33AB4256">
      <w:pPr>
        <w:ind w:left="630" w:leftChars="300" w:firstLine="411" w:firstLineChars="196"/>
        <w:rPr>
          <w:rFonts w:hint="eastAsia" w:ascii="宋体" w:hAnsi="宋体"/>
          <w:szCs w:val="21"/>
        </w:rPr>
      </w:pPr>
      <w:r>
        <w:rPr>
          <w:rFonts w:hint="eastAsia" w:ascii="宋体" w:hAnsi="宋体"/>
          <w:szCs w:val="21"/>
        </w:rPr>
        <w:t>第十章  合同的授予与备案</w:t>
      </w:r>
    </w:p>
    <w:p w14:paraId="6D13FB28">
      <w:pPr>
        <w:ind w:left="630" w:leftChars="300" w:firstLine="411" w:firstLineChars="196"/>
        <w:rPr>
          <w:rFonts w:hint="eastAsia" w:ascii="宋体" w:hAnsi="宋体"/>
          <w:szCs w:val="21"/>
        </w:rPr>
      </w:pPr>
      <w:r>
        <w:rPr>
          <w:rFonts w:hint="eastAsia" w:ascii="宋体" w:hAnsi="宋体"/>
          <w:szCs w:val="21"/>
        </w:rPr>
        <w:t>第十一章  质疑处理</w:t>
      </w:r>
    </w:p>
    <w:p w14:paraId="61497280">
      <w:pPr>
        <w:ind w:firstLine="411" w:firstLineChars="196"/>
        <w:rPr>
          <w:rFonts w:hint="eastAsia" w:ascii="宋体" w:hAnsi="宋体"/>
          <w:szCs w:val="21"/>
        </w:rPr>
      </w:pPr>
      <w:r>
        <w:rPr>
          <w:rFonts w:hint="eastAsia" w:ascii="宋体" w:hAnsi="宋体"/>
          <w:szCs w:val="21"/>
        </w:rPr>
        <w:t>1</w:t>
      </w:r>
      <w:r>
        <w:rPr>
          <w:rFonts w:ascii="宋体" w:hAnsi="宋体"/>
          <w:szCs w:val="21"/>
        </w:rPr>
        <w:t>1</w:t>
      </w:r>
      <w:r>
        <w:rPr>
          <w:rFonts w:hint="eastAsia" w:ascii="宋体" w:hAnsi="宋体"/>
          <w:szCs w:val="21"/>
        </w:rPr>
        <w:t>.2 投标人下载招标文件后，应仔细检查招标文件的所有内容，如有疑问应在答疑截止时间之前向政府集中采购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14:paraId="1F92915F">
      <w:pPr>
        <w:ind w:firstLine="411" w:firstLineChars="196"/>
        <w:rPr>
          <w:rFonts w:hint="eastAsia" w:ascii="宋体" w:hAnsi="宋体"/>
          <w:szCs w:val="21"/>
        </w:rPr>
      </w:pPr>
      <w:r>
        <w:rPr>
          <w:rFonts w:hint="eastAsia" w:ascii="宋体" w:hAnsi="宋体"/>
          <w:szCs w:val="21"/>
        </w:rPr>
        <w:t>1</w:t>
      </w:r>
      <w:r>
        <w:rPr>
          <w:rFonts w:ascii="宋体" w:hAnsi="宋体"/>
          <w:szCs w:val="21"/>
        </w:rPr>
        <w:t>1</w:t>
      </w:r>
      <w:r>
        <w:rPr>
          <w:rFonts w:hint="eastAsia" w:ascii="宋体" w:hAnsi="宋体"/>
          <w:szCs w:val="21"/>
        </w:rPr>
        <w:t>.3</w:t>
      </w:r>
      <w:r>
        <w:rPr>
          <w:rFonts w:hint="eastAsia" w:ascii="宋体" w:hAnsi="宋体"/>
        </w:rPr>
        <w:t>任何人或任何组织向投标人提交的任何书面或口头资料，未经政府集中采购机构在网上发布或书面通知，均作无效处理，不得作为招标文件的组成部分。政府集中采购机构对投标人由此而做出的推论、理解和结论概不负责。</w:t>
      </w:r>
    </w:p>
    <w:p w14:paraId="3E2A8707">
      <w:pPr>
        <w:rPr>
          <w:rFonts w:hint="eastAsia" w:ascii="黑体" w:hAnsi="宋体" w:eastAsia="黑体"/>
          <w:sz w:val="24"/>
        </w:rPr>
      </w:pPr>
      <w:r>
        <w:rPr>
          <w:rFonts w:hint="eastAsia" w:ascii="黑体" w:hAnsi="宋体" w:eastAsia="黑体"/>
          <w:sz w:val="24"/>
        </w:rPr>
        <w:t>1</w:t>
      </w:r>
      <w:r>
        <w:rPr>
          <w:rFonts w:ascii="黑体" w:hAnsi="宋体" w:eastAsia="黑体"/>
          <w:sz w:val="24"/>
        </w:rPr>
        <w:t>2</w:t>
      </w:r>
      <w:r>
        <w:rPr>
          <w:rFonts w:hint="eastAsia" w:ascii="黑体" w:hAnsi="宋体" w:eastAsia="黑体"/>
          <w:sz w:val="24"/>
        </w:rPr>
        <w:t>．招标文件的澄清</w:t>
      </w:r>
    </w:p>
    <w:p w14:paraId="36588FAA">
      <w:pPr>
        <w:ind w:firstLine="411" w:firstLineChars="196"/>
        <w:rPr>
          <w:rFonts w:hint="eastAsia" w:ascii="宋体" w:hAnsi="宋体"/>
          <w:szCs w:val="21"/>
        </w:rPr>
      </w:pPr>
      <w:r>
        <w:rPr>
          <w:rFonts w:hint="eastAsia" w:ascii="宋体" w:hAnsi="宋体"/>
          <w:szCs w:val="21"/>
        </w:rPr>
        <w:t>1</w:t>
      </w:r>
      <w:r>
        <w:rPr>
          <w:rFonts w:ascii="宋体" w:hAnsi="宋体"/>
          <w:szCs w:val="21"/>
        </w:rPr>
        <w:t>2</w:t>
      </w:r>
      <w:r>
        <w:rPr>
          <w:rFonts w:hint="eastAsia" w:ascii="宋体" w:hAnsi="宋体"/>
          <w:szCs w:val="21"/>
        </w:rPr>
        <w:t>.1招标文件澄清的目的是澄清、解答投标人在查阅招标文件后或现场踏勘中可能提出的与投标有关的疑问或询问。</w:t>
      </w:r>
    </w:p>
    <w:p w14:paraId="4161D2EF">
      <w:pPr>
        <w:ind w:firstLine="411" w:firstLineChars="196"/>
        <w:rPr>
          <w:rFonts w:hint="eastAsia" w:ascii="宋体" w:hAnsi="宋体"/>
          <w:szCs w:val="21"/>
        </w:rPr>
      </w:pPr>
      <w:r>
        <w:rPr>
          <w:rFonts w:hint="eastAsia" w:ascii="宋体" w:hAnsi="宋体"/>
          <w:szCs w:val="21"/>
        </w:rPr>
        <w:t>1</w:t>
      </w:r>
      <w:r>
        <w:rPr>
          <w:rFonts w:ascii="宋体" w:hAnsi="宋体"/>
          <w:szCs w:val="21"/>
        </w:rPr>
        <w:t>2</w:t>
      </w:r>
      <w:r>
        <w:rPr>
          <w:rFonts w:hint="eastAsia" w:ascii="宋体" w:hAnsi="宋体"/>
          <w:szCs w:val="21"/>
        </w:rPr>
        <w:t>.2投标人如对招标文件内容有疑问，应当在招标公告规定的澄清（提问）截止时间前以网上提问的形式通过网上政府采购系统提交政府集中采购机构。</w:t>
      </w:r>
    </w:p>
    <w:p w14:paraId="7F76DF43">
      <w:pPr>
        <w:ind w:firstLine="411" w:firstLineChars="196"/>
        <w:rPr>
          <w:rFonts w:hint="eastAsia" w:ascii="宋体" w:hAnsi="宋体"/>
          <w:szCs w:val="21"/>
        </w:rPr>
      </w:pPr>
      <w:r>
        <w:rPr>
          <w:rFonts w:hint="eastAsia" w:ascii="宋体" w:hAnsi="宋体"/>
          <w:szCs w:val="21"/>
        </w:rPr>
        <w:t>1</w:t>
      </w:r>
      <w:r>
        <w:rPr>
          <w:rFonts w:ascii="宋体" w:hAnsi="宋体"/>
          <w:szCs w:val="21"/>
        </w:rPr>
        <w:t>2</w:t>
      </w:r>
      <w:r>
        <w:rPr>
          <w:rFonts w:hint="eastAsia" w:ascii="宋体" w:hAnsi="宋体"/>
          <w:szCs w:val="21"/>
        </w:rPr>
        <w:t>.3不论是政府集中采购机构根据需要主动对招标文件进行必要的澄清或是根据投标人的要求对招标文件做出澄清，政府集中采购机构都将在投标截止日期前以书面形式（包括政府集中采购机构网站发布方式）答复或发送给所有投标人。答复内容是招标文件的组成部分，对投标人起约束作用，其有效性按照本通用条款第1</w:t>
      </w:r>
      <w:r>
        <w:rPr>
          <w:rFonts w:ascii="宋体" w:hAnsi="宋体"/>
          <w:szCs w:val="21"/>
        </w:rPr>
        <w:t>3.3</w:t>
      </w:r>
      <w:r>
        <w:rPr>
          <w:rFonts w:hint="eastAsia" w:ascii="宋体" w:hAnsi="宋体"/>
          <w:szCs w:val="21"/>
        </w:rPr>
        <w:t>、1</w:t>
      </w:r>
      <w:r>
        <w:rPr>
          <w:rFonts w:ascii="宋体" w:hAnsi="宋体"/>
          <w:szCs w:val="21"/>
        </w:rPr>
        <w:t>3.4</w:t>
      </w:r>
      <w:r>
        <w:rPr>
          <w:rFonts w:hint="eastAsia" w:ascii="宋体" w:hAnsi="宋体"/>
          <w:szCs w:val="21"/>
        </w:rPr>
        <w:t>款规定执行。</w:t>
      </w:r>
    </w:p>
    <w:p w14:paraId="4C8E56B7">
      <w:pPr>
        <w:rPr>
          <w:rFonts w:hint="eastAsia" w:ascii="黑体" w:hAnsi="宋体" w:eastAsia="黑体"/>
          <w:sz w:val="24"/>
        </w:rPr>
      </w:pPr>
      <w:r>
        <w:rPr>
          <w:rFonts w:ascii="黑体" w:hAnsi="宋体" w:eastAsia="黑体"/>
          <w:sz w:val="24"/>
        </w:rPr>
        <w:t>1</w:t>
      </w:r>
      <w:r>
        <w:rPr>
          <w:rFonts w:hint="eastAsia" w:ascii="黑体" w:hAnsi="宋体" w:eastAsia="黑体"/>
          <w:sz w:val="24"/>
        </w:rPr>
        <w:t>3．招标文件的修改</w:t>
      </w:r>
    </w:p>
    <w:p w14:paraId="7DF88C2D">
      <w:pPr>
        <w:ind w:firstLine="411" w:firstLineChars="196"/>
        <w:rPr>
          <w:rFonts w:hint="eastAsia" w:ascii="宋体" w:hAnsi="宋体"/>
          <w:szCs w:val="21"/>
        </w:rPr>
      </w:pPr>
      <w:r>
        <w:rPr>
          <w:rFonts w:ascii="宋体" w:hAnsi="宋体"/>
          <w:szCs w:val="21"/>
        </w:rPr>
        <w:t>1</w:t>
      </w:r>
      <w:r>
        <w:rPr>
          <w:rFonts w:hint="eastAsia" w:ascii="宋体" w:hAnsi="宋体"/>
          <w:szCs w:val="21"/>
        </w:rPr>
        <w:t>3.1招标文件发出后，在投标截止日期前任何时候，确需要变更招标文件内容的，政府集中采购机构可主动或在解答投标人提出的澄清问题时对招标文件进行修改。</w:t>
      </w:r>
    </w:p>
    <w:p w14:paraId="75D47172">
      <w:pPr>
        <w:ind w:firstLine="411" w:firstLineChars="196"/>
        <w:rPr>
          <w:rFonts w:hint="eastAsia" w:ascii="宋体" w:hAnsi="宋体"/>
          <w:szCs w:val="21"/>
        </w:rPr>
      </w:pPr>
      <w:r>
        <w:rPr>
          <w:rFonts w:ascii="宋体" w:hAnsi="宋体"/>
          <w:szCs w:val="21"/>
        </w:rPr>
        <w:t>1</w:t>
      </w:r>
      <w:r>
        <w:rPr>
          <w:rFonts w:hint="eastAsia" w:ascii="宋体" w:hAnsi="宋体"/>
          <w:szCs w:val="21"/>
        </w:rPr>
        <w:t>3.2招标文件的修改以书面形式（包括政府集中采购机构网站发布方式，如更正公告等）发送给所有投标人，招标文件的修改内容作为招标文件的组成部分，并具有约束力。</w:t>
      </w:r>
    </w:p>
    <w:p w14:paraId="760DC7B9">
      <w:pPr>
        <w:ind w:firstLine="411" w:firstLineChars="196"/>
        <w:rPr>
          <w:rFonts w:hint="eastAsia" w:ascii="宋体" w:hAnsi="宋体"/>
          <w:szCs w:val="21"/>
        </w:rPr>
      </w:pPr>
      <w:r>
        <w:rPr>
          <w:rFonts w:ascii="宋体" w:hAnsi="宋体"/>
          <w:szCs w:val="21"/>
        </w:rPr>
        <w:t>1</w:t>
      </w:r>
      <w:r>
        <w:rPr>
          <w:rFonts w:hint="eastAsia" w:ascii="宋体" w:hAnsi="宋体"/>
          <w:szCs w:val="21"/>
        </w:rPr>
        <w:t>3.3招标文件、招标文件澄清答复内容、招标文件修改补充内容均以书面形式（包括政府集中采购机构网站公开发布方式，如更正公告等）明确的内容为准。当招标文件、修改补充通知、招标文件澄清答复内容相互矛盾时，以最后发出的内容为准。</w:t>
      </w:r>
    </w:p>
    <w:p w14:paraId="049BCA99">
      <w:pPr>
        <w:ind w:firstLine="411" w:firstLineChars="196"/>
        <w:rPr>
          <w:rFonts w:hint="eastAsia" w:ascii="宋体" w:hAnsi="宋体"/>
          <w:szCs w:val="21"/>
        </w:rPr>
      </w:pPr>
      <w:r>
        <w:rPr>
          <w:rFonts w:ascii="宋体" w:hAnsi="宋体"/>
          <w:szCs w:val="21"/>
        </w:rPr>
        <w:t>1</w:t>
      </w:r>
      <w:r>
        <w:rPr>
          <w:rFonts w:hint="eastAsia" w:ascii="宋体" w:hAnsi="宋体"/>
          <w:szCs w:val="21"/>
        </w:rPr>
        <w:t>3.4政府集中采购机构保证招标文件澄清答复内容和招标文件修改补充内容在投标截止时间前以书面形式（包括政府集中采购机构网站发布方式，如更正公告等）发送给所有投标人。为使投标人在编制投标文件时有充分时间对招标文件的修改部分进行研究，政府集中采购机构可以酌情延长递交投标文件的截止日期。</w:t>
      </w:r>
      <w:bookmarkEnd w:id="64"/>
    </w:p>
    <w:p w14:paraId="1E58D747">
      <w:pPr>
        <w:rPr>
          <w:rFonts w:hint="eastAsia" w:ascii="宋体" w:hAnsi="宋体"/>
          <w:szCs w:val="21"/>
        </w:rPr>
      </w:pPr>
    </w:p>
    <w:p w14:paraId="50880298">
      <w:pPr>
        <w:pStyle w:val="3"/>
        <w:numPr>
          <w:ilvl w:val="0"/>
          <w:numId w:val="14"/>
        </w:numPr>
        <w:spacing w:before="156" w:beforeLines="50" w:after="156" w:afterLines="50"/>
        <w:ind w:left="562" w:hanging="562"/>
        <w:rPr>
          <w:sz w:val="28"/>
          <w:szCs w:val="28"/>
        </w:rPr>
      </w:pPr>
      <w:r>
        <w:rPr>
          <w:rFonts w:hint="eastAsia"/>
          <w:sz w:val="28"/>
          <w:szCs w:val="28"/>
        </w:rPr>
        <w:t>投标文件的编制</w:t>
      </w:r>
    </w:p>
    <w:p w14:paraId="2CF8AB0E">
      <w:pPr>
        <w:rPr>
          <w:rFonts w:hint="eastAsia" w:ascii="黑体" w:hAnsi="宋体" w:eastAsia="黑体"/>
          <w:sz w:val="24"/>
        </w:rPr>
      </w:pPr>
      <w:r>
        <w:rPr>
          <w:rFonts w:hint="eastAsia" w:ascii="黑体" w:hAnsi="宋体" w:eastAsia="黑体"/>
          <w:sz w:val="24"/>
        </w:rPr>
        <w:t>14．</w:t>
      </w:r>
      <w:bookmarkStart w:id="65" w:name="_Hlk72400236"/>
      <w:r>
        <w:rPr>
          <w:rFonts w:hint="eastAsia" w:ascii="黑体" w:hAnsi="宋体" w:eastAsia="黑体"/>
          <w:sz w:val="24"/>
        </w:rPr>
        <w:t>投标文件的语言及度量单位</w:t>
      </w:r>
    </w:p>
    <w:p w14:paraId="58E4BB53">
      <w:pPr>
        <w:ind w:firstLine="411" w:firstLineChars="196"/>
        <w:rPr>
          <w:rFonts w:hint="eastAsia" w:ascii="宋体" w:hAnsi="宋体"/>
          <w:szCs w:val="21"/>
        </w:rPr>
      </w:pPr>
      <w:r>
        <w:rPr>
          <w:rFonts w:hint="eastAsia" w:ascii="宋体" w:hAnsi="宋体"/>
          <w:szCs w:val="21"/>
        </w:rPr>
        <w:t>14.1 投标人与政府集中采购机构之间与投标有关的所有往来通知、函件和投标文件均用中文表述。投标人随投标文件提供的证明文件和资料可以为其它语言，但必须附中文译文。翻译的中文资料与外文资料如果出现差异时，以中文为准，但翻译错误的除外。</w:t>
      </w:r>
    </w:p>
    <w:p w14:paraId="5F1A3D4F">
      <w:pPr>
        <w:ind w:firstLine="411" w:firstLineChars="196"/>
        <w:rPr>
          <w:rFonts w:hint="eastAsia" w:ascii="宋体" w:hAnsi="宋体"/>
          <w:szCs w:val="21"/>
        </w:rPr>
      </w:pPr>
      <w:r>
        <w:rPr>
          <w:rFonts w:hint="eastAsia" w:ascii="宋体" w:hAnsi="宋体"/>
          <w:szCs w:val="21"/>
        </w:rPr>
        <w:t>14.2 除技术规范另有规定外，投标文件使用的度量单位，均采用中华人民共和国法定计量单位。</w:t>
      </w:r>
    </w:p>
    <w:bookmarkEnd w:id="65"/>
    <w:p w14:paraId="51132860">
      <w:pPr>
        <w:rPr>
          <w:rFonts w:hint="eastAsia" w:ascii="黑体" w:hAnsi="宋体" w:eastAsia="黑体"/>
          <w:sz w:val="24"/>
        </w:rPr>
      </w:pPr>
      <w:r>
        <w:rPr>
          <w:rFonts w:hint="eastAsia" w:ascii="黑体" w:hAnsi="宋体" w:eastAsia="黑体"/>
          <w:sz w:val="24"/>
        </w:rPr>
        <w:t>15．</w:t>
      </w:r>
      <w:bookmarkStart w:id="66" w:name="_Hlk72401567"/>
      <w:r>
        <w:rPr>
          <w:rFonts w:hint="eastAsia" w:ascii="黑体" w:hAnsi="宋体" w:eastAsia="黑体"/>
          <w:sz w:val="24"/>
        </w:rPr>
        <w:t>投标文件的组成</w:t>
      </w:r>
    </w:p>
    <w:p w14:paraId="6642F3D7">
      <w:pPr>
        <w:ind w:firstLine="411" w:firstLineChars="196"/>
        <w:rPr>
          <w:rFonts w:hint="eastAsia" w:ascii="宋体" w:hAnsi="宋体"/>
          <w:szCs w:val="21"/>
        </w:rPr>
      </w:pPr>
      <w:r>
        <w:rPr>
          <w:rFonts w:hint="eastAsia" w:ascii="宋体" w:hAnsi="宋体"/>
          <w:szCs w:val="21"/>
        </w:rPr>
        <w:t>具体内容在招标文件专用条款中进行规定。</w:t>
      </w:r>
    </w:p>
    <w:p w14:paraId="4ECCD348">
      <w:pPr>
        <w:rPr>
          <w:rFonts w:hint="eastAsia" w:ascii="黑体" w:hAnsi="宋体" w:eastAsia="黑体"/>
          <w:sz w:val="24"/>
        </w:rPr>
      </w:pPr>
      <w:r>
        <w:rPr>
          <w:rFonts w:ascii="黑体" w:hAnsi="宋体" w:eastAsia="黑体"/>
          <w:sz w:val="24"/>
        </w:rPr>
        <w:t>16．投标文件格式</w:t>
      </w:r>
    </w:p>
    <w:p w14:paraId="74C91D45">
      <w:pPr>
        <w:ind w:firstLine="411" w:firstLineChars="196"/>
        <w:rPr>
          <w:rFonts w:hint="eastAsia" w:ascii="宋体" w:hAnsi="宋体"/>
          <w:szCs w:val="21"/>
        </w:rPr>
      </w:pPr>
      <w:r>
        <w:rPr>
          <w:rFonts w:hint="eastAsia" w:ascii="宋体" w:hAnsi="宋体"/>
          <w:szCs w:val="21"/>
        </w:rPr>
        <w:t>投标文件包括本通用条款第</w:t>
      </w:r>
      <w:r>
        <w:rPr>
          <w:rFonts w:ascii="宋体" w:hAnsi="宋体"/>
          <w:szCs w:val="21"/>
        </w:rPr>
        <w:t>15条中规定的内容。如招标文件提供了投标文件格式，则</w:t>
      </w:r>
      <w:r>
        <w:rPr>
          <w:rFonts w:hint="eastAsia" w:ascii="宋体" w:hAnsi="宋体"/>
          <w:b/>
          <w:bCs/>
          <w:szCs w:val="21"/>
        </w:rPr>
        <w:t>投标人提交的投标文件应毫无例外地使用招标文件所提供的相应格式</w:t>
      </w:r>
      <w:r>
        <w:rPr>
          <w:rFonts w:hint="eastAsia" w:ascii="宋体" w:hAnsi="宋体"/>
          <w:szCs w:val="21"/>
        </w:rPr>
        <w:t>（表格均可按同样格式扩展）。</w:t>
      </w:r>
    </w:p>
    <w:p w14:paraId="129A859C">
      <w:pPr>
        <w:rPr>
          <w:rFonts w:hint="eastAsia" w:ascii="黑体" w:hAnsi="宋体" w:eastAsia="黑体"/>
          <w:sz w:val="24"/>
        </w:rPr>
      </w:pPr>
      <w:r>
        <w:rPr>
          <w:rFonts w:hint="eastAsia" w:ascii="黑体" w:hAnsi="宋体" w:eastAsia="黑体"/>
          <w:sz w:val="24"/>
        </w:rPr>
        <w:t>17．投标货币</w:t>
      </w:r>
    </w:p>
    <w:p w14:paraId="06B11FA1">
      <w:pPr>
        <w:ind w:firstLine="411" w:firstLineChars="196"/>
        <w:rPr>
          <w:rFonts w:hint="eastAsia" w:ascii="宋体" w:hAnsi="宋体"/>
          <w:szCs w:val="21"/>
        </w:rPr>
      </w:pPr>
      <w:r>
        <w:rPr>
          <w:rFonts w:hint="eastAsia" w:ascii="宋体" w:hAnsi="宋体"/>
          <w:szCs w:val="21"/>
        </w:rPr>
        <w:t>本项目的投标报价应以人民币计。</w:t>
      </w:r>
    </w:p>
    <w:bookmarkEnd w:id="66"/>
    <w:p w14:paraId="7CFC156A">
      <w:pPr>
        <w:rPr>
          <w:rFonts w:hint="eastAsia" w:ascii="黑体" w:hAnsi="宋体" w:eastAsia="黑体"/>
          <w:sz w:val="24"/>
        </w:rPr>
      </w:pPr>
      <w:r>
        <w:rPr>
          <w:rFonts w:hint="eastAsia" w:ascii="黑体" w:hAnsi="宋体" w:eastAsia="黑体"/>
          <w:sz w:val="24"/>
        </w:rPr>
        <w:t>18．</w:t>
      </w:r>
      <w:bookmarkStart w:id="67" w:name="_Hlk72401735"/>
      <w:r>
        <w:rPr>
          <w:rFonts w:hint="eastAsia" w:ascii="黑体" w:hAnsi="宋体" w:eastAsia="黑体"/>
          <w:sz w:val="24"/>
        </w:rPr>
        <w:t>证明投标文件投标技术方案的合格性和符合招标文件规定的文件要求</w:t>
      </w:r>
    </w:p>
    <w:p w14:paraId="217CE7AE">
      <w:pPr>
        <w:ind w:firstLine="411" w:firstLineChars="196"/>
        <w:rPr>
          <w:rFonts w:hint="eastAsia" w:ascii="宋体" w:hAnsi="宋体"/>
          <w:szCs w:val="21"/>
        </w:rPr>
      </w:pPr>
      <w:r>
        <w:rPr>
          <w:rFonts w:hint="eastAsia" w:ascii="宋体" w:hAnsi="宋体"/>
          <w:szCs w:val="21"/>
        </w:rPr>
        <w:t>18</w:t>
      </w:r>
      <w:r>
        <w:rPr>
          <w:rFonts w:ascii="宋体" w:hAnsi="宋体"/>
          <w:szCs w:val="21"/>
        </w:rPr>
        <w:t xml:space="preserve">.1 </w:t>
      </w:r>
      <w:r>
        <w:rPr>
          <w:rFonts w:hint="eastAsia" w:ascii="宋体" w:hAnsi="宋体"/>
          <w:szCs w:val="21"/>
        </w:rPr>
        <w:t>投标人应提交证明文件，证明其投标技术方案项下的货物和服务的合格性符合招标文件规定。该投标技术方案及其证明文件均作为投标文件组成部分。</w:t>
      </w:r>
    </w:p>
    <w:p w14:paraId="1B39D67A">
      <w:pPr>
        <w:ind w:firstLine="411" w:firstLineChars="196"/>
        <w:rPr>
          <w:rFonts w:hint="eastAsia" w:ascii="宋体" w:hAnsi="宋体"/>
          <w:szCs w:val="21"/>
        </w:rPr>
      </w:pPr>
      <w:r>
        <w:rPr>
          <w:rFonts w:ascii="宋体" w:hAnsi="宋体"/>
          <w:szCs w:val="21"/>
        </w:rPr>
        <w:t>1</w:t>
      </w:r>
      <w:r>
        <w:rPr>
          <w:rFonts w:hint="eastAsia" w:ascii="宋体" w:hAnsi="宋体"/>
          <w:szCs w:val="21"/>
        </w:rPr>
        <w:t>8</w:t>
      </w:r>
      <w:r>
        <w:rPr>
          <w:rFonts w:ascii="宋体" w:hAnsi="宋体"/>
          <w:szCs w:val="21"/>
        </w:rPr>
        <w:t xml:space="preserve">.2 </w:t>
      </w:r>
      <w:r>
        <w:rPr>
          <w:rFonts w:hint="eastAsia" w:ascii="宋体" w:hAnsi="宋体"/>
          <w:szCs w:val="21"/>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14:paraId="2FA0D9B4">
      <w:pPr>
        <w:ind w:firstLine="411" w:firstLineChars="196"/>
        <w:rPr>
          <w:rFonts w:hint="eastAsia" w:ascii="宋体" w:hAnsi="宋体"/>
          <w:szCs w:val="21"/>
        </w:rPr>
      </w:pPr>
      <w:r>
        <w:rPr>
          <w:rFonts w:hint="eastAsia" w:ascii="宋体" w:hAnsi="宋体"/>
          <w:szCs w:val="21"/>
        </w:rPr>
        <w:t>18.2.1主要技术指标和性能的详细说明。</w:t>
      </w:r>
    </w:p>
    <w:p w14:paraId="158B7D1D">
      <w:pPr>
        <w:ind w:firstLine="411" w:firstLineChars="196"/>
        <w:rPr>
          <w:rFonts w:hint="eastAsia" w:ascii="宋体" w:hAnsi="宋体"/>
          <w:szCs w:val="21"/>
        </w:rPr>
      </w:pPr>
      <w:r>
        <w:rPr>
          <w:rFonts w:hint="eastAsia" w:ascii="宋体" w:hAnsi="宋体"/>
          <w:szCs w:val="21"/>
        </w:rPr>
        <w:t>18.2.</w:t>
      </w:r>
      <w:r>
        <w:rPr>
          <w:rFonts w:ascii="宋体" w:hAnsi="宋体"/>
          <w:szCs w:val="21"/>
        </w:rPr>
        <w:t>2</w:t>
      </w:r>
      <w:r>
        <w:rPr>
          <w:rFonts w:hint="eastAsia" w:ascii="宋体" w:hAnsi="宋体"/>
          <w:szCs w:val="21"/>
        </w:rPr>
        <w:t>投标产品从采购人开始使用至招标文件中规定的周期内正常、连续地使用所必须的备件和专用工具清单，包括备件和专用工具的货源及现行价格。</w:t>
      </w:r>
    </w:p>
    <w:p w14:paraId="1DBF654A">
      <w:pPr>
        <w:ind w:firstLine="411" w:firstLineChars="196"/>
        <w:rPr>
          <w:rFonts w:hint="eastAsia" w:ascii="宋体" w:hAnsi="宋体"/>
          <w:szCs w:val="21"/>
        </w:rPr>
      </w:pPr>
      <w:r>
        <w:rPr>
          <w:rFonts w:hint="eastAsia" w:ascii="宋体" w:hAnsi="宋体"/>
          <w:szCs w:val="21"/>
        </w:rPr>
        <w:t>18.2.</w:t>
      </w:r>
      <w:r>
        <w:rPr>
          <w:rFonts w:ascii="宋体" w:hAnsi="宋体"/>
          <w:szCs w:val="21"/>
        </w:rPr>
        <w:t>3</w:t>
      </w:r>
      <w:r>
        <w:rPr>
          <w:rFonts w:hint="eastAsia" w:ascii="宋体" w:hAnsi="宋体"/>
          <w:szCs w:val="21"/>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14:paraId="21009483">
      <w:pPr>
        <w:ind w:firstLine="411" w:firstLineChars="196"/>
        <w:rPr>
          <w:rFonts w:hint="eastAsia" w:ascii="宋体" w:hAnsi="宋体"/>
          <w:szCs w:val="21"/>
        </w:rPr>
      </w:pPr>
      <w:r>
        <w:rPr>
          <w:rFonts w:hint="eastAsia" w:ascii="宋体" w:hAnsi="宋体"/>
          <w:szCs w:val="21"/>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rPr>
        <w:t>清晰度要求能够使用电脑阅读、识别和判断</w:t>
      </w:r>
      <w:r>
        <w:rPr>
          <w:rFonts w:hint="eastAsia" w:ascii="宋体" w:hAnsi="宋体"/>
          <w:szCs w:val="21"/>
        </w:rPr>
        <w:t>；</w:t>
      </w:r>
    </w:p>
    <w:p w14:paraId="5CF8F599">
      <w:pPr>
        <w:ind w:firstLine="411" w:firstLineChars="196"/>
        <w:rPr>
          <w:rFonts w:hint="eastAsia" w:ascii="宋体" w:hAnsi="宋体"/>
          <w:szCs w:val="21"/>
        </w:rPr>
      </w:pPr>
      <w:r>
        <w:rPr>
          <w:rFonts w:hint="eastAsia" w:ascii="宋体" w:hAnsi="宋体"/>
          <w:szCs w:val="21"/>
        </w:rPr>
        <w:t>18.2.5我国政府机构出具的产品检验和核准证件应为证件正面、背面和附件标注的全部具体内容；产品检验和核准证件的尺寸和清晰度应该能够在电脑上被阅读、识别和判断，提供原件扫描件。</w:t>
      </w:r>
    </w:p>
    <w:p w14:paraId="7209B26A">
      <w:pPr>
        <w:ind w:firstLine="411" w:firstLineChars="196"/>
        <w:rPr>
          <w:rFonts w:hint="eastAsia" w:ascii="宋体" w:hAnsi="宋体"/>
          <w:szCs w:val="21"/>
        </w:rPr>
      </w:pPr>
      <w:r>
        <w:rPr>
          <w:rFonts w:hint="eastAsia" w:ascii="宋体" w:hAnsi="宋体"/>
          <w:szCs w:val="21"/>
        </w:rPr>
        <w:t>18.3相关资料不符合18.2款要求的，评审委员会有权认定为投标技术方案不合格响应，其相关分数予以扣减或作投标无效处理。</w:t>
      </w:r>
    </w:p>
    <w:p w14:paraId="7738DDE7">
      <w:pPr>
        <w:ind w:firstLine="411" w:firstLineChars="196"/>
        <w:rPr>
          <w:rFonts w:hint="eastAsia" w:ascii="宋体" w:hAnsi="宋体"/>
          <w:szCs w:val="21"/>
        </w:rPr>
      </w:pPr>
      <w:r>
        <w:rPr>
          <w:rFonts w:ascii="宋体" w:hAnsi="宋体"/>
          <w:szCs w:val="21"/>
        </w:rPr>
        <w:t>1</w:t>
      </w:r>
      <w:r>
        <w:rPr>
          <w:rFonts w:hint="eastAsia" w:ascii="宋体" w:hAnsi="宋体"/>
          <w:szCs w:val="21"/>
        </w:rPr>
        <w:t>8</w:t>
      </w:r>
      <w:r>
        <w:rPr>
          <w:rFonts w:ascii="宋体" w:hAnsi="宋体"/>
          <w:szCs w:val="21"/>
        </w:rPr>
        <w:t>.</w:t>
      </w:r>
      <w:r>
        <w:rPr>
          <w:rFonts w:hint="eastAsia" w:ascii="宋体" w:hAnsi="宋体"/>
          <w:szCs w:val="21"/>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rPr>
        <w:t>满足要求</w:t>
      </w:r>
      <w:r>
        <w:rPr>
          <w:rFonts w:hint="eastAsia" w:ascii="宋体" w:hAnsi="宋体"/>
          <w:szCs w:val="21"/>
        </w:rPr>
        <w:t>，由评审委员会来评判。</w:t>
      </w:r>
    </w:p>
    <w:p w14:paraId="20E376CD">
      <w:pPr>
        <w:ind w:firstLine="411" w:firstLineChars="196"/>
        <w:rPr>
          <w:rFonts w:hint="eastAsia" w:ascii="宋体" w:hAnsi="宋体"/>
          <w:szCs w:val="21"/>
        </w:rPr>
      </w:pPr>
      <w:r>
        <w:rPr>
          <w:rFonts w:hint="eastAsia" w:ascii="宋体" w:hAnsi="宋体"/>
          <w:szCs w:val="21"/>
        </w:rPr>
        <w:t>18.5除非另有规定或说明，投标人对同一项目投标时，不得同时提供两套或两套以上的投标方案。</w:t>
      </w:r>
    </w:p>
    <w:bookmarkEnd w:id="67"/>
    <w:p w14:paraId="147A1FF6">
      <w:pPr>
        <w:rPr>
          <w:rFonts w:hint="eastAsia" w:ascii="黑体" w:hAnsi="宋体" w:eastAsia="黑体"/>
          <w:sz w:val="24"/>
        </w:rPr>
      </w:pPr>
      <w:r>
        <w:rPr>
          <w:rFonts w:hint="eastAsia" w:ascii="黑体" w:hAnsi="宋体" w:eastAsia="黑体"/>
          <w:sz w:val="24"/>
        </w:rPr>
        <w:t>19．</w:t>
      </w:r>
      <w:bookmarkStart w:id="68" w:name="_Hlk72402034"/>
      <w:r>
        <w:rPr>
          <w:rFonts w:hint="eastAsia" w:ascii="黑体" w:hAnsi="宋体" w:eastAsia="黑体"/>
          <w:sz w:val="24"/>
        </w:rPr>
        <w:t>投标文件其他证明文件的要求</w:t>
      </w:r>
    </w:p>
    <w:p w14:paraId="203E783B">
      <w:pPr>
        <w:rPr>
          <w:rFonts w:hint="eastAsia" w:ascii="宋体" w:hAnsi="宋体"/>
          <w:color w:val="FF0000"/>
          <w:szCs w:val="21"/>
        </w:rPr>
      </w:pPr>
      <w:r>
        <w:rPr>
          <w:rFonts w:hint="eastAsia" w:ascii="黑体" w:hAnsi="宋体" w:eastAsia="黑体"/>
          <w:sz w:val="24"/>
        </w:rPr>
        <w:t xml:space="preserve">    </w:t>
      </w:r>
      <w:r>
        <w:rPr>
          <w:rFonts w:hint="eastAsia" w:ascii="宋体" w:hAnsi="宋体"/>
          <w:szCs w:val="21"/>
        </w:rPr>
        <w:t>19.1</w:t>
      </w:r>
      <w:bookmarkStart w:id="69" w:name="_Hlk71407299"/>
      <w:r>
        <w:rPr>
          <w:rFonts w:hint="eastAsia" w:ascii="宋体" w:hAnsi="宋体"/>
          <w:szCs w:val="21"/>
        </w:rPr>
        <w:t>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若投标人未按要求提供证明材料或提供的是部分证明材料或提供不清晰的扫描件（或照片）的，采购人、代理机构及评审委员会依据各自审查范围，有权认定其投标文件未对招标文件有关需求进行响应，涉及资格性审查或符合性审查的予以投标无效处理，涉及《评标信息》打分项的则该项评分予以0分处理。对供应商投标资料是否异常、是否有效问题进行核查和判定，如认为供应商投标资料有异常或无效的，若涉及资格性审查或符合性审查条款的，则应作投标无效处理；若涉及评分的，则作不得分处理。</w:t>
      </w:r>
    </w:p>
    <w:bookmarkEnd w:id="69"/>
    <w:p w14:paraId="4BA86052">
      <w:pPr>
        <w:ind w:firstLine="411" w:firstLineChars="196"/>
        <w:rPr>
          <w:rFonts w:hint="eastAsia" w:ascii="宋体" w:hAnsi="宋体"/>
          <w:szCs w:val="21"/>
        </w:rPr>
      </w:pPr>
      <w:r>
        <w:rPr>
          <w:rFonts w:hint="eastAsia" w:ascii="宋体" w:hAnsi="宋体"/>
          <w:szCs w:val="21"/>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14:paraId="358EE2B7">
      <w:pPr>
        <w:rPr>
          <w:rFonts w:hint="eastAsia" w:ascii="黑体" w:hAnsi="宋体" w:eastAsia="黑体"/>
          <w:sz w:val="24"/>
        </w:rPr>
      </w:pPr>
      <w:r>
        <w:rPr>
          <w:rFonts w:hint="eastAsia" w:ascii="黑体" w:hAnsi="宋体" w:eastAsia="黑体"/>
          <w:sz w:val="24"/>
        </w:rPr>
        <w:t>20．投标有效期</w:t>
      </w:r>
    </w:p>
    <w:bookmarkEnd w:id="68"/>
    <w:p w14:paraId="6EDFD181">
      <w:pPr>
        <w:ind w:firstLine="411" w:firstLineChars="196"/>
        <w:rPr>
          <w:rFonts w:hint="eastAsia" w:ascii="宋体" w:hAnsi="宋体"/>
          <w:szCs w:val="21"/>
        </w:rPr>
      </w:pPr>
      <w:bookmarkStart w:id="70" w:name="_Hlk72402214"/>
      <w:r>
        <w:rPr>
          <w:rFonts w:hint="eastAsia" w:ascii="宋体" w:hAnsi="宋体"/>
          <w:szCs w:val="21"/>
        </w:rPr>
        <w:t>20.1 投标有效期为</w:t>
      </w:r>
      <w:r>
        <w:rPr>
          <w:rFonts w:hint="eastAsia" w:ascii="Arial" w:hAnsi="Arial" w:cs="Arial"/>
          <w:szCs w:val="21"/>
        </w:rPr>
        <w:t>从投标截止之日算起的日历天数。</w:t>
      </w:r>
      <w:r>
        <w:rPr>
          <w:rFonts w:hint="eastAsia" w:ascii="宋体" w:hAnsi="宋体"/>
          <w:szCs w:val="21"/>
        </w:rPr>
        <w:t>在此期限内，所有投标文件均保持有效。</w:t>
      </w:r>
    </w:p>
    <w:p w14:paraId="4A2BE74A">
      <w:pPr>
        <w:ind w:firstLine="411" w:firstLineChars="196"/>
        <w:rPr>
          <w:rFonts w:hint="eastAsia" w:ascii="宋体" w:hAnsi="宋体"/>
          <w:szCs w:val="21"/>
        </w:rPr>
      </w:pPr>
      <w:r>
        <w:rPr>
          <w:rFonts w:hint="eastAsia" w:ascii="宋体" w:hAnsi="宋体"/>
          <w:szCs w:val="21"/>
        </w:rPr>
        <w:t>20.2 在特殊情况下，政府集中采购机构在原定的投标有效期满之前，政府集中采购机构可以根据需要以书面形式（包括政府集中采购机构网站公开发布方式）向投标人提出延长投标有效期的要求，对此要求投标人须以书面形式予以答复，投标人可以拒绝政府集中采购机构此项要求，其投标在原投标有效期满后不再有效。同意延长投标有效期的投标人不能要求也不允许修改其投标文件。</w:t>
      </w:r>
    </w:p>
    <w:p w14:paraId="715F0016">
      <w:pPr>
        <w:ind w:firstLine="411" w:firstLineChars="196"/>
        <w:rPr>
          <w:rFonts w:hint="eastAsia" w:ascii="宋体" w:hAnsi="宋体"/>
          <w:szCs w:val="21"/>
        </w:rPr>
      </w:pPr>
      <w:r>
        <w:rPr>
          <w:rFonts w:hint="eastAsia" w:ascii="宋体" w:hAnsi="宋体"/>
          <w:szCs w:val="21"/>
        </w:rPr>
        <w:t>20</w:t>
      </w:r>
      <w:r>
        <w:rPr>
          <w:rFonts w:ascii="宋体" w:hAnsi="宋体"/>
          <w:szCs w:val="21"/>
        </w:rPr>
        <w:t>.3</w:t>
      </w:r>
      <w:r>
        <w:rPr>
          <w:rFonts w:hint="eastAsia" w:ascii="宋体" w:hAnsi="宋体"/>
          <w:szCs w:val="21"/>
        </w:rPr>
        <w:t xml:space="preserve"> 中标供应商的投标文件有效期，截止于完成本招标文件规定的全部项目内容，并通过竣工验收及保修期结束。</w:t>
      </w:r>
    </w:p>
    <w:bookmarkEnd w:id="70"/>
    <w:p w14:paraId="6B2FC4D7">
      <w:pPr>
        <w:rPr>
          <w:rFonts w:hint="eastAsia" w:ascii="黑体" w:hAnsi="宋体" w:eastAsia="黑体"/>
          <w:sz w:val="24"/>
        </w:rPr>
      </w:pPr>
      <w:r>
        <w:rPr>
          <w:rFonts w:hint="eastAsia" w:ascii="黑体" w:hAnsi="宋体" w:eastAsia="黑体"/>
          <w:sz w:val="24"/>
        </w:rPr>
        <w:t>21．</w:t>
      </w:r>
      <w:bookmarkStart w:id="71" w:name="_Hlk72402325"/>
      <w:r>
        <w:rPr>
          <w:rFonts w:hint="eastAsia" w:ascii="黑体" w:hAnsi="宋体" w:eastAsia="黑体"/>
          <w:sz w:val="24"/>
        </w:rPr>
        <w:t xml:space="preserve">关于投标保证金 </w:t>
      </w:r>
    </w:p>
    <w:p w14:paraId="1A7869D3">
      <w:pPr>
        <w:rPr>
          <w:rFonts w:hint="eastAsia" w:ascii="宋体" w:hAnsi="宋体"/>
          <w:szCs w:val="21"/>
        </w:rPr>
      </w:pPr>
      <w:r>
        <w:rPr>
          <w:rFonts w:hint="eastAsia" w:ascii="宋体" w:hAnsi="宋体"/>
          <w:szCs w:val="21"/>
        </w:rPr>
        <w:t xml:space="preserve">    21.1</w:t>
      </w:r>
      <w:r>
        <w:rPr>
          <w:rFonts w:hint="eastAsia"/>
        </w:rPr>
        <w:t>根据《深圳市财政局关于调整政府采购投标（响应）保证金管理政策的通知》（深财购〔2021〕51号）文的规定，本项目不收取投标保证金。</w:t>
      </w:r>
    </w:p>
    <w:p w14:paraId="787C7A2A">
      <w:pPr>
        <w:rPr>
          <w:rFonts w:hint="eastAsia" w:ascii="黑体" w:hAnsi="宋体" w:eastAsia="黑体"/>
          <w:sz w:val="24"/>
        </w:rPr>
      </w:pPr>
      <w:r>
        <w:rPr>
          <w:rFonts w:hint="eastAsia" w:ascii="黑体" w:hAnsi="宋体" w:eastAsia="黑体"/>
          <w:sz w:val="24"/>
        </w:rPr>
        <w:t>22．投标人的替代方案</w:t>
      </w:r>
    </w:p>
    <w:p w14:paraId="7AEB8C41">
      <w:pPr>
        <w:ind w:firstLine="411" w:firstLineChars="196"/>
        <w:rPr>
          <w:rFonts w:hint="eastAsia" w:ascii="宋体" w:hAnsi="宋体"/>
          <w:szCs w:val="21"/>
        </w:rPr>
      </w:pPr>
      <w:r>
        <w:rPr>
          <w:rFonts w:hint="eastAsia" w:ascii="宋体" w:hAnsi="宋体"/>
          <w:szCs w:val="21"/>
        </w:rPr>
        <w:t>22.1投标人所提交的投标文件应完全满足招标文件（包括图纸和技术规范所示的基本技术设计）的要求。除非项目明确允许投标人提交替代方案，否则投标人有关替代方案的条款将初审不通过，作投标无效处理。</w:t>
      </w:r>
    </w:p>
    <w:p w14:paraId="62051383">
      <w:pPr>
        <w:ind w:firstLine="411" w:firstLineChars="196"/>
        <w:rPr>
          <w:rFonts w:hint="eastAsia" w:ascii="宋体" w:hAnsi="宋体"/>
          <w:szCs w:val="21"/>
        </w:rPr>
      </w:pPr>
      <w:r>
        <w:rPr>
          <w:rFonts w:hint="eastAsia" w:ascii="宋体" w:hAnsi="宋体"/>
          <w:szCs w:val="21"/>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bookmarkEnd w:id="71"/>
    <w:p w14:paraId="323073B7">
      <w:pPr>
        <w:rPr>
          <w:rFonts w:hint="eastAsia" w:ascii="黑体" w:hAnsi="宋体" w:eastAsia="黑体"/>
          <w:sz w:val="24"/>
        </w:rPr>
      </w:pPr>
      <w:r>
        <w:rPr>
          <w:rFonts w:hint="eastAsia" w:ascii="黑体" w:hAnsi="宋体" w:eastAsia="黑体"/>
          <w:sz w:val="24"/>
        </w:rPr>
        <w:t>23．</w:t>
      </w:r>
      <w:bookmarkStart w:id="72" w:name="_Hlk72402860"/>
      <w:r>
        <w:rPr>
          <w:rFonts w:ascii="黑体" w:hAnsi="宋体" w:eastAsia="黑体"/>
          <w:sz w:val="24"/>
        </w:rPr>
        <w:t>投标文件的</w:t>
      </w:r>
      <w:r>
        <w:rPr>
          <w:rFonts w:hint="eastAsia" w:ascii="黑体" w:hAnsi="宋体" w:eastAsia="黑体"/>
          <w:sz w:val="24"/>
        </w:rPr>
        <w:t>制作</w:t>
      </w:r>
      <w:r>
        <w:rPr>
          <w:rFonts w:ascii="黑体" w:hAnsi="宋体" w:eastAsia="黑体"/>
          <w:sz w:val="24"/>
        </w:rPr>
        <w:t>要求</w:t>
      </w:r>
    </w:p>
    <w:p w14:paraId="2D230153">
      <w:pPr>
        <w:ind w:firstLine="411" w:firstLineChars="196"/>
        <w:rPr>
          <w:rFonts w:hint="eastAsia" w:ascii="宋体" w:hAnsi="宋体"/>
        </w:rPr>
      </w:pPr>
      <w:r>
        <w:rPr>
          <w:rFonts w:hint="eastAsia" w:ascii="宋体" w:hAnsi="宋体"/>
        </w:rPr>
        <w:t>23.1投标人应准备所投项目的电子投标文件一份。</w:t>
      </w:r>
    </w:p>
    <w:p w14:paraId="13E63348">
      <w:pPr>
        <w:ind w:firstLine="411" w:firstLineChars="196"/>
        <w:rPr>
          <w:rFonts w:hint="eastAsia" w:ascii="宋体" w:hAnsi="宋体"/>
        </w:rPr>
      </w:pPr>
      <w:r>
        <w:rPr>
          <w:rFonts w:hint="eastAsia" w:ascii="宋体" w:hAnsi="宋体"/>
        </w:rPr>
        <w:t>23.2投标人在使用《投标书编制软件》编制投标书时须注意：</w:t>
      </w:r>
    </w:p>
    <w:p w14:paraId="3316B307">
      <w:pPr>
        <w:ind w:firstLine="411" w:firstLineChars="196"/>
        <w:rPr>
          <w:rFonts w:hint="eastAsia" w:ascii="宋体" w:hAnsi="宋体"/>
        </w:rPr>
      </w:pPr>
      <w:r>
        <w:rPr>
          <w:rFonts w:hint="eastAsia" w:ascii="宋体" w:hAnsi="宋体"/>
        </w:rPr>
        <w:t>23.2.1导入《投标书编制软件》的招标文件项目编号、包号应与以此制作的投标文件项目编号、包号一致。例如，不能将甲项目A包的招标书导入《投标书编制软件》，制作乙项目B包的投标书。</w:t>
      </w:r>
    </w:p>
    <w:p w14:paraId="6DF6F1FD">
      <w:pPr>
        <w:ind w:firstLine="411" w:firstLineChars="196"/>
        <w:rPr>
          <w:rFonts w:hint="eastAsia" w:ascii="宋体" w:hAnsi="宋体"/>
        </w:rPr>
      </w:pPr>
      <w:r>
        <w:rPr>
          <w:rFonts w:hint="eastAsia" w:ascii="宋体" w:hAnsi="宋体"/>
        </w:rPr>
        <w:t>23.2.2不能用非本公司的电子密钥加密本公司的投标文件，或者用其它公司的登录用户上传本公司的投标文件。</w:t>
      </w:r>
    </w:p>
    <w:p w14:paraId="66C0C00E">
      <w:pPr>
        <w:ind w:firstLine="411" w:firstLineChars="196"/>
        <w:rPr>
          <w:rFonts w:hint="eastAsia" w:ascii="宋体" w:hAnsi="宋体"/>
        </w:rPr>
      </w:pPr>
      <w:r>
        <w:rPr>
          <w:rFonts w:hint="eastAsia" w:ascii="宋体" w:hAnsi="宋体"/>
        </w:rPr>
        <w:t>23.2.3要求用《投标书编制软件》编制投标书的包，不能用其它方式编制投标书。编制投标文件时，电脑须连通互联网。</w:t>
      </w:r>
    </w:p>
    <w:p w14:paraId="1A4F467C">
      <w:pPr>
        <w:ind w:firstLine="411" w:firstLineChars="196"/>
        <w:rPr>
          <w:rFonts w:hint="eastAsia" w:ascii="宋体" w:hAnsi="宋体"/>
        </w:rPr>
      </w:pPr>
      <w:r>
        <w:rPr>
          <w:rFonts w:hint="eastAsia" w:ascii="宋体" w:hAnsi="宋体"/>
        </w:rPr>
        <w:t>23.2.4投标文件不能带病毒。政府集中采购机构将用专业杀毒软件对投标文件进行病毒检测，如果这两种软件均报告发现病毒，则政府集中采购机构认为该投标文件带病毒。</w:t>
      </w:r>
    </w:p>
    <w:p w14:paraId="7916C2CF">
      <w:pPr>
        <w:ind w:firstLine="411" w:firstLineChars="196"/>
        <w:rPr>
          <w:rFonts w:hint="eastAsia" w:ascii="宋体" w:hAnsi="宋体"/>
        </w:rPr>
      </w:pPr>
      <w:r>
        <w:rPr>
          <w:rFonts w:hint="eastAsia" w:ascii="宋体" w:hAnsi="宋体"/>
        </w:rPr>
        <w:t>23.2.6投标人在编辑投标文件时，</w:t>
      </w:r>
      <w:r>
        <w:rPr>
          <w:rFonts w:hint="eastAsia" w:ascii="宋体" w:hAnsi="宋体"/>
          <w:b/>
        </w:rPr>
        <w:t>在投标文件目录中属于本节点内容的必须在本节点中填写，填写到其他节点或附件，</w:t>
      </w:r>
      <w:r>
        <w:rPr>
          <w:rFonts w:hint="eastAsia" w:ascii="宋体" w:hAnsi="宋体"/>
        </w:rPr>
        <w:t>一切后果由供应商自行承担。</w:t>
      </w:r>
    </w:p>
    <w:p w14:paraId="5923961D">
      <w:pPr>
        <w:ind w:firstLine="411" w:firstLineChars="196"/>
        <w:rPr>
          <w:rFonts w:hint="eastAsia" w:ascii="宋体" w:hAnsi="宋体"/>
        </w:rPr>
      </w:pPr>
      <w:r>
        <w:rPr>
          <w:rFonts w:hint="eastAsia" w:ascii="宋体" w:hAnsi="宋体"/>
        </w:rPr>
        <w:t>23.2.7投标文件编写完成后，</w:t>
      </w:r>
      <w:r>
        <w:rPr>
          <w:rFonts w:hint="eastAsia" w:ascii="宋体" w:hAnsi="宋体"/>
          <w:b/>
        </w:rPr>
        <w:t>必须用属于投标人的电子密钥或电子营业执照进行加密，否则视同未盖公章，将导致投标文件无效。</w:t>
      </w:r>
    </w:p>
    <w:p w14:paraId="008F94A8">
      <w:pPr>
        <w:ind w:firstLine="411" w:firstLineChars="196"/>
        <w:rPr>
          <w:rFonts w:hint="eastAsia" w:ascii="宋体" w:hAnsi="宋体"/>
        </w:rPr>
      </w:pPr>
      <w:r>
        <w:rPr>
          <w:rFonts w:hint="eastAsia" w:ascii="宋体" w:hAnsi="宋体"/>
        </w:rPr>
        <w:t>23.2.8政府集中采购机构不接受投标截止时间后递交的纸质、电子、传真等所有形式的投标文件。由于对网上政府采购系统操作不熟悉或自身电脑、网络等原因导致不能在投标截止时间之前上传投标文件，政府集中采购机构概不负责。建议于开标前一个工作日完成投标文件的制作与上传，如上传确有困难，请及时咨询。</w:t>
      </w:r>
    </w:p>
    <w:p w14:paraId="494A09F2">
      <w:pPr>
        <w:ind w:firstLine="411" w:firstLineChars="196"/>
        <w:rPr>
          <w:rFonts w:hint="eastAsia" w:ascii="宋体" w:hAnsi="宋体"/>
        </w:rPr>
      </w:pPr>
      <w:r>
        <w:rPr>
          <w:rFonts w:hint="eastAsia" w:ascii="宋体" w:hAnsi="宋体"/>
        </w:rPr>
        <w:t>23.2.9如果开标时出现网络故障、技术故障，影响了政府采购活动，政府集中采购机构有权采取措施如延期、接受无法从网上上传的投标书等，以保障政府采购活动的公开、公平和公正。</w:t>
      </w:r>
    </w:p>
    <w:p w14:paraId="40D4B673">
      <w:pPr>
        <w:ind w:firstLine="411" w:firstLineChars="196"/>
        <w:rPr>
          <w:rFonts w:hint="eastAsia" w:ascii="宋体" w:hAnsi="宋体"/>
        </w:rPr>
      </w:pPr>
      <w:r>
        <w:rPr>
          <w:rFonts w:hint="eastAsia" w:ascii="宋体" w:hAnsi="宋体"/>
        </w:rPr>
        <w:t>23.3电报、电话、传真形式的投标概不接受。</w:t>
      </w:r>
    </w:p>
    <w:p w14:paraId="3AA4F6F6">
      <w:pPr>
        <w:ind w:firstLine="413" w:firstLineChars="196"/>
        <w:rPr>
          <w:rFonts w:hint="eastAsia" w:ascii="宋体" w:hAnsi="宋体"/>
          <w:b/>
        </w:rPr>
      </w:pPr>
      <w:r>
        <w:rPr>
          <w:rFonts w:hint="eastAsia" w:ascii="宋体" w:hAnsi="宋体"/>
          <w:b/>
        </w:rPr>
        <w:t>23.4经投标人电子密钥或电子营业执照加密的投标文件无须盖章或签字，</w:t>
      </w:r>
      <w:r>
        <w:rPr>
          <w:rFonts w:hint="eastAsia" w:ascii="宋体" w:hAnsi="宋体"/>
        </w:rPr>
        <w:t>专用条款另有要求的除外。</w:t>
      </w:r>
    </w:p>
    <w:p w14:paraId="0EA9C878">
      <w:pPr>
        <w:ind w:firstLine="413" w:firstLineChars="196"/>
        <w:rPr>
          <w:rFonts w:hint="eastAsia" w:ascii="宋体" w:hAnsi="宋体"/>
        </w:rPr>
      </w:pPr>
      <w:r>
        <w:rPr>
          <w:rFonts w:hint="eastAsia" w:ascii="宋体" w:hAnsi="宋体"/>
          <w:b/>
        </w:rPr>
        <w:t>23.5</w:t>
      </w:r>
      <w:r>
        <w:rPr>
          <w:rFonts w:hint="eastAsia" w:ascii="宋体" w:hAnsi="宋体"/>
        </w:rPr>
        <w:t xml:space="preserve"> 各类资格（资质）文件提供扫描件，专用条款另有要求的除外。</w:t>
      </w:r>
      <w:bookmarkEnd w:id="72"/>
    </w:p>
    <w:p w14:paraId="3B4E57D8">
      <w:pPr>
        <w:ind w:firstLine="411" w:firstLineChars="196"/>
        <w:rPr>
          <w:rFonts w:hint="eastAsia" w:ascii="宋体" w:hAnsi="宋体"/>
          <w:szCs w:val="21"/>
        </w:rPr>
      </w:pPr>
    </w:p>
    <w:p w14:paraId="49F031A0">
      <w:pPr>
        <w:pStyle w:val="3"/>
        <w:numPr>
          <w:ilvl w:val="0"/>
          <w:numId w:val="14"/>
        </w:numPr>
        <w:spacing w:before="156" w:beforeLines="50" w:after="156" w:afterLines="50"/>
        <w:ind w:left="562" w:hanging="562"/>
        <w:rPr>
          <w:sz w:val="28"/>
          <w:szCs w:val="28"/>
        </w:rPr>
      </w:pPr>
      <w:r>
        <w:rPr>
          <w:rFonts w:hint="eastAsia"/>
          <w:sz w:val="28"/>
          <w:szCs w:val="28"/>
        </w:rPr>
        <w:t>投标文件的递交</w:t>
      </w:r>
    </w:p>
    <w:p w14:paraId="1E9BDCE9">
      <w:pPr>
        <w:rPr>
          <w:rFonts w:hint="eastAsia" w:ascii="黑体" w:hAnsi="宋体" w:eastAsia="黑体"/>
          <w:sz w:val="24"/>
        </w:rPr>
      </w:pPr>
      <w:bookmarkStart w:id="73" w:name="_Hlk72405459"/>
      <w:r>
        <w:rPr>
          <w:rFonts w:hint="eastAsia" w:ascii="黑体" w:hAnsi="宋体" w:eastAsia="黑体"/>
          <w:sz w:val="24"/>
        </w:rPr>
        <w:t>24．投标文件的保密</w:t>
      </w:r>
    </w:p>
    <w:p w14:paraId="538F7766">
      <w:pPr>
        <w:ind w:firstLine="411" w:firstLineChars="196"/>
        <w:rPr>
          <w:rFonts w:hint="eastAsia" w:ascii="宋体" w:hAnsi="宋体"/>
        </w:rPr>
      </w:pPr>
      <w:r>
        <w:rPr>
          <w:rFonts w:hint="eastAsia" w:ascii="宋体" w:hAnsi="宋体"/>
        </w:rPr>
        <w:t>24.1在投标文件制作完成后，生成后会选择是否加密投标文件，如不加密则直接点击生成文件即可，如需加密请插入CA锁，点击加密后生成文件，需输入CA锁密码即可加密成功。加密后会提示文件生成成功！</w:t>
      </w:r>
      <w:r>
        <w:rPr>
          <w:rFonts w:hint="eastAsia" w:ascii="宋体" w:hAnsi="宋体"/>
          <w:highlight w:val="yellow"/>
        </w:rPr>
        <w:t>(注意：加密的投标文件开标时须使用加密文件时使用的锁在项目规定时间内解密！)</w:t>
      </w:r>
    </w:p>
    <w:p w14:paraId="03B04E07">
      <w:pPr>
        <w:rPr>
          <w:rFonts w:hint="eastAsia" w:ascii="宋体" w:hAnsi="宋体"/>
          <w:b/>
        </w:rPr>
      </w:pPr>
      <w:r>
        <w:rPr>
          <w:rFonts w:hint="eastAsia" w:ascii="宋体" w:hAnsi="宋体"/>
          <w:b/>
        </w:rPr>
        <w:t>24.2若采购项目出现延期情况：</w:t>
      </w:r>
    </w:p>
    <w:p w14:paraId="0BB0B5AE">
      <w:pPr>
        <w:ind w:firstLine="422" w:firstLineChars="200"/>
        <w:rPr>
          <w:rFonts w:hint="eastAsia" w:ascii="黑体" w:hAnsi="宋体" w:eastAsia="黑体"/>
          <w:b/>
          <w:sz w:val="24"/>
        </w:rPr>
      </w:pPr>
      <w:r>
        <w:rPr>
          <w:rFonts w:hint="eastAsia" w:ascii="宋体" w:hAnsi="宋体"/>
          <w:b/>
        </w:rPr>
        <w:t>如果供下载的招标文件有更新，投标人必须重新下载招标文件、重新制作投标文件、重新加密投标文件、重新上传投标文件。</w:t>
      </w:r>
    </w:p>
    <w:p w14:paraId="4603B60C">
      <w:pPr>
        <w:rPr>
          <w:rFonts w:hint="eastAsia" w:ascii="黑体" w:hAnsi="宋体" w:eastAsia="黑体"/>
          <w:sz w:val="24"/>
        </w:rPr>
      </w:pPr>
      <w:r>
        <w:rPr>
          <w:rFonts w:hint="eastAsia" w:ascii="黑体" w:hAnsi="宋体" w:eastAsia="黑体"/>
          <w:sz w:val="24"/>
        </w:rPr>
        <w:t>25．上传投标文件及投标截止日期</w:t>
      </w:r>
    </w:p>
    <w:p w14:paraId="1AB46B37">
      <w:pPr>
        <w:ind w:firstLine="411" w:firstLineChars="196"/>
        <w:rPr>
          <w:rFonts w:hint="eastAsia" w:ascii="宋体" w:hAnsi="宋体"/>
        </w:rPr>
      </w:pPr>
      <w:r>
        <w:rPr>
          <w:rFonts w:hint="eastAsia" w:ascii="宋体" w:hAnsi="宋体"/>
        </w:rPr>
        <w:t>25</w:t>
      </w:r>
      <w:r>
        <w:rPr>
          <w:rFonts w:ascii="宋体" w:hAnsi="宋体"/>
        </w:rPr>
        <w:t>.</w:t>
      </w:r>
      <w:r>
        <w:rPr>
          <w:rFonts w:hint="eastAsia" w:ascii="宋体" w:hAnsi="宋体"/>
        </w:rPr>
        <w:t>1实行网上投标，</w:t>
      </w:r>
      <w:r>
        <w:rPr>
          <w:rFonts w:ascii="宋体" w:hAnsi="宋体"/>
        </w:rPr>
        <w:t>投标人必须</w:t>
      </w:r>
      <w:r>
        <w:rPr>
          <w:rFonts w:hint="eastAsia" w:ascii="宋体" w:hAnsi="宋体"/>
        </w:rPr>
        <w:t>在招标</w:t>
      </w:r>
      <w:r>
        <w:rPr>
          <w:rFonts w:ascii="宋体" w:hAnsi="宋体"/>
        </w:rPr>
        <w:t>文件规定的投标截止时间前</w:t>
      </w:r>
      <w:r>
        <w:rPr>
          <w:rFonts w:hint="eastAsia" w:ascii="宋体" w:hAnsi="宋体"/>
        </w:rPr>
        <w:t>用电子密钥登录“深圳政府采购自行采购系统（https://trade.szggzy.com/ggzy/center/#/login）”上传投标文件。如上传过程中遇到问题，可拨打采购公告中的技术支持电话。如多次上传均告失败，请在投标截止时间之前携带加密后的电子投标文件送达至</w:t>
      </w:r>
      <w:r>
        <w:rPr>
          <w:rFonts w:hint="eastAsia" w:ascii="宋体" w:hAnsi="宋体"/>
          <w:b/>
          <w:bCs/>
          <w:szCs w:val="21"/>
        </w:rPr>
        <w:t>深圳公共资源交易中心（深圳交易集团有限公司龙华分公司）（地址：深圳市龙华区观湖街道大和社区大和路288号宝观城锦鲤大厦办公楼22楼）协助上传，但上传过程中投标截止时间到达仍无法上传成功的，由投标人自行负责</w:t>
      </w:r>
      <w:r>
        <w:rPr>
          <w:rFonts w:hint="eastAsia" w:ascii="宋体" w:hAnsi="宋体"/>
        </w:rPr>
        <w:t>。</w:t>
      </w:r>
    </w:p>
    <w:p w14:paraId="4E02798C">
      <w:pPr>
        <w:ind w:firstLine="411" w:firstLineChars="196"/>
        <w:rPr>
          <w:rFonts w:hint="eastAsia" w:ascii="宋体" w:hAnsi="宋体"/>
        </w:rPr>
      </w:pPr>
      <w:r>
        <w:rPr>
          <w:rFonts w:hint="eastAsia" w:ascii="宋体" w:hAnsi="宋体"/>
        </w:rPr>
        <w:t>25.2政府集中采购机构可以按本通用条款第13条规定，通过修改招标文件自行决定酌情延长投标截止期。在此情况下，政府集中采购机构、采购人和投标人受投标截止期制约的所有权利和义务均应延长至新的截止期。</w:t>
      </w:r>
    </w:p>
    <w:p w14:paraId="20757B71">
      <w:pPr>
        <w:ind w:firstLine="411" w:firstLineChars="196"/>
        <w:rPr>
          <w:rFonts w:hint="eastAsia" w:ascii="宋体" w:hAnsi="宋体"/>
        </w:rPr>
      </w:pPr>
      <w:r>
        <w:rPr>
          <w:rFonts w:hint="eastAsia" w:ascii="宋体" w:hAnsi="宋体"/>
        </w:rPr>
        <w:t>25</w:t>
      </w:r>
      <w:r>
        <w:rPr>
          <w:rFonts w:ascii="宋体" w:hAnsi="宋体"/>
        </w:rPr>
        <w:t>.</w:t>
      </w:r>
      <w:r>
        <w:rPr>
          <w:rFonts w:hint="eastAsia" w:ascii="宋体" w:hAnsi="宋体"/>
        </w:rPr>
        <w:t>3投标截止时间以后不得上传投标文件。</w:t>
      </w:r>
    </w:p>
    <w:p w14:paraId="4A2EF5EC">
      <w:pPr>
        <w:ind w:firstLine="411" w:firstLineChars="196"/>
        <w:rPr>
          <w:rFonts w:hint="eastAsia" w:ascii="宋体" w:hAnsi="宋体"/>
        </w:rPr>
      </w:pPr>
    </w:p>
    <w:p w14:paraId="527FCD3A">
      <w:pPr>
        <w:ind w:firstLine="411" w:firstLineChars="196"/>
        <w:rPr>
          <w:rFonts w:hint="eastAsia" w:ascii="宋体" w:hAnsi="宋体"/>
        </w:rPr>
      </w:pPr>
    </w:p>
    <w:bookmarkEnd w:id="73"/>
    <w:p w14:paraId="7DEA6F70">
      <w:pPr>
        <w:rPr>
          <w:rFonts w:hint="eastAsia" w:ascii="黑体" w:hAnsi="宋体" w:eastAsia="黑体"/>
          <w:sz w:val="24"/>
        </w:rPr>
      </w:pPr>
      <w:r>
        <w:rPr>
          <w:rFonts w:hint="eastAsia" w:ascii="黑体" w:hAnsi="宋体" w:eastAsia="黑体"/>
          <w:sz w:val="24"/>
        </w:rPr>
        <w:t>26. 样品、现场演示、方案讲解</w:t>
      </w:r>
    </w:p>
    <w:p w14:paraId="50979588">
      <w:pPr>
        <w:ind w:firstLine="411" w:firstLineChars="196"/>
        <w:rPr>
          <w:rFonts w:hint="eastAsia" w:ascii="宋体" w:hAnsi="宋体"/>
          <w:szCs w:val="21"/>
        </w:rPr>
      </w:pPr>
      <w:r>
        <w:rPr>
          <w:rFonts w:hint="eastAsia" w:ascii="宋体" w:hAnsi="宋体"/>
          <w:szCs w:val="21"/>
        </w:rPr>
        <w:t>26.1 样品、现场演示、方案讲解等事项在招标文件专用条款中进行规定。</w:t>
      </w:r>
    </w:p>
    <w:p w14:paraId="2176873C">
      <w:pPr>
        <w:rPr>
          <w:rFonts w:hint="eastAsia" w:ascii="黑体" w:hAnsi="宋体" w:eastAsia="黑体"/>
          <w:sz w:val="24"/>
        </w:rPr>
      </w:pPr>
      <w:bookmarkStart w:id="74" w:name="_Hlk72428346"/>
      <w:r>
        <w:rPr>
          <w:rFonts w:ascii="黑体" w:hAnsi="宋体" w:eastAsia="黑体"/>
          <w:sz w:val="24"/>
        </w:rPr>
        <w:t>2</w:t>
      </w:r>
      <w:r>
        <w:rPr>
          <w:rFonts w:hint="eastAsia" w:ascii="黑体" w:hAnsi="宋体" w:eastAsia="黑体"/>
          <w:sz w:val="24"/>
        </w:rPr>
        <w:t>7．</w:t>
      </w:r>
      <w:r>
        <w:rPr>
          <w:rFonts w:ascii="黑体" w:hAnsi="宋体" w:eastAsia="黑体"/>
          <w:sz w:val="24"/>
        </w:rPr>
        <w:t>投标文件的修改和撤销</w:t>
      </w:r>
    </w:p>
    <w:p w14:paraId="22DFB62F">
      <w:pPr>
        <w:ind w:firstLine="411" w:firstLineChars="196"/>
        <w:rPr>
          <w:rFonts w:hint="eastAsia"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1</w:t>
      </w:r>
      <w:r>
        <w:rPr>
          <w:rFonts w:ascii="宋体" w:hAnsi="宋体"/>
        </w:rPr>
        <w:t>投标方在提交投标文件后可对其投标文件进行修改</w:t>
      </w:r>
      <w:r>
        <w:rPr>
          <w:rFonts w:hint="eastAsia" w:ascii="宋体" w:hAnsi="宋体"/>
        </w:rPr>
        <w:t>并重新上传投标文件</w:t>
      </w:r>
      <w:r>
        <w:rPr>
          <w:rFonts w:ascii="宋体" w:hAnsi="宋体"/>
        </w:rPr>
        <w:t>或</w:t>
      </w:r>
      <w:r>
        <w:rPr>
          <w:rFonts w:hint="eastAsia" w:ascii="宋体" w:hAnsi="宋体"/>
        </w:rPr>
        <w:t>在网上进行</w:t>
      </w:r>
      <w:r>
        <w:rPr>
          <w:rFonts w:ascii="宋体" w:hAnsi="宋体"/>
        </w:rPr>
        <w:t>撤销</w:t>
      </w:r>
      <w:r>
        <w:rPr>
          <w:rFonts w:hint="eastAsia" w:ascii="宋体" w:hAnsi="宋体"/>
        </w:rPr>
        <w:t>投标的操作</w:t>
      </w:r>
      <w:r>
        <w:rPr>
          <w:rFonts w:ascii="宋体" w:hAnsi="宋体"/>
        </w:rPr>
        <w:t>。</w:t>
      </w:r>
    </w:p>
    <w:p w14:paraId="18B2B433">
      <w:pPr>
        <w:ind w:firstLine="411" w:firstLineChars="196"/>
        <w:rPr>
          <w:rFonts w:hint="eastAsia"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2</w:t>
      </w:r>
      <w:r>
        <w:rPr>
          <w:rFonts w:ascii="宋体" w:hAnsi="宋体"/>
        </w:rPr>
        <w:t>投标截止时间以后不得修改投标文件。</w:t>
      </w:r>
    </w:p>
    <w:p w14:paraId="2D6E2BF9">
      <w:pPr>
        <w:ind w:firstLine="411" w:firstLineChars="196"/>
        <w:rPr>
          <w:rFonts w:hint="eastAsia"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3从投标截止期至投标人在投标文件中确定的投标有效期之间的这段时间内，投标人不得撤回其投标。</w:t>
      </w:r>
    </w:p>
    <w:p w14:paraId="64071B20">
      <w:pPr>
        <w:ind w:firstLine="411" w:firstLineChars="196"/>
        <w:rPr>
          <w:rFonts w:hint="eastAsia" w:ascii="宋体" w:hAnsi="宋体"/>
          <w:szCs w:val="21"/>
        </w:rPr>
      </w:pPr>
      <w:r>
        <w:rPr>
          <w:rFonts w:hint="eastAsia" w:ascii="宋体" w:hAnsi="宋体"/>
          <w:szCs w:val="21"/>
        </w:rPr>
        <w:t>27.4政府集中采购机构不退还投标文件，专用条款另有规定的除外。</w:t>
      </w:r>
    </w:p>
    <w:bookmarkEnd w:id="74"/>
    <w:p w14:paraId="0DC28255">
      <w:pPr>
        <w:pStyle w:val="3"/>
        <w:numPr>
          <w:ilvl w:val="0"/>
          <w:numId w:val="14"/>
        </w:numPr>
        <w:spacing w:before="156" w:beforeLines="50" w:after="156" w:afterLines="50"/>
        <w:ind w:left="562" w:hanging="562"/>
        <w:rPr>
          <w:sz w:val="28"/>
          <w:szCs w:val="28"/>
        </w:rPr>
      </w:pPr>
      <w:r>
        <w:rPr>
          <w:rFonts w:hint="eastAsia"/>
          <w:sz w:val="28"/>
          <w:szCs w:val="28"/>
        </w:rPr>
        <w:t>开标</w:t>
      </w:r>
    </w:p>
    <w:p w14:paraId="7D02659F">
      <w:pPr>
        <w:rPr>
          <w:rFonts w:hint="eastAsia" w:ascii="黑体" w:hAnsi="宋体" w:eastAsia="黑体"/>
          <w:sz w:val="24"/>
        </w:rPr>
      </w:pPr>
      <w:r>
        <w:rPr>
          <w:rFonts w:hint="eastAsia" w:ascii="黑体" w:hAnsi="宋体" w:eastAsia="黑体"/>
          <w:sz w:val="24"/>
        </w:rPr>
        <w:t>28．开标</w:t>
      </w:r>
    </w:p>
    <w:p w14:paraId="0255B8DE">
      <w:pPr>
        <w:ind w:firstLine="359" w:firstLineChars="171"/>
        <w:rPr>
          <w:rFonts w:hint="eastAsia" w:ascii="宋体" w:hAnsi="宋体"/>
          <w:szCs w:val="21"/>
        </w:rPr>
      </w:pPr>
      <w:r>
        <w:rPr>
          <w:rFonts w:ascii="宋体" w:hAnsi="宋体"/>
          <w:szCs w:val="21"/>
        </w:rPr>
        <w:t>2</w:t>
      </w:r>
      <w:r>
        <w:rPr>
          <w:rFonts w:hint="eastAsia" w:ascii="宋体" w:hAnsi="宋体"/>
          <w:szCs w:val="21"/>
        </w:rPr>
        <w:t>8</w:t>
      </w:r>
      <w:r>
        <w:rPr>
          <w:rFonts w:ascii="宋体" w:hAnsi="宋体"/>
          <w:szCs w:val="21"/>
        </w:rPr>
        <w:t>.</w:t>
      </w:r>
      <w:r>
        <w:rPr>
          <w:rFonts w:hint="eastAsia" w:ascii="宋体" w:hAnsi="宋体"/>
          <w:szCs w:val="21"/>
        </w:rPr>
        <w:t>1投标人须在开标当日的开标时间至解密截止时间内进行解密，逾期未解密的作无效处理。解密方法：登录“</w:t>
      </w:r>
      <w:r>
        <w:rPr>
          <w:rFonts w:hint="eastAsia" w:ascii="宋体" w:hAnsi="宋体"/>
        </w:rPr>
        <w:t>深圳政府采购自行采购系统（https://trade.szggzy.com/ggzy/center/#/login）</w:t>
      </w:r>
      <w:r>
        <w:rPr>
          <w:rFonts w:hint="eastAsia" w:ascii="宋体" w:hAnsi="宋体"/>
          <w:szCs w:val="21"/>
        </w:rPr>
        <w:t>”，使用本单位制作电子投标文件同一个电子密钥进行在线解密、查询开标情况。</w:t>
      </w:r>
    </w:p>
    <w:p w14:paraId="481B0616">
      <w:pPr>
        <w:ind w:firstLine="315" w:firstLineChars="150"/>
        <w:rPr>
          <w:rFonts w:hint="eastAsia" w:ascii="宋体" w:hAnsi="宋体"/>
          <w:szCs w:val="21"/>
        </w:rPr>
      </w:pPr>
      <w:r>
        <w:rPr>
          <w:rFonts w:hint="eastAsia" w:ascii="宋体" w:hAnsi="宋体"/>
          <w:szCs w:val="21"/>
        </w:rPr>
        <w:t>28.2政府集中采购机构将在满足开标条件（①解密时间结束，解密后的投标供应商数量满足开标要求或②解密时间结束前所有投标供应商均完成投标文件解密）后，对投标文件进行开标，并在网上公布开标结果。</w:t>
      </w:r>
    </w:p>
    <w:p w14:paraId="71099E20">
      <w:pPr>
        <w:ind w:firstLine="315" w:firstLineChars="150"/>
        <w:rPr>
          <w:rFonts w:hint="eastAsia" w:ascii="宋体" w:hAnsi="宋体"/>
          <w:szCs w:val="21"/>
        </w:rPr>
      </w:pPr>
    </w:p>
    <w:p w14:paraId="172A097F">
      <w:pPr>
        <w:pStyle w:val="3"/>
        <w:numPr>
          <w:ilvl w:val="0"/>
          <w:numId w:val="14"/>
        </w:numPr>
        <w:spacing w:before="156" w:beforeLines="50" w:after="156" w:afterLines="50"/>
        <w:ind w:left="562" w:hanging="562"/>
        <w:rPr>
          <w:sz w:val="28"/>
          <w:szCs w:val="28"/>
        </w:rPr>
      </w:pPr>
      <w:r>
        <w:rPr>
          <w:rFonts w:hint="eastAsia"/>
          <w:sz w:val="28"/>
          <w:szCs w:val="28"/>
        </w:rPr>
        <w:t>评审要求</w:t>
      </w:r>
    </w:p>
    <w:p w14:paraId="30575A72">
      <w:pPr>
        <w:rPr>
          <w:rFonts w:hint="eastAsia" w:ascii="黑体" w:hAnsi="宋体" w:eastAsia="黑体"/>
          <w:sz w:val="24"/>
        </w:rPr>
      </w:pPr>
      <w:r>
        <w:rPr>
          <w:rFonts w:hint="eastAsia" w:ascii="黑体" w:hAnsi="宋体" w:eastAsia="黑体"/>
          <w:sz w:val="24"/>
        </w:rPr>
        <w:t>29．评审委员会组成</w:t>
      </w:r>
    </w:p>
    <w:p w14:paraId="2FB8D034">
      <w:pPr>
        <w:ind w:firstLine="411" w:firstLineChars="196"/>
        <w:rPr>
          <w:rFonts w:hint="eastAsia" w:ascii="宋体" w:hAnsi="宋体"/>
        </w:rPr>
      </w:pPr>
      <w:r>
        <w:rPr>
          <w:rFonts w:hint="eastAsia" w:ascii="宋体" w:hAnsi="宋体"/>
        </w:rPr>
        <w:t>29.1网上开标结束后召开评审会议，</w:t>
      </w:r>
      <w:r>
        <w:rPr>
          <w:rFonts w:hint="eastAsia" w:ascii="宋体" w:hAnsi="宋体"/>
          <w:szCs w:val="21"/>
        </w:rPr>
        <w:t>评审委员会</w:t>
      </w:r>
      <w:r>
        <w:rPr>
          <w:rFonts w:hint="eastAsia" w:ascii="宋体" w:hAnsi="宋体"/>
        </w:rPr>
        <w:t>由政府集中采购机构依法组建，负责评审活动。</w:t>
      </w:r>
    </w:p>
    <w:p w14:paraId="58B997C0">
      <w:pPr>
        <w:ind w:firstLine="411" w:firstLineChars="196"/>
        <w:rPr>
          <w:rFonts w:hint="eastAsia" w:ascii="宋体" w:hAnsi="宋体"/>
        </w:rPr>
      </w:pPr>
      <w:bookmarkStart w:id="75" w:name="_Hlk72436580"/>
      <w:r>
        <w:rPr>
          <w:rFonts w:hint="eastAsia" w:ascii="宋体" w:hAnsi="宋体"/>
        </w:rPr>
        <w:t>评审委员会由采购人代表和评审专家组成，成员人数应当为5人以上单数（部分条件下为7人以上单数），其中评审专家不得少于成员总数的三分之二。</w:t>
      </w:r>
      <w:bookmarkEnd w:id="75"/>
      <w:r>
        <w:rPr>
          <w:rFonts w:hint="eastAsia" w:ascii="宋体" w:hAnsi="宋体"/>
        </w:rPr>
        <w:t>评定</w:t>
      </w:r>
      <w:r>
        <w:rPr>
          <w:rFonts w:hint="eastAsia"/>
        </w:rPr>
        <w:t>分离项目</w:t>
      </w:r>
      <w:r>
        <w:t>评审专家</w:t>
      </w:r>
      <w:r>
        <w:rPr>
          <w:rFonts w:hint="eastAsia"/>
        </w:rPr>
        <w:t>均</w:t>
      </w:r>
      <w:r>
        <w:t>由</w:t>
      </w:r>
      <w:r>
        <w:rPr>
          <w:rFonts w:hint="eastAsia"/>
        </w:rPr>
        <w:t>评审专家组成。</w:t>
      </w:r>
      <w:r>
        <w:rPr>
          <w:rFonts w:hint="eastAsia" w:ascii="宋体" w:hAnsi="宋体"/>
          <w:szCs w:val="21"/>
        </w:rPr>
        <w:t>评审专家一般是</w:t>
      </w:r>
      <w:r>
        <w:rPr>
          <w:rFonts w:hint="eastAsia" w:ascii="宋体" w:hAnsi="宋体"/>
        </w:rPr>
        <w:t>从深圳市政府采购评审专家库中随机抽取。采购人代表须持本单位签发的《评审授权书》参加评审。</w:t>
      </w:r>
    </w:p>
    <w:p w14:paraId="523DC544">
      <w:pPr>
        <w:ind w:firstLine="411" w:firstLineChars="196"/>
        <w:rPr>
          <w:rFonts w:hint="eastAsia" w:ascii="宋体" w:hAnsi="宋体"/>
        </w:rPr>
      </w:pPr>
      <w:r>
        <w:rPr>
          <w:rFonts w:hint="eastAsia" w:ascii="宋体" w:hAnsi="宋体"/>
        </w:rPr>
        <w:t>29.2评审定标应当遵循公平、公正、科学、择优的原则。</w:t>
      </w:r>
    </w:p>
    <w:p w14:paraId="513449EF">
      <w:pPr>
        <w:ind w:firstLine="411" w:firstLineChars="196"/>
        <w:rPr>
          <w:rFonts w:hint="eastAsia" w:ascii="宋体" w:hAnsi="宋体"/>
        </w:rPr>
      </w:pPr>
      <w:r>
        <w:rPr>
          <w:rFonts w:hint="eastAsia" w:ascii="宋体" w:hAnsi="宋体"/>
        </w:rPr>
        <w:t>29.3评审活动依法进行，任何单位和个人不得非法干预评标过程和结果。</w:t>
      </w:r>
    </w:p>
    <w:p w14:paraId="726FBD80">
      <w:pPr>
        <w:ind w:firstLine="411" w:firstLineChars="196"/>
        <w:rPr>
          <w:rFonts w:hint="eastAsia" w:ascii="宋体" w:hAnsi="宋体"/>
        </w:rPr>
      </w:pPr>
      <w:r>
        <w:rPr>
          <w:rFonts w:hint="eastAsia" w:ascii="宋体" w:hAnsi="宋体"/>
        </w:rPr>
        <w:t>29.4评审过程中不允许违背评标程序或采用招标文件未载明的评标方法或评标因素进行评标。</w:t>
      </w:r>
    </w:p>
    <w:p w14:paraId="7C7E6992">
      <w:pPr>
        <w:ind w:firstLine="411" w:firstLineChars="196"/>
        <w:rPr>
          <w:rFonts w:hint="eastAsia" w:ascii="宋体" w:hAnsi="宋体"/>
          <w:bCs/>
        </w:rPr>
      </w:pPr>
      <w:r>
        <w:rPr>
          <w:rFonts w:hint="eastAsia" w:ascii="宋体" w:hAnsi="宋体"/>
          <w:bCs/>
        </w:rPr>
        <w:t>29.5 开标后，直到签订合同为止，凡属于对投标文件的审查、澄清、评价和比较的有关资料以及中标候选人的推荐情况、与评审有关的其他任何情况均严格保密（</w:t>
      </w:r>
      <w:r>
        <w:rPr>
          <w:rFonts w:hint="eastAsia"/>
        </w:rPr>
        <w:t>信息公开的内容除外</w:t>
      </w:r>
      <w:r>
        <w:rPr>
          <w:rFonts w:hint="eastAsia" w:ascii="宋体" w:hAnsi="宋体"/>
          <w:bCs/>
        </w:rPr>
        <w:t>）。</w:t>
      </w:r>
    </w:p>
    <w:p w14:paraId="033048F0">
      <w:pPr>
        <w:rPr>
          <w:rFonts w:hint="eastAsia" w:ascii="黑体" w:hAnsi="宋体" w:eastAsia="黑体"/>
          <w:sz w:val="24"/>
        </w:rPr>
      </w:pPr>
      <w:r>
        <w:rPr>
          <w:rFonts w:hint="eastAsia" w:ascii="黑体" w:hAnsi="宋体" w:eastAsia="黑体"/>
          <w:sz w:val="24"/>
        </w:rPr>
        <w:t>30．向评审委员会提供的资料</w:t>
      </w:r>
    </w:p>
    <w:p w14:paraId="2461CED8">
      <w:pPr>
        <w:ind w:firstLine="411" w:firstLineChars="196"/>
        <w:rPr>
          <w:rFonts w:hint="eastAsia" w:ascii="宋体" w:hAnsi="宋体"/>
        </w:rPr>
      </w:pPr>
      <w:r>
        <w:rPr>
          <w:rFonts w:hint="eastAsia" w:ascii="宋体" w:hAnsi="宋体"/>
        </w:rPr>
        <w:t>30.1公开发布的招标文件，包括图纸、服务清单、答疑文件等；</w:t>
      </w:r>
    </w:p>
    <w:p w14:paraId="2E54914D">
      <w:pPr>
        <w:ind w:firstLine="411" w:firstLineChars="196"/>
        <w:rPr>
          <w:rFonts w:hint="eastAsia" w:ascii="宋体" w:hAnsi="宋体"/>
        </w:rPr>
      </w:pPr>
      <w:r>
        <w:rPr>
          <w:rFonts w:hint="eastAsia" w:ascii="宋体" w:hAnsi="宋体"/>
        </w:rPr>
        <w:t>30.2其他评标必须的资料。</w:t>
      </w:r>
    </w:p>
    <w:p w14:paraId="4F91D330">
      <w:pPr>
        <w:ind w:firstLine="411" w:firstLineChars="196"/>
        <w:rPr>
          <w:rFonts w:hint="eastAsia" w:ascii="宋体" w:hAnsi="宋体"/>
        </w:rPr>
      </w:pPr>
      <w:r>
        <w:rPr>
          <w:rFonts w:hint="eastAsia" w:ascii="宋体" w:hAnsi="宋体"/>
        </w:rPr>
        <w:t>30.3</w:t>
      </w:r>
      <w:r>
        <w:rPr>
          <w:rFonts w:hint="eastAsia" w:ascii="宋体" w:hAnsi="宋体"/>
          <w:szCs w:val="21"/>
        </w:rPr>
        <w:t>评审委员会</w:t>
      </w:r>
      <w:r>
        <w:rPr>
          <w:rFonts w:hint="eastAsia" w:ascii="宋体" w:hAnsi="宋体"/>
        </w:rPr>
        <w:t>应当认真研究招标文件，至少应了解熟悉以下内容：</w:t>
      </w:r>
    </w:p>
    <w:p w14:paraId="266B218A">
      <w:pPr>
        <w:ind w:firstLine="411" w:firstLineChars="196"/>
        <w:rPr>
          <w:rFonts w:hint="eastAsia" w:ascii="宋体" w:hAnsi="宋体"/>
        </w:rPr>
      </w:pPr>
      <w:r>
        <w:rPr>
          <w:rFonts w:hint="eastAsia" w:ascii="宋体" w:hAnsi="宋体"/>
        </w:rPr>
        <w:t>（1）招标的目的；</w:t>
      </w:r>
    </w:p>
    <w:p w14:paraId="70839232">
      <w:pPr>
        <w:ind w:firstLine="411" w:firstLineChars="196"/>
        <w:rPr>
          <w:rFonts w:hint="eastAsia" w:ascii="宋体" w:hAnsi="宋体"/>
        </w:rPr>
      </w:pPr>
      <w:r>
        <w:rPr>
          <w:rFonts w:hint="eastAsia" w:ascii="宋体" w:hAnsi="宋体"/>
        </w:rPr>
        <w:t>（2）招标项目需求的范围和性质；</w:t>
      </w:r>
    </w:p>
    <w:p w14:paraId="5D2CA94C">
      <w:pPr>
        <w:ind w:firstLine="411" w:firstLineChars="196"/>
        <w:rPr>
          <w:rFonts w:hint="eastAsia" w:ascii="宋体" w:hAnsi="宋体"/>
        </w:rPr>
      </w:pPr>
      <w:r>
        <w:rPr>
          <w:rFonts w:hint="eastAsia" w:ascii="宋体" w:hAnsi="宋体"/>
        </w:rPr>
        <w:t>（3）招标文件规定的投标人的资格、财政预算限额、商务条款；</w:t>
      </w:r>
    </w:p>
    <w:p w14:paraId="3BABCEB1">
      <w:pPr>
        <w:ind w:firstLine="411" w:firstLineChars="196"/>
        <w:rPr>
          <w:rFonts w:hint="eastAsia" w:ascii="宋体" w:hAnsi="宋体"/>
        </w:rPr>
      </w:pPr>
      <w:r>
        <w:rPr>
          <w:rFonts w:hint="eastAsia" w:ascii="宋体" w:hAnsi="宋体"/>
        </w:rPr>
        <w:t>（4）招标文件规定的评标程序、评标方法和评标因素；</w:t>
      </w:r>
    </w:p>
    <w:p w14:paraId="4EE1B1CE">
      <w:pPr>
        <w:ind w:firstLine="411" w:firstLineChars="196"/>
        <w:rPr>
          <w:rFonts w:hint="eastAsia" w:ascii="宋体" w:hAnsi="宋体"/>
        </w:rPr>
      </w:pPr>
      <w:r>
        <w:rPr>
          <w:rFonts w:hint="eastAsia" w:ascii="宋体" w:hAnsi="宋体"/>
        </w:rPr>
        <w:t>（5）招标文件所列示的资格性审查表及符合性审查表。</w:t>
      </w:r>
    </w:p>
    <w:p w14:paraId="3A948502">
      <w:pPr>
        <w:rPr>
          <w:rFonts w:hint="eastAsia" w:ascii="黑体" w:hAnsi="宋体" w:eastAsia="黑体"/>
          <w:sz w:val="24"/>
        </w:rPr>
      </w:pPr>
      <w:r>
        <w:rPr>
          <w:rFonts w:hint="eastAsia" w:ascii="黑体" w:hAnsi="宋体" w:eastAsia="黑体"/>
          <w:sz w:val="24"/>
        </w:rPr>
        <w:t>31．独立评审</w:t>
      </w:r>
    </w:p>
    <w:p w14:paraId="593F60FC">
      <w:pPr>
        <w:ind w:firstLine="411" w:firstLineChars="196"/>
        <w:rPr>
          <w:rFonts w:hint="eastAsia" w:ascii="宋体" w:hAnsi="宋体"/>
          <w:bCs/>
        </w:rPr>
      </w:pPr>
      <w:r>
        <w:rPr>
          <w:rFonts w:hint="eastAsia" w:ascii="宋体" w:hAnsi="宋体"/>
          <w:bCs/>
        </w:rPr>
        <w:t>3</w:t>
      </w:r>
      <w:r>
        <w:rPr>
          <w:rFonts w:ascii="宋体" w:hAnsi="宋体"/>
          <w:bCs/>
        </w:rPr>
        <w:t>1</w:t>
      </w:r>
      <w:r>
        <w:rPr>
          <w:rFonts w:hint="eastAsia" w:ascii="宋体" w:hAnsi="宋体"/>
          <w:bCs/>
        </w:rPr>
        <w:t>.1</w:t>
      </w:r>
      <w:r>
        <w:rPr>
          <w:rFonts w:hint="eastAsia" w:ascii="宋体" w:hAnsi="宋体"/>
          <w:szCs w:val="21"/>
        </w:rPr>
        <w:t>评审委员会</w:t>
      </w:r>
      <w:r>
        <w:rPr>
          <w:rFonts w:hint="eastAsia" w:ascii="宋体" w:hAnsi="宋体"/>
          <w:bCs/>
        </w:rPr>
        <w:t>成员的评标活动应当独立进行，并应遵循投标文件初审、澄清有关问题、比较与评价、确定中标供应商、编写评审报告的工作程序。</w:t>
      </w:r>
    </w:p>
    <w:p w14:paraId="11368310">
      <w:pPr>
        <w:ind w:firstLine="411" w:firstLineChars="196"/>
        <w:rPr>
          <w:rFonts w:hint="eastAsia" w:ascii="宋体" w:hAnsi="宋体"/>
          <w:bCs/>
          <w:szCs w:val="21"/>
        </w:rPr>
      </w:pPr>
    </w:p>
    <w:p w14:paraId="386EF420">
      <w:pPr>
        <w:pStyle w:val="3"/>
        <w:numPr>
          <w:ilvl w:val="0"/>
          <w:numId w:val="14"/>
        </w:numPr>
        <w:spacing w:before="156" w:beforeLines="50" w:after="156" w:afterLines="50"/>
        <w:ind w:left="562" w:hanging="562"/>
        <w:rPr>
          <w:sz w:val="28"/>
          <w:szCs w:val="28"/>
        </w:rPr>
      </w:pPr>
      <w:r>
        <w:rPr>
          <w:rFonts w:hint="eastAsia"/>
          <w:sz w:val="28"/>
          <w:szCs w:val="28"/>
        </w:rPr>
        <w:t>评审程序及评审方法</w:t>
      </w:r>
    </w:p>
    <w:p w14:paraId="1CCBF0D8">
      <w:pPr>
        <w:rPr>
          <w:rFonts w:hint="eastAsia" w:ascii="黑体" w:hAnsi="宋体" w:eastAsia="黑体"/>
          <w:sz w:val="24"/>
        </w:rPr>
      </w:pPr>
      <w:r>
        <w:rPr>
          <w:rFonts w:hint="eastAsia" w:ascii="黑体" w:hAnsi="宋体" w:eastAsia="黑体"/>
          <w:sz w:val="24"/>
        </w:rPr>
        <w:t>32．投标文件初审</w:t>
      </w:r>
    </w:p>
    <w:p w14:paraId="55770997">
      <w:pPr>
        <w:ind w:firstLine="411" w:firstLineChars="196"/>
        <w:rPr>
          <w:rFonts w:hint="eastAsia" w:ascii="宋体" w:hAnsi="宋体"/>
        </w:rPr>
      </w:pPr>
      <w:r>
        <w:rPr>
          <w:rFonts w:hint="eastAsia" w:ascii="宋体" w:hAnsi="宋体"/>
        </w:rPr>
        <w:t>32.1投标文件初审包括资格性审查和符合性审查。</w:t>
      </w:r>
    </w:p>
    <w:p w14:paraId="5D11F7AD">
      <w:pPr>
        <w:ind w:firstLine="411" w:firstLineChars="196"/>
        <w:rPr>
          <w:rFonts w:hint="eastAsia" w:ascii="宋体" w:hAnsi="宋体"/>
        </w:rPr>
      </w:pPr>
      <w:r>
        <w:rPr>
          <w:rFonts w:hint="eastAsia" w:ascii="宋体" w:hAnsi="宋体"/>
        </w:rPr>
        <w:t>资格性审查：依据法律法规和招标文件的规定，对投标文件中的资格证明等进行审查，以确定投标供应商是否具备投标资格。</w:t>
      </w:r>
    </w:p>
    <w:p w14:paraId="12D8479A">
      <w:pPr>
        <w:ind w:firstLine="411" w:firstLineChars="196"/>
        <w:rPr>
          <w:rFonts w:hint="eastAsia" w:ascii="宋体" w:hAnsi="宋体"/>
        </w:rPr>
      </w:pPr>
      <w:r>
        <w:rPr>
          <w:rFonts w:hint="eastAsia" w:ascii="宋体" w:hAnsi="宋体"/>
        </w:rPr>
        <w:t>符合性审查：依据招标文件的规定，对投标文件的有效性、完整性和对招标文件的响应程度进行审查，以确定是否满足符合性审查的要求。</w:t>
      </w:r>
    </w:p>
    <w:p w14:paraId="28726F86">
      <w:pPr>
        <w:ind w:firstLine="411" w:firstLineChars="196"/>
        <w:rPr>
          <w:rFonts w:hint="eastAsia" w:ascii="宋体" w:hAnsi="宋体"/>
        </w:rPr>
      </w:pPr>
      <w:r>
        <w:rPr>
          <w:rFonts w:hint="eastAsia" w:ascii="宋体" w:hAnsi="宋体"/>
        </w:rPr>
        <w:t>32.2 投标文件初审内容请详见《资格性审查表》和《符合性审查表》部分。投标人若有一条审查不通过则按投标无效处理。</w:t>
      </w:r>
    </w:p>
    <w:p w14:paraId="3AA233CA">
      <w:pPr>
        <w:ind w:firstLine="411" w:firstLineChars="196"/>
        <w:rPr>
          <w:rFonts w:hint="eastAsia" w:ascii="宋体" w:hAnsi="宋体"/>
          <w:bCs/>
        </w:rPr>
      </w:pPr>
      <w:r>
        <w:rPr>
          <w:rFonts w:hint="eastAsia" w:ascii="宋体" w:hAnsi="宋体"/>
          <w:bCs/>
        </w:rPr>
        <w:t>32.3 投标文件初审中关于供应商家数的计算:</w:t>
      </w:r>
    </w:p>
    <w:p w14:paraId="255DA6C6">
      <w:pPr>
        <w:ind w:firstLine="411" w:firstLineChars="196"/>
        <w:rPr>
          <w:rFonts w:hint="eastAsia" w:ascii="宋体" w:hAnsi="宋体"/>
          <w:bCs/>
        </w:rPr>
      </w:pPr>
      <w:r>
        <w:rPr>
          <w:rFonts w:hint="eastAsia" w:ascii="宋体" w:hAnsi="宋体"/>
          <w:bCs/>
        </w:rPr>
        <w:t>32.3.1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14:paraId="4A627C0F">
      <w:pPr>
        <w:ind w:firstLine="411" w:firstLineChars="196"/>
        <w:rPr>
          <w:rFonts w:hint="eastAsia" w:ascii="宋体" w:hAnsi="宋体"/>
          <w:bCs/>
        </w:rPr>
      </w:pPr>
      <w:r>
        <w:rPr>
          <w:rFonts w:hint="eastAsia" w:ascii="宋体" w:hAnsi="宋体"/>
          <w:bCs/>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w:t>
      </w:r>
      <w:r>
        <w:rPr>
          <w:rFonts w:hint="eastAsia" w:ascii="宋体" w:hAnsi="宋体"/>
          <w:bCs/>
          <w:szCs w:val="21"/>
        </w:rPr>
        <w:t>评审委员会</w:t>
      </w:r>
      <w:r>
        <w:rPr>
          <w:rFonts w:hint="eastAsia" w:ascii="宋体" w:hAnsi="宋体"/>
          <w:bCs/>
        </w:rPr>
        <w:t>按照招标文件规定的方式确定一个投标人获得中标人推荐资格，招标文件未规定的采取随机抽取方式确定，其他同品牌投标人不作为中标候选人。</w:t>
      </w:r>
    </w:p>
    <w:p w14:paraId="0259568F">
      <w:pPr>
        <w:ind w:firstLine="411" w:firstLineChars="196"/>
        <w:rPr>
          <w:rFonts w:hint="eastAsia" w:ascii="宋体" w:hAnsi="宋体"/>
          <w:bCs/>
        </w:rPr>
      </w:pPr>
      <w:r>
        <w:rPr>
          <w:rFonts w:hint="eastAsia" w:ascii="宋体" w:hAnsi="宋体"/>
          <w:bCs/>
        </w:rPr>
        <w:t>32.3.3非单一产品采购项目，采购人应当根据采购项目技术构成、产品价格比重等合理确定核心产品，并在招标文件中载明。多家投标人提供的核心产品品牌相同的，按前两款规定处理。</w:t>
      </w:r>
    </w:p>
    <w:p w14:paraId="18A5EEC7">
      <w:pPr>
        <w:ind w:firstLine="411" w:firstLineChars="196"/>
        <w:rPr>
          <w:rFonts w:hint="eastAsia" w:ascii="宋体" w:hAnsi="宋体"/>
        </w:rPr>
      </w:pPr>
      <w:r>
        <w:rPr>
          <w:rFonts w:hint="eastAsia" w:ascii="宋体" w:hAnsi="宋体"/>
        </w:rPr>
        <w:t>32.4投标人投标文件作无效处理的情形，具体包括但不限于以下：</w:t>
      </w:r>
    </w:p>
    <w:p w14:paraId="566C9002">
      <w:pPr>
        <w:ind w:firstLine="411" w:firstLineChars="196"/>
      </w:pPr>
      <w:r>
        <w:rPr>
          <w:rFonts w:hint="eastAsia" w:ascii="宋体" w:hAnsi="宋体"/>
        </w:rPr>
        <w:t>32.4.1</w:t>
      </w:r>
      <w:r>
        <w:rPr>
          <w:rFonts w:hint="eastAsia"/>
        </w:rPr>
        <w:t>不同投标人的投标文件由同一单位或者同一个人编制，或者由同一个人分阶段参与编制；</w:t>
      </w:r>
    </w:p>
    <w:p w14:paraId="65A00B1C">
      <w:pPr>
        <w:ind w:firstLine="411" w:firstLineChars="196"/>
      </w:pPr>
      <w:r>
        <w:rPr>
          <w:rFonts w:ascii="宋体" w:hAnsi="宋体"/>
        </w:rPr>
        <w:t>32.4.</w:t>
      </w:r>
      <w:r>
        <w:rPr>
          <w:rFonts w:hint="eastAsia" w:ascii="宋体" w:hAnsi="宋体"/>
        </w:rPr>
        <w:t>2</w:t>
      </w:r>
      <w:r>
        <w:rPr>
          <w:rFonts w:hint="eastAsia"/>
        </w:rPr>
        <w:t>不同投标人委托同一单位或者个人办理投标事宜；</w:t>
      </w:r>
    </w:p>
    <w:p w14:paraId="42FF0098">
      <w:pPr>
        <w:ind w:firstLine="411" w:firstLineChars="196"/>
        <w:rPr>
          <w:rFonts w:hint="eastAsia" w:ascii="宋体" w:hAnsi="宋体"/>
        </w:rPr>
      </w:pPr>
      <w:r>
        <w:rPr>
          <w:rFonts w:hint="eastAsia" w:ascii="宋体" w:hAnsi="宋体"/>
        </w:rPr>
        <w:t>32.4.3不同投标人的投标文件载明的项目管理成员或者联系人员为同一人；</w:t>
      </w:r>
    </w:p>
    <w:p w14:paraId="4F0DB63C">
      <w:pPr>
        <w:ind w:firstLine="411" w:firstLineChars="196"/>
        <w:rPr>
          <w:rFonts w:hint="eastAsia" w:ascii="宋体" w:hAnsi="宋体"/>
        </w:rPr>
      </w:pPr>
      <w:r>
        <w:rPr>
          <w:rFonts w:hint="eastAsia" w:ascii="宋体" w:hAnsi="宋体"/>
        </w:rPr>
        <w:t>32.4.4不同投标人的投标文件异常一致或者投标报价呈规律性差异；</w:t>
      </w:r>
    </w:p>
    <w:p w14:paraId="2DCE7115">
      <w:pPr>
        <w:ind w:firstLine="411" w:firstLineChars="196"/>
        <w:rPr>
          <w:rFonts w:hint="eastAsia" w:ascii="宋体" w:hAnsi="宋体"/>
        </w:rPr>
      </w:pPr>
      <w:r>
        <w:rPr>
          <w:rFonts w:hint="eastAsia" w:ascii="宋体" w:hAnsi="宋体"/>
        </w:rPr>
        <w:t>32.4.5</w:t>
      </w:r>
      <w:r>
        <w:rPr>
          <w:rFonts w:ascii="宋体" w:hAnsi="宋体"/>
        </w:rPr>
        <w:t>不同投标供应商的投标文件或部分投标文件相互混装</w:t>
      </w:r>
      <w:r>
        <w:rPr>
          <w:rFonts w:hint="eastAsia" w:ascii="宋体" w:hAnsi="宋体"/>
        </w:rPr>
        <w:t>；</w:t>
      </w:r>
    </w:p>
    <w:p w14:paraId="0C1E80EA">
      <w:pPr>
        <w:ind w:firstLine="411" w:firstLineChars="196"/>
        <w:rPr>
          <w:rFonts w:hint="eastAsia" w:ascii="宋体" w:hAnsi="宋体"/>
        </w:rPr>
      </w:pPr>
      <w:r>
        <w:rPr>
          <w:rFonts w:hint="eastAsia" w:ascii="宋体" w:hAnsi="宋体"/>
        </w:rPr>
        <w:t>32.4.6投标供应商之间相互约定给予未中标的供应商利益补偿；</w:t>
      </w:r>
    </w:p>
    <w:p w14:paraId="2AD39819">
      <w:pPr>
        <w:ind w:firstLine="411" w:firstLineChars="196"/>
        <w:rPr>
          <w:rFonts w:hint="eastAsia" w:ascii="宋体" w:hAnsi="宋体"/>
        </w:rPr>
      </w:pPr>
      <w:r>
        <w:rPr>
          <w:rFonts w:hint="eastAsia" w:ascii="宋体" w:hAnsi="宋体"/>
        </w:rPr>
        <w:t>32.4.7不同投标供应商的法定代表人、主要经营负责人、项目投标授权代表人、项目负责人、主要技术人员为同一人、属同一单位或者同一单位缴纳社会保险；</w:t>
      </w:r>
    </w:p>
    <w:p w14:paraId="63D4FFC9">
      <w:pPr>
        <w:ind w:firstLine="411" w:firstLineChars="196"/>
        <w:rPr>
          <w:rFonts w:hint="eastAsia" w:ascii="宋体" w:hAnsi="宋体"/>
        </w:rPr>
      </w:pPr>
      <w:r>
        <w:rPr>
          <w:rFonts w:hint="eastAsia" w:ascii="宋体" w:hAnsi="宋体"/>
        </w:rPr>
        <w:t>32.4.8不同投标供应商的投标文件内容存在非正常一致；</w:t>
      </w:r>
    </w:p>
    <w:p w14:paraId="7238C685">
      <w:pPr>
        <w:ind w:firstLine="411" w:firstLineChars="196"/>
        <w:rPr>
          <w:rFonts w:hint="eastAsia" w:ascii="宋体" w:hAnsi="宋体"/>
        </w:rPr>
      </w:pPr>
      <w:r>
        <w:rPr>
          <w:rFonts w:hint="eastAsia" w:ascii="宋体" w:hAnsi="宋体"/>
        </w:rPr>
        <w:t>32.4.9在同一单位工作人员为两家以上（含两家）供应商进行同一项投标活动；</w:t>
      </w:r>
    </w:p>
    <w:p w14:paraId="638F748A">
      <w:pPr>
        <w:ind w:firstLine="411" w:firstLineChars="196"/>
        <w:rPr>
          <w:rFonts w:hint="eastAsia" w:ascii="宋体" w:hAnsi="宋体"/>
        </w:rPr>
      </w:pPr>
      <w:r>
        <w:rPr>
          <w:rFonts w:hint="eastAsia" w:ascii="宋体" w:hAnsi="宋体"/>
        </w:rPr>
        <w:t>32.4.10主管部门依照法律、法规认定的其他情形。</w:t>
      </w:r>
    </w:p>
    <w:p w14:paraId="52322460">
      <w:pPr>
        <w:rPr>
          <w:rFonts w:hint="eastAsia" w:ascii="宋体" w:hAnsi="宋体"/>
        </w:rPr>
      </w:pPr>
      <w:r>
        <w:rPr>
          <w:rFonts w:hint="eastAsia" w:ascii="宋体" w:hAnsi="宋体"/>
        </w:rPr>
        <w:t>32.5对不属于《资格性审查表》和《符合性审查表》所列的其他情形，除专用条款另有规定和32.4条款所列情形外，不得作为投标无效的理由。</w:t>
      </w:r>
    </w:p>
    <w:p w14:paraId="6834AFCF">
      <w:pPr>
        <w:rPr>
          <w:rFonts w:hint="eastAsia" w:ascii="黑体" w:hAnsi="宋体" w:eastAsia="黑体"/>
          <w:sz w:val="24"/>
        </w:rPr>
      </w:pPr>
      <w:r>
        <w:rPr>
          <w:rFonts w:hint="eastAsia" w:ascii="黑体" w:hAnsi="宋体" w:eastAsia="黑体"/>
          <w:sz w:val="24"/>
        </w:rPr>
        <w:t>33．澄清有关问题</w:t>
      </w:r>
    </w:p>
    <w:p w14:paraId="59418572">
      <w:pPr>
        <w:ind w:firstLine="411" w:firstLineChars="196"/>
        <w:rPr>
          <w:rFonts w:hint="eastAsia" w:ascii="宋体" w:hAnsi="宋体"/>
        </w:rPr>
      </w:pPr>
      <w:bookmarkStart w:id="76" w:name="_Hlk71407321"/>
      <w:r>
        <w:rPr>
          <w:rFonts w:hint="eastAsia" w:ascii="宋体" w:hAnsi="宋体"/>
        </w:rPr>
        <w:t>3</w:t>
      </w:r>
      <w:r>
        <w:rPr>
          <w:rFonts w:ascii="宋体" w:hAnsi="宋体"/>
        </w:rPr>
        <w:t>3.1</w:t>
      </w:r>
      <w:r>
        <w:rPr>
          <w:rFonts w:hint="eastAsia" w:ascii="宋体" w:hAnsi="宋体"/>
        </w:rPr>
        <w:t>对招标文件中描述有歧义或前后不一致的地方（不含</w:t>
      </w:r>
      <w:r>
        <w:rPr>
          <w:szCs w:val="21"/>
        </w:rPr>
        <w:t>招标文件存在歧义、重大缺陷导致评</w:t>
      </w:r>
      <w:r>
        <w:rPr>
          <w:rFonts w:hint="eastAsia"/>
          <w:szCs w:val="21"/>
        </w:rPr>
        <w:t>审</w:t>
      </w:r>
      <w:r>
        <w:rPr>
          <w:szCs w:val="21"/>
        </w:rPr>
        <w:t>工作无法进行</w:t>
      </w:r>
      <w:r>
        <w:rPr>
          <w:rFonts w:hint="eastAsia"/>
          <w:szCs w:val="21"/>
        </w:rPr>
        <w:t>的情况）</w:t>
      </w:r>
      <w:r>
        <w:rPr>
          <w:rFonts w:hint="eastAsia" w:ascii="宋体" w:hAnsi="宋体"/>
        </w:rPr>
        <w:t>，评审委员会有权进行评判，但对同一条款的评判应适用于每个投标人。</w:t>
      </w:r>
      <w:bookmarkEnd w:id="76"/>
    </w:p>
    <w:p w14:paraId="017B6DF4">
      <w:pPr>
        <w:ind w:firstLine="411" w:firstLineChars="196"/>
        <w:rPr>
          <w:rFonts w:hint="eastAsia" w:ascii="宋体" w:hAnsi="宋体"/>
        </w:rPr>
      </w:pPr>
      <w:r>
        <w:rPr>
          <w:rFonts w:hint="eastAsia" w:ascii="宋体" w:hAnsi="宋体"/>
        </w:rPr>
        <w:t>3</w:t>
      </w:r>
      <w:r>
        <w:rPr>
          <w:rFonts w:ascii="宋体" w:hAnsi="宋体"/>
        </w:rPr>
        <w:t>3.2</w:t>
      </w:r>
      <w:r>
        <w:rPr>
          <w:szCs w:val="21"/>
        </w:rPr>
        <w:t>评</w:t>
      </w:r>
      <w:r>
        <w:rPr>
          <w:rFonts w:hint="eastAsia"/>
          <w:szCs w:val="21"/>
        </w:rPr>
        <w:t>审</w:t>
      </w:r>
      <w:r>
        <w:rPr>
          <w:szCs w:val="21"/>
        </w:rPr>
        <w:t>委员会发现招标文件存在歧义、重大缺陷导致评</w:t>
      </w:r>
      <w:r>
        <w:rPr>
          <w:rFonts w:hint="eastAsia"/>
          <w:szCs w:val="21"/>
        </w:rPr>
        <w:t>审</w:t>
      </w:r>
      <w:r>
        <w:rPr>
          <w:szCs w:val="21"/>
        </w:rPr>
        <w:t>工作无法进行，或者招标文件内容违反国家有关强制性规定的，应当停止评</w:t>
      </w:r>
      <w:r>
        <w:rPr>
          <w:rFonts w:hint="eastAsia"/>
          <w:szCs w:val="21"/>
        </w:rPr>
        <w:t>审</w:t>
      </w:r>
      <w:r>
        <w:rPr>
          <w:szCs w:val="21"/>
        </w:rPr>
        <w:t>工作，与</w:t>
      </w:r>
      <w:r>
        <w:rPr>
          <w:rFonts w:hint="eastAsia"/>
          <w:szCs w:val="21"/>
        </w:rPr>
        <w:t>政府集中采购机构</w:t>
      </w:r>
      <w:r>
        <w:rPr>
          <w:szCs w:val="21"/>
        </w:rPr>
        <w:t>沟通并作书面记录。</w:t>
      </w:r>
      <w:r>
        <w:rPr>
          <w:rFonts w:hint="eastAsia"/>
          <w:szCs w:val="21"/>
        </w:rPr>
        <w:t>经</w:t>
      </w:r>
      <w:r>
        <w:rPr>
          <w:szCs w:val="21"/>
        </w:rPr>
        <w:t>确认后，</w:t>
      </w:r>
      <w:r>
        <w:rPr>
          <w:rFonts w:hint="eastAsia"/>
          <w:szCs w:val="21"/>
        </w:rPr>
        <w:t>项目</w:t>
      </w:r>
      <w:r>
        <w:rPr>
          <w:szCs w:val="21"/>
        </w:rPr>
        <w:t>应当修改招标文件，重新组织采购活动。</w:t>
      </w:r>
    </w:p>
    <w:p w14:paraId="73570D9B">
      <w:pPr>
        <w:ind w:firstLine="411" w:firstLineChars="196"/>
        <w:rPr>
          <w:rFonts w:hint="eastAsia" w:ascii="宋体" w:hAnsi="宋体"/>
        </w:rPr>
      </w:pPr>
      <w:r>
        <w:rPr>
          <w:rFonts w:ascii="宋体" w:hAnsi="宋体"/>
        </w:rPr>
        <w:t>33.3</w:t>
      </w:r>
      <w:r>
        <w:rPr>
          <w:rFonts w:hint="eastAsia" w:ascii="宋体" w:hAnsi="宋体"/>
        </w:rPr>
        <w:t>对于投标文件中含义不明确、同类问题表述不一致或者有明显文字和计算错误的内容，评审委员会应当以书面形式要求投标人作出必要的澄清、说明或者补正。</w:t>
      </w:r>
    </w:p>
    <w:p w14:paraId="5F5F1682">
      <w:pPr>
        <w:ind w:firstLine="411" w:firstLineChars="196"/>
        <w:rPr>
          <w:rFonts w:hint="eastAsia" w:ascii="宋体" w:hAnsi="宋体"/>
        </w:rPr>
      </w:pPr>
      <w:r>
        <w:rPr>
          <w:rFonts w:hint="eastAsia" w:ascii="宋体" w:hAnsi="宋体"/>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14:paraId="2E0723EE">
      <w:pPr>
        <w:ind w:firstLine="411" w:firstLineChars="196"/>
        <w:rPr>
          <w:rFonts w:hint="eastAsia" w:ascii="宋体" w:hAnsi="宋体"/>
          <w:szCs w:val="21"/>
        </w:rPr>
      </w:pPr>
      <w:r>
        <w:rPr>
          <w:rFonts w:hint="eastAsia" w:ascii="宋体" w:hAnsi="宋体"/>
          <w:szCs w:val="21"/>
        </w:rPr>
        <w:t>根据本通用条款第34条，凡属于评审委员会在评审中发现的算术错误进行核实的修改不在此列。</w:t>
      </w:r>
    </w:p>
    <w:p w14:paraId="40ED0308">
      <w:pPr>
        <w:rPr>
          <w:rFonts w:hint="eastAsia" w:ascii="黑体" w:hAnsi="宋体" w:eastAsia="黑体"/>
          <w:sz w:val="24"/>
        </w:rPr>
      </w:pPr>
      <w:bookmarkStart w:id="77" w:name="_Toc73521581"/>
      <w:bookmarkStart w:id="78" w:name="_Toc73518151"/>
      <w:bookmarkStart w:id="79" w:name="_Toc73521669"/>
      <w:bookmarkStart w:id="80" w:name="_Toc73517673"/>
      <w:bookmarkStart w:id="81" w:name="_Toc100052400"/>
      <w:r>
        <w:rPr>
          <w:rFonts w:hint="eastAsia" w:ascii="黑体" w:hAnsi="宋体" w:eastAsia="黑体"/>
          <w:sz w:val="24"/>
        </w:rPr>
        <w:t>34．错误的修正</w:t>
      </w:r>
      <w:bookmarkEnd w:id="77"/>
      <w:bookmarkEnd w:id="78"/>
      <w:bookmarkEnd w:id="79"/>
      <w:bookmarkEnd w:id="80"/>
      <w:bookmarkEnd w:id="81"/>
    </w:p>
    <w:p w14:paraId="68160B69">
      <w:pPr>
        <w:ind w:firstLine="411" w:firstLineChars="196"/>
        <w:rPr>
          <w:rFonts w:hint="eastAsia" w:ascii="宋体" w:hAnsi="宋体"/>
          <w:szCs w:val="21"/>
        </w:rPr>
      </w:pPr>
      <w:r>
        <w:rPr>
          <w:rFonts w:hint="eastAsia" w:ascii="宋体" w:hAnsi="宋体"/>
          <w:szCs w:val="21"/>
        </w:rPr>
        <w:t>投标文件报价出现前后不一致的，除专用条款另有规定外，按照下列规定修正：</w:t>
      </w:r>
    </w:p>
    <w:p w14:paraId="0B0F9213">
      <w:pPr>
        <w:ind w:firstLine="411" w:firstLineChars="196"/>
        <w:rPr>
          <w:rFonts w:hint="eastAsia" w:ascii="宋体" w:hAnsi="宋体"/>
          <w:szCs w:val="21"/>
        </w:rPr>
      </w:pPr>
      <w:r>
        <w:rPr>
          <w:rFonts w:hint="eastAsia" w:ascii="宋体" w:hAnsi="宋体"/>
          <w:szCs w:val="21"/>
        </w:rPr>
        <w:t>34.1投标文件中开标一览表投标报价内容与投标文件中投标报价相应内容不一致的，以开标一览表为准；</w:t>
      </w:r>
    </w:p>
    <w:p w14:paraId="15D103AD">
      <w:pPr>
        <w:ind w:firstLine="411" w:firstLineChars="196"/>
        <w:rPr>
          <w:rFonts w:hint="eastAsia" w:ascii="宋体" w:hAnsi="宋体"/>
          <w:szCs w:val="21"/>
        </w:rPr>
      </w:pPr>
      <w:r>
        <w:rPr>
          <w:rFonts w:hint="eastAsia" w:ascii="宋体" w:hAnsi="宋体"/>
          <w:szCs w:val="21"/>
        </w:rPr>
        <w:t>34.2大写金额和小写金额不一致的，以大写金额为准；</w:t>
      </w:r>
    </w:p>
    <w:p w14:paraId="3E74EA77">
      <w:pPr>
        <w:ind w:firstLine="411" w:firstLineChars="196"/>
        <w:rPr>
          <w:rFonts w:hint="eastAsia" w:ascii="宋体" w:hAnsi="宋体"/>
          <w:szCs w:val="21"/>
        </w:rPr>
      </w:pPr>
      <w:r>
        <w:rPr>
          <w:rFonts w:hint="eastAsia" w:ascii="宋体" w:hAnsi="宋体"/>
          <w:szCs w:val="21"/>
        </w:rPr>
        <w:t>34.3单价金额小数点或者百分比有明显错位，以开标一览表的总价为准，并修改单价；</w:t>
      </w:r>
    </w:p>
    <w:p w14:paraId="1B5DD30D">
      <w:pPr>
        <w:ind w:firstLine="411" w:firstLineChars="196"/>
        <w:rPr>
          <w:rFonts w:hint="eastAsia" w:ascii="宋体" w:hAnsi="宋体"/>
          <w:szCs w:val="21"/>
        </w:rPr>
      </w:pPr>
      <w:r>
        <w:rPr>
          <w:rFonts w:hint="eastAsia" w:ascii="宋体" w:hAnsi="宋体"/>
          <w:szCs w:val="21"/>
        </w:rPr>
        <w:t>34.4总价金额与按单价汇总金额不一致的，以单价金额计算结果为准。</w:t>
      </w:r>
    </w:p>
    <w:p w14:paraId="4AA9FFA8">
      <w:pPr>
        <w:ind w:firstLine="411" w:firstLineChars="196"/>
        <w:rPr>
          <w:rFonts w:hint="eastAsia" w:ascii="宋体" w:hAnsi="宋体"/>
          <w:szCs w:val="21"/>
        </w:rPr>
      </w:pPr>
      <w:r>
        <w:rPr>
          <w:rFonts w:hint="eastAsia" w:ascii="宋体" w:hAnsi="宋体"/>
          <w:szCs w:val="21"/>
        </w:rPr>
        <w:t>34.5同时出现两种以上不一致的，按照前款规定的顺序修正。修正后的报价按照本通用条款33条的规定，经投标人确认后产生约束力，投标人不确认的，其投标无效。</w:t>
      </w:r>
    </w:p>
    <w:p w14:paraId="5C11A5F2">
      <w:pPr>
        <w:rPr>
          <w:rFonts w:hint="eastAsia" w:ascii="黑体" w:hAnsi="宋体" w:eastAsia="黑体"/>
          <w:sz w:val="24"/>
        </w:rPr>
      </w:pPr>
      <w:r>
        <w:rPr>
          <w:rFonts w:hint="eastAsia" w:ascii="黑体" w:hAnsi="宋体" w:eastAsia="黑体"/>
          <w:sz w:val="24"/>
        </w:rPr>
        <w:t>35．投标文件的比较与评价</w:t>
      </w:r>
    </w:p>
    <w:p w14:paraId="7421DE0D">
      <w:pPr>
        <w:ind w:firstLine="411" w:firstLineChars="196"/>
        <w:rPr>
          <w:rFonts w:hint="eastAsia" w:ascii="宋体" w:hAnsi="宋体"/>
          <w:szCs w:val="21"/>
        </w:rPr>
      </w:pPr>
      <w:r>
        <w:rPr>
          <w:rFonts w:hint="eastAsia" w:ascii="宋体" w:hAnsi="宋体"/>
          <w:szCs w:val="21"/>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14:paraId="729E0F5C">
      <w:pPr>
        <w:ind w:firstLine="411" w:firstLineChars="196"/>
        <w:rPr>
          <w:rFonts w:hint="eastAsia" w:ascii="宋体" w:hAnsi="宋体"/>
          <w:szCs w:val="21"/>
        </w:rPr>
      </w:pPr>
      <w:r>
        <w:rPr>
          <w:rFonts w:hint="eastAsia" w:ascii="宋体" w:hAnsi="宋体"/>
          <w:szCs w:val="21"/>
        </w:rPr>
        <w:t>评审委员会成员对需要共同认定的事项存在争议的，应当按照少数服从多数的原则作出结论。持不同意见的评审委员会成员应当书面作出说明，否则视为无异议。</w:t>
      </w:r>
    </w:p>
    <w:p w14:paraId="032B231D">
      <w:pPr>
        <w:rPr>
          <w:rFonts w:hint="eastAsia" w:ascii="黑体" w:hAnsi="宋体" w:eastAsia="黑体"/>
          <w:sz w:val="24"/>
        </w:rPr>
      </w:pPr>
      <w:r>
        <w:rPr>
          <w:rFonts w:hint="eastAsia" w:ascii="黑体" w:hAnsi="宋体" w:eastAsia="黑体"/>
          <w:sz w:val="24"/>
        </w:rPr>
        <w:t>36. 实地考察或资料查验</w:t>
      </w:r>
    </w:p>
    <w:p w14:paraId="045147D9">
      <w:pPr>
        <w:ind w:firstLine="411" w:firstLineChars="196"/>
        <w:rPr>
          <w:rFonts w:hint="eastAsia" w:ascii="宋体" w:hAnsi="宋体"/>
          <w:szCs w:val="21"/>
        </w:rPr>
      </w:pPr>
      <w:r>
        <w:rPr>
          <w:rFonts w:hint="eastAsia" w:ascii="宋体" w:hAnsi="宋体"/>
          <w:szCs w:val="21"/>
        </w:rPr>
        <w:t>36.1在评审过程中，评审委员会有权决定是否对本项目投标人进行实地考察或资料查验（原件）。投标人应随时做好接受实地考察或资料查验的准备。</w:t>
      </w:r>
    </w:p>
    <w:p w14:paraId="3A9E53A6">
      <w:pPr>
        <w:rPr>
          <w:rFonts w:hint="eastAsia" w:ascii="黑体" w:hAnsi="宋体" w:eastAsia="黑体"/>
          <w:sz w:val="24"/>
        </w:rPr>
      </w:pPr>
      <w:r>
        <w:rPr>
          <w:rFonts w:hint="eastAsia" w:ascii="黑体" w:hAnsi="宋体" w:eastAsia="黑体"/>
          <w:sz w:val="24"/>
        </w:rPr>
        <w:t>37．评审方法</w:t>
      </w:r>
    </w:p>
    <w:p w14:paraId="789A00EA">
      <w:pPr>
        <w:ind w:firstLine="413" w:firstLineChars="196"/>
        <w:rPr>
          <w:rFonts w:hint="eastAsia" w:ascii="宋体" w:hAnsi="宋体"/>
          <w:b/>
          <w:bCs/>
          <w:szCs w:val="21"/>
        </w:rPr>
      </w:pPr>
      <w:bookmarkStart w:id="82" w:name="_Hlk72438142"/>
      <w:r>
        <w:rPr>
          <w:rFonts w:hint="eastAsia" w:ascii="宋体" w:hAnsi="宋体"/>
          <w:b/>
          <w:bCs/>
          <w:szCs w:val="21"/>
        </w:rPr>
        <w:t>37.1.1最低价法</w:t>
      </w:r>
    </w:p>
    <w:p w14:paraId="6A6E4E6E">
      <w:pPr>
        <w:ind w:firstLine="411" w:firstLineChars="196"/>
        <w:rPr>
          <w:rFonts w:hint="eastAsia" w:ascii="ˎ̥" w:hAnsi="ˎ̥"/>
        </w:rPr>
      </w:pPr>
      <w:r>
        <w:rPr>
          <w:rFonts w:ascii="ˎ̥" w:hAnsi="ˎ̥"/>
        </w:rPr>
        <w:t>最低价法，</w:t>
      </w:r>
      <w:r>
        <w:rPr>
          <w:rFonts w:hint="eastAsia" w:ascii="ˎ̥" w:hAnsi="ˎ̥"/>
        </w:rPr>
        <w:t>是指投标文件满足招标文件全部实质性要求，且投标报价最低的投标人为中标候选人的评标方法。</w:t>
      </w:r>
    </w:p>
    <w:p w14:paraId="0EC41EF5">
      <w:pPr>
        <w:ind w:firstLine="411" w:firstLineChars="196"/>
        <w:rPr>
          <w:rFonts w:hint="eastAsia" w:ascii="ˎ̥" w:hAnsi="ˎ̥" w:eastAsia="宋体"/>
        </w:rPr>
      </w:pPr>
      <w:r>
        <w:rPr>
          <w:rFonts w:hint="eastAsia" w:ascii="ˎ̥" w:hAnsi="ˎ̥"/>
        </w:rPr>
        <w:t>采用最低价法的，评标结果按投标报价由低到高顺序排列。投标报价相同的并列。投标文件满足招标文件全部实质性要求且投标报价最低的投标人为排名第一的中标候选人。出现投标报价相同的并列情况时，采取随机抽取的方式确定。（抽签原则：在深圳公共资源交易中心（深圳交易集团有限公司龙华分公司）的组织下，由评标委员会作为抽签小组进行随机抽签确定排序。（1）编号。抽签小组按上传投标文件的时间先后确定抽签编号，如A 公司上传投标文件的时间最早，则抽签编号为1，以此类推。（2）抽签。按抽签编号的数量在摇号机放入相应数量及对应编号的号码球，抽签小组成员随机抽取号码球，按抽出号码球的顺序，确定号码球对应的供应商排序。（3）确认结果。全体抽签小组成员签字确认抽签结果。）</w:t>
      </w:r>
    </w:p>
    <w:p w14:paraId="2F5E6DDF">
      <w:pPr>
        <w:ind w:firstLine="413" w:firstLineChars="196"/>
        <w:rPr>
          <w:rFonts w:hint="eastAsia" w:ascii="宋体" w:hAnsi="宋体"/>
          <w:b/>
          <w:bCs/>
          <w:szCs w:val="21"/>
        </w:rPr>
      </w:pPr>
      <w:r>
        <w:rPr>
          <w:rFonts w:hint="eastAsia" w:ascii="宋体" w:hAnsi="宋体"/>
          <w:b/>
          <w:bCs/>
          <w:szCs w:val="21"/>
        </w:rPr>
        <w:t>37.1.2综合评分法</w:t>
      </w:r>
    </w:p>
    <w:p w14:paraId="2DAA4F94">
      <w:pPr>
        <w:ind w:firstLine="411" w:firstLineChars="196"/>
        <w:rPr>
          <w:rFonts w:hint="eastAsia" w:ascii="ˎ̥" w:hAnsi="ˎ̥"/>
        </w:rPr>
      </w:pPr>
      <w:r>
        <w:rPr>
          <w:rFonts w:ascii="ˎ̥" w:hAnsi="ˎ̥"/>
        </w:rPr>
        <w:t>综合评分法，是指</w:t>
      </w:r>
      <w:r>
        <w:rPr>
          <w:rFonts w:hint="eastAsia" w:ascii="ˎ̥" w:hAnsi="ˎ̥"/>
        </w:rPr>
        <w:t>在</w:t>
      </w:r>
      <w:r>
        <w:rPr>
          <w:rFonts w:ascii="ˎ̥" w:hAnsi="ˎ̥"/>
        </w:rPr>
        <w:t>满足招标文件全部实质性要求</w:t>
      </w:r>
      <w:r>
        <w:rPr>
          <w:rFonts w:hint="eastAsia" w:ascii="ˎ̥" w:hAnsi="ˎ̥"/>
        </w:rPr>
        <w:t>的前提下</w:t>
      </w:r>
      <w:r>
        <w:rPr>
          <w:rFonts w:ascii="ˎ̥" w:hAnsi="ˎ̥"/>
        </w:rPr>
        <w:t>，</w:t>
      </w:r>
      <w:r>
        <w:rPr>
          <w:rFonts w:hint="eastAsia" w:ascii="ˎ̥" w:hAnsi="ˎ̥"/>
        </w:rPr>
        <w:t>按照招标文件中规定的各项因素进行综合评审，评审总得分排名前列的投标人，作为推荐的候选中标供应商。</w:t>
      </w:r>
    </w:p>
    <w:p w14:paraId="328DE5CB">
      <w:pPr>
        <w:ind w:firstLine="411" w:firstLineChars="196"/>
        <w:rPr>
          <w:rFonts w:hint="eastAsia" w:ascii="ˎ̥" w:hAnsi="ˎ̥"/>
        </w:rPr>
      </w:pPr>
      <w:r>
        <w:rPr>
          <w:rFonts w:hint="eastAsia" w:ascii="ˎ̥" w:hAnsi="ˎ̥"/>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出现得分且投标报价相同的并列情况时，采取随机抽取的方式确定。（抽签原则：在深圳公共资源交易中心（深圳交易集团有限公司龙华分公司）的组织下，由评标委员会作为抽签小组进行随机抽签确定排序。（1）编号。抽签小组按上传投标文件的时间先后确定抽签编号，如A 公司上传投标文件的时间最早，则抽签编号为1，以此类推。（2）抽签。按抽签编号的数量在摇号机放入相应数量及对应编号的号码球，抽签小组成员随机抽取号码球，按抽出号码球的顺序，确定号码球对应的供应商排序。（3）确认结果。全体抽签小组成员签字确认抽签结果。）</w:t>
      </w:r>
      <w:bookmarkEnd w:id="82"/>
    </w:p>
    <w:p w14:paraId="06873C99">
      <w:pPr>
        <w:ind w:firstLine="413" w:firstLineChars="196"/>
        <w:rPr>
          <w:rFonts w:hint="eastAsia" w:ascii="宋体" w:hAnsi="宋体"/>
          <w:b/>
          <w:bCs/>
          <w:szCs w:val="21"/>
        </w:rPr>
      </w:pPr>
      <w:r>
        <w:rPr>
          <w:rFonts w:hint="eastAsia" w:ascii="宋体" w:hAnsi="宋体"/>
          <w:b/>
          <w:bCs/>
          <w:szCs w:val="21"/>
        </w:rPr>
        <w:t>37.2 本项目采用的评审方法见本项目招标文件第一册“专用条款”的相关内容。</w:t>
      </w:r>
    </w:p>
    <w:p w14:paraId="40D8A626">
      <w:pPr>
        <w:ind w:firstLine="413" w:firstLineChars="196"/>
        <w:rPr>
          <w:rFonts w:hint="eastAsia" w:ascii="宋体" w:hAnsi="宋体"/>
          <w:b/>
          <w:bCs/>
          <w:szCs w:val="21"/>
        </w:rPr>
      </w:pPr>
      <w:r>
        <w:rPr>
          <w:rFonts w:hint="eastAsia" w:ascii="宋体" w:hAnsi="宋体"/>
          <w:b/>
          <w:bCs/>
          <w:szCs w:val="21"/>
        </w:rPr>
        <w:t>37.3重新评审的情形</w:t>
      </w:r>
    </w:p>
    <w:p w14:paraId="13D2F5BB">
      <w:pPr>
        <w:ind w:firstLine="411" w:firstLineChars="196"/>
        <w:rPr>
          <w:rFonts w:hint="eastAsia" w:ascii="宋体" w:hAnsi="宋体"/>
          <w:b/>
          <w:bCs/>
          <w:szCs w:val="21"/>
        </w:rPr>
      </w:pPr>
      <w:r>
        <w:rPr>
          <w:rFonts w:hint="eastAsia" w:ascii="宋体" w:hAnsi="宋体" w:cs="宋体"/>
          <w:kern w:val="0"/>
          <w:szCs w:val="21"/>
        </w:rPr>
        <w:t>评审结果汇总完成后，除下列情形外，任何人不得修改评审结果：</w:t>
      </w:r>
    </w:p>
    <w:p w14:paraId="7FDAE26F">
      <w:pPr>
        <w:ind w:firstLine="411" w:firstLineChars="196"/>
        <w:rPr>
          <w:rFonts w:hint="eastAsia" w:ascii="宋体" w:hAnsi="宋体" w:cs="宋体"/>
          <w:kern w:val="0"/>
          <w:szCs w:val="21"/>
        </w:rPr>
      </w:pPr>
      <w:r>
        <w:rPr>
          <w:rFonts w:hint="eastAsia" w:ascii="宋体" w:hAnsi="宋体" w:cs="宋体"/>
          <w:kern w:val="0"/>
          <w:szCs w:val="21"/>
        </w:rPr>
        <w:t>37.3.1分值汇总计算错误的；</w:t>
      </w:r>
    </w:p>
    <w:p w14:paraId="6F73DEC3">
      <w:pPr>
        <w:ind w:firstLine="411" w:firstLineChars="196"/>
        <w:rPr>
          <w:rFonts w:hint="eastAsia" w:ascii="宋体" w:hAnsi="宋体" w:cs="宋体"/>
          <w:kern w:val="0"/>
          <w:szCs w:val="21"/>
        </w:rPr>
      </w:pPr>
      <w:r>
        <w:rPr>
          <w:rFonts w:hint="eastAsia" w:ascii="宋体" w:hAnsi="宋体" w:cs="宋体"/>
          <w:kern w:val="0"/>
          <w:szCs w:val="21"/>
        </w:rPr>
        <w:t>37.3.2分项评分超出评分标准范围的；</w:t>
      </w:r>
    </w:p>
    <w:p w14:paraId="2DBEA5CA">
      <w:pPr>
        <w:ind w:firstLine="411" w:firstLineChars="196"/>
        <w:rPr>
          <w:rFonts w:hint="eastAsia" w:ascii="宋体" w:hAnsi="宋体" w:cs="宋体"/>
          <w:kern w:val="0"/>
          <w:szCs w:val="21"/>
        </w:rPr>
      </w:pPr>
      <w:r>
        <w:rPr>
          <w:rFonts w:hint="eastAsia" w:ascii="宋体" w:hAnsi="宋体" w:cs="宋体"/>
          <w:kern w:val="0"/>
          <w:szCs w:val="21"/>
        </w:rPr>
        <w:t>37.3.3评审委员会成员对客观评审因素评分不一致的；</w:t>
      </w:r>
    </w:p>
    <w:p w14:paraId="532AE65D">
      <w:pPr>
        <w:ind w:firstLine="411" w:firstLineChars="196"/>
        <w:rPr>
          <w:rFonts w:hint="eastAsia" w:ascii="宋体" w:hAnsi="宋体" w:cs="宋体"/>
          <w:kern w:val="0"/>
          <w:szCs w:val="21"/>
        </w:rPr>
      </w:pPr>
      <w:r>
        <w:rPr>
          <w:rFonts w:hint="eastAsia" w:ascii="宋体" w:hAnsi="宋体" w:cs="宋体"/>
          <w:kern w:val="0"/>
          <w:szCs w:val="21"/>
        </w:rPr>
        <w:t>37.3.4经评审委员会认定评分畸高、畸低的。</w:t>
      </w:r>
    </w:p>
    <w:p w14:paraId="758CF482">
      <w:pPr>
        <w:ind w:firstLine="411" w:firstLineChars="196"/>
        <w:rPr>
          <w:rFonts w:hint="eastAsia" w:ascii="宋体" w:hAnsi="宋体" w:cs="宋体"/>
          <w:kern w:val="0"/>
          <w:szCs w:val="21"/>
        </w:rPr>
      </w:pPr>
      <w:r>
        <w:rPr>
          <w:rFonts w:hint="eastAsia" w:ascii="宋体" w:hAnsi="宋体" w:cs="宋体"/>
          <w:kern w:val="0"/>
          <w:szCs w:val="21"/>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14:paraId="77FB384E">
      <w:pPr>
        <w:ind w:firstLine="411" w:firstLineChars="196"/>
        <w:rPr>
          <w:rFonts w:hint="eastAsia" w:ascii="宋体" w:hAnsi="宋体" w:cs="宋体"/>
          <w:kern w:val="0"/>
          <w:szCs w:val="21"/>
        </w:rPr>
      </w:pPr>
      <w:r>
        <w:rPr>
          <w:rFonts w:hint="eastAsia" w:ascii="宋体" w:hAnsi="宋体" w:cs="宋体"/>
          <w:kern w:val="0"/>
          <w:szCs w:val="21"/>
        </w:rPr>
        <w:t>投标人对本条第一款情形提出质疑的，采购人或者采购代理机构可以组织原评审委员会进行重新评审，重新评审改变评审结果的，应当书面报告本级财政部门。</w:t>
      </w:r>
    </w:p>
    <w:p w14:paraId="11685AA4">
      <w:pPr>
        <w:ind w:firstLine="413" w:firstLineChars="196"/>
        <w:rPr>
          <w:rFonts w:hint="eastAsia" w:ascii="宋体" w:hAnsi="宋体"/>
          <w:b/>
          <w:bCs/>
          <w:szCs w:val="21"/>
        </w:rPr>
      </w:pPr>
      <w:r>
        <w:rPr>
          <w:rFonts w:hint="eastAsia" w:ascii="宋体" w:hAnsi="宋体"/>
          <w:b/>
          <w:bCs/>
          <w:szCs w:val="21"/>
        </w:rPr>
        <w:t xml:space="preserve"> 37.4重新组建评审委员会的情形</w:t>
      </w:r>
    </w:p>
    <w:p w14:paraId="72012AB1">
      <w:pPr>
        <w:ind w:firstLine="411" w:firstLineChars="196"/>
        <w:rPr>
          <w:rFonts w:hint="eastAsia" w:ascii="宋体" w:hAnsi="宋体" w:cs="宋体"/>
          <w:kern w:val="0"/>
          <w:szCs w:val="21"/>
        </w:rPr>
      </w:pPr>
      <w:r>
        <w:rPr>
          <w:rFonts w:hint="eastAsia" w:ascii="宋体" w:hAnsi="宋体" w:cs="宋体"/>
          <w:kern w:val="0"/>
          <w:szCs w:val="21"/>
        </w:rPr>
        <w:t>评审委员会或者其成员存在下列情形导致评审结果无效的，重新组建评审委员会进行评标，并书面报告本级财政部门：</w:t>
      </w:r>
    </w:p>
    <w:p w14:paraId="20309EFF">
      <w:pPr>
        <w:ind w:firstLine="411" w:firstLineChars="196"/>
        <w:rPr>
          <w:rFonts w:hint="eastAsia" w:ascii="宋体" w:hAnsi="宋体" w:cs="宋体"/>
          <w:kern w:val="0"/>
          <w:szCs w:val="21"/>
        </w:rPr>
      </w:pPr>
      <w:r>
        <w:rPr>
          <w:rFonts w:hint="eastAsia" w:ascii="宋体" w:hAnsi="宋体" w:cs="宋体"/>
          <w:kern w:val="0"/>
          <w:szCs w:val="21"/>
        </w:rPr>
        <w:t>37.4.1评审委员会组成不符合《政府采购货物和服务招标投标管理办法》规定的；</w:t>
      </w:r>
    </w:p>
    <w:p w14:paraId="5BE33C66">
      <w:pPr>
        <w:ind w:firstLine="411" w:firstLineChars="196"/>
        <w:rPr>
          <w:rFonts w:hint="eastAsia" w:ascii="宋体" w:hAnsi="宋体" w:cs="宋体"/>
          <w:kern w:val="0"/>
          <w:szCs w:val="21"/>
        </w:rPr>
      </w:pPr>
      <w:r>
        <w:rPr>
          <w:rFonts w:hint="eastAsia" w:ascii="宋体" w:hAnsi="宋体" w:cs="宋体"/>
          <w:kern w:val="0"/>
          <w:szCs w:val="21"/>
        </w:rPr>
        <w:t>37.4.2有《政府采购货物和服务招标投标管理办法》第六十二条第一至五项情形的；</w:t>
      </w:r>
    </w:p>
    <w:p w14:paraId="07AB22D7">
      <w:pPr>
        <w:ind w:firstLine="411" w:firstLineChars="196"/>
        <w:rPr>
          <w:rFonts w:hint="eastAsia" w:ascii="宋体" w:hAnsi="宋体" w:cs="宋体"/>
          <w:kern w:val="0"/>
          <w:szCs w:val="21"/>
        </w:rPr>
      </w:pPr>
      <w:r>
        <w:rPr>
          <w:rFonts w:hint="eastAsia" w:ascii="宋体" w:hAnsi="宋体" w:cs="宋体"/>
          <w:kern w:val="0"/>
          <w:szCs w:val="21"/>
        </w:rPr>
        <w:t>37.4.3评审委员会及其成员独立评标受到非法干预的；</w:t>
      </w:r>
    </w:p>
    <w:p w14:paraId="009B4EF8">
      <w:pPr>
        <w:ind w:firstLine="411" w:firstLineChars="196"/>
        <w:rPr>
          <w:rFonts w:hint="eastAsia" w:ascii="宋体" w:hAnsi="宋体" w:cs="宋体"/>
          <w:kern w:val="0"/>
          <w:szCs w:val="21"/>
        </w:rPr>
      </w:pPr>
      <w:r>
        <w:rPr>
          <w:rFonts w:hint="eastAsia" w:ascii="宋体" w:hAnsi="宋体" w:cs="宋体"/>
          <w:kern w:val="0"/>
          <w:szCs w:val="21"/>
        </w:rPr>
        <w:t>37.4.4有政府采购法实施条例第七十五条规定的违法行为的。</w:t>
      </w:r>
    </w:p>
    <w:p w14:paraId="57BCC4A0">
      <w:pPr>
        <w:ind w:firstLine="411" w:firstLineChars="196"/>
        <w:rPr>
          <w:rFonts w:hint="eastAsia" w:ascii="宋体" w:hAnsi="宋体" w:cs="宋体"/>
          <w:kern w:val="0"/>
          <w:szCs w:val="21"/>
        </w:rPr>
      </w:pPr>
      <w:r>
        <w:rPr>
          <w:rFonts w:hint="eastAsia" w:ascii="宋体" w:hAnsi="宋体" w:cs="宋体"/>
          <w:kern w:val="0"/>
          <w:szCs w:val="21"/>
        </w:rPr>
        <w:t>有违法违规行为的原评审委员会成员不得参加重新组建的评审委员会。</w:t>
      </w:r>
    </w:p>
    <w:p w14:paraId="096A87FA">
      <w:pPr>
        <w:ind w:firstLine="411" w:firstLineChars="196"/>
        <w:rPr>
          <w:rFonts w:hint="eastAsia" w:ascii="宋体" w:hAnsi="宋体"/>
          <w:szCs w:val="21"/>
        </w:rPr>
      </w:pPr>
    </w:p>
    <w:p w14:paraId="4CF9D111">
      <w:pPr>
        <w:pStyle w:val="3"/>
        <w:numPr>
          <w:ilvl w:val="0"/>
          <w:numId w:val="14"/>
        </w:numPr>
        <w:spacing w:before="156" w:beforeLines="50" w:after="156" w:afterLines="50"/>
        <w:ind w:left="562" w:hanging="562"/>
        <w:rPr>
          <w:sz w:val="28"/>
          <w:szCs w:val="28"/>
        </w:rPr>
      </w:pPr>
      <w:r>
        <w:rPr>
          <w:rFonts w:hint="eastAsia"/>
          <w:sz w:val="28"/>
          <w:szCs w:val="28"/>
        </w:rPr>
        <w:t>定标及公示</w:t>
      </w:r>
    </w:p>
    <w:p w14:paraId="60D33B38">
      <w:pPr>
        <w:rPr>
          <w:rFonts w:hint="eastAsia" w:ascii="黑体" w:hAnsi="宋体" w:eastAsia="黑体"/>
          <w:sz w:val="24"/>
        </w:rPr>
      </w:pPr>
      <w:r>
        <w:rPr>
          <w:rFonts w:hint="eastAsia" w:ascii="黑体" w:hAnsi="宋体" w:eastAsia="黑体"/>
          <w:sz w:val="24"/>
        </w:rPr>
        <w:t>38．定标方法</w:t>
      </w:r>
    </w:p>
    <w:p w14:paraId="04092869">
      <w:pPr>
        <w:ind w:firstLine="411" w:firstLineChars="196"/>
        <w:rPr>
          <w:rFonts w:hint="eastAsia" w:ascii="宋体" w:hAnsi="宋体"/>
          <w:szCs w:val="21"/>
        </w:rPr>
      </w:pPr>
      <w:bookmarkStart w:id="83" w:name="_Hlk73782795"/>
      <w:r>
        <w:rPr>
          <w:rFonts w:hint="eastAsia" w:ascii="宋体" w:hAnsi="宋体"/>
          <w:szCs w:val="21"/>
        </w:rPr>
        <w:t>38.1非评定分离项目定标方法</w:t>
      </w:r>
    </w:p>
    <w:p w14:paraId="4950205C">
      <w:pPr>
        <w:ind w:firstLine="411" w:firstLineChars="196"/>
        <w:rPr>
          <w:rFonts w:hint="eastAsia" w:ascii="宋体" w:hAnsi="宋体"/>
          <w:szCs w:val="21"/>
        </w:rPr>
      </w:pPr>
      <w:r>
        <w:rPr>
          <w:rFonts w:hint="eastAsia" w:ascii="宋体" w:hAnsi="宋体"/>
          <w:szCs w:val="21"/>
        </w:rPr>
        <w:t>38</w:t>
      </w:r>
      <w:r>
        <w:rPr>
          <w:rFonts w:ascii="宋体" w:hAnsi="宋体"/>
          <w:szCs w:val="21"/>
        </w:rPr>
        <w:t>.</w:t>
      </w:r>
      <w:r>
        <w:rPr>
          <w:rFonts w:hint="eastAsia" w:ascii="宋体" w:hAnsi="宋体"/>
          <w:szCs w:val="21"/>
        </w:rPr>
        <w:t>1.1评审委员会依据本项目招标文件所约定的评审方法进行评审和比较，向政府集中采购机构提交书面评审报告，并根据评审方法比较评价结果从优到劣进行排序，确定候选中标供应商。</w:t>
      </w:r>
    </w:p>
    <w:p w14:paraId="5317512C">
      <w:pPr>
        <w:ind w:firstLine="411" w:firstLineChars="196"/>
        <w:rPr>
          <w:rFonts w:hint="eastAsia" w:ascii="ˎ̥" w:hAnsi="ˎ̥"/>
        </w:rPr>
      </w:pPr>
      <w:r>
        <w:rPr>
          <w:rFonts w:hint="eastAsia" w:ascii="ˎ̥" w:hAnsi="ˎ̥"/>
        </w:rPr>
        <w:t>38.1.2采用最低价法的，评审结果按投标报价由低到高顺序排列。投标报价相同的并列。投标文件满足招标文件全部实质性要求且投标报价最低的投标人为中标供应商（排名第二的投标人为第一替补中标候选人、排名第三的投标人为第二替补中标候选人）。出现投标报价相同的并列情况时，采取随机抽取的方式确定。（抽签原则：在深圳公共资源交易中心（深圳交易集团有限公司龙华分公司）的组织下，由评标委员会作为抽签小组进行随机抽签确定排序。（1）编号。抽签小组按上传投标文件的时间先后确定抽签编号，如A 公司上传投标文件的时间最早，则抽签编号为1，以此类推。（2）抽签。按抽签编号的数量在摇号机放入相应数量及对应编号的号码球，抽签小组成员随机抽取号码球，按抽出号码球的顺序，确定号码球对应的供应商排序。（3）确认结果。全体抽签小组成员签字确认抽签结果。）</w:t>
      </w:r>
    </w:p>
    <w:p w14:paraId="617CC63D">
      <w:pPr>
        <w:ind w:firstLine="411" w:firstLineChars="196"/>
        <w:rPr>
          <w:rFonts w:hint="eastAsia" w:ascii="ˎ̥" w:hAnsi="ˎ̥"/>
        </w:rPr>
      </w:pPr>
      <w:r>
        <w:rPr>
          <w:rFonts w:hint="eastAsia" w:ascii="ˎ̥" w:hAnsi="ˎ̥"/>
        </w:rPr>
        <w:t>38.1.3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中标供应商（排名第二的投标人为第一替补中标候选人、排名第三的投标人为第二替补中标候选人）。出现得分且投标报价相同的并列情况时，采取随机抽取的方式确定。（抽签原则：在深圳公共资源交易中心（深圳交易集团有限公司龙华分公司）的组织下，由评标委员会作为抽签小组进行随机抽签确定排序。（1）编号。抽签小组按上传投标文件的时间先后确定抽签编号，如A 公司上传投标文件的时间最早，则抽签编号为1，以此类推。（2）抽签。按抽签编号的数量在摇号机放入相应数量及对应编号的号码球，抽签小组成员随机抽取号码球，按抽出号码球的顺序，确定号码球对应的供应商排序。（3）确认结果。全体抽签小组成员签字确认抽签结果。）</w:t>
      </w:r>
    </w:p>
    <w:p w14:paraId="070E1E4A">
      <w:pPr>
        <w:ind w:firstLine="411" w:firstLineChars="196"/>
        <w:rPr>
          <w:rFonts w:hint="eastAsia" w:ascii="宋体" w:hAnsi="宋体"/>
          <w:szCs w:val="21"/>
        </w:rPr>
      </w:pPr>
      <w:r>
        <w:rPr>
          <w:rFonts w:hint="eastAsia" w:ascii="宋体" w:hAnsi="宋体"/>
          <w:szCs w:val="21"/>
        </w:rPr>
        <w:t>38.2评定分离项目定标方法</w:t>
      </w:r>
    </w:p>
    <w:p w14:paraId="78D4BA8E">
      <w:pPr>
        <w:ind w:firstLine="411" w:firstLineChars="196"/>
        <w:rPr>
          <w:rFonts w:hint="eastAsia" w:ascii="宋体" w:hAnsi="宋体"/>
          <w:szCs w:val="21"/>
        </w:rPr>
      </w:pPr>
      <w:r>
        <w:rPr>
          <w:rFonts w:hint="eastAsia" w:ascii="宋体" w:hAnsi="宋体"/>
          <w:szCs w:val="21"/>
        </w:rPr>
        <w:t>38.2.1评定分离是指在政府集中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14:paraId="7BEA7149">
      <w:pPr>
        <w:ind w:firstLine="411" w:firstLineChars="196"/>
      </w:pPr>
      <w:r>
        <w:rPr>
          <w:rFonts w:ascii="宋体" w:hAnsi="宋体"/>
          <w:szCs w:val="21"/>
        </w:rPr>
        <w:t xml:space="preserve">38.2.2 </w:t>
      </w:r>
      <w:bookmarkStart w:id="84" w:name="_Hlk71469733"/>
      <w:r>
        <w:t>适用评定分离的政府采购项目，采用综合评分法评</w:t>
      </w:r>
      <w:r>
        <w:rPr>
          <w:rFonts w:hint="eastAsia"/>
        </w:rPr>
        <w:t>审。</w:t>
      </w:r>
      <w:r>
        <w:rPr>
          <w:rFonts w:hint="eastAsia" w:ascii="宋体" w:hAnsi="宋体"/>
          <w:szCs w:val="21"/>
        </w:rPr>
        <w:t>评审委员会按照评审结果，推荐</w:t>
      </w:r>
      <w:r>
        <w:t>三个合格的候选中标供应商。</w:t>
      </w:r>
    </w:p>
    <w:p w14:paraId="7E27151D">
      <w:pPr>
        <w:ind w:firstLine="411" w:firstLineChars="196"/>
        <w:rPr>
          <w:rFonts w:hint="eastAsia" w:ascii="宋体" w:hAnsi="宋体"/>
          <w:szCs w:val="21"/>
        </w:rPr>
      </w:pPr>
      <w:r>
        <w:rPr>
          <w:rFonts w:hint="eastAsia" w:ascii="宋体" w:hAnsi="宋体"/>
          <w:szCs w:val="21"/>
        </w:rPr>
        <w:t>38.2.3</w:t>
      </w:r>
      <w:bookmarkStart w:id="85" w:name="_Hlk71469688"/>
      <w:r>
        <w:t>适用评定分离的政府采购项目，</w:t>
      </w:r>
      <w:r>
        <w:rPr>
          <w:rFonts w:hint="eastAsia" w:ascii="宋体" w:hAnsi="宋体"/>
          <w:szCs w:val="21"/>
        </w:rPr>
        <w:t>按照自定法确定中标供应商：自定法是指采购人组织定标委员会，由定标委员会在三家候选中标供应商中确定中标供应商。</w:t>
      </w:r>
      <w:bookmarkEnd w:id="84"/>
      <w:bookmarkEnd w:id="85"/>
    </w:p>
    <w:p w14:paraId="2F795546">
      <w:pPr>
        <w:ind w:firstLine="411" w:firstLineChars="196"/>
        <w:rPr>
          <w:rFonts w:hint="eastAsia" w:ascii="宋体" w:hAnsi="宋体"/>
          <w:szCs w:val="21"/>
        </w:rPr>
      </w:pPr>
      <w:r>
        <w:rPr>
          <w:rFonts w:ascii="宋体" w:hAnsi="宋体"/>
          <w:szCs w:val="21"/>
        </w:rPr>
        <w:t>38.2.4</w:t>
      </w:r>
      <w:r>
        <w:rPr>
          <w:rFonts w:hint="eastAsia" w:ascii="宋体" w:hAnsi="宋体"/>
          <w:szCs w:val="21"/>
        </w:rPr>
        <w:t>政府集中采购机构</w:t>
      </w:r>
      <w:r>
        <w:t>应当自评审结束之日起两个工作日内将候选中标供应商名单及其投标文件、评审报告送交采购人</w:t>
      </w:r>
      <w:r>
        <w:rPr>
          <w:rFonts w:hint="eastAsia" w:ascii="宋体" w:hAnsi="宋体"/>
          <w:szCs w:val="21"/>
        </w:rPr>
        <w:t>。</w:t>
      </w:r>
      <w:r>
        <w:t>采购人应当安排专人对定标过程进行书面记录，形成定标报告，作为采购文件的组成部分存档，并及时将定标结果反馈</w:t>
      </w:r>
      <w:r>
        <w:rPr>
          <w:rFonts w:hint="eastAsia"/>
        </w:rPr>
        <w:t>政府集中采购机构。具体定标程序及相关要求以按照《</w:t>
      </w:r>
      <w:r>
        <w:t>深圳市财政局关于印发</w:t>
      </w:r>
      <w:r>
        <w:rPr>
          <w:rFonts w:hint="eastAsia" w:ascii="宋体" w:hAnsi="宋体"/>
        </w:rPr>
        <w:t>〈</w:t>
      </w:r>
      <w:r>
        <w:t>深圳市政府采购评标定标分离管理办法</w:t>
      </w:r>
      <w:r>
        <w:rPr>
          <w:rFonts w:hint="eastAsia" w:ascii="宋体" w:hAnsi="宋体"/>
        </w:rPr>
        <w:t>〉</w:t>
      </w:r>
      <w:r>
        <w:t>的通知</w:t>
      </w:r>
      <w:r>
        <w:rPr>
          <w:rFonts w:hint="eastAsia"/>
        </w:rPr>
        <w:t>》（深财规【2</w:t>
      </w:r>
      <w:r>
        <w:t>020</w:t>
      </w:r>
      <w:r>
        <w:rPr>
          <w:rFonts w:hint="eastAsia"/>
        </w:rPr>
        <w:t>】1号）执行。</w:t>
      </w:r>
    </w:p>
    <w:p w14:paraId="5F2D8432">
      <w:pPr>
        <w:ind w:firstLine="411" w:firstLineChars="196"/>
        <w:rPr>
          <w:rFonts w:hint="eastAsia" w:ascii="宋体" w:hAnsi="宋体"/>
          <w:szCs w:val="21"/>
        </w:rPr>
      </w:pPr>
      <w:r>
        <w:rPr>
          <w:rFonts w:hint="eastAsia" w:ascii="宋体" w:hAnsi="宋体"/>
          <w:szCs w:val="21"/>
        </w:rPr>
        <w:t>说明：采购人及投标供应商应按照上述方法提前做好相关准备。</w:t>
      </w:r>
    </w:p>
    <w:p w14:paraId="134A9AEB">
      <w:pPr>
        <w:ind w:firstLine="411" w:firstLineChars="196"/>
        <w:rPr>
          <w:rFonts w:hint="eastAsia" w:ascii="宋体" w:hAnsi="宋体"/>
          <w:szCs w:val="21"/>
        </w:rPr>
      </w:pPr>
      <w:r>
        <w:rPr>
          <w:rFonts w:hint="eastAsia" w:ascii="宋体" w:hAnsi="宋体"/>
          <w:szCs w:val="21"/>
        </w:rPr>
        <w:t>38.3专用条款另有规定的，按专用条款相关要求定标。</w:t>
      </w:r>
      <w:bookmarkEnd w:id="83"/>
    </w:p>
    <w:p w14:paraId="034CE025">
      <w:pPr>
        <w:rPr>
          <w:rFonts w:hint="eastAsia" w:ascii="黑体" w:hAnsi="宋体" w:eastAsia="黑体"/>
          <w:sz w:val="24"/>
        </w:rPr>
      </w:pPr>
      <w:r>
        <w:rPr>
          <w:rFonts w:hint="eastAsia" w:ascii="黑体" w:hAnsi="宋体" w:eastAsia="黑体"/>
          <w:sz w:val="24"/>
        </w:rPr>
        <w:t>39．编写评审报告</w:t>
      </w:r>
    </w:p>
    <w:p w14:paraId="2BB62219">
      <w:pPr>
        <w:ind w:firstLine="411" w:firstLineChars="196"/>
        <w:rPr>
          <w:rFonts w:hint="eastAsia" w:ascii="宋体" w:hAnsi="宋体"/>
          <w:szCs w:val="21"/>
        </w:rPr>
      </w:pPr>
      <w:r>
        <w:rPr>
          <w:rFonts w:hint="eastAsia" w:ascii="宋体" w:hAnsi="宋体"/>
          <w:szCs w:val="21"/>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14:paraId="468D68A8">
      <w:pPr>
        <w:rPr>
          <w:rFonts w:hint="eastAsia" w:ascii="黑体" w:hAnsi="宋体" w:eastAsia="黑体"/>
          <w:sz w:val="24"/>
        </w:rPr>
      </w:pPr>
      <w:r>
        <w:rPr>
          <w:rFonts w:hint="eastAsia" w:ascii="黑体" w:hAnsi="宋体" w:eastAsia="黑体"/>
          <w:sz w:val="24"/>
        </w:rPr>
        <w:t>40．中标公告</w:t>
      </w:r>
    </w:p>
    <w:p w14:paraId="25B8005A">
      <w:pPr>
        <w:ind w:firstLine="411" w:firstLineChars="196"/>
        <w:rPr>
          <w:rFonts w:hint="eastAsia" w:ascii="宋体" w:hAnsi="宋体"/>
          <w:szCs w:val="21"/>
        </w:rPr>
      </w:pPr>
      <w:r>
        <w:rPr>
          <w:rFonts w:hint="eastAsia" w:ascii="宋体" w:hAnsi="宋体"/>
          <w:szCs w:val="21"/>
        </w:rPr>
        <w:t>40.1</w:t>
      </w:r>
      <w:bookmarkStart w:id="86" w:name="_Hlk72438709"/>
      <w:r>
        <w:rPr>
          <w:rFonts w:hint="eastAsia" w:ascii="宋体" w:hAnsi="宋体"/>
          <w:szCs w:val="21"/>
        </w:rPr>
        <w:t>为体现“公开、公平、公正”的原则，评审结束后经采购人确认（确定）评审结果，政府集中采购机构将在</w:t>
      </w:r>
      <w:r>
        <w:rPr>
          <w:rFonts w:hint="eastAsia" w:ascii="宋体" w:hAnsi="宋体"/>
          <w:b/>
          <w:bCs/>
        </w:rPr>
        <w:t>深圳政府采购自行采购系统</w:t>
      </w:r>
      <w:r>
        <w:rPr>
          <w:rFonts w:hint="eastAsia" w:ascii="宋体" w:hAnsi="宋体"/>
          <w:b/>
          <w:bCs/>
          <w:szCs w:val="21"/>
        </w:rPr>
        <w:t>（https://zxcg.szggzy.com/home/index.html）</w:t>
      </w:r>
      <w:r>
        <w:rPr>
          <w:rFonts w:hint="eastAsia" w:ascii="宋体" w:hAnsi="宋体"/>
          <w:szCs w:val="21"/>
        </w:rPr>
        <w:t>上发布中标结果公告。</w:t>
      </w:r>
      <w:bookmarkEnd w:id="86"/>
      <w:bookmarkStart w:id="87" w:name="_Hlk72438751"/>
      <w:r>
        <w:rPr>
          <w:rFonts w:hint="eastAsia" w:ascii="宋体" w:hAnsi="宋体"/>
          <w:szCs w:val="21"/>
        </w:rPr>
        <w:t>供应商如对评审结果有异议，</w:t>
      </w:r>
      <w:r>
        <w:rPr>
          <w:rFonts w:ascii="宋体" w:hAnsi="宋体"/>
          <w:szCs w:val="21"/>
        </w:rPr>
        <w:t>可在发布公示日期起</w:t>
      </w:r>
      <w:r>
        <w:rPr>
          <w:rFonts w:hint="eastAsia" w:ascii="宋体" w:hAnsi="宋体"/>
          <w:szCs w:val="21"/>
        </w:rPr>
        <w:t>七</w:t>
      </w:r>
      <w:r>
        <w:rPr>
          <w:rFonts w:ascii="宋体" w:hAnsi="宋体"/>
          <w:szCs w:val="21"/>
        </w:rPr>
        <w:t>个工作日内向</w:t>
      </w:r>
      <w:r>
        <w:rPr>
          <w:rFonts w:hint="eastAsia" w:ascii="宋体" w:hAnsi="宋体"/>
          <w:szCs w:val="21"/>
        </w:rPr>
        <w:t>政府集中采购机构</w:t>
      </w:r>
      <w:r>
        <w:rPr>
          <w:rFonts w:ascii="宋体" w:hAnsi="宋体"/>
          <w:szCs w:val="21"/>
        </w:rPr>
        <w:t>提出。 监督电话：0755-83948143。</w:t>
      </w:r>
      <w:r>
        <w:rPr>
          <w:rFonts w:hint="eastAsia" w:ascii="宋体" w:hAnsi="宋体"/>
          <w:szCs w:val="21"/>
        </w:rPr>
        <w:t>若在公示期内未提出质疑，则视为认同该评审结果。</w:t>
      </w:r>
    </w:p>
    <w:bookmarkEnd w:id="87"/>
    <w:p w14:paraId="1509AAB1">
      <w:pPr>
        <w:ind w:firstLine="411" w:firstLineChars="196"/>
        <w:rPr>
          <w:rFonts w:hint="eastAsia" w:ascii="宋体" w:hAnsi="宋体"/>
          <w:szCs w:val="21"/>
        </w:rPr>
      </w:pPr>
      <w:r>
        <w:rPr>
          <w:rFonts w:hint="eastAsia" w:ascii="宋体" w:hAnsi="宋体"/>
          <w:szCs w:val="21"/>
        </w:rPr>
        <w:t>40.2质疑、投诉供应商应保证质疑、投诉内容的真实性和可靠性，并承担相应的法律责任。</w:t>
      </w:r>
    </w:p>
    <w:p w14:paraId="2FB318FB">
      <w:pPr>
        <w:rPr>
          <w:rFonts w:hint="eastAsia" w:ascii="黑体" w:hAnsi="宋体" w:eastAsia="黑体"/>
          <w:sz w:val="24"/>
        </w:rPr>
      </w:pPr>
      <w:r>
        <w:rPr>
          <w:rFonts w:hint="eastAsia" w:ascii="黑体" w:hAnsi="宋体" w:eastAsia="黑体"/>
          <w:sz w:val="24"/>
        </w:rPr>
        <w:t>41．中标通知书</w:t>
      </w:r>
    </w:p>
    <w:p w14:paraId="5EE4F6A1">
      <w:pPr>
        <w:ind w:firstLine="411" w:firstLineChars="196"/>
        <w:rPr>
          <w:rFonts w:hint="eastAsia" w:ascii="宋体" w:hAnsi="宋体"/>
          <w:szCs w:val="21"/>
        </w:rPr>
      </w:pPr>
      <w:r>
        <w:rPr>
          <w:rFonts w:hint="eastAsia" w:ascii="宋体" w:hAnsi="宋体"/>
          <w:szCs w:val="21"/>
        </w:rPr>
        <w:t>41</w:t>
      </w:r>
      <w:r>
        <w:rPr>
          <w:rFonts w:ascii="宋体" w:hAnsi="宋体"/>
          <w:szCs w:val="21"/>
        </w:rPr>
        <w:t>.</w:t>
      </w:r>
      <w:r>
        <w:rPr>
          <w:rFonts w:hint="eastAsia" w:ascii="宋体" w:hAnsi="宋体"/>
          <w:szCs w:val="21"/>
        </w:rPr>
        <w:t>1</w:t>
      </w:r>
      <w:bookmarkStart w:id="88" w:name="_Hlk72438863"/>
      <w:r>
        <w:rPr>
          <w:rFonts w:hint="eastAsia" w:ascii="宋体" w:hAnsi="宋体"/>
          <w:szCs w:val="21"/>
        </w:rPr>
        <w:t>中标公告公布以后无异常的情况下,中标供应商和采购人可自行登录</w:t>
      </w:r>
      <w:r>
        <w:rPr>
          <w:rFonts w:hint="eastAsia" w:ascii="宋体" w:hAnsi="宋体"/>
          <w:b/>
          <w:bCs/>
          <w:szCs w:val="21"/>
        </w:rPr>
        <w:t>“</w:t>
      </w:r>
      <w:r>
        <w:rPr>
          <w:rFonts w:hint="eastAsia" w:ascii="宋体" w:hAnsi="宋体"/>
        </w:rPr>
        <w:t>深圳政府采购自行采购系统（https://trade.szggzy.com/ggzy/center/#/login）</w:t>
      </w:r>
      <w:r>
        <w:rPr>
          <w:rFonts w:hint="eastAsia" w:ascii="宋体" w:hAnsi="宋体"/>
          <w:b/>
          <w:bCs/>
          <w:szCs w:val="21"/>
        </w:rPr>
        <w:t>”</w:t>
      </w:r>
      <w:r>
        <w:rPr>
          <w:rFonts w:hint="eastAsia" w:ascii="宋体" w:hAnsi="宋体"/>
          <w:szCs w:val="21"/>
        </w:rPr>
        <w:t>上打印</w:t>
      </w:r>
      <w:r>
        <w:rPr>
          <w:rFonts w:hint="eastAsia" w:ascii="宋体" w:hAnsi="宋体"/>
          <w:b/>
          <w:szCs w:val="21"/>
        </w:rPr>
        <w:t>《数字中标通知书》</w:t>
      </w:r>
      <w:r>
        <w:rPr>
          <w:rFonts w:hint="eastAsia" w:ascii="宋体" w:hAnsi="宋体"/>
          <w:szCs w:val="21"/>
        </w:rPr>
        <w:t>。</w:t>
      </w:r>
      <w:bookmarkEnd w:id="88"/>
    </w:p>
    <w:p w14:paraId="50AD836B">
      <w:pPr>
        <w:ind w:firstLine="411" w:firstLineChars="196"/>
        <w:rPr>
          <w:rFonts w:hint="eastAsia" w:ascii="宋体" w:hAnsi="宋体"/>
          <w:szCs w:val="21"/>
        </w:rPr>
      </w:pPr>
      <w:r>
        <w:rPr>
          <w:rFonts w:hint="eastAsia" w:ascii="宋体" w:hAnsi="宋体"/>
          <w:szCs w:val="21"/>
        </w:rPr>
        <w:t>41</w:t>
      </w:r>
      <w:r>
        <w:rPr>
          <w:rFonts w:ascii="宋体" w:hAnsi="宋体"/>
          <w:szCs w:val="21"/>
        </w:rPr>
        <w:t>.2</w:t>
      </w:r>
      <w:r>
        <w:rPr>
          <w:rFonts w:hint="eastAsia" w:ascii="宋体" w:hAnsi="宋体"/>
          <w:szCs w:val="21"/>
        </w:rPr>
        <w:t>中标通知书是合同的重要组成部分。</w:t>
      </w:r>
    </w:p>
    <w:p w14:paraId="15A384AE">
      <w:pPr>
        <w:ind w:firstLine="411" w:firstLineChars="196"/>
        <w:rPr>
          <w:rFonts w:hint="eastAsia" w:ascii="宋体" w:hAnsi="宋体"/>
          <w:szCs w:val="21"/>
        </w:rPr>
      </w:pPr>
      <w:bookmarkStart w:id="89" w:name="_Hlk71407340"/>
      <w:r>
        <w:rPr>
          <w:rFonts w:hint="eastAsia" w:ascii="宋体" w:hAnsi="宋体"/>
          <w:szCs w:val="21"/>
        </w:rPr>
        <w:t>41.3因质疑投诉或其它原因导致项目结果变更或采购终止的，政府集中采购机构有权吊销中标通知书。</w:t>
      </w:r>
    </w:p>
    <w:bookmarkEnd w:id="89"/>
    <w:p w14:paraId="67541EDC">
      <w:pPr>
        <w:ind w:firstLine="411" w:firstLineChars="196"/>
        <w:rPr>
          <w:rFonts w:hint="eastAsia" w:ascii="宋体" w:hAnsi="宋体"/>
          <w:szCs w:val="21"/>
        </w:rPr>
      </w:pPr>
    </w:p>
    <w:p w14:paraId="7562724F">
      <w:pPr>
        <w:pStyle w:val="3"/>
        <w:numPr>
          <w:ilvl w:val="0"/>
          <w:numId w:val="14"/>
        </w:numPr>
        <w:spacing w:before="156" w:beforeLines="50" w:after="156" w:afterLines="50"/>
        <w:ind w:left="562" w:hanging="562"/>
        <w:rPr>
          <w:sz w:val="28"/>
          <w:szCs w:val="28"/>
        </w:rPr>
      </w:pPr>
      <w:r>
        <w:rPr>
          <w:rFonts w:hint="eastAsia"/>
          <w:sz w:val="28"/>
          <w:szCs w:val="28"/>
        </w:rPr>
        <w:t>公开招标失败的后续处理</w:t>
      </w:r>
    </w:p>
    <w:p w14:paraId="2AAC9265">
      <w:pPr>
        <w:rPr>
          <w:rFonts w:hint="eastAsia" w:ascii="黑体" w:hAnsi="宋体" w:eastAsia="黑体"/>
          <w:sz w:val="24"/>
        </w:rPr>
      </w:pPr>
      <w:r>
        <w:rPr>
          <w:rFonts w:hint="eastAsia" w:ascii="黑体" w:hAnsi="宋体" w:eastAsia="黑体"/>
          <w:sz w:val="24"/>
        </w:rPr>
        <w:t>42．公开招标失败的处理</w:t>
      </w:r>
    </w:p>
    <w:p w14:paraId="2C58DD94">
      <w:pPr>
        <w:ind w:firstLine="411" w:firstLineChars="196"/>
        <w:rPr>
          <w:rFonts w:hint="eastAsia" w:ascii="宋体" w:hAnsi="宋体"/>
        </w:rPr>
      </w:pPr>
      <w:r>
        <w:rPr>
          <w:rFonts w:hint="eastAsia" w:ascii="宋体" w:hAnsi="宋体"/>
          <w:szCs w:val="21"/>
        </w:rPr>
        <w:t>42.1本项目公开招标过程中若由于投标截止后</w:t>
      </w:r>
      <w:r>
        <w:rPr>
          <w:rFonts w:hint="eastAsia" w:ascii="宋体" w:hAnsi="宋体"/>
        </w:rPr>
        <w:t>实际递交</w:t>
      </w:r>
      <w:r>
        <w:rPr>
          <w:rFonts w:ascii="宋体" w:hAnsi="宋体"/>
        </w:rPr>
        <w:t>投标</w:t>
      </w:r>
      <w:r>
        <w:rPr>
          <w:rFonts w:hint="eastAsia" w:ascii="宋体" w:hAnsi="宋体"/>
        </w:rPr>
        <w:t>文件的供应商数量不足、经</w:t>
      </w:r>
      <w:r>
        <w:rPr>
          <w:rFonts w:hint="eastAsia" w:ascii="宋体" w:hAnsi="宋体"/>
          <w:szCs w:val="21"/>
        </w:rPr>
        <w:t>评审委员会</w:t>
      </w:r>
      <w:r>
        <w:rPr>
          <w:rFonts w:hint="eastAsia" w:ascii="宋体" w:hAnsi="宋体"/>
        </w:rPr>
        <w:t>评审对招标文件作实质响应的供应商不足等原因造成公开招标失败，可由</w:t>
      </w:r>
      <w:r>
        <w:rPr>
          <w:rFonts w:hint="eastAsia" w:ascii="宋体" w:hAnsi="宋体" w:cs="宋体"/>
        </w:rPr>
        <w:t>政府集中采购机构</w:t>
      </w:r>
      <w:r>
        <w:rPr>
          <w:rFonts w:hint="eastAsia" w:ascii="宋体" w:hAnsi="宋体"/>
        </w:rPr>
        <w:t>重新组织采购。</w:t>
      </w:r>
    </w:p>
    <w:p w14:paraId="50AA33A1">
      <w:pPr>
        <w:ind w:firstLine="411" w:firstLineChars="196"/>
        <w:rPr>
          <w:rFonts w:hint="eastAsia" w:ascii="宋体" w:hAnsi="宋体"/>
          <w:szCs w:val="21"/>
        </w:rPr>
      </w:pPr>
      <w:r>
        <w:rPr>
          <w:rFonts w:hint="eastAsia" w:ascii="宋体" w:hAnsi="宋体"/>
          <w:szCs w:val="21"/>
        </w:rPr>
        <w:t>42.2对公开招标失败的项目，评审委员会在出具该项目招标失败结论的同时，可以提出重新采购组织形式的建议，以及进一步完善招标文件的资格、技术、商务要求的修改建议。</w:t>
      </w:r>
    </w:p>
    <w:p w14:paraId="660A3643">
      <w:pPr>
        <w:ind w:firstLine="411" w:firstLineChars="196"/>
        <w:rPr>
          <w:rFonts w:hint="eastAsia" w:ascii="宋体" w:hAnsi="宋体"/>
          <w:szCs w:val="21"/>
        </w:rPr>
      </w:pPr>
      <w:r>
        <w:rPr>
          <w:rFonts w:hint="eastAsia" w:ascii="宋体" w:hAnsi="宋体"/>
          <w:szCs w:val="21"/>
        </w:rPr>
        <w:t>42.3重新组织采购有以下两种组织形式：</w:t>
      </w:r>
    </w:p>
    <w:p w14:paraId="5C521353">
      <w:pPr>
        <w:ind w:firstLine="411" w:firstLineChars="196"/>
        <w:rPr>
          <w:rFonts w:hint="eastAsia" w:ascii="宋体" w:hAnsi="宋体"/>
        </w:rPr>
      </w:pPr>
      <w:r>
        <w:rPr>
          <w:rFonts w:hint="eastAsia" w:ascii="宋体" w:hAnsi="宋体"/>
        </w:rPr>
        <w:t>（1）由政府集中采购机构重新组织公开招标；</w:t>
      </w:r>
    </w:p>
    <w:p w14:paraId="4A1D2EC4">
      <w:pPr>
        <w:ind w:firstLine="411" w:firstLineChars="196"/>
        <w:rPr>
          <w:rFonts w:hint="eastAsia" w:ascii="宋体" w:hAnsi="宋体"/>
        </w:rPr>
      </w:pPr>
      <w:r>
        <w:rPr>
          <w:rFonts w:hint="eastAsia" w:ascii="宋体" w:hAnsi="宋体"/>
        </w:rPr>
        <w:t>（2）根据实际情况需要向同级财政部门提出非公开招标方式申请，经同级财政部门批准，公开招标失败采购项目可转为竞争性谈判或单一来源谈判方式采购。</w:t>
      </w:r>
    </w:p>
    <w:p w14:paraId="7848722A">
      <w:pPr>
        <w:ind w:firstLine="411" w:firstLineChars="196"/>
        <w:rPr>
          <w:rFonts w:hint="eastAsia" w:ascii="宋体" w:hAnsi="宋体"/>
        </w:rPr>
      </w:pPr>
      <w:r>
        <w:rPr>
          <w:rFonts w:hint="eastAsia" w:ascii="宋体" w:hAnsi="宋体"/>
        </w:rPr>
        <w:t>42.4公开招标失败的采购项目重新组织公开招标，由政府集中采购机构重新按公开招标流程组织采购活动。</w:t>
      </w:r>
    </w:p>
    <w:p w14:paraId="20CD72A3">
      <w:pPr>
        <w:rPr>
          <w:rFonts w:hint="eastAsia" w:ascii="宋体" w:hAnsi="宋体"/>
        </w:rPr>
      </w:pPr>
      <w:r>
        <w:rPr>
          <w:rFonts w:hint="eastAsia" w:ascii="黑体" w:hAnsi="宋体" w:eastAsia="黑体"/>
          <w:sz w:val="24"/>
        </w:rPr>
        <w:t xml:space="preserve">    </w:t>
      </w:r>
      <w:r>
        <w:rPr>
          <w:rFonts w:hint="eastAsia" w:ascii="宋体" w:hAnsi="宋体"/>
        </w:rPr>
        <w:t>42.5公开招标失败的采购项目经同级财政部门批准转为竞争性谈判或单一来源谈判方式采购的，按规定要求组织政府采购工作。</w:t>
      </w:r>
    </w:p>
    <w:p w14:paraId="6E27F841">
      <w:pPr>
        <w:rPr>
          <w:rFonts w:hint="eastAsia" w:ascii="黑体" w:hAnsi="宋体" w:eastAsia="黑体"/>
          <w:sz w:val="24"/>
        </w:rPr>
      </w:pPr>
    </w:p>
    <w:p w14:paraId="6933B6E3">
      <w:pPr>
        <w:pStyle w:val="3"/>
        <w:numPr>
          <w:ilvl w:val="0"/>
          <w:numId w:val="14"/>
        </w:numPr>
        <w:spacing w:before="156" w:beforeLines="50" w:after="156" w:afterLines="50"/>
        <w:ind w:left="562" w:hanging="562"/>
        <w:rPr>
          <w:sz w:val="28"/>
          <w:szCs w:val="28"/>
        </w:rPr>
      </w:pPr>
      <w:bookmarkStart w:id="90" w:name="_Hlk72439043"/>
      <w:r>
        <w:rPr>
          <w:rFonts w:hint="eastAsia"/>
          <w:sz w:val="28"/>
          <w:szCs w:val="28"/>
        </w:rPr>
        <w:t>合同的授予与备案</w:t>
      </w:r>
      <w:bookmarkEnd w:id="90"/>
    </w:p>
    <w:p w14:paraId="6529160D">
      <w:pPr>
        <w:rPr>
          <w:rFonts w:hint="eastAsia" w:ascii="黑体" w:hAnsi="宋体" w:eastAsia="黑体"/>
          <w:sz w:val="24"/>
        </w:rPr>
      </w:pPr>
      <w:bookmarkStart w:id="91" w:name="_Toc73521586"/>
      <w:bookmarkStart w:id="92" w:name="_Toc73517679"/>
      <w:bookmarkStart w:id="93" w:name="_Toc100052408"/>
      <w:bookmarkStart w:id="94" w:name="_Toc73521674"/>
      <w:bookmarkStart w:id="95" w:name="_Toc73518157"/>
      <w:bookmarkStart w:id="96" w:name="_Hlk72439088"/>
      <w:r>
        <w:rPr>
          <w:rFonts w:hint="eastAsia" w:ascii="黑体" w:hAnsi="宋体" w:eastAsia="黑体"/>
          <w:sz w:val="24"/>
        </w:rPr>
        <w:t>43．合同授予标准</w:t>
      </w:r>
      <w:bookmarkEnd w:id="91"/>
      <w:bookmarkEnd w:id="92"/>
      <w:bookmarkEnd w:id="93"/>
      <w:bookmarkEnd w:id="94"/>
      <w:bookmarkEnd w:id="95"/>
    </w:p>
    <w:p w14:paraId="55536B89">
      <w:pPr>
        <w:ind w:firstLine="411" w:firstLineChars="196"/>
        <w:rPr>
          <w:rFonts w:hint="eastAsia" w:ascii="宋体" w:hAnsi="宋体"/>
          <w:szCs w:val="21"/>
        </w:rPr>
      </w:pPr>
      <w:r>
        <w:rPr>
          <w:rFonts w:hint="eastAsia" w:ascii="宋体" w:hAnsi="宋体"/>
          <w:szCs w:val="21"/>
        </w:rPr>
        <w:t>本项目的合同将授予经本招标文件规定评审确定的中标供应商。</w:t>
      </w:r>
    </w:p>
    <w:p w14:paraId="55C7388B">
      <w:pPr>
        <w:rPr>
          <w:rFonts w:hint="eastAsia" w:ascii="黑体" w:hAnsi="宋体" w:eastAsia="黑体"/>
          <w:sz w:val="24"/>
        </w:rPr>
      </w:pPr>
      <w:bookmarkStart w:id="97" w:name="_Toc100052409"/>
      <w:bookmarkStart w:id="98" w:name="_Toc73521587"/>
      <w:bookmarkStart w:id="99" w:name="_Toc73517680"/>
      <w:bookmarkStart w:id="100" w:name="_Toc73521675"/>
      <w:bookmarkStart w:id="101" w:name="_Toc73518158"/>
      <w:r>
        <w:rPr>
          <w:rFonts w:hint="eastAsia" w:ascii="黑体" w:hAnsi="宋体" w:eastAsia="黑体"/>
          <w:sz w:val="24"/>
        </w:rPr>
        <w:t>44．</w:t>
      </w:r>
      <w:bookmarkEnd w:id="97"/>
      <w:bookmarkEnd w:id="98"/>
      <w:bookmarkEnd w:id="99"/>
      <w:bookmarkEnd w:id="100"/>
      <w:bookmarkEnd w:id="101"/>
      <w:r>
        <w:rPr>
          <w:rFonts w:hint="eastAsia" w:ascii="黑体" w:hAnsi="宋体" w:eastAsia="黑体"/>
          <w:sz w:val="24"/>
        </w:rPr>
        <w:t>接受和拒绝任何或所有投标的权力</w:t>
      </w:r>
    </w:p>
    <w:p w14:paraId="4CF2B977">
      <w:pPr>
        <w:ind w:firstLine="411" w:firstLineChars="196"/>
        <w:rPr>
          <w:rFonts w:hint="eastAsia" w:ascii="宋体" w:hAnsi="宋体"/>
          <w:szCs w:val="21"/>
        </w:rPr>
      </w:pPr>
      <w:r>
        <w:rPr>
          <w:rFonts w:hint="eastAsia" w:ascii="宋体" w:hAnsi="宋体"/>
          <w:szCs w:val="21"/>
        </w:rPr>
        <w:t>政府集中采购机构和采购人保留在投标之前任何时候接受或拒绝任何投标或所有投标，以及宣布招标无效的权力，对受影响的投标人不承担任何责任，也无义务向受影响的投标人解释采取这一行动的理由。</w:t>
      </w:r>
    </w:p>
    <w:p w14:paraId="50CC6407">
      <w:pPr>
        <w:rPr>
          <w:rFonts w:hint="eastAsia" w:ascii="黑体" w:hAnsi="宋体" w:eastAsia="黑体"/>
          <w:sz w:val="24"/>
        </w:rPr>
      </w:pPr>
      <w:bookmarkStart w:id="102" w:name="_Toc73517682"/>
      <w:bookmarkStart w:id="103" w:name="_Toc73521677"/>
      <w:bookmarkStart w:id="104" w:name="_Toc73518160"/>
      <w:bookmarkStart w:id="105" w:name="_Toc100052410"/>
      <w:bookmarkStart w:id="106" w:name="_Toc73521589"/>
      <w:r>
        <w:rPr>
          <w:rFonts w:hint="eastAsia" w:ascii="黑体" w:hAnsi="宋体" w:eastAsia="黑体"/>
          <w:sz w:val="24"/>
        </w:rPr>
        <w:t>45．合同的签订</w:t>
      </w:r>
      <w:bookmarkEnd w:id="102"/>
      <w:bookmarkEnd w:id="103"/>
      <w:bookmarkEnd w:id="104"/>
      <w:bookmarkEnd w:id="105"/>
      <w:bookmarkEnd w:id="106"/>
    </w:p>
    <w:p w14:paraId="041BEDE1">
      <w:pPr>
        <w:ind w:firstLine="411" w:firstLineChars="196"/>
        <w:rPr>
          <w:rFonts w:hint="eastAsia" w:ascii="宋体" w:hAnsi="宋体"/>
          <w:szCs w:val="21"/>
        </w:rPr>
      </w:pPr>
      <w:r>
        <w:rPr>
          <w:rFonts w:hint="eastAsia" w:ascii="宋体" w:hAnsi="宋体"/>
          <w:szCs w:val="21"/>
        </w:rPr>
        <w:t>45.1中标人将于中标通知书发出之日起十个工作日内，按照采购文件（招标文件和投标文件等）内容与采购人签订政府采购合同；合同的实质性内容应当符合招标文件的规定；</w:t>
      </w:r>
    </w:p>
    <w:p w14:paraId="012C5073">
      <w:pPr>
        <w:ind w:firstLine="411" w:firstLineChars="196"/>
        <w:rPr>
          <w:rFonts w:hint="eastAsia" w:ascii="宋体" w:hAnsi="宋体"/>
          <w:szCs w:val="21"/>
        </w:rPr>
      </w:pPr>
      <w:r>
        <w:rPr>
          <w:rFonts w:hint="eastAsia" w:ascii="宋体" w:hAnsi="宋体"/>
          <w:szCs w:val="21"/>
        </w:rPr>
        <w:t>45.2中标人如不按本通用条款第45</w:t>
      </w:r>
      <w:r>
        <w:rPr>
          <w:rFonts w:ascii="宋体" w:hAnsi="宋体"/>
          <w:szCs w:val="21"/>
        </w:rPr>
        <w:t>.1</w:t>
      </w:r>
      <w:r>
        <w:rPr>
          <w:rFonts w:hint="eastAsia" w:ascii="宋体" w:hAnsi="宋体"/>
          <w:szCs w:val="21"/>
        </w:rPr>
        <w:t>款的规定与采购人签订合同，</w:t>
      </w:r>
      <w:r>
        <w:rPr>
          <w:rFonts w:ascii="宋体" w:hAnsi="宋体" w:cs="宋体"/>
          <w:kern w:val="0"/>
          <w:szCs w:val="21"/>
        </w:rPr>
        <w:t>情节严重的，由</w:t>
      </w:r>
      <w:r>
        <w:rPr>
          <w:rFonts w:hint="eastAsia" w:ascii="宋体" w:hAnsi="宋体" w:cs="宋体"/>
          <w:kern w:val="0"/>
          <w:szCs w:val="21"/>
        </w:rPr>
        <w:t>同级财政</w:t>
      </w:r>
      <w:r>
        <w:rPr>
          <w:rFonts w:ascii="宋体" w:hAnsi="宋体" w:cs="宋体"/>
          <w:kern w:val="0"/>
          <w:szCs w:val="21"/>
        </w:rPr>
        <w:t>部门记入供应商诚信档案，予以通报</w:t>
      </w:r>
      <w:r>
        <w:rPr>
          <w:rFonts w:hint="eastAsia" w:ascii="宋体" w:hAnsi="宋体"/>
          <w:szCs w:val="21"/>
        </w:rPr>
        <w:t>；</w:t>
      </w:r>
    </w:p>
    <w:p w14:paraId="0C46EFA4">
      <w:pPr>
        <w:ind w:firstLine="411" w:firstLineChars="196"/>
        <w:rPr>
          <w:rFonts w:hint="eastAsia" w:ascii="宋体" w:hAnsi="宋体"/>
          <w:szCs w:val="21"/>
        </w:rPr>
      </w:pPr>
      <w:r>
        <w:rPr>
          <w:rFonts w:hint="eastAsia" w:ascii="宋体" w:hAnsi="宋体"/>
          <w:szCs w:val="21"/>
        </w:rPr>
        <w:t>45.3中标人应当按照合同约定履行义务，完成中标项目，不得将中标项目转让（转包）给他人。</w:t>
      </w:r>
    </w:p>
    <w:p w14:paraId="5C179A43">
      <w:pPr>
        <w:rPr>
          <w:rFonts w:hint="eastAsia" w:ascii="黑体" w:hAnsi="宋体" w:eastAsia="黑体"/>
          <w:sz w:val="24"/>
        </w:rPr>
      </w:pPr>
      <w:bookmarkStart w:id="107" w:name="_Toc73518161"/>
      <w:bookmarkStart w:id="108" w:name="_Toc73521590"/>
      <w:bookmarkStart w:id="109" w:name="_Toc73517683"/>
      <w:bookmarkStart w:id="110" w:name="_Toc100052411"/>
      <w:bookmarkStart w:id="111" w:name="_Toc73521678"/>
      <w:r>
        <w:rPr>
          <w:rFonts w:hint="eastAsia" w:ascii="黑体" w:hAnsi="宋体" w:eastAsia="黑体"/>
          <w:sz w:val="24"/>
        </w:rPr>
        <w:t>46．履约担保</w:t>
      </w:r>
      <w:bookmarkEnd w:id="107"/>
      <w:bookmarkEnd w:id="108"/>
      <w:bookmarkEnd w:id="109"/>
      <w:bookmarkEnd w:id="110"/>
      <w:bookmarkEnd w:id="111"/>
    </w:p>
    <w:p w14:paraId="19C9482C">
      <w:pPr>
        <w:ind w:firstLine="411" w:firstLineChars="196"/>
        <w:rPr>
          <w:rFonts w:hint="eastAsia" w:ascii="宋体" w:hAnsi="宋体"/>
          <w:szCs w:val="21"/>
        </w:rPr>
      </w:pPr>
      <w:r>
        <w:rPr>
          <w:rFonts w:hint="eastAsia" w:ascii="宋体" w:hAnsi="宋体"/>
          <w:szCs w:val="21"/>
        </w:rPr>
        <w:t>46.1在签订项目合同的同时，中标人应按“对通用条款的补充内容”中规定的金额向采购人提交履约担保；</w:t>
      </w:r>
    </w:p>
    <w:p w14:paraId="10B95108">
      <w:pPr>
        <w:ind w:firstLine="411" w:firstLineChars="196"/>
        <w:rPr>
          <w:rFonts w:hint="eastAsia" w:ascii="宋体" w:hAnsi="宋体"/>
          <w:szCs w:val="21"/>
        </w:rPr>
      </w:pPr>
      <w:r>
        <w:rPr>
          <w:rFonts w:hint="eastAsia" w:ascii="宋体" w:hAnsi="宋体"/>
          <w:szCs w:val="21"/>
        </w:rPr>
        <w:t>46.2，允许供应商自主选择以支票、汇票、本票、保函等非现金方式提交履约担保；</w:t>
      </w:r>
      <w:r>
        <w:t>中标</w:t>
      </w:r>
      <w:r>
        <w:rPr>
          <w:rFonts w:hint="eastAsia"/>
        </w:rPr>
        <w:t>人</w:t>
      </w:r>
      <w:r>
        <w:t>提交履约</w:t>
      </w:r>
      <w:r>
        <w:rPr>
          <w:rFonts w:hint="eastAsia"/>
        </w:rPr>
        <w:t>担保不是</w:t>
      </w:r>
      <w:r>
        <w:t>合同签订的</w:t>
      </w:r>
      <w:r>
        <w:rPr>
          <w:rFonts w:hint="eastAsia"/>
        </w:rPr>
        <w:t>前提</w:t>
      </w:r>
      <w:r>
        <w:t>条件，不要求中标</w:t>
      </w:r>
      <w:r>
        <w:rPr>
          <w:rFonts w:hint="eastAsia"/>
        </w:rPr>
        <w:t>人</w:t>
      </w:r>
      <w:r>
        <w:t>提供除法律、法规明确规定外的其他担保</w:t>
      </w:r>
      <w:r>
        <w:rPr>
          <w:rFonts w:hint="eastAsia"/>
        </w:rPr>
        <w:t>。</w:t>
      </w:r>
    </w:p>
    <w:p w14:paraId="294D2877">
      <w:pPr>
        <w:rPr>
          <w:rFonts w:hint="eastAsia" w:ascii="黑体" w:hAnsi="宋体" w:eastAsia="黑体"/>
          <w:sz w:val="24"/>
        </w:rPr>
      </w:pPr>
      <w:r>
        <w:rPr>
          <w:rFonts w:hint="eastAsia" w:ascii="黑体" w:hAnsi="宋体" w:eastAsia="黑体"/>
          <w:sz w:val="24"/>
        </w:rPr>
        <w:t>47. 合同备案</w:t>
      </w:r>
    </w:p>
    <w:p w14:paraId="39E4DDFA">
      <w:pPr>
        <w:rPr>
          <w:rFonts w:hint="eastAsia" w:ascii="黑体" w:hAnsi="宋体" w:eastAsia="黑体"/>
          <w:sz w:val="24"/>
        </w:rPr>
      </w:pPr>
      <w:r>
        <w:rPr>
          <w:rFonts w:hint="eastAsia" w:ascii="宋体" w:hAnsi="宋体" w:eastAsia="宋体" w:cs="Times New Roman"/>
          <w:szCs w:val="21"/>
          <w:lang w:eastAsia="zh-Hans"/>
        </w:rPr>
        <w:t>采购人与中标供应商自中标通知书发出之日起10个工作日内签订政府采购合同，</w:t>
      </w:r>
      <w:r>
        <w:rPr>
          <w:rFonts w:hint="eastAsia" w:ascii="宋体" w:hAnsi="宋体" w:eastAsia="宋体" w:cs="Times New Roman"/>
          <w:szCs w:val="21"/>
        </w:rPr>
        <w:t>并按财政部门规定提交备案。</w:t>
      </w:r>
      <w:r>
        <w:rPr>
          <w:rFonts w:hint="eastAsia" w:ascii="黑体" w:hAnsi="宋体" w:eastAsia="黑体"/>
          <w:sz w:val="24"/>
        </w:rPr>
        <w:t>48. 合同变更</w:t>
      </w:r>
    </w:p>
    <w:p w14:paraId="624520C4">
      <w:pPr>
        <w:ind w:firstLine="411" w:firstLineChars="196"/>
        <w:rPr>
          <w:rFonts w:hint="eastAsia" w:ascii="宋体" w:hAnsi="宋体"/>
          <w:szCs w:val="21"/>
        </w:rPr>
      </w:pPr>
      <w:r>
        <w:rPr>
          <w:rFonts w:hint="eastAsia" w:ascii="宋体" w:hAnsi="宋体"/>
          <w:szCs w:val="21"/>
        </w:rPr>
        <w:t>合同变更事宜按《深圳市财政局关于优化政府采购合同备案的通知》（深财发保〔2022〕2号）相关规定执行。</w:t>
      </w:r>
    </w:p>
    <w:p w14:paraId="6BBA1416">
      <w:pPr>
        <w:rPr>
          <w:rFonts w:hint="eastAsia" w:ascii="黑体" w:hAnsi="宋体" w:eastAsia="黑体"/>
          <w:sz w:val="24"/>
        </w:rPr>
      </w:pPr>
      <w:r>
        <w:rPr>
          <w:rFonts w:hint="eastAsia" w:ascii="黑体" w:hAnsi="宋体" w:eastAsia="黑体"/>
          <w:sz w:val="24"/>
        </w:rPr>
        <w:t>49. 项目验收</w:t>
      </w:r>
    </w:p>
    <w:p w14:paraId="79B1019B">
      <w:pPr>
        <w:widowControl/>
        <w:ind w:right="176" w:firstLine="420"/>
        <w:jc w:val="left"/>
        <w:rPr>
          <w:rFonts w:hint="eastAsia" w:ascii="宋体" w:hAnsi="宋体"/>
        </w:rPr>
      </w:pPr>
      <w:r>
        <w:rPr>
          <w:rFonts w:hint="eastAsia" w:ascii="宋体" w:hAnsi="宋体"/>
        </w:rPr>
        <w:t>49.1采购人应当按照招标文件和合同规定的标准和方法，及时组织验收。</w:t>
      </w:r>
      <w:r>
        <w:rPr>
          <w:rFonts w:ascii="宋体" w:hAnsi="宋体"/>
        </w:rPr>
        <w:t xml:space="preserve"> </w:t>
      </w:r>
    </w:p>
    <w:p w14:paraId="279FB89A">
      <w:pPr>
        <w:rPr>
          <w:rFonts w:hint="eastAsia" w:ascii="黑体" w:hAnsi="宋体" w:eastAsia="黑体"/>
          <w:sz w:val="24"/>
        </w:rPr>
      </w:pPr>
      <w:r>
        <w:rPr>
          <w:rFonts w:hint="eastAsia" w:ascii="黑体" w:hAnsi="宋体" w:eastAsia="黑体"/>
          <w:sz w:val="24"/>
        </w:rPr>
        <w:t>50. 宣传</w:t>
      </w:r>
    </w:p>
    <w:p w14:paraId="063C0618">
      <w:pPr>
        <w:ind w:left="210" w:leftChars="100" w:firstLine="411" w:firstLineChars="196"/>
        <w:rPr>
          <w:rFonts w:hint="eastAsia" w:ascii="宋体" w:hAnsi="宋体"/>
        </w:rPr>
      </w:pPr>
      <w:r>
        <w:rPr>
          <w:rFonts w:hint="eastAsia" w:ascii="宋体" w:hAnsi="宋体"/>
        </w:rPr>
        <w:t>凡与政府采购活动有关的宣传或广告，若当中提及政府采购，</w:t>
      </w:r>
      <w:r>
        <w:rPr>
          <w:rFonts w:ascii="宋体" w:hAnsi="宋体"/>
        </w:rPr>
        <w:t>必须事先将具体对外宣传方案报</w:t>
      </w:r>
      <w:r>
        <w:rPr>
          <w:rFonts w:hint="eastAsia" w:ascii="宋体" w:hAnsi="宋体"/>
        </w:rPr>
        <w:t>同级财政部门</w:t>
      </w:r>
      <w:r>
        <w:rPr>
          <w:rFonts w:ascii="宋体" w:hAnsi="宋体"/>
        </w:rPr>
        <w:t>和</w:t>
      </w:r>
      <w:r>
        <w:rPr>
          <w:rFonts w:hint="eastAsia" w:ascii="宋体" w:hAnsi="宋体"/>
        </w:rPr>
        <w:t>政府集中采购机构</w:t>
      </w:r>
      <w:r>
        <w:rPr>
          <w:rFonts w:ascii="宋体" w:hAnsi="宋体"/>
        </w:rPr>
        <w:t>，并征得其同意。对外市场宣传包括但不限于以下形式：</w:t>
      </w:r>
    </w:p>
    <w:p w14:paraId="0FAB48A1">
      <w:pPr>
        <w:ind w:left="210" w:leftChars="100" w:firstLine="411" w:firstLineChars="196"/>
        <w:rPr>
          <w:rFonts w:hint="eastAsia" w:ascii="宋体" w:hAnsi="宋体"/>
        </w:rPr>
      </w:pPr>
      <w:r>
        <w:rPr>
          <w:rFonts w:ascii="宋体" w:hAnsi="宋体"/>
        </w:rPr>
        <w:t>a.名片、宣传册、广告标语等；</w:t>
      </w:r>
    </w:p>
    <w:p w14:paraId="50CB1646">
      <w:pPr>
        <w:ind w:left="210" w:leftChars="100" w:firstLine="411" w:firstLineChars="196"/>
        <w:rPr>
          <w:rFonts w:hint="eastAsia" w:ascii="宋体" w:hAnsi="宋体"/>
        </w:rPr>
      </w:pPr>
      <w:r>
        <w:rPr>
          <w:rFonts w:ascii="宋体" w:hAnsi="宋体"/>
        </w:rPr>
        <w:t>b.案例介绍、推广等；</w:t>
      </w:r>
    </w:p>
    <w:p w14:paraId="2FBD225A">
      <w:pPr>
        <w:ind w:left="210" w:leftChars="100" w:firstLine="411" w:firstLineChars="196"/>
        <w:rPr>
          <w:rFonts w:hint="eastAsia" w:ascii="宋体" w:hAnsi="宋体"/>
        </w:rPr>
      </w:pPr>
      <w:r>
        <w:rPr>
          <w:rFonts w:hint="eastAsia" w:ascii="宋体" w:hAnsi="宋体"/>
        </w:rPr>
        <w:t>c.工作</w:t>
      </w:r>
      <w:r>
        <w:rPr>
          <w:rFonts w:ascii="宋体" w:hAnsi="宋体"/>
        </w:rPr>
        <w:t>人员向其他消费群体宣传。</w:t>
      </w:r>
    </w:p>
    <w:p w14:paraId="1DC5C5B1">
      <w:pPr>
        <w:rPr>
          <w:rFonts w:hint="eastAsia" w:ascii="黑体" w:hAnsi="宋体" w:eastAsia="黑体"/>
          <w:sz w:val="24"/>
        </w:rPr>
      </w:pPr>
      <w:r>
        <w:rPr>
          <w:rFonts w:hint="eastAsia" w:ascii="黑体" w:hAnsi="宋体" w:eastAsia="黑体"/>
          <w:sz w:val="24"/>
        </w:rPr>
        <w:t>51. 供应商违法责任</w:t>
      </w:r>
    </w:p>
    <w:p w14:paraId="0F6A73F7">
      <w:pPr>
        <w:ind w:firstLine="411" w:firstLineChars="196"/>
        <w:rPr>
          <w:rFonts w:hint="eastAsia" w:ascii="宋体" w:hAnsi="宋体"/>
          <w:szCs w:val="21"/>
        </w:rPr>
      </w:pPr>
      <w:r>
        <w:rPr>
          <w:rFonts w:hint="eastAsia" w:ascii="宋体" w:hAnsi="宋体"/>
          <w:szCs w:val="21"/>
        </w:rPr>
        <w:t>5</w:t>
      </w:r>
      <w:r>
        <w:rPr>
          <w:rFonts w:ascii="宋体" w:hAnsi="宋体"/>
          <w:szCs w:val="21"/>
        </w:rPr>
        <w:t>1.1</w:t>
      </w:r>
      <w:r>
        <w:rPr>
          <w:rFonts w:hint="eastAsia" w:ascii="宋体" w:hAnsi="宋体"/>
          <w:szCs w:val="21"/>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72AA8B2A">
      <w:pPr>
        <w:ind w:firstLine="411" w:firstLineChars="196"/>
        <w:rPr>
          <w:rFonts w:hint="eastAsia" w:ascii="宋体" w:hAnsi="宋体"/>
          <w:szCs w:val="21"/>
        </w:rPr>
      </w:pPr>
      <w:r>
        <w:rPr>
          <w:rFonts w:hint="eastAsia" w:ascii="宋体" w:hAnsi="宋体"/>
          <w:szCs w:val="21"/>
        </w:rPr>
        <w:t>（1）在采购活动中应当回避而未回避的；</w:t>
      </w:r>
    </w:p>
    <w:p w14:paraId="479A9ADA">
      <w:pPr>
        <w:ind w:firstLine="411" w:firstLineChars="196"/>
        <w:rPr>
          <w:rFonts w:hint="eastAsia" w:ascii="宋体" w:hAnsi="宋体"/>
          <w:szCs w:val="21"/>
        </w:rPr>
      </w:pPr>
      <w:r>
        <w:rPr>
          <w:rFonts w:hint="eastAsia" w:ascii="宋体" w:hAnsi="宋体"/>
          <w:szCs w:val="21"/>
        </w:rPr>
        <w:t>（2）未按本条例规定签订、履行采购合同，造成严重后果的；</w:t>
      </w:r>
    </w:p>
    <w:p w14:paraId="659BD751">
      <w:pPr>
        <w:ind w:firstLine="411" w:firstLineChars="196"/>
        <w:rPr>
          <w:rFonts w:hint="eastAsia" w:ascii="宋体" w:hAnsi="宋体"/>
          <w:szCs w:val="21"/>
        </w:rPr>
      </w:pPr>
      <w:r>
        <w:rPr>
          <w:rFonts w:hint="eastAsia" w:ascii="宋体" w:hAnsi="宋体"/>
          <w:szCs w:val="21"/>
        </w:rPr>
        <w:t>（3）隐瞒真实情况，提供虚假资料的；</w:t>
      </w:r>
    </w:p>
    <w:p w14:paraId="4508C6A3">
      <w:pPr>
        <w:ind w:firstLine="411" w:firstLineChars="196"/>
        <w:rPr>
          <w:rFonts w:hint="eastAsia" w:ascii="宋体" w:hAnsi="宋体"/>
          <w:szCs w:val="21"/>
        </w:rPr>
      </w:pPr>
      <w:r>
        <w:rPr>
          <w:rFonts w:hint="eastAsia" w:ascii="宋体" w:hAnsi="宋体"/>
          <w:szCs w:val="21"/>
        </w:rPr>
        <w:t>（4）以非法手段排斥其他供应商参与竞争的；</w:t>
      </w:r>
    </w:p>
    <w:p w14:paraId="55D5C1DC">
      <w:pPr>
        <w:ind w:firstLine="411" w:firstLineChars="196"/>
        <w:rPr>
          <w:rFonts w:hint="eastAsia" w:ascii="宋体" w:hAnsi="宋体"/>
          <w:szCs w:val="21"/>
        </w:rPr>
      </w:pPr>
      <w:r>
        <w:rPr>
          <w:rFonts w:hint="eastAsia" w:ascii="宋体" w:hAnsi="宋体"/>
          <w:szCs w:val="21"/>
        </w:rPr>
        <w:t>（5）与其他采购参加人串通投标的；</w:t>
      </w:r>
    </w:p>
    <w:p w14:paraId="0FE80B4B">
      <w:pPr>
        <w:ind w:firstLine="411" w:firstLineChars="196"/>
        <w:rPr>
          <w:rFonts w:hint="eastAsia" w:ascii="宋体" w:hAnsi="宋体"/>
          <w:szCs w:val="21"/>
        </w:rPr>
      </w:pPr>
      <w:r>
        <w:rPr>
          <w:rFonts w:hint="eastAsia" w:ascii="宋体" w:hAnsi="宋体"/>
          <w:szCs w:val="21"/>
        </w:rPr>
        <w:t>（6）恶意投诉的；</w:t>
      </w:r>
    </w:p>
    <w:p w14:paraId="3F3745C7">
      <w:pPr>
        <w:ind w:firstLine="411" w:firstLineChars="196"/>
        <w:rPr>
          <w:rFonts w:hint="eastAsia" w:ascii="宋体" w:hAnsi="宋体"/>
          <w:szCs w:val="21"/>
        </w:rPr>
      </w:pPr>
      <w:r>
        <w:rPr>
          <w:rFonts w:hint="eastAsia" w:ascii="宋体" w:hAnsi="宋体"/>
          <w:szCs w:val="21"/>
        </w:rPr>
        <w:t>（7）向采购项目相关人行贿或者提供其他不当利益的；</w:t>
      </w:r>
    </w:p>
    <w:p w14:paraId="40A93B1A">
      <w:pPr>
        <w:ind w:firstLine="411" w:firstLineChars="196"/>
        <w:rPr>
          <w:rFonts w:hint="eastAsia" w:ascii="宋体" w:hAnsi="宋体"/>
          <w:szCs w:val="21"/>
        </w:rPr>
      </w:pPr>
      <w:r>
        <w:rPr>
          <w:rFonts w:hint="eastAsia" w:ascii="宋体" w:hAnsi="宋体"/>
          <w:szCs w:val="21"/>
        </w:rPr>
        <w:t>（8）阻碍、抗拒主管部门监督检查的；</w:t>
      </w:r>
    </w:p>
    <w:p w14:paraId="0B8012B8">
      <w:pPr>
        <w:ind w:firstLine="411" w:firstLineChars="196"/>
        <w:rPr>
          <w:rFonts w:hint="eastAsia" w:ascii="宋体" w:hAnsi="宋体"/>
          <w:szCs w:val="21"/>
        </w:rPr>
      </w:pPr>
      <w:r>
        <w:rPr>
          <w:rFonts w:hint="eastAsia" w:ascii="宋体" w:hAnsi="宋体"/>
          <w:szCs w:val="21"/>
        </w:rPr>
        <w:t>（9）其他违反本条例规定的行为。</w:t>
      </w:r>
    </w:p>
    <w:p w14:paraId="50341D3A">
      <w:pPr>
        <w:ind w:firstLine="411" w:firstLineChars="196"/>
        <w:rPr>
          <w:rFonts w:hint="eastAsia" w:ascii="宋体" w:hAnsi="宋体"/>
          <w:szCs w:val="21"/>
        </w:rPr>
      </w:pPr>
      <w:r>
        <w:rPr>
          <w:rFonts w:hint="eastAsia" w:ascii="宋体" w:hAnsi="宋体"/>
          <w:szCs w:val="21"/>
        </w:rPr>
        <w:t>5</w:t>
      </w:r>
      <w:r>
        <w:rPr>
          <w:rFonts w:ascii="宋体" w:hAnsi="宋体"/>
          <w:szCs w:val="21"/>
        </w:rPr>
        <w:t xml:space="preserve">1.2 </w:t>
      </w:r>
      <w:r>
        <w:rPr>
          <w:rFonts w:hint="eastAsia" w:ascii="宋体" w:hAnsi="宋体"/>
          <w:szCs w:val="21"/>
        </w:rPr>
        <w:t>根据《深圳市财政局关于调整政府采购投标（响应）保证金管理政策的通知 》（深财购〔2021〕51 号）的要求，供应商在政府采购活动中出现《深圳经济特区政府采购条例实施细则》第八十条所列情形的，</w:t>
      </w:r>
      <w:bookmarkStart w:id="112" w:name="_Hlk72440769"/>
      <w:r>
        <w:rPr>
          <w:rFonts w:hint="eastAsia" w:ascii="宋体" w:hAnsi="宋体"/>
          <w:szCs w:val="21"/>
        </w:rPr>
        <w:t>政府集中采购机构或采购人不予退还其交纳的谈判保证金，情节严重的，并由主管部门</w:t>
      </w:r>
      <w:bookmarkEnd w:id="112"/>
      <w:r>
        <w:rPr>
          <w:rFonts w:hint="eastAsia" w:ascii="宋体" w:hAnsi="宋体"/>
          <w:szCs w:val="21"/>
        </w:rPr>
        <w:t>记入供应商诚信档案，予以通报：</w:t>
      </w:r>
    </w:p>
    <w:p w14:paraId="58BEB075">
      <w:pPr>
        <w:ind w:firstLine="411" w:firstLineChars="196"/>
        <w:rPr>
          <w:rFonts w:hint="eastAsia" w:ascii="宋体" w:hAnsi="宋体"/>
          <w:szCs w:val="21"/>
        </w:rPr>
      </w:pPr>
      <w:r>
        <w:rPr>
          <w:rFonts w:hint="eastAsia" w:ascii="宋体" w:hAnsi="宋体"/>
          <w:szCs w:val="21"/>
        </w:rPr>
        <w:t>（1</w:t>
      </w:r>
      <w:r>
        <w:rPr>
          <w:rFonts w:ascii="宋体" w:hAnsi="宋体"/>
          <w:szCs w:val="21"/>
        </w:rPr>
        <w:t>）投标截止后，撤销投标的；</w:t>
      </w:r>
    </w:p>
    <w:p w14:paraId="6EC55AC0">
      <w:pPr>
        <w:ind w:firstLine="411" w:firstLineChars="196"/>
        <w:rPr>
          <w:rFonts w:hint="eastAsia" w:ascii="宋体" w:hAnsi="宋体"/>
          <w:szCs w:val="21"/>
        </w:rPr>
      </w:pPr>
      <w:r>
        <w:rPr>
          <w:rFonts w:ascii="宋体" w:hAnsi="宋体"/>
          <w:szCs w:val="21"/>
        </w:rPr>
        <w:t>（</w:t>
      </w:r>
      <w:r>
        <w:rPr>
          <w:rFonts w:hint="eastAsia" w:ascii="宋体" w:hAnsi="宋体"/>
          <w:szCs w:val="21"/>
        </w:rPr>
        <w:t>2</w:t>
      </w:r>
      <w:r>
        <w:rPr>
          <w:rFonts w:ascii="宋体" w:hAnsi="宋体"/>
          <w:szCs w:val="21"/>
        </w:rPr>
        <w:t>）中标后无正当理由未在规定期限内签订合同的；</w:t>
      </w:r>
    </w:p>
    <w:p w14:paraId="4C81DBD2">
      <w:pPr>
        <w:ind w:firstLine="411" w:firstLineChars="196"/>
        <w:rPr>
          <w:rFonts w:hint="eastAsia" w:ascii="宋体" w:hAnsi="宋体"/>
          <w:szCs w:val="21"/>
        </w:rPr>
      </w:pPr>
      <w:r>
        <w:rPr>
          <w:rFonts w:ascii="宋体" w:hAnsi="宋体"/>
          <w:szCs w:val="21"/>
        </w:rPr>
        <w:t>（</w:t>
      </w:r>
      <w:r>
        <w:rPr>
          <w:rFonts w:hint="eastAsia" w:ascii="宋体" w:hAnsi="宋体"/>
          <w:szCs w:val="21"/>
        </w:rPr>
        <w:t>3</w:t>
      </w:r>
      <w:r>
        <w:rPr>
          <w:rFonts w:ascii="宋体" w:hAnsi="宋体"/>
          <w:szCs w:val="21"/>
        </w:rPr>
        <w:t>）将中标项目转让给他人、或者在投标文件中未说明且未经采购人、采购招标机构同意，将中标项目分包给他人的；</w:t>
      </w:r>
    </w:p>
    <w:p w14:paraId="33EFA206">
      <w:pPr>
        <w:ind w:firstLine="411" w:firstLineChars="196"/>
        <w:rPr>
          <w:rFonts w:hint="eastAsia" w:ascii="宋体" w:hAnsi="宋体"/>
          <w:szCs w:val="21"/>
        </w:rPr>
      </w:pPr>
      <w:r>
        <w:rPr>
          <w:rFonts w:ascii="宋体" w:hAnsi="宋体"/>
          <w:szCs w:val="21"/>
        </w:rPr>
        <w:t>（</w:t>
      </w:r>
      <w:r>
        <w:rPr>
          <w:rFonts w:hint="eastAsia" w:ascii="宋体" w:hAnsi="宋体"/>
          <w:szCs w:val="21"/>
        </w:rPr>
        <w:t>4</w:t>
      </w:r>
      <w:r>
        <w:rPr>
          <w:rFonts w:ascii="宋体" w:hAnsi="宋体"/>
          <w:szCs w:val="21"/>
        </w:rPr>
        <w:t>）拒绝履行合同义务的</w:t>
      </w:r>
      <w:r>
        <w:rPr>
          <w:rFonts w:hint="eastAsia" w:ascii="宋体" w:hAnsi="宋体"/>
          <w:szCs w:val="21"/>
        </w:rPr>
        <w:t>。</w:t>
      </w:r>
    </w:p>
    <w:bookmarkEnd w:id="96"/>
    <w:p w14:paraId="5DE95B8F">
      <w:pPr>
        <w:pStyle w:val="3"/>
        <w:numPr>
          <w:ilvl w:val="0"/>
          <w:numId w:val="14"/>
        </w:numPr>
        <w:spacing w:before="156" w:beforeLines="50" w:after="156" w:afterLines="50"/>
        <w:ind w:left="562" w:hanging="562"/>
        <w:rPr>
          <w:sz w:val="28"/>
          <w:szCs w:val="28"/>
        </w:rPr>
      </w:pPr>
      <w:r>
        <w:rPr>
          <w:rFonts w:hint="eastAsia"/>
          <w:sz w:val="28"/>
          <w:szCs w:val="28"/>
        </w:rPr>
        <w:t>质疑处理</w:t>
      </w:r>
    </w:p>
    <w:p w14:paraId="6B7556C0">
      <w:pPr>
        <w:rPr>
          <w:rFonts w:hint="eastAsia" w:ascii="黑体" w:hAnsi="宋体" w:eastAsia="黑体"/>
          <w:sz w:val="24"/>
        </w:rPr>
      </w:pPr>
      <w:r>
        <w:rPr>
          <w:rFonts w:hint="eastAsia" w:ascii="黑体" w:hAnsi="宋体" w:eastAsia="黑体"/>
          <w:sz w:val="24"/>
        </w:rPr>
        <w:t>52.质疑提出与答复</w:t>
      </w:r>
    </w:p>
    <w:p w14:paraId="57B15D36">
      <w:pPr>
        <w:rPr>
          <w:rFonts w:hint="eastAsia" w:ascii="宋体" w:hAnsi="宋体"/>
          <w:szCs w:val="21"/>
        </w:rPr>
      </w:pPr>
      <w:r>
        <w:rPr>
          <w:rFonts w:hint="eastAsia" w:ascii="宋体" w:hAnsi="宋体"/>
          <w:szCs w:val="21"/>
        </w:rPr>
        <w:t xml:space="preserve">    52.1提出质疑</w:t>
      </w:r>
    </w:p>
    <w:p w14:paraId="35D18F44">
      <w:pPr>
        <w:rPr>
          <w:rFonts w:hint="eastAsia" w:ascii="宋体" w:hAnsi="宋体"/>
          <w:szCs w:val="21"/>
        </w:rPr>
      </w:pPr>
      <w:r>
        <w:rPr>
          <w:rFonts w:hint="eastAsia" w:ascii="宋体" w:hAnsi="宋体"/>
          <w:szCs w:val="21"/>
        </w:rPr>
        <w:t xml:space="preserve">    参与政府采购活动的供应商认为自己的权益在采购活动中受到损害的，应当自知道或者应当知道其权益受到损害之日起七个工作日内向采购人、政府集中采购机构以书面形式提出质疑。</w:t>
      </w:r>
    </w:p>
    <w:p w14:paraId="2CFD18BC">
      <w:pPr>
        <w:rPr>
          <w:rFonts w:hint="eastAsia" w:ascii="宋体" w:hAnsi="宋体"/>
          <w:szCs w:val="21"/>
        </w:rPr>
      </w:pPr>
      <w:r>
        <w:rPr>
          <w:rFonts w:hint="eastAsia" w:ascii="宋体" w:hAnsi="宋体"/>
          <w:szCs w:val="21"/>
        </w:rPr>
        <w:t xml:space="preserve">    52.2</w:t>
      </w:r>
      <w:r>
        <w:rPr>
          <w:rFonts w:ascii="宋体" w:hAnsi="宋体"/>
          <w:szCs w:val="21"/>
        </w:rPr>
        <w:t>法律依据</w:t>
      </w:r>
    </w:p>
    <w:p w14:paraId="7A43F521">
      <w:pPr>
        <w:rPr>
          <w:rFonts w:hint="eastAsia" w:ascii="宋体" w:hAnsi="宋体"/>
          <w:szCs w:val="21"/>
        </w:rPr>
      </w:pPr>
      <w:r>
        <w:rPr>
          <w:rFonts w:hint="eastAsia" w:ascii="宋体" w:hAnsi="宋体"/>
          <w:szCs w:val="21"/>
        </w:rPr>
        <w:t xml:space="preserve">    《中华人民共和国政府采购法》、《中华人民共和国政府采购法实施条例》、</w:t>
      </w:r>
      <w:r>
        <w:rPr>
          <w:rFonts w:ascii="宋体" w:hAnsi="宋体"/>
          <w:szCs w:val="21"/>
        </w:rPr>
        <w:t>《</w:t>
      </w:r>
      <w:r>
        <w:rPr>
          <w:rFonts w:hint="eastAsia" w:ascii="宋体" w:hAnsi="宋体"/>
          <w:szCs w:val="21"/>
        </w:rPr>
        <w:t>深圳经济特区政府采购</w:t>
      </w:r>
      <w:r>
        <w:rPr>
          <w:rFonts w:ascii="宋体" w:hAnsi="宋体"/>
          <w:szCs w:val="21"/>
        </w:rPr>
        <w:t>条例</w:t>
      </w:r>
      <w:r>
        <w:rPr>
          <w:rFonts w:hint="eastAsia" w:ascii="宋体" w:hAnsi="宋体"/>
          <w:szCs w:val="21"/>
        </w:rPr>
        <w:t>》、《深圳经济特区政府采购条例实施细则》、《政府采购质疑和投诉办法》（财政部令第94号）和其他有关法律法规规定。</w:t>
      </w:r>
    </w:p>
    <w:p w14:paraId="4D76BF93">
      <w:pPr>
        <w:rPr>
          <w:rFonts w:hint="eastAsia" w:ascii="宋体" w:hAnsi="宋体"/>
          <w:szCs w:val="21"/>
        </w:rPr>
      </w:pPr>
      <w:r>
        <w:rPr>
          <w:rFonts w:hint="eastAsia" w:ascii="宋体" w:hAnsi="宋体"/>
          <w:szCs w:val="21"/>
        </w:rPr>
        <w:t xml:space="preserve">  </w:t>
      </w:r>
      <w:r>
        <w:rPr>
          <w:rFonts w:hint="eastAsia" w:ascii="宋体" w:hAnsi="宋体"/>
          <w:color w:val="FF0000"/>
          <w:szCs w:val="21"/>
        </w:rPr>
        <w:t xml:space="preserve">  </w:t>
      </w:r>
      <w:r>
        <w:rPr>
          <w:rFonts w:hint="eastAsia" w:ascii="宋体" w:hAnsi="宋体"/>
          <w:szCs w:val="21"/>
        </w:rPr>
        <w:t>52.3质疑条件</w:t>
      </w:r>
    </w:p>
    <w:p w14:paraId="59FA36A9">
      <w:pPr>
        <w:rPr>
          <w:rFonts w:hint="eastAsia" w:ascii="宋体" w:hAnsi="宋体"/>
          <w:szCs w:val="21"/>
        </w:rPr>
      </w:pPr>
      <w:r>
        <w:rPr>
          <w:rFonts w:hint="eastAsia" w:ascii="宋体" w:hAnsi="宋体"/>
          <w:szCs w:val="21"/>
        </w:rPr>
        <w:t xml:space="preserve">    52.3.1提出质疑的供应商应当是参与所质疑项目采购活动的供应商；</w:t>
      </w:r>
      <w:bookmarkStart w:id="113" w:name="_Hlk75374941"/>
      <w:r>
        <w:rPr>
          <w:rFonts w:hint="eastAsia" w:ascii="宋体" w:hAnsi="宋体"/>
          <w:szCs w:val="21"/>
        </w:rPr>
        <w:t>以联合体形式参与的，质疑应当由组成联合体的所有成员共同提出</w:t>
      </w:r>
      <w:bookmarkEnd w:id="113"/>
      <w:r>
        <w:rPr>
          <w:rFonts w:hint="eastAsia" w:ascii="宋体" w:hAnsi="宋体"/>
          <w:szCs w:val="21"/>
        </w:rPr>
        <w:t>；</w:t>
      </w:r>
    </w:p>
    <w:p w14:paraId="1DEF9B34">
      <w:pPr>
        <w:rPr>
          <w:rFonts w:hint="eastAsia" w:ascii="宋体" w:hAnsi="宋体"/>
          <w:szCs w:val="21"/>
        </w:rPr>
      </w:pPr>
      <w:r>
        <w:rPr>
          <w:rFonts w:hint="eastAsia" w:ascii="宋体" w:hAnsi="宋体"/>
          <w:szCs w:val="21"/>
        </w:rPr>
        <w:t xml:space="preserve">    52.3.2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14:paraId="7B6983FD">
      <w:pPr>
        <w:ind w:firstLine="420"/>
        <w:rPr>
          <w:rFonts w:hint="eastAsia" w:ascii="宋体" w:hAnsi="宋体"/>
          <w:szCs w:val="21"/>
        </w:rPr>
      </w:pPr>
      <w:r>
        <w:rPr>
          <w:rFonts w:hint="eastAsia" w:ascii="宋体" w:hAnsi="宋体"/>
          <w:szCs w:val="21"/>
        </w:rPr>
        <w:t>52.3.3应提交书面质疑函，质疑函应当包括以下内容：</w:t>
      </w:r>
      <w:r>
        <w:rPr>
          <w:rFonts w:ascii="宋体" w:hAnsi="宋体"/>
          <w:szCs w:val="21"/>
        </w:rPr>
        <w:t xml:space="preserve"> </w:t>
      </w:r>
    </w:p>
    <w:p w14:paraId="35386323">
      <w:pPr>
        <w:ind w:firstLine="420"/>
        <w:rPr>
          <w:rFonts w:hint="eastAsia" w:ascii="宋体" w:hAnsi="宋体"/>
          <w:szCs w:val="21"/>
        </w:rPr>
      </w:pPr>
      <w:r>
        <w:rPr>
          <w:rFonts w:hint="eastAsia" w:ascii="宋体" w:hAnsi="宋体"/>
          <w:szCs w:val="21"/>
        </w:rPr>
        <w:t>（1）供应商的名称（或者姓名）、地址、邮编、邮箱、联系人及联系电话；</w:t>
      </w:r>
    </w:p>
    <w:p w14:paraId="4B99D1DF">
      <w:pPr>
        <w:ind w:firstLine="420" w:firstLineChars="200"/>
        <w:rPr>
          <w:rFonts w:hint="eastAsia" w:ascii="宋体" w:hAnsi="宋体"/>
          <w:szCs w:val="21"/>
        </w:rPr>
      </w:pPr>
      <w:r>
        <w:rPr>
          <w:rFonts w:hint="eastAsia" w:ascii="宋体" w:hAnsi="宋体"/>
          <w:szCs w:val="21"/>
        </w:rPr>
        <w:t>（2）质疑项目的名称、编号；</w:t>
      </w:r>
    </w:p>
    <w:p w14:paraId="5503BD8D">
      <w:pPr>
        <w:ind w:firstLine="420" w:firstLineChars="200"/>
        <w:rPr>
          <w:rFonts w:hint="eastAsia" w:ascii="宋体" w:hAnsi="宋体"/>
          <w:szCs w:val="21"/>
        </w:rPr>
      </w:pPr>
      <w:r>
        <w:rPr>
          <w:rFonts w:hint="eastAsia" w:ascii="宋体" w:hAnsi="宋体"/>
          <w:szCs w:val="21"/>
        </w:rPr>
        <w:t>（3）具体、明确的质疑对象、质疑事项和质疑请求；</w:t>
      </w:r>
    </w:p>
    <w:p w14:paraId="72A6525F">
      <w:pPr>
        <w:ind w:firstLine="420" w:firstLineChars="200"/>
        <w:rPr>
          <w:rFonts w:hint="eastAsia" w:ascii="宋体" w:hAnsi="宋体"/>
          <w:szCs w:val="21"/>
        </w:rPr>
      </w:pPr>
      <w:r>
        <w:rPr>
          <w:rFonts w:hint="eastAsia" w:ascii="宋体" w:hAnsi="宋体"/>
          <w:szCs w:val="21"/>
        </w:rPr>
        <w:t>（4）因质疑事项而受损害的权益；</w:t>
      </w:r>
    </w:p>
    <w:p w14:paraId="36A36776">
      <w:pPr>
        <w:ind w:firstLine="420" w:firstLineChars="200"/>
        <w:rPr>
          <w:rFonts w:hint="eastAsia" w:ascii="宋体" w:hAnsi="宋体"/>
          <w:szCs w:val="21"/>
        </w:rPr>
      </w:pPr>
      <w:r>
        <w:rPr>
          <w:rFonts w:hint="eastAsia" w:ascii="宋体" w:hAnsi="宋体"/>
          <w:szCs w:val="21"/>
        </w:rPr>
        <w:t>（5）事实依据；</w:t>
      </w:r>
    </w:p>
    <w:p w14:paraId="0CFD2E67">
      <w:pPr>
        <w:ind w:firstLine="420" w:firstLineChars="200"/>
        <w:rPr>
          <w:rFonts w:hint="eastAsia" w:ascii="宋体" w:hAnsi="宋体"/>
          <w:szCs w:val="21"/>
        </w:rPr>
      </w:pPr>
      <w:r>
        <w:rPr>
          <w:rFonts w:hint="eastAsia" w:ascii="宋体" w:hAnsi="宋体"/>
          <w:szCs w:val="21"/>
        </w:rPr>
        <w:t>（6）必要的法律依据；</w:t>
      </w:r>
    </w:p>
    <w:p w14:paraId="0F1C1ED4">
      <w:pPr>
        <w:ind w:firstLine="420" w:firstLineChars="200"/>
        <w:rPr>
          <w:rFonts w:hint="eastAsia" w:ascii="宋体" w:hAnsi="宋体"/>
          <w:szCs w:val="21"/>
        </w:rPr>
      </w:pPr>
      <w:r>
        <w:rPr>
          <w:rFonts w:hint="eastAsia" w:ascii="宋体" w:hAnsi="宋体"/>
          <w:szCs w:val="21"/>
        </w:rPr>
        <w:t>（7）提出质疑的日期。</w:t>
      </w:r>
    </w:p>
    <w:p w14:paraId="3FDBC622">
      <w:pPr>
        <w:ind w:firstLine="420" w:firstLineChars="200"/>
        <w:rPr>
          <w:rFonts w:hint="eastAsia" w:ascii="宋体" w:hAnsi="宋体"/>
          <w:szCs w:val="21"/>
        </w:rPr>
      </w:pPr>
      <w:r>
        <w:rPr>
          <w:rFonts w:hint="eastAsia" w:ascii="宋体" w:hAnsi="宋体"/>
          <w:szCs w:val="21"/>
        </w:rPr>
        <w:t>供应商为自然人的，应当由本人签字；供应商为法人或者其他组织的，应当由法定代表人（负责人），或者其授权代理人签字或者盖章，并加盖公章。</w:t>
      </w:r>
    </w:p>
    <w:p w14:paraId="00944EEC">
      <w:pPr>
        <w:ind w:firstLine="420" w:firstLineChars="200"/>
        <w:rPr>
          <w:rFonts w:hint="eastAsia" w:ascii="宋体" w:hAnsi="宋体"/>
          <w:szCs w:val="21"/>
        </w:rPr>
      </w:pPr>
      <w:r>
        <w:rPr>
          <w:rFonts w:hint="eastAsia" w:ascii="宋体" w:hAnsi="宋体"/>
          <w:szCs w:val="21"/>
        </w:rPr>
        <w:t>52.4提交</w:t>
      </w:r>
      <w:r>
        <w:rPr>
          <w:rFonts w:ascii="宋体" w:hAnsi="宋体"/>
          <w:szCs w:val="21"/>
        </w:rPr>
        <w:t>材料</w:t>
      </w:r>
    </w:p>
    <w:p w14:paraId="79D88186">
      <w:pPr>
        <w:ind w:firstLine="420" w:firstLineChars="200"/>
        <w:rPr>
          <w:rFonts w:hint="eastAsia" w:ascii="宋体" w:hAnsi="宋体"/>
          <w:szCs w:val="21"/>
        </w:rPr>
      </w:pPr>
      <w:r>
        <w:rPr>
          <w:rFonts w:hint="eastAsia" w:ascii="宋体" w:hAnsi="宋体"/>
          <w:szCs w:val="21"/>
        </w:rPr>
        <w:t>供应商质疑实行实名制。供应商为自然人的，应当提交本人身份证复印件；供应商为法人或者其他组织的，应当根据自身性质提交营业执照复印件或者其他证明文件（如事业单位法人证书等）复印件。</w:t>
      </w:r>
    </w:p>
    <w:p w14:paraId="23E25D2D">
      <w:pPr>
        <w:ind w:firstLine="420" w:firstLineChars="200"/>
        <w:rPr>
          <w:rFonts w:hint="eastAsia" w:ascii="宋体" w:hAnsi="宋体"/>
          <w:szCs w:val="21"/>
        </w:rPr>
      </w:pPr>
      <w:r>
        <w:rPr>
          <w:rFonts w:hint="eastAsia" w:ascii="宋体" w:hAnsi="宋体"/>
          <w:szCs w:val="21"/>
        </w:rPr>
        <w:t>供应商可以委托代理人进行质疑。</w:t>
      </w:r>
      <w:r>
        <w:rPr>
          <w:rFonts w:ascii="宋体" w:hAnsi="宋体"/>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0E337831">
      <w:pPr>
        <w:ind w:firstLine="420" w:firstLineChars="200"/>
        <w:rPr>
          <w:rFonts w:hint="eastAsia" w:ascii="宋体" w:hAnsi="宋体"/>
          <w:szCs w:val="21"/>
        </w:rPr>
      </w:pPr>
      <w:r>
        <w:rPr>
          <w:rFonts w:hint="eastAsia" w:ascii="宋体" w:hAnsi="宋体"/>
          <w:szCs w:val="21"/>
        </w:rPr>
        <w:t>52.5收文地点</w:t>
      </w:r>
    </w:p>
    <w:p w14:paraId="1CF29DE2">
      <w:pPr>
        <w:ind w:firstLine="422" w:firstLineChars="200"/>
        <w:rPr>
          <w:rFonts w:hint="eastAsia" w:ascii="宋体" w:hAnsi="宋体"/>
          <w:b/>
          <w:bCs/>
          <w:szCs w:val="21"/>
        </w:rPr>
      </w:pPr>
      <w:r>
        <w:rPr>
          <w:rFonts w:hint="eastAsia" w:ascii="宋体" w:hAnsi="宋体"/>
          <w:b/>
          <w:bCs/>
          <w:szCs w:val="21"/>
        </w:rPr>
        <w:t>地址：深圳公共资源交易中心（深圳交易集团有限公司龙华分公司）（地址：深圳市龙华区观湖街道大和社区大和路288号宝观城锦鲤大厦办公楼22楼）。</w:t>
      </w:r>
    </w:p>
    <w:p w14:paraId="62B2500D">
      <w:pPr>
        <w:ind w:firstLine="420" w:firstLineChars="200"/>
        <w:rPr>
          <w:rFonts w:hint="eastAsia" w:ascii="宋体" w:hAnsi="宋体"/>
          <w:szCs w:val="21"/>
        </w:rPr>
      </w:pPr>
      <w:r>
        <w:rPr>
          <w:rFonts w:hint="eastAsia" w:ascii="宋体" w:hAnsi="宋体"/>
          <w:szCs w:val="21"/>
        </w:rPr>
        <w:t>52.6收文办理</w:t>
      </w:r>
      <w:r>
        <w:rPr>
          <w:rFonts w:ascii="宋体" w:hAnsi="宋体"/>
          <w:szCs w:val="21"/>
        </w:rPr>
        <w:t>程序</w:t>
      </w:r>
    </w:p>
    <w:p w14:paraId="24EBF8E3">
      <w:pPr>
        <w:ind w:firstLine="420" w:firstLineChars="200"/>
        <w:rPr>
          <w:rFonts w:hint="eastAsia" w:ascii="宋体" w:hAnsi="宋体"/>
          <w:szCs w:val="21"/>
        </w:rPr>
      </w:pPr>
      <w:r>
        <w:rPr>
          <w:rFonts w:hint="eastAsia" w:ascii="宋体" w:hAnsi="宋体"/>
          <w:szCs w:val="21"/>
        </w:rPr>
        <w:t>52.6.1供应商提交的质疑符合受理条件的，政府集中采购机构自收到质疑材料之日起即为受理，应当向供应商出具质疑函收文回执并可以要求其递交质疑的法定代表人（负责人）或者授权代理人签署质疑文书送达地址确认书。</w:t>
      </w:r>
    </w:p>
    <w:p w14:paraId="55157D06">
      <w:pPr>
        <w:ind w:firstLine="420" w:firstLineChars="200"/>
        <w:rPr>
          <w:rFonts w:hint="eastAsia" w:ascii="仿宋" w:hAnsi="仿宋" w:eastAsia="仿宋"/>
          <w:sz w:val="28"/>
          <w:szCs w:val="28"/>
        </w:rPr>
      </w:pPr>
      <w:r>
        <w:rPr>
          <w:rFonts w:hint="eastAsia" w:ascii="宋体" w:hAnsi="宋体"/>
          <w:szCs w:val="21"/>
        </w:rPr>
        <w:t>52.6.2供应商提交的质疑材料不符合质疑条件的，视情况处理：</w:t>
      </w:r>
    </w:p>
    <w:p w14:paraId="651C9B88">
      <w:pPr>
        <w:ind w:firstLine="420" w:firstLineChars="200"/>
        <w:rPr>
          <w:rFonts w:hint="eastAsia" w:ascii="宋体" w:hAnsi="宋体"/>
          <w:szCs w:val="21"/>
        </w:rPr>
      </w:pPr>
      <w:r>
        <w:rPr>
          <w:rFonts w:hint="eastAsia" w:ascii="宋体" w:hAnsi="宋体"/>
          <w:szCs w:val="21"/>
        </w:rPr>
        <w:t>供应商提交的质疑材料不全或者未按要求签字或者盖章的，政府集中采购机构应当一次性告知供应商需补正的内容和补正期限。</w:t>
      </w:r>
    </w:p>
    <w:p w14:paraId="4A8FE103">
      <w:pPr>
        <w:ind w:firstLine="420" w:firstLineChars="200"/>
        <w:rPr>
          <w:rFonts w:hint="eastAsia" w:ascii="宋体" w:hAnsi="宋体"/>
          <w:szCs w:val="21"/>
        </w:rPr>
      </w:pPr>
      <w:r>
        <w:rPr>
          <w:rFonts w:hint="eastAsia" w:ascii="宋体" w:hAnsi="宋体"/>
          <w:szCs w:val="21"/>
        </w:rPr>
        <w:t>供应商提交的质疑存在下列情形之一的，不予受理：</w:t>
      </w:r>
    </w:p>
    <w:p w14:paraId="1655F800">
      <w:pPr>
        <w:ind w:firstLine="420" w:firstLineChars="200"/>
        <w:rPr>
          <w:rFonts w:hint="eastAsia" w:ascii="宋体" w:hAnsi="宋体"/>
          <w:szCs w:val="21"/>
        </w:rPr>
      </w:pPr>
      <w:r>
        <w:rPr>
          <w:rFonts w:hint="eastAsia" w:ascii="宋体" w:hAnsi="宋体"/>
          <w:szCs w:val="21"/>
        </w:rPr>
        <w:t>（1）质疑主体不满足要求的；</w:t>
      </w:r>
    </w:p>
    <w:p w14:paraId="40F95B4C">
      <w:pPr>
        <w:ind w:firstLine="420" w:firstLineChars="200"/>
        <w:rPr>
          <w:rFonts w:hint="eastAsia" w:ascii="宋体" w:hAnsi="宋体"/>
          <w:szCs w:val="21"/>
        </w:rPr>
      </w:pPr>
      <w:r>
        <w:rPr>
          <w:rFonts w:hint="eastAsia" w:ascii="宋体" w:hAnsi="宋体"/>
          <w:szCs w:val="21"/>
        </w:rPr>
        <w:t>（2）供应商自身权益未受到损害的；</w:t>
      </w:r>
    </w:p>
    <w:p w14:paraId="2FE2A2E4">
      <w:pPr>
        <w:ind w:firstLine="420" w:firstLineChars="200"/>
        <w:rPr>
          <w:rFonts w:hint="eastAsia" w:ascii="宋体" w:hAnsi="宋体"/>
          <w:szCs w:val="21"/>
        </w:rPr>
      </w:pPr>
      <w:r>
        <w:rPr>
          <w:rFonts w:hint="eastAsia" w:ascii="宋体" w:hAnsi="宋体"/>
          <w:szCs w:val="21"/>
        </w:rPr>
        <w:t>（3）供应商未在法定质疑期限内提出质疑的；</w:t>
      </w:r>
    </w:p>
    <w:p w14:paraId="50E647D2">
      <w:pPr>
        <w:ind w:firstLine="420" w:firstLineChars="200"/>
        <w:rPr>
          <w:rFonts w:hint="eastAsia" w:ascii="宋体" w:hAnsi="宋体"/>
          <w:szCs w:val="21"/>
        </w:rPr>
      </w:pPr>
      <w:r>
        <w:rPr>
          <w:rFonts w:hint="eastAsia" w:ascii="宋体" w:hAnsi="宋体"/>
          <w:szCs w:val="21"/>
        </w:rPr>
        <w:t>（4）质疑材料不全或者未按要求签字或者盖章的情况下，要求补正后，逾期未补正或者补正后仍不符合规定的；</w:t>
      </w:r>
    </w:p>
    <w:p w14:paraId="3392B290">
      <w:pPr>
        <w:ind w:firstLine="420" w:firstLineChars="200"/>
        <w:rPr>
          <w:rFonts w:hint="eastAsia" w:ascii="宋体" w:hAnsi="宋体"/>
          <w:szCs w:val="21"/>
        </w:rPr>
      </w:pPr>
      <w:r>
        <w:rPr>
          <w:rFonts w:hint="eastAsia" w:ascii="宋体" w:hAnsi="宋体"/>
          <w:szCs w:val="21"/>
        </w:rPr>
        <w:t>（5）其他不符合受理条件情形的。</w:t>
      </w:r>
    </w:p>
    <w:p w14:paraId="7565645B">
      <w:pPr>
        <w:ind w:firstLine="420" w:firstLineChars="200"/>
        <w:rPr>
          <w:rFonts w:hint="eastAsia" w:ascii="宋体" w:hAnsi="宋体"/>
          <w:szCs w:val="21"/>
        </w:rPr>
      </w:pPr>
      <w:r>
        <w:rPr>
          <w:rFonts w:hint="eastAsia" w:ascii="宋体" w:hAnsi="宋体"/>
          <w:szCs w:val="21"/>
        </w:rPr>
        <w:t>质疑事项不予受理的，政府集中采购机构应当向供应商出具不符合质疑条件告知书。</w:t>
      </w:r>
    </w:p>
    <w:p w14:paraId="01AC46D6">
      <w:pPr>
        <w:rPr>
          <w:rFonts w:hint="eastAsia" w:ascii="宋体" w:hAnsi="宋体"/>
          <w:szCs w:val="21"/>
        </w:rPr>
      </w:pPr>
      <w:r>
        <w:rPr>
          <w:rFonts w:hint="eastAsia" w:ascii="宋体" w:hAnsi="宋体"/>
          <w:color w:val="FF0000"/>
          <w:szCs w:val="21"/>
        </w:rPr>
        <w:t xml:space="preserve">  </w:t>
      </w:r>
      <w:r>
        <w:rPr>
          <w:rFonts w:hint="eastAsia" w:ascii="宋体" w:hAnsi="宋体"/>
          <w:szCs w:val="21"/>
        </w:rPr>
        <w:t xml:space="preserve">  52.7质疑答复时限</w:t>
      </w:r>
    </w:p>
    <w:p w14:paraId="45581C50">
      <w:pPr>
        <w:rPr>
          <w:rFonts w:hint="eastAsia" w:ascii="宋体" w:hAnsi="宋体"/>
          <w:szCs w:val="21"/>
        </w:rPr>
      </w:pPr>
      <w:r>
        <w:rPr>
          <w:rFonts w:hint="eastAsia" w:ascii="宋体" w:hAnsi="宋体"/>
          <w:szCs w:val="21"/>
        </w:rPr>
        <w:t xml:space="preserve">    自收文之日起七个工作日内。</w:t>
      </w:r>
    </w:p>
    <w:p w14:paraId="4397B330">
      <w:pPr>
        <w:rPr>
          <w:rFonts w:hint="eastAsia" w:ascii="宋体" w:hAnsi="宋体"/>
          <w:szCs w:val="21"/>
        </w:rPr>
      </w:pPr>
      <w:r>
        <w:rPr>
          <w:rFonts w:hint="eastAsia" w:ascii="宋体" w:hAnsi="宋体"/>
          <w:szCs w:val="21"/>
        </w:rPr>
        <w:t xml:space="preserve">    52.8投诉</w:t>
      </w:r>
    </w:p>
    <w:p w14:paraId="38EA71D2">
      <w:pPr>
        <w:rPr>
          <w:rFonts w:hint="eastAsia" w:ascii="宋体" w:hAnsi="宋体"/>
          <w:szCs w:val="21"/>
        </w:rPr>
      </w:pPr>
      <w:r>
        <w:rPr>
          <w:rFonts w:hint="eastAsia" w:ascii="宋体" w:hAnsi="宋体"/>
          <w:szCs w:val="21"/>
        </w:rPr>
        <w:t xml:space="preserve">    对质疑答复不满意或者未在规定时间内答复的，提出质疑的供应商可以在答复期满后15个工作日内向本项目预算主管单位投诉。</w:t>
      </w:r>
    </w:p>
    <w:p w14:paraId="50394A5E">
      <w:pPr>
        <w:rPr>
          <w:rFonts w:hint="eastAsia" w:ascii="黑体" w:hAnsi="宋体" w:eastAsia="黑体"/>
          <w:sz w:val="24"/>
        </w:rPr>
      </w:pPr>
      <w:r>
        <w:rPr>
          <w:rFonts w:hint="eastAsia" w:ascii="黑体" w:hAnsi="宋体" w:eastAsia="黑体"/>
          <w:sz w:val="24"/>
        </w:rPr>
        <w:t>53. 质疑后续处理</w:t>
      </w:r>
    </w:p>
    <w:p w14:paraId="05C44601">
      <w:pPr>
        <w:rPr>
          <w:rFonts w:hint="eastAsia" w:ascii="宋体" w:hAnsi="宋体"/>
          <w:szCs w:val="21"/>
        </w:rPr>
      </w:pPr>
      <w:r>
        <w:rPr>
          <w:rFonts w:hint="eastAsia" w:ascii="宋体" w:hAnsi="宋体"/>
          <w:szCs w:val="21"/>
        </w:rPr>
        <w:t xml:space="preserve">    53.1供应商质疑不成立，或者成立但未对中标、成交结果构成影响的，继续开展采购活动。</w:t>
      </w:r>
    </w:p>
    <w:p w14:paraId="3110D693">
      <w:pPr>
        <w:jc w:val="center"/>
      </w:pPr>
      <w:r>
        <w:rPr>
          <w:rFonts w:hint="eastAsia" w:ascii="宋体" w:hAnsi="宋体"/>
          <w:szCs w:val="21"/>
        </w:rPr>
        <w:t xml:space="preserve">    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r>
        <w:t>---- END ----</w:t>
      </w:r>
    </w:p>
    <w:p w14:paraId="0EF27F5C">
      <w:pPr>
        <w:jc w:val="center"/>
        <w:rPr>
          <w:rFonts w:ascii="Times New Roman" w:hAnsi="Times New Roman" w:eastAsia="宋体" w:cs="Times New Roman"/>
          <w:szCs w:val="24"/>
        </w:rPr>
      </w:pPr>
      <w:r>
        <w:rPr>
          <w:rFonts w:ascii="Times New Roman" w:hAnsi="Times New Roman" w:eastAsia="宋体" w:cs="Times New Roman"/>
          <w:szCs w:val="24"/>
        </w:rPr>
        <w:t>---- END ----</w:t>
      </w:r>
      <w:bookmarkEnd w:id="60"/>
    </w:p>
    <w:p w14:paraId="790DB1DC">
      <w:pPr>
        <w:rPr>
          <w:b/>
          <w:color w:val="FF0000"/>
          <w:sz w:val="52"/>
          <w:szCs w:val="52"/>
        </w:rPr>
      </w:pPr>
    </w:p>
    <w:p w14:paraId="4684F8F9">
      <w:pPr>
        <w:rPr>
          <w:rFonts w:hint="eastAsia" w:ascii="宋体" w:hAnsi="宋体" w:eastAsia="黑体" w:cs="Times New Roman"/>
          <w:b/>
          <w:bCs/>
          <w:color w:val="0000FF"/>
          <w:kern w:val="44"/>
          <w:sz w:val="36"/>
          <w:szCs w:val="44"/>
        </w:rPr>
      </w:pPr>
    </w:p>
    <w:p w14:paraId="4C363D79"/>
    <w:p w14:paraId="2A2238E2"/>
    <w:sectPr>
      <w:headerReference r:id="rId10" w:type="first"/>
      <w:footerReference r:id="rId13" w:type="first"/>
      <w:headerReference r:id="rId8" w:type="default"/>
      <w:footerReference r:id="rId11" w:type="default"/>
      <w:headerReference r:id="rId9" w:type="even"/>
      <w:footerReference r:id="rId12" w:type="even"/>
      <w:pgSz w:w="11906" w:h="16838"/>
      <w:pgMar w:top="1440" w:right="1417" w:bottom="1440" w:left="1417"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隶书">
    <w:panose1 w:val="02010509060101010101"/>
    <w:charset w:val="86"/>
    <w:family w:val="modern"/>
    <w:pitch w:val="default"/>
    <w:sig w:usb0="00000001" w:usb1="080E0000" w:usb2="00000000" w:usb3="00000000" w:csb0="00040000" w:csb1="00000000"/>
  </w:font>
  <w:font w:name="H Yb 2gj">
    <w:altName w:val="黑体"/>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瀹嬩綋">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汉仪书宋二S">
    <w:altName w:val="宋体"/>
    <w:panose1 w:val="00000000000000000000"/>
    <w:charset w:val="00"/>
    <w:family w:val="auto"/>
    <w:pitch w:val="default"/>
    <w:sig w:usb0="00000000" w:usb1="00000000" w:usb2="00000000" w:usb3="00000000" w:csb0="00000000" w:csb1="00000000"/>
  </w:font>
  <w:font w:name="华文楷体">
    <w:panose1 w:val="02010600040101010101"/>
    <w:charset w:val="86"/>
    <w:family w:val="auto"/>
    <w:pitch w:val="default"/>
    <w:sig w:usb0="00000287" w:usb1="080F0000" w:usb2="00000000" w:usb3="00000000" w:csb0="0004009F" w:csb1="DFD70000"/>
  </w:font>
  <w:font w:name="ˎ̥">
    <w:altName w:val="Times New Roman"/>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98C826">
    <w:pPr>
      <w:pStyle w:val="11"/>
      <w:framePr w:wrap="around" w:vAnchor="text" w:hAnchor="margin" w:xAlign="center" w:y="1"/>
      <w:rPr>
        <w:rStyle w:val="21"/>
      </w:rPr>
    </w:pPr>
    <w:r>
      <w:t xml:space="preserve">- </w:t>
    </w:r>
    <w:r>
      <w:fldChar w:fldCharType="begin"/>
    </w:r>
    <w:r>
      <w:instrText xml:space="preserve"> PAGE </w:instrText>
    </w:r>
    <w:r>
      <w:fldChar w:fldCharType="separate"/>
    </w:r>
    <w:r>
      <w:t>29</w:t>
    </w:r>
    <w:r>
      <w:fldChar w:fldCharType="end"/>
    </w:r>
    <w:r>
      <w:t xml:space="preserve"> -</w:t>
    </w:r>
  </w:p>
  <w:p w14:paraId="403C3F1F">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9B1AAF">
    <w:pPr>
      <w:pStyle w:val="11"/>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458FCF6B">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FD1C8C">
    <w:pPr>
      <w:tabs>
        <w:tab w:val="center" w:pos="4153"/>
        <w:tab w:val="right" w:pos="8306"/>
      </w:tabs>
      <w:snapToGrid w:val="0"/>
      <w:jc w:val="left"/>
      <w:rPr>
        <w:rFonts w:ascii="Times New Roman" w:hAnsi="Times New Roman" w:eastAsia="宋体" w:cs="Times New Roman"/>
        <w:sz w:val="18"/>
        <w:szCs w:val="2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22060"/>
    </w:sdtPr>
    <w:sdtContent>
      <w:p w14:paraId="773DF3AF">
        <w:pPr>
          <w:pStyle w:val="11"/>
          <w:jc w:val="center"/>
        </w:pPr>
        <w:r>
          <w:fldChar w:fldCharType="begin"/>
        </w:r>
        <w:r>
          <w:instrText xml:space="preserve"> PAGE   \* MERGEFORMAT </w:instrText>
        </w:r>
        <w:r>
          <w:fldChar w:fldCharType="separate"/>
        </w:r>
        <w:r>
          <w:rPr>
            <w:lang w:val="zh-CN"/>
          </w:rPr>
          <w:t>29</w:t>
        </w:r>
        <w:r>
          <w:rPr>
            <w:lang w:val="zh-CN"/>
          </w:rPr>
          <w:fldChar w:fldCharType="end"/>
        </w:r>
      </w:p>
    </w:sdtContent>
  </w:sdt>
  <w:p w14:paraId="38604F2A">
    <w:pPr>
      <w:pStyle w:val="11"/>
      <w:spacing w:after="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324BA5">
    <w:pPr>
      <w:pStyle w:val="11"/>
      <w:spacing w:after="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A8F774">
    <w:pPr>
      <w:pStyle w:val="11"/>
      <w:spacing w:after="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C8D691">
    <w:pPr>
      <w:pStyle w:val="12"/>
      <w:pBdr>
        <w:top w:val="none" w:color="auto" w:sz="0" w:space="0"/>
        <w:left w:val="none" w:color="auto" w:sz="0" w:space="0"/>
        <w:bottom w:val="none" w:color="auto" w:sz="0" w:space="1"/>
        <w:right w:val="none" w:color="auto" w:sz="0" w:space="0"/>
        <w:between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32C37D">
    <w:pPr>
      <w:pBdr>
        <w:top w:val="none" w:color="auto" w:sz="0" w:space="1"/>
        <w:left w:val="none" w:color="auto" w:sz="0" w:space="4"/>
        <w:bottom w:val="none" w:color="auto" w:sz="0" w:space="1"/>
        <w:right w:val="none" w:color="auto" w:sz="0" w:space="4"/>
      </w:pBdr>
      <w:tabs>
        <w:tab w:val="center" w:pos="4153"/>
        <w:tab w:val="right" w:pos="8306"/>
      </w:tabs>
      <w:snapToGrid w:val="0"/>
      <w:rPr>
        <w:rFonts w:ascii="Times New Roman" w:hAnsi="Times New Roman" w:eastAsia="宋体" w:cs="Times New Roman"/>
        <w:sz w:val="18"/>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43542A">
    <w:pPr>
      <w:pStyle w:val="12"/>
      <w:spacing w:after="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E964EF">
    <w:pPr>
      <w:pStyle w:val="12"/>
      <w:spacing w:after="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9A8D5C">
    <w:pPr>
      <w:pStyle w:val="12"/>
      <w:spacing w:after="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09221C"/>
    <w:multiLevelType w:val="singleLevel"/>
    <w:tmpl w:val="B609221C"/>
    <w:lvl w:ilvl="0" w:tentative="0">
      <w:start w:val="1"/>
      <w:numFmt w:val="decimal"/>
      <w:suff w:val="nothing"/>
      <w:lvlText w:val="%1、"/>
      <w:lvlJc w:val="left"/>
    </w:lvl>
  </w:abstractNum>
  <w:abstractNum w:abstractNumId="1">
    <w:nsid w:val="B6219184"/>
    <w:multiLevelType w:val="singleLevel"/>
    <w:tmpl w:val="B6219184"/>
    <w:lvl w:ilvl="0" w:tentative="0">
      <w:start w:val="1"/>
      <w:numFmt w:val="decimal"/>
      <w:suff w:val="nothing"/>
      <w:lvlText w:val="（%1）"/>
      <w:lvlJc w:val="left"/>
    </w:lvl>
  </w:abstractNum>
  <w:abstractNum w:abstractNumId="2">
    <w:nsid w:val="B9358C2E"/>
    <w:multiLevelType w:val="singleLevel"/>
    <w:tmpl w:val="B9358C2E"/>
    <w:lvl w:ilvl="0" w:tentative="0">
      <w:start w:val="2"/>
      <w:numFmt w:val="decimal"/>
      <w:suff w:val="nothing"/>
      <w:lvlText w:val="%1、"/>
      <w:lvlJc w:val="left"/>
    </w:lvl>
  </w:abstractNum>
  <w:abstractNum w:abstractNumId="3">
    <w:nsid w:val="BF6BC116"/>
    <w:multiLevelType w:val="singleLevel"/>
    <w:tmpl w:val="BF6BC116"/>
    <w:lvl w:ilvl="0" w:tentative="0">
      <w:start w:val="16"/>
      <w:numFmt w:val="decimal"/>
      <w:suff w:val="space"/>
      <w:lvlText w:val="%1."/>
      <w:lvlJc w:val="left"/>
    </w:lvl>
  </w:abstractNum>
  <w:abstractNum w:abstractNumId="4">
    <w:nsid w:val="CFE7C3F8"/>
    <w:multiLevelType w:val="singleLevel"/>
    <w:tmpl w:val="CFE7C3F8"/>
    <w:lvl w:ilvl="0" w:tentative="0">
      <w:start w:val="1"/>
      <w:numFmt w:val="decimal"/>
      <w:suff w:val="nothing"/>
      <w:lvlText w:val="（%1）"/>
      <w:lvlJc w:val="left"/>
    </w:lvl>
  </w:abstractNum>
  <w:abstractNum w:abstractNumId="5">
    <w:nsid w:val="D0686203"/>
    <w:multiLevelType w:val="singleLevel"/>
    <w:tmpl w:val="D0686203"/>
    <w:lvl w:ilvl="0" w:tentative="0">
      <w:start w:val="2"/>
      <w:numFmt w:val="decimal"/>
      <w:suff w:val="nothing"/>
      <w:lvlText w:val="%1、"/>
      <w:lvlJc w:val="left"/>
    </w:lvl>
  </w:abstractNum>
  <w:abstractNum w:abstractNumId="6">
    <w:nsid w:val="DDECD3BC"/>
    <w:multiLevelType w:val="singleLevel"/>
    <w:tmpl w:val="DDECD3BC"/>
    <w:lvl w:ilvl="0" w:tentative="0">
      <w:start w:val="6"/>
      <w:numFmt w:val="decimal"/>
      <w:suff w:val="space"/>
      <w:lvlText w:val="%1."/>
      <w:lvlJc w:val="left"/>
    </w:lvl>
  </w:abstractNum>
  <w:abstractNum w:abstractNumId="7">
    <w:nsid w:val="DE759F4B"/>
    <w:multiLevelType w:val="singleLevel"/>
    <w:tmpl w:val="DE759F4B"/>
    <w:lvl w:ilvl="0" w:tentative="0">
      <w:start w:val="2"/>
      <w:numFmt w:val="decimal"/>
      <w:suff w:val="space"/>
      <w:lvlText w:val="%1."/>
      <w:lvlJc w:val="left"/>
    </w:lvl>
  </w:abstractNum>
  <w:abstractNum w:abstractNumId="8">
    <w:nsid w:val="DEABE1DB"/>
    <w:multiLevelType w:val="singleLevel"/>
    <w:tmpl w:val="DEABE1DB"/>
    <w:lvl w:ilvl="0" w:tentative="0">
      <w:start w:val="23"/>
      <w:numFmt w:val="decimal"/>
      <w:suff w:val="space"/>
      <w:lvlText w:val="%1."/>
      <w:lvlJc w:val="left"/>
    </w:lvl>
  </w:abstractNum>
  <w:abstractNum w:abstractNumId="9">
    <w:nsid w:val="FFEFC674"/>
    <w:multiLevelType w:val="singleLevel"/>
    <w:tmpl w:val="FFEFC674"/>
    <w:lvl w:ilvl="0" w:tentative="0">
      <w:start w:val="1"/>
      <w:numFmt w:val="decimal"/>
      <w:suff w:val="nothing"/>
      <w:lvlText w:val="（%1）"/>
      <w:lvlJc w:val="left"/>
    </w:lvl>
  </w:abstractNum>
  <w:abstractNum w:abstractNumId="10">
    <w:nsid w:val="09F81FD3"/>
    <w:multiLevelType w:val="multilevel"/>
    <w:tmpl w:val="09F81FD3"/>
    <w:lvl w:ilvl="0" w:tentative="0">
      <w:start w:val="1"/>
      <w:numFmt w:val="japaneseCounting"/>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34416252"/>
    <w:multiLevelType w:val="multilevel"/>
    <w:tmpl w:val="34416252"/>
    <w:lvl w:ilvl="0" w:tentative="0">
      <w:start w:val="1"/>
      <w:numFmt w:val="japaneseCounting"/>
      <w:lvlText w:val="第%1章"/>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5CFFEB08"/>
    <w:multiLevelType w:val="singleLevel"/>
    <w:tmpl w:val="5CFFEB08"/>
    <w:lvl w:ilvl="0" w:tentative="0">
      <w:start w:val="1"/>
      <w:numFmt w:val="chineseCounting"/>
      <w:suff w:val="nothing"/>
      <w:lvlText w:val="（%1）"/>
      <w:lvlJc w:val="left"/>
      <w:rPr>
        <w:rFonts w:hint="eastAsia"/>
      </w:rPr>
    </w:lvl>
  </w:abstractNum>
  <w:abstractNum w:abstractNumId="13">
    <w:nsid w:val="7A0F6431"/>
    <w:multiLevelType w:val="singleLevel"/>
    <w:tmpl w:val="7A0F6431"/>
    <w:lvl w:ilvl="0" w:tentative="0">
      <w:start w:val="1"/>
      <w:numFmt w:val="decimal"/>
      <w:suff w:val="space"/>
      <w:lvlText w:val="%1."/>
      <w:lvlJc w:val="left"/>
    </w:lvl>
  </w:abstractNum>
  <w:num w:numId="1">
    <w:abstractNumId w:val="1"/>
  </w:num>
  <w:num w:numId="2">
    <w:abstractNumId w:val="12"/>
  </w:num>
  <w:num w:numId="3">
    <w:abstractNumId w:val="5"/>
  </w:num>
  <w:num w:numId="4">
    <w:abstractNumId w:val="0"/>
  </w:num>
  <w:num w:numId="5">
    <w:abstractNumId w:val="2"/>
  </w:num>
  <w:num w:numId="6">
    <w:abstractNumId w:val="13"/>
  </w:num>
  <w:num w:numId="7">
    <w:abstractNumId w:val="4"/>
  </w:num>
  <w:num w:numId="8">
    <w:abstractNumId w:val="9"/>
  </w:num>
  <w:num w:numId="9">
    <w:abstractNumId w:val="7"/>
  </w:num>
  <w:num w:numId="10">
    <w:abstractNumId w:val="6"/>
  </w:num>
  <w:num w:numId="11">
    <w:abstractNumId w:val="3"/>
  </w:num>
  <w:num w:numId="12">
    <w:abstractNumId w:val="8"/>
  </w:num>
  <w:num w:numId="13">
    <w:abstractNumId w:val="11"/>
  </w:num>
  <w:num w:numId="14">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yanhua">
    <w15:presenceInfo w15:providerId="WPS Office" w15:userId="1948040819"/>
  </w15:person>
  <w15:person w15:author="陈聪">
    <w15:presenceInfo w15:providerId="WPS Office" w15:userId="1496714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FmOTUzNDg3NmQyYTQ2OWFjNGNmZDA2MmNlM2Q1YjMifQ=="/>
  </w:docVars>
  <w:rsids>
    <w:rsidRoot w:val="002B296E"/>
    <w:rsid w:val="00005740"/>
    <w:rsid w:val="00005B4D"/>
    <w:rsid w:val="0000723B"/>
    <w:rsid w:val="000102B3"/>
    <w:rsid w:val="00012263"/>
    <w:rsid w:val="00012DCA"/>
    <w:rsid w:val="00015451"/>
    <w:rsid w:val="00015C20"/>
    <w:rsid w:val="000165A0"/>
    <w:rsid w:val="00017ECC"/>
    <w:rsid w:val="000227FD"/>
    <w:rsid w:val="00024DCF"/>
    <w:rsid w:val="00027E40"/>
    <w:rsid w:val="00030B9F"/>
    <w:rsid w:val="00033591"/>
    <w:rsid w:val="00035243"/>
    <w:rsid w:val="00036C4D"/>
    <w:rsid w:val="00036CC4"/>
    <w:rsid w:val="0004487D"/>
    <w:rsid w:val="0004655D"/>
    <w:rsid w:val="00046AE3"/>
    <w:rsid w:val="00047161"/>
    <w:rsid w:val="00047F90"/>
    <w:rsid w:val="0005162F"/>
    <w:rsid w:val="00051863"/>
    <w:rsid w:val="000520B1"/>
    <w:rsid w:val="00055C90"/>
    <w:rsid w:val="000579F6"/>
    <w:rsid w:val="00071DC8"/>
    <w:rsid w:val="000722BF"/>
    <w:rsid w:val="00073BE1"/>
    <w:rsid w:val="000762AC"/>
    <w:rsid w:val="00076F24"/>
    <w:rsid w:val="00082568"/>
    <w:rsid w:val="00083BC2"/>
    <w:rsid w:val="00086895"/>
    <w:rsid w:val="0009130D"/>
    <w:rsid w:val="00094FCC"/>
    <w:rsid w:val="000A08E3"/>
    <w:rsid w:val="000A7A9D"/>
    <w:rsid w:val="000B3AC3"/>
    <w:rsid w:val="000B4D4A"/>
    <w:rsid w:val="000B587C"/>
    <w:rsid w:val="000B7A0E"/>
    <w:rsid w:val="000C0E1A"/>
    <w:rsid w:val="000C2BCB"/>
    <w:rsid w:val="000C4236"/>
    <w:rsid w:val="000C64E7"/>
    <w:rsid w:val="000C689A"/>
    <w:rsid w:val="000C7808"/>
    <w:rsid w:val="000D123C"/>
    <w:rsid w:val="000D5B9F"/>
    <w:rsid w:val="000E0D11"/>
    <w:rsid w:val="000E23D7"/>
    <w:rsid w:val="000E7DAA"/>
    <w:rsid w:val="000F1063"/>
    <w:rsid w:val="000F1328"/>
    <w:rsid w:val="000F2DF3"/>
    <w:rsid w:val="00102CAD"/>
    <w:rsid w:val="001031B0"/>
    <w:rsid w:val="00105092"/>
    <w:rsid w:val="0010582A"/>
    <w:rsid w:val="001075AD"/>
    <w:rsid w:val="00110CBD"/>
    <w:rsid w:val="00122477"/>
    <w:rsid w:val="001232EC"/>
    <w:rsid w:val="00123E98"/>
    <w:rsid w:val="00123EB7"/>
    <w:rsid w:val="00125B86"/>
    <w:rsid w:val="00125EA7"/>
    <w:rsid w:val="00133F32"/>
    <w:rsid w:val="00134804"/>
    <w:rsid w:val="00135452"/>
    <w:rsid w:val="00135D16"/>
    <w:rsid w:val="001423E8"/>
    <w:rsid w:val="0014403A"/>
    <w:rsid w:val="00145A2D"/>
    <w:rsid w:val="00147326"/>
    <w:rsid w:val="001477E0"/>
    <w:rsid w:val="001523C7"/>
    <w:rsid w:val="00152E85"/>
    <w:rsid w:val="001559D5"/>
    <w:rsid w:val="00157D5E"/>
    <w:rsid w:val="00160312"/>
    <w:rsid w:val="001604FE"/>
    <w:rsid w:val="00164113"/>
    <w:rsid w:val="00164DF0"/>
    <w:rsid w:val="00174F2C"/>
    <w:rsid w:val="001776D1"/>
    <w:rsid w:val="00183B03"/>
    <w:rsid w:val="00184F4C"/>
    <w:rsid w:val="00186AD1"/>
    <w:rsid w:val="00190D4E"/>
    <w:rsid w:val="00192AD1"/>
    <w:rsid w:val="00196ADD"/>
    <w:rsid w:val="001A0653"/>
    <w:rsid w:val="001A62A4"/>
    <w:rsid w:val="001B150F"/>
    <w:rsid w:val="001B3DCD"/>
    <w:rsid w:val="001B77F3"/>
    <w:rsid w:val="001C1026"/>
    <w:rsid w:val="001C146D"/>
    <w:rsid w:val="001C164F"/>
    <w:rsid w:val="001C1957"/>
    <w:rsid w:val="001C3631"/>
    <w:rsid w:val="001D0EB9"/>
    <w:rsid w:val="001D1A0E"/>
    <w:rsid w:val="001D4E88"/>
    <w:rsid w:val="001D5427"/>
    <w:rsid w:val="001D6F99"/>
    <w:rsid w:val="001E7D92"/>
    <w:rsid w:val="001F2FF4"/>
    <w:rsid w:val="001F4DAC"/>
    <w:rsid w:val="0020017A"/>
    <w:rsid w:val="0020780A"/>
    <w:rsid w:val="00210364"/>
    <w:rsid w:val="0021479B"/>
    <w:rsid w:val="00215571"/>
    <w:rsid w:val="00225BA9"/>
    <w:rsid w:val="00231E55"/>
    <w:rsid w:val="00234B58"/>
    <w:rsid w:val="0023517A"/>
    <w:rsid w:val="002360AF"/>
    <w:rsid w:val="002373AF"/>
    <w:rsid w:val="0024137C"/>
    <w:rsid w:val="002425D6"/>
    <w:rsid w:val="002428AB"/>
    <w:rsid w:val="00244C00"/>
    <w:rsid w:val="00245B43"/>
    <w:rsid w:val="00250418"/>
    <w:rsid w:val="002505A6"/>
    <w:rsid w:val="002549D4"/>
    <w:rsid w:val="0026325C"/>
    <w:rsid w:val="0026418F"/>
    <w:rsid w:val="0026450A"/>
    <w:rsid w:val="002709A8"/>
    <w:rsid w:val="00270C27"/>
    <w:rsid w:val="00271D87"/>
    <w:rsid w:val="00272EB2"/>
    <w:rsid w:val="002746A1"/>
    <w:rsid w:val="00280C2F"/>
    <w:rsid w:val="002823CE"/>
    <w:rsid w:val="00285DE2"/>
    <w:rsid w:val="00290910"/>
    <w:rsid w:val="00293B10"/>
    <w:rsid w:val="002961D1"/>
    <w:rsid w:val="002966B6"/>
    <w:rsid w:val="0029795C"/>
    <w:rsid w:val="002A0ED3"/>
    <w:rsid w:val="002A29E5"/>
    <w:rsid w:val="002A758C"/>
    <w:rsid w:val="002B296E"/>
    <w:rsid w:val="002B5C22"/>
    <w:rsid w:val="002B6A5A"/>
    <w:rsid w:val="002C3DA7"/>
    <w:rsid w:val="002C3F0A"/>
    <w:rsid w:val="002C500F"/>
    <w:rsid w:val="002C6B4A"/>
    <w:rsid w:val="002D2996"/>
    <w:rsid w:val="002D36C4"/>
    <w:rsid w:val="002D5EB6"/>
    <w:rsid w:val="002D63FF"/>
    <w:rsid w:val="002E0BE7"/>
    <w:rsid w:val="002E1005"/>
    <w:rsid w:val="002E4C9D"/>
    <w:rsid w:val="002E5DA1"/>
    <w:rsid w:val="002E63F0"/>
    <w:rsid w:val="002E6F35"/>
    <w:rsid w:val="002F006C"/>
    <w:rsid w:val="002F019C"/>
    <w:rsid w:val="002F403D"/>
    <w:rsid w:val="002F4FC9"/>
    <w:rsid w:val="002F54BE"/>
    <w:rsid w:val="00305131"/>
    <w:rsid w:val="00305CE7"/>
    <w:rsid w:val="00305DA0"/>
    <w:rsid w:val="003075D2"/>
    <w:rsid w:val="003103D1"/>
    <w:rsid w:val="00311E94"/>
    <w:rsid w:val="00315035"/>
    <w:rsid w:val="00321622"/>
    <w:rsid w:val="0032311B"/>
    <w:rsid w:val="00323813"/>
    <w:rsid w:val="00324CB2"/>
    <w:rsid w:val="00326B43"/>
    <w:rsid w:val="003277CD"/>
    <w:rsid w:val="0033310F"/>
    <w:rsid w:val="0033356C"/>
    <w:rsid w:val="00335A76"/>
    <w:rsid w:val="003402FF"/>
    <w:rsid w:val="00341AAD"/>
    <w:rsid w:val="00345849"/>
    <w:rsid w:val="00350F69"/>
    <w:rsid w:val="00353939"/>
    <w:rsid w:val="003553CD"/>
    <w:rsid w:val="00356426"/>
    <w:rsid w:val="00356A28"/>
    <w:rsid w:val="00362D56"/>
    <w:rsid w:val="0037109F"/>
    <w:rsid w:val="003710C6"/>
    <w:rsid w:val="003731BF"/>
    <w:rsid w:val="00373CC6"/>
    <w:rsid w:val="0037772B"/>
    <w:rsid w:val="003811DD"/>
    <w:rsid w:val="00384FDC"/>
    <w:rsid w:val="00387363"/>
    <w:rsid w:val="0039233C"/>
    <w:rsid w:val="003936FA"/>
    <w:rsid w:val="00395B93"/>
    <w:rsid w:val="003960E2"/>
    <w:rsid w:val="003A0898"/>
    <w:rsid w:val="003A13DC"/>
    <w:rsid w:val="003A22B2"/>
    <w:rsid w:val="003A283F"/>
    <w:rsid w:val="003A3EA6"/>
    <w:rsid w:val="003A5619"/>
    <w:rsid w:val="003B4BF9"/>
    <w:rsid w:val="003B627E"/>
    <w:rsid w:val="003C55EB"/>
    <w:rsid w:val="003D016D"/>
    <w:rsid w:val="003D1101"/>
    <w:rsid w:val="003D2AD2"/>
    <w:rsid w:val="003E32F8"/>
    <w:rsid w:val="003F0159"/>
    <w:rsid w:val="003F0EBF"/>
    <w:rsid w:val="003F1A85"/>
    <w:rsid w:val="0040232B"/>
    <w:rsid w:val="00411AD4"/>
    <w:rsid w:val="004142D5"/>
    <w:rsid w:val="004155CD"/>
    <w:rsid w:val="004159E6"/>
    <w:rsid w:val="00420DE3"/>
    <w:rsid w:val="00421174"/>
    <w:rsid w:val="00422460"/>
    <w:rsid w:val="004303AA"/>
    <w:rsid w:val="004308A1"/>
    <w:rsid w:val="00430AF8"/>
    <w:rsid w:val="00432891"/>
    <w:rsid w:val="0043317D"/>
    <w:rsid w:val="00434018"/>
    <w:rsid w:val="00435930"/>
    <w:rsid w:val="004370D7"/>
    <w:rsid w:val="004432FE"/>
    <w:rsid w:val="004437AE"/>
    <w:rsid w:val="004454D9"/>
    <w:rsid w:val="00446748"/>
    <w:rsid w:val="004468B4"/>
    <w:rsid w:val="0045104F"/>
    <w:rsid w:val="00460807"/>
    <w:rsid w:val="00460ABA"/>
    <w:rsid w:val="00460E5B"/>
    <w:rsid w:val="00461030"/>
    <w:rsid w:val="004621E5"/>
    <w:rsid w:val="00463D37"/>
    <w:rsid w:val="00471274"/>
    <w:rsid w:val="00471E81"/>
    <w:rsid w:val="00472409"/>
    <w:rsid w:val="00480F0D"/>
    <w:rsid w:val="00486E73"/>
    <w:rsid w:val="004A0C96"/>
    <w:rsid w:val="004A19DD"/>
    <w:rsid w:val="004A20E5"/>
    <w:rsid w:val="004A27E3"/>
    <w:rsid w:val="004A5261"/>
    <w:rsid w:val="004A7791"/>
    <w:rsid w:val="004B0CD6"/>
    <w:rsid w:val="004B3152"/>
    <w:rsid w:val="004B5FA8"/>
    <w:rsid w:val="004C3ADD"/>
    <w:rsid w:val="004D1052"/>
    <w:rsid w:val="004D7F2E"/>
    <w:rsid w:val="004E098B"/>
    <w:rsid w:val="004E2AEC"/>
    <w:rsid w:val="004E3FBD"/>
    <w:rsid w:val="004E41AC"/>
    <w:rsid w:val="004E5F5E"/>
    <w:rsid w:val="004E7B5C"/>
    <w:rsid w:val="004F1DAC"/>
    <w:rsid w:val="00501787"/>
    <w:rsid w:val="00501E4E"/>
    <w:rsid w:val="005038E9"/>
    <w:rsid w:val="00506897"/>
    <w:rsid w:val="00511618"/>
    <w:rsid w:val="00516147"/>
    <w:rsid w:val="0052007E"/>
    <w:rsid w:val="00524AB1"/>
    <w:rsid w:val="00530432"/>
    <w:rsid w:val="00532047"/>
    <w:rsid w:val="00535134"/>
    <w:rsid w:val="0053774E"/>
    <w:rsid w:val="00542088"/>
    <w:rsid w:val="0054303D"/>
    <w:rsid w:val="005436FB"/>
    <w:rsid w:val="0055085C"/>
    <w:rsid w:val="0055090F"/>
    <w:rsid w:val="005543A6"/>
    <w:rsid w:val="005554AD"/>
    <w:rsid w:val="005568B0"/>
    <w:rsid w:val="00557C1B"/>
    <w:rsid w:val="005668BA"/>
    <w:rsid w:val="00572D56"/>
    <w:rsid w:val="0057738E"/>
    <w:rsid w:val="00583993"/>
    <w:rsid w:val="00586861"/>
    <w:rsid w:val="0058780A"/>
    <w:rsid w:val="005901F0"/>
    <w:rsid w:val="005912AD"/>
    <w:rsid w:val="00591B30"/>
    <w:rsid w:val="00591BAF"/>
    <w:rsid w:val="00594982"/>
    <w:rsid w:val="005962CA"/>
    <w:rsid w:val="005A0B67"/>
    <w:rsid w:val="005A1E16"/>
    <w:rsid w:val="005A43AB"/>
    <w:rsid w:val="005A482C"/>
    <w:rsid w:val="005A579C"/>
    <w:rsid w:val="005A5B03"/>
    <w:rsid w:val="005B0170"/>
    <w:rsid w:val="005B1875"/>
    <w:rsid w:val="005B1FAC"/>
    <w:rsid w:val="005B3AB8"/>
    <w:rsid w:val="005B5597"/>
    <w:rsid w:val="005B629B"/>
    <w:rsid w:val="005B7B25"/>
    <w:rsid w:val="005C09EC"/>
    <w:rsid w:val="005C2223"/>
    <w:rsid w:val="005E513F"/>
    <w:rsid w:val="005E6307"/>
    <w:rsid w:val="005F0B55"/>
    <w:rsid w:val="005F0EA2"/>
    <w:rsid w:val="005F464F"/>
    <w:rsid w:val="00602045"/>
    <w:rsid w:val="006137B4"/>
    <w:rsid w:val="00622334"/>
    <w:rsid w:val="00623B5C"/>
    <w:rsid w:val="0062431E"/>
    <w:rsid w:val="0063178E"/>
    <w:rsid w:val="00634CA8"/>
    <w:rsid w:val="00634D11"/>
    <w:rsid w:val="006357F8"/>
    <w:rsid w:val="00637736"/>
    <w:rsid w:val="00642E74"/>
    <w:rsid w:val="0064411E"/>
    <w:rsid w:val="00650F5B"/>
    <w:rsid w:val="006530D0"/>
    <w:rsid w:val="00660418"/>
    <w:rsid w:val="00666B5D"/>
    <w:rsid w:val="00666D92"/>
    <w:rsid w:val="006706B4"/>
    <w:rsid w:val="0067242A"/>
    <w:rsid w:val="00673CED"/>
    <w:rsid w:val="00674722"/>
    <w:rsid w:val="006749FE"/>
    <w:rsid w:val="006762D5"/>
    <w:rsid w:val="006801A9"/>
    <w:rsid w:val="0068296E"/>
    <w:rsid w:val="00685EAE"/>
    <w:rsid w:val="006900CE"/>
    <w:rsid w:val="00690C3A"/>
    <w:rsid w:val="00693B11"/>
    <w:rsid w:val="00693C62"/>
    <w:rsid w:val="00693D42"/>
    <w:rsid w:val="00697AEC"/>
    <w:rsid w:val="006A4089"/>
    <w:rsid w:val="006A5F3A"/>
    <w:rsid w:val="006A6F0A"/>
    <w:rsid w:val="006B00E1"/>
    <w:rsid w:val="006B0A36"/>
    <w:rsid w:val="006B1275"/>
    <w:rsid w:val="006B1578"/>
    <w:rsid w:val="006B1F77"/>
    <w:rsid w:val="006B4428"/>
    <w:rsid w:val="006B56AA"/>
    <w:rsid w:val="006B6BCB"/>
    <w:rsid w:val="006B6F2B"/>
    <w:rsid w:val="006C4C6F"/>
    <w:rsid w:val="006C5C8C"/>
    <w:rsid w:val="006D0314"/>
    <w:rsid w:val="006D1AD5"/>
    <w:rsid w:val="006D20BD"/>
    <w:rsid w:val="006D4663"/>
    <w:rsid w:val="006D66CE"/>
    <w:rsid w:val="006D77F1"/>
    <w:rsid w:val="006E37A8"/>
    <w:rsid w:val="006E4B2D"/>
    <w:rsid w:val="006E4D4C"/>
    <w:rsid w:val="006F75CA"/>
    <w:rsid w:val="00701086"/>
    <w:rsid w:val="00701EE1"/>
    <w:rsid w:val="007031C1"/>
    <w:rsid w:val="007037E0"/>
    <w:rsid w:val="007046E4"/>
    <w:rsid w:val="0070524E"/>
    <w:rsid w:val="00721A12"/>
    <w:rsid w:val="00726CBC"/>
    <w:rsid w:val="00731E2A"/>
    <w:rsid w:val="00734FD4"/>
    <w:rsid w:val="0074155C"/>
    <w:rsid w:val="00744A0C"/>
    <w:rsid w:val="0074718B"/>
    <w:rsid w:val="00750BEB"/>
    <w:rsid w:val="00751194"/>
    <w:rsid w:val="00752F41"/>
    <w:rsid w:val="007553E2"/>
    <w:rsid w:val="00755821"/>
    <w:rsid w:val="00760711"/>
    <w:rsid w:val="00760C63"/>
    <w:rsid w:val="007612BB"/>
    <w:rsid w:val="00761E34"/>
    <w:rsid w:val="00763D77"/>
    <w:rsid w:val="00764256"/>
    <w:rsid w:val="0076454F"/>
    <w:rsid w:val="00771537"/>
    <w:rsid w:val="007746E5"/>
    <w:rsid w:val="007764F5"/>
    <w:rsid w:val="0078066F"/>
    <w:rsid w:val="00783694"/>
    <w:rsid w:val="0079172F"/>
    <w:rsid w:val="00791F91"/>
    <w:rsid w:val="00792E1B"/>
    <w:rsid w:val="00793C07"/>
    <w:rsid w:val="00794DAC"/>
    <w:rsid w:val="007958AE"/>
    <w:rsid w:val="0079703B"/>
    <w:rsid w:val="0079727B"/>
    <w:rsid w:val="007A2280"/>
    <w:rsid w:val="007A5B9B"/>
    <w:rsid w:val="007A6674"/>
    <w:rsid w:val="007A7C7A"/>
    <w:rsid w:val="007B3C6D"/>
    <w:rsid w:val="007B48FC"/>
    <w:rsid w:val="007B743A"/>
    <w:rsid w:val="007C3FAA"/>
    <w:rsid w:val="007D1F29"/>
    <w:rsid w:val="007D2D0F"/>
    <w:rsid w:val="007D31C8"/>
    <w:rsid w:val="007D38B1"/>
    <w:rsid w:val="007D3AB6"/>
    <w:rsid w:val="007D4637"/>
    <w:rsid w:val="007D4C6C"/>
    <w:rsid w:val="007D4EC4"/>
    <w:rsid w:val="007D5983"/>
    <w:rsid w:val="007D65BA"/>
    <w:rsid w:val="007D72FB"/>
    <w:rsid w:val="007E4C94"/>
    <w:rsid w:val="007E5F04"/>
    <w:rsid w:val="007F1677"/>
    <w:rsid w:val="007F2C2A"/>
    <w:rsid w:val="007F5169"/>
    <w:rsid w:val="007F647E"/>
    <w:rsid w:val="007F7EC0"/>
    <w:rsid w:val="00801A38"/>
    <w:rsid w:val="00803B40"/>
    <w:rsid w:val="00806F28"/>
    <w:rsid w:val="00807B69"/>
    <w:rsid w:val="00810E85"/>
    <w:rsid w:val="00812244"/>
    <w:rsid w:val="00812D31"/>
    <w:rsid w:val="0081372D"/>
    <w:rsid w:val="008138A3"/>
    <w:rsid w:val="008140E8"/>
    <w:rsid w:val="008166D4"/>
    <w:rsid w:val="00817DB8"/>
    <w:rsid w:val="0082057C"/>
    <w:rsid w:val="008223B6"/>
    <w:rsid w:val="00830E2C"/>
    <w:rsid w:val="00835FB6"/>
    <w:rsid w:val="008363CE"/>
    <w:rsid w:val="00841109"/>
    <w:rsid w:val="00845602"/>
    <w:rsid w:val="00846672"/>
    <w:rsid w:val="00847127"/>
    <w:rsid w:val="00853091"/>
    <w:rsid w:val="00856054"/>
    <w:rsid w:val="00856105"/>
    <w:rsid w:val="0086614D"/>
    <w:rsid w:val="00867F98"/>
    <w:rsid w:val="0087225E"/>
    <w:rsid w:val="00872B38"/>
    <w:rsid w:val="00872CDB"/>
    <w:rsid w:val="008801A3"/>
    <w:rsid w:val="0088330C"/>
    <w:rsid w:val="00883AA8"/>
    <w:rsid w:val="008853B1"/>
    <w:rsid w:val="008859FC"/>
    <w:rsid w:val="00885C49"/>
    <w:rsid w:val="0089165B"/>
    <w:rsid w:val="008920BC"/>
    <w:rsid w:val="00896917"/>
    <w:rsid w:val="008976C8"/>
    <w:rsid w:val="008A1016"/>
    <w:rsid w:val="008A402F"/>
    <w:rsid w:val="008A73D1"/>
    <w:rsid w:val="008B2078"/>
    <w:rsid w:val="008B641C"/>
    <w:rsid w:val="008B6A92"/>
    <w:rsid w:val="008B6F21"/>
    <w:rsid w:val="008B7807"/>
    <w:rsid w:val="008C2951"/>
    <w:rsid w:val="008C4241"/>
    <w:rsid w:val="008C50F1"/>
    <w:rsid w:val="008C6819"/>
    <w:rsid w:val="008D3759"/>
    <w:rsid w:val="008D5DDF"/>
    <w:rsid w:val="008E2B32"/>
    <w:rsid w:val="008E6B4B"/>
    <w:rsid w:val="008F0E1B"/>
    <w:rsid w:val="008F59CA"/>
    <w:rsid w:val="008F615A"/>
    <w:rsid w:val="008F7FE5"/>
    <w:rsid w:val="00900B57"/>
    <w:rsid w:val="00904713"/>
    <w:rsid w:val="009059F6"/>
    <w:rsid w:val="00905D0E"/>
    <w:rsid w:val="00912406"/>
    <w:rsid w:val="009136FB"/>
    <w:rsid w:val="0091459A"/>
    <w:rsid w:val="00914845"/>
    <w:rsid w:val="00921A8A"/>
    <w:rsid w:val="009220BF"/>
    <w:rsid w:val="00922256"/>
    <w:rsid w:val="0092669F"/>
    <w:rsid w:val="00933427"/>
    <w:rsid w:val="009356F2"/>
    <w:rsid w:val="00937148"/>
    <w:rsid w:val="00940369"/>
    <w:rsid w:val="009454F4"/>
    <w:rsid w:val="00946EFC"/>
    <w:rsid w:val="00946F59"/>
    <w:rsid w:val="00950E98"/>
    <w:rsid w:val="0095203B"/>
    <w:rsid w:val="009537E3"/>
    <w:rsid w:val="00957952"/>
    <w:rsid w:val="009612CA"/>
    <w:rsid w:val="00962F8A"/>
    <w:rsid w:val="00963D52"/>
    <w:rsid w:val="00965A51"/>
    <w:rsid w:val="00970EA5"/>
    <w:rsid w:val="00973CA7"/>
    <w:rsid w:val="009757C4"/>
    <w:rsid w:val="0097679F"/>
    <w:rsid w:val="00987D22"/>
    <w:rsid w:val="009929A4"/>
    <w:rsid w:val="00993BB4"/>
    <w:rsid w:val="009974A8"/>
    <w:rsid w:val="009A0EA8"/>
    <w:rsid w:val="009A1BDE"/>
    <w:rsid w:val="009A6E5F"/>
    <w:rsid w:val="009B170E"/>
    <w:rsid w:val="009B1762"/>
    <w:rsid w:val="009B4107"/>
    <w:rsid w:val="009B6F40"/>
    <w:rsid w:val="009C1E9F"/>
    <w:rsid w:val="009C4AF0"/>
    <w:rsid w:val="009C75DB"/>
    <w:rsid w:val="009D062B"/>
    <w:rsid w:val="009D39E4"/>
    <w:rsid w:val="009D4278"/>
    <w:rsid w:val="009E444A"/>
    <w:rsid w:val="009E50FB"/>
    <w:rsid w:val="009E5DEE"/>
    <w:rsid w:val="009E66C2"/>
    <w:rsid w:val="009E6EF2"/>
    <w:rsid w:val="009F76F8"/>
    <w:rsid w:val="00A027FE"/>
    <w:rsid w:val="00A049ED"/>
    <w:rsid w:val="00A06F79"/>
    <w:rsid w:val="00A13404"/>
    <w:rsid w:val="00A13C69"/>
    <w:rsid w:val="00A13FD3"/>
    <w:rsid w:val="00A15662"/>
    <w:rsid w:val="00A15B4D"/>
    <w:rsid w:val="00A17A05"/>
    <w:rsid w:val="00A20B5D"/>
    <w:rsid w:val="00A21678"/>
    <w:rsid w:val="00A21934"/>
    <w:rsid w:val="00A249CD"/>
    <w:rsid w:val="00A26BE9"/>
    <w:rsid w:val="00A3093B"/>
    <w:rsid w:val="00A30D3A"/>
    <w:rsid w:val="00A32364"/>
    <w:rsid w:val="00A33CFD"/>
    <w:rsid w:val="00A40BCE"/>
    <w:rsid w:val="00A50064"/>
    <w:rsid w:val="00A51785"/>
    <w:rsid w:val="00A52400"/>
    <w:rsid w:val="00A53AEC"/>
    <w:rsid w:val="00A55EDA"/>
    <w:rsid w:val="00A57355"/>
    <w:rsid w:val="00A610B1"/>
    <w:rsid w:val="00A63E72"/>
    <w:rsid w:val="00A665D9"/>
    <w:rsid w:val="00A66F56"/>
    <w:rsid w:val="00A675A0"/>
    <w:rsid w:val="00A7451A"/>
    <w:rsid w:val="00A83A06"/>
    <w:rsid w:val="00A925B1"/>
    <w:rsid w:val="00A92A0C"/>
    <w:rsid w:val="00A95ABA"/>
    <w:rsid w:val="00AA0D1E"/>
    <w:rsid w:val="00AA1328"/>
    <w:rsid w:val="00AA42D3"/>
    <w:rsid w:val="00AA470C"/>
    <w:rsid w:val="00AA5E0D"/>
    <w:rsid w:val="00AA6718"/>
    <w:rsid w:val="00AB0EAD"/>
    <w:rsid w:val="00AB2F6A"/>
    <w:rsid w:val="00AB6537"/>
    <w:rsid w:val="00AC01BC"/>
    <w:rsid w:val="00AC108C"/>
    <w:rsid w:val="00AC6148"/>
    <w:rsid w:val="00AD25EB"/>
    <w:rsid w:val="00AD273D"/>
    <w:rsid w:val="00AD3773"/>
    <w:rsid w:val="00AD6720"/>
    <w:rsid w:val="00AD732E"/>
    <w:rsid w:val="00AE1C0F"/>
    <w:rsid w:val="00AE2AFA"/>
    <w:rsid w:val="00AE7D66"/>
    <w:rsid w:val="00AF1DF5"/>
    <w:rsid w:val="00AF7704"/>
    <w:rsid w:val="00AF79C5"/>
    <w:rsid w:val="00B13D11"/>
    <w:rsid w:val="00B1422D"/>
    <w:rsid w:val="00B1504B"/>
    <w:rsid w:val="00B16D72"/>
    <w:rsid w:val="00B17FE0"/>
    <w:rsid w:val="00B20EEA"/>
    <w:rsid w:val="00B21464"/>
    <w:rsid w:val="00B27CA4"/>
    <w:rsid w:val="00B31267"/>
    <w:rsid w:val="00B35B9A"/>
    <w:rsid w:val="00B35E87"/>
    <w:rsid w:val="00B372CB"/>
    <w:rsid w:val="00B37D32"/>
    <w:rsid w:val="00B41ECA"/>
    <w:rsid w:val="00B45AD9"/>
    <w:rsid w:val="00B46B50"/>
    <w:rsid w:val="00B51FC7"/>
    <w:rsid w:val="00B532E2"/>
    <w:rsid w:val="00B55775"/>
    <w:rsid w:val="00B600C1"/>
    <w:rsid w:val="00B61F3D"/>
    <w:rsid w:val="00B63142"/>
    <w:rsid w:val="00B63FE9"/>
    <w:rsid w:val="00B66E98"/>
    <w:rsid w:val="00B70040"/>
    <w:rsid w:val="00B70889"/>
    <w:rsid w:val="00B75E35"/>
    <w:rsid w:val="00B762CF"/>
    <w:rsid w:val="00B7694F"/>
    <w:rsid w:val="00B810FB"/>
    <w:rsid w:val="00B85510"/>
    <w:rsid w:val="00B86F8C"/>
    <w:rsid w:val="00B87097"/>
    <w:rsid w:val="00B935F7"/>
    <w:rsid w:val="00B94787"/>
    <w:rsid w:val="00B96CF9"/>
    <w:rsid w:val="00B97368"/>
    <w:rsid w:val="00B97861"/>
    <w:rsid w:val="00BA0C36"/>
    <w:rsid w:val="00BA2DFA"/>
    <w:rsid w:val="00BA5985"/>
    <w:rsid w:val="00BA6DCA"/>
    <w:rsid w:val="00BB2E37"/>
    <w:rsid w:val="00BB3B9D"/>
    <w:rsid w:val="00BB475D"/>
    <w:rsid w:val="00BB612C"/>
    <w:rsid w:val="00BB74E8"/>
    <w:rsid w:val="00BC0022"/>
    <w:rsid w:val="00BC2E32"/>
    <w:rsid w:val="00BC3702"/>
    <w:rsid w:val="00BC3723"/>
    <w:rsid w:val="00BC3A0B"/>
    <w:rsid w:val="00BC4367"/>
    <w:rsid w:val="00BC79A5"/>
    <w:rsid w:val="00BD1749"/>
    <w:rsid w:val="00BD19A7"/>
    <w:rsid w:val="00BD4173"/>
    <w:rsid w:val="00BD7D8C"/>
    <w:rsid w:val="00BE2354"/>
    <w:rsid w:val="00BE5E00"/>
    <w:rsid w:val="00BE7E28"/>
    <w:rsid w:val="00BF134C"/>
    <w:rsid w:val="00BF53C2"/>
    <w:rsid w:val="00BF55BD"/>
    <w:rsid w:val="00C036E1"/>
    <w:rsid w:val="00C06DAA"/>
    <w:rsid w:val="00C13727"/>
    <w:rsid w:val="00C148C6"/>
    <w:rsid w:val="00C14B6A"/>
    <w:rsid w:val="00C15825"/>
    <w:rsid w:val="00C174A1"/>
    <w:rsid w:val="00C24AC7"/>
    <w:rsid w:val="00C25258"/>
    <w:rsid w:val="00C255CE"/>
    <w:rsid w:val="00C26177"/>
    <w:rsid w:val="00C27633"/>
    <w:rsid w:val="00C27BEA"/>
    <w:rsid w:val="00C35401"/>
    <w:rsid w:val="00C3712E"/>
    <w:rsid w:val="00C435E6"/>
    <w:rsid w:val="00C443E4"/>
    <w:rsid w:val="00C446EE"/>
    <w:rsid w:val="00C51F32"/>
    <w:rsid w:val="00C520EF"/>
    <w:rsid w:val="00C5244A"/>
    <w:rsid w:val="00C56E41"/>
    <w:rsid w:val="00C609D6"/>
    <w:rsid w:val="00C622B3"/>
    <w:rsid w:val="00C67553"/>
    <w:rsid w:val="00C676A9"/>
    <w:rsid w:val="00C67EFD"/>
    <w:rsid w:val="00C719FB"/>
    <w:rsid w:val="00C71C81"/>
    <w:rsid w:val="00C71F2E"/>
    <w:rsid w:val="00C720B8"/>
    <w:rsid w:val="00C72488"/>
    <w:rsid w:val="00C741BF"/>
    <w:rsid w:val="00C746A8"/>
    <w:rsid w:val="00C77F0C"/>
    <w:rsid w:val="00C835AC"/>
    <w:rsid w:val="00C85BA9"/>
    <w:rsid w:val="00C867A5"/>
    <w:rsid w:val="00C86A3C"/>
    <w:rsid w:val="00C87A3B"/>
    <w:rsid w:val="00C87D50"/>
    <w:rsid w:val="00C901A7"/>
    <w:rsid w:val="00C9117D"/>
    <w:rsid w:val="00C91D5D"/>
    <w:rsid w:val="00CA1F6D"/>
    <w:rsid w:val="00CA5ACE"/>
    <w:rsid w:val="00CB2684"/>
    <w:rsid w:val="00CB7888"/>
    <w:rsid w:val="00CB7DE1"/>
    <w:rsid w:val="00CD0810"/>
    <w:rsid w:val="00CD0871"/>
    <w:rsid w:val="00CD15AC"/>
    <w:rsid w:val="00CD3BC6"/>
    <w:rsid w:val="00CD7D7E"/>
    <w:rsid w:val="00CE00DF"/>
    <w:rsid w:val="00CE0851"/>
    <w:rsid w:val="00CE2815"/>
    <w:rsid w:val="00CE52DC"/>
    <w:rsid w:val="00CF1384"/>
    <w:rsid w:val="00CF2476"/>
    <w:rsid w:val="00CF31A3"/>
    <w:rsid w:val="00CF53F3"/>
    <w:rsid w:val="00D0005C"/>
    <w:rsid w:val="00D01223"/>
    <w:rsid w:val="00D0531F"/>
    <w:rsid w:val="00D0649F"/>
    <w:rsid w:val="00D06A2B"/>
    <w:rsid w:val="00D07388"/>
    <w:rsid w:val="00D101DB"/>
    <w:rsid w:val="00D137A0"/>
    <w:rsid w:val="00D14DA8"/>
    <w:rsid w:val="00D152BD"/>
    <w:rsid w:val="00D17566"/>
    <w:rsid w:val="00D20765"/>
    <w:rsid w:val="00D22980"/>
    <w:rsid w:val="00D23242"/>
    <w:rsid w:val="00D23D28"/>
    <w:rsid w:val="00D3713E"/>
    <w:rsid w:val="00D40D69"/>
    <w:rsid w:val="00D43946"/>
    <w:rsid w:val="00D463F3"/>
    <w:rsid w:val="00D46E2E"/>
    <w:rsid w:val="00D526AB"/>
    <w:rsid w:val="00D54B44"/>
    <w:rsid w:val="00D65A9A"/>
    <w:rsid w:val="00D6748D"/>
    <w:rsid w:val="00D67EFB"/>
    <w:rsid w:val="00D8046B"/>
    <w:rsid w:val="00D825BB"/>
    <w:rsid w:val="00D9165B"/>
    <w:rsid w:val="00DA03A3"/>
    <w:rsid w:val="00DA044F"/>
    <w:rsid w:val="00DA0F19"/>
    <w:rsid w:val="00DA1172"/>
    <w:rsid w:val="00DA4D0F"/>
    <w:rsid w:val="00DA72AF"/>
    <w:rsid w:val="00DB05CE"/>
    <w:rsid w:val="00DB09FD"/>
    <w:rsid w:val="00DB214F"/>
    <w:rsid w:val="00DC0B27"/>
    <w:rsid w:val="00DC0DC3"/>
    <w:rsid w:val="00DC5979"/>
    <w:rsid w:val="00DC683E"/>
    <w:rsid w:val="00DD7ACC"/>
    <w:rsid w:val="00DD7C86"/>
    <w:rsid w:val="00DE210F"/>
    <w:rsid w:val="00DE6729"/>
    <w:rsid w:val="00DE780F"/>
    <w:rsid w:val="00DF005C"/>
    <w:rsid w:val="00DF193F"/>
    <w:rsid w:val="00DF25E1"/>
    <w:rsid w:val="00DF45C1"/>
    <w:rsid w:val="00DF63D3"/>
    <w:rsid w:val="00E01277"/>
    <w:rsid w:val="00E0373F"/>
    <w:rsid w:val="00E07FC2"/>
    <w:rsid w:val="00E10C3F"/>
    <w:rsid w:val="00E1277C"/>
    <w:rsid w:val="00E16381"/>
    <w:rsid w:val="00E16BE0"/>
    <w:rsid w:val="00E20FDC"/>
    <w:rsid w:val="00E21413"/>
    <w:rsid w:val="00E22D57"/>
    <w:rsid w:val="00E278B7"/>
    <w:rsid w:val="00E30D44"/>
    <w:rsid w:val="00E329CC"/>
    <w:rsid w:val="00E35F37"/>
    <w:rsid w:val="00E426CB"/>
    <w:rsid w:val="00E4477C"/>
    <w:rsid w:val="00E53672"/>
    <w:rsid w:val="00E5578E"/>
    <w:rsid w:val="00E604F1"/>
    <w:rsid w:val="00E61DE2"/>
    <w:rsid w:val="00E71B7C"/>
    <w:rsid w:val="00E72E33"/>
    <w:rsid w:val="00E7592D"/>
    <w:rsid w:val="00E826CD"/>
    <w:rsid w:val="00E8442D"/>
    <w:rsid w:val="00E854A1"/>
    <w:rsid w:val="00E93D2E"/>
    <w:rsid w:val="00E9738B"/>
    <w:rsid w:val="00E97895"/>
    <w:rsid w:val="00E97ED5"/>
    <w:rsid w:val="00EA233A"/>
    <w:rsid w:val="00EA6339"/>
    <w:rsid w:val="00EB051B"/>
    <w:rsid w:val="00EB0F3C"/>
    <w:rsid w:val="00EB2414"/>
    <w:rsid w:val="00EB4289"/>
    <w:rsid w:val="00EB44C9"/>
    <w:rsid w:val="00EB5B32"/>
    <w:rsid w:val="00EB75BE"/>
    <w:rsid w:val="00EC1A0F"/>
    <w:rsid w:val="00EC2883"/>
    <w:rsid w:val="00EC3753"/>
    <w:rsid w:val="00EC40A2"/>
    <w:rsid w:val="00EC4659"/>
    <w:rsid w:val="00EC4D83"/>
    <w:rsid w:val="00EC69E5"/>
    <w:rsid w:val="00ED4FC7"/>
    <w:rsid w:val="00ED59E6"/>
    <w:rsid w:val="00EE126C"/>
    <w:rsid w:val="00EE2C1D"/>
    <w:rsid w:val="00EF10A6"/>
    <w:rsid w:val="00EF1CEA"/>
    <w:rsid w:val="00EF299F"/>
    <w:rsid w:val="00EF31F9"/>
    <w:rsid w:val="00EF4E8F"/>
    <w:rsid w:val="00EF5AA6"/>
    <w:rsid w:val="00EF6432"/>
    <w:rsid w:val="00EF6661"/>
    <w:rsid w:val="00F013C6"/>
    <w:rsid w:val="00F035C6"/>
    <w:rsid w:val="00F04A50"/>
    <w:rsid w:val="00F0516B"/>
    <w:rsid w:val="00F05E51"/>
    <w:rsid w:val="00F0669D"/>
    <w:rsid w:val="00F17533"/>
    <w:rsid w:val="00F21003"/>
    <w:rsid w:val="00F211FE"/>
    <w:rsid w:val="00F21E92"/>
    <w:rsid w:val="00F238BB"/>
    <w:rsid w:val="00F23BD1"/>
    <w:rsid w:val="00F246C6"/>
    <w:rsid w:val="00F43EFC"/>
    <w:rsid w:val="00F446EB"/>
    <w:rsid w:val="00F4506A"/>
    <w:rsid w:val="00F508E5"/>
    <w:rsid w:val="00F571BE"/>
    <w:rsid w:val="00F5795E"/>
    <w:rsid w:val="00F57B77"/>
    <w:rsid w:val="00F6136F"/>
    <w:rsid w:val="00F6601D"/>
    <w:rsid w:val="00F67588"/>
    <w:rsid w:val="00F70F28"/>
    <w:rsid w:val="00F72CA9"/>
    <w:rsid w:val="00F739A8"/>
    <w:rsid w:val="00F742EC"/>
    <w:rsid w:val="00F8221A"/>
    <w:rsid w:val="00F87390"/>
    <w:rsid w:val="00F940B3"/>
    <w:rsid w:val="00F95BD0"/>
    <w:rsid w:val="00FA593E"/>
    <w:rsid w:val="00FB45E4"/>
    <w:rsid w:val="00FC18D7"/>
    <w:rsid w:val="00FC62F9"/>
    <w:rsid w:val="00FC6BE7"/>
    <w:rsid w:val="00FD2FD3"/>
    <w:rsid w:val="00FD5E8F"/>
    <w:rsid w:val="00FE26CC"/>
    <w:rsid w:val="00FE48A3"/>
    <w:rsid w:val="00FE692E"/>
    <w:rsid w:val="00FE78A2"/>
    <w:rsid w:val="00FF3E28"/>
    <w:rsid w:val="01031527"/>
    <w:rsid w:val="012C1C02"/>
    <w:rsid w:val="014063FE"/>
    <w:rsid w:val="01721FEB"/>
    <w:rsid w:val="01722330"/>
    <w:rsid w:val="01CA5CC8"/>
    <w:rsid w:val="02226211"/>
    <w:rsid w:val="0293255D"/>
    <w:rsid w:val="02987B74"/>
    <w:rsid w:val="02E25F12"/>
    <w:rsid w:val="030516AD"/>
    <w:rsid w:val="038A3F97"/>
    <w:rsid w:val="03993BA4"/>
    <w:rsid w:val="03A66B69"/>
    <w:rsid w:val="03D6689C"/>
    <w:rsid w:val="03E017D2"/>
    <w:rsid w:val="042C4F6C"/>
    <w:rsid w:val="04446205"/>
    <w:rsid w:val="047255F5"/>
    <w:rsid w:val="048C54B6"/>
    <w:rsid w:val="049A4077"/>
    <w:rsid w:val="04D516E2"/>
    <w:rsid w:val="05130EC4"/>
    <w:rsid w:val="05452235"/>
    <w:rsid w:val="055A330C"/>
    <w:rsid w:val="05A21435"/>
    <w:rsid w:val="06127C3D"/>
    <w:rsid w:val="06215480"/>
    <w:rsid w:val="062E1176"/>
    <w:rsid w:val="063E255E"/>
    <w:rsid w:val="065D710A"/>
    <w:rsid w:val="069468A4"/>
    <w:rsid w:val="06AB5681"/>
    <w:rsid w:val="06D86E6E"/>
    <w:rsid w:val="06E710CA"/>
    <w:rsid w:val="06E94E42"/>
    <w:rsid w:val="07101435"/>
    <w:rsid w:val="072B0FB7"/>
    <w:rsid w:val="07724E37"/>
    <w:rsid w:val="07B37245"/>
    <w:rsid w:val="07EC1177"/>
    <w:rsid w:val="0858129B"/>
    <w:rsid w:val="08A54D99"/>
    <w:rsid w:val="08D916F2"/>
    <w:rsid w:val="08E33B14"/>
    <w:rsid w:val="09153092"/>
    <w:rsid w:val="09B4074E"/>
    <w:rsid w:val="09B47989"/>
    <w:rsid w:val="09CB6A81"/>
    <w:rsid w:val="0A0106F5"/>
    <w:rsid w:val="0A0F43A2"/>
    <w:rsid w:val="0A522CFE"/>
    <w:rsid w:val="0A537E82"/>
    <w:rsid w:val="0A670558"/>
    <w:rsid w:val="0AD31B13"/>
    <w:rsid w:val="0B1F1512"/>
    <w:rsid w:val="0B5C3158"/>
    <w:rsid w:val="0B845139"/>
    <w:rsid w:val="0B913B41"/>
    <w:rsid w:val="0BB023D2"/>
    <w:rsid w:val="0BC027C4"/>
    <w:rsid w:val="0BC750CE"/>
    <w:rsid w:val="0BE16F32"/>
    <w:rsid w:val="0C204376"/>
    <w:rsid w:val="0C254A1B"/>
    <w:rsid w:val="0C526FE5"/>
    <w:rsid w:val="0C590FC3"/>
    <w:rsid w:val="0C6875C2"/>
    <w:rsid w:val="0C9866B9"/>
    <w:rsid w:val="0CA77331"/>
    <w:rsid w:val="0CB16402"/>
    <w:rsid w:val="0CEC0DE7"/>
    <w:rsid w:val="0D0227BA"/>
    <w:rsid w:val="0D4A7900"/>
    <w:rsid w:val="0D5F19BA"/>
    <w:rsid w:val="0D605732"/>
    <w:rsid w:val="0D844388"/>
    <w:rsid w:val="0DEE34CD"/>
    <w:rsid w:val="0E0B7D94"/>
    <w:rsid w:val="0E230C39"/>
    <w:rsid w:val="0E607F86"/>
    <w:rsid w:val="0E8A0CB9"/>
    <w:rsid w:val="0E9C279A"/>
    <w:rsid w:val="0EB421D9"/>
    <w:rsid w:val="0ECF2A4F"/>
    <w:rsid w:val="0F142273"/>
    <w:rsid w:val="0F3856F3"/>
    <w:rsid w:val="0F5B4403"/>
    <w:rsid w:val="0F5D008C"/>
    <w:rsid w:val="0F6627A1"/>
    <w:rsid w:val="0F9A5CF8"/>
    <w:rsid w:val="0FD3114F"/>
    <w:rsid w:val="0FEE5EBF"/>
    <w:rsid w:val="108300B5"/>
    <w:rsid w:val="108654B0"/>
    <w:rsid w:val="108C64EF"/>
    <w:rsid w:val="10BE733F"/>
    <w:rsid w:val="10CA1840"/>
    <w:rsid w:val="10CF3F1B"/>
    <w:rsid w:val="10D97CD5"/>
    <w:rsid w:val="10FC5772"/>
    <w:rsid w:val="11093651"/>
    <w:rsid w:val="11662604"/>
    <w:rsid w:val="11796EDC"/>
    <w:rsid w:val="118B0DEE"/>
    <w:rsid w:val="119D5A3B"/>
    <w:rsid w:val="121C00A4"/>
    <w:rsid w:val="12635AA8"/>
    <w:rsid w:val="127840D2"/>
    <w:rsid w:val="12900790"/>
    <w:rsid w:val="12900868"/>
    <w:rsid w:val="13280779"/>
    <w:rsid w:val="134F24D1"/>
    <w:rsid w:val="13AA7707"/>
    <w:rsid w:val="13FF3EF7"/>
    <w:rsid w:val="144E2788"/>
    <w:rsid w:val="14806439"/>
    <w:rsid w:val="149C1746"/>
    <w:rsid w:val="14E4477F"/>
    <w:rsid w:val="15BD1BCA"/>
    <w:rsid w:val="15F73793"/>
    <w:rsid w:val="15FB113C"/>
    <w:rsid w:val="16105DC5"/>
    <w:rsid w:val="166E7112"/>
    <w:rsid w:val="16730284"/>
    <w:rsid w:val="16753FFC"/>
    <w:rsid w:val="16B965DF"/>
    <w:rsid w:val="170E68D9"/>
    <w:rsid w:val="1715158C"/>
    <w:rsid w:val="1741793A"/>
    <w:rsid w:val="1743234C"/>
    <w:rsid w:val="17933E49"/>
    <w:rsid w:val="17966F3F"/>
    <w:rsid w:val="179901BE"/>
    <w:rsid w:val="17C24EE1"/>
    <w:rsid w:val="17C27715"/>
    <w:rsid w:val="17C57205"/>
    <w:rsid w:val="17E4768B"/>
    <w:rsid w:val="17FC3BA5"/>
    <w:rsid w:val="1806411F"/>
    <w:rsid w:val="182513C0"/>
    <w:rsid w:val="18397E11"/>
    <w:rsid w:val="186957F6"/>
    <w:rsid w:val="18735E22"/>
    <w:rsid w:val="194505FE"/>
    <w:rsid w:val="19687E48"/>
    <w:rsid w:val="196B1CEA"/>
    <w:rsid w:val="197420E8"/>
    <w:rsid w:val="197C5840"/>
    <w:rsid w:val="198E1EAE"/>
    <w:rsid w:val="19E05949"/>
    <w:rsid w:val="19FB3499"/>
    <w:rsid w:val="1A24288D"/>
    <w:rsid w:val="1B1B5294"/>
    <w:rsid w:val="1B356450"/>
    <w:rsid w:val="1B434F04"/>
    <w:rsid w:val="1B7500BE"/>
    <w:rsid w:val="1B9C14FB"/>
    <w:rsid w:val="1BEB4F4B"/>
    <w:rsid w:val="1BEF4851"/>
    <w:rsid w:val="1BFE3C79"/>
    <w:rsid w:val="1C1E16E4"/>
    <w:rsid w:val="1C2B1D46"/>
    <w:rsid w:val="1C2C01A7"/>
    <w:rsid w:val="1C3154D0"/>
    <w:rsid w:val="1C4F3541"/>
    <w:rsid w:val="1C584649"/>
    <w:rsid w:val="1C792E22"/>
    <w:rsid w:val="1CB01607"/>
    <w:rsid w:val="1CB57848"/>
    <w:rsid w:val="1CBF2475"/>
    <w:rsid w:val="1CE16AE0"/>
    <w:rsid w:val="1CF4323C"/>
    <w:rsid w:val="1D2D5631"/>
    <w:rsid w:val="1D345E0F"/>
    <w:rsid w:val="1D581D92"/>
    <w:rsid w:val="1D880AB9"/>
    <w:rsid w:val="1DAE2109"/>
    <w:rsid w:val="1DB9452C"/>
    <w:rsid w:val="1DDE5424"/>
    <w:rsid w:val="1DE33F41"/>
    <w:rsid w:val="1DE71C83"/>
    <w:rsid w:val="1E206809"/>
    <w:rsid w:val="1E5A0F1E"/>
    <w:rsid w:val="1E5A29B0"/>
    <w:rsid w:val="1E71779F"/>
    <w:rsid w:val="1E8A6AB3"/>
    <w:rsid w:val="1EBC700B"/>
    <w:rsid w:val="1EFB3211"/>
    <w:rsid w:val="1F103EA9"/>
    <w:rsid w:val="1F1D7927"/>
    <w:rsid w:val="1F784B5D"/>
    <w:rsid w:val="1FB14636"/>
    <w:rsid w:val="1FCA3C17"/>
    <w:rsid w:val="1FDB296A"/>
    <w:rsid w:val="1FE909DC"/>
    <w:rsid w:val="1FF42436"/>
    <w:rsid w:val="204333BD"/>
    <w:rsid w:val="20457135"/>
    <w:rsid w:val="20631369"/>
    <w:rsid w:val="20755F4B"/>
    <w:rsid w:val="20AF152F"/>
    <w:rsid w:val="20C86C83"/>
    <w:rsid w:val="21431371"/>
    <w:rsid w:val="2149055F"/>
    <w:rsid w:val="21513626"/>
    <w:rsid w:val="215C64E4"/>
    <w:rsid w:val="215D225D"/>
    <w:rsid w:val="219537A4"/>
    <w:rsid w:val="21A56393"/>
    <w:rsid w:val="21C36564"/>
    <w:rsid w:val="21D12651"/>
    <w:rsid w:val="21DF0EC4"/>
    <w:rsid w:val="221C055F"/>
    <w:rsid w:val="22525E8C"/>
    <w:rsid w:val="228D0920"/>
    <w:rsid w:val="230A7A8F"/>
    <w:rsid w:val="23290736"/>
    <w:rsid w:val="23362D65"/>
    <w:rsid w:val="236E5E5F"/>
    <w:rsid w:val="2378337E"/>
    <w:rsid w:val="239A32F4"/>
    <w:rsid w:val="23A61C99"/>
    <w:rsid w:val="23C5440E"/>
    <w:rsid w:val="23E20B1F"/>
    <w:rsid w:val="23F30C56"/>
    <w:rsid w:val="24266C7C"/>
    <w:rsid w:val="244A2F6C"/>
    <w:rsid w:val="246A64EC"/>
    <w:rsid w:val="248E0882"/>
    <w:rsid w:val="2495036A"/>
    <w:rsid w:val="24AB04CD"/>
    <w:rsid w:val="24B85FE4"/>
    <w:rsid w:val="24D67678"/>
    <w:rsid w:val="251417B8"/>
    <w:rsid w:val="2524556B"/>
    <w:rsid w:val="252E63EA"/>
    <w:rsid w:val="25440C67"/>
    <w:rsid w:val="25493224"/>
    <w:rsid w:val="25551BC9"/>
    <w:rsid w:val="256533FF"/>
    <w:rsid w:val="25714E00"/>
    <w:rsid w:val="25A53D6F"/>
    <w:rsid w:val="25E847EB"/>
    <w:rsid w:val="267047E0"/>
    <w:rsid w:val="26793FA2"/>
    <w:rsid w:val="270F7B55"/>
    <w:rsid w:val="272532E2"/>
    <w:rsid w:val="273B6B9C"/>
    <w:rsid w:val="27427F2B"/>
    <w:rsid w:val="276C3345"/>
    <w:rsid w:val="276F2332"/>
    <w:rsid w:val="27857F9B"/>
    <w:rsid w:val="2795721C"/>
    <w:rsid w:val="27A641C3"/>
    <w:rsid w:val="27A6670B"/>
    <w:rsid w:val="27C546B8"/>
    <w:rsid w:val="282633A8"/>
    <w:rsid w:val="284461F5"/>
    <w:rsid w:val="28525E7F"/>
    <w:rsid w:val="286F1880"/>
    <w:rsid w:val="28A10C81"/>
    <w:rsid w:val="28BD0522"/>
    <w:rsid w:val="28DB6828"/>
    <w:rsid w:val="28EC2844"/>
    <w:rsid w:val="29114058"/>
    <w:rsid w:val="29361D11"/>
    <w:rsid w:val="29745A9F"/>
    <w:rsid w:val="29895F6F"/>
    <w:rsid w:val="298E5CC2"/>
    <w:rsid w:val="29995DFC"/>
    <w:rsid w:val="29AC6F9B"/>
    <w:rsid w:val="29B91807"/>
    <w:rsid w:val="29C97866"/>
    <w:rsid w:val="29E821D3"/>
    <w:rsid w:val="29F75268"/>
    <w:rsid w:val="2A4C474A"/>
    <w:rsid w:val="2A930A9D"/>
    <w:rsid w:val="2A967EB2"/>
    <w:rsid w:val="2AD417E1"/>
    <w:rsid w:val="2B065713"/>
    <w:rsid w:val="2B0D2CED"/>
    <w:rsid w:val="2B2871E7"/>
    <w:rsid w:val="2B9057FA"/>
    <w:rsid w:val="2BA9299F"/>
    <w:rsid w:val="2BF832AE"/>
    <w:rsid w:val="2BFE65C2"/>
    <w:rsid w:val="2C02412C"/>
    <w:rsid w:val="2C1665B8"/>
    <w:rsid w:val="2C295297"/>
    <w:rsid w:val="2C493B09"/>
    <w:rsid w:val="2C674B6A"/>
    <w:rsid w:val="2C6E17C2"/>
    <w:rsid w:val="2D205D35"/>
    <w:rsid w:val="2D7F69DE"/>
    <w:rsid w:val="2DB16F26"/>
    <w:rsid w:val="2DB3388B"/>
    <w:rsid w:val="2DC0604D"/>
    <w:rsid w:val="2DCA6ECC"/>
    <w:rsid w:val="2E0A056F"/>
    <w:rsid w:val="2E815E80"/>
    <w:rsid w:val="2E954277"/>
    <w:rsid w:val="2ED53A12"/>
    <w:rsid w:val="2EDF69A7"/>
    <w:rsid w:val="2F1A79DF"/>
    <w:rsid w:val="2F2A413F"/>
    <w:rsid w:val="2F363171"/>
    <w:rsid w:val="2F487431"/>
    <w:rsid w:val="30311375"/>
    <w:rsid w:val="30473F91"/>
    <w:rsid w:val="306058C5"/>
    <w:rsid w:val="30B023A9"/>
    <w:rsid w:val="30C714A1"/>
    <w:rsid w:val="311772A4"/>
    <w:rsid w:val="31186537"/>
    <w:rsid w:val="31B92B8B"/>
    <w:rsid w:val="31D16CA5"/>
    <w:rsid w:val="32326CFB"/>
    <w:rsid w:val="324D032D"/>
    <w:rsid w:val="3257574A"/>
    <w:rsid w:val="329E21EF"/>
    <w:rsid w:val="32FB3683"/>
    <w:rsid w:val="32FD564D"/>
    <w:rsid w:val="3328091C"/>
    <w:rsid w:val="338F3097"/>
    <w:rsid w:val="33A51F6D"/>
    <w:rsid w:val="33C06DA7"/>
    <w:rsid w:val="342509B8"/>
    <w:rsid w:val="34297F29"/>
    <w:rsid w:val="344A5876"/>
    <w:rsid w:val="348A4A9A"/>
    <w:rsid w:val="348E47AF"/>
    <w:rsid w:val="34AE6BFF"/>
    <w:rsid w:val="34CA3E45"/>
    <w:rsid w:val="34D34153"/>
    <w:rsid w:val="34EF0674"/>
    <w:rsid w:val="355E745E"/>
    <w:rsid w:val="359202CF"/>
    <w:rsid w:val="359758E5"/>
    <w:rsid w:val="359D5EEA"/>
    <w:rsid w:val="35BA1D81"/>
    <w:rsid w:val="35D02BA5"/>
    <w:rsid w:val="35D46B3A"/>
    <w:rsid w:val="35E71B70"/>
    <w:rsid w:val="35E8637E"/>
    <w:rsid w:val="35FC7E3E"/>
    <w:rsid w:val="361B0127"/>
    <w:rsid w:val="363C3B17"/>
    <w:rsid w:val="36474247"/>
    <w:rsid w:val="365612FD"/>
    <w:rsid w:val="3677309A"/>
    <w:rsid w:val="36AD2EE7"/>
    <w:rsid w:val="36F40B16"/>
    <w:rsid w:val="370C52DF"/>
    <w:rsid w:val="370C5E5F"/>
    <w:rsid w:val="374B6987"/>
    <w:rsid w:val="374D6BA3"/>
    <w:rsid w:val="375A306E"/>
    <w:rsid w:val="37977BDB"/>
    <w:rsid w:val="37AA6440"/>
    <w:rsid w:val="37AF0A14"/>
    <w:rsid w:val="37CE1367"/>
    <w:rsid w:val="37D746BF"/>
    <w:rsid w:val="37E528A4"/>
    <w:rsid w:val="38085F26"/>
    <w:rsid w:val="38426065"/>
    <w:rsid w:val="38C84008"/>
    <w:rsid w:val="38CA5FD2"/>
    <w:rsid w:val="38EB0F04"/>
    <w:rsid w:val="39411452"/>
    <w:rsid w:val="397B72CC"/>
    <w:rsid w:val="397C49C3"/>
    <w:rsid w:val="39B22FFA"/>
    <w:rsid w:val="39BA7DF4"/>
    <w:rsid w:val="39C15930"/>
    <w:rsid w:val="3A173499"/>
    <w:rsid w:val="3A30022F"/>
    <w:rsid w:val="3A371445"/>
    <w:rsid w:val="3A886145"/>
    <w:rsid w:val="3A8D72B7"/>
    <w:rsid w:val="3AB900AC"/>
    <w:rsid w:val="3AC52EF5"/>
    <w:rsid w:val="3AC91083"/>
    <w:rsid w:val="3B007A89"/>
    <w:rsid w:val="3B027CA5"/>
    <w:rsid w:val="3B0A5A2B"/>
    <w:rsid w:val="3B2E2848"/>
    <w:rsid w:val="3B5D4EDB"/>
    <w:rsid w:val="3B81506E"/>
    <w:rsid w:val="3BA60D07"/>
    <w:rsid w:val="3BA6272A"/>
    <w:rsid w:val="3BB22833"/>
    <w:rsid w:val="3BC4775F"/>
    <w:rsid w:val="3BE27C97"/>
    <w:rsid w:val="3BE473AB"/>
    <w:rsid w:val="3C9A513B"/>
    <w:rsid w:val="3CCD2793"/>
    <w:rsid w:val="3CFA57E4"/>
    <w:rsid w:val="3D0221DE"/>
    <w:rsid w:val="3D1E60DF"/>
    <w:rsid w:val="3D727D75"/>
    <w:rsid w:val="3DE2791A"/>
    <w:rsid w:val="3E053B4B"/>
    <w:rsid w:val="3E151A9D"/>
    <w:rsid w:val="3E375EB7"/>
    <w:rsid w:val="3E38205E"/>
    <w:rsid w:val="3E9E5F37"/>
    <w:rsid w:val="3EA47C68"/>
    <w:rsid w:val="3ED03C16"/>
    <w:rsid w:val="3EEB27FE"/>
    <w:rsid w:val="3EF25F54"/>
    <w:rsid w:val="3F3423F7"/>
    <w:rsid w:val="3F8E1B07"/>
    <w:rsid w:val="3FC118EB"/>
    <w:rsid w:val="40161AFD"/>
    <w:rsid w:val="401D10DD"/>
    <w:rsid w:val="403326AF"/>
    <w:rsid w:val="408B6047"/>
    <w:rsid w:val="40AF442B"/>
    <w:rsid w:val="40E165AE"/>
    <w:rsid w:val="411C75E7"/>
    <w:rsid w:val="41540B2E"/>
    <w:rsid w:val="415E333C"/>
    <w:rsid w:val="418F600A"/>
    <w:rsid w:val="419B5FD1"/>
    <w:rsid w:val="419E1DAA"/>
    <w:rsid w:val="420D5851"/>
    <w:rsid w:val="424B3CDF"/>
    <w:rsid w:val="426D19F0"/>
    <w:rsid w:val="42D31F27"/>
    <w:rsid w:val="42D33CD5"/>
    <w:rsid w:val="42FC5208"/>
    <w:rsid w:val="43341596"/>
    <w:rsid w:val="436F7EA2"/>
    <w:rsid w:val="43860D47"/>
    <w:rsid w:val="43ED0DC6"/>
    <w:rsid w:val="43FB4652"/>
    <w:rsid w:val="43FF1225"/>
    <w:rsid w:val="4410457F"/>
    <w:rsid w:val="44265D5C"/>
    <w:rsid w:val="445F4788"/>
    <w:rsid w:val="449633BF"/>
    <w:rsid w:val="44B32884"/>
    <w:rsid w:val="44D94857"/>
    <w:rsid w:val="44E73A68"/>
    <w:rsid w:val="45223845"/>
    <w:rsid w:val="45290298"/>
    <w:rsid w:val="45B51211"/>
    <w:rsid w:val="45BD6D52"/>
    <w:rsid w:val="45BF5F80"/>
    <w:rsid w:val="45E94130"/>
    <w:rsid w:val="45EF52CA"/>
    <w:rsid w:val="46276812"/>
    <w:rsid w:val="462A4554"/>
    <w:rsid w:val="46517D32"/>
    <w:rsid w:val="465377A4"/>
    <w:rsid w:val="46753001"/>
    <w:rsid w:val="46821C9A"/>
    <w:rsid w:val="46E51A75"/>
    <w:rsid w:val="46F84891"/>
    <w:rsid w:val="473A07C7"/>
    <w:rsid w:val="47762C36"/>
    <w:rsid w:val="477C0DDF"/>
    <w:rsid w:val="480212E4"/>
    <w:rsid w:val="482B73A4"/>
    <w:rsid w:val="48C04CFB"/>
    <w:rsid w:val="48FF5824"/>
    <w:rsid w:val="49266FC3"/>
    <w:rsid w:val="492B03C7"/>
    <w:rsid w:val="493C6A78"/>
    <w:rsid w:val="49425710"/>
    <w:rsid w:val="494D38A5"/>
    <w:rsid w:val="498E5824"/>
    <w:rsid w:val="49DE053E"/>
    <w:rsid w:val="4A201EF6"/>
    <w:rsid w:val="4A49107C"/>
    <w:rsid w:val="4A625D30"/>
    <w:rsid w:val="4A767D68"/>
    <w:rsid w:val="4B475260"/>
    <w:rsid w:val="4B4B65BB"/>
    <w:rsid w:val="4B4C2876"/>
    <w:rsid w:val="4B9E1324"/>
    <w:rsid w:val="4BBF201F"/>
    <w:rsid w:val="4BE17463"/>
    <w:rsid w:val="4CA26BF2"/>
    <w:rsid w:val="4CEE1E37"/>
    <w:rsid w:val="4D145F92"/>
    <w:rsid w:val="4D330192"/>
    <w:rsid w:val="4D461C73"/>
    <w:rsid w:val="4E092CA1"/>
    <w:rsid w:val="4E111A5A"/>
    <w:rsid w:val="4E4156DB"/>
    <w:rsid w:val="4E93713A"/>
    <w:rsid w:val="4F1456D4"/>
    <w:rsid w:val="4F754A92"/>
    <w:rsid w:val="4F9905AE"/>
    <w:rsid w:val="4FC33F25"/>
    <w:rsid w:val="4FD001C7"/>
    <w:rsid w:val="4FFF6109"/>
    <w:rsid w:val="500B71A4"/>
    <w:rsid w:val="502E60F8"/>
    <w:rsid w:val="50334005"/>
    <w:rsid w:val="50572C95"/>
    <w:rsid w:val="505E4B9C"/>
    <w:rsid w:val="505F7511"/>
    <w:rsid w:val="50630A20"/>
    <w:rsid w:val="50A30487"/>
    <w:rsid w:val="50DD1804"/>
    <w:rsid w:val="51A52CE0"/>
    <w:rsid w:val="520D262F"/>
    <w:rsid w:val="52195EFA"/>
    <w:rsid w:val="529674E9"/>
    <w:rsid w:val="52B1378F"/>
    <w:rsid w:val="535D3873"/>
    <w:rsid w:val="53876B42"/>
    <w:rsid w:val="54153BAB"/>
    <w:rsid w:val="543E18F6"/>
    <w:rsid w:val="546B1FBF"/>
    <w:rsid w:val="54996B2C"/>
    <w:rsid w:val="54FA7CE1"/>
    <w:rsid w:val="550A7A2A"/>
    <w:rsid w:val="554A7E27"/>
    <w:rsid w:val="555E1B24"/>
    <w:rsid w:val="556A04C9"/>
    <w:rsid w:val="558F102F"/>
    <w:rsid w:val="559E5653"/>
    <w:rsid w:val="55AB3C2F"/>
    <w:rsid w:val="55EC35D4"/>
    <w:rsid w:val="560E52F8"/>
    <w:rsid w:val="561A4621"/>
    <w:rsid w:val="56383CF3"/>
    <w:rsid w:val="56455CD4"/>
    <w:rsid w:val="565C42B5"/>
    <w:rsid w:val="56AE76A6"/>
    <w:rsid w:val="56D4209E"/>
    <w:rsid w:val="56DB2C2D"/>
    <w:rsid w:val="56E4418B"/>
    <w:rsid w:val="57064221"/>
    <w:rsid w:val="5773022F"/>
    <w:rsid w:val="57770C7B"/>
    <w:rsid w:val="57DF277D"/>
    <w:rsid w:val="57E50495"/>
    <w:rsid w:val="580A1AEF"/>
    <w:rsid w:val="58776655"/>
    <w:rsid w:val="58B74216"/>
    <w:rsid w:val="58C16652"/>
    <w:rsid w:val="590752B6"/>
    <w:rsid w:val="591F15CA"/>
    <w:rsid w:val="596D67DA"/>
    <w:rsid w:val="59760D08"/>
    <w:rsid w:val="599E6993"/>
    <w:rsid w:val="59A60DC8"/>
    <w:rsid w:val="59AC5554"/>
    <w:rsid w:val="5A1445ED"/>
    <w:rsid w:val="5A564466"/>
    <w:rsid w:val="5A902780"/>
    <w:rsid w:val="5A9F4737"/>
    <w:rsid w:val="5AAE2C06"/>
    <w:rsid w:val="5AE8436A"/>
    <w:rsid w:val="5AF80325"/>
    <w:rsid w:val="5B6339F0"/>
    <w:rsid w:val="5BF6561B"/>
    <w:rsid w:val="5BFA4C14"/>
    <w:rsid w:val="5C2A6C04"/>
    <w:rsid w:val="5C3543D2"/>
    <w:rsid w:val="5C406532"/>
    <w:rsid w:val="5C4E69BE"/>
    <w:rsid w:val="5CBD724D"/>
    <w:rsid w:val="5CE36031"/>
    <w:rsid w:val="5CFC5838"/>
    <w:rsid w:val="5DB26EB1"/>
    <w:rsid w:val="5DBA559D"/>
    <w:rsid w:val="5DFE3EA4"/>
    <w:rsid w:val="5E465887"/>
    <w:rsid w:val="5E473A9D"/>
    <w:rsid w:val="5E804CC0"/>
    <w:rsid w:val="5E8425FB"/>
    <w:rsid w:val="5EE50BC0"/>
    <w:rsid w:val="5F181B76"/>
    <w:rsid w:val="5F463D55"/>
    <w:rsid w:val="5FD4389C"/>
    <w:rsid w:val="5FD6631A"/>
    <w:rsid w:val="5FEC48FC"/>
    <w:rsid w:val="6013374F"/>
    <w:rsid w:val="60B116A2"/>
    <w:rsid w:val="60B42F40"/>
    <w:rsid w:val="60B7767B"/>
    <w:rsid w:val="60CC348A"/>
    <w:rsid w:val="61221DAA"/>
    <w:rsid w:val="61696F59"/>
    <w:rsid w:val="61A226C5"/>
    <w:rsid w:val="61D672CA"/>
    <w:rsid w:val="61E63AF5"/>
    <w:rsid w:val="626A2DAC"/>
    <w:rsid w:val="62784498"/>
    <w:rsid w:val="62A86D6B"/>
    <w:rsid w:val="63293771"/>
    <w:rsid w:val="637C0DF3"/>
    <w:rsid w:val="637C7D45"/>
    <w:rsid w:val="639808F7"/>
    <w:rsid w:val="64565496"/>
    <w:rsid w:val="645F2960"/>
    <w:rsid w:val="64654C7D"/>
    <w:rsid w:val="646C7950"/>
    <w:rsid w:val="64BD496D"/>
    <w:rsid w:val="64BE25DF"/>
    <w:rsid w:val="64C44758"/>
    <w:rsid w:val="64F93617"/>
    <w:rsid w:val="65246D5E"/>
    <w:rsid w:val="655D3BA6"/>
    <w:rsid w:val="65655387"/>
    <w:rsid w:val="659A6BA8"/>
    <w:rsid w:val="65A50F20"/>
    <w:rsid w:val="65EF58FA"/>
    <w:rsid w:val="65FE7BFD"/>
    <w:rsid w:val="66AF4C3B"/>
    <w:rsid w:val="66EC04A6"/>
    <w:rsid w:val="66EC6F90"/>
    <w:rsid w:val="66F2031E"/>
    <w:rsid w:val="67AA7E58"/>
    <w:rsid w:val="67AB0BF9"/>
    <w:rsid w:val="67E662B3"/>
    <w:rsid w:val="68077DF9"/>
    <w:rsid w:val="680F6F74"/>
    <w:rsid w:val="68382663"/>
    <w:rsid w:val="686314D3"/>
    <w:rsid w:val="6888718C"/>
    <w:rsid w:val="68E5527F"/>
    <w:rsid w:val="69A578CA"/>
    <w:rsid w:val="6A7343B6"/>
    <w:rsid w:val="6AB029CA"/>
    <w:rsid w:val="6AB40090"/>
    <w:rsid w:val="6ADE7537"/>
    <w:rsid w:val="6AE34B4E"/>
    <w:rsid w:val="6B1F6200"/>
    <w:rsid w:val="6B4A3375"/>
    <w:rsid w:val="6B825FC3"/>
    <w:rsid w:val="6B8359E9"/>
    <w:rsid w:val="6B9D0892"/>
    <w:rsid w:val="6C613F7C"/>
    <w:rsid w:val="6C631880"/>
    <w:rsid w:val="6C6D16B4"/>
    <w:rsid w:val="6C806253"/>
    <w:rsid w:val="6CB542C8"/>
    <w:rsid w:val="6CD74FCF"/>
    <w:rsid w:val="6CF748E0"/>
    <w:rsid w:val="6D15191A"/>
    <w:rsid w:val="6D52620C"/>
    <w:rsid w:val="6D750B80"/>
    <w:rsid w:val="6D7D3037"/>
    <w:rsid w:val="6D8E14DE"/>
    <w:rsid w:val="6D934609"/>
    <w:rsid w:val="6DAE50AD"/>
    <w:rsid w:val="6DD624F7"/>
    <w:rsid w:val="6DDA2238"/>
    <w:rsid w:val="6E0E1EE1"/>
    <w:rsid w:val="6E5A21EA"/>
    <w:rsid w:val="6EB8009F"/>
    <w:rsid w:val="6EC72090"/>
    <w:rsid w:val="6F0A3093"/>
    <w:rsid w:val="6F834B73"/>
    <w:rsid w:val="6F857F81"/>
    <w:rsid w:val="6F883155"/>
    <w:rsid w:val="6FBE4B88"/>
    <w:rsid w:val="6FC6124D"/>
    <w:rsid w:val="6FC62348"/>
    <w:rsid w:val="6FE10E18"/>
    <w:rsid w:val="6FEC14A9"/>
    <w:rsid w:val="6FEC6252"/>
    <w:rsid w:val="702E23C7"/>
    <w:rsid w:val="70A15EF2"/>
    <w:rsid w:val="70C96037"/>
    <w:rsid w:val="70CB230C"/>
    <w:rsid w:val="71B752F6"/>
    <w:rsid w:val="721E46BD"/>
    <w:rsid w:val="72271FEC"/>
    <w:rsid w:val="722E41C4"/>
    <w:rsid w:val="72655E48"/>
    <w:rsid w:val="72824C4C"/>
    <w:rsid w:val="728A3B01"/>
    <w:rsid w:val="72B51923"/>
    <w:rsid w:val="72D93738"/>
    <w:rsid w:val="73434202"/>
    <w:rsid w:val="734819F2"/>
    <w:rsid w:val="735B7378"/>
    <w:rsid w:val="737A608E"/>
    <w:rsid w:val="73A806E2"/>
    <w:rsid w:val="73BC418E"/>
    <w:rsid w:val="741D2E7E"/>
    <w:rsid w:val="74A16CBA"/>
    <w:rsid w:val="74CB28DA"/>
    <w:rsid w:val="74D53759"/>
    <w:rsid w:val="74F33BDF"/>
    <w:rsid w:val="750556C0"/>
    <w:rsid w:val="752B5D11"/>
    <w:rsid w:val="752C70F1"/>
    <w:rsid w:val="75387844"/>
    <w:rsid w:val="753903C8"/>
    <w:rsid w:val="75B374B6"/>
    <w:rsid w:val="75C130FF"/>
    <w:rsid w:val="75CC2E8E"/>
    <w:rsid w:val="75DC4AB5"/>
    <w:rsid w:val="75EF406B"/>
    <w:rsid w:val="76391AC6"/>
    <w:rsid w:val="765B7C8E"/>
    <w:rsid w:val="76707B96"/>
    <w:rsid w:val="76726D86"/>
    <w:rsid w:val="768D36C7"/>
    <w:rsid w:val="76C3504D"/>
    <w:rsid w:val="770422FE"/>
    <w:rsid w:val="7746449A"/>
    <w:rsid w:val="775546DD"/>
    <w:rsid w:val="778C3E77"/>
    <w:rsid w:val="7796215A"/>
    <w:rsid w:val="77E31CE9"/>
    <w:rsid w:val="78376C25"/>
    <w:rsid w:val="785B7ACE"/>
    <w:rsid w:val="78746DE5"/>
    <w:rsid w:val="789932F4"/>
    <w:rsid w:val="78A72AF0"/>
    <w:rsid w:val="78A8319C"/>
    <w:rsid w:val="790F6B0E"/>
    <w:rsid w:val="79134850"/>
    <w:rsid w:val="79200163"/>
    <w:rsid w:val="79261AEA"/>
    <w:rsid w:val="7956473D"/>
    <w:rsid w:val="798661F3"/>
    <w:rsid w:val="799314ED"/>
    <w:rsid w:val="79DC4F1F"/>
    <w:rsid w:val="79EE2C15"/>
    <w:rsid w:val="7A6C7707"/>
    <w:rsid w:val="7A7206F1"/>
    <w:rsid w:val="7AA46F38"/>
    <w:rsid w:val="7B467F1D"/>
    <w:rsid w:val="7BA7772C"/>
    <w:rsid w:val="7C0924C9"/>
    <w:rsid w:val="7C507B69"/>
    <w:rsid w:val="7C711A95"/>
    <w:rsid w:val="7C8D4919"/>
    <w:rsid w:val="7CA90BC0"/>
    <w:rsid w:val="7CBA4FE2"/>
    <w:rsid w:val="7CD24A22"/>
    <w:rsid w:val="7D121F1E"/>
    <w:rsid w:val="7D2F777E"/>
    <w:rsid w:val="7D5660EF"/>
    <w:rsid w:val="7D574D28"/>
    <w:rsid w:val="7D5F0561"/>
    <w:rsid w:val="7D60202E"/>
    <w:rsid w:val="7D6458CE"/>
    <w:rsid w:val="7D8555F0"/>
    <w:rsid w:val="7D916095"/>
    <w:rsid w:val="7DB14637"/>
    <w:rsid w:val="7DC51E91"/>
    <w:rsid w:val="7E141A72"/>
    <w:rsid w:val="7E703977"/>
    <w:rsid w:val="7E963DC6"/>
    <w:rsid w:val="7EF02F3D"/>
    <w:rsid w:val="7F1B1599"/>
    <w:rsid w:val="7F5F65D1"/>
    <w:rsid w:val="7F606315"/>
    <w:rsid w:val="7F6210EB"/>
    <w:rsid w:val="7F651260"/>
    <w:rsid w:val="7F8B73C1"/>
    <w:rsid w:val="7F961D37"/>
    <w:rsid w:val="7FAC33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3"/>
    <w:qFormat/>
    <w:uiPriority w:val="0"/>
    <w:pPr>
      <w:keepNext/>
      <w:keepLines/>
      <w:spacing w:before="340" w:afterLines="25" w:line="578" w:lineRule="auto"/>
      <w:outlineLvl w:val="0"/>
    </w:pPr>
    <w:rPr>
      <w:rFonts w:ascii="Arial" w:hAnsi="Arial" w:eastAsia="宋体" w:cs="Times New Roman"/>
      <w:b/>
      <w:bCs/>
      <w:kern w:val="44"/>
      <w:sz w:val="44"/>
      <w:szCs w:val="44"/>
    </w:rPr>
  </w:style>
  <w:style w:type="paragraph" w:styleId="3">
    <w:name w:val="heading 2"/>
    <w:basedOn w:val="4"/>
    <w:next w:val="5"/>
    <w:link w:val="36"/>
    <w:semiHidden/>
    <w:unhideWhenUsed/>
    <w:qFormat/>
    <w:uiPriority w:val="9"/>
    <w:pPr>
      <w:spacing w:line="416" w:lineRule="auto"/>
      <w:outlineLvl w:val="1"/>
    </w:pPr>
    <w:rPr>
      <w:rFonts w:asciiTheme="majorHAnsi" w:hAnsiTheme="majorHAnsi" w:eastAsiaTheme="majorEastAsia" w:cstheme="majorBidi"/>
      <w:sz w:val="32"/>
    </w:rPr>
  </w:style>
  <w:style w:type="paragraph" w:styleId="4">
    <w:name w:val="heading 3"/>
    <w:basedOn w:val="5"/>
    <w:next w:val="1"/>
    <w:qFormat/>
    <w:uiPriority w:val="9"/>
    <w:pPr>
      <w:spacing w:before="260" w:after="260" w:line="240" w:lineRule="auto"/>
      <w:outlineLvl w:val="2"/>
    </w:pPr>
    <w:rPr>
      <w:rFonts w:ascii="宋体" w:hAnsi="宋体" w:eastAsia="宋体"/>
      <w:szCs w:val="32"/>
    </w:rPr>
  </w:style>
  <w:style w:type="paragraph" w:styleId="5">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pPr>
    <w:rPr>
      <w:szCs w:val="20"/>
    </w:rPr>
  </w:style>
  <w:style w:type="paragraph" w:styleId="7">
    <w:name w:val="Document Map"/>
    <w:basedOn w:val="1"/>
    <w:link w:val="35"/>
    <w:semiHidden/>
    <w:unhideWhenUsed/>
    <w:qFormat/>
    <w:uiPriority w:val="99"/>
    <w:rPr>
      <w:rFonts w:ascii="宋体" w:eastAsia="宋体"/>
      <w:sz w:val="18"/>
      <w:szCs w:val="18"/>
    </w:rPr>
  </w:style>
  <w:style w:type="paragraph" w:styleId="8">
    <w:name w:val="annotation text"/>
    <w:basedOn w:val="1"/>
    <w:link w:val="37"/>
    <w:unhideWhenUsed/>
    <w:qFormat/>
    <w:uiPriority w:val="99"/>
    <w:pPr>
      <w:jc w:val="left"/>
    </w:pPr>
  </w:style>
  <w:style w:type="paragraph" w:styleId="9">
    <w:name w:val="Body Text"/>
    <w:basedOn w:val="1"/>
    <w:qFormat/>
    <w:uiPriority w:val="0"/>
    <w:pPr>
      <w:spacing w:line="360" w:lineRule="auto"/>
    </w:pPr>
    <w:rPr>
      <w:b/>
      <w:bCs/>
      <w:sz w:val="24"/>
    </w:rPr>
  </w:style>
  <w:style w:type="paragraph" w:styleId="10">
    <w:name w:val="Balloon Text"/>
    <w:basedOn w:val="1"/>
    <w:link w:val="31"/>
    <w:semiHidden/>
    <w:unhideWhenUsed/>
    <w:qFormat/>
    <w:uiPriority w:val="99"/>
    <w:rPr>
      <w:sz w:val="18"/>
      <w:szCs w:val="18"/>
    </w:rPr>
  </w:style>
  <w:style w:type="paragraph" w:styleId="11">
    <w:name w:val="footer"/>
    <w:basedOn w:val="1"/>
    <w:link w:val="30"/>
    <w:unhideWhenUsed/>
    <w:qFormat/>
    <w:uiPriority w:val="99"/>
    <w:pPr>
      <w:tabs>
        <w:tab w:val="center" w:pos="4153"/>
        <w:tab w:val="right" w:pos="8306"/>
      </w:tabs>
      <w:snapToGrid w:val="0"/>
      <w:jc w:val="left"/>
    </w:pPr>
    <w:rPr>
      <w:sz w:val="18"/>
      <w:szCs w:val="18"/>
    </w:rPr>
  </w:style>
  <w:style w:type="paragraph" w:styleId="12">
    <w:name w:val="header"/>
    <w:basedOn w:val="1"/>
    <w:link w:val="29"/>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Body Text 2"/>
    <w:basedOn w:val="1"/>
    <w:qFormat/>
    <w:uiPriority w:val="0"/>
    <w:pPr>
      <w:spacing w:line="360" w:lineRule="auto"/>
    </w:pPr>
    <w:rPr>
      <w:sz w:val="24"/>
    </w:rPr>
  </w:style>
  <w:style w:type="paragraph" w:styleId="14">
    <w:name w:val="Normal (Web)"/>
    <w:basedOn w:val="1"/>
    <w:link w:val="32"/>
    <w:qFormat/>
    <w:uiPriority w:val="99"/>
    <w:pPr>
      <w:widowControl/>
      <w:spacing w:before="100" w:beforeAutospacing="1" w:afterAutospacing="1"/>
      <w:jc w:val="left"/>
    </w:pPr>
    <w:rPr>
      <w:rFonts w:ascii="宋体" w:hAnsi="宋体"/>
      <w:sz w:val="24"/>
      <w:szCs w:val="24"/>
    </w:rPr>
  </w:style>
  <w:style w:type="paragraph" w:styleId="15">
    <w:name w:val="Title"/>
    <w:basedOn w:val="1"/>
    <w:next w:val="1"/>
    <w:qFormat/>
    <w:uiPriority w:val="0"/>
    <w:pPr>
      <w:spacing w:before="240" w:after="60"/>
      <w:jc w:val="center"/>
      <w:outlineLvl w:val="0"/>
    </w:pPr>
    <w:rPr>
      <w:rFonts w:ascii="Arial" w:hAnsi="Arial" w:eastAsia="隶书" w:cs="Arial"/>
      <w:b/>
      <w:bCs/>
      <w:sz w:val="32"/>
      <w:szCs w:val="32"/>
    </w:rPr>
  </w:style>
  <w:style w:type="paragraph" w:styleId="16">
    <w:name w:val="annotation subject"/>
    <w:basedOn w:val="8"/>
    <w:next w:val="8"/>
    <w:link w:val="39"/>
    <w:semiHidden/>
    <w:unhideWhenUsed/>
    <w:qFormat/>
    <w:uiPriority w:val="99"/>
    <w:rPr>
      <w:b/>
      <w:bCs/>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qFormat/>
    <w:uiPriority w:val="0"/>
    <w:rPr>
      <w:b/>
      <w:bCs/>
    </w:rPr>
  </w:style>
  <w:style w:type="character" w:styleId="21">
    <w:name w:val="page number"/>
    <w:basedOn w:val="19"/>
    <w:qFormat/>
    <w:uiPriority w:val="0"/>
  </w:style>
  <w:style w:type="character" w:styleId="22">
    <w:name w:val="FollowedHyperlink"/>
    <w:basedOn w:val="19"/>
    <w:semiHidden/>
    <w:unhideWhenUsed/>
    <w:qFormat/>
    <w:uiPriority w:val="99"/>
    <w:rPr>
      <w:color w:val="800080" w:themeColor="followedHyperlink"/>
      <w:u w:val="single"/>
      <w14:textFill>
        <w14:solidFill>
          <w14:schemeClr w14:val="folHlink"/>
        </w14:solidFill>
      </w14:textFill>
    </w:rPr>
  </w:style>
  <w:style w:type="character" w:styleId="23">
    <w:name w:val="Hyperlink"/>
    <w:basedOn w:val="19"/>
    <w:unhideWhenUsed/>
    <w:qFormat/>
    <w:uiPriority w:val="99"/>
    <w:rPr>
      <w:color w:val="0000FF" w:themeColor="hyperlink"/>
      <w:u w:val="single"/>
      <w14:textFill>
        <w14:solidFill>
          <w14:schemeClr w14:val="hlink"/>
        </w14:solidFill>
      </w14:textFill>
    </w:rPr>
  </w:style>
  <w:style w:type="character" w:styleId="24">
    <w:name w:val="annotation reference"/>
    <w:basedOn w:val="19"/>
    <w:semiHidden/>
    <w:unhideWhenUsed/>
    <w:qFormat/>
    <w:uiPriority w:val="99"/>
    <w:rPr>
      <w:sz w:val="21"/>
      <w:szCs w:val="21"/>
    </w:rPr>
  </w:style>
  <w:style w:type="paragraph" w:customStyle="1" w:styleId="25">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26">
    <w:name w:val="表格文字"/>
    <w:basedOn w:val="1"/>
    <w:next w:val="9"/>
    <w:qFormat/>
    <w:uiPriority w:val="0"/>
    <w:pPr>
      <w:spacing w:before="25" w:after="25"/>
      <w:jc w:val="left"/>
    </w:pPr>
    <w:rPr>
      <w:bCs/>
      <w:spacing w:val="10"/>
      <w:kern w:val="0"/>
      <w:sz w:val="24"/>
    </w:rPr>
  </w:style>
  <w:style w:type="paragraph" w:customStyle="1" w:styleId="27">
    <w:name w:val="正文内容格式"/>
    <w:basedOn w:val="1"/>
    <w:qFormat/>
    <w:uiPriority w:val="0"/>
    <w:pPr>
      <w:widowControl/>
      <w:ind w:firstLine="482"/>
      <w:textAlignment w:val="baseline"/>
    </w:pPr>
    <w:rPr>
      <w:rFonts w:eastAsia="仿宋_GB2312"/>
      <w:kern w:val="0"/>
      <w:sz w:val="28"/>
    </w:rPr>
  </w:style>
  <w:style w:type="paragraph" w:styleId="28">
    <w:name w:val="Quote"/>
    <w:next w:val="1"/>
    <w:qFormat/>
    <w:uiPriority w:val="29"/>
    <w:pPr>
      <w:widowControl w:val="0"/>
      <w:jc w:val="both"/>
    </w:pPr>
    <w:rPr>
      <w:rFonts w:ascii="Calibri" w:hAnsi="Calibri" w:cs="Calibri" w:eastAsiaTheme="minorEastAsia"/>
      <w:i/>
      <w:iCs/>
      <w:color w:val="000000"/>
      <w:kern w:val="2"/>
      <w:sz w:val="22"/>
      <w:szCs w:val="22"/>
      <w:lang w:val="en-US" w:eastAsia="zh-CN" w:bidi="ar-SA"/>
    </w:rPr>
  </w:style>
  <w:style w:type="character" w:customStyle="1" w:styleId="29">
    <w:name w:val="页眉 字符"/>
    <w:basedOn w:val="19"/>
    <w:link w:val="12"/>
    <w:qFormat/>
    <w:uiPriority w:val="99"/>
    <w:rPr>
      <w:sz w:val="18"/>
      <w:szCs w:val="18"/>
    </w:rPr>
  </w:style>
  <w:style w:type="character" w:customStyle="1" w:styleId="30">
    <w:name w:val="页脚 字符"/>
    <w:basedOn w:val="19"/>
    <w:link w:val="11"/>
    <w:qFormat/>
    <w:uiPriority w:val="99"/>
    <w:rPr>
      <w:sz w:val="18"/>
      <w:szCs w:val="18"/>
    </w:rPr>
  </w:style>
  <w:style w:type="character" w:customStyle="1" w:styleId="31">
    <w:name w:val="批注框文本 字符"/>
    <w:basedOn w:val="19"/>
    <w:link w:val="10"/>
    <w:semiHidden/>
    <w:qFormat/>
    <w:uiPriority w:val="99"/>
    <w:rPr>
      <w:sz w:val="18"/>
      <w:szCs w:val="18"/>
    </w:rPr>
  </w:style>
  <w:style w:type="character" w:customStyle="1" w:styleId="32">
    <w:name w:val="普通(网站) 字符"/>
    <w:link w:val="14"/>
    <w:qFormat/>
    <w:uiPriority w:val="99"/>
    <w:rPr>
      <w:rFonts w:ascii="宋体" w:hAnsi="宋体"/>
      <w:sz w:val="24"/>
      <w:szCs w:val="24"/>
    </w:rPr>
  </w:style>
  <w:style w:type="character" w:customStyle="1" w:styleId="33">
    <w:name w:val="标题 1 字符"/>
    <w:basedOn w:val="19"/>
    <w:link w:val="2"/>
    <w:qFormat/>
    <w:uiPriority w:val="0"/>
    <w:rPr>
      <w:rFonts w:ascii="Arial" w:hAnsi="Arial" w:eastAsia="宋体" w:cs="Times New Roman"/>
      <w:b/>
      <w:bCs/>
      <w:kern w:val="44"/>
      <w:sz w:val="44"/>
      <w:szCs w:val="44"/>
    </w:rPr>
  </w:style>
  <w:style w:type="paragraph" w:styleId="34">
    <w:name w:val="List Paragraph"/>
    <w:basedOn w:val="1"/>
    <w:qFormat/>
    <w:uiPriority w:val="34"/>
    <w:pPr>
      <w:ind w:firstLine="420" w:firstLineChars="200"/>
    </w:pPr>
  </w:style>
  <w:style w:type="character" w:customStyle="1" w:styleId="35">
    <w:name w:val="文档结构图 字符"/>
    <w:basedOn w:val="19"/>
    <w:link w:val="7"/>
    <w:semiHidden/>
    <w:qFormat/>
    <w:uiPriority w:val="99"/>
    <w:rPr>
      <w:rFonts w:ascii="宋体" w:eastAsia="宋体"/>
      <w:sz w:val="18"/>
      <w:szCs w:val="18"/>
    </w:rPr>
  </w:style>
  <w:style w:type="character" w:customStyle="1" w:styleId="36">
    <w:name w:val="标题 2 字符"/>
    <w:basedOn w:val="19"/>
    <w:link w:val="3"/>
    <w:semiHidden/>
    <w:qFormat/>
    <w:uiPriority w:val="9"/>
    <w:rPr>
      <w:rFonts w:asciiTheme="majorHAnsi" w:hAnsiTheme="majorHAnsi" w:eastAsiaTheme="majorEastAsia" w:cstheme="majorBidi"/>
      <w:b/>
      <w:bCs/>
      <w:sz w:val="32"/>
      <w:szCs w:val="32"/>
    </w:rPr>
  </w:style>
  <w:style w:type="character" w:customStyle="1" w:styleId="37">
    <w:name w:val="批注文字 字符"/>
    <w:basedOn w:val="19"/>
    <w:link w:val="8"/>
    <w:qFormat/>
    <w:uiPriority w:val="99"/>
  </w:style>
  <w:style w:type="character" w:customStyle="1" w:styleId="38">
    <w:name w:val="标题 3 Char"/>
    <w:qFormat/>
    <w:uiPriority w:val="0"/>
    <w:rPr>
      <w:rFonts w:ascii="黑体" w:eastAsia="黑体"/>
      <w:bCs/>
      <w:sz w:val="30"/>
    </w:rPr>
  </w:style>
  <w:style w:type="character" w:customStyle="1" w:styleId="39">
    <w:name w:val="批注主题 字符"/>
    <w:basedOn w:val="37"/>
    <w:link w:val="16"/>
    <w:semiHidden/>
    <w:qFormat/>
    <w:uiPriority w:val="99"/>
    <w:rPr>
      <w:b/>
      <w:bCs/>
    </w:rPr>
  </w:style>
  <w:style w:type="table" w:customStyle="1" w:styleId="40">
    <w:name w:val="网格型1"/>
    <w:basedOn w:val="17"/>
    <w:qFormat/>
    <w:uiPriority w:val="39"/>
    <w:pPr>
      <w:widowControl w:val="0"/>
      <w:jc w:val="both"/>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1">
    <w:name w:val="Table Paragraph"/>
    <w:qFormat/>
    <w:uiPriority w:val="1"/>
    <w:pPr>
      <w:widowControl w:val="0"/>
      <w:jc w:val="both"/>
    </w:pPr>
    <w:rPr>
      <w:rFonts w:ascii="宋体" w:hAnsi="宋体" w:eastAsia="宋体" w:cs="宋体"/>
      <w:kern w:val="2"/>
      <w:sz w:val="21"/>
      <w:szCs w:val="24"/>
      <w:lang w:val="zh-CN" w:eastAsia="zh-CN" w:bidi="zh-CN"/>
    </w:rPr>
  </w:style>
  <w:style w:type="paragraph" w:customStyle="1" w:styleId="42">
    <w:name w:val="Normal_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3">
    <w:name w:val="修订1"/>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44">
    <w:name w:val="修订2"/>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45">
    <w:name w:val="修订3"/>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46">
    <w:name w:val="font21"/>
    <w:basedOn w:val="19"/>
    <w:qFormat/>
    <w:uiPriority w:val="0"/>
    <w:rPr>
      <w:rFonts w:hint="eastAsia" w:ascii="宋体" w:hAnsi="宋体" w:eastAsia="宋体" w:cs="宋体"/>
      <w:color w:val="000000"/>
      <w:sz w:val="22"/>
      <w:szCs w:val="22"/>
      <w:u w:val="none"/>
    </w:rPr>
  </w:style>
  <w:style w:type="character" w:customStyle="1" w:styleId="47">
    <w:name w:val="font31"/>
    <w:basedOn w:val="19"/>
    <w:qFormat/>
    <w:uiPriority w:val="0"/>
    <w:rPr>
      <w:rFonts w:hint="eastAsia" w:ascii="宋体" w:hAnsi="宋体" w:eastAsia="宋体" w:cs="宋体"/>
      <w:color w:val="000000"/>
      <w:sz w:val="22"/>
      <w:szCs w:val="22"/>
      <w:u w:val="none"/>
    </w:rPr>
  </w:style>
  <w:style w:type="character" w:customStyle="1" w:styleId="48">
    <w:name w:val="font51"/>
    <w:basedOn w:val="19"/>
    <w:qFormat/>
    <w:uiPriority w:val="0"/>
    <w:rPr>
      <w:rFonts w:hint="eastAsia" w:ascii="宋体" w:hAnsi="宋体" w:eastAsia="宋体" w:cs="宋体"/>
      <w:color w:val="000000"/>
      <w:sz w:val="21"/>
      <w:szCs w:val="21"/>
      <w:u w:val="none"/>
    </w:rPr>
  </w:style>
  <w:style w:type="character" w:customStyle="1" w:styleId="49">
    <w:name w:val="font61"/>
    <w:basedOn w:val="19"/>
    <w:qFormat/>
    <w:uiPriority w:val="0"/>
    <w:rPr>
      <w:rFonts w:hint="default" w:ascii="Times New Roman" w:hAnsi="Times New Roman" w:cs="Times New Roman"/>
      <w:color w:val="000000"/>
      <w:sz w:val="21"/>
      <w:szCs w:val="21"/>
      <w:u w:val="none"/>
    </w:rPr>
  </w:style>
  <w:style w:type="paragraph" w:customStyle="1" w:styleId="50">
    <w:name w:val="pf0"/>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51">
    <w:name w:val="font41"/>
    <w:qFormat/>
    <w:uiPriority w:val="0"/>
    <w:rPr>
      <w:rFonts w:hint="eastAsia" w:ascii="宋体" w:hAnsi="宋体" w:eastAsia="宋体"/>
      <w:color w:val="000000"/>
      <w:kern w:val="2"/>
      <w:sz w:val="18"/>
      <w:u w:val="none"/>
    </w:rPr>
  </w:style>
  <w:style w:type="paragraph" w:styleId="52">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53">
    <w:name w:val="font101"/>
    <w:basedOn w:val="19"/>
    <w:qFormat/>
    <w:uiPriority w:val="0"/>
    <w:rPr>
      <w:rFonts w:hint="default" w:ascii="Times New Roman" w:hAnsi="Times New Roman" w:cs="Times New Roman"/>
      <w:color w:val="FF0000"/>
      <w:sz w:val="21"/>
      <w:szCs w:val="21"/>
      <w:u w:val="single"/>
    </w:rPr>
  </w:style>
  <w:style w:type="character" w:customStyle="1" w:styleId="54">
    <w:name w:val="font111"/>
    <w:basedOn w:val="19"/>
    <w:qFormat/>
    <w:uiPriority w:val="0"/>
    <w:rPr>
      <w:rFonts w:hint="eastAsia" w:ascii="宋体" w:hAnsi="宋体" w:eastAsia="宋体" w:cs="宋体"/>
      <w:color w:val="FF0000"/>
      <w:sz w:val="21"/>
      <w:szCs w:val="21"/>
      <w:u w:val="none"/>
    </w:rPr>
  </w:style>
  <w:style w:type="character" w:customStyle="1" w:styleId="55">
    <w:name w:val="font121"/>
    <w:basedOn w:val="19"/>
    <w:qFormat/>
    <w:uiPriority w:val="0"/>
    <w:rPr>
      <w:rFonts w:hint="eastAsia" w:ascii="宋体" w:hAnsi="宋体" w:eastAsia="宋体" w:cs="宋体"/>
      <w:color w:val="000000"/>
      <w:sz w:val="20"/>
      <w:szCs w:val="20"/>
      <w:u w:val="single"/>
    </w:rPr>
  </w:style>
  <w:style w:type="character" w:customStyle="1" w:styleId="56">
    <w:name w:val="font131"/>
    <w:basedOn w:val="19"/>
    <w:qFormat/>
    <w:uiPriority w:val="0"/>
    <w:rPr>
      <w:rFonts w:hint="default" w:ascii="Times New Roman" w:hAnsi="Times New Roman" w:cs="Times New Roman"/>
      <w:b/>
      <w:bCs/>
      <w:color w:val="000000"/>
      <w:sz w:val="24"/>
      <w:szCs w:val="24"/>
      <w:u w:val="none"/>
    </w:rPr>
  </w:style>
  <w:style w:type="character" w:customStyle="1" w:styleId="57">
    <w:name w:val="font81"/>
    <w:basedOn w:val="19"/>
    <w:qFormat/>
    <w:uiPriority w:val="0"/>
    <w:rPr>
      <w:rFonts w:hint="eastAsia" w:ascii="宋体" w:hAnsi="宋体" w:eastAsia="宋体" w:cs="宋体"/>
      <w:b/>
      <w:bCs/>
      <w:color w:val="000000"/>
      <w:sz w:val="24"/>
      <w:szCs w:val="24"/>
      <w:u w:val="none"/>
    </w:rPr>
  </w:style>
  <w:style w:type="character" w:customStyle="1" w:styleId="58">
    <w:name w:val="font141"/>
    <w:basedOn w:val="19"/>
    <w:qFormat/>
    <w:uiPriority w:val="0"/>
    <w:rPr>
      <w:rFonts w:hint="eastAsia" w:ascii="宋体" w:hAnsi="宋体" w:eastAsia="宋体" w:cs="宋体"/>
      <w:b/>
      <w:bCs/>
      <w:color w:val="FF0000"/>
      <w:sz w:val="24"/>
      <w:szCs w:val="24"/>
      <w:u w:val="none"/>
    </w:rPr>
  </w:style>
  <w:style w:type="character" w:customStyle="1" w:styleId="59">
    <w:name w:val="font11"/>
    <w:basedOn w:val="19"/>
    <w:qFormat/>
    <w:uiPriority w:val="0"/>
    <w:rPr>
      <w:rFonts w:hint="eastAsia" w:ascii="宋体" w:hAnsi="宋体" w:eastAsia="宋体" w:cs="宋体"/>
      <w:color w:val="000000"/>
      <w:sz w:val="20"/>
      <w:szCs w:val="20"/>
      <w:u w:val="none"/>
    </w:rPr>
  </w:style>
  <w:style w:type="character" w:customStyle="1" w:styleId="60">
    <w:name w:val="font71"/>
    <w:qFormat/>
    <w:uiPriority w:val="0"/>
    <w:rPr>
      <w:rFonts w:ascii="Arial" w:hAnsi="Arial" w:cs="Arial"/>
      <w:color w:val="000000"/>
      <w:sz w:val="22"/>
      <w:szCs w:val="22"/>
      <w:u w:val="none"/>
    </w:rPr>
  </w:style>
  <w:style w:type="character" w:customStyle="1" w:styleId="61">
    <w:name w:val="font91"/>
    <w:qFormat/>
    <w:uiPriority w:val="0"/>
    <w:rPr>
      <w:rFonts w:ascii="瀹嬩綋" w:hAnsi="瀹嬩綋" w:eastAsia="瀹嬩綋" w:cs="瀹嬩綋"/>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microsoft.com/office/2011/relationships/people" Target="people.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109</Pages>
  <Words>4881</Words>
  <Characters>4969</Characters>
  <Lines>470</Lines>
  <Paragraphs>132</Paragraphs>
  <TotalTime>22</TotalTime>
  <ScaleCrop>false</ScaleCrop>
  <LinksUpToDate>false</LinksUpToDate>
  <CharactersWithSpaces>4987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2024-07-18T08:53:00Z</dcterms:created>
  <dc:creator>win7-1</dc:creator>
  <cp:lastModifiedBy>陈聪</cp:lastModifiedBy>
  <cp:lastPrinted>2021-01-15T01:17:00Z</cp:lastPrinted>
  <dcterms:modified xsi:type="dcterms:W3CDTF">2025-07-04T10:44:52Z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382B667EC4CF4B00BC72A4D4C8F34DAF_13</vt:lpwstr>
  </property>
  <property fmtid="{D5CDD505-2E9C-101B-9397-08002B2CF9AE}" pid="4" name="KSOTemplateDocerSaveRecord">
    <vt:lpwstr>eyJoZGlkIjoiOTlmZjAxYTJjYWY5ODZlNjQ4YmE0ZDE5MGRjOTZhMDIiLCJ1c2VySWQiOiIyOTg2Nzg4ODkifQ==</vt:lpwstr>
  </property>
</Properties>
</file>