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0"/>
          <w:szCs w:val="40"/>
        </w:rPr>
      </w:pPr>
    </w:p>
    <w:p>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2"/>
        <w:rPr>
          <w:rFonts w:hint="eastAsia"/>
          <w:highlight w:val="none"/>
        </w:rPr>
      </w:pPr>
    </w:p>
    <w:p>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w:t>
      </w:r>
      <w:r>
        <w:rPr>
          <w:rFonts w:hint="eastAsia" w:asciiTheme="minorEastAsia" w:hAnsiTheme="minorEastAsia" w:eastAsiaTheme="minorEastAsia" w:cstheme="minorEastAsia"/>
          <w:b w:val="0"/>
          <w:bCs w:val="0"/>
          <w:sz w:val="30"/>
          <w:szCs w:val="30"/>
          <w:highlight w:val="none"/>
          <w:lang w:val="en-US" w:eastAsia="zh-CN"/>
        </w:rPr>
        <w:t>:FTZXCG-2025-00110-001</w:t>
      </w:r>
    </w:p>
    <w:p>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pPr>
        <w:pStyle w:val="38"/>
        <w:keepNext w:val="0"/>
        <w:keepLines w:val="0"/>
        <w:pageBreakBefore w:val="0"/>
        <w:widowControl/>
        <w:kinsoku/>
        <w:wordWrap/>
        <w:overflowPunct/>
        <w:topLinePunct w:val="0"/>
        <w:autoSpaceDE/>
        <w:autoSpaceDN/>
        <w:bidi w:val="0"/>
        <w:adjustRightInd/>
        <w:snapToGrid/>
        <w:ind w:left="3736" w:leftChars="1136" w:hanging="1350" w:hangingChars="450"/>
        <w:jc w:val="both"/>
        <w:textAlignment w:val="auto"/>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b w:val="0"/>
          <w:bCs w:val="0"/>
          <w:sz w:val="30"/>
          <w:szCs w:val="30"/>
          <w:highlight w:val="none"/>
          <w:lang w:val="en-US" w:eastAsia="zh-CN"/>
        </w:rPr>
        <w:t>:深圳市福田区北京大学附属中学深圳学校（集</w:t>
      </w:r>
      <w:bookmarkStart w:id="97" w:name="_GoBack"/>
      <w:bookmarkEnd w:id="97"/>
      <w:r>
        <w:rPr>
          <w:rFonts w:hint="eastAsia" w:asciiTheme="minorEastAsia" w:hAnsiTheme="minorEastAsia" w:eastAsiaTheme="minorEastAsia" w:cstheme="minorEastAsia"/>
          <w:b w:val="0"/>
          <w:bCs w:val="0"/>
          <w:sz w:val="30"/>
          <w:szCs w:val="30"/>
          <w:highlight w:val="none"/>
          <w:lang w:val="en-US" w:eastAsia="zh-CN"/>
        </w:rPr>
        <w:t>团）外国语中学物业管理服务项目</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法律、法规、规章、规范性文件规定的其他情形。</w:t>
            </w:r>
          </w:p>
        </w:tc>
      </w:tr>
    </w:tbl>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pPr>
              <w:jc w:val="right"/>
              <w:rPr>
                <w:rFonts w:ascii="宋体"/>
                <w:b/>
                <w:bCs/>
                <w:sz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pPr>
        <w:rPr>
          <w:vanish/>
          <w:highlight w:val="none"/>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项目服务方案</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4856" w:type="dxa"/>
            <w:tcBorders>
              <w:tl2br w:val="nil"/>
              <w:tr2bl w:val="nil"/>
            </w:tcBorders>
          </w:tcPr>
          <w:p>
            <w:pPr>
              <w:wordWrap w:val="0"/>
              <w:adjustRightInd w:val="0"/>
              <w:snapToGrid w:val="0"/>
              <w:spacing w:line="320" w:lineRule="exact"/>
              <w:rPr>
                <w:rFonts w:ascii="宋体" w:hAnsi="宋体" w:cs="宋体"/>
                <w:b/>
                <w:bCs/>
                <w:szCs w:val="21"/>
              </w:rPr>
            </w:pPr>
            <w:r>
              <w:rPr>
                <w:rFonts w:hint="eastAsia" w:ascii="宋体" w:hAnsi="宋体" w:cs="宋体"/>
                <w:b/>
                <w:bCs/>
                <w:szCs w:val="21"/>
              </w:rPr>
              <w:t>（一）评分内容：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根据招标文件要求提供项目服务方案，内容应包括：</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物业总体规划方案。至少包括物业服务的管理设想、运作规划，管理方式、服务模式等内容；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人员配置方案。至少包括团队的配置、人员稳定方案、人员定岗定责、员工培训等内容；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环境卫生方案。至少包括环境清洁卫生、垃圾分类及清运、厕所深度清洁、四害消杀等内容；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设施设备维护与保养方案。至少包括高低压供配电系统日常运行、给排水系统的日常运行、电梯巡检、消防巡查等内容；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绿化养护（含绿植摆放）服务方案；</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安全保卫服务方案。</w:t>
            </w:r>
          </w:p>
          <w:p>
            <w:pPr>
              <w:numPr>
                <w:ilvl w:val="0"/>
                <w:numId w:val="0"/>
              </w:numPr>
              <w:wordWrap w:val="0"/>
              <w:adjustRightInd w:val="0"/>
              <w:snapToGrid w:val="0"/>
              <w:spacing w:line="320" w:lineRule="exact"/>
              <w:rPr>
                <w:rFonts w:ascii="宋体" w:hAnsi="宋体" w:cs="宋体"/>
                <w:b/>
                <w:bCs/>
                <w:szCs w:val="21"/>
              </w:rPr>
            </w:pPr>
            <w:r>
              <w:rPr>
                <w:rFonts w:hint="eastAsia" w:ascii="宋体" w:hAnsi="宋体" w:cs="宋体"/>
                <w:b/>
                <w:bCs/>
                <w:szCs w:val="21"/>
              </w:rPr>
              <w:t>（二）评分依据：</w:t>
            </w:r>
          </w:p>
          <w:p>
            <w:pPr>
              <w:wordWrap w:val="0"/>
              <w:adjustRightInd w:val="0"/>
              <w:snapToGrid w:val="0"/>
              <w:spacing w:line="320" w:lineRule="exact"/>
              <w:rPr>
                <w:rFonts w:ascii="宋体" w:hAnsi="宋体" w:cs="宋体"/>
                <w:szCs w:val="21"/>
              </w:rPr>
            </w:pPr>
            <w:r>
              <w:rPr>
                <w:rFonts w:hint="eastAsia" w:ascii="宋体" w:hAnsi="宋体" w:cs="宋体"/>
                <w:szCs w:val="21"/>
              </w:rPr>
              <w:t>每提供上述任意一项内容得1</w:t>
            </w:r>
            <w:r>
              <w:rPr>
                <w:rFonts w:hint="eastAsia" w:ascii="宋体" w:hAnsi="宋体" w:cs="宋体"/>
                <w:szCs w:val="21"/>
                <w:lang w:val="en-US" w:eastAsia="zh-CN"/>
              </w:rPr>
              <w:t>0</w:t>
            </w:r>
            <w:r>
              <w:rPr>
                <w:rFonts w:hint="eastAsia" w:ascii="宋体" w:hAnsi="宋体" w:cs="宋体"/>
                <w:szCs w:val="21"/>
              </w:rPr>
              <w:t>分，本小项累计最高得</w:t>
            </w:r>
            <w:r>
              <w:rPr>
                <w:rFonts w:hint="eastAsia" w:ascii="宋体" w:hAnsi="宋体" w:cs="宋体"/>
                <w:szCs w:val="21"/>
                <w:lang w:val="en-US" w:eastAsia="zh-CN"/>
              </w:rPr>
              <w:t>6</w:t>
            </w:r>
            <w:r>
              <w:rPr>
                <w:rFonts w:hint="eastAsia" w:ascii="宋体" w:hAnsi="宋体" w:cs="宋体"/>
                <w:szCs w:val="21"/>
              </w:rPr>
              <w:t>0分；在此基础上，专家根据各供应商的具体响应内容按照量化的评审因素指标进一步评审：</w:t>
            </w:r>
          </w:p>
          <w:p>
            <w:pPr>
              <w:wordWrap w:val="0"/>
              <w:adjustRightInd w:val="0"/>
              <w:snapToGrid w:val="0"/>
              <w:spacing w:line="320" w:lineRule="exact"/>
              <w:rPr>
                <w:rFonts w:ascii="宋体" w:hAnsi="宋体" w:cs="宋体"/>
                <w:szCs w:val="21"/>
              </w:rPr>
            </w:pPr>
            <w:r>
              <w:rPr>
                <w:rFonts w:hint="eastAsia" w:ascii="宋体" w:hAnsi="宋体" w:cs="宋体"/>
                <w:szCs w:val="21"/>
              </w:rPr>
              <w:t>1.方案整体科学合理、针对性强、可操作性强，评审为优的，加40分；</w:t>
            </w:r>
          </w:p>
          <w:p>
            <w:pPr>
              <w:wordWrap w:val="0"/>
              <w:adjustRightInd w:val="0"/>
              <w:snapToGrid w:val="0"/>
              <w:spacing w:line="320" w:lineRule="exact"/>
              <w:rPr>
                <w:rFonts w:ascii="宋体" w:hAnsi="宋体" w:cs="宋体"/>
                <w:szCs w:val="21"/>
              </w:rPr>
            </w:pPr>
            <w:r>
              <w:rPr>
                <w:rFonts w:hint="eastAsia" w:ascii="宋体" w:hAnsi="宋体" w:cs="宋体"/>
                <w:szCs w:val="21"/>
              </w:rPr>
              <w:t>2.方案较合理、有一定针对性、一定可操作性，评审为良的，加25分；</w:t>
            </w:r>
          </w:p>
          <w:p>
            <w:pPr>
              <w:wordWrap w:val="0"/>
              <w:adjustRightInd w:val="0"/>
              <w:snapToGrid w:val="0"/>
              <w:spacing w:line="320" w:lineRule="exact"/>
              <w:rPr>
                <w:rFonts w:ascii="宋体" w:hAnsi="宋体" w:cs="宋体"/>
                <w:szCs w:val="21"/>
              </w:rPr>
            </w:pPr>
            <w:r>
              <w:rPr>
                <w:rFonts w:hint="eastAsia" w:ascii="宋体" w:hAnsi="宋体" w:cs="宋体"/>
                <w:szCs w:val="21"/>
              </w:rPr>
              <w:t>3.方案不尽合理、针对性一般、可操作性一般，评审为中的，加10分；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rPr>
              <w:t>4.方案不合理、无针对性、无可操作性，评审为差的，加0分。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szCs w:val="21"/>
                <w:highlight w:val="none"/>
              </w:rPr>
              <w:t>质量保障措施</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vAlign w:val="top"/>
          </w:tcPr>
          <w:p>
            <w:pPr>
              <w:wordWrap w:val="0"/>
              <w:adjustRightInd w:val="0"/>
              <w:snapToGrid w:val="0"/>
              <w:spacing w:line="320" w:lineRule="exact"/>
              <w:rPr>
                <w:rFonts w:hint="eastAsia" w:ascii="宋体" w:hAnsi="宋体" w:cs="宋体"/>
                <w:b/>
                <w:bCs/>
                <w:szCs w:val="21"/>
              </w:rPr>
            </w:pPr>
            <w:r>
              <w:rPr>
                <w:rFonts w:hint="eastAsia" w:ascii="宋体" w:hAnsi="宋体" w:cs="宋体"/>
                <w:b/>
                <w:bCs/>
                <w:szCs w:val="21"/>
              </w:rPr>
              <w:t>（一）评分内容：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投标人针对本项目服务质量保障，提出以下内容：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服务质量保障措施；</w:t>
            </w:r>
          </w:p>
          <w:p>
            <w:pPr>
              <w:wordWrap w:val="0"/>
              <w:adjustRightInd w:val="0"/>
              <w:snapToGrid w:val="0"/>
              <w:spacing w:line="320" w:lineRule="exac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针对恶劣天气、停水停电、突发安全事故、突发公共卫生事件等突发事件的应急预案</w:t>
            </w:r>
            <w:r>
              <w:rPr>
                <w:rFonts w:hint="eastAsia" w:ascii="宋体" w:hAnsi="宋体" w:cs="宋体"/>
                <w:szCs w:val="21"/>
                <w:lang w:eastAsia="zh-CN"/>
              </w:rPr>
              <w:t>。</w:t>
            </w:r>
            <w:r>
              <w:rPr>
                <w:rFonts w:hint="eastAsia" w:ascii="宋体" w:hAnsi="宋体" w:cs="宋体"/>
                <w:szCs w:val="21"/>
              </w:rPr>
              <w:t xml:space="preserve"> </w:t>
            </w:r>
          </w:p>
          <w:p>
            <w:pPr>
              <w:wordWrap w:val="0"/>
              <w:adjustRightInd w:val="0"/>
              <w:snapToGrid w:val="0"/>
              <w:spacing w:line="320" w:lineRule="exact"/>
              <w:rPr>
                <w:rFonts w:hint="eastAsia" w:ascii="宋体" w:hAnsi="宋体" w:cs="宋体"/>
                <w:szCs w:val="21"/>
              </w:rPr>
            </w:pPr>
            <w:r>
              <w:rPr>
                <w:rFonts w:hint="eastAsia" w:ascii="宋体" w:hAnsi="宋体" w:cs="宋体"/>
                <w:b/>
                <w:bCs/>
                <w:szCs w:val="21"/>
              </w:rPr>
              <w:t>（二）评分依据：</w:t>
            </w:r>
          </w:p>
          <w:p>
            <w:pPr>
              <w:wordWrap w:val="0"/>
              <w:adjustRightInd w:val="0"/>
              <w:snapToGrid w:val="0"/>
              <w:spacing w:line="320" w:lineRule="exact"/>
              <w:rPr>
                <w:rFonts w:hint="eastAsia" w:ascii="宋体" w:hAnsi="宋体" w:cs="宋体"/>
                <w:szCs w:val="21"/>
              </w:rPr>
            </w:pPr>
            <w:r>
              <w:rPr>
                <w:rFonts w:hint="eastAsia" w:ascii="宋体" w:hAnsi="宋体" w:cs="宋体"/>
                <w:szCs w:val="21"/>
              </w:rPr>
              <w:t>每提供上述任意一项内容得</w:t>
            </w:r>
            <w:r>
              <w:rPr>
                <w:rFonts w:hint="eastAsia" w:ascii="宋体" w:hAnsi="宋体" w:cs="宋体"/>
                <w:szCs w:val="21"/>
                <w:lang w:val="en-US" w:eastAsia="zh-CN"/>
              </w:rPr>
              <w:t>30</w:t>
            </w:r>
            <w:r>
              <w:rPr>
                <w:rFonts w:hint="eastAsia" w:ascii="宋体" w:hAnsi="宋体" w:cs="宋体"/>
                <w:szCs w:val="21"/>
              </w:rPr>
              <w:t>分，本小项累计最高得60分；在此基础上，专家根据各供应商的具体响应内容按照量化的评审因素指标进一步评审：</w:t>
            </w:r>
          </w:p>
          <w:p>
            <w:pPr>
              <w:wordWrap w:val="0"/>
              <w:adjustRightInd w:val="0"/>
              <w:snapToGrid w:val="0"/>
              <w:spacing w:line="320" w:lineRule="exact"/>
              <w:rPr>
                <w:rFonts w:hint="eastAsia" w:ascii="宋体" w:hAnsi="宋体" w:cs="宋体"/>
                <w:szCs w:val="21"/>
              </w:rPr>
            </w:pPr>
            <w:r>
              <w:rPr>
                <w:rFonts w:hint="eastAsia" w:ascii="宋体" w:hAnsi="宋体" w:cs="宋体"/>
                <w:szCs w:val="21"/>
              </w:rPr>
              <w:t>1.</w:t>
            </w:r>
            <w:r>
              <w:rPr>
                <w:rFonts w:hint="eastAsia" w:ascii="宋体" w:hAnsi="宋体"/>
                <w:szCs w:val="21"/>
                <w:highlight w:val="none"/>
              </w:rPr>
              <w:t>质量保障措施</w:t>
            </w:r>
            <w:r>
              <w:rPr>
                <w:rFonts w:hint="eastAsia" w:ascii="宋体" w:hAnsi="宋体" w:cs="宋体"/>
                <w:szCs w:val="21"/>
              </w:rPr>
              <w:t>整体科学合理、针对性强、可操作性强，评审为优的，加40分；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2.</w:t>
            </w:r>
            <w:r>
              <w:rPr>
                <w:rFonts w:hint="eastAsia" w:ascii="宋体" w:hAnsi="宋体"/>
                <w:szCs w:val="21"/>
                <w:highlight w:val="none"/>
              </w:rPr>
              <w:t>质量保障措施</w:t>
            </w:r>
            <w:r>
              <w:rPr>
                <w:rFonts w:hint="eastAsia" w:ascii="宋体" w:hAnsi="宋体" w:cs="宋体"/>
                <w:szCs w:val="21"/>
              </w:rPr>
              <w:t>较合理、有一定针对性、一定可操作性，评审为良的，加25分；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3.</w:t>
            </w:r>
            <w:r>
              <w:rPr>
                <w:rFonts w:hint="eastAsia" w:ascii="宋体" w:hAnsi="宋体"/>
                <w:szCs w:val="21"/>
                <w:highlight w:val="none"/>
              </w:rPr>
              <w:t>质量保障措施</w:t>
            </w:r>
            <w:r>
              <w:rPr>
                <w:rFonts w:hint="eastAsia" w:ascii="宋体" w:hAnsi="宋体" w:cs="宋体"/>
                <w:szCs w:val="21"/>
              </w:rPr>
              <w:t>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rPr>
              <w:t>4.</w:t>
            </w:r>
            <w:r>
              <w:rPr>
                <w:rFonts w:hint="eastAsia" w:ascii="宋体" w:hAnsi="宋体"/>
                <w:szCs w:val="21"/>
                <w:highlight w:val="none"/>
              </w:rPr>
              <w:t>质量保障措施</w:t>
            </w:r>
            <w:r>
              <w:rPr>
                <w:rFonts w:hint="eastAsia" w:ascii="宋体" w:hAnsi="宋体" w:cs="宋体"/>
                <w:szCs w:val="21"/>
              </w:rPr>
              <w:t>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szCs w:val="21"/>
                <w:highlight w:val="none"/>
              </w:rPr>
              <w:t>项目重点难点分析、应对措施及相关的合理化建议</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pPr>
              <w:wordWrap w:val="0"/>
              <w:adjustRightInd w:val="0"/>
              <w:snapToGrid w:val="0"/>
              <w:spacing w:line="320" w:lineRule="exact"/>
              <w:rPr>
                <w:rFonts w:hint="eastAsia" w:ascii="宋体" w:hAnsi="宋体" w:cs="宋体"/>
                <w:szCs w:val="21"/>
              </w:rPr>
            </w:pPr>
            <w:r>
              <w:rPr>
                <w:rFonts w:hint="eastAsia" w:ascii="宋体" w:hAnsi="宋体" w:cs="宋体"/>
                <w:b/>
                <w:bCs/>
                <w:szCs w:val="21"/>
              </w:rPr>
              <w:t>（一）评分内容：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投标人针对本项目服务内容的特点及管理过程的重点难点，提出以下内容：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1. 项目重点难点分析及应对措施；</w:t>
            </w:r>
          </w:p>
          <w:p>
            <w:pPr>
              <w:wordWrap w:val="0"/>
              <w:adjustRightInd w:val="0"/>
              <w:snapToGrid w:val="0"/>
              <w:spacing w:line="320" w:lineRule="exact"/>
              <w:rPr>
                <w:rFonts w:hint="eastAsia" w:ascii="宋体" w:hAnsi="宋体" w:cs="宋体"/>
                <w:szCs w:val="21"/>
              </w:rPr>
            </w:pPr>
            <w:r>
              <w:rPr>
                <w:rFonts w:hint="eastAsia" w:ascii="宋体" w:hAnsi="宋体" w:cs="宋体"/>
                <w:szCs w:val="21"/>
              </w:rPr>
              <w:t xml:space="preserve">2. 相关的合理化建议。 </w:t>
            </w:r>
          </w:p>
          <w:p>
            <w:pPr>
              <w:wordWrap w:val="0"/>
              <w:adjustRightInd w:val="0"/>
              <w:snapToGrid w:val="0"/>
              <w:spacing w:line="320" w:lineRule="exact"/>
              <w:rPr>
                <w:rFonts w:hint="eastAsia" w:ascii="宋体" w:hAnsi="宋体" w:cs="宋体"/>
                <w:b/>
                <w:bCs/>
                <w:szCs w:val="21"/>
              </w:rPr>
            </w:pPr>
            <w:r>
              <w:rPr>
                <w:rFonts w:hint="eastAsia" w:ascii="宋体" w:hAnsi="宋体" w:cs="宋体"/>
                <w:b/>
                <w:bCs/>
                <w:szCs w:val="21"/>
              </w:rPr>
              <w:t>（二）评分依据：</w:t>
            </w:r>
          </w:p>
          <w:p>
            <w:pPr>
              <w:wordWrap w:val="0"/>
              <w:adjustRightInd w:val="0"/>
              <w:snapToGrid w:val="0"/>
              <w:spacing w:line="320" w:lineRule="exact"/>
              <w:rPr>
                <w:rFonts w:hint="eastAsia" w:ascii="宋体" w:hAnsi="宋体" w:cs="宋体"/>
                <w:szCs w:val="21"/>
              </w:rPr>
            </w:pPr>
            <w:r>
              <w:rPr>
                <w:rFonts w:hint="eastAsia" w:ascii="宋体" w:hAnsi="宋体" w:cs="宋体"/>
                <w:szCs w:val="21"/>
              </w:rPr>
              <w:t>每提供上述任意一项内容得30分，本小项累计最高得60分；在此基础上，专家根据各供应商的具体响应内容按照量化的评审因素指标进一步评审：</w:t>
            </w:r>
          </w:p>
          <w:p>
            <w:pPr>
              <w:wordWrap w:val="0"/>
              <w:adjustRightInd w:val="0"/>
              <w:snapToGrid w:val="0"/>
              <w:spacing w:line="320" w:lineRule="exact"/>
              <w:rPr>
                <w:rFonts w:hint="eastAsia" w:ascii="宋体" w:hAnsi="宋体" w:cs="宋体"/>
                <w:szCs w:val="21"/>
              </w:rPr>
            </w:pPr>
            <w:r>
              <w:rPr>
                <w:rFonts w:hint="eastAsia" w:ascii="宋体" w:hAnsi="宋体" w:cs="宋体"/>
                <w:szCs w:val="21"/>
              </w:rPr>
              <w:t>1.方案整体科学合理、针对性强、可操作性强，评审为优的，加40分；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2.方案较合理、有一定针对性、一定可操作性，评审为良的，加25分；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3.方案不尽合理、针对性一般、可操作性一般，评审为中的，加10分；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rPr>
              <w:t>4.方案不合理、无针对性、无可操作性，评审为差的，加0分。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项目完成（服务期满）后的服务承诺</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tcPr>
          <w:p>
            <w:pPr>
              <w:wordWrap w:val="0"/>
              <w:adjustRightInd w:val="0"/>
              <w:snapToGrid w:val="0"/>
              <w:spacing w:line="320" w:lineRule="exact"/>
              <w:jc w:val="left"/>
              <w:rPr>
                <w:rFonts w:ascii="宋体" w:hAnsi="宋体" w:cs="宋体"/>
                <w:szCs w:val="21"/>
                <w:highlight w:val="none"/>
              </w:rPr>
            </w:pPr>
            <w:r>
              <w:rPr>
                <w:rFonts w:hint="eastAsia" w:ascii="宋体" w:hAnsi="宋体" w:cs="宋体"/>
                <w:b/>
                <w:bCs/>
                <w:szCs w:val="21"/>
                <w:highlight w:val="none"/>
              </w:rPr>
              <w:t>（一）评分内容：</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投标人承诺以下全部三项的得</w:t>
            </w:r>
            <w:r>
              <w:rPr>
                <w:rFonts w:hint="eastAsia" w:ascii="宋体" w:hAnsi="宋体" w:cs="宋体"/>
                <w:szCs w:val="21"/>
                <w:highlight w:val="none"/>
                <w:lang w:val="en-US" w:eastAsia="zh-CN"/>
              </w:rPr>
              <w:t>100</w:t>
            </w:r>
            <w:r>
              <w:rPr>
                <w:rFonts w:hint="eastAsia" w:ascii="宋体" w:hAnsi="宋体" w:cs="宋体"/>
                <w:szCs w:val="21"/>
                <w:highlight w:val="none"/>
              </w:rPr>
              <w:t>分，否则不得分。</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服务期满主动撤场；</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与后续服务公司进行交接；</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服务期满，后续服务公司未到位前仍按原合同服务承诺提供服务。</w:t>
            </w:r>
          </w:p>
          <w:p>
            <w:pPr>
              <w:wordWrap w:val="0"/>
              <w:adjustRightInd w:val="0"/>
              <w:snapToGrid w:val="0"/>
              <w:spacing w:line="320" w:lineRule="exact"/>
              <w:jc w:val="left"/>
              <w:rPr>
                <w:rFonts w:ascii="宋体" w:hAnsi="宋体" w:cs="宋体"/>
                <w:szCs w:val="21"/>
                <w:highlight w:val="none"/>
              </w:rPr>
            </w:pPr>
            <w:r>
              <w:rPr>
                <w:rFonts w:hint="eastAsia" w:ascii="宋体" w:hAnsi="宋体" w:cs="宋体"/>
                <w:b/>
                <w:bCs/>
                <w:szCs w:val="21"/>
                <w:highlight w:val="none"/>
              </w:rPr>
              <w:t>（二）评分依据：</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要求提供承诺函（格式自定）作为得分依据，未提供承诺或承诺内容不满足要求不得分。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tcPr>
          <w:p>
            <w:pPr>
              <w:wordWrap w:val="0"/>
              <w:adjustRightInd w:val="0"/>
              <w:snapToGrid w:val="0"/>
              <w:spacing w:line="320" w:lineRule="exact"/>
              <w:rPr>
                <w:rFonts w:hint="eastAsia" w:ascii="宋体" w:hAnsi="宋体" w:cs="宋体"/>
                <w:szCs w:val="21"/>
              </w:rPr>
            </w:pPr>
            <w:r>
              <w:rPr>
                <w:rFonts w:hint="eastAsia" w:ascii="宋体" w:hAnsi="宋体" w:cs="宋体"/>
                <w:b/>
                <w:bCs/>
                <w:szCs w:val="21"/>
              </w:rPr>
              <w:t>（一）评分内容：</w:t>
            </w:r>
          </w:p>
          <w:p>
            <w:pPr>
              <w:wordWrap w:val="0"/>
              <w:adjustRightInd w:val="0"/>
              <w:snapToGrid w:val="0"/>
              <w:spacing w:line="320" w:lineRule="exact"/>
              <w:rPr>
                <w:rFonts w:hint="default" w:ascii="宋体" w:hAnsi="宋体" w:cs="宋体"/>
                <w:b w:val="0"/>
                <w:bCs w:val="0"/>
                <w:szCs w:val="21"/>
                <w:lang w:val="en-US" w:eastAsia="zh-CN"/>
              </w:rPr>
            </w:pPr>
            <w:r>
              <w:rPr>
                <w:rFonts w:hint="default" w:ascii="宋体" w:hAnsi="宋体" w:cs="宋体"/>
                <w:b w:val="0"/>
                <w:bCs w:val="0"/>
                <w:szCs w:val="21"/>
                <w:lang w:val="en-US" w:eastAsia="zh-CN"/>
              </w:rPr>
              <w:t>拟安排项目负责人为投标单位员工（以社保为准），否则本项不得分。在此基础上：</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lang w:val="en-US" w:eastAsia="zh-CN"/>
              </w:rPr>
              <w:t>1</w:t>
            </w:r>
            <w:r>
              <w:rPr>
                <w:rFonts w:hint="eastAsia" w:ascii="宋体" w:hAnsi="宋体" w:cs="宋体"/>
                <w:b w:val="0"/>
                <w:bCs w:val="0"/>
                <w:szCs w:val="21"/>
                <w:lang w:val="en-US" w:eastAsia="zh-CN"/>
              </w:rPr>
              <w:t>、</w:t>
            </w:r>
            <w:r>
              <w:rPr>
                <w:rFonts w:hint="default" w:ascii="宋体" w:hAnsi="宋体" w:cs="宋体"/>
                <w:b w:val="0"/>
                <w:bCs w:val="0"/>
                <w:szCs w:val="21"/>
                <w:lang w:val="en-US" w:eastAsia="zh-CN"/>
              </w:rPr>
              <w:t>具有本科</w:t>
            </w:r>
            <w:r>
              <w:rPr>
                <w:rFonts w:hint="eastAsia" w:ascii="宋体" w:hAnsi="宋体" w:cs="宋体"/>
                <w:b w:val="0"/>
                <w:bCs w:val="0"/>
                <w:szCs w:val="21"/>
                <w:lang w:val="en-US" w:eastAsia="zh-CN"/>
              </w:rPr>
              <w:t>（</w:t>
            </w:r>
            <w:r>
              <w:rPr>
                <w:rFonts w:hint="default" w:ascii="宋体" w:hAnsi="宋体" w:cs="宋体"/>
                <w:b w:val="0"/>
                <w:bCs w:val="0"/>
                <w:szCs w:val="21"/>
                <w:highlight w:val="none"/>
                <w:lang w:val="en-US" w:eastAsia="zh-CN"/>
              </w:rPr>
              <w:t>或以上</w:t>
            </w:r>
            <w:r>
              <w:rPr>
                <w:rFonts w:hint="eastAsia" w:ascii="宋体" w:hAnsi="宋体" w:cs="宋体"/>
                <w:b w:val="0"/>
                <w:bCs w:val="0"/>
                <w:szCs w:val="21"/>
                <w:highlight w:val="none"/>
                <w:lang w:val="en-US" w:eastAsia="zh-CN"/>
              </w:rPr>
              <w:t>）</w:t>
            </w:r>
            <w:r>
              <w:rPr>
                <w:rFonts w:hint="default" w:ascii="宋体" w:hAnsi="宋体" w:cs="宋体"/>
                <w:b w:val="0"/>
                <w:bCs w:val="0"/>
                <w:szCs w:val="21"/>
                <w:highlight w:val="none"/>
                <w:lang w:val="en-US" w:eastAsia="zh-CN"/>
              </w:rPr>
              <w:t>学历的，得</w:t>
            </w:r>
            <w:r>
              <w:rPr>
                <w:rFonts w:hint="eastAsia" w:ascii="宋体" w:hAnsi="宋体" w:cs="宋体"/>
                <w:b w:val="0"/>
                <w:bCs w:val="0"/>
                <w:szCs w:val="21"/>
                <w:highlight w:val="none"/>
                <w:lang w:val="en-US" w:eastAsia="zh-CN"/>
              </w:rPr>
              <w:t>10</w:t>
            </w:r>
            <w:r>
              <w:rPr>
                <w:rFonts w:hint="default" w:ascii="宋体" w:hAnsi="宋体" w:cs="宋体"/>
                <w:b w:val="0"/>
                <w:bCs w:val="0"/>
                <w:szCs w:val="21"/>
                <w:highlight w:val="none"/>
                <w:lang w:val="en-US" w:eastAsia="zh-CN"/>
              </w:rPr>
              <w:t>分；</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2</w:t>
            </w:r>
            <w:r>
              <w:rPr>
                <w:rFonts w:hint="eastAsia" w:ascii="宋体" w:hAnsi="宋体" w:cs="宋体"/>
                <w:b w:val="0"/>
                <w:bCs w:val="0"/>
                <w:szCs w:val="21"/>
                <w:highlight w:val="none"/>
                <w:lang w:val="en-US" w:eastAsia="zh-CN"/>
              </w:rPr>
              <w:t>、</w:t>
            </w:r>
            <w:r>
              <w:rPr>
                <w:rFonts w:hint="default" w:ascii="宋体" w:hAnsi="宋体" w:cs="宋体"/>
                <w:b w:val="0"/>
                <w:bCs w:val="0"/>
                <w:szCs w:val="21"/>
                <w:highlight w:val="none"/>
                <w:lang w:val="en-US" w:eastAsia="zh-CN"/>
              </w:rPr>
              <w:t>具有人力资源和社会保障部门颁发的管理类高级</w:t>
            </w:r>
            <w:r>
              <w:rPr>
                <w:rFonts w:hint="eastAsia" w:ascii="宋体" w:hAnsi="宋体" w:cs="宋体"/>
                <w:b w:val="0"/>
                <w:bCs w:val="0"/>
                <w:szCs w:val="21"/>
                <w:highlight w:val="none"/>
                <w:lang w:val="en-US" w:eastAsia="zh-CN"/>
              </w:rPr>
              <w:t>（或以上）</w:t>
            </w:r>
            <w:r>
              <w:rPr>
                <w:rFonts w:hint="default" w:ascii="宋体" w:hAnsi="宋体" w:cs="宋体"/>
                <w:b w:val="0"/>
                <w:bCs w:val="0"/>
                <w:szCs w:val="21"/>
                <w:highlight w:val="none"/>
                <w:lang w:val="en-US" w:eastAsia="zh-CN"/>
              </w:rPr>
              <w:t>职称证书的，得</w:t>
            </w:r>
            <w:r>
              <w:rPr>
                <w:rFonts w:hint="eastAsia" w:ascii="宋体" w:hAnsi="宋体" w:cs="宋体"/>
                <w:b w:val="0"/>
                <w:bCs w:val="0"/>
                <w:szCs w:val="21"/>
                <w:highlight w:val="none"/>
                <w:lang w:val="en-US" w:eastAsia="zh-CN"/>
              </w:rPr>
              <w:t>30</w:t>
            </w:r>
            <w:r>
              <w:rPr>
                <w:rFonts w:hint="default" w:ascii="宋体" w:hAnsi="宋体" w:cs="宋体"/>
                <w:b w:val="0"/>
                <w:bCs w:val="0"/>
                <w:szCs w:val="21"/>
                <w:highlight w:val="none"/>
                <w:lang w:val="en-US" w:eastAsia="zh-CN"/>
              </w:rPr>
              <w:t>分；</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3</w:t>
            </w:r>
            <w:r>
              <w:rPr>
                <w:rFonts w:hint="eastAsia" w:ascii="宋体" w:hAnsi="宋体" w:cs="宋体"/>
                <w:b w:val="0"/>
                <w:bCs w:val="0"/>
                <w:szCs w:val="21"/>
                <w:highlight w:val="none"/>
                <w:lang w:val="en-US" w:eastAsia="zh-CN"/>
              </w:rPr>
              <w:t>、具有以下证书其中一项的，得20分，此小项最高得20分：</w:t>
            </w:r>
            <w:r>
              <w:rPr>
                <w:rFonts w:hint="eastAsia" w:ascii="宋体" w:hAnsi="宋体" w:cs="宋体"/>
                <w:b w:val="0"/>
                <w:bCs w:val="0"/>
                <w:szCs w:val="21"/>
                <w:highlight w:val="none"/>
                <w:lang w:val="en-US" w:eastAsia="zh-CN"/>
              </w:rPr>
              <w:br w:type="textWrapping"/>
            </w:r>
            <w:r>
              <w:rPr>
                <w:rFonts w:hint="eastAsia" w:ascii="宋体" w:hAnsi="宋体" w:cs="宋体"/>
                <w:b w:val="0"/>
                <w:bCs w:val="0"/>
                <w:szCs w:val="21"/>
                <w:highlight w:val="none"/>
                <w:lang w:val="en-US" w:eastAsia="zh-CN"/>
              </w:rPr>
              <w:t>①人社部门或住建部门颁发的物业管理师资格证书；</w:t>
            </w:r>
            <w:r>
              <w:rPr>
                <w:rFonts w:hint="eastAsia" w:ascii="宋体" w:hAnsi="宋体" w:cs="宋体"/>
                <w:b w:val="0"/>
                <w:bCs w:val="0"/>
                <w:szCs w:val="21"/>
                <w:highlight w:val="none"/>
                <w:lang w:val="en-US" w:eastAsia="zh-CN"/>
              </w:rPr>
              <w:br w:type="textWrapping"/>
            </w:r>
            <w:r>
              <w:rPr>
                <w:rFonts w:hint="eastAsia" w:ascii="宋体" w:hAnsi="宋体" w:cs="宋体"/>
                <w:b w:val="0"/>
                <w:bCs w:val="0"/>
                <w:szCs w:val="21"/>
                <w:highlight w:val="none"/>
                <w:lang w:val="en-US" w:eastAsia="zh-CN"/>
              </w:rPr>
              <w:t>②物业管理员（师）职业能力等级证书（职业能力等级：物业管理师或以上级别）；</w:t>
            </w:r>
            <w:r>
              <w:rPr>
                <w:rFonts w:hint="eastAsia" w:ascii="宋体" w:hAnsi="宋体" w:cs="宋体"/>
                <w:b w:val="0"/>
                <w:bCs w:val="0"/>
                <w:szCs w:val="21"/>
                <w:highlight w:val="none"/>
                <w:lang w:val="en-US" w:eastAsia="zh-CN"/>
              </w:rPr>
              <w:br w:type="textWrapping"/>
            </w:r>
            <w:r>
              <w:rPr>
                <w:rFonts w:hint="eastAsia" w:ascii="宋体" w:hAnsi="宋体" w:cs="宋体"/>
                <w:b w:val="0"/>
                <w:bCs w:val="0"/>
                <w:szCs w:val="21"/>
                <w:highlight w:val="none"/>
                <w:lang w:val="en-US" w:eastAsia="zh-CN"/>
              </w:rPr>
              <w:t>③职业技能鉴定（指导）中心颁发的二级/技师（或以上）物业管理师证书；</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4</w:t>
            </w:r>
            <w:r>
              <w:rPr>
                <w:rFonts w:hint="eastAsia" w:ascii="宋体" w:hAnsi="宋体" w:cs="宋体"/>
                <w:b w:val="0"/>
                <w:bCs w:val="0"/>
                <w:szCs w:val="21"/>
                <w:highlight w:val="none"/>
                <w:lang w:val="en-US" w:eastAsia="zh-CN"/>
              </w:rPr>
              <w:t>、</w:t>
            </w:r>
            <w:r>
              <w:rPr>
                <w:rFonts w:hint="default" w:ascii="宋体" w:hAnsi="宋体" w:cs="宋体"/>
                <w:b w:val="0"/>
                <w:bCs w:val="0"/>
                <w:szCs w:val="21"/>
                <w:highlight w:val="none"/>
                <w:lang w:val="en-US" w:eastAsia="zh-CN"/>
              </w:rPr>
              <w:t>具有人力资源和社会保障部门或职业技能鉴定机构颁发的应急救援员职业资格证书或职业技能等级证书的，得</w:t>
            </w:r>
            <w:r>
              <w:rPr>
                <w:rFonts w:hint="eastAsia" w:ascii="宋体" w:hAnsi="宋体" w:cs="宋体"/>
                <w:b w:val="0"/>
                <w:bCs w:val="0"/>
                <w:szCs w:val="21"/>
                <w:highlight w:val="none"/>
                <w:lang w:val="en-US" w:eastAsia="zh-CN"/>
              </w:rPr>
              <w:t>20</w:t>
            </w:r>
            <w:r>
              <w:rPr>
                <w:rFonts w:hint="default" w:ascii="宋体" w:hAnsi="宋体" w:cs="宋体"/>
                <w:b w:val="0"/>
                <w:bCs w:val="0"/>
                <w:szCs w:val="21"/>
                <w:highlight w:val="none"/>
                <w:lang w:val="en-US" w:eastAsia="zh-CN"/>
              </w:rPr>
              <w:t>分；</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5</w:t>
            </w:r>
            <w:r>
              <w:rPr>
                <w:rFonts w:hint="eastAsia" w:ascii="宋体" w:hAnsi="宋体" w:cs="宋体"/>
                <w:b w:val="0"/>
                <w:bCs w:val="0"/>
                <w:szCs w:val="21"/>
                <w:highlight w:val="none"/>
                <w:lang w:val="en-US" w:eastAsia="zh-CN"/>
              </w:rPr>
              <w:t>、</w:t>
            </w:r>
            <w:r>
              <w:rPr>
                <w:rFonts w:hint="eastAsia" w:ascii="宋体" w:hAnsi="宋体" w:eastAsia="宋体" w:cs="宋体"/>
                <w:b w:val="0"/>
                <w:bCs w:val="0"/>
                <w:kern w:val="2"/>
                <w:sz w:val="21"/>
                <w:szCs w:val="21"/>
                <w:highlight w:val="none"/>
                <w:lang w:val="en-US" w:eastAsia="zh-CN" w:bidi="ar-SA"/>
              </w:rPr>
              <w:t>具有人力资源和社会保障部门（或其他具备职称评定资格的单位或机构）颁发的</w:t>
            </w:r>
            <w:r>
              <w:rPr>
                <w:rFonts w:hint="eastAsia" w:ascii="宋体" w:hAnsi="宋体" w:cs="宋体"/>
                <w:szCs w:val="21"/>
                <w:highlight w:val="none"/>
              </w:rPr>
              <w:t>一级/高级技师</w:t>
            </w:r>
            <w:r>
              <w:rPr>
                <w:rFonts w:hint="eastAsia" w:ascii="宋体" w:hAnsi="宋体" w:eastAsia="宋体" w:cs="宋体"/>
                <w:b w:val="0"/>
                <w:bCs w:val="0"/>
                <w:kern w:val="2"/>
                <w:sz w:val="21"/>
                <w:szCs w:val="21"/>
                <w:highlight w:val="none"/>
                <w:lang w:val="en-US" w:eastAsia="zh-CN" w:bidi="ar-SA"/>
              </w:rPr>
              <w:t>人力资源管理师（或企业人力资源管理师）职业资格证书（或职业技能等级证书）的</w:t>
            </w:r>
            <w:r>
              <w:rPr>
                <w:rFonts w:hint="default" w:ascii="宋体" w:hAnsi="宋体" w:cs="宋体"/>
                <w:b w:val="0"/>
                <w:bCs w:val="0"/>
                <w:szCs w:val="21"/>
                <w:highlight w:val="none"/>
                <w:lang w:val="en-US" w:eastAsia="zh-CN"/>
              </w:rPr>
              <w:t>，得</w:t>
            </w:r>
            <w:r>
              <w:rPr>
                <w:rFonts w:hint="eastAsia" w:ascii="宋体" w:hAnsi="宋体" w:cs="宋体"/>
                <w:b w:val="0"/>
                <w:bCs w:val="0"/>
                <w:szCs w:val="21"/>
                <w:highlight w:val="none"/>
                <w:lang w:val="en-US" w:eastAsia="zh-CN"/>
              </w:rPr>
              <w:t>20</w:t>
            </w:r>
            <w:r>
              <w:rPr>
                <w:rFonts w:hint="default" w:ascii="宋体" w:hAnsi="宋体" w:cs="宋体"/>
                <w:b w:val="0"/>
                <w:bCs w:val="0"/>
                <w:szCs w:val="21"/>
                <w:highlight w:val="none"/>
                <w:lang w:val="en-US" w:eastAsia="zh-CN"/>
              </w:rPr>
              <w:t>分</w:t>
            </w:r>
            <w:r>
              <w:rPr>
                <w:rFonts w:hint="eastAsia" w:ascii="宋体" w:hAnsi="宋体" w:cs="宋体"/>
                <w:b w:val="0"/>
                <w:bCs w:val="0"/>
                <w:szCs w:val="21"/>
                <w:highlight w:val="none"/>
                <w:lang w:val="en-US" w:eastAsia="zh-CN"/>
              </w:rPr>
              <w:t>。</w:t>
            </w:r>
          </w:p>
          <w:p>
            <w:pPr>
              <w:wordWrap w:val="0"/>
              <w:adjustRightInd w:val="0"/>
              <w:snapToGrid w:val="0"/>
              <w:spacing w:line="320" w:lineRule="exact"/>
              <w:rPr>
                <w:rFonts w:hint="default" w:ascii="宋体" w:hAnsi="宋体" w:cs="宋体"/>
                <w:b/>
                <w:bCs/>
                <w:szCs w:val="21"/>
                <w:highlight w:val="none"/>
                <w:lang w:val="en-US" w:eastAsia="zh-CN"/>
              </w:rPr>
            </w:pPr>
            <w:r>
              <w:rPr>
                <w:rFonts w:hint="eastAsia" w:ascii="宋体" w:hAnsi="宋体" w:cs="宋体"/>
                <w:b w:val="0"/>
                <w:bCs w:val="0"/>
                <w:szCs w:val="21"/>
                <w:highlight w:val="none"/>
                <w:lang w:val="en-US" w:eastAsia="zh-CN"/>
              </w:rPr>
              <w:t>以上累计最高得100分。</w:t>
            </w:r>
          </w:p>
          <w:p>
            <w:pPr>
              <w:wordWrap w:val="0"/>
              <w:adjustRightInd w:val="0"/>
              <w:snapToGrid w:val="0"/>
              <w:spacing w:line="320" w:lineRule="exact"/>
              <w:rPr>
                <w:rFonts w:hint="eastAsia" w:ascii="宋体" w:hAnsi="宋体" w:cs="宋体"/>
                <w:szCs w:val="21"/>
                <w:highlight w:val="none"/>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二</w:t>
            </w:r>
            <w:r>
              <w:rPr>
                <w:rFonts w:hint="eastAsia" w:ascii="宋体" w:hAnsi="宋体" w:cs="宋体"/>
                <w:b/>
                <w:bCs/>
                <w:szCs w:val="21"/>
                <w:highlight w:val="none"/>
                <w:lang w:eastAsia="zh-CN"/>
              </w:rPr>
              <w:t>）</w:t>
            </w:r>
            <w:r>
              <w:rPr>
                <w:rFonts w:hint="eastAsia" w:ascii="宋体" w:hAnsi="宋体" w:cs="宋体"/>
                <w:b/>
                <w:bCs/>
                <w:szCs w:val="21"/>
                <w:highlight w:val="none"/>
              </w:rPr>
              <w:t>评分依据：</w:t>
            </w:r>
          </w:p>
          <w:p>
            <w:pPr>
              <w:wordWrap w:val="0"/>
              <w:adjustRightInd w:val="0"/>
              <w:snapToGrid w:val="0"/>
              <w:spacing w:line="320" w:lineRule="exact"/>
              <w:rPr>
                <w:rFonts w:hint="eastAsia" w:ascii="宋体" w:hAnsi="宋体" w:cs="宋体"/>
                <w:szCs w:val="21"/>
              </w:rPr>
            </w:pPr>
            <w:r>
              <w:rPr>
                <w:rFonts w:hint="eastAsia" w:ascii="宋体" w:hAnsi="宋体" w:cs="宋体"/>
                <w:szCs w:val="21"/>
                <w:highlight w:val="none"/>
              </w:rPr>
              <w:t>1.要求提供通过投</w:t>
            </w:r>
            <w:r>
              <w:rPr>
                <w:rFonts w:hint="eastAsia" w:ascii="宋体" w:hAnsi="宋体" w:cs="宋体"/>
                <w:szCs w:val="21"/>
              </w:rPr>
              <w:t>标人缴纳的近三个月(含开标当月)的任意一个月的社保证明作为本单位员工的证明依据，如供应商成立不足一个月，提供情况说明函(格式自拟)，无需提供相关人员社保，亦可得分。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pPr>
              <w:wordWrap w:val="0"/>
              <w:adjustRightInd w:val="0"/>
              <w:snapToGrid w:val="0"/>
              <w:spacing w:line="320" w:lineRule="exact"/>
              <w:rPr>
                <w:rFonts w:hint="eastAsia" w:ascii="宋体" w:hAnsi="宋体" w:cs="宋体"/>
                <w:szCs w:val="21"/>
              </w:rPr>
            </w:pPr>
            <w:r>
              <w:rPr>
                <w:rFonts w:hint="eastAsia" w:ascii="宋体" w:hAnsi="宋体" w:cs="宋体"/>
                <w:szCs w:val="21"/>
              </w:rPr>
              <w:t>3.提供</w:t>
            </w:r>
            <w:r>
              <w:rPr>
                <w:rFonts w:hint="eastAsia" w:ascii="宋体" w:hAnsi="宋体" w:cs="宋体"/>
                <w:szCs w:val="21"/>
                <w:lang w:val="en-US" w:eastAsia="zh-CN"/>
              </w:rPr>
              <w:t>相关</w:t>
            </w:r>
            <w:r>
              <w:rPr>
                <w:rFonts w:hint="eastAsia" w:ascii="宋体" w:hAnsi="宋体" w:cs="宋体"/>
                <w:szCs w:val="21"/>
              </w:rPr>
              <w:t>证书扫描件，若人员证书为协会</w:t>
            </w:r>
            <w:r>
              <w:rPr>
                <w:rFonts w:hint="eastAsia" w:ascii="宋体" w:hAnsi="宋体" w:cs="宋体"/>
                <w:szCs w:val="21"/>
                <w:lang w:val="en-US" w:eastAsia="zh-CN"/>
              </w:rPr>
              <w:t>或</w:t>
            </w:r>
            <w:r>
              <w:rPr>
                <w:rFonts w:hint="eastAsia" w:ascii="宋体" w:hAnsi="宋体" w:cs="宋体"/>
                <w:szCs w:val="21"/>
              </w:rPr>
              <w:t>等社会组织颁发的，则还需要提供该协会在全国社会组织信用信息公示平台（网址https://xxgs.chinanpo.mca.gov.cn)的查询“正常”页面截图。涉及“职称证书”需要提供全国人力资源和社会保障政务服务平台（https://www.12333.gov.cn/portal/service_catalog）证书查询记录的相关截图或发证单位（机构）官网的证书信息查询截图。</w:t>
            </w:r>
          </w:p>
          <w:p>
            <w:pPr>
              <w:wordWrap w:val="0"/>
              <w:adjustRightInd w:val="0"/>
              <w:snapToGrid w:val="0"/>
              <w:spacing w:line="320" w:lineRule="exact"/>
              <w:rPr>
                <w:rFonts w:ascii="宋体" w:hAnsi="宋体" w:cs="宋体"/>
                <w:szCs w:val="21"/>
                <w:highlight w:val="none"/>
              </w:rPr>
            </w:pPr>
            <w:r>
              <w:rPr>
                <w:rFonts w:hint="eastAsia" w:ascii="宋体" w:hAnsi="宋体" w:cs="宋体"/>
                <w:szCs w:val="21"/>
                <w:lang w:val="en-US" w:eastAsia="zh-CN"/>
              </w:rPr>
              <w:t>4</w:t>
            </w:r>
            <w:r>
              <w:rPr>
                <w:rFonts w:hint="eastAsia" w:ascii="宋体" w:hAnsi="宋体" w:cs="宋体"/>
                <w:szCs w:val="21"/>
              </w:rPr>
              <w:t>.评分中出现无证明资料或者专家无法凭所提供资料判断是否得分的情况，一律做不得分处理。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2264" w:type="dxa"/>
            <w:tcBorders>
              <w:tl2br w:val="nil"/>
              <w:tr2bl w:val="nil"/>
            </w:tcBorders>
            <w:vAlign w:val="center"/>
          </w:tcPr>
          <w:p>
            <w:pPr>
              <w:wordWrap w:val="0"/>
              <w:adjustRightInd w:val="0"/>
              <w:snapToGrid w:val="0"/>
              <w:spacing w:line="320" w:lineRule="exact"/>
              <w:jc w:val="center"/>
              <w:rPr>
                <w:rFonts w:hint="eastAsia" w:ascii="宋体" w:hAnsi="宋体" w:cs="宋体"/>
                <w:szCs w:val="21"/>
                <w:highlight w:val="none"/>
              </w:rPr>
            </w:pPr>
            <w:r>
              <w:rPr>
                <w:rFonts w:hint="eastAsia" w:ascii="宋体" w:hAnsi="宋体" w:cs="宋体"/>
                <w:szCs w:val="21"/>
              </w:rPr>
              <w:t>拟安排的项目主要团队成员（主要技术人员）情况（项目负责人除外）</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13</w:t>
            </w:r>
          </w:p>
        </w:tc>
        <w:tc>
          <w:tcPr>
            <w:tcW w:w="4856" w:type="dxa"/>
            <w:tcBorders>
              <w:tl2br w:val="nil"/>
              <w:tr2bl w:val="nil"/>
            </w:tcBorders>
          </w:tcPr>
          <w:p>
            <w:pPr>
              <w:wordWrap w:val="0"/>
              <w:adjustRightInd w:val="0"/>
              <w:snapToGrid w:val="0"/>
              <w:spacing w:line="320" w:lineRule="exact"/>
              <w:jc w:val="left"/>
              <w:rPr>
                <w:rFonts w:ascii="宋体" w:hAnsi="宋体" w:cs="宋体"/>
                <w:b/>
                <w:bCs/>
                <w:szCs w:val="21"/>
              </w:rPr>
            </w:pPr>
            <w:r>
              <w:rPr>
                <w:rFonts w:hint="eastAsia" w:ascii="宋体" w:hAnsi="宋体" w:cs="宋体"/>
                <w:b/>
                <w:bCs/>
                <w:szCs w:val="21"/>
              </w:rPr>
              <w:t>（一）评分内容：</w:t>
            </w:r>
          </w:p>
          <w:p>
            <w:pPr>
              <w:wordWrap w:val="0"/>
              <w:adjustRightInd w:val="0"/>
              <w:snapToGrid w:val="0"/>
              <w:spacing w:line="320" w:lineRule="exact"/>
              <w:jc w:val="left"/>
              <w:rPr>
                <w:rFonts w:hint="eastAsia" w:ascii="Times New Roman" w:hAnsi="Times New Roman" w:cs="Times New Roman"/>
                <w:b w:val="0"/>
                <w:bCs w:val="0"/>
              </w:rPr>
            </w:pPr>
            <w:r>
              <w:rPr>
                <w:rFonts w:hint="eastAsia" w:ascii="Times New Roman" w:hAnsi="Times New Roman" w:cs="Times New Roman"/>
              </w:rPr>
              <w:t>拟安排项目团队成员为投标单位员工（以社保为</w:t>
            </w:r>
            <w:r>
              <w:rPr>
                <w:rFonts w:hint="eastAsia" w:ascii="Times New Roman" w:hAnsi="Times New Roman" w:cs="Times New Roman"/>
                <w:b w:val="0"/>
                <w:bCs w:val="0"/>
              </w:rPr>
              <w:t>准），否则该人员本项不得分。在此基础上：</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1、工程人员（1人）:</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①具有本科（或以上）学历的，得</w:t>
            </w:r>
            <w:r>
              <w:rPr>
                <w:rFonts w:hint="eastAsia" w:ascii="宋体" w:hAnsi="宋体" w:cs="宋体"/>
                <w:b w:val="0"/>
                <w:bCs w:val="0"/>
                <w:szCs w:val="21"/>
                <w:lang w:val="en-US" w:eastAsia="zh-CN"/>
              </w:rPr>
              <w:t>20</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②具有人力资源和社会保障部门或</w:t>
            </w:r>
            <w:r>
              <w:rPr>
                <w:rFonts w:hint="eastAsia" w:ascii="宋体" w:hAnsi="宋体" w:cs="宋体"/>
                <w:b w:val="0"/>
                <w:bCs w:val="0"/>
                <w:szCs w:val="21"/>
                <w:lang w:val="en-US" w:eastAsia="zh-CN"/>
              </w:rPr>
              <w:t>职业技能鉴定机构</w:t>
            </w:r>
            <w:r>
              <w:rPr>
                <w:rFonts w:hint="eastAsia" w:ascii="宋体" w:hAnsi="宋体" w:cs="宋体"/>
                <w:b w:val="0"/>
                <w:bCs w:val="0"/>
                <w:szCs w:val="21"/>
                <w:lang w:eastAsia="zh-CN"/>
              </w:rPr>
              <w:t>机构颁发的四级（或以上）电工职业资格证书或职业技能等级证书的，得</w:t>
            </w:r>
            <w:r>
              <w:rPr>
                <w:rFonts w:hint="eastAsia" w:ascii="宋体" w:hAnsi="宋体" w:cs="宋体"/>
                <w:b w:val="0"/>
                <w:bCs w:val="0"/>
                <w:szCs w:val="21"/>
                <w:lang w:val="en-US" w:eastAsia="zh-CN"/>
              </w:rPr>
              <w:t>20</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2、保洁班长（1人）：</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①具有本科（或以上）学历的，得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②具有人力资源和社会保障部或职业技能鉴定机构颁发的四级（或以上）有害生物防制员职业资格证书或职业技能等级证书的，得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3、绿化员（1人，最高5分）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①具有本科（或以上）学历的，得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②</w:t>
            </w:r>
            <w:r>
              <w:rPr>
                <w:rFonts w:hint="eastAsia" w:ascii="宋体" w:hAnsi="宋体" w:eastAsia="宋体" w:cs="宋体"/>
                <w:b w:val="0"/>
                <w:bCs w:val="0"/>
                <w:kern w:val="2"/>
                <w:sz w:val="21"/>
                <w:szCs w:val="21"/>
                <w:lang w:val="en-US" w:eastAsia="zh-CN" w:bidi="ar-SA"/>
              </w:rPr>
              <w:t>具有人力资源和社会保障部门颁发的中级 （或以上）园林绿化工程师职称证书</w:t>
            </w:r>
            <w:r>
              <w:rPr>
                <w:rFonts w:hint="eastAsia" w:ascii="宋体" w:hAnsi="宋体" w:cs="宋体"/>
                <w:b w:val="0"/>
                <w:bCs w:val="0"/>
                <w:szCs w:val="21"/>
                <w:lang w:eastAsia="zh-CN"/>
              </w:rPr>
              <w:t>，得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以上三项累计得分，最高得</w:t>
            </w:r>
            <w:r>
              <w:rPr>
                <w:rFonts w:hint="eastAsia" w:ascii="宋体" w:hAnsi="宋体" w:cs="宋体"/>
                <w:b w:val="0"/>
                <w:bCs w:val="0"/>
                <w:szCs w:val="21"/>
                <w:lang w:val="en-US" w:eastAsia="zh-CN"/>
              </w:rPr>
              <w:t>100</w:t>
            </w:r>
            <w:r>
              <w:rPr>
                <w:rFonts w:hint="eastAsia" w:ascii="宋体" w:hAnsi="宋体" w:cs="宋体"/>
                <w:b w:val="0"/>
                <w:bCs w:val="0"/>
                <w:szCs w:val="21"/>
                <w:lang w:eastAsia="zh-CN"/>
              </w:rPr>
              <w:t>分，如同一人满足不同得分项时不重复计分。</w:t>
            </w:r>
          </w:p>
          <w:p>
            <w:pPr>
              <w:numPr>
                <w:ilvl w:val="-1"/>
                <w:numId w:val="0"/>
              </w:numPr>
              <w:wordWrap w:val="0"/>
              <w:adjustRightInd w:val="0"/>
              <w:snapToGrid w:val="0"/>
              <w:spacing w:line="320" w:lineRule="exact"/>
              <w:jc w:val="left"/>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评分依据：</w:t>
            </w:r>
          </w:p>
          <w:p>
            <w:pPr>
              <w:wordWrap w:val="0"/>
              <w:adjustRightInd w:val="0"/>
              <w:snapToGrid w:val="0"/>
              <w:spacing w:line="320" w:lineRule="exact"/>
              <w:jc w:val="left"/>
              <w:rPr>
                <w:rFonts w:ascii="宋体" w:hAnsi="宋体" w:cs="宋体"/>
                <w:szCs w:val="21"/>
              </w:rPr>
            </w:pPr>
            <w:r>
              <w:rPr>
                <w:rFonts w:hint="eastAsia" w:ascii="宋体" w:hAnsi="宋体" w:cs="宋体"/>
                <w:szCs w:val="21"/>
              </w:rPr>
              <w:t>1.</w:t>
            </w:r>
            <w:r>
              <w:rPr>
                <w:rFonts w:hint="eastAsia" w:ascii="宋体" w:hAnsi="宋体" w:eastAsia="宋体" w:cs="宋体"/>
                <w:szCs w:val="21"/>
              </w:rPr>
              <w:t>要求提供通过投标人缴纳的近三个月(含开标当月)的任意一个月的社保证明作为本单位员工的证明依据，如供应商成立不足一个月，提供情况说明函(格式自拟)，无需提供相关人员社保，亦可得分</w:t>
            </w:r>
            <w:r>
              <w:rPr>
                <w:rFonts w:hint="eastAsia" w:ascii="宋体" w:hAnsi="宋体" w:cs="宋体"/>
                <w:szCs w:val="21"/>
              </w:rPr>
              <w:t>。</w:t>
            </w:r>
          </w:p>
          <w:p>
            <w:pPr>
              <w:wordWrap w:val="0"/>
              <w:adjustRightInd w:val="0"/>
              <w:snapToGrid w:val="0"/>
              <w:spacing w:line="320" w:lineRule="exact"/>
              <w:jc w:val="left"/>
              <w:rPr>
                <w:rFonts w:hint="eastAsia" w:ascii="宋体" w:hAnsi="宋体" w:cs="宋体"/>
                <w:szCs w:val="21"/>
              </w:rPr>
            </w:pPr>
            <w:r>
              <w:rPr>
                <w:rFonts w:hint="eastAsia" w:ascii="宋体" w:hAnsi="宋体" w:cs="宋体"/>
                <w:szCs w:val="21"/>
              </w:rPr>
              <w:t>2.提供</w:t>
            </w:r>
            <w:r>
              <w:rPr>
                <w:rFonts w:hint="eastAsia" w:ascii="宋体" w:hAnsi="宋体" w:cs="宋体"/>
                <w:szCs w:val="21"/>
                <w:lang w:val="en-US" w:eastAsia="zh-CN"/>
              </w:rPr>
              <w:t>相关</w:t>
            </w:r>
            <w:r>
              <w:rPr>
                <w:rFonts w:hint="eastAsia" w:ascii="宋体" w:hAnsi="宋体" w:cs="宋体"/>
                <w:szCs w:val="21"/>
              </w:rPr>
              <w:t>证书扫描件，若人员证书为协会等社会组织颁发的，则还需要提供该协会</w:t>
            </w:r>
            <w:r>
              <w:rPr>
                <w:rFonts w:hint="eastAsia" w:ascii="宋体" w:hAnsi="宋体" w:cs="宋体"/>
                <w:szCs w:val="21"/>
                <w:lang w:val="en-US" w:eastAsia="zh-CN"/>
              </w:rPr>
              <w:t>或组织</w:t>
            </w:r>
            <w:r>
              <w:rPr>
                <w:rFonts w:hint="eastAsia" w:ascii="宋体" w:hAnsi="宋体" w:cs="宋体"/>
                <w:szCs w:val="21"/>
              </w:rPr>
              <w:t>在全国社会组织信用信息公示平台（网址https://xxgs.chinanpo.mca.gov.cn)的查询“正常”页面截图。涉及“职称证书”需要提供全国人力资源和社会保障政务服务平台（https://www.12333.gov.cn/portal/service_catalog）证书查询记录的相关截图或发证单位（机构）官网的证书信息查询截图。</w:t>
            </w:r>
          </w:p>
          <w:p>
            <w:pPr>
              <w:wordWrap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4.评分中出现无证明资料或者专家无法凭所提供资料判断是否得分的情况，一律做不得分处理。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投标人有效业绩</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tcPr>
          <w:p>
            <w:pPr>
              <w:adjustRightInd w:val="0"/>
              <w:snapToGrid w:val="0"/>
              <w:spacing w:line="320" w:lineRule="exact"/>
              <w:rPr>
                <w:rFonts w:ascii="宋体" w:hAnsi="宋体" w:cs="宋体"/>
                <w:szCs w:val="21"/>
                <w:highlight w:val="none"/>
              </w:rPr>
            </w:pPr>
            <w:r>
              <w:rPr>
                <w:rFonts w:hint="eastAsia" w:ascii="宋体" w:hAnsi="宋体" w:cs="宋体"/>
                <w:b/>
                <w:bCs/>
                <w:szCs w:val="21"/>
                <w:highlight w:val="none"/>
              </w:rPr>
              <w:t>（一）评分内容：</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投标人自202</w:t>
            </w:r>
            <w:r>
              <w:rPr>
                <w:rFonts w:hint="eastAsia" w:ascii="宋体" w:hAnsi="宋体" w:cs="宋体"/>
                <w:szCs w:val="21"/>
                <w:highlight w:val="none"/>
                <w:lang w:val="en-US" w:eastAsia="zh-CN"/>
              </w:rPr>
              <w:t>2</w:t>
            </w:r>
            <w:r>
              <w:rPr>
                <w:rFonts w:hint="eastAsia" w:ascii="宋体" w:hAnsi="宋体" w:cs="宋体"/>
                <w:szCs w:val="21"/>
                <w:highlight w:val="none"/>
              </w:rPr>
              <w:t>年1月1日至本项目投标截止</w:t>
            </w:r>
            <w:r>
              <w:rPr>
                <w:rFonts w:hint="eastAsia" w:ascii="宋体" w:hAnsi="宋体" w:cs="宋体"/>
                <w:szCs w:val="21"/>
                <w:highlight w:val="none"/>
                <w:lang w:val="en-US" w:eastAsia="zh-CN"/>
              </w:rPr>
              <w:t>日</w:t>
            </w:r>
            <w:r>
              <w:rPr>
                <w:rFonts w:hint="eastAsia" w:ascii="宋体" w:hAnsi="宋体" w:cs="宋体"/>
                <w:szCs w:val="21"/>
                <w:highlight w:val="none"/>
              </w:rPr>
              <w:t>（以合同签订日期为准）：具有政府行政机关或事业单位或学校的物业管理项目业绩</w:t>
            </w:r>
            <w:r>
              <w:rPr>
                <w:rFonts w:hint="eastAsia" w:ascii="宋体" w:hAnsi="宋体" w:cs="宋体"/>
                <w:szCs w:val="21"/>
                <w:highlight w:val="none"/>
                <w:lang w:eastAsia="zh-CN"/>
              </w:rPr>
              <w:t>，</w:t>
            </w:r>
            <w:r>
              <w:rPr>
                <w:rFonts w:hint="eastAsia" w:ascii="宋体" w:hAnsi="宋体" w:cs="宋体"/>
                <w:szCs w:val="21"/>
                <w:highlight w:val="none"/>
              </w:rPr>
              <w:t>每提供一个项目业绩得</w:t>
            </w:r>
            <w:r>
              <w:rPr>
                <w:rFonts w:hint="eastAsia" w:ascii="宋体" w:hAnsi="宋体" w:cs="宋体"/>
                <w:szCs w:val="21"/>
                <w:highlight w:val="none"/>
                <w:lang w:val="en-US" w:eastAsia="zh-CN"/>
              </w:rPr>
              <w:t>35</w:t>
            </w:r>
            <w:r>
              <w:rPr>
                <w:rFonts w:hint="eastAsia" w:ascii="宋体" w:hAnsi="宋体" w:cs="宋体"/>
                <w:szCs w:val="21"/>
                <w:highlight w:val="none"/>
              </w:rPr>
              <w:t>分，最高得100分。</w:t>
            </w:r>
          </w:p>
          <w:p>
            <w:pPr>
              <w:adjustRightInd w:val="0"/>
              <w:snapToGrid w:val="0"/>
              <w:spacing w:line="320" w:lineRule="exact"/>
              <w:rPr>
                <w:rFonts w:ascii="宋体" w:hAnsi="宋体" w:cs="宋体"/>
                <w:szCs w:val="21"/>
                <w:highlight w:val="none"/>
              </w:rPr>
            </w:pPr>
            <w:r>
              <w:rPr>
                <w:rFonts w:hint="eastAsia" w:ascii="宋体" w:hAnsi="宋体" w:cs="宋体"/>
                <w:b/>
                <w:bCs/>
                <w:szCs w:val="21"/>
                <w:highlight w:val="none"/>
              </w:rPr>
              <w:t>（二）评分依据：</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1.提供合同关键页（包括但不限于合同的项目名称、服务内容、签订日期、合同双方签字盖章页）；通过合同关键信息无法判断是否得分的，还须同时提供能证明得分的其它证明资料，通过合同关键信息无法判断是否得分的，还须同时提供投标人承诺”。</w:t>
            </w:r>
            <w:r>
              <w:rPr>
                <w:rFonts w:hint="eastAsia" w:ascii="宋体" w:hAnsi="宋体" w:cs="宋体"/>
                <w:szCs w:val="21"/>
              </w:rPr>
              <w:t>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pPr>
              <w:jc w:val="center"/>
              <w:rPr>
                <w:rFonts w:ascii="宋体" w:hAnsi="宋体" w:cs="宋体"/>
                <w:szCs w:val="21"/>
                <w:highlight w:val="none"/>
              </w:rPr>
            </w:pPr>
            <w:r>
              <w:rPr>
                <w:rFonts w:hint="eastAsia" w:ascii="宋体" w:hAnsi="宋体"/>
                <w:szCs w:val="21"/>
                <w:highlight w:val="none"/>
              </w:rPr>
              <w:t>履约评价</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4856" w:type="dxa"/>
            <w:tcBorders>
              <w:tl2br w:val="nil"/>
              <w:tr2bl w:val="nil"/>
            </w:tcBorders>
          </w:tcPr>
          <w:p>
            <w:pPr>
              <w:pStyle w:val="19"/>
              <w:numPr>
                <w:ilvl w:val="0"/>
                <w:numId w:val="0"/>
              </w:numPr>
              <w:snapToGrid w:val="0"/>
              <w:spacing w:line="320" w:lineRule="exact"/>
              <w:rPr>
                <w:rFonts w:hAnsi="宋体" w:cs="宋体"/>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pPr>
              <w:pStyle w:val="19"/>
              <w:snapToGrid w:val="0"/>
              <w:spacing w:line="320" w:lineRule="exact"/>
              <w:rPr>
                <w:rFonts w:hAnsi="宋体" w:cs="宋体"/>
                <w:sz w:val="21"/>
                <w:szCs w:val="21"/>
                <w:highlight w:val="none"/>
              </w:rPr>
            </w:pPr>
            <w:r>
              <w:rPr>
                <w:rFonts w:hint="eastAsia" w:hAnsi="宋体" w:cs="宋体"/>
                <w:sz w:val="21"/>
                <w:szCs w:val="21"/>
                <w:highlight w:val="none"/>
              </w:rPr>
              <w:t>投标人在上述“投标人有效业绩”评审项中参加评审并被认定有效的业绩（且获得评分），能够提供用户出具的履约评价书，且评价为优或者满意或良好或良或合格</w:t>
            </w:r>
            <w:r>
              <w:rPr>
                <w:rFonts w:hint="eastAsia" w:hAnsi="宋体" w:cs="宋体"/>
                <w:sz w:val="21"/>
                <w:szCs w:val="21"/>
                <w:highlight w:val="none"/>
                <w:lang w:eastAsia="zh-CN"/>
              </w:rPr>
              <w:t>或评价表中其他最高等级评价</w:t>
            </w:r>
            <w:r>
              <w:rPr>
                <w:rFonts w:hint="eastAsia" w:hAnsi="宋体" w:cs="宋体"/>
                <w:sz w:val="21"/>
                <w:szCs w:val="21"/>
                <w:highlight w:val="none"/>
              </w:rPr>
              <w:t>的，每份评价书得</w:t>
            </w:r>
            <w:r>
              <w:rPr>
                <w:rFonts w:hint="eastAsia" w:hAnsi="宋体" w:cs="宋体"/>
                <w:sz w:val="21"/>
                <w:szCs w:val="21"/>
                <w:highlight w:val="none"/>
                <w:lang w:val="en-US" w:eastAsia="zh-CN"/>
              </w:rPr>
              <w:t>35</w:t>
            </w:r>
            <w:r>
              <w:rPr>
                <w:rFonts w:hint="eastAsia" w:hAnsi="宋体" w:cs="宋体"/>
                <w:sz w:val="21"/>
                <w:szCs w:val="21"/>
                <w:highlight w:val="none"/>
              </w:rPr>
              <w:t>分，最高得</w:t>
            </w:r>
            <w:r>
              <w:rPr>
                <w:rFonts w:hAnsi="宋体" w:cs="宋体"/>
                <w:sz w:val="21"/>
                <w:szCs w:val="21"/>
                <w:highlight w:val="none"/>
              </w:rPr>
              <w:t>100</w:t>
            </w:r>
            <w:r>
              <w:rPr>
                <w:rFonts w:hint="eastAsia" w:hAnsi="宋体" w:cs="宋体"/>
                <w:sz w:val="21"/>
                <w:szCs w:val="21"/>
                <w:highlight w:val="none"/>
              </w:rPr>
              <w:t>分。</w:t>
            </w:r>
          </w:p>
          <w:p>
            <w:pPr>
              <w:pStyle w:val="19"/>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pPr>
              <w:pStyle w:val="9"/>
              <w:wordWrap w:val="0"/>
              <w:adjustRightInd w:val="0"/>
              <w:snapToGrid w:val="0"/>
              <w:spacing w:line="320" w:lineRule="exact"/>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rPr>
              <w:t>须提供用户出具的履约评价书扫描件（评价书需有甲方公章或业务章）</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rPr>
              <w:t>证明文件的内容包括但不仅限于总体履约评价结果、出具证明的签署日期等相关内容,如提交的证明文件其评价结果没有结论而仅是打分的（比如打100分、98分、95分、85分等的）不计分</w:t>
            </w:r>
            <w:r>
              <w:rPr>
                <w:rFonts w:hint="eastAsia" w:ascii="宋体" w:hAnsi="宋体" w:cs="宋体"/>
                <w:b w:val="0"/>
                <w:bCs w:val="0"/>
                <w:sz w:val="21"/>
                <w:szCs w:val="21"/>
                <w:highlight w:val="none"/>
                <w:lang w:eastAsia="zh-CN"/>
              </w:rPr>
              <w:t>；</w:t>
            </w:r>
          </w:p>
          <w:p>
            <w:pPr>
              <w:pStyle w:val="9"/>
              <w:wordWrap w:val="0"/>
              <w:adjustRightInd w:val="0"/>
              <w:snapToGrid w:val="0"/>
              <w:spacing w:line="320" w:lineRule="exact"/>
              <w:rPr>
                <w:rFonts w:ascii="宋体" w:hAnsi="宋体" w:cs="宋体"/>
                <w:sz w:val="21"/>
                <w:szCs w:val="21"/>
                <w:highlight w:val="none"/>
              </w:rPr>
            </w:pPr>
            <w:r>
              <w:rPr>
                <w:rFonts w:hint="eastAsia" w:ascii="宋体" w:hAnsi="宋体" w:cs="宋体"/>
                <w:b w:val="0"/>
                <w:bCs w:val="0"/>
                <w:sz w:val="21"/>
                <w:szCs w:val="21"/>
                <w:highlight w:val="none"/>
                <w:lang w:val="en-US" w:eastAsia="zh-CN"/>
              </w:rPr>
              <w:t>注：总体履约评价为项目合同履约结束之后的履约评价</w:t>
            </w:r>
            <w:r>
              <w:rPr>
                <w:rFonts w:hint="eastAsia" w:ascii="宋体" w:hAnsi="宋体" w:cs="宋体"/>
                <w:b w:val="0"/>
                <w:bCs w:val="0"/>
                <w:sz w:val="21"/>
                <w:szCs w:val="21"/>
                <w:highlight w:val="none"/>
              </w:rPr>
              <w:t>。评分中出现无证明资料或者专家无法凭所提供资料判断是否得分的情况，一律做不得分处理。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2264" w:type="dxa"/>
            <w:tcBorders>
              <w:tl2br w:val="nil"/>
              <w:tr2bl w:val="nil"/>
            </w:tcBorders>
            <w:vAlign w:val="center"/>
          </w:tcPr>
          <w:p>
            <w:pPr>
              <w:jc w:val="center"/>
              <w:rPr>
                <w:rFonts w:hint="eastAsia" w:ascii="宋体" w:hAnsi="宋体"/>
                <w:szCs w:val="21"/>
                <w:highlight w:val="none"/>
              </w:rPr>
            </w:pPr>
            <w:r>
              <w:rPr>
                <w:rFonts w:hint="eastAsia" w:ascii="宋体" w:hAnsi="宋体"/>
                <w:szCs w:val="21"/>
                <w:lang w:val="en-US" w:eastAsia="zh-CN"/>
              </w:rPr>
              <w:t>认证</w:t>
            </w:r>
            <w:r>
              <w:rPr>
                <w:rFonts w:hint="eastAsia" w:ascii="宋体" w:hAnsi="宋体"/>
                <w:szCs w:val="21"/>
              </w:rPr>
              <w:t>情况</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tcPr>
          <w:p>
            <w:pPr>
              <w:pStyle w:val="19"/>
              <w:numPr>
                <w:ilvl w:val="0"/>
                <w:numId w:val="0"/>
              </w:numPr>
              <w:snapToGrid w:val="0"/>
              <w:spacing w:line="320" w:lineRule="exact"/>
              <w:rPr>
                <w:rFonts w:hAnsi="宋体" w:cs="宋体"/>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投标人具有以下有效的认证证书：</w:t>
            </w:r>
          </w:p>
          <w:p>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（1）能源管理体系认证、</w:t>
            </w:r>
          </w:p>
          <w:p>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（2）质量管理体系认证、</w:t>
            </w:r>
          </w:p>
          <w:p>
            <w:pPr>
              <w:pStyle w:val="19"/>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（3）职业健康安全管理体系认证</w:t>
            </w:r>
            <w:r>
              <w:rPr>
                <w:rFonts w:hint="eastAsia" w:hAnsi="宋体" w:cs="宋体"/>
                <w:sz w:val="21"/>
                <w:szCs w:val="21"/>
                <w:highlight w:val="none"/>
                <w:lang w:eastAsia="zh-CN"/>
              </w:rPr>
              <w:t>、</w:t>
            </w:r>
          </w:p>
          <w:p>
            <w:pPr>
              <w:pStyle w:val="19"/>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（4）环境管理体系认证四项体系认证的</w:t>
            </w:r>
            <w:r>
              <w:rPr>
                <w:rFonts w:hint="eastAsia" w:hAnsi="宋体" w:cs="宋体"/>
                <w:sz w:val="21"/>
                <w:szCs w:val="21"/>
                <w:highlight w:val="none"/>
                <w:lang w:eastAsia="zh-CN"/>
              </w:rPr>
              <w:t>。</w:t>
            </w:r>
          </w:p>
          <w:p>
            <w:pPr>
              <w:pStyle w:val="19"/>
              <w:snapToGrid w:val="0"/>
              <w:spacing w:line="320" w:lineRule="exact"/>
              <w:rPr>
                <w:rFonts w:hint="default" w:hAnsi="宋体" w:eastAsia="宋体" w:cs="宋体"/>
                <w:sz w:val="21"/>
                <w:szCs w:val="21"/>
                <w:highlight w:val="none"/>
                <w:lang w:val="en-US" w:eastAsia="zh-CN"/>
              </w:rPr>
            </w:pPr>
            <w:r>
              <w:rPr>
                <w:rFonts w:hint="eastAsia" w:hAnsi="宋体" w:cs="宋体"/>
                <w:sz w:val="21"/>
                <w:szCs w:val="21"/>
                <w:highlight w:val="none"/>
              </w:rPr>
              <w:t>每提供一个有效的证书得</w:t>
            </w:r>
            <w:r>
              <w:rPr>
                <w:rFonts w:hint="eastAsia" w:hAnsi="宋体" w:cs="宋体"/>
                <w:sz w:val="21"/>
                <w:szCs w:val="21"/>
                <w:highlight w:val="none"/>
                <w:lang w:val="en-US" w:eastAsia="zh-CN"/>
              </w:rPr>
              <w:t>25</w:t>
            </w:r>
            <w:r>
              <w:rPr>
                <w:rFonts w:hint="eastAsia" w:hAnsi="宋体" w:cs="宋体"/>
                <w:sz w:val="21"/>
                <w:szCs w:val="21"/>
                <w:highlight w:val="none"/>
              </w:rPr>
              <w:t>分，</w:t>
            </w:r>
            <w:r>
              <w:rPr>
                <w:rFonts w:hint="eastAsia" w:hAnsi="宋体" w:cs="宋体"/>
                <w:sz w:val="21"/>
                <w:szCs w:val="21"/>
                <w:highlight w:val="none"/>
                <w:lang w:val="en-US" w:eastAsia="zh-CN"/>
              </w:rPr>
              <w:t>累计最高得100分。</w:t>
            </w:r>
          </w:p>
          <w:p>
            <w:pPr>
              <w:pStyle w:val="19"/>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pPr>
              <w:pStyle w:val="9"/>
              <w:wordWrap w:val="0"/>
              <w:adjustRightInd w:val="0"/>
              <w:snapToGrid w:val="0"/>
              <w:spacing w:line="320" w:lineRule="exact"/>
              <w:rPr>
                <w:rFonts w:ascii="宋体" w:hAnsi="宋体" w:cs="宋体"/>
                <w:b w:val="0"/>
                <w:bCs w:val="0"/>
                <w:sz w:val="21"/>
                <w:szCs w:val="21"/>
              </w:rPr>
            </w:pPr>
            <w:r>
              <w:rPr>
                <w:rFonts w:hint="eastAsia" w:ascii="宋体" w:hAnsi="宋体" w:cs="宋体"/>
                <w:b w:val="0"/>
                <w:bCs w:val="0"/>
                <w:sz w:val="21"/>
                <w:szCs w:val="21"/>
              </w:rPr>
              <w:t>1.提供认证证书</w:t>
            </w:r>
            <w:r>
              <w:rPr>
                <w:rFonts w:hint="eastAsia" w:cs="宋体"/>
                <w:b w:val="0"/>
                <w:bCs w:val="0"/>
                <w:sz w:val="21"/>
                <w:szCs w:val="21"/>
                <w:lang w:val="en-US" w:eastAsia="zh-CN"/>
              </w:rPr>
              <w:t>扫描件</w:t>
            </w:r>
            <w:r>
              <w:rPr>
                <w:rFonts w:hint="eastAsia" w:ascii="宋体" w:hAnsi="宋体" w:cs="宋体"/>
                <w:b w:val="0"/>
                <w:bCs w:val="0"/>
                <w:sz w:val="21"/>
                <w:szCs w:val="21"/>
              </w:rPr>
              <w:t>；同时提供在全国认证认可信息公共服务平台（认e云）（http://cx.cnca.cn）查询截图且显示有效及证书编号一致；</w:t>
            </w:r>
          </w:p>
          <w:p>
            <w:pPr>
              <w:pStyle w:val="9"/>
              <w:wordWrap w:val="0"/>
              <w:adjustRightInd w:val="0"/>
              <w:snapToGrid w:val="0"/>
              <w:spacing w:line="320" w:lineRule="exact"/>
              <w:rPr>
                <w:rFonts w:hint="eastAsia" w:ascii="宋体" w:hAnsi="宋体" w:cs="宋体"/>
                <w:b w:val="0"/>
                <w:bCs w:val="0"/>
                <w:sz w:val="21"/>
                <w:szCs w:val="21"/>
                <w:highlight w:val="none"/>
                <w:lang w:val="en-US" w:eastAsia="zh-CN"/>
              </w:rPr>
            </w:pPr>
            <w:r>
              <w:rPr>
                <w:rFonts w:hint="eastAsia" w:ascii="宋体" w:hAnsi="宋体" w:cs="宋体"/>
                <w:b w:val="0"/>
                <w:bCs w:val="0"/>
                <w:sz w:val="21"/>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pPr>
              <w:jc w:val="center"/>
              <w:rPr>
                <w:rFonts w:hint="eastAsia" w:ascii="宋体" w:hAnsi="宋体"/>
                <w:szCs w:val="21"/>
                <w:lang w:val="en-US" w:eastAsia="zh-CN"/>
              </w:rPr>
            </w:pPr>
            <w:r>
              <w:rPr>
                <w:rFonts w:hint="eastAsia" w:ascii="宋体" w:hAnsi="宋体" w:cs="宋体"/>
                <w:szCs w:val="21"/>
              </w:rPr>
              <w:t>自主知识产权产品（创新、设计）情况</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9</w:t>
            </w:r>
          </w:p>
        </w:tc>
        <w:tc>
          <w:tcPr>
            <w:tcW w:w="4856" w:type="dxa"/>
            <w:tcBorders>
              <w:tl2br w:val="nil"/>
              <w:tr2bl w:val="nil"/>
            </w:tcBorders>
          </w:tcPr>
          <w:p>
            <w:pPr>
              <w:pStyle w:val="9"/>
              <w:wordWrap w:val="0"/>
              <w:adjustRightInd w:val="0"/>
              <w:snapToGrid w:val="0"/>
              <w:spacing w:line="320" w:lineRule="exact"/>
              <w:rPr>
                <w:rFonts w:hint="eastAsia" w:ascii="宋体" w:hAnsi="宋体" w:cs="宋体"/>
                <w:b/>
                <w:bCs/>
                <w:sz w:val="21"/>
                <w:szCs w:val="21"/>
              </w:rPr>
            </w:pPr>
            <w:r>
              <w:rPr>
                <w:rFonts w:hint="eastAsia" w:ascii="宋体" w:hAnsi="宋体" w:cs="宋体"/>
                <w:b/>
                <w:bCs/>
                <w:sz w:val="21"/>
                <w:szCs w:val="21"/>
              </w:rPr>
              <w:t>（一）评分内容：</w:t>
            </w:r>
          </w:p>
          <w:p>
            <w:pPr>
              <w:pStyle w:val="9"/>
              <w:wordWrap w:val="0"/>
              <w:adjustRightInd w:val="0"/>
              <w:snapToGrid w:val="0"/>
              <w:spacing w:line="320" w:lineRule="exact"/>
              <w:rPr>
                <w:rFonts w:hint="eastAsia" w:ascii="宋体" w:hAnsi="宋体" w:eastAsia="宋体" w:cs="宋体"/>
                <w:b w:val="0"/>
                <w:bCs w:val="0"/>
                <w:sz w:val="21"/>
                <w:szCs w:val="21"/>
                <w:lang w:eastAsia="zh-CN"/>
              </w:rPr>
            </w:pPr>
            <w:r>
              <w:rPr>
                <w:rFonts w:hint="eastAsia" w:ascii="宋体" w:hAnsi="宋体" w:cs="宋体"/>
                <w:b w:val="0"/>
                <w:bCs w:val="0"/>
                <w:sz w:val="21"/>
                <w:szCs w:val="21"/>
              </w:rPr>
              <w:t>投标人拥有物业管理相关计算机软件著作权登记证书</w:t>
            </w:r>
            <w:r>
              <w:rPr>
                <w:rFonts w:hint="eastAsia" w:ascii="宋体" w:hAnsi="宋体" w:cs="宋体"/>
                <w:b w:val="0"/>
                <w:bCs w:val="0"/>
                <w:sz w:val="21"/>
                <w:szCs w:val="21"/>
                <w:lang w:eastAsia="zh-CN"/>
              </w:rPr>
              <w:t>：</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1</w:t>
            </w:r>
            <w:r>
              <w:rPr>
                <w:rFonts w:hint="eastAsia" w:ascii="宋体" w:hAnsi="宋体" w:cs="宋体"/>
                <w:b w:val="0"/>
                <w:bCs w:val="0"/>
                <w:sz w:val="21"/>
                <w:szCs w:val="21"/>
                <w:lang w:eastAsia="zh-CN"/>
              </w:rPr>
              <w:t>、</w:t>
            </w:r>
            <w:r>
              <w:rPr>
                <w:rFonts w:hint="eastAsia" w:ascii="宋体" w:hAnsi="宋体" w:cs="宋体"/>
                <w:b w:val="0"/>
                <w:bCs w:val="0"/>
                <w:sz w:val="21"/>
                <w:szCs w:val="21"/>
              </w:rPr>
              <w:t>人力资源管理系统；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2</w:t>
            </w:r>
            <w:r>
              <w:rPr>
                <w:rFonts w:hint="eastAsia" w:ascii="宋体" w:hAnsi="宋体" w:cs="宋体"/>
                <w:b w:val="0"/>
                <w:bCs w:val="0"/>
                <w:sz w:val="21"/>
                <w:szCs w:val="21"/>
                <w:lang w:eastAsia="zh-CN"/>
              </w:rPr>
              <w:t>、</w:t>
            </w:r>
            <w:r>
              <w:rPr>
                <w:rFonts w:hint="eastAsia" w:ascii="宋体" w:hAnsi="宋体" w:cs="宋体"/>
                <w:b w:val="0"/>
                <w:bCs w:val="0"/>
                <w:sz w:val="21"/>
                <w:szCs w:val="21"/>
              </w:rPr>
              <w:t>智能化人员轨迹定位追踪系统；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3</w:t>
            </w:r>
            <w:r>
              <w:rPr>
                <w:rFonts w:hint="eastAsia" w:ascii="宋体" w:hAnsi="宋体" w:cs="宋体"/>
                <w:b w:val="0"/>
                <w:bCs w:val="0"/>
                <w:sz w:val="21"/>
                <w:szCs w:val="21"/>
                <w:lang w:eastAsia="zh-CN"/>
              </w:rPr>
              <w:t>、</w:t>
            </w:r>
            <w:r>
              <w:rPr>
                <w:rFonts w:hint="eastAsia" w:ascii="宋体" w:hAnsi="宋体" w:cs="宋体"/>
                <w:b w:val="0"/>
                <w:bCs w:val="0"/>
                <w:sz w:val="21"/>
                <w:szCs w:val="21"/>
              </w:rPr>
              <w:t>智慧园区管理系统；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4</w:t>
            </w:r>
            <w:r>
              <w:rPr>
                <w:rFonts w:hint="eastAsia" w:ascii="宋体" w:hAnsi="宋体" w:cs="宋体"/>
                <w:b w:val="0"/>
                <w:bCs w:val="0"/>
                <w:sz w:val="21"/>
                <w:szCs w:val="21"/>
                <w:lang w:eastAsia="zh-CN"/>
              </w:rPr>
              <w:t>、</w:t>
            </w:r>
            <w:r>
              <w:rPr>
                <w:rFonts w:hint="eastAsia" w:ascii="宋体" w:hAnsi="宋体" w:cs="宋体"/>
                <w:b w:val="0"/>
                <w:bCs w:val="0"/>
                <w:sz w:val="21"/>
                <w:szCs w:val="21"/>
              </w:rPr>
              <w:t>智慧楼宇消防应急与联动控制系统；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5</w:t>
            </w:r>
            <w:r>
              <w:rPr>
                <w:rFonts w:hint="eastAsia" w:ascii="宋体" w:hAnsi="宋体" w:cs="宋体"/>
                <w:b w:val="0"/>
                <w:bCs w:val="0"/>
                <w:sz w:val="21"/>
                <w:szCs w:val="21"/>
                <w:lang w:eastAsia="zh-CN"/>
              </w:rPr>
              <w:t>、</w:t>
            </w:r>
            <w:r>
              <w:rPr>
                <w:rFonts w:hint="eastAsia" w:ascii="宋体" w:hAnsi="宋体" w:cs="宋体"/>
                <w:b w:val="0"/>
                <w:bCs w:val="0"/>
                <w:sz w:val="21"/>
                <w:szCs w:val="21"/>
              </w:rPr>
              <w:t>智能楼宇安防监控一体化软件；</w:t>
            </w:r>
          </w:p>
          <w:p>
            <w:pPr>
              <w:pStyle w:val="9"/>
              <w:wordWrap w:val="0"/>
              <w:adjustRightInd w:val="0"/>
              <w:snapToGrid w:val="0"/>
              <w:spacing w:line="320" w:lineRule="exact"/>
              <w:rPr>
                <w:rFonts w:hint="eastAsia" w:ascii="宋体" w:hAnsi="宋体" w:eastAsia="宋体" w:cs="宋体"/>
                <w:b w:val="0"/>
                <w:bCs w:val="0"/>
                <w:sz w:val="21"/>
                <w:szCs w:val="21"/>
                <w:lang w:val="en-US" w:eastAsia="zh-CN"/>
              </w:rPr>
            </w:pPr>
            <w:r>
              <w:rPr>
                <w:rFonts w:hint="eastAsia" w:ascii="宋体" w:hAnsi="宋体" w:cs="宋体"/>
                <w:b w:val="0"/>
                <w:bCs w:val="0"/>
                <w:sz w:val="21"/>
                <w:szCs w:val="21"/>
              </w:rPr>
              <w:t>6</w:t>
            </w:r>
            <w:r>
              <w:rPr>
                <w:rFonts w:hint="eastAsia" w:ascii="宋体" w:hAnsi="宋体" w:cs="宋体"/>
                <w:b w:val="0"/>
                <w:bCs w:val="0"/>
                <w:sz w:val="21"/>
                <w:szCs w:val="21"/>
                <w:lang w:eastAsia="zh-CN"/>
              </w:rPr>
              <w:t>、</w:t>
            </w:r>
            <w:r>
              <w:rPr>
                <w:rFonts w:hint="eastAsia" w:ascii="宋体" w:hAnsi="宋体" w:cs="宋体"/>
                <w:b w:val="0"/>
                <w:bCs w:val="0"/>
                <w:sz w:val="21"/>
                <w:szCs w:val="21"/>
              </w:rPr>
              <w:t>全流程智能保洁管理系统</w:t>
            </w:r>
            <w:r>
              <w:rPr>
                <w:rFonts w:hint="eastAsia" w:ascii="宋体" w:hAnsi="宋体" w:cs="宋体"/>
                <w:b w:val="0"/>
                <w:bCs w:val="0"/>
                <w:sz w:val="21"/>
                <w:szCs w:val="21"/>
                <w:lang w:eastAsia="zh-CN"/>
              </w:rPr>
              <w:t>。</w:t>
            </w:r>
          </w:p>
          <w:p>
            <w:pPr>
              <w:pStyle w:val="9"/>
              <w:wordWrap w:val="0"/>
              <w:adjustRightInd w:val="0"/>
              <w:snapToGrid w:val="0"/>
              <w:spacing w:line="320" w:lineRule="exact"/>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提供以上全部六项证书得</w:t>
            </w:r>
            <w:r>
              <w:rPr>
                <w:rFonts w:hint="eastAsia" w:ascii="宋体" w:hAnsi="宋体" w:cs="宋体"/>
                <w:b w:val="0"/>
                <w:bCs w:val="0"/>
                <w:sz w:val="21"/>
                <w:szCs w:val="21"/>
                <w:lang w:val="en-US" w:eastAsia="zh-CN"/>
              </w:rPr>
              <w:t>100</w:t>
            </w:r>
            <w:r>
              <w:rPr>
                <w:rFonts w:hint="default" w:ascii="宋体" w:hAnsi="宋体" w:eastAsia="宋体" w:cs="宋体"/>
                <w:b w:val="0"/>
                <w:bCs w:val="0"/>
                <w:sz w:val="21"/>
                <w:szCs w:val="21"/>
                <w:lang w:val="en-US" w:eastAsia="zh-CN"/>
              </w:rPr>
              <w:t>分，提供以上四项及以上证书的得</w:t>
            </w:r>
            <w:r>
              <w:rPr>
                <w:rFonts w:hint="eastAsia" w:ascii="宋体" w:hAnsi="宋体" w:cs="宋体"/>
                <w:b w:val="0"/>
                <w:bCs w:val="0"/>
                <w:sz w:val="21"/>
                <w:szCs w:val="21"/>
                <w:lang w:val="en-US" w:eastAsia="zh-CN"/>
              </w:rPr>
              <w:t>60</w:t>
            </w:r>
            <w:r>
              <w:rPr>
                <w:rFonts w:hint="default" w:ascii="宋体" w:hAnsi="宋体" w:eastAsia="宋体" w:cs="宋体"/>
                <w:b w:val="0"/>
                <w:bCs w:val="0"/>
                <w:sz w:val="21"/>
                <w:szCs w:val="21"/>
                <w:lang w:val="en-US" w:eastAsia="zh-CN"/>
              </w:rPr>
              <w:t>分，其他不得分（同一个软件系统包含以上多种功能的只计算1个有效得分）。本项累计最高得</w:t>
            </w:r>
            <w:r>
              <w:rPr>
                <w:rFonts w:hint="eastAsia" w:ascii="宋体" w:hAnsi="宋体" w:cs="宋体"/>
                <w:b w:val="0"/>
                <w:bCs w:val="0"/>
                <w:sz w:val="21"/>
                <w:szCs w:val="21"/>
                <w:lang w:val="en-US" w:eastAsia="zh-CN"/>
              </w:rPr>
              <w:t>100</w:t>
            </w:r>
            <w:r>
              <w:rPr>
                <w:rFonts w:hint="default" w:ascii="宋体" w:hAnsi="宋体" w:eastAsia="宋体" w:cs="宋体"/>
                <w:b w:val="0"/>
                <w:bCs w:val="0"/>
                <w:sz w:val="21"/>
                <w:szCs w:val="21"/>
                <w:lang w:val="en-US" w:eastAsia="zh-CN"/>
              </w:rPr>
              <w:t>分。</w:t>
            </w:r>
          </w:p>
          <w:p>
            <w:pPr>
              <w:pStyle w:val="9"/>
              <w:wordWrap w:val="0"/>
              <w:adjustRightInd w:val="0"/>
              <w:snapToGrid w:val="0"/>
              <w:spacing w:line="320" w:lineRule="exact"/>
              <w:rPr>
                <w:rFonts w:hint="eastAsia" w:ascii="宋体" w:hAnsi="宋体" w:cs="宋体"/>
                <w:b/>
                <w:bCs/>
                <w:sz w:val="21"/>
                <w:szCs w:val="21"/>
              </w:rPr>
            </w:pPr>
            <w:r>
              <w:rPr>
                <w:rFonts w:hint="eastAsia" w:ascii="宋体" w:hAnsi="宋体" w:cs="宋体"/>
                <w:b/>
                <w:bCs/>
                <w:sz w:val="21"/>
                <w:szCs w:val="21"/>
              </w:rPr>
              <w:t>（二）评分依据：</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1.软著证书需同时提供有效计算机软件著作权登记证书扫描件和中国版权保护中心官方网站（网址：http://www.ccopyright.com.cn/）查询截图，著作权人需为投标人，取得方式为原始取得，否则不得分；</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2.如为租赁，需提供购买或租赁的提供计算机软件著作权登记证书（著作权人须为出售/出租方）和购买合同（或租赁合同）；</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3.如未按要求提供证明材料，或所提供的证明材料未能体现上述评分内容的，视为该证明材料无效。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ordWrap w:val="0"/>
              <w:adjustRightInd w:val="0"/>
              <w:snapToGrid w:val="0"/>
              <w:spacing w:line="320" w:lineRule="exact"/>
              <w:rPr>
                <w:rFonts w:ascii="宋体" w:hAnsi="宋体" w:eastAsia="宋体" w:cs="宋体"/>
                <w:szCs w:val="21"/>
                <w:highlight w:val="none"/>
              </w:rPr>
            </w:pPr>
          </w:p>
          <w:p>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bl>
    <w:p>
      <w:pPr>
        <w:rPr>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jc w:val="center"/>
        <w:rPr>
          <w:rFonts w:hint="eastAsia"/>
          <w:b/>
          <w:sz w:val="120"/>
          <w:szCs w:val="120"/>
          <w:highlight w:val="none"/>
        </w:rPr>
      </w:pPr>
    </w:p>
    <w:p>
      <w:pPr>
        <w:jc w:val="center"/>
        <w:rPr>
          <w:rFonts w:hint="eastAsia"/>
          <w:b/>
          <w:sz w:val="120"/>
          <w:szCs w:val="120"/>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（服务类）</w:t>
      </w: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bookmarkStart w:id="0" w:name="_Hlk71465316"/>
      <w:r>
        <w:rPr>
          <w:rFonts w:hint="eastAsia"/>
          <w:b/>
          <w:sz w:val="44"/>
          <w:szCs w:val="44"/>
          <w:highlight w:val="none"/>
        </w:rPr>
        <w:t>深圳公共资源交易中心</w:t>
      </w:r>
    </w:p>
    <w:p>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0"/>
    </w:p>
    <w:p>
      <w:pPr>
        <w:ind w:firstLine="420" w:firstLineChars="200"/>
        <w:rPr>
          <w:rFonts w:hint="eastAsia"/>
          <w:highlight w:val="none"/>
        </w:rPr>
      </w:pPr>
      <w:r>
        <w:rPr>
          <w:rFonts w:hint="eastAsia"/>
          <w:highlight w:val="none"/>
        </w:rPr>
        <w:br w:type="page"/>
      </w:r>
    </w:p>
    <w:p>
      <w:pPr>
        <w:pStyle w:val="3"/>
        <w:rPr>
          <w:highlight w:val="none"/>
        </w:rPr>
      </w:pPr>
      <w:r>
        <w:rPr>
          <w:rFonts w:hint="eastAsia"/>
          <w:highlight w:val="none"/>
        </w:rPr>
        <w:t>目   录</w:t>
      </w:r>
    </w:p>
    <w:p>
      <w:pPr>
        <w:outlineLvl w:val="0"/>
        <w:rPr>
          <w:b/>
          <w:sz w:val="24"/>
          <w:highlight w:val="none"/>
        </w:rPr>
      </w:pPr>
      <w:r>
        <w:rPr>
          <w:rFonts w:hint="eastAsia"/>
          <w:b/>
          <w:sz w:val="24"/>
          <w:highlight w:val="none"/>
        </w:rPr>
        <w:t>第一册  专用条款</w:t>
      </w:r>
    </w:p>
    <w:p>
      <w:pPr>
        <w:ind w:firstLine="960" w:firstLineChars="400"/>
        <w:rPr>
          <w:sz w:val="24"/>
          <w:highlight w:val="none"/>
        </w:rPr>
      </w:pPr>
      <w:r>
        <w:rPr>
          <w:rFonts w:hint="eastAsia"/>
          <w:sz w:val="24"/>
          <w:highlight w:val="none"/>
        </w:rPr>
        <w:t>关键信息</w:t>
      </w:r>
    </w:p>
    <w:p>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pPr>
        <w:rPr>
          <w:b/>
          <w:sz w:val="24"/>
          <w:highlight w:val="none"/>
        </w:rPr>
      </w:pPr>
    </w:p>
    <w:p>
      <w:pPr>
        <w:outlineLvl w:val="0"/>
        <w:rPr>
          <w:b/>
          <w:sz w:val="24"/>
          <w:highlight w:val="none"/>
        </w:rPr>
      </w:pPr>
      <w:r>
        <w:rPr>
          <w:rFonts w:hint="eastAsia"/>
          <w:b/>
          <w:sz w:val="24"/>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firstLine="1050" w:firstLineChars="500"/>
        <w:outlineLvl w:val="0"/>
        <w:rPr>
          <w:b/>
          <w:sz w:val="24"/>
          <w:highlight w:val="none"/>
        </w:rPr>
      </w:pPr>
      <w:r>
        <w:rPr>
          <w:rFonts w:hint="eastAsia" w:ascii="宋体" w:hAnsi="宋体"/>
          <w:szCs w:val="21"/>
          <w:highlight w:val="none"/>
        </w:rPr>
        <w:t>第十一章  质疑处理</w:t>
      </w:r>
    </w:p>
    <w:p>
      <w:pPr>
        <w:spacing w:line="360" w:lineRule="auto"/>
        <w:ind w:firstLine="420" w:firstLineChars="200"/>
        <w:jc w:val="left"/>
        <w:rPr>
          <w:rFonts w:ascii="宋体" w:hAnsi="宋体"/>
          <w:szCs w:val="21"/>
          <w:highlight w:val="none"/>
        </w:rPr>
      </w:pPr>
    </w:p>
    <w:p>
      <w:pPr>
        <w:pStyle w:val="3"/>
        <w:rPr>
          <w:sz w:val="24"/>
          <w:highlight w:val="none"/>
        </w:rPr>
      </w:pPr>
      <w:r>
        <w:rPr>
          <w:highlight w:val="none"/>
        </w:rPr>
        <w:br w:type="page"/>
      </w:r>
      <w:bookmarkStart w:id="2" w:name="bt投标报价汇总表"/>
      <w:bookmarkEnd w:id="2"/>
      <w:bookmarkStart w:id="3" w:name="bt开标一览表"/>
      <w:bookmarkEnd w:id="3"/>
      <w:bookmarkStart w:id="4" w:name="bt投标文件签署授权委托书"/>
      <w:bookmarkEnd w:id="4"/>
      <w:bookmarkStart w:id="5" w:name="bt技术标投标文件格式"/>
      <w:bookmarkEnd w:id="5"/>
      <w:bookmarkStart w:id="6" w:name="bt投标人须知"/>
      <w:bookmarkEnd w:id="6"/>
      <w:bookmarkStart w:id="7" w:name="bt说明"/>
      <w:bookmarkEnd w:id="7"/>
      <w:bookmarkStart w:id="8" w:name="bt合同条款及格式"/>
      <w:bookmarkEnd w:id="8"/>
      <w:bookmarkStart w:id="9" w:name="合同格式"/>
      <w:bookmarkEnd w:id="9"/>
      <w:bookmarkStart w:id="10" w:name="bt投标函"/>
      <w:bookmarkEnd w:id="10"/>
      <w:bookmarkStart w:id="11" w:name="bt投标人情况介绍"/>
      <w:bookmarkEnd w:id="11"/>
      <w:bookmarkStart w:id="12" w:name="bt合同格式"/>
      <w:bookmarkEnd w:id="12"/>
      <w:bookmarkStart w:id="13" w:name="bt商务标投标文件格式"/>
      <w:bookmarkEnd w:id="13"/>
      <w:bookmarkStart w:id="14" w:name="bt其他资料由投标人自定"/>
      <w:bookmarkEnd w:id="14"/>
      <w:bookmarkStart w:id="15" w:name="bt合同条款"/>
      <w:bookmarkEnd w:id="15"/>
      <w:bookmarkStart w:id="16" w:name="bt其他资料2"/>
      <w:bookmarkEnd w:id="16"/>
      <w:bookmarkStart w:id="17" w:name="bt本工程承诺书"/>
      <w:bookmarkEnd w:id="17"/>
      <w:bookmarkStart w:id="18" w:name="bt项目管理班子配备情况"/>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pPr>
        <w:pStyle w:val="4"/>
        <w:rPr>
          <w:rFonts w:hint="eastAsia"/>
          <w:sz w:val="28"/>
          <w:szCs w:val="28"/>
          <w:highlight w:val="none"/>
        </w:rPr>
      </w:pPr>
      <w:r>
        <w:rPr>
          <w:rFonts w:hint="eastAsia"/>
          <w:sz w:val="28"/>
          <w:szCs w:val="28"/>
          <w:highlight w:val="none"/>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trPr>
          <w:tblCellSpacing w:w="0" w:type="dxa"/>
          <w:jc w:val="center"/>
        </w:trPr>
        <w:tc>
          <w:tcPr>
            <w:tcW w:w="8147" w:type="dxa"/>
            <w:vAlign w:val="center"/>
          </w:tcPr>
          <w:tbl>
            <w:tblPr>
              <w:tblStyle w:val="43"/>
              <w:tblW w:w="8147" w:type="dxa"/>
              <w:jc w:val="center"/>
              <w:tblCellSpacing w:w="0" w:type="dxa"/>
              <w:shd w:val="clear" w:color="auto" w:fill="auto"/>
              <w:tblLayout w:type="fixed"/>
              <w:tblCellMar>
                <w:top w:w="30" w:type="dxa"/>
                <w:left w:w="30" w:type="dxa"/>
                <w:bottom w:w="30" w:type="dxa"/>
                <w:right w:w="30" w:type="dxa"/>
              </w:tblCellMar>
            </w:tblPr>
            <w:tblGrid>
              <w:gridCol w:w="8147"/>
            </w:tblGrid>
            <w:tr>
              <w:tblPrEx>
                <w:shd w:val="clear" w:color="auto" w:fill="auto"/>
              </w:tblPrEx>
              <w:trPr>
                <w:tblCellSpacing w:w="0" w:type="dxa"/>
                <w:jc w:val="center"/>
              </w:trPr>
              <w:tc>
                <w:tcPr>
                  <w:tcW w:w="8147" w:type="dxa"/>
                  <w:shd w:val="clear" w:color="auto" w:fill="auto"/>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pPr>
                    <w:ind w:firstLine="630" w:firstLineChars="300"/>
                    <w:rPr>
                      <w:rFonts w:hint="eastAsia" w:ascii="宋体" w:hAnsi="宋体" w:eastAsia="宋体" w:cs="宋体"/>
                      <w:color w:val="FF0000"/>
                      <w:kern w:val="0"/>
                      <w:szCs w:val="21"/>
                      <w:highlight w:val="none"/>
                      <w:lang w:eastAsia="zh-CN"/>
                    </w:rPr>
                  </w:pPr>
                  <w:r>
                    <w:rPr>
                      <w:rFonts w:hint="eastAsia" w:ascii="宋体" w:hAnsi="宋体" w:eastAsia="宋体" w:cs="宋体"/>
                      <w:color w:val="FF0000"/>
                      <w:kern w:val="0"/>
                      <w:szCs w:val="21"/>
                      <w:highlight w:val="none"/>
                      <w:lang w:eastAsia="zh-CN"/>
                    </w:rPr>
                    <w:t>1.投标人具有以下其中一项资质：</w:t>
                  </w:r>
                </w:p>
                <w:p>
                  <w:pPr>
                    <w:ind w:firstLine="630" w:firstLineChars="300"/>
                    <w:rPr>
                      <w:rFonts w:hint="eastAsia" w:ascii="宋体" w:hAnsi="宋体" w:eastAsia="宋体" w:cs="宋体"/>
                      <w:color w:val="FF0000"/>
                      <w:kern w:val="0"/>
                      <w:szCs w:val="21"/>
                      <w:highlight w:val="none"/>
                      <w:lang w:eastAsia="zh-CN"/>
                    </w:rPr>
                  </w:pPr>
                  <w:r>
                    <w:rPr>
                      <w:rFonts w:hint="eastAsia" w:ascii="宋体" w:hAnsi="宋体" w:eastAsia="宋体" w:cs="宋体"/>
                      <w:color w:val="FF0000"/>
                      <w:kern w:val="0"/>
                      <w:szCs w:val="21"/>
                      <w:highlight w:val="none"/>
                      <w:lang w:eastAsia="zh-CN"/>
                    </w:rPr>
                    <w:t>（1）具有独立法人资格或是具有独立承担民事责任能力的其它组织（提供营业执照或事业单位法人证书等证明资料扫描件）；</w:t>
                  </w:r>
                </w:p>
                <w:p>
                  <w:pPr>
                    <w:ind w:firstLine="630" w:firstLineChars="300"/>
                    <w:rPr>
                      <w:rFonts w:hint="eastAsia" w:ascii="宋体" w:hAnsi="宋体" w:eastAsia="宋体" w:cs="宋体"/>
                      <w:kern w:val="0"/>
                      <w:szCs w:val="21"/>
                      <w:highlight w:val="none"/>
                      <w:lang w:eastAsia="zh-CN"/>
                    </w:rPr>
                  </w:pPr>
                  <w:r>
                    <w:rPr>
                      <w:rFonts w:hint="eastAsia" w:ascii="宋体" w:hAnsi="宋体" w:eastAsia="宋体" w:cs="宋体"/>
                      <w:color w:val="FF0000"/>
                      <w:kern w:val="0"/>
                      <w:szCs w:val="21"/>
                      <w:highlight w:val="none"/>
                      <w:lang w:eastAsia="zh-CN"/>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pPr>
                    <w:pStyle w:val="2"/>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w:t>
                  </w:r>
                  <w:r>
                    <w:rPr>
                      <w:rFonts w:hint="eastAsia" w:ascii="宋体" w:hAnsi="宋体" w:cs="宋体"/>
                      <w:kern w:val="0"/>
                      <w:szCs w:val="21"/>
                      <w:highlight w:val="none"/>
                      <w:lang w:val="en-US" w:eastAsia="zh-CN"/>
                    </w:rPr>
                    <w:t>否。</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10.本项目允许投标人将电梯维保工作分包：</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（1）若不分包，投标人须具有符合《中华人民共和国特种设备安全法》的电梯维修资质，提供证书扫描件。</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（2）若投标人选择分包的，分包承担主体不多于1家，且分包承担主体不得再次分包：</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①须提供《分包意向协议》（格式自拟，须载明分包承担主体且加盖投标人与各分包承担主体的公章）；</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color w:val="FF0000"/>
                      <w:kern w:val="0"/>
                      <w:szCs w:val="21"/>
                      <w:highlight w:val="none"/>
                      <w:lang w:val="en-US" w:eastAsia="zh-CN"/>
                    </w:rPr>
                    <w:t>②分包承担主体须具有符合《中华人民共和国特种设备安全法》的电梯维修资质，提供证书扫描件。</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highlight w:val="none"/>
                    </w:rPr>
                  </w:pPr>
                  <w:r>
                    <w:rPr>
                      <w:rFonts w:hint="eastAsia" w:ascii="宋体" w:hAnsi="宋体"/>
                      <w:highlight w:val="none"/>
                    </w:rPr>
                    <w:t>（2）供应商投标（上传投标文件）必须先行办理注册手续。</w:t>
                  </w:r>
                </w:p>
                <w:p>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pPr>
              <w:rPr>
                <w:rFonts w:ascii="宋体" w:hAnsi="宋体" w:cs="宋体"/>
                <w:sz w:val="24"/>
                <w:highlight w:val="none"/>
              </w:rPr>
            </w:pPr>
          </w:p>
        </w:tc>
      </w:tr>
    </w:tbl>
    <w:p>
      <w:pPr>
        <w:rPr>
          <w:highlight w:val="none"/>
        </w:rPr>
      </w:pPr>
      <w:r>
        <w:rPr>
          <w:rFonts w:hint="eastAsia"/>
          <w:highlight w:val="none"/>
        </w:rPr>
        <w:br w:type="page"/>
      </w:r>
    </w:p>
    <w:p>
      <w:pPr>
        <w:pStyle w:val="4"/>
        <w:rPr>
          <w:sz w:val="28"/>
          <w:szCs w:val="28"/>
          <w:highlight w:val="none"/>
        </w:rPr>
      </w:pPr>
      <w:r>
        <w:rPr>
          <w:rFonts w:hint="eastAsia"/>
          <w:sz w:val="28"/>
          <w:szCs w:val="28"/>
          <w:highlight w:val="none"/>
        </w:rPr>
        <w:t>第二章 对通用条款的补充内容及其他关键信息</w:t>
      </w:r>
    </w:p>
    <w:p>
      <w:pPr>
        <w:pStyle w:val="4"/>
        <w:spacing w:before="120" w:beforeLines="50" w:after="120" w:afterLines="50"/>
        <w:rPr>
          <w:rFonts w:hint="eastAsia"/>
          <w:szCs w:val="21"/>
          <w:highlight w:val="none"/>
        </w:rPr>
      </w:pPr>
      <w:bookmarkStart w:id="19" w:name="_Toc73521635"/>
      <w:bookmarkStart w:id="20" w:name="_Toc73517639"/>
      <w:bookmarkStart w:id="21" w:name="_Toc60560625"/>
      <w:bookmarkStart w:id="22" w:name="_Toc73518117"/>
      <w:bookmarkStart w:id="23" w:name="_Toc73521547"/>
      <w:bookmarkStart w:id="24" w:name="_Toc100052364"/>
      <w:bookmarkStart w:id="25" w:name="_Toc60631620"/>
      <w:bookmarkStart w:id="26" w:name="_Toc101074876"/>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pPr>
              <w:jc w:val="center"/>
              <w:rPr>
                <w:rFonts w:ascii="宋体" w:hAnsi="宋体"/>
                <w:b/>
                <w:bCs/>
                <w:highlight w:val="none"/>
              </w:rPr>
            </w:pPr>
            <w:r>
              <w:rPr>
                <w:rFonts w:hint="eastAsia" w:ascii="宋体" w:hAnsi="宋体"/>
                <w:b/>
                <w:bCs/>
                <w:highlight w:val="none"/>
              </w:rPr>
              <w:t>涉及事项</w:t>
            </w:r>
          </w:p>
        </w:tc>
        <w:tc>
          <w:tcPr>
            <w:tcW w:w="4980"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pPr>
              <w:jc w:val="center"/>
              <w:rPr>
                <w:highlight w:val="none"/>
              </w:rPr>
            </w:pPr>
            <w:r>
              <w:rPr>
                <w:rFonts w:hint="eastAsia"/>
                <w:highlight w:val="none"/>
              </w:rPr>
              <w:t>采购人</w:t>
            </w:r>
          </w:p>
        </w:tc>
        <w:tc>
          <w:tcPr>
            <w:tcW w:w="4980" w:type="dxa"/>
            <w:vAlign w:val="center"/>
          </w:tcPr>
          <w:p>
            <w:pPr>
              <w:spacing w:line="300" w:lineRule="exact"/>
              <w:jc w:val="center"/>
              <w:rPr>
                <w:rFonts w:ascii="宋体" w:hAnsi="宋体"/>
                <w:highlight w:val="none"/>
              </w:rPr>
            </w:pPr>
            <w:r>
              <w:rPr>
                <w:rFonts w:hint="eastAsia" w:ascii="宋体" w:hAnsi="宋体"/>
                <w:highlight w:val="none"/>
              </w:rPr>
              <w:t>深圳市福田区北京大学附属中学深圳学校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政府集中采购机构</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2409" w:type="dxa"/>
            <w:vAlign w:val="center"/>
          </w:tcPr>
          <w:p>
            <w:pPr>
              <w:jc w:val="center"/>
              <w:rPr>
                <w:rFonts w:ascii="宋体" w:hAnsi="宋体"/>
                <w:highlight w:val="none"/>
              </w:rPr>
            </w:pPr>
            <w:r>
              <w:rPr>
                <w:rFonts w:hint="eastAsia" w:ascii="宋体" w:hAnsi="宋体"/>
                <w:highlight w:val="none"/>
              </w:rPr>
              <w:t>踏勘现场</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标前会议</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pPr>
              <w:jc w:val="center"/>
              <w:rPr>
                <w:rFonts w:ascii="宋体" w:hAnsi="宋体"/>
                <w:highlight w:val="none"/>
              </w:rPr>
            </w:pPr>
            <w:r>
              <w:rPr>
                <w:rFonts w:hint="eastAsia" w:ascii="宋体" w:hAnsi="宋体"/>
                <w:highlight w:val="none"/>
              </w:rPr>
              <w:t>招标文件的澄清和修改</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投标有效期</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投标人的替代方案</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pPr>
              <w:jc w:val="center"/>
              <w:rPr>
                <w:rFonts w:ascii="宋体" w:hAnsi="宋体"/>
                <w:highlight w:val="none"/>
              </w:rPr>
            </w:pPr>
            <w:r>
              <w:rPr>
                <w:rFonts w:hint="eastAsia" w:ascii="宋体" w:hAnsi="宋体"/>
                <w:highlight w:val="none"/>
              </w:rPr>
              <w:t>投标文件的大小</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样品、现场演示、方案讲解</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pPr>
              <w:jc w:val="center"/>
              <w:rPr>
                <w:rFonts w:ascii="宋体" w:hAnsi="宋体"/>
                <w:highlight w:val="none"/>
              </w:rPr>
            </w:pPr>
            <w:r>
              <w:rPr>
                <w:rFonts w:hint="eastAsia" w:ascii="宋体" w:hAnsi="宋体"/>
                <w:highlight w:val="none"/>
              </w:rPr>
              <w:t>评审方法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pPr>
              <w:jc w:val="center"/>
              <w:rPr>
                <w:rFonts w:ascii="宋体" w:hAnsi="宋体"/>
                <w:highlight w:val="none"/>
              </w:rPr>
            </w:pPr>
            <w:r>
              <w:rPr>
                <w:rFonts w:hint="eastAsia" w:ascii="宋体" w:hAnsi="宋体"/>
                <w:highlight w:val="none"/>
              </w:rPr>
              <w:t>定标方法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履约担保</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pPr>
        <w:pStyle w:val="10"/>
        <w:rPr>
          <w:rFonts w:hint="eastAsia"/>
          <w:highlight w:val="none"/>
        </w:rPr>
      </w:pPr>
    </w:p>
    <w:p>
      <w:pPr>
        <w:rPr>
          <w:b/>
          <w:highlight w:val="none"/>
        </w:rPr>
      </w:pPr>
      <w:r>
        <w:rPr>
          <w:rFonts w:hint="eastAsia"/>
          <w:szCs w:val="21"/>
          <w:highlight w:val="none"/>
        </w:rPr>
        <w:t>备注：本表是通用条款相关条款的补充和明确，如与通用条款内容相冲突的，以本表为准。</w:t>
      </w:r>
    </w:p>
    <w:p>
      <w:pPr>
        <w:rPr>
          <w:b/>
          <w:highlight w:val="none"/>
        </w:rPr>
      </w:pPr>
    </w:p>
    <w:p>
      <w:pPr>
        <w:pStyle w:val="4"/>
        <w:spacing w:before="120" w:beforeLines="50" w:after="120" w:afterLines="50"/>
        <w:rPr>
          <w:szCs w:val="24"/>
          <w:highlight w:val="none"/>
        </w:rPr>
      </w:pPr>
      <w:r>
        <w:rPr>
          <w:rFonts w:hint="eastAsia"/>
          <w:szCs w:val="24"/>
          <w:highlight w:val="none"/>
        </w:rPr>
        <w:t>二、其他关键信息</w:t>
      </w:r>
    </w:p>
    <w:p>
      <w:pPr>
        <w:ind w:firstLine="422" w:firstLineChars="200"/>
        <w:rPr>
          <w:b/>
          <w:bCs/>
          <w:highlight w:val="none"/>
        </w:rPr>
      </w:pPr>
      <w:r>
        <w:rPr>
          <w:rFonts w:hint="eastAsia"/>
          <w:b/>
          <w:bCs/>
          <w:highlight w:val="none"/>
        </w:rPr>
        <w:t>（一）与“对通用条款的补充内容”章节相关的事项</w:t>
      </w:r>
    </w:p>
    <w:p>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pPr>
        <w:jc w:val="center"/>
        <w:rPr>
          <w:highlight w:val="none"/>
        </w:rPr>
      </w:pPr>
      <w:r>
        <w:rPr>
          <w:rFonts w:hint="eastAsia"/>
          <w:b/>
          <w:highlight w:val="none"/>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pPr>
              <w:jc w:val="center"/>
              <w:rPr>
                <w:highlight w:val="none"/>
              </w:rPr>
            </w:pPr>
            <w:r>
              <w:rPr>
                <w:rFonts w:hint="eastAsia"/>
                <w:highlight w:val="none"/>
              </w:rPr>
              <w:t>评标方法</w:t>
            </w:r>
          </w:p>
        </w:tc>
        <w:tc>
          <w:tcPr>
            <w:tcW w:w="2660" w:type="pct"/>
          </w:tcPr>
          <w:p>
            <w:pPr>
              <w:jc w:val="center"/>
              <w:rPr>
                <w:rFonts w:hint="default" w:eastAsia="宋体"/>
                <w:highlight w:val="none"/>
                <w:lang w:val="en-US" w:eastAsia="zh-CN"/>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候选中标供应商家数</w:t>
            </w:r>
          </w:p>
        </w:tc>
        <w:tc>
          <w:tcPr>
            <w:tcW w:w="2660" w:type="pct"/>
          </w:tcPr>
          <w:p>
            <w:pPr>
              <w:jc w:val="center"/>
              <w:rPr>
                <w:rFonts w:hint="eastAsia" w:eastAsia="宋体"/>
                <w:highlight w:val="none"/>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中标供应商家数</w:t>
            </w:r>
          </w:p>
        </w:tc>
        <w:tc>
          <w:tcPr>
            <w:tcW w:w="2660" w:type="pct"/>
          </w:tcPr>
          <w:p>
            <w:pPr>
              <w:jc w:val="center"/>
              <w:rPr>
                <w:highlight w:val="none"/>
              </w:rPr>
            </w:pPr>
            <w:r>
              <w:rPr>
                <w:rFonts w:hint="eastAsia"/>
                <w:highlight w:val="none"/>
              </w:rPr>
              <w:t>1</w:t>
            </w:r>
          </w:p>
        </w:tc>
      </w:tr>
    </w:tbl>
    <w:p>
      <w:pPr>
        <w:pStyle w:val="10"/>
        <w:rPr>
          <w:highlight w:val="none"/>
        </w:rPr>
      </w:pPr>
    </w:p>
    <w:p>
      <w:pPr>
        <w:ind w:firstLine="422" w:firstLineChars="200"/>
        <w:rPr>
          <w:rFonts w:ascii="宋体" w:hAnsi="宋体"/>
          <w:b/>
          <w:highlight w:val="none"/>
        </w:rPr>
      </w:pPr>
    </w:p>
    <w:p>
      <w:pPr>
        <w:ind w:firstLine="422" w:firstLineChars="200"/>
        <w:rPr>
          <w:rFonts w:hint="eastAsia"/>
          <w:b/>
          <w:highlight w:val="none"/>
        </w:rPr>
      </w:pPr>
    </w:p>
    <w:p>
      <w:pPr>
        <w:rPr>
          <w:rFonts w:hint="eastAsia"/>
          <w:b/>
          <w:highlight w:val="none"/>
        </w:rPr>
      </w:pPr>
    </w:p>
    <w:p>
      <w:pPr>
        <w:ind w:firstLine="422" w:firstLineChars="200"/>
        <w:rPr>
          <w:rFonts w:hint="eastAsia"/>
          <w:b/>
          <w:highlight w:val="none"/>
        </w:rPr>
      </w:pPr>
    </w:p>
    <w:p>
      <w:pPr>
        <w:rPr>
          <w:rFonts w:hint="eastAsia"/>
          <w:b/>
          <w:highlight w:val="none"/>
        </w:rPr>
      </w:pPr>
      <w:r>
        <w:rPr>
          <w:rFonts w:hint="eastAsia"/>
          <w:b/>
          <w:highlight w:val="none"/>
        </w:rPr>
        <w:br w:type="page"/>
      </w:r>
    </w:p>
    <w:p>
      <w:pPr>
        <w:ind w:firstLine="422" w:firstLineChars="200"/>
        <w:rPr>
          <w:b/>
          <w:highlight w:val="none"/>
        </w:rPr>
      </w:pPr>
      <w:r>
        <w:rPr>
          <w:rFonts w:hint="eastAsia"/>
          <w:b/>
          <w:highlight w:val="none"/>
        </w:rPr>
        <w:t>（二）其他事项</w:t>
      </w:r>
    </w:p>
    <w:p>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pPr>
        <w:ind w:firstLine="422" w:firstLineChars="200"/>
        <w:rPr>
          <w:rFonts w:hint="eastAsia"/>
          <w:b/>
          <w:bCs/>
          <w:highlight w:val="none"/>
        </w:rPr>
      </w:pPr>
    </w:p>
    <w:p>
      <w:pPr>
        <w:ind w:firstLine="422" w:firstLineChars="200"/>
        <w:rPr>
          <w:rFonts w:hint="eastAsia"/>
          <w:b/>
          <w:bCs/>
          <w:highlight w:val="none"/>
        </w:rPr>
      </w:pPr>
    </w:p>
    <w:p>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pPr>
              <w:widowControl/>
              <w:spacing w:line="360" w:lineRule="auto"/>
              <w:jc w:val="center"/>
              <w:rPr>
                <w:highlight w:val="none"/>
              </w:rPr>
            </w:pPr>
            <w:r>
              <w:rPr>
                <w:rFonts w:hint="eastAsia"/>
                <w:highlight w:val="none"/>
              </w:rPr>
              <w:t>货物采购</w:t>
            </w:r>
          </w:p>
        </w:tc>
        <w:tc>
          <w:tcPr>
            <w:tcW w:w="1799" w:type="dxa"/>
            <w:vAlign w:val="center"/>
          </w:tcPr>
          <w:p>
            <w:pPr>
              <w:widowControl/>
              <w:spacing w:line="360" w:lineRule="auto"/>
              <w:jc w:val="center"/>
              <w:rPr>
                <w:highlight w:val="none"/>
              </w:rPr>
            </w:pPr>
            <w:r>
              <w:rPr>
                <w:rFonts w:hint="eastAsia"/>
                <w:highlight w:val="none"/>
              </w:rPr>
              <w:t>服务采购</w:t>
            </w:r>
          </w:p>
        </w:tc>
        <w:tc>
          <w:tcPr>
            <w:tcW w:w="1799" w:type="dxa"/>
            <w:vAlign w:val="center"/>
          </w:tcPr>
          <w:p>
            <w:pPr>
              <w:widowControl/>
              <w:spacing w:line="360" w:lineRule="auto"/>
              <w:jc w:val="center"/>
              <w:rPr>
                <w:highlight w:val="none"/>
              </w:rPr>
            </w:pPr>
            <w:r>
              <w:rPr>
                <w:rFonts w:hint="eastAsia"/>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100万元以下</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100万元（含）-500万元</w:t>
            </w:r>
          </w:p>
        </w:tc>
        <w:tc>
          <w:tcPr>
            <w:tcW w:w="1799" w:type="dxa"/>
            <w:vAlign w:val="center"/>
          </w:tcPr>
          <w:p>
            <w:pPr>
              <w:widowControl/>
              <w:spacing w:line="360" w:lineRule="auto"/>
              <w:jc w:val="center"/>
              <w:rPr>
                <w:highlight w:val="none"/>
              </w:rPr>
            </w:pPr>
            <w:r>
              <w:rPr>
                <w:rFonts w:hint="eastAsia"/>
                <w:highlight w:val="none"/>
              </w:rPr>
              <w:t>1.1%</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500万元（含）-1000万元</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0.45%</w:t>
            </w:r>
          </w:p>
        </w:tc>
        <w:tc>
          <w:tcPr>
            <w:tcW w:w="1799" w:type="dxa"/>
            <w:vAlign w:val="center"/>
          </w:tcPr>
          <w:p>
            <w:pPr>
              <w:widowControl/>
              <w:spacing w:line="360" w:lineRule="auto"/>
              <w:jc w:val="center"/>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1000万元（含）-5000万元</w:t>
            </w:r>
          </w:p>
        </w:tc>
        <w:tc>
          <w:tcPr>
            <w:tcW w:w="1799" w:type="dxa"/>
            <w:vAlign w:val="center"/>
          </w:tcPr>
          <w:p>
            <w:pPr>
              <w:widowControl/>
              <w:spacing w:line="360" w:lineRule="auto"/>
              <w:jc w:val="center"/>
              <w:rPr>
                <w:highlight w:val="none"/>
              </w:rPr>
            </w:pPr>
            <w:r>
              <w:rPr>
                <w:rFonts w:hint="eastAsia"/>
                <w:highlight w:val="none"/>
              </w:rPr>
              <w:t>0.5%</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5000万元（含）-1亿元</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0.1%</w:t>
            </w:r>
          </w:p>
        </w:tc>
        <w:tc>
          <w:tcPr>
            <w:tcW w:w="1799" w:type="dxa"/>
            <w:vAlign w:val="center"/>
          </w:tcPr>
          <w:p>
            <w:pPr>
              <w:widowControl/>
              <w:spacing w:line="360" w:lineRule="auto"/>
              <w:jc w:val="center"/>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1亿元（含）-5亿元</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5亿元（含）-10亿元</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highlight w:val="none"/>
              </w:rPr>
            </w:pPr>
            <w:r>
              <w:rPr>
                <w:rFonts w:hint="eastAsia"/>
                <w:highlight w:val="none"/>
              </w:rPr>
              <w:t>10亿元（含）-50亿元</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50亿元（含）-100亿元</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100亿元（含）以上</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r>
    </w:tbl>
    <w:p>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pPr>
        <w:ind w:firstLine="420" w:firstLineChars="200"/>
        <w:rPr>
          <w:highlight w:val="none"/>
        </w:rPr>
      </w:pPr>
    </w:p>
    <w:p>
      <w:pPr>
        <w:ind w:firstLine="420" w:firstLineChars="200"/>
        <w:rPr>
          <w:highlight w:val="none"/>
        </w:rPr>
      </w:pPr>
      <w:r>
        <w:rPr>
          <w:rFonts w:hint="eastAsia"/>
          <w:highlight w:val="none"/>
        </w:rPr>
        <w:t>如某货物采购项目，中标（成交）金额为600万元，总共交纳的代理服务费的具体计算过程如下：</w:t>
      </w:r>
    </w:p>
    <w:p>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pPr>
        <w:pStyle w:val="9"/>
        <w:rPr>
          <w:b/>
          <w:highlight w:val="none"/>
        </w:rPr>
      </w:pPr>
    </w:p>
    <w:p>
      <w:pPr>
        <w:pStyle w:val="9"/>
        <w:rPr>
          <w:b/>
          <w:highlight w:val="none"/>
        </w:rPr>
      </w:pPr>
    </w:p>
    <w:p>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pStyle w:val="10"/>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pStyle w:val="9"/>
        <w:rPr>
          <w:b/>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rPr>
          <w:sz w:val="28"/>
          <w:szCs w:val="28"/>
          <w:highlight w:val="none"/>
        </w:rPr>
      </w:pPr>
      <w:bookmarkStart w:id="29" w:name="_Toc128884461"/>
      <w:r>
        <w:rPr>
          <w:rFonts w:hint="eastAsia"/>
          <w:sz w:val="28"/>
          <w:szCs w:val="28"/>
          <w:highlight w:val="none"/>
        </w:rPr>
        <w:t>第三章 用户需求书</w:t>
      </w:r>
    </w:p>
    <w:p>
      <w:pPr>
        <w:pStyle w:val="4"/>
        <w:spacing w:before="120" w:beforeLines="50" w:after="120" w:afterLines="50"/>
        <w:rPr>
          <w:szCs w:val="24"/>
          <w:highlight w:val="none"/>
        </w:rPr>
      </w:pPr>
      <w:r>
        <w:rPr>
          <w:rFonts w:hint="eastAsia"/>
          <w:szCs w:val="24"/>
          <w:highlight w:val="none"/>
        </w:rPr>
        <w:t>一、项目基本信息</w:t>
      </w:r>
    </w:p>
    <w:p>
      <w:pPr>
        <w:rPr>
          <w:rFonts w:ascii="宋体" w:hAnsi="宋体"/>
          <w:b/>
          <w:color w:val="FF0000"/>
          <w:szCs w:val="21"/>
          <w:highlight w:val="none"/>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pPr>
              <w:jc w:val="center"/>
              <w:rPr>
                <w:bCs/>
                <w:szCs w:val="21"/>
                <w:highlight w:val="none"/>
              </w:rPr>
            </w:pPr>
            <w:r>
              <w:rPr>
                <w:rFonts w:hint="eastAsia"/>
                <w:bCs/>
                <w:szCs w:val="21"/>
                <w:highlight w:val="none"/>
              </w:rPr>
              <w:t>序号</w:t>
            </w:r>
          </w:p>
        </w:tc>
        <w:tc>
          <w:tcPr>
            <w:tcW w:w="2665" w:type="pct"/>
            <w:vAlign w:val="center"/>
          </w:tcPr>
          <w:p>
            <w:pPr>
              <w:jc w:val="center"/>
              <w:rPr>
                <w:bCs/>
                <w:szCs w:val="21"/>
                <w:highlight w:val="none"/>
              </w:rPr>
            </w:pPr>
            <w:r>
              <w:rPr>
                <w:rFonts w:hint="eastAsia"/>
                <w:bCs/>
                <w:szCs w:val="21"/>
                <w:highlight w:val="none"/>
              </w:rPr>
              <w:t>采购项目名称</w:t>
            </w:r>
          </w:p>
        </w:tc>
        <w:tc>
          <w:tcPr>
            <w:tcW w:w="1986" w:type="pct"/>
            <w:vAlign w:val="center"/>
          </w:tcPr>
          <w:p>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pPr>
              <w:jc w:val="center"/>
              <w:rPr>
                <w:bCs/>
                <w:color w:val="FF0000"/>
                <w:szCs w:val="21"/>
                <w:highlight w:val="none"/>
              </w:rPr>
            </w:pPr>
            <w:r>
              <w:rPr>
                <w:rFonts w:hint="eastAsia"/>
                <w:bCs/>
                <w:color w:val="FF0000"/>
                <w:szCs w:val="21"/>
                <w:highlight w:val="none"/>
              </w:rPr>
              <w:t>1</w:t>
            </w:r>
          </w:p>
        </w:tc>
        <w:tc>
          <w:tcPr>
            <w:tcW w:w="2665" w:type="pct"/>
            <w:vAlign w:val="center"/>
          </w:tcPr>
          <w:p>
            <w:pPr>
              <w:jc w:val="center"/>
              <w:rPr>
                <w:b/>
                <w:bCs/>
                <w:color w:val="FF0000"/>
                <w:szCs w:val="21"/>
                <w:highlight w:val="none"/>
              </w:rPr>
            </w:pPr>
            <w:r>
              <w:rPr>
                <w:rFonts w:hint="eastAsia"/>
                <w:b/>
                <w:bCs/>
                <w:color w:val="FF0000"/>
                <w:szCs w:val="21"/>
                <w:highlight w:val="none"/>
                <w:lang w:val="en-US" w:eastAsia="zh-CN"/>
              </w:rPr>
              <w:t>深圳市福田区北京大学附属中学深圳学校（集团）外国语中学物业管理服务项目</w:t>
            </w:r>
          </w:p>
        </w:tc>
        <w:tc>
          <w:tcPr>
            <w:tcW w:w="1986" w:type="pct"/>
            <w:vAlign w:val="center"/>
          </w:tcPr>
          <w:p>
            <w:pPr>
              <w:jc w:val="center"/>
              <w:rPr>
                <w:rFonts w:hint="default" w:eastAsia="宋体"/>
                <w:bCs/>
                <w:color w:val="FF0000"/>
                <w:szCs w:val="21"/>
                <w:highlight w:val="none"/>
                <w:lang w:val="en-US" w:eastAsia="zh-CN"/>
              </w:rPr>
            </w:pPr>
            <w:r>
              <w:rPr>
                <w:rFonts w:hint="default" w:eastAsia="宋体"/>
                <w:bCs/>
                <w:color w:val="FF0000"/>
                <w:szCs w:val="21"/>
                <w:highlight w:val="none"/>
                <w:lang w:val="en-US" w:eastAsia="zh-CN"/>
              </w:rPr>
              <w:t>796300</w:t>
            </w:r>
          </w:p>
        </w:tc>
      </w:tr>
    </w:tbl>
    <w:p>
      <w:pPr>
        <w:rPr>
          <w:rFonts w:ascii="宋体" w:hAnsi="宋体"/>
          <w:b/>
          <w:color w:val="FF0000"/>
          <w:szCs w:val="21"/>
          <w:highlight w:val="none"/>
        </w:rPr>
      </w:pPr>
    </w:p>
    <w:p>
      <w:pPr>
        <w:pStyle w:val="4"/>
        <w:spacing w:before="120" w:beforeLines="50" w:after="120" w:afterLines="50"/>
        <w:rPr>
          <w:szCs w:val="24"/>
          <w:highlight w:val="none"/>
        </w:rPr>
      </w:pPr>
      <w:r>
        <w:rPr>
          <w:rFonts w:hint="eastAsia"/>
          <w:szCs w:val="24"/>
          <w:highlight w:val="none"/>
        </w:rPr>
        <w:t>二、项目概况</w:t>
      </w:r>
    </w:p>
    <w:p>
      <w:pPr>
        <w:ind w:firstLine="480" w:firstLineChars="200"/>
        <w:rPr>
          <w:sz w:val="24"/>
          <w:highlight w:val="none"/>
        </w:rPr>
      </w:pPr>
      <w:r>
        <w:rPr>
          <w:rFonts w:hint="eastAsia"/>
          <w:sz w:val="24"/>
          <w:highlight w:val="none"/>
        </w:rPr>
        <w:t>北京大学附属中学深圳学校（集团）外国语中学，学校占地面积1</w:t>
      </w:r>
      <w:r>
        <w:rPr>
          <w:sz w:val="24"/>
          <w:highlight w:val="none"/>
        </w:rPr>
        <w:t>8082.5㎡，</w:t>
      </w:r>
      <w:r>
        <w:rPr>
          <w:rFonts w:hint="eastAsia"/>
          <w:sz w:val="24"/>
          <w:highlight w:val="none"/>
        </w:rPr>
        <w:t>总建筑面积为21267.9㎡。</w:t>
      </w:r>
    </w:p>
    <w:p>
      <w:pPr>
        <w:ind w:firstLine="480" w:firstLineChars="200"/>
        <w:rPr>
          <w:sz w:val="24"/>
          <w:highlight w:val="none"/>
        </w:rPr>
      </w:pPr>
    </w:p>
    <w:p>
      <w:pPr>
        <w:rPr>
          <w:rFonts w:ascii="宋体" w:hAnsi="宋体"/>
          <w:b/>
          <w:color w:val="FF0000"/>
          <w:szCs w:val="21"/>
          <w:highlight w:val="none"/>
        </w:rPr>
      </w:pPr>
    </w:p>
    <w:p>
      <w:pPr>
        <w:pStyle w:val="4"/>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3"/>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top"/>
          </w:tcPr>
          <w:p>
            <w:pPr>
              <w:jc w:val="center"/>
              <w:rPr>
                <w:bCs/>
                <w:szCs w:val="21"/>
                <w:highlight w:val="none"/>
              </w:rPr>
            </w:pPr>
            <w:r>
              <w:rPr>
                <w:rFonts w:hint="eastAsia"/>
                <w:bCs/>
                <w:szCs w:val="21"/>
                <w:highlight w:val="none"/>
              </w:rPr>
              <w:t>序号</w:t>
            </w:r>
          </w:p>
        </w:tc>
        <w:tc>
          <w:tcPr>
            <w:tcW w:w="1564" w:type="pct"/>
            <w:vAlign w:val="top"/>
          </w:tcPr>
          <w:p>
            <w:pPr>
              <w:jc w:val="center"/>
              <w:rPr>
                <w:bCs/>
                <w:szCs w:val="21"/>
                <w:highlight w:val="none"/>
              </w:rPr>
            </w:pPr>
            <w:r>
              <w:rPr>
                <w:rFonts w:hint="eastAsia"/>
                <w:bCs/>
                <w:szCs w:val="21"/>
                <w:highlight w:val="none"/>
              </w:rPr>
              <w:t>服务需求名称（标的名称）</w:t>
            </w:r>
          </w:p>
        </w:tc>
        <w:tc>
          <w:tcPr>
            <w:tcW w:w="927" w:type="pct"/>
            <w:vAlign w:val="top"/>
          </w:tcPr>
          <w:p>
            <w:pPr>
              <w:jc w:val="center"/>
              <w:rPr>
                <w:bCs/>
                <w:szCs w:val="21"/>
                <w:highlight w:val="none"/>
              </w:rPr>
            </w:pPr>
            <w:r>
              <w:rPr>
                <w:rFonts w:hint="eastAsia"/>
                <w:bCs/>
                <w:szCs w:val="21"/>
                <w:highlight w:val="none"/>
              </w:rPr>
              <w:t>数量</w:t>
            </w:r>
          </w:p>
        </w:tc>
        <w:tc>
          <w:tcPr>
            <w:tcW w:w="493" w:type="pct"/>
            <w:vAlign w:val="top"/>
          </w:tcPr>
          <w:p>
            <w:pPr>
              <w:jc w:val="center"/>
              <w:rPr>
                <w:bCs/>
                <w:szCs w:val="21"/>
                <w:highlight w:val="none"/>
              </w:rPr>
            </w:pPr>
            <w:r>
              <w:rPr>
                <w:rFonts w:hint="eastAsia"/>
                <w:bCs/>
                <w:szCs w:val="21"/>
                <w:highlight w:val="none"/>
              </w:rPr>
              <w:t>单位</w:t>
            </w:r>
          </w:p>
        </w:tc>
        <w:tc>
          <w:tcPr>
            <w:tcW w:w="838" w:type="pct"/>
            <w:vAlign w:val="top"/>
          </w:tcPr>
          <w:p>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top"/>
          </w:tcPr>
          <w:p>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pPr>
              <w:jc w:val="center"/>
              <w:rPr>
                <w:bCs/>
                <w:szCs w:val="21"/>
                <w:highlight w:val="none"/>
              </w:rPr>
            </w:pPr>
            <w:r>
              <w:rPr>
                <w:rFonts w:hint="eastAsia"/>
                <w:bCs/>
                <w:szCs w:val="21"/>
                <w:highlight w:val="none"/>
              </w:rPr>
              <w:t>1</w:t>
            </w:r>
          </w:p>
        </w:tc>
        <w:tc>
          <w:tcPr>
            <w:tcW w:w="1564" w:type="pct"/>
            <w:vAlign w:val="center"/>
          </w:tcPr>
          <w:p>
            <w:pPr>
              <w:jc w:val="center"/>
              <w:rPr>
                <w:bCs/>
                <w:szCs w:val="21"/>
                <w:highlight w:val="none"/>
              </w:rPr>
            </w:pPr>
            <w:r>
              <w:rPr>
                <w:rFonts w:hint="eastAsia"/>
                <w:bCs/>
                <w:szCs w:val="21"/>
                <w:highlight w:val="none"/>
                <w:lang w:val="en-US" w:eastAsia="zh-CN"/>
              </w:rPr>
              <w:t>深圳市福田区北京大学附属中学深圳学校（集团）外国语中学物业管理服务项目</w:t>
            </w:r>
          </w:p>
        </w:tc>
        <w:tc>
          <w:tcPr>
            <w:tcW w:w="927" w:type="pct"/>
            <w:vAlign w:val="center"/>
          </w:tcPr>
          <w:p>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pPr>
              <w:jc w:val="center"/>
              <w:rPr>
                <w:rFonts w:hint="default" w:eastAsia="宋体"/>
                <w:bCs/>
                <w:szCs w:val="21"/>
                <w:highlight w:val="none"/>
                <w:lang w:val="en-US" w:eastAsia="zh-CN"/>
              </w:rPr>
            </w:pPr>
            <w:r>
              <w:rPr>
                <w:rFonts w:hint="eastAsia"/>
                <w:bCs/>
                <w:szCs w:val="21"/>
                <w:highlight w:val="none"/>
                <w:lang w:val="en-US" w:eastAsia="zh-CN"/>
              </w:rPr>
              <w:t>否</w:t>
            </w:r>
          </w:p>
        </w:tc>
        <w:tc>
          <w:tcPr>
            <w:tcW w:w="838" w:type="pct"/>
            <w:vAlign w:val="center"/>
          </w:tcPr>
          <w:p>
            <w:pPr>
              <w:jc w:val="center"/>
              <w:rPr>
                <w:bCs/>
                <w:szCs w:val="21"/>
                <w:highlight w:val="none"/>
              </w:rPr>
            </w:pPr>
            <w:r>
              <w:rPr>
                <w:rFonts w:hint="eastAsia"/>
              </w:rPr>
              <w:t>租赁和商务服务业</w:t>
            </w:r>
          </w:p>
        </w:tc>
      </w:tr>
    </w:tbl>
    <w:p>
      <w:pPr>
        <w:pStyle w:val="4"/>
        <w:spacing w:before="120" w:beforeLines="50" w:after="120" w:afterLines="50"/>
        <w:rPr>
          <w:szCs w:val="24"/>
          <w:highlight w:val="none"/>
        </w:rPr>
      </w:pPr>
      <w:r>
        <w:rPr>
          <w:rFonts w:hint="eastAsia"/>
          <w:szCs w:val="24"/>
          <w:highlight w:val="none"/>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pPr>
              <w:rPr>
                <w:rFonts w:hAnsi="宋体" w:eastAsiaTheme="minorEastAsia"/>
                <w:kern w:val="0"/>
                <w:szCs w:val="21"/>
                <w:highlight w:val="none"/>
              </w:rPr>
            </w:pPr>
            <w:r>
              <w:rPr>
                <w:rFonts w:hint="eastAsia" w:hAnsi="宋体" w:eastAsiaTheme="minorEastAsia"/>
                <w:color w:val="FF0000"/>
                <w:kern w:val="0"/>
                <w:szCs w:val="21"/>
                <w:highlight w:val="none"/>
              </w:rPr>
              <w:t>具体以采购文件第三章 用户需求书中带“★”的需求项为准。</w:t>
            </w:r>
          </w:p>
        </w:tc>
      </w:tr>
    </w:tbl>
    <w:p>
      <w:pPr>
        <w:pStyle w:val="6"/>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pPr>
        <w:rPr>
          <w:b/>
          <w:bCs/>
          <w:sz w:val="24"/>
          <w:highlight w:val="none"/>
        </w:rPr>
      </w:pPr>
    </w:p>
    <w:p>
      <w:pPr>
        <w:pStyle w:val="4"/>
        <w:spacing w:before="120" w:beforeLines="50" w:after="120" w:afterLines="50"/>
        <w:rPr>
          <w:b/>
          <w:sz w:val="24"/>
          <w:highlight w:val="none"/>
        </w:rPr>
      </w:pPr>
      <w:r>
        <w:rPr>
          <w:rFonts w:hint="eastAsia"/>
          <w:szCs w:val="24"/>
          <w:highlight w:val="none"/>
        </w:rPr>
        <w:t>五、技术要求</w:t>
      </w:r>
    </w:p>
    <w:tbl>
      <w:tblPr>
        <w:tblStyle w:val="4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205"/>
        <w:gridCol w:w="5130"/>
        <w:gridCol w:w="67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序号</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名称</w:t>
            </w:r>
          </w:p>
        </w:tc>
        <w:tc>
          <w:tcPr>
            <w:tcW w:w="5130"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具体内容</w:t>
            </w:r>
          </w:p>
        </w:tc>
        <w:tc>
          <w:tcPr>
            <w:tcW w:w="67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标注</w:t>
            </w:r>
          </w:p>
        </w:tc>
        <w:tc>
          <w:tcPr>
            <w:tcW w:w="1188"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1</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项目概况</w:t>
            </w:r>
          </w:p>
        </w:tc>
        <w:tc>
          <w:tcPr>
            <w:tcW w:w="5130"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北京大学附属中学深圳学校（集团）外国语中学，学校占地面积1</w:t>
            </w:r>
            <w:r>
              <w:rPr>
                <w:rFonts w:asciiTheme="minorEastAsia" w:hAnsiTheme="minorEastAsia" w:eastAsiaTheme="minorEastAsia"/>
                <w:b w:val="0"/>
                <w:bCs/>
                <w:szCs w:val="21"/>
              </w:rPr>
              <w:t>8082.5㎡，</w:t>
            </w:r>
            <w:r>
              <w:rPr>
                <w:rFonts w:hint="eastAsia" w:asciiTheme="minorEastAsia" w:hAnsiTheme="minorEastAsia" w:eastAsiaTheme="minorEastAsia"/>
                <w:b w:val="0"/>
                <w:bCs/>
                <w:szCs w:val="21"/>
              </w:rPr>
              <w:t>总建筑面积为21267.9㎡。</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2</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服务要求</w:t>
            </w:r>
          </w:p>
        </w:tc>
        <w:tc>
          <w:tcPr>
            <w:tcW w:w="5130" w:type="dxa"/>
            <w:vAlign w:val="center"/>
          </w:tcPr>
          <w:p>
            <w:pPr>
              <w:spacing w:line="276" w:lineRule="auto"/>
              <w:rPr>
                <w:rFonts w:asciiTheme="minorEastAsia" w:hAnsiTheme="minorEastAsia" w:eastAsiaTheme="minorEastAsia"/>
                <w:b w:val="0"/>
                <w:bCs/>
                <w:szCs w:val="21"/>
              </w:rPr>
            </w:pPr>
            <w:r>
              <w:rPr>
                <w:rFonts w:asciiTheme="minorEastAsia" w:hAnsiTheme="minorEastAsia" w:eastAsiaTheme="minorEastAsia"/>
                <w:b w:val="0"/>
                <w:bCs/>
                <w:szCs w:val="21"/>
              </w:rPr>
              <w:t>（一）服务内容及要求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1.配合监管要求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w:t>
            </w:r>
            <w:r>
              <w:rPr>
                <w:rFonts w:hint="eastAsia" w:cs="宋体" w:asciiTheme="minorEastAsia" w:hAnsiTheme="minorEastAsia" w:eastAsiaTheme="minorEastAsia"/>
                <w:b w:val="0"/>
                <w:bCs/>
                <w:color w:val="000000"/>
                <w:szCs w:val="21"/>
                <w:lang w:val="en-US" w:eastAsia="zh-CN"/>
              </w:rPr>
              <w:t>中标人</w:t>
            </w:r>
            <w:r>
              <w:rPr>
                <w:rFonts w:hint="eastAsia" w:cs="宋体" w:asciiTheme="minorEastAsia" w:hAnsiTheme="minorEastAsia" w:eastAsiaTheme="minorEastAsia"/>
                <w:b w:val="0"/>
                <w:bCs/>
                <w:color w:val="000000"/>
                <w:szCs w:val="21"/>
              </w:rPr>
              <w:t>提供的服务，均须围绕学校的教育教学及管理工作来开展，努力做到对学校的各项工作不产生干扰，遵守学校的管理制度。</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应认真配合按照学校针对本项目制订的监</w:t>
            </w:r>
            <w:r>
              <w:rPr>
                <w:rFonts w:hint="eastAsia" w:cs="宋体" w:asciiTheme="minorEastAsia" w:hAnsiTheme="minorEastAsia" w:eastAsiaTheme="minorEastAsia"/>
                <w:b w:val="0"/>
                <w:bCs/>
                <w:color w:val="000000"/>
                <w:kern w:val="0"/>
                <w:szCs w:val="21"/>
              </w:rPr>
              <w:t>督</w:t>
            </w:r>
            <w:r>
              <w:rPr>
                <w:rFonts w:hint="eastAsia" w:cs="宋体" w:asciiTheme="minorEastAsia" w:hAnsiTheme="minorEastAsia" w:eastAsiaTheme="minorEastAsia"/>
                <w:b w:val="0"/>
                <w:bCs/>
                <w:color w:val="000000"/>
                <w:szCs w:val="21"/>
              </w:rPr>
              <w:t>制度、配合学校专门工作人员进行的监</w:t>
            </w:r>
            <w:r>
              <w:rPr>
                <w:rFonts w:hint="eastAsia" w:cs="宋体" w:asciiTheme="minorEastAsia" w:hAnsiTheme="minorEastAsia" w:eastAsiaTheme="minorEastAsia"/>
                <w:b w:val="0"/>
                <w:bCs/>
                <w:color w:val="000000"/>
                <w:kern w:val="0"/>
                <w:szCs w:val="21"/>
              </w:rPr>
              <w:t>督</w:t>
            </w:r>
            <w:r>
              <w:rPr>
                <w:rFonts w:hint="eastAsia" w:cs="宋体" w:asciiTheme="minorEastAsia" w:hAnsiTheme="minorEastAsia" w:eastAsiaTheme="minorEastAsia"/>
                <w:b w:val="0"/>
                <w:bCs/>
                <w:color w:val="000000"/>
                <w:szCs w:val="21"/>
              </w:rPr>
              <w:t>。</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（3）对学校涉及到本服务项目有关的教育教学及管理等各项工作而提出的配合措施，</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须尽量配合。</w:t>
            </w:r>
          </w:p>
          <w:p>
            <w:pPr>
              <w:snapToGrid w:val="0"/>
              <w:spacing w:line="276" w:lineRule="auto"/>
              <w:rPr>
                <w:rFonts w:cs="宋体" w:asciiTheme="minorEastAsia" w:hAnsiTheme="minorEastAsia" w:eastAsiaTheme="minorEastAsia"/>
                <w:b w:val="0"/>
                <w:bCs/>
                <w:color w:val="000000"/>
                <w:szCs w:val="21"/>
                <w:lang w:val="zh-CN"/>
              </w:rPr>
            </w:pPr>
            <w:r>
              <w:rPr>
                <w:rFonts w:hint="eastAsia" w:cs="宋体" w:asciiTheme="minorEastAsia" w:hAnsiTheme="minorEastAsia" w:eastAsiaTheme="minorEastAsia"/>
                <w:b w:val="0"/>
                <w:bCs/>
                <w:color w:val="000000"/>
                <w:szCs w:val="21"/>
                <w:lang w:val="zh-CN"/>
              </w:rPr>
              <w:t>（4）福田区教育局作为辖区内学校的主管部门，履行</w:t>
            </w:r>
            <w:r>
              <w:rPr>
                <w:rFonts w:hint="eastAsia" w:cs="宋体" w:asciiTheme="minorEastAsia" w:hAnsiTheme="minorEastAsia" w:eastAsiaTheme="minorEastAsia"/>
                <w:b w:val="0"/>
                <w:bCs/>
                <w:color w:val="000000"/>
                <w:kern w:val="0"/>
                <w:szCs w:val="21"/>
              </w:rPr>
              <w:t>监</w:t>
            </w:r>
            <w:r>
              <w:rPr>
                <w:rFonts w:hint="eastAsia" w:cs="宋体" w:asciiTheme="minorEastAsia" w:hAnsiTheme="minorEastAsia" w:eastAsiaTheme="minorEastAsia"/>
                <w:b w:val="0"/>
                <w:bCs/>
                <w:color w:val="000000"/>
                <w:szCs w:val="21"/>
              </w:rPr>
              <w:t>督</w:t>
            </w:r>
            <w:r>
              <w:rPr>
                <w:rFonts w:hint="eastAsia" w:cs="宋体" w:asciiTheme="minorEastAsia" w:hAnsiTheme="minorEastAsia" w:eastAsiaTheme="minorEastAsia"/>
                <w:b w:val="0"/>
                <w:bCs/>
                <w:color w:val="000000"/>
                <w:kern w:val="0"/>
                <w:szCs w:val="21"/>
              </w:rPr>
              <w:t>物业服务企业履行物业管理服务合同的职责，投标人应主动配合。各学校</w:t>
            </w:r>
            <w:r>
              <w:rPr>
                <w:rFonts w:hint="eastAsia" w:cs="宋体" w:asciiTheme="minorEastAsia" w:hAnsiTheme="minorEastAsia" w:eastAsiaTheme="minorEastAsia"/>
                <w:b w:val="0"/>
                <w:bCs/>
                <w:color w:val="000000"/>
                <w:szCs w:val="21"/>
                <w:lang w:val="zh-CN"/>
              </w:rPr>
              <w:t>履行</w:t>
            </w:r>
            <w:r>
              <w:rPr>
                <w:rFonts w:hint="eastAsia" w:cs="宋体" w:asciiTheme="minorEastAsia" w:hAnsiTheme="minorEastAsia" w:eastAsiaTheme="minorEastAsia"/>
                <w:b w:val="0"/>
                <w:bCs/>
                <w:color w:val="000000"/>
                <w:kern w:val="0"/>
                <w:szCs w:val="21"/>
              </w:rPr>
              <w:t>监</w:t>
            </w:r>
            <w:r>
              <w:rPr>
                <w:rFonts w:hint="eastAsia" w:cs="宋体" w:asciiTheme="minorEastAsia" w:hAnsiTheme="minorEastAsia" w:eastAsiaTheme="minorEastAsia"/>
                <w:b w:val="0"/>
                <w:bCs/>
                <w:color w:val="000000"/>
                <w:szCs w:val="21"/>
              </w:rPr>
              <w:t>管</w:t>
            </w:r>
            <w:r>
              <w:rPr>
                <w:rFonts w:hint="eastAsia" w:cs="宋体" w:asciiTheme="minorEastAsia" w:hAnsiTheme="minorEastAsia" w:eastAsiaTheme="minorEastAsia"/>
                <w:b w:val="0"/>
                <w:bCs/>
                <w:color w:val="000000"/>
                <w:kern w:val="0"/>
                <w:szCs w:val="21"/>
              </w:rPr>
              <w:t>物业服务企业履行物业管理服务合同的职责。</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 建章立制要求</w:t>
            </w:r>
          </w:p>
          <w:p>
            <w:pPr>
              <w:snapToGrid w:val="0"/>
              <w:spacing w:line="276" w:lineRule="auto"/>
              <w:ind w:firstLine="420" w:firstLineChars="200"/>
              <w:rPr>
                <w:rFonts w:cs="宋体" w:asciiTheme="minorEastAsia" w:hAnsiTheme="minorEastAsia" w:eastAsiaTheme="minorEastAsia"/>
                <w:b w:val="0"/>
                <w:bCs/>
                <w:color w:val="000000"/>
                <w:szCs w:val="21"/>
              </w:rPr>
            </w:pP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须建立健全针对本项目所涉及的各类管理制度、服务规范、设备操作规范、安全事故防范方案、维修报请处理及应急响应制度等等，并须得到学校管理部门的批准和备案，以便能够保证为师生提供高效、优质的服务，加强对工作人员的职业道德教育、行为管理、技能培训，保障各种设备的正常运行，杜绝安全事故及设备非自然损坏现象。</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3.环境卫生及防疫消杀管理要求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（1）清洁卫生实行一体化管理，有专业清洁队伍，管理制度完善。</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（2）负责做好校门前及红线图以内所有的地面、绿化带、建筑物的墙面及附属物、门窗、室内区域（不含学生宿舍房间内、教室内、教师办公室及宿舍内，）所有设施及用具的卫生保洁与管理。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（3）负责定期进行下水道及沟井的清扫处理、垃圾收集清运（建筑垃圾、食堂区域除外）、化粪池的清运，办理好垃圾清运等有关手续。</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（4）定期开展除“四害”及卫生消杀工作，严格按照上级有关部门规定进行定期的防疫消杀工作。</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（5）在流行性传染病高发期或爆发期要严格按校方或上级有关部门要求组织防疫消杀（药品由学校购置）。</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（6）负责承担学校教师卫生间的洗水液、纸巾（此类物品由学校购置）的放置与管理。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（7）学校区域内的教学楼、办公楼、图书馆等建筑物公共部位以及绿地、道路、操场等空地的清洁每天不少于二次。</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（8）电梯轿厢、操作板、地面等清洁保养每天不少于二次。</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（9）5—10月的灭蚊、灭鼠、灭苍蝇、灭蟑螂等消杀工作每月不少于三次，其余月份每月不少于二次。</w:t>
            </w:r>
          </w:p>
          <w:p>
            <w:pPr>
              <w:numPr>
                <w:ilvl w:val="0"/>
                <w:numId w:val="7"/>
              </w:numPr>
              <w:snapToGrid w:val="0"/>
              <w:spacing w:line="276" w:lineRule="auto"/>
              <w:rPr>
                <w:rFonts w:hint="eastAsia" w:eastAsia="宋体"/>
                <w:lang w:eastAsia="zh-CN"/>
              </w:rPr>
            </w:pPr>
            <w:r>
              <w:rPr>
                <w:rFonts w:hint="eastAsia" w:asciiTheme="minorEastAsia" w:hAnsiTheme="minorEastAsia" w:eastAsiaTheme="minorEastAsia"/>
                <w:b w:val="0"/>
                <w:bCs/>
              </w:rPr>
              <w:t>在每学期开学及期末阶段，按校方要求完成校园范围内的大扫除服务，具体包括但不限于对教学区域、公共活动空间、办公区域等场所的清洁</w:t>
            </w:r>
            <w:r>
              <w:rPr>
                <w:rFonts w:asciiTheme="minorEastAsia" w:hAnsiTheme="minorEastAsia" w:eastAsiaTheme="minorEastAsia"/>
                <w:b w:val="0"/>
                <w:bCs/>
              </w:rPr>
              <w:t>。</w:t>
            </w:r>
          </w:p>
          <w:p>
            <w:pPr>
              <w:numPr>
                <w:ilvl w:val="0"/>
                <w:numId w:val="0"/>
              </w:numPr>
              <w:snapToGrid w:val="0"/>
              <w:spacing w:line="276" w:lineRule="auto"/>
              <w:rPr>
                <w:rFonts w:hint="eastAsia" w:eastAsia="宋体"/>
                <w:lang w:eastAsia="zh-CN"/>
              </w:rPr>
            </w:pPr>
            <w:r>
              <w:rPr>
                <w:rFonts w:hint="eastAsia"/>
                <w:lang w:eastAsia="zh-CN"/>
              </w:rPr>
              <w:t>（</w:t>
            </w:r>
            <w:r>
              <w:rPr>
                <w:rFonts w:hint="eastAsia"/>
                <w:lang w:val="en-US" w:eastAsia="zh-CN"/>
              </w:rPr>
              <w:t>11</w:t>
            </w:r>
            <w:r>
              <w:rPr>
                <w:rFonts w:hint="eastAsia"/>
                <w:lang w:eastAsia="zh-CN"/>
              </w:rPr>
              <w:t>）</w:t>
            </w:r>
            <w:r>
              <w:rPr>
                <w:rFonts w:hint="eastAsia" w:eastAsia="宋体"/>
                <w:lang w:eastAsia="zh-CN"/>
              </w:rPr>
              <w:t>负责教学楼、宿舍楼（含学生公寓）内厕所的日常巡检与疏通处理，确保排水通畅，若出现堵塞情况需及时响应并妥善解决，保障正常使用。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4.园林绿化管理要求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（1）配备专业人员进行管理，制度完善。</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（2）实行标准化作业，由专人负责检查监督。</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（3）负责承担校区红线图以内所有绿化、盆景（盆花）、室内盆栽植物、地理园、温棚植物等的养护、修剪造型、施肥、浇水、除杂草、补苗、松土、杀虫、杂物清除等管理。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（4）承担校园有关公共场所（含会议室、功能室、办公室以及教室）的花草摆放及节假日或有关会议、活动庆典的花草布置（此类物品由学校购置）。</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（5）室内绿化管养标准：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①保持所有植物正常生长；盆景植物无积尘，适当浇水，容器中无积水，整形修剪每季度不少于一次，无枯枝败叶。</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②做好植物病虫害预防、控制工作，定期进行喷药。</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③定期做好施肥工作，按薄肥勤施原则进行。</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④定期调换室内植物摆放位置、品种，使植物适应不同光线，湿度环境。</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⑤定期清理黄叶,做到无病虫、无黄叶、无脏物。</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⑥及时更换摆放逐渐逊色的花木。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⑦保持花盆垫不积水，叶面无积尘。</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（6）室外绿化管养标准：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①植物生长健康，无病虫害，无枯黄叶，无黄土裸露。</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②绿地或花坛内各类乔、灌、草等绿化存活率达到100%，草坪常年保持平整，边缘清晰。</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③乔、灌木以及攀援植物每年普修八次以上、切边整理三次以上，各种植物上长茂盛，无枯枝、缺枝。</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④定期修剪，及时修补、扶持和补苗，保持花木形态常美。</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⑤绿地、操场等无白色垃圾、绿化生产垃圾（如树枝、树叶等），无积水，无干旱。</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5.水电维护管理要求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（1）设施设备管理要求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①建立完善的质量保证体系，提供切实可行的运行管理、维护保养、维修的实施方案和各种措施。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②制定设备安全运行管理、岗位责任制、定期巡视检查、操作规程及监督检查制度，建立岗位责任制，并严格执行。做到科学管理、正确使用，精心维护，备齐备件，及时维修。</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③实行值班制度，保证设备良好，运行正常，无重大管理责任事故。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④设备及机房环境整洁，无杂物、灰尘，无鼠、虫害发生。</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⑤相关技术人员持证上岗，有解决各类故障和事件的能力。</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⑥建立设备台帐和档案，项目齐全，目录清晰，设备图纸档案、技术资料齐全。管理完善，可随时查阅。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⑦各类设施设备的完好率达到98%以上，急修及时率达到100%；走廊、楼道等共用部位照明系统的完好率达到99%以上。</w:t>
            </w:r>
          </w:p>
          <w:p>
            <w:pPr>
              <w:snapToGrid w:val="0"/>
              <w:spacing w:line="276" w:lineRule="auto"/>
              <w:rPr>
                <w:rFonts w:cs="宋体" w:asciiTheme="minorEastAsia" w:hAnsiTheme="minorEastAsia" w:eastAsiaTheme="minorEastAsia"/>
                <w:b w:val="0"/>
                <w:bCs/>
                <w:color w:val="000000"/>
                <w:szCs w:val="21"/>
              </w:rPr>
            </w:pPr>
            <w:r>
              <w:rPr>
                <w:rFonts w:cs="宋体" w:asciiTheme="minorEastAsia" w:hAnsiTheme="minorEastAsia" w:eastAsiaTheme="minorEastAsia"/>
                <w:b w:val="0"/>
                <w:bCs/>
                <w:color w:val="000000"/>
                <w:szCs w:val="21"/>
              </w:rPr>
              <w:t>⑧加强对消防系统的检查保养，消防栓、灭火器、报警功能巡查每周不少于三次；消防泵启动每年不少于四次；保障消防通道畅顺。</w:t>
            </w:r>
            <w:r>
              <w:rPr>
                <w:rFonts w:hint="eastAsia" w:cs="宋体" w:asciiTheme="minorEastAsia" w:hAnsiTheme="minorEastAsia" w:eastAsiaTheme="minorEastAsia"/>
                <w:b w:val="0"/>
                <w:bCs/>
                <w:color w:val="000000"/>
                <w:szCs w:val="21"/>
              </w:rPr>
              <w:t>（有消防控制室的校区自行约定，持证上岗）</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（2）给排水系统管理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①建立用水、供水管理制度并予以实施;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②防止跑、冒、滴、漏，对供水系统管路、水泵、水箱、阀门等进行日常维护和定期检修，不发生大面积跑水事故，定期对水泵房进行检查、保养、维修、清洁;</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③保证设备和管道系统状况良好，供水系统能正常发挥功能;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④定期对排水管、化粪池、隔油池、沟渠、池、井进行清疏、养护及清除污垢。保证排水系统通畅、确保上下水管道完好和正常使用;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⑤及时发现和解决故障，当出现故障时，维修人员及时到位抢修，恢复正常功能。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⑥上述设施设备正常损耗的零配件及水箱清洗材料等费用，由学校承担。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（3）供配电系统管理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①对供电范围的电气设备定期巡查，做到安全、合理、节约用电；</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②及时发现和解决故障。当出现故障时，维修人员10分钟内及时到位抢修，排除故障，恢复正常功能；</w:t>
            </w:r>
          </w:p>
          <w:p>
            <w:pPr>
              <w:snapToGrid w:val="0"/>
              <w:spacing w:line="276" w:lineRule="auto"/>
              <w:rPr>
                <w:rFonts w:cs="宋体" w:asciiTheme="minorEastAsia" w:hAnsiTheme="minorEastAsia" w:eastAsiaTheme="minorEastAsia"/>
                <w:b w:val="0"/>
                <w:bCs/>
                <w:color w:val="000000"/>
                <w:szCs w:val="21"/>
                <w:highlight w:val="red"/>
              </w:rPr>
            </w:pPr>
            <w:r>
              <w:rPr>
                <w:rFonts w:hint="eastAsia" w:cs="宋体" w:asciiTheme="minorEastAsia" w:hAnsiTheme="minorEastAsia" w:eastAsiaTheme="minorEastAsia"/>
                <w:b w:val="0"/>
                <w:bCs/>
                <w:color w:val="000000"/>
                <w:szCs w:val="21"/>
              </w:rPr>
              <w:t>③加强日常维护检修，公共使用的照明灯具（包括地下室照明、楼梯、电梯间、室外院墙照明）线路、开关保证完好，确保用电安全；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④配电设备管理、操作、维修保养严格按国家标准操作运行，制定临时用电措施并严格执行。</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⑤上述设施设备正常损耗的零配件费用，由学校承担。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（4）电梯管理：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①电梯由专业队伍维修保养，电梯维修、保养人员均持证上岗，电梯各种安全检查审核证件齐全有效；</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②建立电梯运行管理、设备管理、安全管理制度，确保电梯按规定时间运行，状态良好，安全设施齐全有效，通风、照明及其它附属设施完好；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负责按国家规定提供保养服务，每15天一次例保，由甲方签字确认，每月对电梯自备电池放电一次，每季度进行一次检查，确保电梯处于良好的运行状态（包括定期性调校。清洁润滑，加注油脂，检查电梯各安全开关、梯级、大链，机部件等的正常运行状态；</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为学校向市技术监督部门办理电梯安全年检手续，保证取得《电梯运行许可证》，年检费用由学校负责。投标人对电梯每年进行一次负荷调校试验。上述资料均由学校存档备查，确保电梯得到恰当检修，轿厢及机房整洁、通风、照明及其他附属设施完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⑤出现运行故障后，接到报修后维修人员在10分钟内到达现场抢修，并及时排除故障；</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⑥建立电梯设备档案，各种运行维护保养和巡视检查记录齐全归档；</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⑦学校更换并提供一切因自然劳损与锈蚀的电器零件，因机械性磨损而损耗的电梯零部件，更换零配件及检测费用由学校负责实行全保。</w:t>
            </w:r>
          </w:p>
          <w:p>
            <w:pPr>
              <w:spacing w:line="276" w:lineRule="auto"/>
              <w:rPr>
                <w:rFonts w:cs="宋体" w:asciiTheme="minorEastAsia" w:hAnsiTheme="minorEastAsia" w:eastAsiaTheme="minorEastAsia"/>
                <w:b w:val="0"/>
                <w:bCs/>
                <w:szCs w:val="21"/>
              </w:rPr>
            </w:pPr>
            <w:r>
              <w:rPr>
                <w:rFonts w:hint="eastAsia" w:cs="宋体" w:asciiTheme="minorEastAsia" w:hAnsiTheme="minorEastAsia" w:eastAsiaTheme="minorEastAsia"/>
                <w:b w:val="0"/>
                <w:bCs/>
                <w:szCs w:val="21"/>
              </w:rPr>
              <w:t>（5）发电机管理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①发电机由专业队伍定期维修保养；</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②因供电公司临时停电，应在5分钟内启动发电机发电；</w:t>
            </w:r>
          </w:p>
          <w:p>
            <w:pPr>
              <w:snapToGrid w:val="0"/>
              <w:spacing w:line="276" w:lineRule="auto"/>
              <w:rPr>
                <w:rFonts w:cs="宋体" w:asciiTheme="minorEastAsia" w:hAnsiTheme="minorEastAsia" w:eastAsiaTheme="minorEastAsia"/>
                <w:b w:val="0"/>
                <w:bCs/>
                <w:szCs w:val="21"/>
              </w:rPr>
            </w:pPr>
            <w:r>
              <w:rPr>
                <w:rFonts w:hint="eastAsia" w:cs="宋体" w:asciiTheme="minorEastAsia" w:hAnsiTheme="minorEastAsia" w:eastAsiaTheme="minorEastAsia"/>
                <w:b w:val="0"/>
                <w:bCs/>
                <w:color w:val="000000"/>
                <w:szCs w:val="21"/>
              </w:rPr>
              <w:t>③应留意报纸上的停电公告，提早购买储备柴油，因临时停电，发电机维护保养及发电用柴油费用由学校负责。</w:t>
            </w:r>
            <w:r>
              <w:rPr>
                <w:rFonts w:cs="宋体" w:asciiTheme="minorEastAsia" w:hAnsiTheme="minorEastAsia" w:eastAsiaTheme="minorEastAsia"/>
                <w:b w:val="0"/>
                <w:bCs/>
                <w:spacing w:val="-4"/>
                <w:szCs w:val="21"/>
              </w:rPr>
              <w:t xml:space="preserve"> </w:t>
            </w:r>
          </w:p>
          <w:p>
            <w:pPr>
              <w:snapToGrid w:val="0"/>
              <w:spacing w:line="360" w:lineRule="auto"/>
              <w:rPr>
                <w:rFonts w:ascii="宋体" w:hAnsi="宋体" w:cs="宋体"/>
                <w:b w:val="0"/>
                <w:bCs/>
                <w:color w:val="000000"/>
                <w:szCs w:val="21"/>
              </w:rPr>
            </w:pPr>
            <w:r>
              <w:rPr>
                <w:rFonts w:ascii="宋体" w:hAnsi="宋体" w:cs="宋体"/>
                <w:b w:val="0"/>
                <w:bCs/>
                <w:color w:val="000000"/>
                <w:szCs w:val="21"/>
              </w:rPr>
              <w:t>6</w:t>
            </w:r>
            <w:r>
              <w:rPr>
                <w:rFonts w:hint="eastAsia" w:ascii="宋体" w:hAnsi="宋体" w:cs="宋体"/>
                <w:b w:val="0"/>
                <w:bCs/>
                <w:color w:val="000000"/>
                <w:szCs w:val="21"/>
              </w:rPr>
              <w:t>.其它服务事项要求</w:t>
            </w:r>
          </w:p>
          <w:p>
            <w:pPr>
              <w:snapToGrid w:val="0"/>
              <w:spacing w:line="360" w:lineRule="auto"/>
              <w:rPr>
                <w:rFonts w:ascii="宋体" w:hAnsi="宋体" w:cs="宋体"/>
                <w:b w:val="0"/>
                <w:bCs/>
                <w:color w:val="000000"/>
                <w:szCs w:val="21"/>
              </w:rPr>
            </w:pPr>
            <w:r>
              <w:rPr>
                <w:rFonts w:hint="eastAsia" w:ascii="宋体" w:hAnsi="宋体" w:cs="宋体"/>
                <w:b w:val="0"/>
                <w:bCs/>
                <w:color w:val="000000"/>
                <w:szCs w:val="21"/>
              </w:rPr>
              <w:t>（1）学校重大活动无偿提供协助及服务。</w:t>
            </w:r>
          </w:p>
          <w:p>
            <w:pPr>
              <w:snapToGrid w:val="0"/>
              <w:spacing w:line="360" w:lineRule="auto"/>
              <w:rPr>
                <w:rFonts w:ascii="宋体" w:hAnsi="宋体" w:cs="宋体"/>
                <w:b w:val="0"/>
                <w:bCs/>
                <w:color w:val="000000"/>
                <w:szCs w:val="21"/>
              </w:rPr>
            </w:pPr>
            <w:r>
              <w:rPr>
                <w:rFonts w:hint="eastAsia" w:ascii="宋体" w:hAnsi="宋体" w:cs="宋体"/>
                <w:b w:val="0"/>
                <w:bCs/>
                <w:color w:val="000000"/>
                <w:szCs w:val="21"/>
              </w:rPr>
              <w:t>（2）无偿协助本校零星搬运工作。</w:t>
            </w:r>
          </w:p>
          <w:p>
            <w:pPr>
              <w:snapToGrid w:val="0"/>
              <w:spacing w:line="360" w:lineRule="auto"/>
              <w:rPr>
                <w:rFonts w:ascii="宋体" w:hAnsi="宋体" w:cs="宋体"/>
                <w:b w:val="0"/>
                <w:bCs/>
                <w:color w:val="000000"/>
                <w:szCs w:val="21"/>
              </w:rPr>
            </w:pPr>
            <w:r>
              <w:rPr>
                <w:rFonts w:hint="eastAsia" w:ascii="宋体" w:hAnsi="宋体" w:cs="宋体"/>
                <w:b w:val="0"/>
                <w:bCs/>
                <w:color w:val="000000"/>
                <w:szCs w:val="21"/>
              </w:rPr>
              <w:t>（</w:t>
            </w:r>
            <w:r>
              <w:rPr>
                <w:rFonts w:ascii="宋体" w:hAnsi="宋体" w:cs="宋体"/>
                <w:b w:val="0"/>
                <w:bCs/>
                <w:color w:val="000000"/>
                <w:szCs w:val="21"/>
              </w:rPr>
              <w:t>3</w:t>
            </w:r>
            <w:r>
              <w:rPr>
                <w:rFonts w:hint="eastAsia" w:ascii="宋体" w:hAnsi="宋体" w:cs="宋体"/>
                <w:b w:val="0"/>
                <w:bCs/>
                <w:color w:val="000000"/>
                <w:szCs w:val="21"/>
              </w:rPr>
              <w:t>）国家法律政策规定的其他物业管理事项。</w:t>
            </w:r>
          </w:p>
          <w:p>
            <w:pPr>
              <w:pStyle w:val="2"/>
              <w:spacing w:line="276" w:lineRule="auto"/>
              <w:rPr>
                <w:rFonts w:asciiTheme="minorEastAsia" w:hAnsiTheme="minorEastAsia" w:eastAsiaTheme="minorEastAsia"/>
                <w:b w:val="0"/>
                <w:bCs/>
              </w:rPr>
            </w:pPr>
            <w:r>
              <w:rPr>
                <w:rFonts w:asciiTheme="minorEastAsia" w:hAnsiTheme="minorEastAsia" w:eastAsiaTheme="minorEastAsia"/>
                <w:b w:val="0"/>
                <w:bCs/>
              </w:rPr>
              <w:t>（二）物业</w:t>
            </w:r>
            <w:r>
              <w:rPr>
                <w:rFonts w:hint="eastAsia" w:asciiTheme="minorEastAsia" w:hAnsiTheme="minorEastAsia" w:eastAsiaTheme="minorEastAsia"/>
                <w:b w:val="0"/>
                <w:bCs/>
              </w:rPr>
              <w:t>管理</w:t>
            </w:r>
            <w:r>
              <w:rPr>
                <w:rFonts w:asciiTheme="minorEastAsia" w:hAnsiTheme="minorEastAsia" w:eastAsiaTheme="minorEastAsia"/>
                <w:b w:val="0"/>
                <w:bCs/>
              </w:rPr>
              <w:t>标准</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1.按“全国物业管理示范大厦”标准进行管理。</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2.杜绝火灾等安全事故。</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3.环境卫生达标率95%。</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4.用户满意及基本满意率95%。</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5.有效投诉处理率100%。</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6.有效投诉率低于5%。</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7.消毒、消杀、绿化达标率为100%。</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8.利用现代化管理手段对物业进行管理。</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9.未尽事宜，依照教育主管部门及物业管理部门的相关规定执行。</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3</w:t>
            </w:r>
          </w:p>
        </w:tc>
        <w:tc>
          <w:tcPr>
            <w:tcW w:w="2205" w:type="dxa"/>
            <w:vAlign w:val="center"/>
          </w:tcPr>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FF0000"/>
                <w:szCs w:val="21"/>
              </w:rPr>
              <w:t>★人员要求</w:t>
            </w:r>
          </w:p>
        </w:tc>
        <w:tc>
          <w:tcPr>
            <w:tcW w:w="5130" w:type="dxa"/>
            <w:vAlign w:val="center"/>
          </w:tcPr>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1</w:t>
            </w:r>
            <w:r>
              <w:rPr>
                <w:rFonts w:ascii="宋体" w:hAnsi="宋体" w:cs="宋体"/>
                <w:b w:val="0"/>
                <w:bCs/>
                <w:color w:val="000000"/>
                <w:szCs w:val="21"/>
              </w:rPr>
              <w:t>.</w:t>
            </w:r>
            <w:r>
              <w:rPr>
                <w:rFonts w:hint="eastAsia" w:ascii="宋体" w:hAnsi="宋体" w:cs="宋体"/>
                <w:b w:val="0"/>
                <w:bCs/>
                <w:color w:val="000000"/>
                <w:szCs w:val="21"/>
              </w:rPr>
              <w:t>本次物业项目总体要求人数不少于</w:t>
            </w:r>
            <w:r>
              <w:rPr>
                <w:rFonts w:ascii="宋体" w:hAnsi="宋体" w:cs="宋体"/>
                <w:b w:val="0"/>
                <w:bCs/>
                <w:color w:val="000000"/>
                <w:szCs w:val="21"/>
              </w:rPr>
              <w:t>7</w:t>
            </w:r>
            <w:r>
              <w:rPr>
                <w:rFonts w:hint="eastAsia" w:ascii="宋体" w:hAnsi="宋体" w:cs="宋体"/>
                <w:b w:val="0"/>
                <w:bCs/>
                <w:color w:val="000000"/>
                <w:szCs w:val="21"/>
              </w:rPr>
              <w:t>人，具体岗位及人员安排情况见下表：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866"/>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0" w:type="pct"/>
                  <w:shd w:val="clear" w:color="auto" w:fill="BFBFBF"/>
                  <w:vAlign w:val="center"/>
                </w:tcPr>
                <w:p>
                  <w:pPr>
                    <w:tabs>
                      <w:tab w:val="left" w:pos="426"/>
                    </w:tabs>
                    <w:adjustRightInd w:val="0"/>
                    <w:snapToGrid w:val="0"/>
                    <w:jc w:val="center"/>
                    <w:rPr>
                      <w:rFonts w:ascii="宋体" w:hAnsi="宋体" w:cs="宋体"/>
                      <w:b w:val="0"/>
                      <w:bCs/>
                      <w:szCs w:val="21"/>
                    </w:rPr>
                  </w:pPr>
                  <w:r>
                    <w:rPr>
                      <w:rFonts w:hint="eastAsia" w:ascii="宋体" w:hAnsi="宋体" w:cs="宋体"/>
                      <w:b w:val="0"/>
                      <w:bCs/>
                      <w:szCs w:val="21"/>
                    </w:rPr>
                    <w:t>序号</w:t>
                  </w:r>
                </w:p>
              </w:tc>
              <w:tc>
                <w:tcPr>
                  <w:tcW w:w="1903" w:type="pct"/>
                  <w:shd w:val="clear" w:color="auto" w:fill="BFBFBF"/>
                  <w:vAlign w:val="center"/>
                </w:tcPr>
                <w:p>
                  <w:pPr>
                    <w:tabs>
                      <w:tab w:val="left" w:pos="426"/>
                    </w:tabs>
                    <w:adjustRightInd w:val="0"/>
                    <w:snapToGrid w:val="0"/>
                    <w:jc w:val="center"/>
                    <w:rPr>
                      <w:rFonts w:ascii="宋体" w:hAnsi="宋体" w:cs="宋体"/>
                      <w:b w:val="0"/>
                      <w:bCs/>
                      <w:szCs w:val="21"/>
                    </w:rPr>
                  </w:pPr>
                  <w:r>
                    <w:rPr>
                      <w:rFonts w:hint="eastAsia" w:ascii="宋体" w:hAnsi="宋体" w:cs="宋体"/>
                      <w:b w:val="0"/>
                      <w:bCs/>
                      <w:szCs w:val="21"/>
                    </w:rPr>
                    <w:t>岗位</w:t>
                  </w:r>
                </w:p>
              </w:tc>
              <w:tc>
                <w:tcPr>
                  <w:tcW w:w="1667" w:type="pct"/>
                  <w:shd w:val="clear" w:color="auto" w:fill="BFBFBF"/>
                  <w:vAlign w:val="center"/>
                </w:tcPr>
                <w:p>
                  <w:pPr>
                    <w:tabs>
                      <w:tab w:val="left" w:pos="426"/>
                    </w:tabs>
                    <w:adjustRightInd w:val="0"/>
                    <w:snapToGrid w:val="0"/>
                    <w:jc w:val="center"/>
                    <w:rPr>
                      <w:rFonts w:ascii="宋体" w:hAnsi="宋体" w:cs="宋体"/>
                      <w:b w:val="0"/>
                      <w:bCs/>
                      <w:szCs w:val="21"/>
                    </w:rPr>
                  </w:pPr>
                  <w:r>
                    <w:rPr>
                      <w:rFonts w:hint="eastAsia" w:ascii="宋体" w:hAnsi="宋体" w:cs="宋体"/>
                      <w:b w:val="0"/>
                      <w:bCs/>
                      <w:szCs w:val="21"/>
                    </w:rPr>
                    <w:t>人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1</w:t>
                  </w:r>
                </w:p>
              </w:tc>
              <w:tc>
                <w:tcPr>
                  <w:tcW w:w="1903"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维修工</w:t>
                  </w:r>
                </w:p>
              </w:tc>
              <w:tc>
                <w:tcPr>
                  <w:tcW w:w="1667"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2</w:t>
                  </w:r>
                </w:p>
              </w:tc>
              <w:tc>
                <w:tcPr>
                  <w:tcW w:w="1903"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清洁工</w:t>
                  </w:r>
                </w:p>
              </w:tc>
              <w:tc>
                <w:tcPr>
                  <w:tcW w:w="1667" w:type="pct"/>
                  <w:vAlign w:val="center"/>
                </w:tcPr>
                <w:p>
                  <w:pPr>
                    <w:tabs>
                      <w:tab w:val="left" w:pos="426"/>
                    </w:tabs>
                    <w:adjustRightInd w:val="0"/>
                    <w:snapToGrid w:val="0"/>
                    <w:jc w:val="center"/>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3</w:t>
                  </w:r>
                </w:p>
              </w:tc>
              <w:tc>
                <w:tcPr>
                  <w:tcW w:w="1903"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绿化工</w:t>
                  </w:r>
                </w:p>
              </w:tc>
              <w:tc>
                <w:tcPr>
                  <w:tcW w:w="1667" w:type="pct"/>
                  <w:vAlign w:val="center"/>
                </w:tcPr>
                <w:p>
                  <w:pPr>
                    <w:tabs>
                      <w:tab w:val="left" w:pos="426"/>
                    </w:tabs>
                    <w:adjustRightInd w:val="0"/>
                    <w:snapToGrid w:val="0"/>
                    <w:jc w:val="center"/>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合计</w:t>
                  </w:r>
                </w:p>
              </w:tc>
              <w:tc>
                <w:tcPr>
                  <w:tcW w:w="1903" w:type="pct"/>
                  <w:vAlign w:val="center"/>
                </w:tcPr>
                <w:p>
                  <w:pPr>
                    <w:tabs>
                      <w:tab w:val="left" w:pos="426"/>
                    </w:tabs>
                    <w:adjustRightInd w:val="0"/>
                    <w:snapToGrid w:val="0"/>
                    <w:jc w:val="center"/>
                    <w:rPr>
                      <w:rFonts w:ascii="宋体" w:hAnsi="宋体" w:cs="宋体"/>
                      <w:b w:val="0"/>
                      <w:bCs/>
                      <w:szCs w:val="21"/>
                      <w:highlight w:val="none"/>
                    </w:rPr>
                  </w:pPr>
                </w:p>
              </w:tc>
              <w:tc>
                <w:tcPr>
                  <w:tcW w:w="1667" w:type="pct"/>
                  <w:vAlign w:val="center"/>
                </w:tcPr>
                <w:p>
                  <w:pPr>
                    <w:tabs>
                      <w:tab w:val="left" w:pos="426"/>
                    </w:tabs>
                    <w:adjustRightInd w:val="0"/>
                    <w:snapToGrid w:val="0"/>
                    <w:jc w:val="center"/>
                    <w:rPr>
                      <w:rFonts w:ascii="宋体" w:hAnsi="宋体" w:cs="宋体"/>
                      <w:b w:val="0"/>
                      <w:bCs/>
                      <w:szCs w:val="21"/>
                      <w:highlight w:val="none"/>
                    </w:rPr>
                  </w:pPr>
                  <w:r>
                    <w:rPr>
                      <w:rFonts w:ascii="宋体" w:hAnsi="宋体" w:cs="宋体"/>
                      <w:b w:val="0"/>
                      <w:bCs/>
                      <w:szCs w:val="21"/>
                      <w:highlight w:val="none"/>
                    </w:rPr>
                    <w:t>7</w:t>
                  </w:r>
                </w:p>
              </w:tc>
            </w:tr>
          </w:tbl>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highlight w:val="none"/>
              </w:rPr>
              <w:t>备注：中标单位须拟派至少1名</w:t>
            </w:r>
            <w:r>
              <w:rPr>
                <w:rFonts w:hint="eastAsia" w:ascii="宋体" w:hAnsi="宋体" w:cs="宋体"/>
                <w:b w:val="0"/>
                <w:bCs/>
                <w:color w:val="000000"/>
                <w:szCs w:val="21"/>
              </w:rPr>
              <w:t>项目经理对本项目进行管理，费用由中标单位自行承担。</w:t>
            </w:r>
          </w:p>
          <w:p>
            <w:pPr>
              <w:pStyle w:val="2"/>
              <w:snapToGrid w:val="0"/>
              <w:spacing w:line="360" w:lineRule="auto"/>
              <w:rPr>
                <w:rFonts w:hint="default" w:ascii="宋体" w:hAnsi="宋体" w:cs="宋体"/>
                <w:b w:val="0"/>
                <w:bCs/>
                <w:color w:val="000000"/>
                <w:szCs w:val="21"/>
                <w:lang w:val="en-US" w:eastAsia="zh-CN"/>
              </w:rPr>
            </w:pPr>
            <w:r>
              <w:rPr>
                <w:rFonts w:hint="eastAsia" w:ascii="宋体" w:hAnsi="宋体" w:cs="宋体"/>
                <w:b w:val="0"/>
                <w:bCs/>
                <w:color w:val="000000"/>
                <w:szCs w:val="21"/>
                <w:lang w:val="en-US" w:eastAsia="zh-CN"/>
              </w:rPr>
              <w:t>2.中标人应按照《中华人民共和国劳动法》的相关规定发放工资，其中项目负责人和主要技术人员的社会保险参保单位须为投标人，服务人员基本工资不得低于深圳市企业职工最低工资标准（工资不含按国家规定供应商必须支付的社会保险及其他应付费用）。</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lang w:val="en-US" w:eastAsia="zh-CN"/>
              </w:rPr>
              <w:t>3</w:t>
            </w:r>
            <w:r>
              <w:rPr>
                <w:rFonts w:ascii="宋体" w:hAnsi="宋体" w:cs="宋体"/>
                <w:b w:val="0"/>
                <w:bCs/>
                <w:color w:val="000000"/>
                <w:szCs w:val="21"/>
              </w:rPr>
              <w:t>.</w:t>
            </w:r>
            <w:r>
              <w:rPr>
                <w:rFonts w:hint="eastAsia" w:ascii="宋体" w:hAnsi="宋体" w:cs="宋体"/>
                <w:b w:val="0"/>
                <w:bCs/>
                <w:color w:val="000000"/>
                <w:szCs w:val="21"/>
              </w:rPr>
              <w:t>人员素质：为保证服务质量和维护系统的形象，人员配置须遵守《劳动法》等相关规定，避免引起劳动纠纷。主要岗位人员持证上岗，具体要求如下：</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（1）维修工</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有维修工工作经验和能力，有强烈的事业心和责任心，能吃苦耐劳。</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（2）保洁员、绿化工。</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要求身体健康，有从事过相关工作一年以上经验，仪表整洁，礼貌、和蔼，有良好素养。</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4</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宋体" w:hAnsi="宋体" w:cs="宋体"/>
                <w:b w:val="0"/>
                <w:bCs/>
                <w:color w:val="FF0000"/>
                <w:szCs w:val="21"/>
              </w:rPr>
              <w:t>★</w:t>
            </w:r>
            <w:r>
              <w:rPr>
                <w:rFonts w:hint="eastAsia" w:asciiTheme="minorEastAsia" w:hAnsiTheme="minorEastAsia" w:eastAsiaTheme="minorEastAsia"/>
                <w:b w:val="0"/>
                <w:bCs/>
                <w:color w:val="FF0000"/>
                <w:szCs w:val="21"/>
              </w:rPr>
              <w:t>服务期限</w:t>
            </w:r>
          </w:p>
        </w:tc>
        <w:tc>
          <w:tcPr>
            <w:tcW w:w="5130"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自合同签订起一年。本项目服务期限最长为36个月，合同一年一签，如采购方对履约情况不满意，采购方不再续约。因政策原因需要终止服务的，招标人可以通知供应商解除合同。</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lang w:val="en-US" w:eastAsia="zh-CN"/>
              </w:rPr>
              <w:t>5</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其他要求</w:t>
            </w:r>
          </w:p>
        </w:tc>
        <w:tc>
          <w:tcPr>
            <w:tcW w:w="5130" w:type="dxa"/>
            <w:vAlign w:val="center"/>
          </w:tcPr>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1.</w:t>
            </w:r>
            <w:r>
              <w:rPr>
                <w:rFonts w:hint="eastAsia" w:ascii="宋体" w:hAnsi="宋体"/>
                <w:snapToGrid w:val="0"/>
                <w:color w:val="auto"/>
                <w:kern w:val="0"/>
                <w:szCs w:val="24"/>
                <w:highlight w:val="none"/>
                <w:lang w:val="en-US" w:eastAsia="zh-CN"/>
              </w:rPr>
              <w:t>中标人</w:t>
            </w:r>
            <w:r>
              <w:rPr>
                <w:rFonts w:hint="eastAsia" w:asciiTheme="minorEastAsia" w:hAnsiTheme="minorEastAsia" w:eastAsiaTheme="minorEastAsia"/>
                <w:b w:val="0"/>
                <w:bCs/>
                <w:szCs w:val="21"/>
              </w:rPr>
              <w:t>中标后按中标价与学校签订物业管理服务合同，由学校按月支付物业管理服务费用。</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2.学校物业服务的特殊工种(电梯维护、消杀、外墙清洗等)须委托有资质证书或资格证书的企业。</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3.甲方违反本合同约定，导致乙方未能完成服务内容的，乙方有权要求甲方限期解决:逾期未解决的，乙方可要求甲方支付1个月物业管理服务费的违约金:造成损失的，乙方可要求甲方承担相应的赔偿责任。</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4.乙方提供的服务达不到本合同约定的标准的，甲方有权要求乙方在合理期限内改进，乙方未能改进的，甲方可要求乙方支付1个月物业管理服务费的违约金:给甲方造成损失的，甲方可要求乙方承担相应的赔偿责任。</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5.中标人应承担以下费用:</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(1)本项目所涉及的各类手续报批、应检等费用:</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(2)本项目所涉及员工工资、福利、保险、税金等以及所需要的设备、配件、工具、耗材、服装等管理费用(本标书列明由学校提供的除外)。</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6.中标人拟委派人员的基本情况必须报学校备案，派出人员必须遵守学校规章制度,人员必须做到相对稳定，不得频繁变动，如有人员调动或离职，须在 24小时内配齐，以保证工作正常运转。</w:t>
            </w:r>
          </w:p>
          <w:p>
            <w:pPr>
              <w:pStyle w:val="2"/>
              <w:spacing w:line="276" w:lineRule="auto"/>
              <w:ind w:firstLine="420" w:firstLineChars="200"/>
              <w:rPr>
                <w:rFonts w:asciiTheme="minorEastAsia" w:hAnsiTheme="minorEastAsia" w:eastAsiaTheme="minorEastAsia"/>
                <w:b w:val="0"/>
                <w:bCs/>
              </w:rPr>
            </w:pPr>
            <w:r>
              <w:rPr>
                <w:rFonts w:asciiTheme="minorEastAsia" w:hAnsiTheme="minorEastAsia" w:eastAsiaTheme="minorEastAsia"/>
                <w:b w:val="0"/>
                <w:bCs/>
              </w:rPr>
              <w:t>7.</w:t>
            </w:r>
            <w:r>
              <w:rPr>
                <w:rFonts w:hint="eastAsia" w:asciiTheme="minorEastAsia" w:hAnsiTheme="minorEastAsia" w:eastAsiaTheme="minorEastAsia"/>
                <w:b w:val="0"/>
                <w:bCs/>
              </w:rPr>
              <w:t>如果中标人聘用达到或超过法定退休年龄的人员，又不能为其购买社会保险时，应为其投保足额的医疗、意外伤害商业保险。而且，当发生医疗、意外伤害事件后，相关保险理赔不足以满足其医疗费支出时，由中标人先行垫付后再依法追偿。</w:t>
            </w:r>
          </w:p>
          <w:p>
            <w:pPr>
              <w:pStyle w:val="2"/>
              <w:spacing w:line="276" w:lineRule="auto"/>
              <w:ind w:firstLine="420" w:firstLineChars="200"/>
              <w:rPr>
                <w:rFonts w:asciiTheme="minorEastAsia" w:hAnsiTheme="minorEastAsia" w:eastAsiaTheme="minorEastAsia"/>
                <w:b w:val="0"/>
                <w:bCs/>
              </w:rPr>
            </w:pPr>
            <w:r>
              <w:rPr>
                <w:rFonts w:asciiTheme="minorEastAsia" w:hAnsiTheme="minorEastAsia" w:eastAsiaTheme="minorEastAsia"/>
                <w:b w:val="0"/>
                <w:bCs/>
              </w:rPr>
              <w:t>8.</w:t>
            </w:r>
            <w:r>
              <w:rPr>
                <w:rFonts w:hint="eastAsia" w:asciiTheme="minorEastAsia" w:hAnsiTheme="minorEastAsia" w:eastAsiaTheme="minorEastAsia"/>
                <w:b w:val="0"/>
                <w:bCs/>
              </w:rPr>
              <w:t>为保证物业服务质量，项目负责人（项目经理）应为中标人聘用人员，合同签订主体、工资发放主体、社保缴纳主体必须为中标人或其授权分公司且必须为同一单位。除项目管理团队成员外，其余人员均应为中标人聘用人员或采用劳务派遣方式用工人员。</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bl>
    <w:p>
      <w:pPr>
        <w:rPr>
          <w:b/>
          <w:sz w:val="24"/>
          <w:highlight w:val="none"/>
        </w:rPr>
      </w:pPr>
    </w:p>
    <w:p>
      <w:pPr>
        <w:pStyle w:val="4"/>
        <w:spacing w:before="120" w:beforeLines="50" w:after="120" w:afterLines="50"/>
        <w:rPr>
          <w:szCs w:val="24"/>
          <w:highlight w:val="none"/>
        </w:rPr>
      </w:pPr>
      <w:r>
        <w:rPr>
          <w:rFonts w:hint="eastAsia"/>
          <w:szCs w:val="24"/>
          <w:highlight w:val="none"/>
        </w:rPr>
        <w:t>六、商务要求</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47"/>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5" w:type="dxa"/>
            <w:vAlign w:val="center"/>
          </w:tcPr>
          <w:p>
            <w:pPr>
              <w:widowControl/>
              <w:jc w:val="center"/>
              <w:rPr>
                <w:b/>
                <w:szCs w:val="21"/>
                <w:highlight w:val="none"/>
              </w:rPr>
            </w:pPr>
            <w:r>
              <w:rPr>
                <w:rFonts w:hint="eastAsia"/>
                <w:b/>
                <w:szCs w:val="21"/>
                <w:highlight w:val="none"/>
              </w:rPr>
              <w:t>序号</w:t>
            </w:r>
          </w:p>
        </w:tc>
        <w:tc>
          <w:tcPr>
            <w:tcW w:w="1147" w:type="dxa"/>
            <w:vAlign w:val="center"/>
          </w:tcPr>
          <w:p>
            <w:pPr>
              <w:widowControl/>
              <w:jc w:val="center"/>
              <w:rPr>
                <w:b/>
                <w:szCs w:val="21"/>
                <w:highlight w:val="none"/>
              </w:rPr>
            </w:pPr>
            <w:r>
              <w:rPr>
                <w:rFonts w:hint="eastAsia"/>
                <w:b/>
                <w:szCs w:val="21"/>
                <w:highlight w:val="none"/>
              </w:rPr>
              <w:t>目录</w:t>
            </w:r>
          </w:p>
        </w:tc>
        <w:tc>
          <w:tcPr>
            <w:tcW w:w="6757" w:type="dxa"/>
            <w:vAlign w:val="center"/>
          </w:tcPr>
          <w:p>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1</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57" w:type="dxa"/>
          </w:tcPr>
          <w:p>
            <w:pPr>
              <w:spacing w:line="276" w:lineRule="auto"/>
              <w:rPr>
                <w:highlight w:val="none"/>
              </w:rPr>
            </w:pPr>
            <w:r>
              <w:rPr>
                <w:rFonts w:hint="eastAsia"/>
                <w:highlight w:val="none"/>
              </w:rPr>
              <w:t xml:space="preserve">系指合同签订之日起至服务结束的时间期限。具体是指本项目服务期限为自合同签订 </w:t>
            </w:r>
            <w:r>
              <w:rPr>
                <w:highlight w:val="none"/>
              </w:rPr>
              <w:t>12个月</w:t>
            </w:r>
            <w:r>
              <w:rPr>
                <w:rFonts w:hint="eastAsia"/>
                <w:highlight w:val="none"/>
              </w:rPr>
              <w:t>。</w:t>
            </w:r>
          </w:p>
          <w:p>
            <w:pPr>
              <w:spacing w:line="276" w:lineRule="auto"/>
              <w:rPr>
                <w:highlight w:val="none"/>
              </w:rPr>
            </w:pPr>
            <w:r>
              <w:rPr>
                <w:rFonts w:hint="eastAsia"/>
                <w:highlight w:val="none"/>
              </w:rPr>
              <w:t>本项目为长期服务项目，合同期满可以续签，但合同履行期限最长不得超过三十六个月。如甲方对履约情况不满意，甲方不再续约。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2</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服务地点</w:t>
            </w:r>
          </w:p>
        </w:tc>
        <w:tc>
          <w:tcPr>
            <w:tcW w:w="6757" w:type="dxa"/>
          </w:tcPr>
          <w:p>
            <w:pPr>
              <w:outlineLvl w:val="0"/>
              <w:rPr>
                <w:rFonts w:hint="default" w:ascii="宋体" w:hAnsi="宋体" w:eastAsia="宋体"/>
                <w:b/>
                <w:sz w:val="28"/>
                <w:szCs w:val="28"/>
                <w:highlight w:val="none"/>
                <w:lang w:val="en-US" w:eastAsia="zh-CN"/>
              </w:rPr>
            </w:pPr>
            <w:r>
              <w:rPr>
                <w:rFonts w:hint="default" w:ascii="Times New Roman" w:hAnsi="Times New Roman" w:eastAsia="宋体" w:cs="Times New Roman"/>
                <w:highlight w:val="none"/>
                <w:lang w:val="en-US" w:eastAsia="zh-CN"/>
              </w:rPr>
              <w:t>深圳市福田区景田北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3</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付款方式</w:t>
            </w:r>
          </w:p>
        </w:tc>
        <w:tc>
          <w:tcPr>
            <w:tcW w:w="6757" w:type="dxa"/>
          </w:tcPr>
          <w:p>
            <w:pPr>
              <w:numPr>
                <w:ilvl w:val="0"/>
                <w:numId w:val="0"/>
              </w:numPr>
              <w:rPr>
                <w:rFonts w:ascii="宋体" w:hAnsi="宋体"/>
                <w:szCs w:val="21"/>
                <w:highlight w:val="none"/>
              </w:rPr>
            </w:pPr>
            <w:r>
              <w:rPr>
                <w:rFonts w:hint="eastAsia" w:ascii="宋体" w:hAnsi="宋体"/>
                <w:szCs w:val="21"/>
                <w:highlight w:val="none"/>
              </w:rPr>
              <w:t>按月支付。每月5日为上月物业管理服务费结算日，凭承包方完税发票，由甲方签署付款凭证，办理付款手续。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4</w:t>
            </w:r>
          </w:p>
        </w:tc>
        <w:tc>
          <w:tcPr>
            <w:tcW w:w="1147" w:type="dxa"/>
            <w:vAlign w:val="center"/>
          </w:tcPr>
          <w:p>
            <w:pPr>
              <w:jc w:val="center"/>
              <w:rPr>
                <w:rFonts w:ascii="宋体" w:hAnsi="宋体"/>
                <w:b/>
                <w:bCs/>
                <w:szCs w:val="21"/>
                <w:highlight w:val="none"/>
              </w:rPr>
            </w:pPr>
            <w:r>
              <w:rPr>
                <w:rFonts w:hint="eastAsia" w:ascii="宋体" w:hAnsi="宋体"/>
                <w:b/>
                <w:bCs/>
                <w:szCs w:val="21"/>
                <w:highlight w:val="none"/>
              </w:rPr>
              <w:t>关于验收</w:t>
            </w:r>
          </w:p>
          <w:p>
            <w:pPr>
              <w:jc w:val="center"/>
              <w:outlineLvl w:val="0"/>
              <w:rPr>
                <w:rFonts w:ascii="宋体" w:hAnsi="宋体"/>
                <w:b/>
                <w:bCs/>
                <w:szCs w:val="21"/>
                <w:highlight w:val="none"/>
              </w:rPr>
            </w:pPr>
          </w:p>
        </w:tc>
        <w:tc>
          <w:tcPr>
            <w:tcW w:w="6757" w:type="dxa"/>
          </w:tcPr>
          <w:p>
            <w:pPr>
              <w:rPr>
                <w:rFonts w:ascii="宋体" w:hAnsi="宋体"/>
                <w:b/>
                <w:szCs w:val="21"/>
                <w:highlight w:val="none"/>
              </w:rPr>
            </w:pPr>
            <w:r>
              <w:rPr>
                <w:rFonts w:hint="eastAsia" w:ascii="宋体" w:hAnsi="宋体"/>
                <w:bCs/>
                <w:szCs w:val="21"/>
                <w:highlight w:val="none"/>
              </w:rPr>
              <w:t>1）服务经过双方检验认可后，签署验收报告。</w:t>
            </w:r>
          </w:p>
          <w:p>
            <w:pPr>
              <w:rPr>
                <w:rFonts w:ascii="宋体" w:hAnsi="宋体"/>
                <w:bCs/>
                <w:szCs w:val="21"/>
                <w:highlight w:val="none"/>
              </w:rPr>
            </w:pPr>
            <w:r>
              <w:rPr>
                <w:rFonts w:hint="eastAsia" w:ascii="宋体" w:hAnsi="宋体"/>
                <w:bCs/>
                <w:szCs w:val="21"/>
                <w:highlight w:val="none"/>
              </w:rPr>
              <w:t>2）当满足以下条件时，采购人才向中标人签发验收报告：</w:t>
            </w:r>
          </w:p>
          <w:p>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bl>
    <w:p>
      <w:pPr>
        <w:ind w:firstLine="420" w:firstLineChars="200"/>
        <w:rPr>
          <w:rFonts w:asciiTheme="minorEastAsia" w:hAnsiTheme="minorEastAsia" w:eastAsiaTheme="minorEastAsia"/>
          <w:highlight w:val="none"/>
        </w:rPr>
      </w:pPr>
    </w:p>
    <w:p>
      <w:pPr>
        <w:rPr>
          <w:highlight w:val="none"/>
        </w:rPr>
      </w:pPr>
    </w:p>
    <w:p>
      <w:pPr>
        <w:pStyle w:val="4"/>
        <w:spacing w:before="120" w:beforeLines="50" w:after="120" w:afterLines="50"/>
        <w:rPr>
          <w:rFonts w:hint="eastAsia"/>
          <w:szCs w:val="24"/>
          <w:highlight w:val="none"/>
        </w:rPr>
      </w:pPr>
    </w:p>
    <w:p>
      <w:pPr>
        <w:pStyle w:val="4"/>
        <w:spacing w:before="120" w:beforeLines="50" w:after="120" w:afterLines="50"/>
        <w:rPr>
          <w:rFonts w:hint="eastAsia"/>
          <w:szCs w:val="24"/>
          <w:highlight w:val="none"/>
        </w:rPr>
      </w:pPr>
    </w:p>
    <w:p>
      <w:pPr>
        <w:pStyle w:val="4"/>
        <w:spacing w:before="120" w:beforeLines="50" w:after="120" w:afterLines="50"/>
        <w:rPr>
          <w:szCs w:val="24"/>
          <w:highlight w:val="none"/>
        </w:rPr>
      </w:pPr>
      <w:r>
        <w:rPr>
          <w:rFonts w:hint="eastAsia"/>
          <w:szCs w:val="24"/>
          <w:highlight w:val="none"/>
        </w:rPr>
        <w:t>七、其他重要条款</w:t>
      </w:r>
    </w:p>
    <w:p>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pPr>
        <w:pStyle w:val="8"/>
        <w:spacing w:before="60" w:beforeLines="25" w:after="60" w:afterLines="25"/>
        <w:ind w:firstLine="392" w:firstLineChars="187"/>
        <w:rPr>
          <w:rFonts w:ascii="宋体" w:hAnsi="宋体"/>
          <w:szCs w:val="21"/>
          <w:highlight w:val="none"/>
        </w:rPr>
      </w:pPr>
    </w:p>
    <w:p>
      <w:pPr>
        <w:pStyle w:val="8"/>
        <w:spacing w:before="60" w:beforeLines="25" w:after="60" w:afterLines="25"/>
        <w:ind w:firstLine="392" w:firstLineChars="187"/>
        <w:rPr>
          <w:rFonts w:ascii="宋体" w:hAnsi="宋体"/>
          <w:szCs w:val="21"/>
          <w:highlight w:val="none"/>
        </w:rPr>
      </w:pPr>
    </w:p>
    <w:p>
      <w:pPr>
        <w:pStyle w:val="8"/>
        <w:spacing w:before="60" w:beforeLines="25" w:after="60" w:afterLines="25"/>
        <w:ind w:firstLine="392" w:firstLineChars="187"/>
        <w:rPr>
          <w:rFonts w:ascii="宋体" w:hAnsi="宋体"/>
          <w:szCs w:val="21"/>
          <w:highlight w:val="none"/>
        </w:rPr>
      </w:pPr>
    </w:p>
    <w:p>
      <w:pPr>
        <w:rPr>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center"/>
      </w:pPr>
      <w:r>
        <w:rPr>
          <w:rFonts w:hint="eastAsia"/>
          <w:b/>
          <w:bCs/>
          <w:sz w:val="24"/>
          <w:szCs w:val="24"/>
        </w:rPr>
        <w:t>第四章 投标文件组成要求及格式</w:t>
      </w:r>
    </w:p>
    <w:p>
      <w:pPr>
        <w:rPr>
          <w:rStyle w:val="56"/>
          <w:sz w:val="24"/>
          <w:highlight w:val="none"/>
        </w:rPr>
      </w:pPr>
      <w:r>
        <w:rPr>
          <w:rStyle w:val="56"/>
          <w:rFonts w:hint="eastAsia"/>
          <w:sz w:val="24"/>
          <w:highlight w:val="none"/>
        </w:rPr>
        <w:t>特别提醒：</w:t>
      </w:r>
    </w:p>
    <w:p>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highlight w:val="none"/>
        </w:rPr>
      </w:pPr>
    </w:p>
    <w:p>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pPr>
        <w:ind w:firstLine="480" w:firstLineChars="200"/>
        <w:rPr>
          <w:rFonts w:ascii="仿宋_GB2312" w:eastAsia="仿宋_GB2312"/>
          <w:sz w:val="24"/>
          <w:highlight w:val="none"/>
        </w:rPr>
      </w:pPr>
    </w:p>
    <w:p>
      <w:pPr>
        <w:ind w:firstLine="482" w:firstLineChars="200"/>
        <w:rPr>
          <w:rFonts w:ascii="宋体" w:hAnsi="宋体"/>
          <w:b/>
          <w:sz w:val="24"/>
          <w:highlight w:val="none"/>
        </w:rPr>
      </w:pPr>
    </w:p>
    <w:p>
      <w:pPr>
        <w:rPr>
          <w:rFonts w:ascii="宋体" w:hAnsi="宋体"/>
          <w:sz w:val="24"/>
          <w:highlight w:val="none"/>
        </w:rPr>
      </w:pPr>
      <w:r>
        <w:rPr>
          <w:rFonts w:hint="eastAsia" w:ascii="宋体" w:hAnsi="宋体"/>
          <w:sz w:val="24"/>
          <w:highlight w:val="none"/>
        </w:rPr>
        <w:t>投标文件组成：</w:t>
      </w:r>
    </w:p>
    <w:p>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w:t>
      </w:r>
      <w:r>
        <w:rPr>
          <w:rFonts w:hint="eastAsia" w:asciiTheme="minorEastAsia" w:hAnsiTheme="minorEastAsia" w:eastAsiaTheme="minorEastAsia"/>
          <w:szCs w:val="21"/>
        </w:rPr>
        <w:t>投标人有效业绩</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（6）履约评价</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）认证情况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）自主知识产权产品（创新、设计）情况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9</w:t>
      </w:r>
      <w:r>
        <w:rPr>
          <w:rFonts w:hint="eastAsia" w:ascii="Times New Roman" w:hAnsi="Times New Roman" w:eastAsia="宋体" w:cs="Times New Roman"/>
          <w:szCs w:val="21"/>
          <w:highlight w:val="none"/>
        </w:rPr>
        <w:t>）投标人认为需要加以说明的其他内容（信息公开部分）</w:t>
      </w:r>
    </w:p>
    <w:p>
      <w:pPr>
        <w:ind w:firstLine="1200" w:firstLineChars="500"/>
        <w:outlineLvl w:val="9"/>
        <w:rPr>
          <w:rFonts w:hint="eastAsia" w:ascii="宋体" w:hAnsi="宋体"/>
          <w:sz w:val="24"/>
          <w:highlight w:val="none"/>
        </w:rPr>
      </w:pPr>
    </w:p>
    <w:p>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）项目服务方案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）质量保障措施</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）项目重点难点分析、应对措施及相关的合理化建议</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w:t>
      </w:r>
      <w:r>
        <w:rPr>
          <w:rFonts w:hint="eastAsia" w:cs="宋体" w:asciiTheme="minorEastAsia" w:hAnsiTheme="minorEastAsia" w:eastAsiaTheme="minorEastAsia"/>
          <w:kern w:val="0"/>
          <w:szCs w:val="21"/>
          <w:lang w:bidi="ar"/>
        </w:rPr>
        <w:t>项目完成（服务期满）后的服务承诺</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）拟安排的项目负责人情况（仅限一人）</w:t>
      </w:r>
    </w:p>
    <w:p>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0</w:t>
      </w:r>
      <w:r>
        <w:rPr>
          <w:rFonts w:hint="eastAsia"/>
          <w:szCs w:val="21"/>
          <w:highlight w:val="none"/>
        </w:rPr>
        <w:t>）拟安排的项目主要团队成员（主要技术人员）情况（项目负责人除外）</w:t>
      </w:r>
    </w:p>
    <w:p>
      <w:pPr>
        <w:ind w:left="718" w:leftChars="342" w:firstLine="1417" w:firstLineChars="675"/>
        <w:rPr>
          <w:rFonts w:hint="eastAsia"/>
          <w:szCs w:val="21"/>
          <w:highlight w:val="none"/>
        </w:rPr>
      </w:pPr>
      <w:r>
        <w:rPr>
          <w:rFonts w:hint="eastAsia"/>
          <w:szCs w:val="21"/>
          <w:highlight w:val="none"/>
          <w:lang w:eastAsia="zh-CN"/>
        </w:rPr>
        <w:t>（</w:t>
      </w:r>
      <w:r>
        <w:rPr>
          <w:rFonts w:hint="eastAsia"/>
          <w:szCs w:val="21"/>
          <w:highlight w:val="none"/>
          <w:lang w:val="en-US" w:eastAsia="zh-CN"/>
        </w:rPr>
        <w:t>11</w:t>
      </w:r>
      <w:r>
        <w:rPr>
          <w:rFonts w:hint="eastAsia"/>
          <w:szCs w:val="21"/>
          <w:highlight w:val="none"/>
          <w:lang w:eastAsia="zh-CN"/>
        </w:rPr>
        <w:t>）</w:t>
      </w:r>
      <w:r>
        <w:rPr>
          <w:rFonts w:hint="eastAsia"/>
          <w:szCs w:val="21"/>
          <w:highlight w:val="none"/>
        </w:rPr>
        <w:t>投标人认为需要加以说明的其他内容（信息不公开部分）</w:t>
      </w:r>
    </w:p>
    <w:p>
      <w:pPr>
        <w:pStyle w:val="9"/>
        <w:rPr>
          <w:highlight w:val="none"/>
        </w:rPr>
      </w:pPr>
    </w:p>
    <w:p>
      <w:pPr>
        <w:pStyle w:val="8"/>
        <w:ind w:left="210" w:leftChars="100" w:firstLine="781" w:firstLineChars="372"/>
        <w:rPr>
          <w:rFonts w:ascii="宋体" w:hAnsi="宋体"/>
          <w:szCs w:val="21"/>
          <w:highlight w:val="none"/>
        </w:rPr>
      </w:pPr>
    </w:p>
    <w:p>
      <w:pPr>
        <w:rPr>
          <w:rFonts w:ascii="仿宋_GB2312" w:eastAsia="仿宋_GB2312"/>
          <w:sz w:val="24"/>
          <w:highlight w:val="none"/>
        </w:rPr>
      </w:pPr>
    </w:p>
    <w:p>
      <w:pPr>
        <w:ind w:firstLine="426" w:firstLineChars="202"/>
        <w:rPr>
          <w:rFonts w:ascii="宋体" w:hAnsi="宋体"/>
          <w:b/>
          <w:szCs w:val="21"/>
          <w:highlight w:val="none"/>
        </w:rPr>
      </w:pPr>
      <w:r>
        <w:rPr>
          <w:rFonts w:hint="eastAsia" w:ascii="宋体" w:hAnsi="宋体"/>
          <w:b/>
          <w:szCs w:val="21"/>
          <w:highlight w:val="none"/>
        </w:rPr>
        <w:t>备注：</w:t>
      </w:r>
    </w:p>
    <w:p>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pPr>
        <w:pStyle w:val="5"/>
        <w:jc w:val="center"/>
        <w:rPr>
          <w:rFonts w:ascii="黑体" w:eastAsia="黑体"/>
          <w:b w:val="0"/>
          <w:kern w:val="0"/>
          <w:sz w:val="24"/>
          <w:highlight w:val="none"/>
        </w:rPr>
      </w:pPr>
      <w:r>
        <w:rPr>
          <w:rFonts w:hint="eastAsia" w:ascii="黑体" w:eastAsia="黑体"/>
          <w:b w:val="0"/>
          <w:kern w:val="0"/>
          <w:sz w:val="24"/>
          <w:highlight w:val="none"/>
        </w:rPr>
        <w:t>一、投标函</w:t>
      </w:r>
    </w:p>
    <w:p>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pPr>
        <w:ind w:left="420" w:leftChars="200"/>
        <w:rPr>
          <w:sz w:val="24"/>
          <w:highlight w:val="none"/>
        </w:rPr>
      </w:pPr>
      <w:r>
        <w:rPr>
          <w:rFonts w:hint="eastAsia"/>
          <w:sz w:val="24"/>
          <w:highlight w:val="none"/>
        </w:rPr>
        <w:t xml:space="preserve">                       </w:t>
      </w:r>
    </w:p>
    <w:p>
      <w:pPr>
        <w:rPr>
          <w:rFonts w:ascii="黑体" w:hAnsi="宋体" w:eastAsia="黑体"/>
          <w:highlight w:val="none"/>
        </w:rPr>
      </w:pPr>
    </w:p>
    <w:p>
      <w:pPr>
        <w:rPr>
          <w:rFonts w:ascii="宋体" w:hAnsi="宋体"/>
          <w:szCs w:val="21"/>
          <w:highlight w:val="none"/>
        </w:rPr>
      </w:pPr>
    </w:p>
    <w:p>
      <w:pPr>
        <w:pStyle w:val="5"/>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pPr>
        <w:rPr>
          <w:rFonts w:ascii="宋体" w:hAnsi="宋体"/>
          <w:sz w:val="24"/>
          <w:highlight w:val="none"/>
        </w:rPr>
      </w:pPr>
    </w:p>
    <w:p>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pPr>
        <w:ind w:right="-815" w:firstLine="420" w:firstLineChars="200"/>
        <w:rPr>
          <w:rFonts w:ascii="宋体" w:hAnsi="宋体"/>
          <w:szCs w:val="21"/>
          <w:highlight w:val="none"/>
        </w:rPr>
      </w:pPr>
      <w:r>
        <w:rPr>
          <w:rFonts w:hint="eastAsia" w:ascii="宋体" w:hAnsi="宋体"/>
          <w:szCs w:val="21"/>
          <w:highlight w:val="none"/>
        </w:rPr>
        <w:t>我单位承诺：</w:t>
      </w:r>
    </w:p>
    <w:p>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pPr>
        <w:pStyle w:val="9"/>
        <w:ind w:firstLine="482" w:firstLineChars="200"/>
        <w:rPr>
          <w:rFonts w:ascii="宋体" w:hAnsi="宋体"/>
          <w:highlight w:val="none"/>
        </w:rPr>
      </w:pPr>
    </w:p>
    <w:p>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pPr>
        <w:rPr>
          <w:rFonts w:ascii="宋体" w:hAnsi="宋体"/>
          <w:szCs w:val="21"/>
          <w:highlight w:val="none"/>
        </w:rPr>
      </w:pPr>
    </w:p>
    <w:p>
      <w:pPr>
        <w:rPr>
          <w:rFonts w:ascii="宋体" w:hAnsi="宋体"/>
          <w:szCs w:val="21"/>
          <w:highlight w:val="none"/>
        </w:rPr>
      </w:pPr>
    </w:p>
    <w:p>
      <w:pPr>
        <w:rPr>
          <w:highlight w:val="none"/>
        </w:rPr>
      </w:pPr>
    </w:p>
    <w:p>
      <w:pPr>
        <w:rPr>
          <w:highlight w:val="none"/>
        </w:rPr>
      </w:pPr>
    </w:p>
    <w:p>
      <w:pPr>
        <w:pStyle w:val="5"/>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pPr>
        <w:ind w:firstLine="482" w:firstLineChars="200"/>
        <w:rPr>
          <w:b/>
          <w:sz w:val="24"/>
          <w:highlight w:val="none"/>
        </w:rPr>
      </w:pPr>
    </w:p>
    <w:p>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pPr>
        <w:jc w:val="left"/>
        <w:outlineLvl w:val="3"/>
        <w:rPr>
          <w:rFonts w:ascii="黑体" w:hAnsi="宋体" w:eastAsia="黑体"/>
          <w:bCs/>
          <w:kern w:val="0"/>
          <w:sz w:val="24"/>
          <w:szCs w:val="32"/>
          <w:highlight w:val="none"/>
        </w:rPr>
      </w:pP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pPr>
        <w:pStyle w:val="2"/>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2"/>
        <w:rPr>
          <w:rFonts w:hint="default"/>
          <w:highlight w:val="none"/>
          <w:lang w:val="en-US" w:eastAsia="zh-CN"/>
        </w:rPr>
      </w:pPr>
    </w:p>
    <w:p>
      <w:pPr>
        <w:ind w:firstLine="420" w:firstLineChars="200"/>
        <w:rPr>
          <w:highlight w:val="none"/>
        </w:rPr>
      </w:pPr>
    </w:p>
    <w:p>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pPr>
        <w:pStyle w:val="9"/>
        <w:numPr>
          <w:ilvl w:val="0"/>
          <w:numId w:val="0"/>
        </w:numPr>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pPr>
        <w:ind w:firstLine="420" w:firstLineChars="200"/>
        <w:rPr>
          <w:highlight w:val="none"/>
        </w:rPr>
      </w:pPr>
    </w:p>
    <w:p>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pPr>
        <w:ind w:firstLine="420" w:firstLineChars="200"/>
        <w:outlineLvl w:val="3"/>
        <w:rPr>
          <w:rFonts w:ascii="宋体" w:hAnsi="宋体"/>
          <w:szCs w:val="21"/>
          <w:highlight w:val="none"/>
        </w:rPr>
      </w:pPr>
      <w:r>
        <w:rPr>
          <w:rFonts w:ascii="宋体" w:hAnsi="宋体"/>
          <w:szCs w:val="21"/>
          <w:highlight w:val="none"/>
        </w:rPr>
        <w:t xml:space="preserve">…… </w:t>
      </w:r>
    </w:p>
    <w:p>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pPr>
        <w:ind w:left="723" w:hanging="723" w:hangingChars="300"/>
        <w:rPr>
          <w:b/>
          <w:sz w:val="24"/>
          <w:highlight w:val="none"/>
        </w:rPr>
      </w:pPr>
    </w:p>
    <w:p>
      <w:pPr>
        <w:ind w:left="723" w:hanging="723" w:hangingChars="300"/>
        <w:rPr>
          <w:b/>
          <w:sz w:val="24"/>
          <w:highlight w:val="none"/>
        </w:rPr>
      </w:pPr>
    </w:p>
    <w:p>
      <w:pPr>
        <w:rPr>
          <w:rFonts w:hint="eastAsia" w:ascii="黑体" w:eastAsia="黑体"/>
          <w:b w:val="0"/>
          <w:sz w:val="24"/>
          <w:szCs w:val="24"/>
          <w:highlight w:val="none"/>
        </w:rPr>
      </w:pPr>
      <w:r>
        <w:rPr>
          <w:rFonts w:hint="eastAsia" w:ascii="黑体" w:eastAsia="黑体"/>
          <w:b w:val="0"/>
          <w:sz w:val="24"/>
          <w:szCs w:val="24"/>
          <w:highlight w:val="none"/>
        </w:rPr>
        <w:br w:type="page"/>
      </w:r>
    </w:p>
    <w:p>
      <w:pPr>
        <w:pStyle w:val="5"/>
        <w:jc w:val="center"/>
        <w:rPr>
          <w:rFonts w:ascii="黑体" w:eastAsia="黑体"/>
          <w:b w:val="0"/>
          <w:sz w:val="24"/>
          <w:szCs w:val="24"/>
          <w:highlight w:val="none"/>
        </w:rPr>
      </w:pPr>
      <w:r>
        <w:rPr>
          <w:rFonts w:hint="eastAsia" w:ascii="黑体" w:eastAsia="黑体"/>
          <w:b w:val="0"/>
          <w:sz w:val="24"/>
          <w:szCs w:val="24"/>
          <w:highlight w:val="none"/>
        </w:rPr>
        <w:t>四、项目详细报价</w:t>
      </w:r>
    </w:p>
    <w:p>
      <w:pPr>
        <w:tabs>
          <w:tab w:val="left" w:pos="720"/>
        </w:tabs>
        <w:ind w:firstLine="3132" w:firstLineChars="1300"/>
        <w:rPr>
          <w:b/>
          <w:sz w:val="24"/>
          <w:highlight w:val="none"/>
        </w:rPr>
      </w:pPr>
      <w:r>
        <w:rPr>
          <w:rFonts w:hint="eastAsia"/>
          <w:b/>
          <w:sz w:val="24"/>
          <w:highlight w:val="none"/>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rPr>
                <w:rFonts w:hint="eastAsia" w:hAnsi="宋体"/>
                <w:sz w:val="24"/>
              </w:rPr>
            </w:pPr>
            <w:r>
              <w:rPr>
                <w:rFonts w:hint="eastAsia" w:hAnsi="宋体"/>
                <w:sz w:val="24"/>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rPr>
                <w:rFonts w:hint="eastAsia" w:hAnsi="宋体"/>
                <w:sz w:val="24"/>
              </w:rPr>
            </w:pPr>
            <w:r>
              <w:rPr>
                <w:rFonts w:hint="eastAsia" w:hAnsi="宋体"/>
                <w:sz w:val="24"/>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rPr>
                <w:rFonts w:hint="eastAsia" w:hAnsi="宋体"/>
                <w:sz w:val="24"/>
              </w:rPr>
            </w:pPr>
            <w:r>
              <w:rPr>
                <w:rFonts w:hint="eastAsia" w:hAnsi="宋体"/>
                <w:sz w:val="24"/>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rPr>
                <w:rFonts w:hint="eastAsia" w:hAnsi="宋体"/>
                <w:sz w:val="24"/>
              </w:rPr>
            </w:pPr>
            <w:r>
              <w:rPr>
                <w:rFonts w:hint="eastAsia" w:hAnsi="宋体"/>
                <w:sz w:val="24"/>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rPr>
                <w:rFonts w:hint="eastAsia" w:hAnsi="宋体"/>
                <w:sz w:val="24"/>
              </w:rPr>
            </w:pPr>
            <w:r>
              <w:rPr>
                <w:rFonts w:hint="eastAsia" w:hAnsi="宋体"/>
                <w:sz w:val="24"/>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**费用</w:t>
            </w: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restart"/>
            <w:tcBorders>
              <w:top w:val="nil"/>
              <w:left w:val="nil"/>
              <w:right w:val="single" w:color="auto" w:sz="8" w:space="0"/>
            </w:tcBorders>
            <w:shd w:val="clear" w:color="auto" w:fill="auto"/>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bottom w:val="single" w:color="auto" w:sz="4" w:space="0"/>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**费用小计</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rPr>
                <w:rFonts w:hint="eastAsia" w:hAnsi="宋体"/>
                <w:sz w:val="24"/>
              </w:rPr>
            </w:pPr>
            <w:r>
              <w:rPr>
                <w:rFonts w:hint="eastAsia" w:hAnsi="宋体"/>
                <w:sz w:val="24"/>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其他费用</w:t>
            </w:r>
          </w:p>
        </w:tc>
        <w:tc>
          <w:tcPr>
            <w:tcW w:w="3152"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000000" w:fill="FFFFFF"/>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其他费用小计</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税金</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合计(元)</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以上各项之和</w:t>
            </w:r>
          </w:p>
        </w:tc>
      </w:tr>
    </w:tbl>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备注：</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1.所有价格应按“招标文件”中规定的货币单位填写；</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2.投标总价应为以上各分项价格之和；</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3.本表格式可根据项目具体情况进行修改；</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4.投标总价和项目报价表中单个采购预算条目报价均不得超过对应的财政预算限额，否则将导致投标无效。</w:t>
      </w:r>
    </w:p>
    <w:p>
      <w:pPr>
        <w:ind w:firstLine="413" w:firstLineChars="196"/>
        <w:rPr>
          <w:rFonts w:hint="default" w:ascii="宋体" w:hAnsi="宋体" w:eastAsia="宋体" w:cs="宋体"/>
          <w:b/>
          <w:color w:val="0000FF"/>
          <w:szCs w:val="21"/>
          <w:lang w:val="en-US" w:eastAsia="zh-CN"/>
        </w:rPr>
      </w:pPr>
      <w:r>
        <w:rPr>
          <w:rFonts w:hint="eastAsia" w:ascii="宋体" w:hAnsi="宋体" w:eastAsia="宋体" w:cs="宋体"/>
          <w:b/>
          <w:color w:val="0000FF"/>
          <w:szCs w:val="21"/>
        </w:rPr>
        <w:t>5.《分项报价表》的投标总价应与开标一览表的投标总价一致。</w:t>
      </w:r>
    </w:p>
    <w:p>
      <w:pPr>
        <w:pStyle w:val="40"/>
        <w:rPr>
          <w:rFonts w:hint="eastAsia"/>
          <w:lang w:val="en-US" w:eastAsia="zh-CN"/>
        </w:rPr>
      </w:pPr>
    </w:p>
    <w:p>
      <w:pPr>
        <w:pStyle w:val="40"/>
        <w:rPr>
          <w:rFonts w:hint="default"/>
          <w:lang w:val="en-US" w:eastAsia="zh-CN"/>
        </w:rPr>
      </w:pPr>
    </w:p>
    <w:p>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pPr>
        <w:rPr>
          <w:highlight w:val="none"/>
        </w:rPr>
      </w:pP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五、投标人有效业绩</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pPr>
              <w:spacing w:line="276" w:lineRule="auto"/>
              <w:jc w:val="center"/>
              <w:rPr>
                <w:rFonts w:ascii="宋体"/>
                <w:szCs w:val="21"/>
                <w:highlight w:val="none"/>
              </w:rPr>
            </w:pPr>
            <w:r>
              <w:rPr>
                <w:rFonts w:hint="eastAsia" w:ascii="宋体" w:hAnsi="宋体"/>
                <w:szCs w:val="21"/>
                <w:highlight w:val="none"/>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bl>
    <w:p>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履约评价</w:t>
      </w:r>
    </w:p>
    <w:p>
      <w:pPr>
        <w:pStyle w:val="9"/>
        <w:spacing w:line="276" w:lineRule="auto"/>
        <w:rPr>
          <w:b w:val="0"/>
          <w:bCs w:val="0"/>
          <w:sz w:val="21"/>
          <w:szCs w:val="21"/>
          <w:highlight w:val="none"/>
        </w:rPr>
      </w:pPr>
      <w:r>
        <w:rPr>
          <w:rFonts w:hint="eastAsia"/>
          <w:b w:val="0"/>
          <w:bCs w:val="0"/>
          <w:sz w:val="21"/>
          <w:szCs w:val="21"/>
          <w:highlight w:val="none"/>
        </w:rPr>
        <w:t>（特别提示：投标人须按本招标文件评标信息中“履约评价”这一评分因素要求，提供证明资料）</w:t>
      </w: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5"/>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、认证情况</w:t>
      </w:r>
    </w:p>
    <w:p>
      <w:pPr>
        <w:pStyle w:val="9"/>
        <w:spacing w:line="276" w:lineRule="auto"/>
        <w:rPr>
          <w:b w:val="0"/>
          <w:bCs w:val="0"/>
          <w:sz w:val="21"/>
          <w:szCs w:val="21"/>
          <w:highlight w:val="none"/>
        </w:rPr>
      </w:pPr>
      <w:r>
        <w:rPr>
          <w:rFonts w:hint="eastAsia"/>
          <w:b w:val="0"/>
          <w:bCs w:val="0"/>
          <w:sz w:val="21"/>
          <w:szCs w:val="21"/>
          <w:highlight w:val="none"/>
        </w:rPr>
        <w:t>（特别提示：投标人须按本招标文件评标信息中“认证情况”这一评分因素要求，提供证明资料）</w:t>
      </w:r>
    </w:p>
    <w:p>
      <w:pPr>
        <w:pStyle w:val="5"/>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、自主知识产权产品（创新、设计）情况</w:t>
      </w:r>
    </w:p>
    <w:p>
      <w:pPr>
        <w:pStyle w:val="5"/>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b w:val="0"/>
          <w:bCs w:val="0"/>
          <w:sz w:val="21"/>
          <w:szCs w:val="21"/>
          <w:highlight w:val="none"/>
        </w:rPr>
        <w:t>（特别提示：投标人须按本招标文件评标信息中“自主知识产权产品（创新、设计）情况”这一评分因素要求，提供证明资料）</w:t>
      </w: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、投标人认为需要加以说明的其他内容（信息公开部分）</w:t>
      </w:r>
    </w:p>
    <w:p>
      <w:pPr>
        <w:pStyle w:val="2"/>
        <w:rPr>
          <w:highlight w:val="none"/>
        </w:rPr>
      </w:pPr>
    </w:p>
    <w:p>
      <w:pPr>
        <w:pStyle w:val="8"/>
        <w:rPr>
          <w:highlight w:val="none"/>
        </w:rPr>
      </w:pPr>
    </w:p>
    <w:p>
      <w:pPr>
        <w:rPr>
          <w:rFonts w:hint="default" w:eastAsia="宋体"/>
          <w:highlight w:val="none"/>
          <w:lang w:val="en-US" w:eastAsia="zh-CN"/>
        </w:rPr>
      </w:pPr>
    </w:p>
    <w:p>
      <w:pPr>
        <w:rPr>
          <w:rFonts w:hint="eastAsia"/>
          <w:b/>
          <w:color w:val="FF0000"/>
          <w:sz w:val="24"/>
          <w:highlight w:val="none"/>
        </w:rPr>
      </w:pPr>
      <w:r>
        <w:rPr>
          <w:rFonts w:hint="eastAsia"/>
          <w:b/>
          <w:color w:val="FF0000"/>
          <w:sz w:val="24"/>
          <w:highlight w:val="none"/>
        </w:rPr>
        <w:br w:type="page"/>
      </w:r>
    </w:p>
    <w:p>
      <w:pPr>
        <w:ind w:firstLine="1446" w:firstLineChars="600"/>
        <w:rPr>
          <w:highlight w:val="none"/>
        </w:rPr>
      </w:pPr>
      <w:r>
        <w:rPr>
          <w:rFonts w:hint="eastAsia"/>
          <w:b/>
          <w:color w:val="FF0000"/>
          <w:sz w:val="24"/>
          <w:highlight w:val="none"/>
        </w:rPr>
        <w:t>（信息公开部分的内容到此为止！以下为信息不公开部分。）</w:t>
      </w:r>
    </w:p>
    <w:p>
      <w:pPr>
        <w:outlineLvl w:val="1"/>
        <w:rPr>
          <w:rFonts w:hint="eastAsia" w:ascii="宋体" w:hAnsi="宋体"/>
          <w:b/>
          <w:color w:val="FF0000"/>
          <w:sz w:val="28"/>
          <w:szCs w:val="28"/>
          <w:highlight w:val="none"/>
        </w:rPr>
      </w:pP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2"/>
        <w:rPr>
          <w:rFonts w:hint="eastAsia" w:ascii="宋体" w:hAnsi="宋体"/>
          <w:b/>
          <w:color w:val="FF0000"/>
          <w:sz w:val="28"/>
          <w:szCs w:val="28"/>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pPr>
        <w:rPr>
          <w:sz w:val="24"/>
          <w:highlight w:val="none"/>
        </w:rPr>
      </w:pPr>
    </w:p>
    <w:p>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pPr>
        <w:spacing w:line="360" w:lineRule="auto"/>
        <w:ind w:firstLine="420" w:firstLineChars="200"/>
        <w:rPr>
          <w:szCs w:val="21"/>
          <w:highlight w:val="none"/>
        </w:rPr>
      </w:pPr>
      <w:r>
        <w:rPr>
          <w:rFonts w:hint="eastAsia"/>
          <w:szCs w:val="21"/>
          <w:highlight w:val="none"/>
        </w:rPr>
        <w:t>特此证明。</w:t>
      </w:r>
    </w:p>
    <w:p>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9"/>
              <w:jc w:val="center"/>
              <w:rPr>
                <w:rFonts w:hint="eastAsia"/>
                <w:highlight w:val="none"/>
                <w:lang w:val="en-US" w:eastAsia="zh-CN"/>
              </w:rPr>
            </w:pPr>
            <w:r>
              <w:rPr>
                <w:rFonts w:hint="eastAsia"/>
                <w:highlight w:val="none"/>
                <w:lang w:val="en-US" w:eastAsia="zh-CN"/>
              </w:rPr>
              <w:t xml:space="preserve"> </w:t>
            </w:r>
          </w:p>
          <w:p>
            <w:pPr>
              <w:pStyle w:val="10"/>
              <w:rPr>
                <w:rFonts w:hint="eastAsia"/>
                <w:highlight w:val="none"/>
                <w:lang w:val="en-US" w:eastAsia="zh-CN"/>
              </w:rPr>
            </w:pPr>
          </w:p>
          <w:p>
            <w:pPr>
              <w:pStyle w:val="10"/>
              <w:rPr>
                <w:rFonts w:hint="eastAsia"/>
                <w:highlight w:val="none"/>
                <w:lang w:val="en-US" w:eastAsia="zh-CN"/>
              </w:rPr>
            </w:pPr>
          </w:p>
          <w:p>
            <w:pPr>
              <w:pStyle w:val="10"/>
              <w:rPr>
                <w:rFonts w:hint="eastAsia"/>
                <w:highlight w:val="none"/>
                <w:lang w:val="en-US" w:eastAsia="zh-CN"/>
              </w:rPr>
            </w:pPr>
          </w:p>
          <w:p>
            <w:pPr>
              <w:pStyle w:val="10"/>
              <w:rPr>
                <w:rFonts w:hint="default"/>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highlight w:val="none"/>
        </w:rPr>
      </w:pPr>
      <w:r>
        <w:rPr>
          <w:rFonts w:hint="eastAsia"/>
          <w:szCs w:val="21"/>
          <w:highlight w:val="none"/>
        </w:rPr>
        <w:t>代理人无转委托权，特此委托。</w:t>
      </w:r>
    </w:p>
    <w:p>
      <w:pPr>
        <w:spacing w:line="360" w:lineRule="auto"/>
        <w:ind w:firstLine="420" w:firstLineChars="200"/>
        <w:rPr>
          <w:rFonts w:hint="eastAsia"/>
          <w:szCs w:val="21"/>
          <w:highlight w:val="none"/>
        </w:rPr>
      </w:pPr>
    </w:p>
    <w:p>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9"/>
              <w:jc w:val="center"/>
              <w:rPr>
                <w:rFonts w:hint="eastAsia"/>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top"/>
          </w:tcPr>
          <w:p>
            <w:pPr>
              <w:rPr>
                <w:rFonts w:hAnsi="宋体"/>
                <w:kern w:val="0"/>
                <w:szCs w:val="21"/>
                <w:highlight w:val="none"/>
              </w:rPr>
            </w:pPr>
            <w:r>
              <w:rPr>
                <w:rFonts w:hint="eastAsia" w:hAnsi="宋体"/>
                <w:b/>
                <w:bCs/>
                <w:color w:val="FF0000"/>
                <w:kern w:val="0"/>
                <w:szCs w:val="21"/>
                <w:highlight w:val="none"/>
              </w:rPr>
              <w:t>具体以采购文件第三章 用户需求书中带“★”的需求项为准。</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bl>
    <w:p>
      <w:pPr>
        <w:ind w:firstLine="482" w:firstLineChars="200"/>
        <w:rPr>
          <w:b/>
          <w:sz w:val="24"/>
          <w:szCs w:val="22"/>
          <w:highlight w:val="none"/>
        </w:rPr>
      </w:pPr>
      <w:r>
        <w:rPr>
          <w:rFonts w:hint="eastAsia"/>
          <w:b/>
          <w:sz w:val="24"/>
          <w:szCs w:val="22"/>
          <w:highlight w:val="none"/>
        </w:rPr>
        <w:t>注：1.上表所列各项均为不可负偏离条款。</w:t>
      </w:r>
    </w:p>
    <w:p>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pPr>
        <w:ind w:firstLine="420" w:firstLineChars="200"/>
        <w:rPr>
          <w:highlight w:val="none"/>
        </w:rPr>
      </w:pPr>
    </w:p>
    <w:p>
      <w:pPr>
        <w:rPr>
          <w:b/>
          <w:bCs/>
          <w:sz w:val="24"/>
          <w:highlight w:val="none"/>
        </w:rPr>
      </w:pPr>
    </w:p>
    <w:p>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、项目服务方案</w:t>
      </w:r>
    </w:p>
    <w:p>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（特别提示：投标人须按本招标文件评标信息中“项目服务方案”这一评分因素要求，提供证明资料）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、质量保障措施</w:t>
      </w:r>
    </w:p>
    <w:p>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（特别提示：投标人须按本招标文件评标信息中“质量保障措施”这一评分因素要求，提供证明资料）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、项目重点难点分析、应对措施及相关的合理化建议</w:t>
      </w:r>
    </w:p>
    <w:p>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pPr>
        <w:rPr>
          <w:rFonts w:ascii="黑体" w:hAnsi="宋体" w:eastAsia="黑体"/>
          <w:bCs/>
          <w:kern w:val="0"/>
          <w:sz w:val="24"/>
          <w:highlight w:val="none"/>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hint="eastAsia" w:ascii="黑体" w:eastAsia="黑体"/>
          <w:b w:val="0"/>
          <w:kern w:val="0"/>
          <w:sz w:val="24"/>
          <w:szCs w:val="24"/>
          <w:highlight w:val="none"/>
          <w:lang w:val="en-US"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numPr>
          <w:ilvl w:val="0"/>
          <w:numId w:val="0"/>
        </w:numPr>
        <w:adjustRightInd w:val="0"/>
        <w:snapToGrid w:val="0"/>
        <w:spacing w:line="276" w:lineRule="auto"/>
        <w:jc w:val="center"/>
        <w:rPr>
          <w:rFonts w:hint="eastAsia"/>
          <w:lang w:val="en-US" w:eastAsia="zh-CN"/>
        </w:rPr>
      </w:pPr>
      <w:r>
        <w:rPr>
          <w:rFonts w:hint="eastAsia" w:ascii="黑体" w:eastAsia="黑体"/>
          <w:b w:val="0"/>
          <w:kern w:val="0"/>
          <w:sz w:val="24"/>
          <w:szCs w:val="24"/>
          <w:highlight w:val="none"/>
          <w:lang w:val="en-US" w:eastAsia="zh-CN"/>
        </w:rPr>
        <w:t>八、项目完成（服务期满）后的服务承诺</w:t>
      </w:r>
    </w:p>
    <w:p>
      <w:pPr>
        <w:pStyle w:val="9"/>
        <w:adjustRightInd w:val="0"/>
        <w:snapToGrid w:val="0"/>
        <w:spacing w:line="276" w:lineRule="auto"/>
        <w:rPr>
          <w:rFonts w:hint="eastAsia" w:ascii="Times New Roman" w:hAnsi="Times New Roman" w:eastAsia="宋体" w:cs="Times New Roman"/>
          <w:b w:val="0"/>
          <w:bCs w:val="0"/>
          <w:sz w:val="21"/>
          <w:szCs w:val="21"/>
          <w:highlight w:val="none"/>
          <w:lang w:val="en-US"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Times New Roman" w:hAnsi="Times New Roman" w:eastAsia="宋体" w:cs="Times New Roman"/>
          <w:b w:val="0"/>
          <w:bCs w:val="0"/>
          <w:sz w:val="21"/>
          <w:szCs w:val="21"/>
          <w:highlight w:val="none"/>
        </w:rPr>
        <w:t>（特别提示：投标人须按本招标文件评标信息中“投入服务配套的设施情况”这一评分因素要求，提供证明资料）</w:t>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、拟安排的项目负责人情况（仅限一人）</w:t>
      </w:r>
    </w:p>
    <w:p>
      <w:pPr>
        <w:pStyle w:val="6"/>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-1人员配备承诺</w:t>
      </w:r>
    </w:p>
    <w:p>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pPr>
        <w:pStyle w:val="3"/>
        <w:rPr>
          <w:highlight w:val="none"/>
        </w:rPr>
      </w:pPr>
    </w:p>
    <w:p>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（1）人数：3人以上</w:t>
      </w:r>
    </w:p>
    <w:p>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（2）配备专业医护人员至少1人；</w:t>
      </w:r>
    </w:p>
    <w:p>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（3）配备导游至少1人。</w:t>
      </w:r>
    </w:p>
    <w:p>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（4）配备服务人员至少1人。</w:t>
      </w:r>
    </w:p>
    <w:p>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pPr>
        <w:pStyle w:val="6"/>
        <w:adjustRightInd w:val="0"/>
        <w:snapToGrid w:val="0"/>
        <w:spacing w:before="0" w:after="0" w:line="276" w:lineRule="auto"/>
        <w:jc w:val="left"/>
        <w:rPr>
          <w:highlight w:val="none"/>
        </w:rPr>
      </w:pPr>
      <w:r>
        <w:rPr>
          <w:rFonts w:hint="eastAsia" w:ascii="宋体" w:hAnsi="宋体" w:eastAsia="宋体"/>
          <w:sz w:val="21"/>
          <w:szCs w:val="21"/>
          <w:highlight w:val="none"/>
        </w:rPr>
        <w:t>8</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3"/>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pPr>
              <w:spacing w:line="276" w:lineRule="auto"/>
              <w:jc w:val="center"/>
              <w:rPr>
                <w:rFonts w:ascii="宋体" w:hAnsi="宋体"/>
                <w:szCs w:val="21"/>
                <w:highlight w:val="none"/>
              </w:rPr>
            </w:pPr>
            <w:r>
              <w:rPr>
                <w:rFonts w:hint="eastAsia" w:ascii="宋体" w:hAnsi="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932" w:type="dxa"/>
            <w:vMerge w:val="continue"/>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pPr>
              <w:spacing w:line="276" w:lineRule="auto"/>
              <w:jc w:val="center"/>
              <w:rPr>
                <w:rFonts w:ascii="宋体" w:hAnsi="宋体"/>
                <w:szCs w:val="21"/>
                <w:highlight w:val="none"/>
              </w:rPr>
            </w:pPr>
            <w:r>
              <w:rPr>
                <w:rFonts w:hint="eastAsia" w:ascii="宋体" w:hAnsi="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pPr>
              <w:spacing w:line="276" w:lineRule="auto"/>
              <w:jc w:val="center"/>
              <w:rPr>
                <w:rFonts w:ascii="宋体" w:hAnsi="宋体"/>
                <w:szCs w:val="21"/>
                <w:highlight w:val="none"/>
              </w:rPr>
            </w:pPr>
          </w:p>
        </w:tc>
        <w:tc>
          <w:tcPr>
            <w:tcW w:w="932" w:type="dxa"/>
          </w:tcPr>
          <w:p>
            <w:pPr>
              <w:spacing w:line="276" w:lineRule="auto"/>
              <w:jc w:val="center"/>
              <w:rPr>
                <w:rFonts w:ascii="宋体" w:hAnsi="宋体"/>
                <w:szCs w:val="21"/>
                <w:highlight w:val="none"/>
              </w:rPr>
            </w:pPr>
          </w:p>
        </w:tc>
        <w:tc>
          <w:tcPr>
            <w:tcW w:w="932" w:type="dxa"/>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p>
        </w:tc>
        <w:tc>
          <w:tcPr>
            <w:tcW w:w="992" w:type="dxa"/>
            <w:vAlign w:val="center"/>
          </w:tcPr>
          <w:p>
            <w:pPr>
              <w:spacing w:line="276" w:lineRule="auto"/>
              <w:jc w:val="center"/>
              <w:rPr>
                <w:rFonts w:ascii="宋体" w:hAnsi="宋体"/>
                <w:szCs w:val="21"/>
                <w:highlight w:val="none"/>
              </w:rPr>
            </w:pPr>
          </w:p>
        </w:tc>
        <w:tc>
          <w:tcPr>
            <w:tcW w:w="1171" w:type="dxa"/>
            <w:vAlign w:val="center"/>
          </w:tcPr>
          <w:p>
            <w:pPr>
              <w:spacing w:line="276" w:lineRule="auto"/>
              <w:jc w:val="center"/>
              <w:rPr>
                <w:rFonts w:ascii="宋体" w:hAnsi="宋体"/>
                <w:szCs w:val="21"/>
                <w:highlight w:val="none"/>
              </w:rPr>
            </w:pPr>
          </w:p>
        </w:tc>
        <w:tc>
          <w:tcPr>
            <w:tcW w:w="1149" w:type="dxa"/>
            <w:vAlign w:val="center"/>
          </w:tcPr>
          <w:p>
            <w:pPr>
              <w:spacing w:line="276" w:lineRule="auto"/>
              <w:jc w:val="center"/>
              <w:rPr>
                <w:rFonts w:ascii="宋体" w:hAnsi="宋体"/>
                <w:szCs w:val="21"/>
                <w:highlight w:val="none"/>
              </w:rPr>
            </w:pPr>
          </w:p>
        </w:tc>
      </w:tr>
    </w:tbl>
    <w:p>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pPr>
        <w:adjustRightInd w:val="0"/>
        <w:snapToGrid w:val="0"/>
        <w:rPr>
          <w:highlight w:val="none"/>
        </w:rPr>
      </w:pPr>
    </w:p>
    <w:p>
      <w:pPr>
        <w:rPr>
          <w:rFonts w:hint="eastAsia" w:ascii="黑体" w:eastAsia="黑体"/>
          <w:b w:val="0"/>
          <w:kern w:val="0"/>
          <w:sz w:val="24"/>
          <w:szCs w:val="24"/>
          <w:highlight w:val="none"/>
          <w:lang w:val="en-US" w:eastAsia="zh-CN"/>
        </w:rPr>
      </w:pPr>
      <w:bookmarkStart w:id="43" w:name="_Toc59916727"/>
      <w:r>
        <w:rPr>
          <w:rFonts w:hint="eastAsia" w:ascii="黑体" w:eastAsia="黑体"/>
          <w:b w:val="0"/>
          <w:kern w:val="0"/>
          <w:sz w:val="24"/>
          <w:szCs w:val="24"/>
          <w:highlight w:val="none"/>
          <w:lang w:val="en-US" w:eastAsia="zh-CN"/>
        </w:rPr>
        <w:br w:type="page"/>
      </w:r>
    </w:p>
    <w:p>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w:t>
      </w:r>
      <w:bookmarkEnd w:id="43"/>
      <w:r>
        <w:rPr>
          <w:rFonts w:hint="eastAsia" w:ascii="黑体" w:eastAsia="黑体"/>
          <w:b w:val="0"/>
          <w:kern w:val="0"/>
          <w:sz w:val="24"/>
          <w:szCs w:val="24"/>
          <w:highlight w:val="none"/>
        </w:rPr>
        <w:t>拟安排的项目主要团队成员（主要技术人员）情况（项目负责人除外）情况</w:t>
      </w:r>
    </w:p>
    <w:tbl>
      <w:tblPr>
        <w:tblStyle w:val="43"/>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Merge w:val="continue"/>
            <w:vAlign w:val="center"/>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877" w:type="dxa"/>
            <w:vMerge w:val="continue"/>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pPr>
              <w:spacing w:line="276" w:lineRule="auto"/>
              <w:rPr>
                <w:rFonts w:ascii="宋体" w:hAnsi="宋体" w:cs="宋体"/>
                <w:szCs w:val="21"/>
                <w:highlight w:val="none"/>
              </w:rPr>
            </w:pP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bl>
    <w:p>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pPr>
        <w:pStyle w:val="8"/>
        <w:spacing w:before="60" w:beforeLines="25" w:after="60" w:afterLines="25"/>
        <w:ind w:firstLine="0"/>
        <w:rPr>
          <w:rFonts w:ascii="黑体" w:hAnsi="宋体" w:eastAsia="黑体"/>
          <w:sz w:val="24"/>
          <w:highlight w:val="none"/>
        </w:rPr>
      </w:pPr>
    </w:p>
    <w:p>
      <w:pPr>
        <w:rPr>
          <w:rFonts w:ascii="黑体" w:hAnsi="宋体" w:eastAsia="黑体"/>
          <w:sz w:val="24"/>
          <w:highlight w:val="none"/>
        </w:rPr>
      </w:pPr>
    </w:p>
    <w:p>
      <w:pPr>
        <w:pStyle w:val="6"/>
        <w:jc w:val="center"/>
        <w:rPr>
          <w:rFonts w:hint="eastAsia" w:ascii="黑体" w:eastAsia="黑体"/>
          <w:b w:val="0"/>
          <w:bCs w:val="0"/>
          <w:sz w:val="24"/>
          <w:szCs w:val="20"/>
          <w:highlight w:val="none"/>
          <w:lang w:val="en-US" w:eastAsia="zh-CN"/>
        </w:rPr>
      </w:pPr>
    </w:p>
    <w:p>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pPr>
        <w:pStyle w:val="6"/>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一</w:t>
      </w:r>
      <w:r>
        <w:rPr>
          <w:rFonts w:hint="eastAsia" w:ascii="黑体" w:eastAsia="黑体" w:cs="Times New Roman"/>
          <w:b w:val="0"/>
          <w:bCs w:val="0"/>
          <w:sz w:val="24"/>
          <w:szCs w:val="28"/>
          <w:highlight w:val="none"/>
        </w:rPr>
        <w:t>、投标人认为需要加以说明的其他内容</w:t>
      </w:r>
    </w:p>
    <w:p>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pPr>
        <w:spacing w:beforeLines="0" w:line="340" w:lineRule="exact"/>
        <w:ind w:firstLine="420" w:firstLineChars="200"/>
        <w:rPr>
          <w:color w:val="auto"/>
          <w:highlight w:val="none"/>
        </w:rPr>
      </w:pPr>
      <w:r>
        <w:rPr>
          <w:rFonts w:hint="eastAsia"/>
          <w:color w:val="auto"/>
          <w:highlight w:val="none"/>
        </w:rPr>
        <w:t>（七）不同投标人的投标报价呈规律性差异。</w:t>
      </w:r>
    </w:p>
    <w:p>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pPr>
        <w:widowControl/>
        <w:autoSpaceDE w:val="0"/>
        <w:autoSpaceDN w:val="0"/>
        <w:spacing w:line="400" w:lineRule="exact"/>
        <w:ind w:right="1414" w:firstLine="480" w:firstLineChars="200"/>
        <w:jc w:val="right"/>
        <w:rPr>
          <w:rFonts w:eastAsiaTheme="minorEastAsia"/>
          <w:kern w:val="0"/>
          <w:sz w:val="24"/>
          <w:highlight w:val="none"/>
        </w:rPr>
      </w:pPr>
    </w:p>
    <w:p>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highlight w:val="none"/>
        </w:rPr>
      </w:pPr>
    </w:p>
    <w:p>
      <w:pPr>
        <w:widowControl/>
        <w:autoSpaceDE w:val="0"/>
        <w:autoSpaceDN w:val="0"/>
        <w:spacing w:line="400" w:lineRule="exact"/>
        <w:ind w:right="1414" w:firstLine="480" w:firstLineChars="200"/>
        <w:jc w:val="right"/>
        <w:rPr>
          <w:rFonts w:eastAsiaTheme="minorEastAsia"/>
          <w:kern w:val="0"/>
          <w:sz w:val="24"/>
          <w:highlight w:val="none"/>
        </w:rPr>
      </w:pPr>
    </w:p>
    <w:p>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pPr>
        <w:ind w:firstLine="720" w:firstLineChars="300"/>
        <w:rPr>
          <w:sz w:val="24"/>
          <w:highlight w:val="none"/>
        </w:rPr>
      </w:pPr>
    </w:p>
    <w:p>
      <w:pPr>
        <w:widowControl/>
        <w:spacing w:line="360" w:lineRule="auto"/>
        <w:jc w:val="left"/>
        <w:rPr>
          <w:rFonts w:eastAsiaTheme="minorEastAsia"/>
          <w:b/>
          <w:bCs/>
          <w:kern w:val="0"/>
          <w:sz w:val="24"/>
          <w:highlight w:val="none"/>
        </w:rPr>
      </w:pPr>
    </w:p>
    <w:p>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pPr>
        <w:rPr>
          <w:highlight w:val="none"/>
        </w:rPr>
      </w:pPr>
    </w:p>
    <w:p>
      <w:pPr>
        <w:pStyle w:val="9"/>
        <w:rPr>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9"/>
        <w:rPr>
          <w:highlight w:val="none"/>
        </w:rPr>
      </w:pPr>
    </w:p>
    <w:p>
      <w:pPr>
        <w:pStyle w:val="4"/>
        <w:rPr>
          <w:highlight w:val="none"/>
        </w:rPr>
      </w:pPr>
      <w:r>
        <w:rPr>
          <w:rFonts w:hint="eastAsia"/>
          <w:highlight w:val="none"/>
        </w:rPr>
        <w:t>第五章  合同条款及格式</w:t>
      </w:r>
    </w:p>
    <w:p>
      <w:pPr>
        <w:ind w:firstLine="411" w:firstLineChars="196"/>
        <w:rPr>
          <w:highlight w:val="none"/>
        </w:rPr>
      </w:pPr>
    </w:p>
    <w:p>
      <w:pPr>
        <w:jc w:val="center"/>
        <w:outlineLvl w:val="0"/>
        <w:rPr>
          <w:highlight w:val="none"/>
        </w:rPr>
      </w:pPr>
      <w:r>
        <w:rPr>
          <w:rFonts w:hint="eastAsia"/>
          <w:b/>
          <w:sz w:val="24"/>
          <w:highlight w:val="none"/>
        </w:rPr>
        <w:t>（仅供参考，具体以项目需求及采购结果为准）</w:t>
      </w:r>
    </w:p>
    <w:p>
      <w:pPr>
        <w:rPr>
          <w:rFonts w:ascii="宋体" w:hAnsi="宋体"/>
          <w:b/>
          <w:bCs/>
          <w:szCs w:val="21"/>
          <w:highlight w:val="none"/>
        </w:rPr>
      </w:pPr>
      <w:r>
        <w:rPr>
          <w:rFonts w:hint="eastAsia" w:ascii="宋体" w:hAnsi="宋体"/>
          <w:b/>
          <w:bCs/>
          <w:szCs w:val="21"/>
          <w:highlight w:val="none"/>
        </w:rPr>
        <w:t>甲方：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pPr>
        <w:rPr>
          <w:rFonts w:ascii="宋体" w:hAnsi="宋体"/>
          <w:b/>
          <w:bCs/>
          <w:szCs w:val="21"/>
          <w:highlight w:val="none"/>
        </w:rPr>
      </w:pPr>
      <w:r>
        <w:rPr>
          <w:rFonts w:hint="eastAsia" w:ascii="宋体" w:hAnsi="宋体"/>
          <w:b/>
          <w:bCs/>
          <w:szCs w:val="21"/>
          <w:highlight w:val="none"/>
        </w:rPr>
        <w:t>乙方：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pPr>
        <w:ind w:firstLine="422" w:firstLineChars="200"/>
        <w:rPr>
          <w:rFonts w:ascii="宋体" w:hAnsi="宋体"/>
          <w:b/>
          <w:bCs/>
          <w:szCs w:val="21"/>
          <w:highlight w:val="none"/>
        </w:rPr>
      </w:pPr>
      <w:r>
        <w:rPr>
          <w:rFonts w:hint="eastAsia" w:ascii="宋体" w:hAnsi="宋体"/>
          <w:b/>
          <w:bCs/>
          <w:szCs w:val="21"/>
          <w:highlight w:val="none"/>
        </w:rPr>
        <w:t>第一条　项目概况</w:t>
      </w:r>
    </w:p>
    <w:p>
      <w:pPr>
        <w:ind w:firstLine="420" w:firstLineChars="200"/>
        <w:rPr>
          <w:rFonts w:ascii="宋体" w:hAnsi="宋体"/>
          <w:szCs w:val="21"/>
          <w:highlight w:val="none"/>
        </w:rPr>
      </w:pPr>
      <w:r>
        <w:rPr>
          <w:rFonts w:hint="eastAsia" w:ascii="宋体" w:hAnsi="宋体"/>
          <w:szCs w:val="21"/>
          <w:highlight w:val="none"/>
        </w:rPr>
        <w:t xml:space="preserve">项目名称： </w:t>
      </w:r>
    </w:p>
    <w:p>
      <w:pPr>
        <w:ind w:firstLine="420" w:firstLineChars="200"/>
        <w:rPr>
          <w:rFonts w:ascii="宋体" w:hAnsi="宋体"/>
          <w:szCs w:val="21"/>
          <w:highlight w:val="none"/>
        </w:rPr>
      </w:pPr>
      <w:r>
        <w:rPr>
          <w:rFonts w:hint="eastAsia" w:ascii="宋体" w:hAnsi="宋体"/>
          <w:szCs w:val="21"/>
          <w:highlight w:val="none"/>
        </w:rPr>
        <w:t xml:space="preserve">项目内容： </w:t>
      </w:r>
    </w:p>
    <w:p>
      <w:pPr>
        <w:ind w:firstLine="420" w:firstLineChars="200"/>
        <w:rPr>
          <w:rFonts w:ascii="宋体" w:hAnsi="宋体"/>
          <w:szCs w:val="21"/>
          <w:highlight w:val="none"/>
        </w:rPr>
      </w:pPr>
      <w:r>
        <w:rPr>
          <w:rFonts w:hint="eastAsia" w:ascii="宋体" w:hAnsi="宋体"/>
          <w:szCs w:val="21"/>
          <w:highlight w:val="none"/>
        </w:rPr>
        <w:t xml:space="preserve">服务时间： </w:t>
      </w:r>
    </w:p>
    <w:p>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pPr>
        <w:pStyle w:val="8"/>
        <w:rPr>
          <w:rFonts w:ascii="宋体" w:hAnsi="宋体"/>
          <w:szCs w:val="21"/>
          <w:highlight w:val="none"/>
        </w:rPr>
      </w:pPr>
      <w:r>
        <w:rPr>
          <w:rFonts w:hint="eastAsia" w:ascii="宋体" w:hAnsi="宋体"/>
          <w:szCs w:val="21"/>
          <w:highlight w:val="none"/>
        </w:rPr>
        <w:t>支付方式：分期支付。</w:t>
      </w:r>
    </w:p>
    <w:p>
      <w:pPr>
        <w:ind w:firstLine="422" w:firstLineChars="200"/>
        <w:rPr>
          <w:rFonts w:ascii="宋体" w:hAnsi="宋体"/>
          <w:b/>
          <w:bCs/>
          <w:szCs w:val="21"/>
          <w:highlight w:val="none"/>
        </w:rPr>
      </w:pPr>
      <w:r>
        <w:rPr>
          <w:rFonts w:hint="eastAsia" w:ascii="宋体" w:hAnsi="宋体"/>
          <w:b/>
          <w:bCs/>
          <w:szCs w:val="21"/>
          <w:highlight w:val="none"/>
        </w:rPr>
        <w:t>第二条  服务范围</w:t>
      </w:r>
    </w:p>
    <w:p>
      <w:pPr>
        <w:ind w:firstLine="420" w:firstLineChars="200"/>
        <w:rPr>
          <w:rFonts w:ascii="宋体" w:hAnsi="宋体"/>
          <w:szCs w:val="21"/>
          <w:highlight w:val="none"/>
        </w:rPr>
      </w:pPr>
      <w:r>
        <w:rPr>
          <w:rFonts w:hint="eastAsia" w:ascii="宋体" w:hAnsi="宋体"/>
          <w:szCs w:val="21"/>
          <w:highlight w:val="none"/>
        </w:rPr>
        <w:t xml:space="preserve">1、  </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 xml:space="preserve">3、  </w:t>
      </w:r>
    </w:p>
    <w:p>
      <w:pPr>
        <w:ind w:firstLine="420" w:firstLineChars="200"/>
        <w:rPr>
          <w:rFonts w:ascii="宋体" w:hAnsi="宋体"/>
          <w:szCs w:val="21"/>
          <w:highlight w:val="none"/>
        </w:rPr>
      </w:pPr>
      <w:r>
        <w:rPr>
          <w:rFonts w:hint="eastAsia" w:ascii="宋体" w:hAnsi="宋体"/>
          <w:szCs w:val="21"/>
          <w:highlight w:val="none"/>
        </w:rPr>
        <w:t>4、 其他合同未明示的相关工作。</w:t>
      </w:r>
    </w:p>
    <w:p>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3、</w:t>
      </w:r>
    </w:p>
    <w:p>
      <w:pPr>
        <w:ind w:firstLine="420" w:firstLineChars="200"/>
        <w:rPr>
          <w:rFonts w:ascii="宋体" w:hAnsi="宋体"/>
          <w:szCs w:val="21"/>
          <w:highlight w:val="none"/>
        </w:rPr>
      </w:pPr>
      <w:r>
        <w:rPr>
          <w:rFonts w:hint="eastAsia" w:ascii="宋体" w:hAnsi="宋体"/>
          <w:szCs w:val="21"/>
          <w:highlight w:val="none"/>
        </w:rPr>
        <w:t>4、</w:t>
      </w:r>
    </w:p>
    <w:p>
      <w:pPr>
        <w:ind w:firstLine="422" w:firstLineChars="200"/>
        <w:rPr>
          <w:rFonts w:ascii="宋体" w:hAnsi="宋体"/>
          <w:b/>
          <w:bCs/>
          <w:szCs w:val="21"/>
          <w:highlight w:val="none"/>
        </w:rPr>
      </w:pPr>
      <w:r>
        <w:rPr>
          <w:rFonts w:hint="eastAsia" w:ascii="宋体" w:hAnsi="宋体"/>
          <w:b/>
          <w:bCs/>
          <w:szCs w:val="21"/>
          <w:highlight w:val="none"/>
        </w:rPr>
        <w:t>第四条  服务资料归属</w:t>
      </w:r>
    </w:p>
    <w:p>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pPr>
        <w:ind w:firstLine="422" w:firstLineChars="200"/>
        <w:rPr>
          <w:rFonts w:ascii="宋体" w:hAnsi="宋体"/>
          <w:b/>
          <w:bCs/>
          <w:szCs w:val="21"/>
          <w:highlight w:val="none"/>
        </w:rPr>
      </w:pPr>
      <w:r>
        <w:rPr>
          <w:rFonts w:hint="eastAsia" w:ascii="宋体" w:hAnsi="宋体"/>
          <w:b/>
          <w:bCs/>
          <w:szCs w:val="21"/>
          <w:highlight w:val="none"/>
        </w:rPr>
        <w:t>第五条  甲方的义务</w:t>
      </w:r>
    </w:p>
    <w:p>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pPr>
        <w:ind w:firstLine="422" w:firstLineChars="200"/>
        <w:rPr>
          <w:rFonts w:ascii="宋体" w:hAnsi="宋体"/>
          <w:b/>
          <w:bCs/>
          <w:szCs w:val="21"/>
          <w:highlight w:val="none"/>
        </w:rPr>
      </w:pPr>
      <w:r>
        <w:rPr>
          <w:rFonts w:hint="eastAsia" w:ascii="宋体" w:hAnsi="宋体"/>
          <w:b/>
          <w:bCs/>
          <w:szCs w:val="21"/>
          <w:highlight w:val="none"/>
        </w:rPr>
        <w:t>第六条　乙方的义务</w:t>
      </w:r>
    </w:p>
    <w:p>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pPr>
        <w:ind w:firstLine="422" w:firstLineChars="200"/>
        <w:rPr>
          <w:rFonts w:ascii="宋体" w:hAnsi="宋体"/>
          <w:b/>
          <w:bCs/>
          <w:szCs w:val="21"/>
          <w:highlight w:val="none"/>
        </w:rPr>
      </w:pPr>
      <w:r>
        <w:rPr>
          <w:rFonts w:hint="eastAsia" w:ascii="宋体" w:hAnsi="宋体"/>
          <w:b/>
          <w:bCs/>
          <w:szCs w:val="21"/>
          <w:highlight w:val="none"/>
        </w:rPr>
        <w:t>第七条  甲方的权利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highlight w:val="none"/>
        </w:rPr>
      </w:pPr>
      <w:r>
        <w:rPr>
          <w:rFonts w:hint="eastAsia" w:ascii="宋体" w:hAnsi="宋体"/>
          <w:b/>
          <w:bCs/>
          <w:szCs w:val="21"/>
          <w:highlight w:val="none"/>
        </w:rPr>
        <w:t>第八条  乙方的权利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pPr>
        <w:ind w:firstLine="422" w:firstLineChars="200"/>
        <w:rPr>
          <w:rFonts w:ascii="宋体" w:hAnsi="宋体"/>
          <w:b/>
          <w:bCs/>
          <w:szCs w:val="21"/>
          <w:highlight w:val="none"/>
        </w:rPr>
      </w:pPr>
      <w:r>
        <w:rPr>
          <w:rFonts w:hint="eastAsia" w:ascii="宋体" w:hAnsi="宋体"/>
          <w:b/>
          <w:bCs/>
          <w:szCs w:val="21"/>
          <w:highlight w:val="none"/>
        </w:rPr>
        <w:t>第九条  甲方的责任</w:t>
      </w:r>
    </w:p>
    <w:p>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第十条  乙方的责任</w:t>
      </w:r>
    </w:p>
    <w:p>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第十一条  人员要求</w:t>
      </w:r>
    </w:p>
    <w:p>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pPr>
        <w:ind w:firstLine="422" w:firstLineChars="200"/>
        <w:rPr>
          <w:rFonts w:ascii="宋体" w:hAnsi="宋体"/>
          <w:b/>
          <w:bCs/>
          <w:szCs w:val="21"/>
          <w:highlight w:val="none"/>
        </w:rPr>
      </w:pPr>
      <w:r>
        <w:rPr>
          <w:rFonts w:hint="eastAsia" w:ascii="宋体" w:hAnsi="宋体"/>
          <w:b/>
          <w:bCs/>
          <w:szCs w:val="21"/>
          <w:highlight w:val="none"/>
        </w:rPr>
        <w:t>第十三条  保密要求</w:t>
      </w:r>
    </w:p>
    <w:p>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pPr>
        <w:ind w:firstLine="422" w:firstLineChars="200"/>
        <w:rPr>
          <w:rFonts w:ascii="宋体" w:hAnsi="宋体"/>
          <w:b/>
          <w:bCs/>
          <w:szCs w:val="21"/>
          <w:highlight w:val="none"/>
        </w:rPr>
      </w:pPr>
      <w:r>
        <w:rPr>
          <w:rFonts w:hint="eastAsia" w:ascii="宋体" w:hAnsi="宋体"/>
          <w:b/>
          <w:bCs/>
          <w:szCs w:val="21"/>
          <w:highlight w:val="none"/>
        </w:rPr>
        <w:t>第十五条  付款方式</w:t>
      </w:r>
    </w:p>
    <w:p>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pPr>
        <w:ind w:firstLine="422" w:firstLineChars="200"/>
        <w:rPr>
          <w:rFonts w:ascii="宋体" w:hAnsi="宋体"/>
          <w:b/>
          <w:bCs/>
          <w:szCs w:val="21"/>
          <w:highlight w:val="none"/>
        </w:rPr>
      </w:pPr>
      <w:r>
        <w:rPr>
          <w:rFonts w:hint="eastAsia" w:ascii="宋体" w:hAnsi="宋体"/>
          <w:b/>
          <w:bCs/>
          <w:szCs w:val="21"/>
          <w:highlight w:val="none"/>
        </w:rPr>
        <w:t>第十七条  风险责任</w:t>
      </w:r>
    </w:p>
    <w:p>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pPr>
        <w:ind w:firstLine="422" w:firstLineChars="200"/>
        <w:rPr>
          <w:rFonts w:ascii="宋体" w:hAnsi="宋体"/>
          <w:b/>
          <w:bCs/>
          <w:szCs w:val="21"/>
          <w:highlight w:val="none"/>
        </w:rPr>
      </w:pPr>
      <w:r>
        <w:rPr>
          <w:rFonts w:hint="eastAsia" w:ascii="宋体" w:hAnsi="宋体"/>
          <w:b/>
          <w:bCs/>
          <w:szCs w:val="21"/>
          <w:highlight w:val="none"/>
        </w:rPr>
        <w:t>第十八条  违约责任</w:t>
      </w:r>
    </w:p>
    <w:p>
      <w:pPr>
        <w:pStyle w:val="21"/>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highlight w:val="none"/>
        </w:rPr>
      </w:pPr>
      <w:r>
        <w:rPr>
          <w:rFonts w:hint="eastAsia" w:ascii="宋体" w:hAnsi="宋体"/>
          <w:b/>
          <w:bCs/>
          <w:szCs w:val="21"/>
          <w:highlight w:val="none"/>
        </w:rPr>
        <w:t>第十九条  其他</w:t>
      </w:r>
    </w:p>
    <w:p>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pPr>
        <w:ind w:firstLine="420" w:firstLineChars="200"/>
        <w:rPr>
          <w:rFonts w:hint="eastAsia" w:ascii="宋体" w:hAnsi="宋体"/>
          <w:szCs w:val="21"/>
          <w:highlight w:val="none"/>
        </w:rPr>
      </w:pPr>
      <w:r>
        <w:rPr>
          <w:rFonts w:hint="eastAsia" w:ascii="宋体" w:hAnsi="宋体"/>
          <w:szCs w:val="21"/>
          <w:highlight w:val="none"/>
        </w:rPr>
        <w:t>（4）中标（成交）通知书</w:t>
      </w:r>
    </w:p>
    <w:p>
      <w:pPr>
        <w:ind w:firstLine="420" w:firstLineChars="200"/>
        <w:rPr>
          <w:rFonts w:hint="eastAsia" w:ascii="宋体" w:hAnsi="宋体"/>
          <w:szCs w:val="21"/>
          <w:highlight w:val="none"/>
        </w:rPr>
      </w:pPr>
      <w:r>
        <w:rPr>
          <w:rFonts w:hint="eastAsia" w:ascii="宋体" w:hAnsi="宋体"/>
          <w:szCs w:val="21"/>
          <w:highlight w:val="none"/>
        </w:rPr>
        <w:t>（5）投标（响应）文件</w:t>
      </w:r>
    </w:p>
    <w:p>
      <w:pPr>
        <w:ind w:firstLine="420" w:firstLineChars="200"/>
        <w:rPr>
          <w:rFonts w:hint="eastAsia" w:ascii="宋体" w:hAnsi="宋体"/>
          <w:szCs w:val="21"/>
          <w:highlight w:val="none"/>
        </w:rPr>
      </w:pPr>
      <w:r>
        <w:rPr>
          <w:rFonts w:hint="eastAsia" w:ascii="宋体" w:hAnsi="宋体"/>
          <w:szCs w:val="21"/>
          <w:highlight w:val="none"/>
        </w:rPr>
        <w:t>（6）采购文件</w:t>
      </w:r>
    </w:p>
    <w:p>
      <w:pPr>
        <w:ind w:firstLine="420" w:firstLineChars="200"/>
        <w:rPr>
          <w:rFonts w:hint="eastAsia" w:ascii="宋体" w:hAnsi="宋体"/>
          <w:szCs w:val="21"/>
          <w:highlight w:val="none"/>
        </w:rPr>
      </w:pPr>
      <w:r>
        <w:rPr>
          <w:rFonts w:hint="eastAsia" w:ascii="宋体" w:hAnsi="宋体"/>
          <w:szCs w:val="21"/>
          <w:highlight w:val="none"/>
        </w:rPr>
        <w:t>（7）有关技术文件，图纸</w:t>
      </w:r>
    </w:p>
    <w:p>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pPr>
        <w:ind w:firstLine="420" w:firstLineChars="200"/>
        <w:rPr>
          <w:rFonts w:ascii="宋体" w:hAnsi="宋体"/>
          <w:szCs w:val="21"/>
          <w:highlight w:val="none"/>
        </w:rPr>
      </w:pPr>
      <w:r>
        <w:rPr>
          <w:rFonts w:hint="eastAsia" w:ascii="宋体" w:hAnsi="宋体"/>
          <w:szCs w:val="21"/>
          <w:highlight w:val="none"/>
        </w:rPr>
        <w:t>2、下列文件均为本合同的组成部分：</w:t>
      </w:r>
    </w:p>
    <w:p>
      <w:pPr>
        <w:ind w:firstLine="420" w:firstLineChars="200"/>
        <w:rPr>
          <w:rFonts w:ascii="宋体" w:hAnsi="宋体"/>
          <w:szCs w:val="21"/>
          <w:highlight w:val="none"/>
        </w:rPr>
      </w:pPr>
      <w:r>
        <w:rPr>
          <w:rFonts w:hint="eastAsia" w:ascii="宋体" w:hAnsi="宋体"/>
          <w:szCs w:val="21"/>
          <w:highlight w:val="none"/>
        </w:rPr>
        <w:t>（1）号招标文件、答疑及补充通知；</w:t>
      </w:r>
    </w:p>
    <w:p>
      <w:pPr>
        <w:ind w:firstLine="420" w:firstLineChars="200"/>
        <w:rPr>
          <w:rFonts w:ascii="宋体" w:hAnsi="宋体"/>
          <w:szCs w:val="21"/>
          <w:highlight w:val="none"/>
        </w:rPr>
      </w:pPr>
      <w:r>
        <w:rPr>
          <w:rFonts w:hint="eastAsia" w:ascii="宋体" w:hAnsi="宋体"/>
          <w:szCs w:val="21"/>
          <w:highlight w:val="none"/>
        </w:rPr>
        <w:t>（2）投标文件；</w:t>
      </w:r>
    </w:p>
    <w:p>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pPr>
        <w:ind w:firstLine="420" w:firstLineChars="200"/>
        <w:rPr>
          <w:rFonts w:ascii="宋体" w:hAnsi="宋体"/>
          <w:szCs w:val="21"/>
          <w:highlight w:val="none"/>
        </w:rPr>
      </w:pPr>
      <w:r>
        <w:rPr>
          <w:rFonts w:hint="eastAsia" w:ascii="宋体" w:hAnsi="宋体"/>
          <w:szCs w:val="21"/>
          <w:highlight w:val="none"/>
        </w:rPr>
        <w:t>日期：   年     月    日         日期：   年     月    日</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4"/>
        <w:spacing w:before="120" w:beforeLines="50" w:after="120" w:afterLines="50"/>
        <w:ind w:left="562"/>
        <w:rPr>
          <w:sz w:val="28"/>
          <w:szCs w:val="28"/>
          <w:highlight w:val="none"/>
        </w:rPr>
      </w:pPr>
      <w:r>
        <w:rPr>
          <w:rFonts w:hint="eastAsia"/>
          <w:sz w:val="28"/>
          <w:szCs w:val="28"/>
          <w:highlight w:val="none"/>
        </w:rPr>
        <w:t>第二册  通用条款（公开招标）</w:t>
      </w:r>
    </w:p>
    <w:p>
      <w:pPr>
        <w:pStyle w:val="4"/>
        <w:numPr>
          <w:ilvl w:val="0"/>
          <w:numId w:val="8"/>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pPr>
        <w:rPr>
          <w:rFonts w:ascii="黑体" w:hAnsi="宋体" w:eastAsia="黑体"/>
          <w:sz w:val="24"/>
          <w:highlight w:val="none"/>
        </w:rPr>
      </w:pPr>
      <w:r>
        <w:rPr>
          <w:rFonts w:hint="eastAsia" w:ascii="黑体" w:hAnsi="宋体" w:eastAsia="黑体"/>
          <w:sz w:val="24"/>
          <w:highlight w:val="none"/>
        </w:rPr>
        <w:t>1. 通用条款说明</w:t>
      </w:r>
    </w:p>
    <w:p>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pPr>
        <w:rPr>
          <w:rFonts w:ascii="黑体" w:hAnsi="宋体" w:eastAsia="黑体"/>
          <w:sz w:val="24"/>
          <w:highlight w:val="none"/>
        </w:rPr>
      </w:pPr>
      <w:r>
        <w:rPr>
          <w:rFonts w:hint="eastAsia" w:ascii="黑体" w:hAnsi="宋体" w:eastAsia="黑体"/>
          <w:sz w:val="24"/>
          <w:highlight w:val="none"/>
        </w:rPr>
        <w:t>3．定义</w:t>
      </w:r>
    </w:p>
    <w:p>
      <w:pPr>
        <w:ind w:firstLine="420" w:firstLineChars="200"/>
        <w:rPr>
          <w:rFonts w:ascii="宋体" w:hAnsi="宋体"/>
          <w:szCs w:val="21"/>
          <w:highlight w:val="none"/>
        </w:rPr>
      </w:pPr>
      <w:r>
        <w:rPr>
          <w:rFonts w:ascii="宋体" w:hAnsi="宋体"/>
          <w:szCs w:val="21"/>
          <w:highlight w:val="none"/>
        </w:rPr>
        <w:t>招标文件中下列术语应解释为：</w:t>
      </w:r>
    </w:p>
    <w:p>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highlight w:val="none"/>
        </w:rPr>
      </w:pPr>
      <w:r>
        <w:rPr>
          <w:rFonts w:hint="eastAsia" w:ascii="黑体" w:hAnsi="宋体" w:eastAsia="黑体"/>
          <w:sz w:val="24"/>
          <w:highlight w:val="none"/>
        </w:rPr>
        <w:t>5．投标人参加政府采购的条件</w:t>
      </w:r>
    </w:p>
    <w:p>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5.2投标人资格要求</w:t>
      </w:r>
    </w:p>
    <w:p>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pPr>
        <w:ind w:firstLine="411" w:firstLineChars="196"/>
        <w:rPr>
          <w:rFonts w:ascii="宋体" w:hAnsi="宋体"/>
          <w:szCs w:val="21"/>
          <w:highlight w:val="none"/>
        </w:rPr>
      </w:pPr>
      <w:r>
        <w:rPr>
          <w:rFonts w:hint="eastAsia" w:ascii="宋体" w:hAnsi="宋体"/>
          <w:szCs w:val="21"/>
          <w:highlight w:val="none"/>
        </w:rPr>
        <w:t>5.3联合体投标</w:t>
      </w:r>
    </w:p>
    <w:p>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pPr>
        <w:rPr>
          <w:rFonts w:ascii="黑体" w:hAnsi="宋体" w:eastAsia="黑体"/>
          <w:sz w:val="24"/>
          <w:highlight w:val="none"/>
        </w:rPr>
      </w:pPr>
      <w:r>
        <w:rPr>
          <w:rFonts w:hint="eastAsia" w:ascii="黑体" w:hAnsi="宋体" w:eastAsia="黑体"/>
          <w:sz w:val="24"/>
          <w:highlight w:val="none"/>
        </w:rPr>
        <w:t>6．政策导向</w:t>
      </w:r>
    </w:p>
    <w:p>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pPr>
        <w:rPr>
          <w:rFonts w:ascii="黑体" w:hAnsi="宋体" w:eastAsia="黑体"/>
          <w:sz w:val="24"/>
          <w:highlight w:val="none"/>
        </w:rPr>
      </w:pPr>
      <w:r>
        <w:rPr>
          <w:rFonts w:hint="eastAsia" w:ascii="黑体" w:hAnsi="宋体" w:eastAsia="黑体"/>
          <w:sz w:val="24"/>
          <w:highlight w:val="none"/>
        </w:rPr>
        <w:t>8．投标费用</w:t>
      </w:r>
    </w:p>
    <w:p>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pPr>
        <w:rPr>
          <w:rFonts w:ascii="黑体" w:hAnsi="宋体" w:eastAsia="黑体"/>
          <w:sz w:val="24"/>
          <w:highlight w:val="none"/>
        </w:rPr>
      </w:pPr>
      <w:r>
        <w:rPr>
          <w:rFonts w:hint="eastAsia" w:ascii="黑体" w:hAnsi="宋体" w:eastAsia="黑体"/>
          <w:sz w:val="24"/>
          <w:highlight w:val="none"/>
        </w:rPr>
        <w:t>9．踏勘现场</w:t>
      </w:r>
    </w:p>
    <w:p>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pPr>
        <w:ind w:firstLine="411" w:firstLineChars="196"/>
        <w:rPr>
          <w:rFonts w:ascii="宋体" w:hAnsi="宋体"/>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highlight w:val="none"/>
        </w:rPr>
      </w:pPr>
      <w:r>
        <w:rPr>
          <w:rFonts w:hint="eastAsia" w:ascii="宋体" w:hAnsi="宋体"/>
          <w:szCs w:val="21"/>
          <w:highlight w:val="none"/>
        </w:rPr>
        <w:t>招标文件包括下列内容：</w:t>
      </w:r>
    </w:p>
    <w:p>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pPr>
        <w:ind w:left="1079" w:leftChars="514"/>
        <w:rPr>
          <w:rFonts w:ascii="宋体" w:hAnsi="宋体"/>
          <w:b/>
          <w:szCs w:val="21"/>
          <w:highlight w:val="none"/>
        </w:rPr>
      </w:pPr>
      <w:r>
        <w:rPr>
          <w:rFonts w:hint="eastAsia" w:ascii="宋体" w:hAnsi="宋体"/>
          <w:b/>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9"/>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pPr>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pPr>
        <w:rPr>
          <w:rFonts w:ascii="黑体" w:hAnsi="宋体" w:eastAsia="黑体"/>
          <w:sz w:val="24"/>
          <w:highlight w:val="none"/>
        </w:rPr>
      </w:pPr>
      <w:r>
        <w:rPr>
          <w:rFonts w:ascii="黑体" w:hAnsi="宋体" w:eastAsia="黑体"/>
          <w:sz w:val="24"/>
          <w:highlight w:val="none"/>
        </w:rPr>
        <w:t>16．投标文件格式</w:t>
      </w:r>
    </w:p>
    <w:p>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pPr>
        <w:rPr>
          <w:rFonts w:ascii="黑体" w:hAnsi="宋体" w:eastAsia="黑体"/>
          <w:sz w:val="24"/>
          <w:highlight w:val="none"/>
        </w:rPr>
      </w:pPr>
      <w:r>
        <w:rPr>
          <w:rFonts w:hint="eastAsia" w:ascii="黑体" w:hAnsi="宋体" w:eastAsia="黑体"/>
          <w:sz w:val="24"/>
          <w:highlight w:val="none"/>
        </w:rPr>
        <w:t>17．投标货币</w:t>
      </w:r>
    </w:p>
    <w:p>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highlight w:val="none"/>
        </w:rPr>
      </w:pPr>
      <w:r>
        <w:rPr>
          <w:rFonts w:hint="eastAsia" w:ascii="黑体" w:hAnsi="宋体" w:eastAsia="黑体"/>
          <w:sz w:val="24"/>
          <w:highlight w:val="none"/>
        </w:rPr>
        <w:t>20．投标有效期</w:t>
      </w:r>
    </w:p>
    <w:bookmarkEnd w:id="52"/>
    <w:p>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pPr>
        <w:rPr>
          <w:rFonts w:ascii="黑体" w:hAnsi="宋体" w:eastAsia="黑体"/>
          <w:sz w:val="24"/>
          <w:highlight w:val="none"/>
        </w:rPr>
      </w:pPr>
      <w:r>
        <w:rPr>
          <w:rFonts w:hint="eastAsia" w:ascii="黑体" w:hAnsi="宋体" w:eastAsia="黑体"/>
          <w:sz w:val="24"/>
          <w:highlight w:val="none"/>
        </w:rPr>
        <w:t>22．投标人的替代方案</w:t>
      </w:r>
    </w:p>
    <w:p>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pPr>
        <w:ind w:firstLine="411" w:firstLineChars="196"/>
        <w:rPr>
          <w:rFonts w:ascii="宋体" w:hAnsi="宋体"/>
          <w:highlight w:val="none"/>
        </w:rPr>
      </w:pPr>
      <w:r>
        <w:rPr>
          <w:rFonts w:hint="eastAsia" w:ascii="宋体" w:hAnsi="宋体"/>
          <w:highlight w:val="none"/>
        </w:rPr>
        <w:t>23.2投标人在使用《投标书编制软件》编制投标书时须注意：</w:t>
      </w:r>
    </w:p>
    <w:p>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highlight w:val="none"/>
        </w:rPr>
      </w:pPr>
      <w:r>
        <w:rPr>
          <w:rFonts w:hint="eastAsia" w:ascii="宋体" w:hAnsi="宋体"/>
          <w:highlight w:val="none"/>
        </w:rPr>
        <w:t>23.3电报、电话、传真形式的投标概不接受。</w:t>
      </w:r>
    </w:p>
    <w:p>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pPr>
        <w:ind w:firstLine="411" w:firstLineChars="196"/>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pPr>
        <w:spacing w:line="276" w:lineRule="auto"/>
        <w:ind w:firstLine="422" w:firstLineChars="200"/>
        <w:rPr>
          <w:b/>
          <w:highlight w:val="none"/>
        </w:rPr>
      </w:pPr>
      <w:r>
        <w:rPr>
          <w:b/>
          <w:highlight w:val="none"/>
        </w:rPr>
        <w:t>24.2若采购项目出现延期情况：</w:t>
      </w:r>
    </w:p>
    <w:p>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pPr>
        <w:spacing w:line="276" w:lineRule="auto"/>
        <w:rPr>
          <w:rFonts w:eastAsia="黑体"/>
          <w:sz w:val="24"/>
          <w:highlight w:val="none"/>
        </w:rPr>
      </w:pPr>
      <w:r>
        <w:rPr>
          <w:rFonts w:eastAsia="黑体"/>
          <w:sz w:val="24"/>
          <w:highlight w:val="none"/>
        </w:rPr>
        <w:t>25．上传投标文件及投标截止日期</w:t>
      </w:r>
    </w:p>
    <w:p>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pPr>
        <w:ind w:firstLine="411" w:firstLineChars="196"/>
        <w:rPr>
          <w:rFonts w:ascii="宋体" w:hAnsi="宋体"/>
          <w:highlight w:val="none"/>
        </w:rPr>
      </w:pPr>
    </w:p>
    <w:bookmarkEnd w:id="57"/>
    <w:p>
      <w:pPr>
        <w:rPr>
          <w:rFonts w:ascii="黑体" w:hAnsi="宋体" w:eastAsia="黑体"/>
          <w:sz w:val="24"/>
          <w:highlight w:val="none"/>
        </w:rPr>
      </w:pPr>
      <w:r>
        <w:rPr>
          <w:rFonts w:hint="eastAsia" w:ascii="黑体" w:hAnsi="宋体" w:eastAsia="黑体"/>
          <w:sz w:val="24"/>
          <w:highlight w:val="none"/>
        </w:rPr>
        <w:t>26. 样品、现场演示、方案讲解</w:t>
      </w:r>
    </w:p>
    <w:p>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pPr>
        <w:rPr>
          <w:rFonts w:ascii="黑体" w:hAnsi="宋体" w:eastAsia="黑体"/>
          <w:sz w:val="24"/>
          <w:highlight w:val="none"/>
        </w:rPr>
      </w:pPr>
      <w:r>
        <w:rPr>
          <w:rFonts w:hint="eastAsia" w:ascii="黑体" w:hAnsi="宋体" w:eastAsia="黑体"/>
          <w:sz w:val="24"/>
          <w:highlight w:val="none"/>
        </w:rPr>
        <w:t>28．开标</w:t>
      </w:r>
    </w:p>
    <w:p>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pPr>
        <w:rPr>
          <w:rFonts w:ascii="黑体" w:hAnsi="宋体" w:eastAsia="黑体"/>
          <w:sz w:val="24"/>
          <w:highlight w:val="none"/>
        </w:rPr>
      </w:pPr>
      <w:r>
        <w:rPr>
          <w:rFonts w:hint="eastAsia" w:ascii="黑体" w:hAnsi="宋体" w:eastAsia="黑体"/>
          <w:sz w:val="24"/>
          <w:highlight w:val="none"/>
        </w:rPr>
        <w:t>29．评审委员会组成</w:t>
      </w:r>
    </w:p>
    <w:p>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pPr>
        <w:pStyle w:val="9"/>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pPr>
        <w:ind w:firstLine="411" w:firstLineChars="196"/>
        <w:rPr>
          <w:rFonts w:ascii="宋体" w:hAnsi="宋体"/>
          <w:highlight w:val="none"/>
        </w:rPr>
      </w:pPr>
      <w:r>
        <w:rPr>
          <w:rFonts w:hint="eastAsia" w:ascii="宋体" w:hAnsi="宋体"/>
          <w:highlight w:val="none"/>
        </w:rPr>
        <w:t>29.2评审定标应当遵循公平、公正、科学、择优的原则。</w:t>
      </w:r>
    </w:p>
    <w:p>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pPr>
        <w:rPr>
          <w:rFonts w:ascii="黑体" w:hAnsi="宋体" w:eastAsia="黑体"/>
          <w:sz w:val="24"/>
          <w:highlight w:val="none"/>
        </w:rPr>
      </w:pPr>
      <w:r>
        <w:rPr>
          <w:rFonts w:hint="eastAsia" w:ascii="黑体" w:hAnsi="宋体" w:eastAsia="黑体"/>
          <w:sz w:val="24"/>
          <w:highlight w:val="none"/>
        </w:rPr>
        <w:t>30．向评审委员会提供的资料</w:t>
      </w:r>
    </w:p>
    <w:p>
      <w:pPr>
        <w:ind w:firstLine="411" w:firstLineChars="196"/>
        <w:rPr>
          <w:rFonts w:ascii="宋体" w:hAnsi="宋体"/>
          <w:highlight w:val="none"/>
        </w:rPr>
      </w:pPr>
      <w:r>
        <w:rPr>
          <w:rFonts w:hint="eastAsia" w:ascii="宋体" w:hAnsi="宋体"/>
          <w:highlight w:val="none"/>
        </w:rPr>
        <w:t>30.1公开发布的招标文件，包括图纸、服务清单、答疑文件等；</w:t>
      </w:r>
    </w:p>
    <w:p>
      <w:pPr>
        <w:ind w:firstLine="411" w:firstLineChars="196"/>
        <w:rPr>
          <w:rFonts w:ascii="宋体" w:hAnsi="宋体"/>
          <w:highlight w:val="none"/>
        </w:rPr>
      </w:pPr>
      <w:r>
        <w:rPr>
          <w:rFonts w:hint="eastAsia" w:ascii="宋体" w:hAnsi="宋体"/>
          <w:highlight w:val="none"/>
        </w:rPr>
        <w:t>30.2其他评标必须的资料。</w:t>
      </w:r>
    </w:p>
    <w:p>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pPr>
        <w:ind w:firstLine="411" w:firstLineChars="196"/>
        <w:rPr>
          <w:rFonts w:ascii="宋体" w:hAnsi="宋体"/>
          <w:highlight w:val="none"/>
        </w:rPr>
      </w:pPr>
      <w:r>
        <w:rPr>
          <w:rFonts w:hint="eastAsia" w:ascii="宋体" w:hAnsi="宋体"/>
          <w:highlight w:val="none"/>
        </w:rPr>
        <w:t>（1）招标的目的；</w:t>
      </w:r>
    </w:p>
    <w:p>
      <w:pPr>
        <w:ind w:firstLine="411" w:firstLineChars="196"/>
        <w:rPr>
          <w:rFonts w:ascii="宋体" w:hAnsi="宋体"/>
          <w:highlight w:val="none"/>
        </w:rPr>
      </w:pPr>
      <w:r>
        <w:rPr>
          <w:rFonts w:hint="eastAsia" w:ascii="宋体" w:hAnsi="宋体"/>
          <w:highlight w:val="none"/>
        </w:rPr>
        <w:t>（2）招标项目需求的范围和性质；</w:t>
      </w:r>
    </w:p>
    <w:p>
      <w:pPr>
        <w:ind w:firstLine="411" w:firstLineChars="196"/>
        <w:rPr>
          <w:rFonts w:ascii="宋体" w:hAnsi="宋体"/>
          <w:highlight w:val="none"/>
        </w:rPr>
      </w:pPr>
      <w:r>
        <w:rPr>
          <w:rFonts w:hint="eastAsia" w:ascii="宋体" w:hAnsi="宋体"/>
          <w:highlight w:val="none"/>
        </w:rPr>
        <w:t>（3）招标文件规定的投标人的资格、财政预算限额、商务条款；</w:t>
      </w:r>
    </w:p>
    <w:p>
      <w:pPr>
        <w:ind w:firstLine="411" w:firstLineChars="196"/>
        <w:rPr>
          <w:rFonts w:ascii="宋体" w:hAnsi="宋体"/>
          <w:highlight w:val="none"/>
        </w:rPr>
      </w:pPr>
      <w:r>
        <w:rPr>
          <w:rFonts w:hint="eastAsia" w:ascii="宋体" w:hAnsi="宋体"/>
          <w:highlight w:val="none"/>
        </w:rPr>
        <w:t>（4）招标文件规定的评标程序、评标方法和评标因素；</w:t>
      </w:r>
    </w:p>
    <w:p>
      <w:pPr>
        <w:ind w:firstLine="411" w:firstLineChars="196"/>
        <w:rPr>
          <w:rFonts w:ascii="宋体" w:hAnsi="宋体"/>
          <w:highlight w:val="none"/>
        </w:rPr>
      </w:pPr>
      <w:r>
        <w:rPr>
          <w:rFonts w:hint="eastAsia" w:ascii="宋体" w:hAnsi="宋体"/>
          <w:highlight w:val="none"/>
        </w:rPr>
        <w:t>（5）招标文件所列示的资格性审查表及符合性审查表。</w:t>
      </w:r>
    </w:p>
    <w:p>
      <w:pPr>
        <w:rPr>
          <w:rFonts w:ascii="黑体" w:hAnsi="宋体" w:eastAsia="黑体"/>
          <w:sz w:val="24"/>
          <w:highlight w:val="none"/>
        </w:rPr>
      </w:pPr>
      <w:r>
        <w:rPr>
          <w:rFonts w:hint="eastAsia" w:ascii="黑体" w:hAnsi="宋体" w:eastAsia="黑体"/>
          <w:sz w:val="24"/>
          <w:highlight w:val="none"/>
        </w:rPr>
        <w:t>31．独立评审</w:t>
      </w:r>
    </w:p>
    <w:p>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pPr>
        <w:ind w:firstLine="411" w:firstLineChars="196"/>
        <w:rPr>
          <w:rFonts w:ascii="宋体" w:hAnsi="宋体"/>
          <w:bCs/>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pPr>
        <w:rPr>
          <w:rFonts w:ascii="黑体" w:hAnsi="宋体" w:eastAsia="黑体"/>
          <w:sz w:val="24"/>
          <w:highlight w:val="none"/>
        </w:rPr>
      </w:pPr>
      <w:r>
        <w:rPr>
          <w:rFonts w:hint="eastAsia" w:ascii="黑体" w:hAnsi="宋体" w:eastAsia="黑体"/>
          <w:sz w:val="24"/>
          <w:highlight w:val="none"/>
        </w:rPr>
        <w:t>32．投标文件初审</w:t>
      </w:r>
    </w:p>
    <w:p>
      <w:pPr>
        <w:ind w:firstLine="411" w:firstLineChars="196"/>
        <w:rPr>
          <w:rFonts w:ascii="宋体" w:hAnsi="宋体"/>
          <w:highlight w:val="none"/>
        </w:rPr>
      </w:pPr>
      <w:r>
        <w:rPr>
          <w:rFonts w:hint="eastAsia" w:ascii="宋体" w:hAnsi="宋体"/>
          <w:highlight w:val="none"/>
        </w:rPr>
        <w:t>32.1投标文件初审包括资格性审查和符合性审查。</w:t>
      </w:r>
    </w:p>
    <w:p>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pPr>
        <w:ind w:firstLine="411" w:firstLineChars="196"/>
        <w:rPr>
          <w:rFonts w:ascii="宋体" w:hAnsi="宋体"/>
          <w:bCs/>
          <w:highlight w:val="none"/>
        </w:rPr>
      </w:pPr>
      <w:r>
        <w:rPr>
          <w:rFonts w:hint="eastAsia" w:ascii="宋体" w:hAnsi="宋体"/>
          <w:bCs/>
          <w:highlight w:val="none"/>
        </w:rPr>
        <w:t>32.3 投标文件初审中关于供应商家数的计算:</w:t>
      </w:r>
    </w:p>
    <w:p>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highlight w:val="none"/>
        </w:rPr>
      </w:pPr>
      <w:r>
        <w:rPr>
          <w:rFonts w:hint="eastAsia" w:ascii="宋体" w:hAnsi="宋体"/>
          <w:highlight w:val="none"/>
        </w:rPr>
        <w:t>32.4.8不同投标供应商的投标文件内容存在非正常一致；</w:t>
      </w:r>
    </w:p>
    <w:p>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pPr>
        <w:ind w:firstLine="411" w:firstLineChars="196"/>
        <w:rPr>
          <w:rFonts w:ascii="宋体" w:hAnsi="宋体"/>
          <w:highlight w:val="none"/>
        </w:rPr>
      </w:pPr>
      <w:r>
        <w:rPr>
          <w:rFonts w:hint="eastAsia" w:ascii="宋体" w:hAnsi="宋体"/>
          <w:highlight w:val="none"/>
        </w:rPr>
        <w:t>32.4.10主管部门依照法律、法规认定的其他情形。</w:t>
      </w:r>
    </w:p>
    <w:p>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pPr>
        <w:rPr>
          <w:rFonts w:ascii="黑体" w:hAnsi="宋体" w:eastAsia="黑体"/>
          <w:sz w:val="24"/>
          <w:highlight w:val="none"/>
        </w:rPr>
      </w:pPr>
      <w:r>
        <w:rPr>
          <w:rFonts w:hint="eastAsia" w:ascii="黑体" w:hAnsi="宋体" w:eastAsia="黑体"/>
          <w:sz w:val="24"/>
          <w:highlight w:val="none"/>
        </w:rPr>
        <w:t>33．澄清有关问题</w:t>
      </w:r>
    </w:p>
    <w:p>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pPr>
        <w:rPr>
          <w:rFonts w:ascii="黑体" w:hAnsi="宋体" w:eastAsia="黑体"/>
          <w:sz w:val="24"/>
          <w:highlight w:val="none"/>
        </w:rPr>
      </w:pPr>
      <w:bookmarkStart w:id="61" w:name="_Toc73518151"/>
      <w:bookmarkStart w:id="62" w:name="_Toc73517673"/>
      <w:bookmarkStart w:id="63" w:name="_Toc100052400"/>
      <w:bookmarkStart w:id="64" w:name="_Toc73521669"/>
      <w:bookmarkStart w:id="65" w:name="_Toc73521581"/>
      <w:r>
        <w:rPr>
          <w:rFonts w:hint="eastAsia" w:ascii="黑体" w:hAnsi="宋体" w:eastAsia="黑体"/>
          <w:sz w:val="24"/>
          <w:highlight w:val="none"/>
        </w:rPr>
        <w:t>34．错误的修正</w:t>
      </w:r>
      <w:bookmarkEnd w:id="61"/>
      <w:bookmarkEnd w:id="62"/>
      <w:bookmarkEnd w:id="63"/>
      <w:bookmarkEnd w:id="64"/>
      <w:bookmarkEnd w:id="65"/>
    </w:p>
    <w:p>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highlight w:val="none"/>
        </w:rPr>
      </w:pPr>
      <w:r>
        <w:rPr>
          <w:rFonts w:hint="eastAsia" w:ascii="黑体" w:hAnsi="宋体" w:eastAsia="黑体"/>
          <w:sz w:val="24"/>
          <w:highlight w:val="none"/>
        </w:rPr>
        <w:t>35．投标文件的比较与评价</w:t>
      </w:r>
    </w:p>
    <w:p>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highlight w:val="none"/>
        </w:rPr>
      </w:pPr>
      <w:r>
        <w:rPr>
          <w:rFonts w:hint="eastAsia" w:ascii="黑体" w:hAnsi="宋体" w:eastAsia="黑体"/>
          <w:sz w:val="24"/>
          <w:highlight w:val="none"/>
        </w:rPr>
        <w:t>36. 实地考察</w:t>
      </w:r>
    </w:p>
    <w:p>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pPr>
        <w:rPr>
          <w:rFonts w:ascii="黑体" w:hAnsi="宋体" w:eastAsia="黑体"/>
          <w:sz w:val="24"/>
          <w:highlight w:val="none"/>
        </w:rPr>
      </w:pPr>
      <w:r>
        <w:rPr>
          <w:rFonts w:hint="eastAsia" w:ascii="黑体" w:hAnsi="宋体" w:eastAsia="黑体"/>
          <w:sz w:val="24"/>
          <w:highlight w:val="none"/>
        </w:rPr>
        <w:t>37．评审方法</w:t>
      </w:r>
    </w:p>
    <w:p>
      <w:pPr>
        <w:ind w:firstLine="413" w:firstLineChars="196"/>
        <w:rPr>
          <w:rFonts w:ascii="宋体" w:hAnsi="宋体"/>
          <w:b/>
          <w:bCs/>
          <w:szCs w:val="21"/>
          <w:highlight w:val="none"/>
        </w:rPr>
      </w:pPr>
      <w:r>
        <w:rPr>
          <w:rFonts w:hint="eastAsia" w:ascii="宋体" w:hAnsi="宋体"/>
          <w:b/>
          <w:bCs/>
          <w:szCs w:val="21"/>
          <w:highlight w:val="none"/>
        </w:rPr>
        <w:t>37.1.1最低价法</w:t>
      </w:r>
    </w:p>
    <w:p>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pPr>
        <w:ind w:firstLine="413" w:firstLineChars="196"/>
        <w:rPr>
          <w:rFonts w:ascii="宋体" w:hAnsi="宋体"/>
          <w:b/>
          <w:bCs/>
          <w:szCs w:val="21"/>
          <w:highlight w:val="none"/>
        </w:rPr>
      </w:pPr>
      <w:r>
        <w:rPr>
          <w:rFonts w:hint="eastAsia" w:ascii="宋体" w:hAnsi="宋体"/>
          <w:b/>
          <w:bCs/>
          <w:szCs w:val="21"/>
          <w:highlight w:val="none"/>
        </w:rPr>
        <w:t>37.1.2综合评分法</w:t>
      </w:r>
    </w:p>
    <w:p>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pPr>
        <w:ind w:firstLine="413" w:firstLineChars="196"/>
        <w:rPr>
          <w:rFonts w:ascii="宋体" w:hAnsi="宋体"/>
          <w:b/>
          <w:bCs/>
          <w:szCs w:val="21"/>
          <w:highlight w:val="none"/>
        </w:rPr>
      </w:pPr>
      <w:r>
        <w:rPr>
          <w:rFonts w:hint="eastAsia" w:ascii="宋体" w:hAnsi="宋体"/>
          <w:b/>
          <w:bCs/>
          <w:szCs w:val="21"/>
          <w:highlight w:val="none"/>
        </w:rPr>
        <w:t>37.3重新评审的情形</w:t>
      </w:r>
    </w:p>
    <w:p>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pPr>
        <w:ind w:firstLine="411" w:firstLineChars="196"/>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pPr>
        <w:rPr>
          <w:rFonts w:ascii="黑体" w:hAnsi="宋体" w:eastAsia="黑体"/>
          <w:sz w:val="24"/>
          <w:highlight w:val="none"/>
        </w:rPr>
      </w:pPr>
      <w:r>
        <w:rPr>
          <w:rFonts w:hint="eastAsia" w:ascii="黑体" w:hAnsi="宋体" w:eastAsia="黑体"/>
          <w:sz w:val="24"/>
          <w:highlight w:val="none"/>
        </w:rPr>
        <w:t>38．定标方法</w:t>
      </w:r>
    </w:p>
    <w:p>
      <w:pPr>
        <w:ind w:firstLine="411" w:firstLineChars="196"/>
        <w:rPr>
          <w:rFonts w:ascii="宋体" w:hAnsi="宋体"/>
          <w:szCs w:val="21"/>
          <w:highlight w:val="none"/>
        </w:rPr>
      </w:pPr>
      <w:r>
        <w:rPr>
          <w:rFonts w:hint="eastAsia" w:ascii="宋体" w:hAnsi="宋体"/>
          <w:szCs w:val="21"/>
          <w:highlight w:val="none"/>
        </w:rPr>
        <w:t>38.1非评定分离项目定标方法</w:t>
      </w:r>
    </w:p>
    <w:p>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pPr>
        <w:ind w:firstLine="411" w:firstLineChars="196"/>
        <w:rPr>
          <w:rFonts w:ascii="宋体" w:hAnsi="宋体"/>
          <w:szCs w:val="21"/>
          <w:highlight w:val="none"/>
        </w:rPr>
      </w:pPr>
      <w:r>
        <w:rPr>
          <w:rFonts w:hint="eastAsia" w:ascii="宋体" w:hAnsi="宋体"/>
          <w:szCs w:val="21"/>
          <w:highlight w:val="none"/>
        </w:rPr>
        <w:t>38.2评定分离项目定标方法</w:t>
      </w:r>
    </w:p>
    <w:p>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pPr>
        <w:rPr>
          <w:rFonts w:ascii="黑体" w:hAnsi="宋体" w:eastAsia="黑体"/>
          <w:sz w:val="24"/>
          <w:highlight w:val="none"/>
        </w:rPr>
      </w:pPr>
      <w:r>
        <w:rPr>
          <w:rFonts w:hint="eastAsia" w:ascii="黑体" w:hAnsi="宋体" w:eastAsia="黑体"/>
          <w:sz w:val="24"/>
          <w:highlight w:val="none"/>
        </w:rPr>
        <w:t>39．编写评审报告</w:t>
      </w:r>
    </w:p>
    <w:p>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highlight w:val="none"/>
        </w:rPr>
      </w:pPr>
      <w:r>
        <w:rPr>
          <w:rFonts w:hint="eastAsia" w:ascii="黑体" w:hAnsi="宋体" w:eastAsia="黑体"/>
          <w:sz w:val="24"/>
          <w:highlight w:val="none"/>
        </w:rPr>
        <w:t>40．中标公告</w:t>
      </w:r>
    </w:p>
    <w:p>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rPr>
          <w:rFonts w:ascii="黑体" w:hAnsi="宋体" w:eastAsia="黑体"/>
          <w:sz w:val="24"/>
          <w:highlight w:val="none"/>
        </w:rPr>
      </w:pPr>
      <w:r>
        <w:rPr>
          <w:rFonts w:hint="eastAsia" w:ascii="黑体" w:hAnsi="宋体" w:eastAsia="黑体"/>
          <w:sz w:val="24"/>
          <w:highlight w:val="none"/>
        </w:rPr>
        <w:t>41．中标通知书</w:t>
      </w:r>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pPr>
        <w:ind w:firstLine="411" w:firstLineChars="196"/>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pPr>
        <w:rPr>
          <w:rFonts w:ascii="黑体" w:hAnsi="宋体" w:eastAsia="黑体"/>
          <w:sz w:val="24"/>
          <w:highlight w:val="none"/>
        </w:rPr>
      </w:pPr>
      <w:r>
        <w:rPr>
          <w:rFonts w:hint="eastAsia" w:ascii="黑体" w:hAnsi="宋体" w:eastAsia="黑体"/>
          <w:sz w:val="24"/>
          <w:highlight w:val="none"/>
        </w:rPr>
        <w:t>42．公开招标失败的处理</w:t>
      </w:r>
    </w:p>
    <w:p>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（1）由政府集中采购机构重新组织公开招标；</w:t>
      </w:r>
    </w:p>
    <w:p>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pPr>
        <w:rPr>
          <w:rFonts w:ascii="黑体" w:hAnsi="宋体" w:eastAsia="黑体"/>
          <w:sz w:val="24"/>
          <w:highlight w:val="none"/>
        </w:rPr>
      </w:pPr>
    </w:p>
    <w:p>
      <w:pPr>
        <w:pStyle w:val="4"/>
        <w:numPr>
          <w:ilvl w:val="0"/>
          <w:numId w:val="8"/>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pPr>
        <w:rPr>
          <w:rFonts w:ascii="黑体" w:hAnsi="宋体" w:eastAsia="黑体"/>
          <w:sz w:val="24"/>
          <w:highlight w:val="none"/>
        </w:rPr>
      </w:pPr>
      <w:bookmarkStart w:id="74" w:name="_Toc73517679"/>
      <w:bookmarkStart w:id="75" w:name="_Toc100052408"/>
      <w:bookmarkStart w:id="76" w:name="_Toc73518157"/>
      <w:bookmarkStart w:id="77" w:name="_Toc73521674"/>
      <w:bookmarkStart w:id="78" w:name="_Toc73521586"/>
      <w:bookmarkStart w:id="79" w:name="_Hlk72439088"/>
      <w:r>
        <w:rPr>
          <w:rFonts w:hint="eastAsia" w:ascii="黑体" w:hAnsi="宋体" w:eastAsia="黑体"/>
          <w:sz w:val="24"/>
          <w:highlight w:val="none"/>
        </w:rPr>
        <w:t>43．合同授予标准</w:t>
      </w:r>
      <w:bookmarkEnd w:id="74"/>
      <w:bookmarkEnd w:id="75"/>
      <w:bookmarkEnd w:id="76"/>
      <w:bookmarkEnd w:id="77"/>
      <w:bookmarkEnd w:id="78"/>
    </w:p>
    <w:p>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pPr>
        <w:rPr>
          <w:rFonts w:ascii="黑体" w:hAnsi="宋体" w:eastAsia="黑体"/>
          <w:sz w:val="24"/>
          <w:highlight w:val="none"/>
        </w:rPr>
      </w:pPr>
      <w:bookmarkStart w:id="80" w:name="_Toc73521675"/>
      <w:bookmarkStart w:id="81" w:name="_Toc100052409"/>
      <w:bookmarkStart w:id="82" w:name="_Toc73517680"/>
      <w:bookmarkStart w:id="83" w:name="_Toc73518158"/>
      <w:bookmarkStart w:id="84" w:name="_Toc73521587"/>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highlight w:val="none"/>
        </w:rPr>
      </w:pPr>
      <w:bookmarkStart w:id="85" w:name="_Toc73521677"/>
      <w:bookmarkStart w:id="86" w:name="_Toc73517682"/>
      <w:bookmarkStart w:id="87" w:name="_Toc100052410"/>
      <w:bookmarkStart w:id="88" w:name="_Toc73521589"/>
      <w:bookmarkStart w:id="89" w:name="_Toc73518160"/>
      <w:r>
        <w:rPr>
          <w:rFonts w:hint="eastAsia" w:ascii="黑体" w:hAnsi="宋体" w:eastAsia="黑体"/>
          <w:sz w:val="24"/>
          <w:highlight w:val="none"/>
        </w:rPr>
        <w:t>45．合同的签订</w:t>
      </w:r>
      <w:bookmarkEnd w:id="85"/>
      <w:bookmarkEnd w:id="86"/>
      <w:bookmarkEnd w:id="87"/>
      <w:bookmarkEnd w:id="88"/>
      <w:bookmarkEnd w:id="89"/>
    </w:p>
    <w:p>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pPr>
        <w:rPr>
          <w:rFonts w:ascii="黑体" w:hAnsi="宋体" w:eastAsia="黑体"/>
          <w:sz w:val="24"/>
          <w:highlight w:val="none"/>
        </w:rPr>
      </w:pPr>
      <w:bookmarkStart w:id="90" w:name="_Toc73517683"/>
      <w:bookmarkStart w:id="91" w:name="_Toc73521590"/>
      <w:bookmarkStart w:id="92" w:name="_Toc100052411"/>
      <w:bookmarkStart w:id="93" w:name="_Toc73521678"/>
      <w:bookmarkStart w:id="94" w:name="_Toc73518161"/>
      <w:r>
        <w:rPr>
          <w:rFonts w:hint="eastAsia" w:ascii="黑体" w:hAnsi="宋体" w:eastAsia="黑体"/>
          <w:sz w:val="24"/>
          <w:highlight w:val="none"/>
        </w:rPr>
        <w:t>46．履约担保</w:t>
      </w:r>
      <w:bookmarkEnd w:id="90"/>
      <w:bookmarkEnd w:id="91"/>
      <w:bookmarkEnd w:id="92"/>
      <w:bookmarkEnd w:id="93"/>
      <w:bookmarkEnd w:id="94"/>
    </w:p>
    <w:p>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pPr>
        <w:rPr>
          <w:rFonts w:ascii="黑体" w:hAnsi="宋体" w:eastAsia="黑体"/>
          <w:sz w:val="24"/>
          <w:highlight w:val="none"/>
        </w:rPr>
      </w:pPr>
      <w:r>
        <w:rPr>
          <w:rFonts w:hint="eastAsia" w:ascii="黑体" w:hAnsi="宋体" w:eastAsia="黑体"/>
          <w:sz w:val="24"/>
          <w:highlight w:val="none"/>
        </w:rPr>
        <w:t>47. 合同备案</w:t>
      </w:r>
    </w:p>
    <w:p>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pPr>
        <w:rPr>
          <w:rFonts w:ascii="黑体" w:hAnsi="宋体" w:eastAsia="黑体"/>
          <w:sz w:val="24"/>
          <w:highlight w:val="none"/>
        </w:rPr>
      </w:pPr>
      <w:r>
        <w:rPr>
          <w:rFonts w:hint="eastAsia" w:ascii="黑体" w:hAnsi="宋体" w:eastAsia="黑体"/>
          <w:sz w:val="24"/>
          <w:highlight w:val="none"/>
        </w:rPr>
        <w:t>48. 合同变更</w:t>
      </w:r>
    </w:p>
    <w:p>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pPr>
        <w:rPr>
          <w:rFonts w:ascii="黑体" w:hAnsi="宋体" w:eastAsia="黑体"/>
          <w:sz w:val="24"/>
          <w:highlight w:val="none"/>
        </w:rPr>
      </w:pPr>
      <w:r>
        <w:rPr>
          <w:rFonts w:hint="eastAsia" w:ascii="黑体" w:hAnsi="宋体" w:eastAsia="黑体"/>
          <w:sz w:val="24"/>
          <w:highlight w:val="none"/>
        </w:rPr>
        <w:t>49. 项目验收</w:t>
      </w:r>
    </w:p>
    <w:p>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pPr>
        <w:rPr>
          <w:rFonts w:ascii="黑体" w:hAnsi="宋体" w:eastAsia="黑体"/>
          <w:sz w:val="24"/>
          <w:highlight w:val="none"/>
        </w:rPr>
      </w:pPr>
      <w:r>
        <w:rPr>
          <w:rFonts w:hint="eastAsia" w:ascii="黑体" w:hAnsi="宋体" w:eastAsia="黑体"/>
          <w:sz w:val="24"/>
          <w:highlight w:val="none"/>
        </w:rPr>
        <w:t>50. 宣传</w:t>
      </w:r>
    </w:p>
    <w:p>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pPr>
        <w:ind w:left="210" w:leftChars="100" w:firstLine="411" w:firstLineChars="196"/>
        <w:rPr>
          <w:rFonts w:ascii="宋体" w:hAnsi="宋体"/>
          <w:highlight w:val="none"/>
        </w:rPr>
      </w:pPr>
      <w:r>
        <w:rPr>
          <w:rFonts w:ascii="宋体" w:hAnsi="宋体"/>
          <w:highlight w:val="none"/>
        </w:rPr>
        <w:t>a.名片、宣传册、广告标语等；</w:t>
      </w:r>
    </w:p>
    <w:p>
      <w:pPr>
        <w:ind w:left="210" w:leftChars="100" w:firstLine="411" w:firstLineChars="196"/>
        <w:rPr>
          <w:rFonts w:ascii="宋体" w:hAnsi="宋体"/>
          <w:highlight w:val="none"/>
        </w:rPr>
      </w:pPr>
      <w:r>
        <w:rPr>
          <w:rFonts w:ascii="宋体" w:hAnsi="宋体"/>
          <w:highlight w:val="none"/>
        </w:rPr>
        <w:t>b.案例介绍、推广等；</w:t>
      </w:r>
    </w:p>
    <w:p>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pPr>
        <w:rPr>
          <w:rFonts w:ascii="黑体" w:hAnsi="宋体" w:eastAsia="黑体"/>
          <w:sz w:val="24"/>
          <w:highlight w:val="none"/>
        </w:rPr>
      </w:pPr>
      <w:r>
        <w:rPr>
          <w:rFonts w:hint="eastAsia" w:ascii="黑体" w:hAnsi="宋体" w:eastAsia="黑体"/>
          <w:sz w:val="24"/>
          <w:highlight w:val="none"/>
        </w:rPr>
        <w:t>51. 供应商违法责任</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pPr>
        <w:ind w:firstLine="411" w:firstLineChars="196"/>
        <w:rPr>
          <w:rFonts w:ascii="宋体" w:hAnsi="宋体"/>
          <w:szCs w:val="21"/>
          <w:highlight w:val="none"/>
        </w:rPr>
      </w:pPr>
      <w:r>
        <w:rPr>
          <w:rFonts w:hint="eastAsia" w:ascii="宋体" w:hAnsi="宋体"/>
          <w:szCs w:val="21"/>
          <w:highlight w:val="none"/>
        </w:rPr>
        <w:t>（3）隐瞒真实情况，提供虚假资料的；</w:t>
      </w:r>
    </w:p>
    <w:p>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pPr>
        <w:ind w:firstLine="411" w:firstLineChars="196"/>
        <w:rPr>
          <w:rFonts w:ascii="宋体" w:hAnsi="宋体"/>
          <w:szCs w:val="21"/>
          <w:highlight w:val="none"/>
        </w:rPr>
      </w:pPr>
      <w:r>
        <w:rPr>
          <w:rFonts w:hint="eastAsia" w:ascii="宋体" w:hAnsi="宋体"/>
          <w:szCs w:val="21"/>
          <w:highlight w:val="none"/>
        </w:rPr>
        <w:t>（5）与其他采购参加人串通投标的；</w:t>
      </w:r>
    </w:p>
    <w:p>
      <w:pPr>
        <w:ind w:firstLine="411" w:firstLineChars="196"/>
        <w:rPr>
          <w:rFonts w:ascii="宋体" w:hAnsi="宋体"/>
          <w:szCs w:val="21"/>
          <w:highlight w:val="none"/>
        </w:rPr>
      </w:pPr>
      <w:r>
        <w:rPr>
          <w:rFonts w:hint="eastAsia" w:ascii="宋体" w:hAnsi="宋体"/>
          <w:szCs w:val="21"/>
          <w:highlight w:val="none"/>
        </w:rPr>
        <w:t>（6）恶意投诉的；</w:t>
      </w:r>
    </w:p>
    <w:p>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pPr>
        <w:ind w:firstLine="411" w:firstLineChars="196"/>
        <w:rPr>
          <w:rFonts w:ascii="宋体" w:hAnsi="宋体"/>
          <w:szCs w:val="21"/>
          <w:highlight w:val="none"/>
        </w:rPr>
      </w:pPr>
      <w:r>
        <w:rPr>
          <w:rFonts w:hint="eastAsia" w:ascii="宋体" w:hAnsi="宋体"/>
          <w:szCs w:val="21"/>
          <w:highlight w:val="none"/>
        </w:rPr>
        <w:t>（8）阻碍、抗拒主管部门监督检查的；</w:t>
      </w:r>
    </w:p>
    <w:p>
      <w:pPr>
        <w:ind w:firstLine="411" w:firstLineChars="196"/>
        <w:rPr>
          <w:rFonts w:ascii="宋体" w:hAnsi="宋体"/>
          <w:szCs w:val="21"/>
          <w:highlight w:val="none"/>
        </w:rPr>
      </w:pPr>
      <w:r>
        <w:rPr>
          <w:rFonts w:hint="eastAsia" w:ascii="宋体" w:hAnsi="宋体"/>
          <w:szCs w:val="21"/>
          <w:highlight w:val="none"/>
        </w:rPr>
        <w:t>（9）其他违反本条例规定的行为。</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pPr>
        <w:rPr>
          <w:rFonts w:ascii="宋体" w:hAnsi="宋体"/>
          <w:szCs w:val="21"/>
          <w:highlight w:val="none"/>
        </w:rPr>
      </w:pPr>
      <w:r>
        <w:rPr>
          <w:rFonts w:hint="eastAsia" w:ascii="宋体" w:hAnsi="宋体"/>
          <w:szCs w:val="21"/>
          <w:highlight w:val="none"/>
        </w:rPr>
        <w:t xml:space="preserve">    52.1提出质疑</w:t>
      </w:r>
    </w:p>
    <w:p>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rPr>
        <w:t>52.5收文地点</w:t>
      </w:r>
    </w:p>
    <w:p>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52.8投诉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pPr>
        <w:rPr>
          <w:rFonts w:ascii="黑体" w:hAnsi="宋体" w:eastAsia="黑体"/>
          <w:sz w:val="24"/>
          <w:highlight w:val="none"/>
        </w:rPr>
      </w:pPr>
      <w:r>
        <w:rPr>
          <w:rFonts w:hint="eastAsia" w:ascii="黑体" w:hAnsi="宋体" w:eastAsia="黑体"/>
          <w:sz w:val="24"/>
          <w:highlight w:val="none"/>
        </w:rPr>
        <w:t>53. 质疑后续处理</w:t>
      </w:r>
    </w:p>
    <w:p>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pPr>
        <w:pStyle w:val="2"/>
        <w:ind w:firstLine="420"/>
        <w:rPr>
          <w:highlight w:val="none"/>
        </w:rPr>
      </w:pPr>
    </w:p>
    <w:p>
      <w:pPr>
        <w:jc w:val="center"/>
      </w:pPr>
      <w:r>
        <w:rPr>
          <w:highlight w:val="none"/>
        </w:rPr>
        <w:t>---- END ----</w:t>
      </w:r>
    </w:p>
    <w:bookmarkEnd w:id="96"/>
    <w:p/>
    <w:p>
      <w:pPr>
        <w:ind w:firstLine="420" w:firstLineChars="200"/>
        <w:rPr>
          <w:rFonts w:ascii="宋体" w:hAnsi="宋体"/>
          <w:szCs w:val="21"/>
        </w:rPr>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D7F666A"/>
    <w:multiLevelType w:val="singleLevel"/>
    <w:tmpl w:val="2D7F666A"/>
    <w:lvl w:ilvl="0" w:tentative="0">
      <w:start w:val="10"/>
      <w:numFmt w:val="decimal"/>
      <w:suff w:val="nothing"/>
      <w:lvlText w:val="（%1）"/>
      <w:lvlJc w:val="left"/>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5E1"/>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34789D"/>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7E7443"/>
    <w:rsid w:val="08CA370B"/>
    <w:rsid w:val="09F07824"/>
    <w:rsid w:val="0A0932C7"/>
    <w:rsid w:val="0A506477"/>
    <w:rsid w:val="0A8A4C86"/>
    <w:rsid w:val="0A9342CF"/>
    <w:rsid w:val="0B547001"/>
    <w:rsid w:val="0C8D726E"/>
    <w:rsid w:val="0CE05750"/>
    <w:rsid w:val="0D1077DD"/>
    <w:rsid w:val="0EA162F1"/>
    <w:rsid w:val="0F4F55B5"/>
    <w:rsid w:val="0F523385"/>
    <w:rsid w:val="0F646474"/>
    <w:rsid w:val="108B0AAD"/>
    <w:rsid w:val="10907D14"/>
    <w:rsid w:val="10F16DCD"/>
    <w:rsid w:val="110658A6"/>
    <w:rsid w:val="114A387E"/>
    <w:rsid w:val="116D2364"/>
    <w:rsid w:val="11A5684D"/>
    <w:rsid w:val="11F046AF"/>
    <w:rsid w:val="120E7E09"/>
    <w:rsid w:val="123D4E07"/>
    <w:rsid w:val="124704DB"/>
    <w:rsid w:val="12562AA0"/>
    <w:rsid w:val="128C51F9"/>
    <w:rsid w:val="13A17880"/>
    <w:rsid w:val="1478143A"/>
    <w:rsid w:val="15525935"/>
    <w:rsid w:val="155B6F0B"/>
    <w:rsid w:val="156B7273"/>
    <w:rsid w:val="159B504D"/>
    <w:rsid w:val="15C649D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D735950"/>
    <w:rsid w:val="1E0A297A"/>
    <w:rsid w:val="1E3950C5"/>
    <w:rsid w:val="1E4808ED"/>
    <w:rsid w:val="1FF71956"/>
    <w:rsid w:val="20913CBA"/>
    <w:rsid w:val="20DB5404"/>
    <w:rsid w:val="210118AD"/>
    <w:rsid w:val="216F5E01"/>
    <w:rsid w:val="225241D7"/>
    <w:rsid w:val="23C47B15"/>
    <w:rsid w:val="242E759C"/>
    <w:rsid w:val="25B12A01"/>
    <w:rsid w:val="25C31279"/>
    <w:rsid w:val="26101C34"/>
    <w:rsid w:val="27034AD1"/>
    <w:rsid w:val="280C250B"/>
    <w:rsid w:val="28CF69C0"/>
    <w:rsid w:val="28DD6E23"/>
    <w:rsid w:val="28EF0C48"/>
    <w:rsid w:val="298D24BC"/>
    <w:rsid w:val="2A4F0167"/>
    <w:rsid w:val="2AD91221"/>
    <w:rsid w:val="2ADE7026"/>
    <w:rsid w:val="2B057693"/>
    <w:rsid w:val="2B3C09F3"/>
    <w:rsid w:val="2C5814C2"/>
    <w:rsid w:val="2CDD21EA"/>
    <w:rsid w:val="2D8206C8"/>
    <w:rsid w:val="2EEC40A0"/>
    <w:rsid w:val="2FD74BE1"/>
    <w:rsid w:val="307410C2"/>
    <w:rsid w:val="308D0856"/>
    <w:rsid w:val="30DC13F0"/>
    <w:rsid w:val="31121EF5"/>
    <w:rsid w:val="31EF7704"/>
    <w:rsid w:val="33305B83"/>
    <w:rsid w:val="333529DB"/>
    <w:rsid w:val="338B6C3E"/>
    <w:rsid w:val="33D2281B"/>
    <w:rsid w:val="34C17D58"/>
    <w:rsid w:val="35AF558A"/>
    <w:rsid w:val="361D05E2"/>
    <w:rsid w:val="37C5270E"/>
    <w:rsid w:val="37E766AA"/>
    <w:rsid w:val="39AF0A37"/>
    <w:rsid w:val="39E14173"/>
    <w:rsid w:val="3A660185"/>
    <w:rsid w:val="3B072B73"/>
    <w:rsid w:val="3BDD4E74"/>
    <w:rsid w:val="3C7E4EDD"/>
    <w:rsid w:val="3CB21EDE"/>
    <w:rsid w:val="3D303E99"/>
    <w:rsid w:val="3E824310"/>
    <w:rsid w:val="3E8E68D7"/>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560599"/>
    <w:rsid w:val="47B6656B"/>
    <w:rsid w:val="480E135C"/>
    <w:rsid w:val="48C170B3"/>
    <w:rsid w:val="48FE5B0D"/>
    <w:rsid w:val="49574862"/>
    <w:rsid w:val="4A5406A2"/>
    <w:rsid w:val="4AA13BA6"/>
    <w:rsid w:val="4AC519F6"/>
    <w:rsid w:val="4B110B90"/>
    <w:rsid w:val="4B2E0642"/>
    <w:rsid w:val="4B430CA9"/>
    <w:rsid w:val="4B7454E3"/>
    <w:rsid w:val="4D4B1098"/>
    <w:rsid w:val="4D624570"/>
    <w:rsid w:val="4E444B87"/>
    <w:rsid w:val="4E584DC9"/>
    <w:rsid w:val="4E5E5755"/>
    <w:rsid w:val="4ECD31C1"/>
    <w:rsid w:val="4FB34218"/>
    <w:rsid w:val="51264D54"/>
    <w:rsid w:val="53083749"/>
    <w:rsid w:val="5355411C"/>
    <w:rsid w:val="53590226"/>
    <w:rsid w:val="54803EF9"/>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BAE3C36"/>
    <w:rsid w:val="5C6D49B2"/>
    <w:rsid w:val="5C92709D"/>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57971"/>
    <w:rsid w:val="678877B3"/>
    <w:rsid w:val="67E1648C"/>
    <w:rsid w:val="67EE261E"/>
    <w:rsid w:val="68DA5D31"/>
    <w:rsid w:val="6902700E"/>
    <w:rsid w:val="69A9410F"/>
    <w:rsid w:val="6A226566"/>
    <w:rsid w:val="6B100175"/>
    <w:rsid w:val="6BF7330F"/>
    <w:rsid w:val="6D0E2679"/>
    <w:rsid w:val="6D4621DE"/>
    <w:rsid w:val="6DE55656"/>
    <w:rsid w:val="6E261BA7"/>
    <w:rsid w:val="6E660432"/>
    <w:rsid w:val="6E681C31"/>
    <w:rsid w:val="6E8D3E82"/>
    <w:rsid w:val="6ED7625C"/>
    <w:rsid w:val="6F135292"/>
    <w:rsid w:val="70F50EBA"/>
    <w:rsid w:val="71266569"/>
    <w:rsid w:val="7157391A"/>
    <w:rsid w:val="717C6A58"/>
    <w:rsid w:val="71D60130"/>
    <w:rsid w:val="731833B6"/>
    <w:rsid w:val="73A155A6"/>
    <w:rsid w:val="73FA5E27"/>
    <w:rsid w:val="741E4FC3"/>
    <w:rsid w:val="7447637A"/>
    <w:rsid w:val="74C667AB"/>
    <w:rsid w:val="74C876B4"/>
    <w:rsid w:val="757440A2"/>
    <w:rsid w:val="75C75F9E"/>
    <w:rsid w:val="75F61EF0"/>
    <w:rsid w:val="75F73A2A"/>
    <w:rsid w:val="75FC7405"/>
    <w:rsid w:val="76484AEE"/>
    <w:rsid w:val="769958F2"/>
    <w:rsid w:val="76E96805"/>
    <w:rsid w:val="770266B0"/>
    <w:rsid w:val="77E577FB"/>
    <w:rsid w:val="78174C2D"/>
    <w:rsid w:val="784576F8"/>
    <w:rsid w:val="78767A5E"/>
    <w:rsid w:val="793D0B51"/>
    <w:rsid w:val="79981429"/>
    <w:rsid w:val="7B471C92"/>
    <w:rsid w:val="7BCF4F27"/>
    <w:rsid w:val="7C081039"/>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spacing w:before="340" w:after="330" w:line="360" w:lineRule="auto"/>
      <w:jc w:val="center"/>
      <w:outlineLvl w:val="0"/>
    </w:pPr>
    <w:rPr>
      <w:rFonts w:eastAsia="黑体"/>
      <w:kern w:val="44"/>
      <w:szCs w:val="44"/>
    </w:rPr>
  </w:style>
  <w:style w:type="paragraph" w:styleId="4">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
    <w:qFormat/>
    <w:uiPriority w:val="0"/>
    <w:pPr>
      <w:keepNext/>
      <w:keepLines/>
      <w:spacing w:before="280" w:after="290" w:line="376" w:lineRule="auto"/>
      <w:outlineLvl w:val="4"/>
    </w:pPr>
    <w:rPr>
      <w:b/>
      <w:sz w:val="28"/>
      <w:szCs w:val="20"/>
    </w:rPr>
  </w:style>
  <w:style w:type="paragraph" w:styleId="11">
    <w:name w:val="heading 6"/>
    <w:basedOn w:val="1"/>
    <w:next w:val="8"/>
    <w:link w:val="81"/>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82"/>
    <w:qFormat/>
    <w:uiPriority w:val="0"/>
    <w:pPr>
      <w:keepNext/>
      <w:keepLines/>
      <w:spacing w:before="240" w:after="64" w:line="320" w:lineRule="auto"/>
      <w:outlineLvl w:val="6"/>
    </w:pPr>
    <w:rPr>
      <w:b/>
      <w:sz w:val="24"/>
      <w:szCs w:val="20"/>
    </w:rPr>
  </w:style>
  <w:style w:type="paragraph" w:styleId="13">
    <w:name w:val="heading 8"/>
    <w:basedOn w:val="1"/>
    <w:next w:val="8"/>
    <w:link w:val="83"/>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55"/>
    <w:qFormat/>
    <w:uiPriority w:val="0"/>
    <w:pPr>
      <w:ind w:firstLine="420"/>
    </w:pPr>
    <w:rPr>
      <w:szCs w:val="20"/>
    </w:rPr>
  </w:style>
  <w:style w:type="paragraph" w:styleId="9">
    <w:name w:val="Body Text"/>
    <w:basedOn w:val="1"/>
    <w:next w:val="10"/>
    <w:link w:val="90"/>
    <w:qFormat/>
    <w:uiPriority w:val="0"/>
    <w:pPr>
      <w:spacing w:line="360" w:lineRule="auto"/>
    </w:pPr>
    <w:rPr>
      <w:b/>
      <w:bCs/>
      <w:sz w:val="24"/>
    </w:rPr>
  </w:style>
  <w:style w:type="paragraph" w:styleId="10">
    <w:name w:val="Body Text 2"/>
    <w:basedOn w:val="1"/>
    <w:link w:val="94"/>
    <w:qFormat/>
    <w:uiPriority w:val="0"/>
    <w:pPr>
      <w:spacing w:line="360" w:lineRule="auto"/>
    </w:pPr>
    <w:rPr>
      <w:sz w:val="24"/>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96"/>
    <w:qFormat/>
    <w:uiPriority w:val="0"/>
    <w:pPr>
      <w:spacing w:after="120"/>
    </w:pPr>
    <w:rPr>
      <w:sz w:val="16"/>
      <w:szCs w:val="16"/>
    </w:rPr>
  </w:style>
  <w:style w:type="paragraph" w:styleId="21">
    <w:name w:val="Body Text Indent"/>
    <w:basedOn w:val="1"/>
    <w:link w:val="77"/>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8"/>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6"/>
    <w:qFormat/>
    <w:uiPriority w:val="0"/>
    <w:rPr>
      <w:rFonts w:ascii="宋体" w:hAnsi="Courier New"/>
      <w:sz w:val="32"/>
      <w:szCs w:val="20"/>
    </w:rPr>
  </w:style>
  <w:style w:type="paragraph" w:styleId="27">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7"/>
    <w:semiHidden/>
    <w:qFormat/>
    <w:uiPriority w:val="99"/>
    <w:rPr>
      <w:sz w:val="18"/>
      <w:szCs w:val="18"/>
    </w:rPr>
  </w:style>
  <w:style w:type="paragraph" w:styleId="29">
    <w:name w:val="footer"/>
    <w:basedOn w:val="1"/>
    <w:link w:val="95"/>
    <w:qFormat/>
    <w:uiPriority w:val="0"/>
    <w:pPr>
      <w:tabs>
        <w:tab w:val="center" w:pos="4153"/>
        <w:tab w:val="right" w:pos="8306"/>
      </w:tabs>
      <w:snapToGrid w:val="0"/>
      <w:jc w:val="left"/>
    </w:pPr>
    <w:rPr>
      <w:sz w:val="18"/>
      <w:szCs w:val="18"/>
    </w:rPr>
  </w:style>
  <w:style w:type="paragraph" w:styleId="30">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9"/>
    <w:next w:val="19"/>
    <w:link w:val="183"/>
    <w:qFormat/>
    <w:uiPriority w:val="99"/>
    <w:pPr>
      <w:autoSpaceDE/>
      <w:autoSpaceDN/>
      <w:adjustRightInd/>
      <w:textAlignment w:val="auto"/>
    </w:pPr>
    <w:rPr>
      <w:rFonts w:ascii="Times New Roman"/>
      <w:b/>
      <w:bCs/>
      <w:kern w:val="2"/>
      <w:sz w:val="21"/>
      <w:szCs w:val="24"/>
    </w:rPr>
  </w:style>
  <w:style w:type="paragraph" w:styleId="42">
    <w:name w:val="Body Text First Indent"/>
    <w:basedOn w:val="9"/>
    <w:link w:val="12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Char"/>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5"/>
    <w:qFormat/>
    <w:uiPriority w:val="9"/>
    <w:rPr>
      <w:rFonts w:ascii="宋体" w:hAnsi="宋体" w:eastAsia="宋体"/>
      <w:b/>
      <w:bCs/>
      <w:kern w:val="2"/>
      <w:sz w:val="28"/>
      <w:szCs w:val="32"/>
      <w:lang w:val="en-US" w:eastAsia="zh-CN" w:bidi="ar-SA"/>
    </w:rPr>
  </w:style>
  <w:style w:type="character" w:customStyle="1" w:styleId="54">
    <w:name w:val="标题 1 Char"/>
    <w:link w:val="3"/>
    <w:qFormat/>
    <w:uiPriority w:val="0"/>
    <w:rPr>
      <w:rFonts w:ascii="宋体" w:hAnsi="宋体" w:eastAsia="黑体"/>
      <w:b/>
      <w:bCs/>
      <w:kern w:val="44"/>
      <w:sz w:val="28"/>
      <w:szCs w:val="44"/>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4"/>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4"/>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1"/>
    <w:qFormat/>
    <w:uiPriority w:val="0"/>
    <w:rPr>
      <w:rFonts w:eastAsia="宋体"/>
      <w:kern w:val="2"/>
      <w:sz w:val="21"/>
      <w:szCs w:val="24"/>
      <w:lang w:val="en-US" w:eastAsia="zh-CN" w:bidi="ar-SA"/>
    </w:rPr>
  </w:style>
  <w:style w:type="character" w:customStyle="1" w:styleId="78">
    <w:name w:val="标题 5 Char"/>
    <w:link w:val="7"/>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1"/>
    <w:qFormat/>
    <w:uiPriority w:val="0"/>
    <w:rPr>
      <w:rFonts w:ascii="Arial" w:hAnsi="Arial" w:eastAsia="黑体"/>
      <w:b/>
      <w:kern w:val="2"/>
      <w:sz w:val="24"/>
      <w:lang w:val="en-US" w:eastAsia="zh-CN" w:bidi="ar-SA"/>
    </w:rPr>
  </w:style>
  <w:style w:type="character" w:customStyle="1" w:styleId="82">
    <w:name w:val="标题 7 Char"/>
    <w:link w:val="12"/>
    <w:qFormat/>
    <w:uiPriority w:val="0"/>
    <w:rPr>
      <w:rFonts w:eastAsia="宋体"/>
      <w:b/>
      <w:kern w:val="2"/>
      <w:sz w:val="24"/>
      <w:lang w:val="en-US" w:eastAsia="zh-CN" w:bidi="ar-SA"/>
    </w:rPr>
  </w:style>
  <w:style w:type="character" w:customStyle="1" w:styleId="83">
    <w:name w:val="标题 8 Char"/>
    <w:link w:val="13"/>
    <w:qFormat/>
    <w:uiPriority w:val="0"/>
    <w:rPr>
      <w:rFonts w:ascii="Arial" w:hAnsi="Arial" w:eastAsia="黑体"/>
      <w:kern w:val="2"/>
      <w:sz w:val="24"/>
      <w:lang w:val="en-US" w:eastAsia="zh-CN" w:bidi="ar-SA"/>
    </w:rPr>
  </w:style>
  <w:style w:type="character" w:customStyle="1" w:styleId="84">
    <w:name w:val="标题 9 Char"/>
    <w:link w:val="14"/>
    <w:qFormat/>
    <w:uiPriority w:val="0"/>
    <w:rPr>
      <w:rFonts w:ascii="Arial" w:hAnsi="Arial" w:eastAsia="黑体"/>
      <w:kern w:val="2"/>
      <w:sz w:val="21"/>
      <w:lang w:val="en-US" w:eastAsia="zh-CN" w:bidi="ar-SA"/>
    </w:rPr>
  </w:style>
  <w:style w:type="character" w:customStyle="1" w:styleId="85">
    <w:name w:val="标题 Char"/>
    <w:link w:val="40"/>
    <w:qFormat/>
    <w:uiPriority w:val="0"/>
    <w:rPr>
      <w:rFonts w:ascii="Arial" w:hAnsi="Arial" w:eastAsia="隶书" w:cs="Arial"/>
      <w:b/>
      <w:bCs/>
      <w:kern w:val="2"/>
      <w:sz w:val="32"/>
      <w:szCs w:val="32"/>
      <w:lang w:val="en-US" w:eastAsia="zh-CN" w:bidi="ar-SA"/>
    </w:rPr>
  </w:style>
  <w:style w:type="character" w:customStyle="1" w:styleId="86">
    <w:name w:val="日期 Char"/>
    <w:link w:val="26"/>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4"/>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9"/>
    <w:qFormat/>
    <w:uiPriority w:val="0"/>
    <w:rPr>
      <w:rFonts w:eastAsia="宋体"/>
      <w:b/>
      <w:bCs/>
      <w:kern w:val="2"/>
      <w:sz w:val="24"/>
      <w:szCs w:val="24"/>
      <w:lang w:val="en-US" w:eastAsia="zh-CN" w:bidi="ar-SA"/>
    </w:rPr>
  </w:style>
  <w:style w:type="character" w:customStyle="1" w:styleId="91">
    <w:name w:val="正文文本缩进 2 Char"/>
    <w:link w:val="27"/>
    <w:qFormat/>
    <w:uiPriority w:val="0"/>
    <w:rPr>
      <w:rFonts w:ascii="宋体" w:hAnsi="宋体" w:eastAsia="宋体"/>
      <w:kern w:val="2"/>
      <w:sz w:val="21"/>
      <w:szCs w:val="24"/>
      <w:lang w:val="en-US" w:eastAsia="zh-CN" w:bidi="ar-SA"/>
    </w:rPr>
  </w:style>
  <w:style w:type="character" w:customStyle="1" w:styleId="92">
    <w:name w:val="页眉 Char"/>
    <w:link w:val="30"/>
    <w:qFormat/>
    <w:uiPriority w:val="99"/>
    <w:rPr>
      <w:rFonts w:eastAsia="宋体"/>
      <w:kern w:val="2"/>
      <w:sz w:val="18"/>
      <w:szCs w:val="18"/>
      <w:lang w:val="en-US" w:eastAsia="zh-CN" w:bidi="ar-SA"/>
    </w:rPr>
  </w:style>
  <w:style w:type="character" w:customStyle="1" w:styleId="93">
    <w:name w:val="正文文本缩进 3 Char"/>
    <w:link w:val="34"/>
    <w:qFormat/>
    <w:uiPriority w:val="0"/>
    <w:rPr>
      <w:rFonts w:ascii="宋体" w:eastAsia="宋体"/>
      <w:b/>
      <w:bCs/>
      <w:kern w:val="2"/>
      <w:sz w:val="24"/>
      <w:szCs w:val="24"/>
      <w:lang w:val="en-US" w:eastAsia="zh-CN" w:bidi="ar-SA"/>
    </w:rPr>
  </w:style>
  <w:style w:type="character" w:customStyle="1" w:styleId="94">
    <w:name w:val="正文文本 2 Char"/>
    <w:link w:val="10"/>
    <w:qFormat/>
    <w:uiPriority w:val="0"/>
    <w:rPr>
      <w:rFonts w:eastAsia="宋体"/>
      <w:kern w:val="2"/>
      <w:sz w:val="24"/>
      <w:szCs w:val="24"/>
      <w:lang w:val="en-US" w:eastAsia="zh-CN" w:bidi="ar-SA"/>
    </w:rPr>
  </w:style>
  <w:style w:type="character" w:customStyle="1" w:styleId="95">
    <w:name w:val="页脚 Char"/>
    <w:link w:val="29"/>
    <w:qFormat/>
    <w:uiPriority w:val="0"/>
    <w:rPr>
      <w:rFonts w:eastAsia="宋体"/>
      <w:kern w:val="2"/>
      <w:sz w:val="18"/>
      <w:szCs w:val="18"/>
      <w:lang w:val="en-US" w:eastAsia="zh-CN" w:bidi="ar-SA"/>
    </w:rPr>
  </w:style>
  <w:style w:type="character" w:customStyle="1" w:styleId="96">
    <w:name w:val="正文文本 3 Char"/>
    <w:link w:val="20"/>
    <w:qFormat/>
    <w:uiPriority w:val="0"/>
    <w:rPr>
      <w:rFonts w:eastAsia="宋体"/>
      <w:kern w:val="2"/>
      <w:sz w:val="16"/>
      <w:szCs w:val="16"/>
      <w:lang w:val="en-US" w:eastAsia="zh-CN" w:bidi="ar-SA"/>
    </w:rPr>
  </w:style>
  <w:style w:type="character" w:customStyle="1" w:styleId="97">
    <w:name w:val="批注框文本 Char"/>
    <w:link w:val="28"/>
    <w:semiHidden/>
    <w:qFormat/>
    <w:uiPriority w:val="99"/>
    <w:rPr>
      <w:rFonts w:eastAsia="宋体"/>
      <w:kern w:val="2"/>
      <w:sz w:val="18"/>
      <w:szCs w:val="18"/>
      <w:lang w:val="en-US" w:eastAsia="zh-CN" w:bidi="ar-SA"/>
    </w:rPr>
  </w:style>
  <w:style w:type="paragraph" w:customStyle="1" w:styleId="98">
    <w:name w:val="样式1"/>
    <w:basedOn w:val="40"/>
    <w:qFormat/>
    <w:uiPriority w:val="0"/>
    <w:pPr>
      <w:spacing w:before="120" w:after="120"/>
    </w:pPr>
    <w:rPr>
      <w:rFonts w:eastAsia="黑体"/>
      <w:b w:val="0"/>
      <w:sz w:val="30"/>
      <w:szCs w:val="21"/>
    </w:rPr>
  </w:style>
  <w:style w:type="paragraph" w:customStyle="1" w:styleId="99">
    <w:name w:val="样式2"/>
    <w:basedOn w:val="40"/>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2"/>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21"/>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4"/>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5"/>
    <w:link w:val="19"/>
    <w:qFormat/>
    <w:uiPriority w:val="99"/>
    <w:rPr>
      <w:rFonts w:ascii="宋体"/>
      <w:sz w:val="34"/>
    </w:rPr>
  </w:style>
  <w:style w:type="character" w:customStyle="1" w:styleId="183">
    <w:name w:val="批注主题 Char"/>
    <w:basedOn w:val="182"/>
    <w:link w:val="41"/>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57</Pages>
  <Words>3794</Words>
  <Characters>3909</Characters>
  <Lines>332</Lines>
  <Paragraphs>93</Paragraphs>
  <TotalTime>66</TotalTime>
  <ScaleCrop>false</ScaleCrop>
  <LinksUpToDate>false</LinksUpToDate>
  <CharactersWithSpaces>3928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JYJT</cp:lastModifiedBy>
  <cp:lastPrinted>2021-05-09T08:02:00Z</cp:lastPrinted>
  <dcterms:modified xsi:type="dcterms:W3CDTF">2025-08-13T07:23:47Z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003ADDF3662F45C08528B97CC53E75F7_13</vt:lpwstr>
  </property>
  <property fmtid="{D5CDD505-2E9C-101B-9397-08002B2CF9AE}" pid="4" name="KSOTemplateDocerSaveRecord">
    <vt:lpwstr>eyJoZGlkIjoiMTEzMmY3N2I4ZDI1ZjE2ODBjMDFkZjY1NmM5NWQwZWUiLCJ1c2VySWQiOiIzODU2MzU4NTIifQ==</vt:lpwstr>
  </property>
</Properties>
</file>