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jc w:val="center"/>
        <w:outlineLvl w:val="1"/>
        <w:rPr>
          <w:rFonts w:hint="eastAsia" w:ascii="黑体" w:hAnsi="宋体" w:eastAsia="黑体" w:cs="黑体"/>
          <w:kern w:val="0"/>
          <w:sz w:val="40"/>
          <w:szCs w:val="40"/>
        </w:rPr>
      </w:pPr>
    </w:p>
    <w:p>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highlight w:val="none"/>
          <w:lang w:val="en-US" w:eastAsia="zh-CN"/>
        </w:rPr>
      </w:pPr>
      <w:r>
        <w:rPr>
          <w:rFonts w:hint="eastAsia"/>
          <w:b w:val="0"/>
          <w:bCs/>
          <w:color w:val="FF0000"/>
          <w:sz w:val="20"/>
          <w:szCs w:val="20"/>
          <w:highlight w:val="none"/>
          <w:lang w:val="en-US" w:eastAsia="zh-CN"/>
        </w:rPr>
        <w:t>四</w:t>
      </w:r>
      <w:r>
        <w:rPr>
          <w:rFonts w:hint="eastAsia" w:ascii="Times New Roman" w:eastAsia="宋体"/>
          <w:b w:val="0"/>
          <w:bCs/>
          <w:color w:val="FF0000"/>
          <w:sz w:val="20"/>
          <w:szCs w:val="20"/>
          <w:highlight w:val="none"/>
          <w:lang w:val="en-US" w:eastAsia="zh-CN"/>
        </w:rPr>
        <w:t>、</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highlight w:val="none"/>
          <w:lang w:val="en-US" w:eastAsia="zh-CN"/>
        </w:rPr>
      </w:pP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pPr>
        <w:widowControl/>
        <w:spacing w:beforeAutospacing="1" w:afterAutospacing="1"/>
        <w:jc w:val="center"/>
        <w:outlineLvl w:val="1"/>
        <w:rPr>
          <w:rFonts w:hint="eastAsia" w:ascii="黑体" w:hAnsi="宋体" w:eastAsia="黑体" w:cs="黑体"/>
          <w:kern w:val="0"/>
          <w:sz w:val="40"/>
          <w:szCs w:val="40"/>
          <w:highlight w:val="none"/>
        </w:rPr>
      </w:pPr>
    </w:p>
    <w:p>
      <w:pPr>
        <w:widowControl/>
        <w:spacing w:beforeAutospacing="1" w:afterAutospacing="1"/>
        <w:jc w:val="center"/>
        <w:outlineLvl w:val="1"/>
        <w:rPr>
          <w:rFonts w:hint="eastAsia" w:ascii="黑体" w:hAnsi="宋体" w:eastAsia="黑体" w:cs="黑体"/>
          <w:kern w:val="0"/>
          <w:sz w:val="40"/>
          <w:szCs w:val="40"/>
          <w:highlight w:val="none"/>
        </w:rPr>
      </w:pPr>
    </w:p>
    <w:p>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pgBorders>
            <w:top w:val="none" w:sz="0" w:space="0"/>
            <w:left w:val="none" w:sz="0" w:space="0"/>
            <w:bottom w:val="none" w:sz="0" w:space="0"/>
            <w:right w:val="none" w:sz="0" w:space="0"/>
          </w:pgBorders>
          <w:cols w:space="425" w:num="1"/>
          <w:titlePg/>
          <w:docGrid w:linePitch="462" w:charSpace="0"/>
        </w:sectPr>
      </w:pPr>
    </w:p>
    <w:p>
      <w:pPr>
        <w:pStyle w:val="2"/>
        <w:rPr>
          <w:rFonts w:hint="eastAsia"/>
          <w:highlight w:val="none"/>
        </w:rPr>
      </w:pPr>
    </w:p>
    <w:p>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w:t>
      </w:r>
      <w:r>
        <w:rPr>
          <w:rFonts w:hint="eastAsia" w:asciiTheme="minorEastAsia" w:hAnsiTheme="minorEastAsia" w:eastAsiaTheme="minorEastAsia" w:cstheme="minorEastAsia"/>
          <w:b w:val="0"/>
          <w:bCs w:val="0"/>
          <w:sz w:val="30"/>
          <w:szCs w:val="30"/>
          <w:highlight w:val="none"/>
          <w:lang w:val="en-US" w:eastAsia="zh-CN"/>
        </w:rPr>
        <w:t>:FTZXCG-2025-00110-001</w:t>
      </w:r>
    </w:p>
    <w:p>
      <w:pPr>
        <w:pStyle w:val="38"/>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pPr>
        <w:pStyle w:val="38"/>
        <w:keepNext w:val="0"/>
        <w:keepLines w:val="0"/>
        <w:pageBreakBefore w:val="0"/>
        <w:widowControl/>
        <w:kinsoku/>
        <w:wordWrap/>
        <w:overflowPunct/>
        <w:topLinePunct w:val="0"/>
        <w:autoSpaceDE/>
        <w:autoSpaceDN/>
        <w:bidi w:val="0"/>
        <w:adjustRightInd/>
        <w:snapToGrid/>
        <w:ind w:left="3736" w:leftChars="1136" w:hanging="1350" w:hangingChars="450"/>
        <w:jc w:val="both"/>
        <w:textAlignment w:val="auto"/>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项目名称</w:t>
      </w:r>
      <w:r>
        <w:rPr>
          <w:rFonts w:hint="eastAsia" w:asciiTheme="minorEastAsia" w:hAnsiTheme="minorEastAsia" w:eastAsiaTheme="minorEastAsia" w:cstheme="minorEastAsia"/>
          <w:b w:val="0"/>
          <w:bCs w:val="0"/>
          <w:sz w:val="30"/>
          <w:szCs w:val="30"/>
          <w:highlight w:val="none"/>
          <w:lang w:val="en-US" w:eastAsia="zh-CN"/>
        </w:rPr>
        <w:t>:深圳市福田区北京大学附属中学深圳学校（集团）外国语中学物业管理服务项目</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服务</w:t>
      </w:r>
      <w:r>
        <w:rPr>
          <w:rFonts w:hint="eastAsia" w:asciiTheme="minorEastAsia" w:hAnsiTheme="minorEastAsia" w:eastAsiaTheme="minorEastAsia" w:cstheme="minorEastAsia"/>
          <w:b w:val="0"/>
          <w:bCs w:val="0"/>
          <w:sz w:val="30"/>
          <w:szCs w:val="30"/>
          <w:highlight w:val="none"/>
        </w:rPr>
        <w:t>类</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公开招标</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pPr>
        <w:pStyle w:val="38"/>
        <w:jc w:val="center"/>
        <w:outlineLvl w:val="1"/>
        <w:rPr>
          <w:rFonts w:hint="eastAsia" w:ascii="黑体" w:hAnsi="黑体" w:eastAsia="黑体"/>
          <w:sz w:val="40"/>
          <w:szCs w:val="40"/>
          <w:highlight w:val="none"/>
        </w:rPr>
      </w:pPr>
    </w:p>
    <w:p>
      <w:pPr>
        <w:pStyle w:val="38"/>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pgBorders>
            <w:top w:val="none" w:sz="0" w:space="0"/>
            <w:left w:val="none" w:sz="0" w:space="0"/>
            <w:bottom w:val="none" w:sz="0" w:space="0"/>
            <w:right w:val="none" w:sz="0" w:space="0"/>
          </w:pgBorders>
          <w:cols w:space="425" w:num="1"/>
          <w:titlePg/>
          <w:docGrid w:linePitch="462" w:charSpace="0"/>
        </w:sectPr>
      </w:pPr>
    </w:p>
    <w:p>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pPr>
        <w:pStyle w:val="38"/>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法律、法规、规章、规范性文件规定的其他情形。</w:t>
            </w:r>
          </w:p>
        </w:tc>
      </w:tr>
    </w:tbl>
    <w:p>
      <w:pPr>
        <w:pStyle w:val="38"/>
        <w:jc w:val="center"/>
        <w:outlineLvl w:val="1"/>
        <w:rPr>
          <w:rFonts w:hint="eastAsia" w:ascii="黑体" w:hAnsi="黑体" w:eastAsia="黑体"/>
          <w:sz w:val="40"/>
          <w:szCs w:val="40"/>
          <w:highlight w:val="none"/>
        </w:rPr>
      </w:pPr>
    </w:p>
    <w:p>
      <w:pPr>
        <w:pStyle w:val="38"/>
        <w:jc w:val="center"/>
        <w:outlineLvl w:val="1"/>
        <w:rPr>
          <w:rFonts w:hint="eastAsia" w:ascii="黑体" w:hAnsi="黑体" w:eastAsia="黑体"/>
          <w:sz w:val="40"/>
          <w:szCs w:val="40"/>
          <w:highlight w:val="none"/>
        </w:rPr>
        <w:sectPr>
          <w:pgSz w:w="11907" w:h="16840"/>
          <w:pgMar w:top="1440" w:right="1417" w:bottom="1440" w:left="1417" w:header="851" w:footer="992" w:gutter="0"/>
          <w:pgBorders>
            <w:top w:val="none" w:sz="0" w:space="0"/>
            <w:left w:val="none" w:sz="0" w:space="0"/>
            <w:bottom w:val="none" w:sz="0" w:space="0"/>
            <w:right w:val="none" w:sz="0" w:space="0"/>
          </w:pgBorders>
          <w:cols w:space="425" w:num="1"/>
          <w:titlePg/>
          <w:docGrid w:linePitch="462" w:charSpace="0"/>
        </w:sectPr>
      </w:pPr>
    </w:p>
    <w:p>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blCellSpacing w:w="0" w:type="dxa"/>
          <w:jc w:val="center"/>
        </w:trPr>
        <w:tc>
          <w:tcPr>
            <w:tcW w:w="8873" w:type="dxa"/>
            <w:shd w:val="clear" w:color="auto" w:fill="auto"/>
            <w:vAlign w:val="center"/>
          </w:tcPr>
          <w:p>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pPr>
              <w:jc w:val="right"/>
              <w:rPr>
                <w:rFonts w:ascii="宋体"/>
                <w:b/>
                <w:bCs/>
                <w:sz w:val="24"/>
                <w:highlight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sym w:font="Wingdings" w:char="00FE"/>
            </w: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pPr>
        <w:rPr>
          <w:vanish/>
          <w:highlight w:val="none"/>
        </w:rPr>
      </w:pPr>
    </w:p>
    <w:tbl>
      <w:tblPr>
        <w:tblStyle w:val="43"/>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3508" w:type="dxa"/>
            <w:gridSpan w:val="3"/>
            <w:tcBorders>
              <w:tl2br w:val="nil"/>
              <w:tr2bl w:val="nil"/>
            </w:tcBorders>
            <w:shd w:val="clear" w:color="auto" w:fill="E6EFFA"/>
            <w:vAlign w:val="center"/>
          </w:tcPr>
          <w:p>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评分项</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w:t>
            </w:r>
          </w:p>
        </w:tc>
        <w:tc>
          <w:tcPr>
            <w:tcW w:w="3508" w:type="dxa"/>
            <w:gridSpan w:val="3"/>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价格</w:t>
            </w:r>
          </w:p>
        </w:tc>
        <w:tc>
          <w:tcPr>
            <w:tcW w:w="4856" w:type="dxa"/>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pPr>
              <w:wordWrap w:val="0"/>
              <w:adjustRightInd w:val="0"/>
              <w:snapToGrid w:val="0"/>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2</w:t>
            </w:r>
          </w:p>
        </w:tc>
        <w:tc>
          <w:tcPr>
            <w:tcW w:w="3508" w:type="dxa"/>
            <w:gridSpan w:val="3"/>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技术部分</w:t>
            </w:r>
          </w:p>
        </w:tc>
        <w:tc>
          <w:tcPr>
            <w:tcW w:w="4856" w:type="dxa"/>
            <w:tcBorders>
              <w:tl2br w:val="nil"/>
              <w:tr2bl w:val="nil"/>
            </w:tcBorders>
          </w:tcPr>
          <w:p>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pPr>
              <w:wordWrap w:val="0"/>
              <w:adjustRightInd w:val="0"/>
              <w:snapToGrid w:val="0"/>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项目服务方案</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14</w:t>
            </w:r>
          </w:p>
        </w:tc>
        <w:tc>
          <w:tcPr>
            <w:tcW w:w="4856" w:type="dxa"/>
            <w:tcBorders>
              <w:tl2br w:val="nil"/>
              <w:tr2bl w:val="nil"/>
            </w:tcBorders>
          </w:tcPr>
          <w:p>
            <w:pPr>
              <w:wordWrap w:val="0"/>
              <w:adjustRightInd w:val="0"/>
              <w:snapToGrid w:val="0"/>
              <w:spacing w:line="320" w:lineRule="exact"/>
              <w:rPr>
                <w:rFonts w:ascii="宋体" w:hAnsi="宋体" w:cs="宋体"/>
                <w:b/>
                <w:bCs/>
                <w:szCs w:val="21"/>
              </w:rPr>
            </w:pPr>
            <w:r>
              <w:rPr>
                <w:rFonts w:hint="eastAsia" w:ascii="宋体" w:hAnsi="宋体" w:cs="宋体"/>
                <w:b/>
                <w:bCs/>
                <w:szCs w:val="21"/>
              </w:rPr>
              <w:t>（一）评分内容：</w:t>
            </w:r>
          </w:p>
          <w:p>
            <w:pPr>
              <w:numPr>
                <w:ilvl w:val="0"/>
                <w:numId w:val="0"/>
              </w:numPr>
              <w:wordWrap w:val="0"/>
              <w:adjustRightInd w:val="0"/>
              <w:snapToGrid w:val="0"/>
              <w:spacing w:line="320" w:lineRule="exact"/>
              <w:rPr>
                <w:rFonts w:hint="eastAsia" w:ascii="宋体" w:hAnsi="宋体" w:cs="宋体"/>
                <w:szCs w:val="21"/>
              </w:rPr>
            </w:pPr>
            <w:r>
              <w:rPr>
                <w:rFonts w:hint="eastAsia" w:ascii="宋体" w:hAnsi="宋体" w:cs="宋体"/>
                <w:szCs w:val="21"/>
              </w:rPr>
              <w:t>根据招标文件要求提供项目服务方案，内容应包括：</w:t>
            </w:r>
          </w:p>
          <w:p>
            <w:pPr>
              <w:numPr>
                <w:ilvl w:val="0"/>
                <w:numId w:val="0"/>
              </w:numPr>
              <w:wordWrap w:val="0"/>
              <w:adjustRightInd w:val="0"/>
              <w:snapToGrid w:val="0"/>
              <w:spacing w:line="320" w:lineRule="exact"/>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物业总体规划方案。至少包括物业服务的管理设想、运作规划，管理方式、服务模式等内容；</w:t>
            </w:r>
          </w:p>
          <w:p>
            <w:pPr>
              <w:numPr>
                <w:ilvl w:val="0"/>
                <w:numId w:val="0"/>
              </w:numPr>
              <w:wordWrap w:val="0"/>
              <w:adjustRightInd w:val="0"/>
              <w:snapToGrid w:val="0"/>
              <w:spacing w:line="320" w:lineRule="exac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人员配置方案。至少包括团队的配置、人员稳定方案、人员定岗定责、员工培训等内容；</w:t>
            </w:r>
          </w:p>
          <w:p>
            <w:pPr>
              <w:numPr>
                <w:ilvl w:val="0"/>
                <w:numId w:val="0"/>
              </w:numPr>
              <w:wordWrap w:val="0"/>
              <w:adjustRightInd w:val="0"/>
              <w:snapToGrid w:val="0"/>
              <w:spacing w:line="320" w:lineRule="exact"/>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环境卫生方案。至少包括环境清洁卫生、垃圾分类及清运、厕所深度清洁、四害消杀等内容；</w:t>
            </w:r>
          </w:p>
          <w:p>
            <w:pPr>
              <w:numPr>
                <w:ilvl w:val="0"/>
                <w:numId w:val="0"/>
              </w:numPr>
              <w:wordWrap w:val="0"/>
              <w:adjustRightInd w:val="0"/>
              <w:snapToGrid w:val="0"/>
              <w:spacing w:line="320" w:lineRule="exact"/>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设施设备维护与保养方案。至少包括高低压供配电系统日常运行、给排水系统的日常运行、电梯巡检、消防巡查等内容；</w:t>
            </w:r>
          </w:p>
          <w:p>
            <w:pPr>
              <w:numPr>
                <w:ilvl w:val="0"/>
                <w:numId w:val="0"/>
              </w:numPr>
              <w:wordWrap w:val="0"/>
              <w:adjustRightInd w:val="0"/>
              <w:snapToGrid w:val="0"/>
              <w:spacing w:line="320" w:lineRule="exact"/>
              <w:rPr>
                <w:rFonts w:hint="eastAsia" w:ascii="宋体" w:hAnsi="宋体" w:cs="宋体"/>
                <w:szCs w:val="21"/>
              </w:rPr>
            </w:pPr>
            <w:r>
              <w:rPr>
                <w:rFonts w:hint="eastAsia" w:ascii="宋体" w:hAnsi="宋体" w:cs="宋体"/>
                <w:szCs w:val="21"/>
              </w:rPr>
              <w:t>5</w:t>
            </w:r>
            <w:r>
              <w:rPr>
                <w:rFonts w:hint="eastAsia" w:ascii="宋体" w:hAnsi="宋体" w:cs="宋体"/>
                <w:szCs w:val="21"/>
                <w:lang w:eastAsia="zh-CN"/>
              </w:rPr>
              <w:t>、</w:t>
            </w:r>
            <w:r>
              <w:rPr>
                <w:rFonts w:hint="eastAsia" w:ascii="宋体" w:hAnsi="宋体" w:cs="宋体"/>
                <w:szCs w:val="21"/>
              </w:rPr>
              <w:t>绿化养护（含绿植摆放）服务方案；</w:t>
            </w:r>
          </w:p>
          <w:p>
            <w:pPr>
              <w:numPr>
                <w:ilvl w:val="0"/>
                <w:numId w:val="0"/>
              </w:numPr>
              <w:wordWrap w:val="0"/>
              <w:adjustRightInd w:val="0"/>
              <w:snapToGrid w:val="0"/>
              <w:spacing w:line="320" w:lineRule="exact"/>
              <w:rPr>
                <w:rFonts w:hint="eastAsia" w:ascii="宋体" w:hAnsi="宋体" w:cs="宋体"/>
                <w:szCs w:val="21"/>
              </w:rPr>
            </w:pPr>
            <w:r>
              <w:rPr>
                <w:rFonts w:hint="eastAsia" w:ascii="宋体" w:hAnsi="宋体" w:cs="宋体"/>
                <w:szCs w:val="21"/>
              </w:rPr>
              <w:t>6</w:t>
            </w:r>
            <w:r>
              <w:rPr>
                <w:rFonts w:hint="eastAsia" w:ascii="宋体" w:hAnsi="宋体" w:cs="宋体"/>
                <w:szCs w:val="21"/>
                <w:lang w:eastAsia="zh-CN"/>
              </w:rPr>
              <w:t>、</w:t>
            </w:r>
            <w:r>
              <w:rPr>
                <w:rFonts w:hint="eastAsia" w:ascii="宋体" w:hAnsi="宋体" w:cs="宋体"/>
                <w:szCs w:val="21"/>
              </w:rPr>
              <w:t>安全保卫服务方案。</w:t>
            </w:r>
          </w:p>
          <w:p>
            <w:pPr>
              <w:numPr>
                <w:ilvl w:val="0"/>
                <w:numId w:val="0"/>
              </w:numPr>
              <w:wordWrap w:val="0"/>
              <w:adjustRightInd w:val="0"/>
              <w:snapToGrid w:val="0"/>
              <w:spacing w:line="320" w:lineRule="exact"/>
              <w:rPr>
                <w:rFonts w:ascii="宋体" w:hAnsi="宋体" w:cs="宋体"/>
                <w:b/>
                <w:bCs/>
                <w:szCs w:val="21"/>
              </w:rPr>
            </w:pPr>
            <w:r>
              <w:rPr>
                <w:rFonts w:hint="eastAsia" w:ascii="宋体" w:hAnsi="宋体" w:cs="宋体"/>
                <w:b/>
                <w:bCs/>
                <w:szCs w:val="21"/>
              </w:rPr>
              <w:t>（二）评分依据：</w:t>
            </w:r>
          </w:p>
          <w:p>
            <w:pPr>
              <w:wordWrap w:val="0"/>
              <w:adjustRightInd w:val="0"/>
              <w:snapToGrid w:val="0"/>
              <w:spacing w:line="320" w:lineRule="exact"/>
              <w:rPr>
                <w:rFonts w:ascii="宋体" w:hAnsi="宋体" w:cs="宋体"/>
                <w:szCs w:val="21"/>
              </w:rPr>
            </w:pPr>
            <w:r>
              <w:rPr>
                <w:rFonts w:hint="eastAsia" w:ascii="宋体" w:hAnsi="宋体" w:cs="宋体"/>
                <w:szCs w:val="21"/>
              </w:rPr>
              <w:t>每提供上述任意一项内容得1</w:t>
            </w:r>
            <w:r>
              <w:rPr>
                <w:rFonts w:hint="eastAsia" w:ascii="宋体" w:hAnsi="宋体" w:cs="宋体"/>
                <w:szCs w:val="21"/>
                <w:lang w:val="en-US" w:eastAsia="zh-CN"/>
              </w:rPr>
              <w:t>0</w:t>
            </w:r>
            <w:r>
              <w:rPr>
                <w:rFonts w:hint="eastAsia" w:ascii="宋体" w:hAnsi="宋体" w:cs="宋体"/>
                <w:szCs w:val="21"/>
              </w:rPr>
              <w:t>分，本小项累计最高得</w:t>
            </w:r>
            <w:r>
              <w:rPr>
                <w:rFonts w:hint="eastAsia" w:ascii="宋体" w:hAnsi="宋体" w:cs="宋体"/>
                <w:szCs w:val="21"/>
                <w:lang w:val="en-US" w:eastAsia="zh-CN"/>
              </w:rPr>
              <w:t>6</w:t>
            </w:r>
            <w:r>
              <w:rPr>
                <w:rFonts w:hint="eastAsia" w:ascii="宋体" w:hAnsi="宋体" w:cs="宋体"/>
                <w:szCs w:val="21"/>
              </w:rPr>
              <w:t>0分；在此基础上，专家根据各供应商的具体响应内容按照量化的评审因素指标进一步评审：</w:t>
            </w:r>
          </w:p>
          <w:p>
            <w:pPr>
              <w:wordWrap w:val="0"/>
              <w:adjustRightInd w:val="0"/>
              <w:snapToGrid w:val="0"/>
              <w:spacing w:line="320" w:lineRule="exact"/>
              <w:rPr>
                <w:rFonts w:ascii="宋体" w:hAnsi="宋体" w:cs="宋体"/>
                <w:szCs w:val="21"/>
              </w:rPr>
            </w:pPr>
            <w:r>
              <w:rPr>
                <w:rFonts w:hint="eastAsia" w:ascii="宋体" w:hAnsi="宋体" w:cs="宋体"/>
                <w:szCs w:val="21"/>
              </w:rPr>
              <w:t>1.方案整体科学合理、针对性强、可操作性强，评审为优的，加40分；</w:t>
            </w:r>
          </w:p>
          <w:p>
            <w:pPr>
              <w:wordWrap w:val="0"/>
              <w:adjustRightInd w:val="0"/>
              <w:snapToGrid w:val="0"/>
              <w:spacing w:line="320" w:lineRule="exact"/>
              <w:rPr>
                <w:rFonts w:ascii="宋体" w:hAnsi="宋体" w:cs="宋体"/>
                <w:szCs w:val="21"/>
              </w:rPr>
            </w:pPr>
            <w:r>
              <w:rPr>
                <w:rFonts w:hint="eastAsia" w:ascii="宋体" w:hAnsi="宋体" w:cs="宋体"/>
                <w:szCs w:val="21"/>
              </w:rPr>
              <w:t>2.方案较合理、有一定针对性、一定可操作性，评审为良的，加25分；</w:t>
            </w:r>
          </w:p>
          <w:p>
            <w:pPr>
              <w:wordWrap w:val="0"/>
              <w:adjustRightInd w:val="0"/>
              <w:snapToGrid w:val="0"/>
              <w:spacing w:line="320" w:lineRule="exact"/>
              <w:rPr>
                <w:rFonts w:ascii="宋体" w:hAnsi="宋体" w:cs="宋体"/>
                <w:szCs w:val="21"/>
              </w:rPr>
            </w:pPr>
            <w:r>
              <w:rPr>
                <w:rFonts w:hint="eastAsia" w:ascii="宋体" w:hAnsi="宋体" w:cs="宋体"/>
                <w:szCs w:val="21"/>
              </w:rPr>
              <w:t>3.方案不尽合理、针对性一般、可操作性一般，评审为中的，加10分；</w:t>
            </w:r>
          </w:p>
          <w:p>
            <w:pPr>
              <w:wordWrap w:val="0"/>
              <w:adjustRightInd w:val="0"/>
              <w:snapToGrid w:val="0"/>
              <w:spacing w:line="320" w:lineRule="exact"/>
              <w:rPr>
                <w:rFonts w:ascii="宋体" w:hAnsi="宋体" w:cs="宋体"/>
                <w:szCs w:val="21"/>
                <w:highlight w:val="none"/>
              </w:rPr>
            </w:pPr>
            <w:r>
              <w:rPr>
                <w:rFonts w:hint="eastAsia" w:ascii="宋体" w:hAnsi="宋体" w:cs="宋体"/>
                <w:szCs w:val="21"/>
              </w:rPr>
              <w:t>4.方案不合理、无针对性、无可操作性，评审为差的，加0分。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szCs w:val="21"/>
                <w:highlight w:val="none"/>
              </w:rPr>
              <w:t>质量保障措施</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w:t>
            </w:r>
          </w:p>
        </w:tc>
        <w:tc>
          <w:tcPr>
            <w:tcW w:w="4856" w:type="dxa"/>
            <w:tcBorders>
              <w:tl2br w:val="nil"/>
              <w:tr2bl w:val="nil"/>
            </w:tcBorders>
            <w:vAlign w:val="top"/>
          </w:tcPr>
          <w:p>
            <w:pPr>
              <w:wordWrap w:val="0"/>
              <w:adjustRightInd w:val="0"/>
              <w:snapToGrid w:val="0"/>
              <w:spacing w:line="320" w:lineRule="exact"/>
              <w:rPr>
                <w:rFonts w:hint="eastAsia" w:ascii="宋体" w:hAnsi="宋体" w:cs="宋体"/>
                <w:b/>
                <w:bCs/>
                <w:szCs w:val="21"/>
              </w:rPr>
            </w:pPr>
            <w:r>
              <w:rPr>
                <w:rFonts w:hint="eastAsia" w:ascii="宋体" w:hAnsi="宋体" w:cs="宋体"/>
                <w:b/>
                <w:bCs/>
                <w:szCs w:val="21"/>
              </w:rPr>
              <w:t>（一）评分内容：</w:t>
            </w:r>
          </w:p>
          <w:p>
            <w:pPr>
              <w:wordWrap w:val="0"/>
              <w:adjustRightInd w:val="0"/>
              <w:snapToGrid w:val="0"/>
              <w:spacing w:line="320" w:lineRule="exact"/>
              <w:rPr>
                <w:rFonts w:hint="eastAsia" w:ascii="宋体" w:hAnsi="宋体" w:cs="宋体"/>
                <w:szCs w:val="21"/>
              </w:rPr>
            </w:pPr>
            <w:r>
              <w:rPr>
                <w:rFonts w:hint="eastAsia" w:ascii="宋体" w:hAnsi="宋体" w:cs="宋体"/>
                <w:szCs w:val="21"/>
              </w:rPr>
              <w:t>投标人针对本项目服务质量保障，提出以下内容：</w:t>
            </w:r>
          </w:p>
          <w:p>
            <w:pPr>
              <w:wordWrap w:val="0"/>
              <w:adjustRightInd w:val="0"/>
              <w:snapToGrid w:val="0"/>
              <w:spacing w:line="320" w:lineRule="exact"/>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服务质量保障措施；</w:t>
            </w:r>
          </w:p>
          <w:p>
            <w:pPr>
              <w:wordWrap w:val="0"/>
              <w:adjustRightInd w:val="0"/>
              <w:snapToGrid w:val="0"/>
              <w:spacing w:line="320" w:lineRule="exac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针对恶劣天气、停水停电、突发安全事故、突发公共卫生事件等突发事件的应急预案</w:t>
            </w:r>
            <w:r>
              <w:rPr>
                <w:rFonts w:hint="eastAsia" w:ascii="宋体" w:hAnsi="宋体" w:cs="宋体"/>
                <w:szCs w:val="21"/>
                <w:lang w:eastAsia="zh-CN"/>
              </w:rPr>
              <w:t>。</w:t>
            </w:r>
            <w:r>
              <w:rPr>
                <w:rFonts w:hint="eastAsia" w:ascii="宋体" w:hAnsi="宋体" w:cs="宋体"/>
                <w:szCs w:val="21"/>
              </w:rPr>
              <w:t xml:space="preserve"> </w:t>
            </w:r>
          </w:p>
          <w:p>
            <w:pPr>
              <w:wordWrap w:val="0"/>
              <w:adjustRightInd w:val="0"/>
              <w:snapToGrid w:val="0"/>
              <w:spacing w:line="320" w:lineRule="exact"/>
              <w:rPr>
                <w:rFonts w:hint="eastAsia" w:ascii="宋体" w:hAnsi="宋体" w:cs="宋体"/>
                <w:szCs w:val="21"/>
              </w:rPr>
            </w:pPr>
            <w:r>
              <w:rPr>
                <w:rFonts w:hint="eastAsia" w:ascii="宋体" w:hAnsi="宋体" w:cs="宋体"/>
                <w:b/>
                <w:bCs/>
                <w:szCs w:val="21"/>
              </w:rPr>
              <w:t>（二）评分依据：</w:t>
            </w:r>
          </w:p>
          <w:p>
            <w:pPr>
              <w:wordWrap w:val="0"/>
              <w:adjustRightInd w:val="0"/>
              <w:snapToGrid w:val="0"/>
              <w:spacing w:line="320" w:lineRule="exact"/>
              <w:rPr>
                <w:rFonts w:hint="eastAsia" w:ascii="宋体" w:hAnsi="宋体" w:cs="宋体"/>
                <w:szCs w:val="21"/>
              </w:rPr>
            </w:pPr>
            <w:r>
              <w:rPr>
                <w:rFonts w:hint="eastAsia" w:ascii="宋体" w:hAnsi="宋体" w:cs="宋体"/>
                <w:szCs w:val="21"/>
              </w:rPr>
              <w:t>每提供上述任意一项内容得</w:t>
            </w:r>
            <w:r>
              <w:rPr>
                <w:rFonts w:hint="eastAsia" w:ascii="宋体" w:hAnsi="宋体" w:cs="宋体"/>
                <w:szCs w:val="21"/>
                <w:lang w:val="en-US" w:eastAsia="zh-CN"/>
              </w:rPr>
              <w:t>30</w:t>
            </w:r>
            <w:r>
              <w:rPr>
                <w:rFonts w:hint="eastAsia" w:ascii="宋体" w:hAnsi="宋体" w:cs="宋体"/>
                <w:szCs w:val="21"/>
              </w:rPr>
              <w:t>分，本小项累计最高得60分；在此基础上，专家根据各供应商的具体响应内容按照量化的评审因素指标进一步评审：</w:t>
            </w:r>
          </w:p>
          <w:p>
            <w:pPr>
              <w:wordWrap w:val="0"/>
              <w:adjustRightInd w:val="0"/>
              <w:snapToGrid w:val="0"/>
              <w:spacing w:line="320" w:lineRule="exact"/>
              <w:rPr>
                <w:rFonts w:hint="eastAsia" w:ascii="宋体" w:hAnsi="宋体" w:cs="宋体"/>
                <w:szCs w:val="21"/>
              </w:rPr>
            </w:pPr>
            <w:r>
              <w:rPr>
                <w:rFonts w:hint="eastAsia" w:ascii="宋体" w:hAnsi="宋体" w:cs="宋体"/>
                <w:szCs w:val="21"/>
              </w:rPr>
              <w:t>1.</w:t>
            </w:r>
            <w:r>
              <w:rPr>
                <w:rFonts w:hint="eastAsia" w:ascii="宋体" w:hAnsi="宋体"/>
                <w:szCs w:val="21"/>
                <w:highlight w:val="none"/>
              </w:rPr>
              <w:t>质量保障措施</w:t>
            </w:r>
            <w:r>
              <w:rPr>
                <w:rFonts w:hint="eastAsia" w:ascii="宋体" w:hAnsi="宋体" w:cs="宋体"/>
                <w:szCs w:val="21"/>
              </w:rPr>
              <w:t>整体科学合理、针对性强、可操作性强，评审为优的，加40分；</w:t>
            </w:r>
          </w:p>
          <w:p>
            <w:pPr>
              <w:wordWrap w:val="0"/>
              <w:adjustRightInd w:val="0"/>
              <w:snapToGrid w:val="0"/>
              <w:spacing w:line="320" w:lineRule="exact"/>
              <w:rPr>
                <w:rFonts w:hint="eastAsia" w:ascii="宋体" w:hAnsi="宋体" w:cs="宋体"/>
                <w:szCs w:val="21"/>
              </w:rPr>
            </w:pPr>
            <w:r>
              <w:rPr>
                <w:rFonts w:hint="eastAsia" w:ascii="宋体" w:hAnsi="宋体" w:cs="宋体"/>
                <w:szCs w:val="21"/>
              </w:rPr>
              <w:t>2.</w:t>
            </w:r>
            <w:r>
              <w:rPr>
                <w:rFonts w:hint="eastAsia" w:ascii="宋体" w:hAnsi="宋体"/>
                <w:szCs w:val="21"/>
                <w:highlight w:val="none"/>
              </w:rPr>
              <w:t>质量保障措施</w:t>
            </w:r>
            <w:r>
              <w:rPr>
                <w:rFonts w:hint="eastAsia" w:ascii="宋体" w:hAnsi="宋体" w:cs="宋体"/>
                <w:szCs w:val="21"/>
              </w:rPr>
              <w:t>较合理、有一定针对性、一定可操作性，评审为良的，加25分；</w:t>
            </w:r>
          </w:p>
          <w:p>
            <w:pPr>
              <w:wordWrap w:val="0"/>
              <w:adjustRightInd w:val="0"/>
              <w:snapToGrid w:val="0"/>
              <w:spacing w:line="320" w:lineRule="exact"/>
              <w:rPr>
                <w:rFonts w:hint="eastAsia" w:ascii="宋体" w:hAnsi="宋体" w:cs="宋体"/>
                <w:szCs w:val="21"/>
              </w:rPr>
            </w:pPr>
            <w:r>
              <w:rPr>
                <w:rFonts w:hint="eastAsia" w:ascii="宋体" w:hAnsi="宋体" w:cs="宋体"/>
                <w:szCs w:val="21"/>
              </w:rPr>
              <w:t>3.</w:t>
            </w:r>
            <w:r>
              <w:rPr>
                <w:rFonts w:hint="eastAsia" w:ascii="宋体" w:hAnsi="宋体"/>
                <w:szCs w:val="21"/>
                <w:highlight w:val="none"/>
              </w:rPr>
              <w:t>质量保障措施</w:t>
            </w:r>
            <w:r>
              <w:rPr>
                <w:rFonts w:hint="eastAsia" w:ascii="宋体" w:hAnsi="宋体" w:cs="宋体"/>
                <w:szCs w:val="21"/>
              </w:rPr>
              <w:t>不尽合理、针对性一般、可操作性一般，评审为中的，加10分；</w:t>
            </w:r>
          </w:p>
          <w:p>
            <w:pPr>
              <w:wordWrap w:val="0"/>
              <w:adjustRightInd w:val="0"/>
              <w:snapToGrid w:val="0"/>
              <w:spacing w:line="320" w:lineRule="exact"/>
              <w:rPr>
                <w:rFonts w:ascii="宋体" w:hAnsi="宋体" w:cs="宋体"/>
                <w:szCs w:val="21"/>
                <w:highlight w:val="none"/>
              </w:rPr>
            </w:pPr>
            <w:r>
              <w:rPr>
                <w:rFonts w:hint="eastAsia" w:ascii="宋体" w:hAnsi="宋体" w:cs="宋体"/>
                <w:szCs w:val="21"/>
              </w:rPr>
              <w:t>4.</w:t>
            </w:r>
            <w:r>
              <w:rPr>
                <w:rFonts w:hint="eastAsia" w:ascii="宋体" w:hAnsi="宋体"/>
                <w:szCs w:val="21"/>
                <w:highlight w:val="none"/>
              </w:rPr>
              <w:t>质量保障措施</w:t>
            </w:r>
            <w:r>
              <w:rPr>
                <w:rFonts w:hint="eastAsia" w:ascii="宋体" w:hAnsi="宋体" w:cs="宋体"/>
                <w:szCs w:val="21"/>
              </w:rPr>
              <w:t>不合理、无针对性、无可操作性，评审为差的，加0分。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3</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szCs w:val="21"/>
                <w:highlight w:val="none"/>
              </w:rPr>
              <w:t>项目重点难点分析、应对措施及相关的合理化建议</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856" w:type="dxa"/>
            <w:tcBorders>
              <w:tl2br w:val="nil"/>
              <w:tr2bl w:val="nil"/>
            </w:tcBorders>
            <w:vAlign w:val="top"/>
          </w:tcPr>
          <w:p>
            <w:pPr>
              <w:wordWrap w:val="0"/>
              <w:adjustRightInd w:val="0"/>
              <w:snapToGrid w:val="0"/>
              <w:spacing w:line="320" w:lineRule="exact"/>
              <w:rPr>
                <w:rFonts w:hint="eastAsia" w:ascii="宋体" w:hAnsi="宋体" w:cs="宋体"/>
                <w:szCs w:val="21"/>
              </w:rPr>
            </w:pPr>
            <w:r>
              <w:rPr>
                <w:rFonts w:hint="eastAsia" w:ascii="宋体" w:hAnsi="宋体" w:cs="宋体"/>
                <w:b/>
                <w:bCs/>
                <w:szCs w:val="21"/>
              </w:rPr>
              <w:t>（一）评分内容：</w:t>
            </w:r>
          </w:p>
          <w:p>
            <w:pPr>
              <w:wordWrap w:val="0"/>
              <w:adjustRightInd w:val="0"/>
              <w:snapToGrid w:val="0"/>
              <w:spacing w:line="320" w:lineRule="exact"/>
              <w:rPr>
                <w:rFonts w:hint="eastAsia" w:ascii="宋体" w:hAnsi="宋体" w:cs="宋体"/>
                <w:szCs w:val="21"/>
              </w:rPr>
            </w:pPr>
            <w:r>
              <w:rPr>
                <w:rFonts w:hint="eastAsia" w:ascii="宋体" w:hAnsi="宋体" w:cs="宋体"/>
                <w:szCs w:val="21"/>
              </w:rPr>
              <w:t>投标人针对本项目服务内容的特点及管理过程的重点难点，提出以下内容：</w:t>
            </w:r>
          </w:p>
          <w:p>
            <w:pPr>
              <w:wordWrap w:val="0"/>
              <w:adjustRightInd w:val="0"/>
              <w:snapToGrid w:val="0"/>
              <w:spacing w:line="320" w:lineRule="exact"/>
              <w:rPr>
                <w:rFonts w:hint="eastAsia" w:ascii="宋体" w:hAnsi="宋体" w:cs="宋体"/>
                <w:szCs w:val="21"/>
              </w:rPr>
            </w:pPr>
            <w:r>
              <w:rPr>
                <w:rFonts w:hint="eastAsia" w:ascii="宋体" w:hAnsi="宋体" w:cs="宋体"/>
                <w:szCs w:val="21"/>
              </w:rPr>
              <w:t>1. 项目重点难点分析及应对措施；</w:t>
            </w:r>
          </w:p>
          <w:p>
            <w:pPr>
              <w:wordWrap w:val="0"/>
              <w:adjustRightInd w:val="0"/>
              <w:snapToGrid w:val="0"/>
              <w:spacing w:line="320" w:lineRule="exact"/>
              <w:rPr>
                <w:rFonts w:hint="eastAsia" w:ascii="宋体" w:hAnsi="宋体" w:cs="宋体"/>
                <w:szCs w:val="21"/>
              </w:rPr>
            </w:pPr>
            <w:r>
              <w:rPr>
                <w:rFonts w:hint="eastAsia" w:ascii="宋体" w:hAnsi="宋体" w:cs="宋体"/>
                <w:szCs w:val="21"/>
              </w:rPr>
              <w:t xml:space="preserve">2. 相关的合理化建议。 </w:t>
            </w:r>
          </w:p>
          <w:p>
            <w:pPr>
              <w:wordWrap w:val="0"/>
              <w:adjustRightInd w:val="0"/>
              <w:snapToGrid w:val="0"/>
              <w:spacing w:line="320" w:lineRule="exact"/>
              <w:rPr>
                <w:rFonts w:hint="eastAsia" w:ascii="宋体" w:hAnsi="宋体" w:cs="宋体"/>
                <w:b/>
                <w:bCs/>
                <w:szCs w:val="21"/>
              </w:rPr>
            </w:pPr>
            <w:r>
              <w:rPr>
                <w:rFonts w:hint="eastAsia" w:ascii="宋体" w:hAnsi="宋体" w:cs="宋体"/>
                <w:b/>
                <w:bCs/>
                <w:szCs w:val="21"/>
              </w:rPr>
              <w:t>（二）评分依据：</w:t>
            </w:r>
          </w:p>
          <w:p>
            <w:pPr>
              <w:wordWrap w:val="0"/>
              <w:adjustRightInd w:val="0"/>
              <w:snapToGrid w:val="0"/>
              <w:spacing w:line="320" w:lineRule="exact"/>
              <w:rPr>
                <w:rFonts w:hint="eastAsia" w:ascii="宋体" w:hAnsi="宋体" w:cs="宋体"/>
                <w:szCs w:val="21"/>
              </w:rPr>
            </w:pPr>
            <w:r>
              <w:rPr>
                <w:rFonts w:hint="eastAsia" w:ascii="宋体" w:hAnsi="宋体" w:cs="宋体"/>
                <w:szCs w:val="21"/>
              </w:rPr>
              <w:t>每提供上述任意一项内容得30分，本小项累计最高得60分；在此基础上，专家根据各供应商的具体响应内容按照量化的评审因素指标进一步评审：</w:t>
            </w:r>
          </w:p>
          <w:p>
            <w:pPr>
              <w:wordWrap w:val="0"/>
              <w:adjustRightInd w:val="0"/>
              <w:snapToGrid w:val="0"/>
              <w:spacing w:line="320" w:lineRule="exact"/>
              <w:rPr>
                <w:rFonts w:hint="eastAsia" w:ascii="宋体" w:hAnsi="宋体" w:cs="宋体"/>
                <w:szCs w:val="21"/>
              </w:rPr>
            </w:pPr>
            <w:r>
              <w:rPr>
                <w:rFonts w:hint="eastAsia" w:ascii="宋体" w:hAnsi="宋体" w:cs="宋体"/>
                <w:szCs w:val="21"/>
              </w:rPr>
              <w:t>1.方案整体科学合理、针对性强、可操作性强，评审为优的，加40分；</w:t>
            </w:r>
          </w:p>
          <w:p>
            <w:pPr>
              <w:wordWrap w:val="0"/>
              <w:adjustRightInd w:val="0"/>
              <w:snapToGrid w:val="0"/>
              <w:spacing w:line="320" w:lineRule="exact"/>
              <w:rPr>
                <w:rFonts w:hint="eastAsia" w:ascii="宋体" w:hAnsi="宋体" w:cs="宋体"/>
                <w:szCs w:val="21"/>
              </w:rPr>
            </w:pPr>
            <w:r>
              <w:rPr>
                <w:rFonts w:hint="eastAsia" w:ascii="宋体" w:hAnsi="宋体" w:cs="宋体"/>
                <w:szCs w:val="21"/>
              </w:rPr>
              <w:t>2.方案较合理、有一定针对性、一定可操作性，评审为良的，加25分；</w:t>
            </w:r>
          </w:p>
          <w:p>
            <w:pPr>
              <w:wordWrap w:val="0"/>
              <w:adjustRightInd w:val="0"/>
              <w:snapToGrid w:val="0"/>
              <w:spacing w:line="320" w:lineRule="exact"/>
              <w:rPr>
                <w:rFonts w:hint="eastAsia" w:ascii="宋体" w:hAnsi="宋体" w:cs="宋体"/>
                <w:szCs w:val="21"/>
              </w:rPr>
            </w:pPr>
            <w:r>
              <w:rPr>
                <w:rFonts w:hint="eastAsia" w:ascii="宋体" w:hAnsi="宋体" w:cs="宋体"/>
                <w:szCs w:val="21"/>
              </w:rPr>
              <w:t>3.方案不尽合理、针对性一般、可操作性一般，评审为中的，加10分；</w:t>
            </w:r>
          </w:p>
          <w:p>
            <w:pPr>
              <w:wordWrap w:val="0"/>
              <w:adjustRightInd w:val="0"/>
              <w:snapToGrid w:val="0"/>
              <w:spacing w:line="320" w:lineRule="exact"/>
              <w:rPr>
                <w:rFonts w:ascii="宋体" w:hAnsi="宋体" w:cs="宋体"/>
                <w:szCs w:val="21"/>
                <w:highlight w:val="none"/>
              </w:rPr>
            </w:pPr>
            <w:r>
              <w:rPr>
                <w:rFonts w:hint="eastAsia" w:ascii="宋体" w:hAnsi="宋体" w:cs="宋体"/>
                <w:szCs w:val="21"/>
              </w:rPr>
              <w:t>4.方案不合理、无针对性、无可操作性，评审为差的，加0分。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项目完成（服务期满）后的服务承诺</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856" w:type="dxa"/>
            <w:tcBorders>
              <w:tl2br w:val="nil"/>
              <w:tr2bl w:val="nil"/>
            </w:tcBorders>
          </w:tcPr>
          <w:p>
            <w:pPr>
              <w:wordWrap w:val="0"/>
              <w:adjustRightInd w:val="0"/>
              <w:snapToGrid w:val="0"/>
              <w:spacing w:line="320" w:lineRule="exact"/>
              <w:jc w:val="left"/>
              <w:rPr>
                <w:rFonts w:ascii="宋体" w:hAnsi="宋体" w:cs="宋体"/>
                <w:szCs w:val="21"/>
                <w:highlight w:val="none"/>
              </w:rPr>
            </w:pPr>
            <w:r>
              <w:rPr>
                <w:rFonts w:hint="eastAsia" w:ascii="宋体" w:hAnsi="宋体" w:cs="宋体"/>
                <w:b/>
                <w:bCs/>
                <w:szCs w:val="21"/>
                <w:highlight w:val="none"/>
              </w:rPr>
              <w:t>（一）评分内容：</w:t>
            </w:r>
          </w:p>
          <w:p>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投标人承诺以下全部三项的得</w:t>
            </w:r>
            <w:r>
              <w:rPr>
                <w:rFonts w:hint="eastAsia" w:ascii="宋体" w:hAnsi="宋体" w:cs="宋体"/>
                <w:szCs w:val="21"/>
                <w:highlight w:val="none"/>
                <w:lang w:val="en-US" w:eastAsia="zh-CN"/>
              </w:rPr>
              <w:t>100</w:t>
            </w:r>
            <w:r>
              <w:rPr>
                <w:rFonts w:hint="eastAsia" w:ascii="宋体" w:hAnsi="宋体" w:cs="宋体"/>
                <w:szCs w:val="21"/>
                <w:highlight w:val="none"/>
              </w:rPr>
              <w:t>分，否则不得分。</w:t>
            </w:r>
          </w:p>
          <w:p>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highlight w:val="none"/>
              </w:rPr>
              <w:t>服务期满主动撤场；</w:t>
            </w:r>
          </w:p>
          <w:p>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与后续服务公司进行交接；</w:t>
            </w:r>
          </w:p>
          <w:p>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eastAsia="zh-CN"/>
              </w:rPr>
              <w:t>、</w:t>
            </w:r>
            <w:r>
              <w:rPr>
                <w:rFonts w:hint="eastAsia" w:ascii="宋体" w:hAnsi="宋体" w:cs="宋体"/>
                <w:szCs w:val="21"/>
                <w:highlight w:val="none"/>
              </w:rPr>
              <w:t>服务期满，后续服务公司未到位前仍按原合同服务承诺提供服务。</w:t>
            </w:r>
          </w:p>
          <w:p>
            <w:pPr>
              <w:wordWrap w:val="0"/>
              <w:adjustRightInd w:val="0"/>
              <w:snapToGrid w:val="0"/>
              <w:spacing w:line="320" w:lineRule="exact"/>
              <w:jc w:val="left"/>
              <w:rPr>
                <w:rFonts w:ascii="宋体" w:hAnsi="宋体" w:cs="宋体"/>
                <w:szCs w:val="21"/>
                <w:highlight w:val="none"/>
              </w:rPr>
            </w:pPr>
            <w:r>
              <w:rPr>
                <w:rFonts w:hint="eastAsia" w:ascii="宋体" w:hAnsi="宋体" w:cs="宋体"/>
                <w:b/>
                <w:bCs/>
                <w:szCs w:val="21"/>
                <w:highlight w:val="none"/>
              </w:rPr>
              <w:t>（二）评分依据：</w:t>
            </w:r>
          </w:p>
          <w:p>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要求提供承诺函（格式自定）作为得分依据，未提供承诺或承诺内容不满足要求不得分。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拟安排的项目负责人情况（仅限一人）</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w:t>
            </w:r>
          </w:p>
        </w:tc>
        <w:tc>
          <w:tcPr>
            <w:tcW w:w="4856" w:type="dxa"/>
            <w:tcBorders>
              <w:tl2br w:val="nil"/>
              <w:tr2bl w:val="nil"/>
            </w:tcBorders>
          </w:tcPr>
          <w:p>
            <w:pPr>
              <w:wordWrap w:val="0"/>
              <w:adjustRightInd w:val="0"/>
              <w:snapToGrid w:val="0"/>
              <w:spacing w:line="320" w:lineRule="exact"/>
              <w:rPr>
                <w:rFonts w:hint="eastAsia" w:ascii="宋体" w:hAnsi="宋体" w:cs="宋体"/>
                <w:szCs w:val="21"/>
              </w:rPr>
            </w:pPr>
            <w:r>
              <w:rPr>
                <w:rFonts w:hint="eastAsia" w:ascii="宋体" w:hAnsi="宋体" w:cs="宋体"/>
                <w:b/>
                <w:bCs/>
                <w:szCs w:val="21"/>
              </w:rPr>
              <w:t>（一）评分内容：</w:t>
            </w:r>
          </w:p>
          <w:p>
            <w:pPr>
              <w:wordWrap w:val="0"/>
              <w:adjustRightInd w:val="0"/>
              <w:snapToGrid w:val="0"/>
              <w:spacing w:line="320" w:lineRule="exact"/>
              <w:rPr>
                <w:rFonts w:hint="default" w:ascii="宋体" w:hAnsi="宋体" w:cs="宋体"/>
                <w:b w:val="0"/>
                <w:bCs w:val="0"/>
                <w:szCs w:val="21"/>
                <w:lang w:val="en-US" w:eastAsia="zh-CN"/>
              </w:rPr>
            </w:pPr>
            <w:r>
              <w:rPr>
                <w:rFonts w:hint="default" w:ascii="宋体" w:hAnsi="宋体" w:cs="宋体"/>
                <w:b w:val="0"/>
                <w:bCs w:val="0"/>
                <w:szCs w:val="21"/>
                <w:lang w:val="en-US" w:eastAsia="zh-CN"/>
              </w:rPr>
              <w:t>拟安排项目负责人为投标单位员工（以社保为准），否则本项不得分。在此基础上：</w:t>
            </w:r>
          </w:p>
          <w:p>
            <w:pPr>
              <w:wordWrap w:val="0"/>
              <w:adjustRightInd w:val="0"/>
              <w:snapToGrid w:val="0"/>
              <w:spacing w:line="320" w:lineRule="exact"/>
              <w:rPr>
                <w:rFonts w:hint="default" w:ascii="宋体" w:hAnsi="宋体" w:cs="宋体"/>
                <w:b w:val="0"/>
                <w:bCs w:val="0"/>
                <w:szCs w:val="21"/>
                <w:highlight w:val="none"/>
                <w:lang w:val="en-US" w:eastAsia="zh-CN"/>
              </w:rPr>
            </w:pPr>
            <w:r>
              <w:rPr>
                <w:rFonts w:hint="default" w:ascii="宋体" w:hAnsi="宋体" w:cs="宋体"/>
                <w:b w:val="0"/>
                <w:bCs w:val="0"/>
                <w:szCs w:val="21"/>
                <w:lang w:val="en-US" w:eastAsia="zh-CN"/>
              </w:rPr>
              <w:t>1</w:t>
            </w:r>
            <w:r>
              <w:rPr>
                <w:rFonts w:hint="eastAsia" w:ascii="宋体" w:hAnsi="宋体" w:cs="宋体"/>
                <w:b w:val="0"/>
                <w:bCs w:val="0"/>
                <w:szCs w:val="21"/>
                <w:lang w:val="en-US" w:eastAsia="zh-CN"/>
              </w:rPr>
              <w:t>、</w:t>
            </w:r>
            <w:r>
              <w:rPr>
                <w:rFonts w:hint="default" w:ascii="宋体" w:hAnsi="宋体" w:cs="宋体"/>
                <w:b w:val="0"/>
                <w:bCs w:val="0"/>
                <w:szCs w:val="21"/>
                <w:lang w:val="en-US" w:eastAsia="zh-CN"/>
              </w:rPr>
              <w:t>具有本科</w:t>
            </w:r>
            <w:r>
              <w:rPr>
                <w:rFonts w:hint="eastAsia" w:ascii="宋体" w:hAnsi="宋体" w:cs="宋体"/>
                <w:b w:val="0"/>
                <w:bCs w:val="0"/>
                <w:szCs w:val="21"/>
                <w:lang w:val="en-US" w:eastAsia="zh-CN"/>
              </w:rPr>
              <w:t>（</w:t>
            </w:r>
            <w:r>
              <w:rPr>
                <w:rFonts w:hint="default" w:ascii="宋体" w:hAnsi="宋体" w:cs="宋体"/>
                <w:b w:val="0"/>
                <w:bCs w:val="0"/>
                <w:szCs w:val="21"/>
                <w:highlight w:val="none"/>
                <w:lang w:val="en-US" w:eastAsia="zh-CN"/>
              </w:rPr>
              <w:t>或以上</w:t>
            </w:r>
            <w:r>
              <w:rPr>
                <w:rFonts w:hint="eastAsia" w:ascii="宋体" w:hAnsi="宋体" w:cs="宋体"/>
                <w:b w:val="0"/>
                <w:bCs w:val="0"/>
                <w:szCs w:val="21"/>
                <w:highlight w:val="none"/>
                <w:lang w:val="en-US" w:eastAsia="zh-CN"/>
              </w:rPr>
              <w:t>）</w:t>
            </w:r>
            <w:r>
              <w:rPr>
                <w:rFonts w:hint="default" w:ascii="宋体" w:hAnsi="宋体" w:cs="宋体"/>
                <w:b w:val="0"/>
                <w:bCs w:val="0"/>
                <w:szCs w:val="21"/>
                <w:highlight w:val="none"/>
                <w:lang w:val="en-US" w:eastAsia="zh-CN"/>
              </w:rPr>
              <w:t>学历的，得</w:t>
            </w:r>
            <w:r>
              <w:rPr>
                <w:rFonts w:hint="eastAsia" w:ascii="宋体" w:hAnsi="宋体" w:cs="宋体"/>
                <w:b w:val="0"/>
                <w:bCs w:val="0"/>
                <w:szCs w:val="21"/>
                <w:highlight w:val="none"/>
                <w:lang w:val="en-US" w:eastAsia="zh-CN"/>
              </w:rPr>
              <w:t>10</w:t>
            </w:r>
            <w:r>
              <w:rPr>
                <w:rFonts w:hint="default" w:ascii="宋体" w:hAnsi="宋体" w:cs="宋体"/>
                <w:b w:val="0"/>
                <w:bCs w:val="0"/>
                <w:szCs w:val="21"/>
                <w:highlight w:val="none"/>
                <w:lang w:val="en-US" w:eastAsia="zh-CN"/>
              </w:rPr>
              <w:t>分；</w:t>
            </w:r>
          </w:p>
          <w:p>
            <w:pPr>
              <w:wordWrap w:val="0"/>
              <w:adjustRightInd w:val="0"/>
              <w:snapToGrid w:val="0"/>
              <w:spacing w:line="320" w:lineRule="exact"/>
              <w:rPr>
                <w:rFonts w:hint="default" w:ascii="宋体" w:hAnsi="宋体" w:cs="宋体"/>
                <w:b w:val="0"/>
                <w:bCs w:val="0"/>
                <w:szCs w:val="21"/>
                <w:highlight w:val="none"/>
                <w:lang w:val="en-US" w:eastAsia="zh-CN"/>
              </w:rPr>
            </w:pPr>
            <w:r>
              <w:rPr>
                <w:rFonts w:hint="default" w:ascii="宋体" w:hAnsi="宋体" w:cs="宋体"/>
                <w:b w:val="0"/>
                <w:bCs w:val="0"/>
                <w:szCs w:val="21"/>
                <w:highlight w:val="none"/>
                <w:lang w:val="en-US" w:eastAsia="zh-CN"/>
              </w:rPr>
              <w:t>2</w:t>
            </w:r>
            <w:r>
              <w:rPr>
                <w:rFonts w:hint="eastAsia" w:ascii="宋体" w:hAnsi="宋体" w:cs="宋体"/>
                <w:b w:val="0"/>
                <w:bCs w:val="0"/>
                <w:szCs w:val="21"/>
                <w:highlight w:val="none"/>
                <w:lang w:val="en-US" w:eastAsia="zh-CN"/>
              </w:rPr>
              <w:t>、</w:t>
            </w:r>
            <w:r>
              <w:rPr>
                <w:rFonts w:hint="default" w:ascii="宋体" w:hAnsi="宋体" w:cs="宋体"/>
                <w:b w:val="0"/>
                <w:bCs w:val="0"/>
                <w:szCs w:val="21"/>
                <w:highlight w:val="none"/>
                <w:lang w:val="en-US" w:eastAsia="zh-CN"/>
              </w:rPr>
              <w:t>具有人力资源和社会保障部门颁发的</w:t>
            </w:r>
            <w:r>
              <w:rPr>
                <w:rFonts w:hint="default" w:ascii="宋体" w:hAnsi="宋体" w:cs="宋体"/>
                <w:b w:val="0"/>
                <w:bCs w:val="0"/>
                <w:szCs w:val="21"/>
                <w:highlight w:val="yellow"/>
                <w:lang w:val="en-US" w:eastAsia="zh-CN"/>
              </w:rPr>
              <w:t>高级</w:t>
            </w:r>
            <w:r>
              <w:rPr>
                <w:rFonts w:hint="eastAsia" w:ascii="宋体" w:hAnsi="宋体" w:cs="宋体"/>
                <w:b w:val="0"/>
                <w:bCs w:val="0"/>
                <w:szCs w:val="21"/>
                <w:highlight w:val="yellow"/>
                <w:lang w:val="en-US" w:eastAsia="zh-CN"/>
              </w:rPr>
              <w:t>（或以上）</w:t>
            </w:r>
            <w:r>
              <w:rPr>
                <w:rFonts w:hint="default" w:ascii="宋体" w:hAnsi="宋体" w:cs="宋体"/>
                <w:b w:val="0"/>
                <w:bCs w:val="0"/>
                <w:szCs w:val="21"/>
                <w:highlight w:val="yellow"/>
                <w:lang w:val="en-US" w:eastAsia="zh-CN"/>
              </w:rPr>
              <w:t>职称证书的</w:t>
            </w:r>
            <w:r>
              <w:rPr>
                <w:rFonts w:hint="default" w:ascii="宋体" w:hAnsi="宋体" w:cs="宋体"/>
                <w:b w:val="0"/>
                <w:bCs w:val="0"/>
                <w:szCs w:val="21"/>
                <w:highlight w:val="none"/>
                <w:lang w:val="en-US" w:eastAsia="zh-CN"/>
              </w:rPr>
              <w:t>，得</w:t>
            </w:r>
            <w:r>
              <w:rPr>
                <w:rFonts w:hint="eastAsia" w:ascii="宋体" w:hAnsi="宋体" w:cs="宋体"/>
                <w:b w:val="0"/>
                <w:bCs w:val="0"/>
                <w:szCs w:val="21"/>
                <w:highlight w:val="none"/>
                <w:lang w:val="en-US" w:eastAsia="zh-CN"/>
              </w:rPr>
              <w:t>30</w:t>
            </w:r>
            <w:r>
              <w:rPr>
                <w:rFonts w:hint="default" w:ascii="宋体" w:hAnsi="宋体" w:cs="宋体"/>
                <w:b w:val="0"/>
                <w:bCs w:val="0"/>
                <w:szCs w:val="21"/>
                <w:highlight w:val="none"/>
                <w:lang w:val="en-US" w:eastAsia="zh-CN"/>
              </w:rPr>
              <w:t>分；</w:t>
            </w:r>
          </w:p>
          <w:p>
            <w:pPr>
              <w:wordWrap w:val="0"/>
              <w:adjustRightInd w:val="0"/>
              <w:snapToGrid w:val="0"/>
              <w:spacing w:line="320" w:lineRule="exact"/>
              <w:rPr>
                <w:rFonts w:hint="default" w:ascii="宋体" w:hAnsi="宋体" w:cs="宋体"/>
                <w:b w:val="0"/>
                <w:bCs w:val="0"/>
                <w:szCs w:val="21"/>
                <w:highlight w:val="none"/>
                <w:lang w:val="en-US" w:eastAsia="zh-CN"/>
              </w:rPr>
            </w:pPr>
            <w:r>
              <w:rPr>
                <w:rFonts w:hint="default" w:ascii="宋体" w:hAnsi="宋体" w:cs="宋体"/>
                <w:b w:val="0"/>
                <w:bCs w:val="0"/>
                <w:szCs w:val="21"/>
                <w:highlight w:val="none"/>
                <w:lang w:val="en-US" w:eastAsia="zh-CN"/>
              </w:rPr>
              <w:t>3</w:t>
            </w:r>
            <w:r>
              <w:rPr>
                <w:rFonts w:hint="eastAsia" w:ascii="宋体" w:hAnsi="宋体" w:cs="宋体"/>
                <w:b w:val="0"/>
                <w:bCs w:val="0"/>
                <w:szCs w:val="21"/>
                <w:highlight w:val="none"/>
                <w:lang w:val="en-US" w:eastAsia="zh-CN"/>
              </w:rPr>
              <w:t>、具有以下证书其中一项的，得20分，此小项最高得20分：</w:t>
            </w:r>
            <w:r>
              <w:rPr>
                <w:rFonts w:hint="eastAsia" w:ascii="宋体" w:hAnsi="宋体" w:cs="宋体"/>
                <w:b w:val="0"/>
                <w:bCs w:val="0"/>
                <w:szCs w:val="21"/>
                <w:highlight w:val="none"/>
                <w:lang w:val="en-US" w:eastAsia="zh-CN"/>
              </w:rPr>
              <w:br w:type="textWrapping"/>
            </w:r>
            <w:r>
              <w:rPr>
                <w:rFonts w:hint="eastAsia" w:ascii="宋体" w:hAnsi="宋体" w:cs="宋体"/>
                <w:b w:val="0"/>
                <w:bCs w:val="0"/>
                <w:szCs w:val="21"/>
                <w:highlight w:val="none"/>
                <w:lang w:val="en-US" w:eastAsia="zh-CN"/>
              </w:rPr>
              <w:t>①人力资源和社会保障部门或住建部门颁发的物业管理师资格证书</w:t>
            </w:r>
            <w:r>
              <w:rPr>
                <w:rFonts w:hint="eastAsia" w:ascii="宋体" w:hAnsi="宋体" w:cs="宋体"/>
                <w:szCs w:val="21"/>
                <w:highlight w:val="yellow"/>
              </w:rPr>
              <w:t>或全国物业管理企业经理证书</w:t>
            </w:r>
            <w:r>
              <w:rPr>
                <w:rFonts w:hint="eastAsia" w:ascii="宋体" w:hAnsi="宋体" w:cs="宋体"/>
                <w:b w:val="0"/>
                <w:bCs w:val="0"/>
                <w:szCs w:val="21"/>
                <w:highlight w:val="none"/>
                <w:lang w:val="en-US" w:eastAsia="zh-CN"/>
              </w:rPr>
              <w:t>；</w:t>
            </w:r>
            <w:r>
              <w:rPr>
                <w:rFonts w:hint="eastAsia" w:ascii="宋体" w:hAnsi="宋体" w:cs="宋体"/>
                <w:b w:val="0"/>
                <w:bCs w:val="0"/>
                <w:szCs w:val="21"/>
                <w:highlight w:val="none"/>
                <w:lang w:val="en-US" w:eastAsia="zh-CN"/>
              </w:rPr>
              <w:br w:type="textWrapping"/>
            </w:r>
            <w:r>
              <w:rPr>
                <w:rFonts w:hint="eastAsia" w:ascii="宋体" w:hAnsi="宋体" w:cs="宋体"/>
                <w:b w:val="0"/>
                <w:bCs w:val="0"/>
                <w:szCs w:val="21"/>
                <w:highlight w:val="none"/>
                <w:lang w:val="en-US" w:eastAsia="zh-CN"/>
              </w:rPr>
              <w:t>②物业管理员（师）职业能力等级证书（职业能力等级：物业管理师或以上级别）；</w:t>
            </w:r>
            <w:r>
              <w:rPr>
                <w:rFonts w:hint="eastAsia" w:ascii="宋体" w:hAnsi="宋体" w:cs="宋体"/>
                <w:b w:val="0"/>
                <w:bCs w:val="0"/>
                <w:szCs w:val="21"/>
                <w:highlight w:val="none"/>
                <w:lang w:val="en-US" w:eastAsia="zh-CN"/>
              </w:rPr>
              <w:br w:type="textWrapping"/>
            </w:r>
            <w:r>
              <w:rPr>
                <w:rFonts w:hint="eastAsia" w:ascii="宋体" w:hAnsi="宋体" w:cs="宋体"/>
                <w:b w:val="0"/>
                <w:bCs w:val="0"/>
                <w:szCs w:val="21"/>
                <w:highlight w:val="none"/>
                <w:lang w:val="en-US" w:eastAsia="zh-CN"/>
              </w:rPr>
              <w:t>③职业技能鉴定（指导）中心颁发的二级/技师（或以上）物业管理师证书；</w:t>
            </w:r>
          </w:p>
          <w:p>
            <w:pPr>
              <w:wordWrap w:val="0"/>
              <w:adjustRightInd w:val="0"/>
              <w:snapToGrid w:val="0"/>
              <w:spacing w:line="320" w:lineRule="exact"/>
              <w:rPr>
                <w:rFonts w:hint="default" w:ascii="宋体" w:hAnsi="宋体" w:cs="宋体"/>
                <w:b w:val="0"/>
                <w:bCs w:val="0"/>
                <w:szCs w:val="21"/>
                <w:highlight w:val="none"/>
                <w:lang w:val="en-US" w:eastAsia="zh-CN"/>
              </w:rPr>
            </w:pPr>
            <w:r>
              <w:rPr>
                <w:rFonts w:hint="default" w:ascii="宋体" w:hAnsi="宋体" w:cs="宋体"/>
                <w:b w:val="0"/>
                <w:bCs w:val="0"/>
                <w:szCs w:val="21"/>
                <w:highlight w:val="none"/>
                <w:lang w:val="en-US" w:eastAsia="zh-CN"/>
              </w:rPr>
              <w:t>4</w:t>
            </w:r>
            <w:r>
              <w:rPr>
                <w:rFonts w:hint="eastAsia" w:ascii="宋体" w:hAnsi="宋体" w:cs="宋体"/>
                <w:b w:val="0"/>
                <w:bCs w:val="0"/>
                <w:szCs w:val="21"/>
                <w:highlight w:val="none"/>
                <w:lang w:val="en-US" w:eastAsia="zh-CN"/>
              </w:rPr>
              <w:t>、</w:t>
            </w:r>
            <w:r>
              <w:rPr>
                <w:rFonts w:hint="default" w:ascii="宋体" w:hAnsi="宋体" w:cs="宋体"/>
                <w:b w:val="0"/>
                <w:bCs w:val="0"/>
                <w:szCs w:val="21"/>
                <w:highlight w:val="none"/>
                <w:lang w:val="en-US" w:eastAsia="zh-CN"/>
              </w:rPr>
              <w:t>具有人力资源和社会保障部门或职业技能鉴定机构颁发的应急救援员职业资格证书或职业技能等级证书的，得</w:t>
            </w:r>
            <w:r>
              <w:rPr>
                <w:rFonts w:hint="eastAsia" w:ascii="宋体" w:hAnsi="宋体" w:cs="宋体"/>
                <w:b w:val="0"/>
                <w:bCs w:val="0"/>
                <w:szCs w:val="21"/>
                <w:highlight w:val="none"/>
                <w:lang w:val="en-US" w:eastAsia="zh-CN"/>
              </w:rPr>
              <w:t>20</w:t>
            </w:r>
            <w:r>
              <w:rPr>
                <w:rFonts w:hint="default" w:ascii="宋体" w:hAnsi="宋体" w:cs="宋体"/>
                <w:b w:val="0"/>
                <w:bCs w:val="0"/>
                <w:szCs w:val="21"/>
                <w:highlight w:val="none"/>
                <w:lang w:val="en-US" w:eastAsia="zh-CN"/>
              </w:rPr>
              <w:t>分；</w:t>
            </w:r>
          </w:p>
          <w:p>
            <w:pPr>
              <w:wordWrap w:val="0"/>
              <w:adjustRightInd w:val="0"/>
              <w:snapToGrid w:val="0"/>
              <w:spacing w:line="320" w:lineRule="exact"/>
              <w:rPr>
                <w:rFonts w:hint="default" w:ascii="宋体" w:hAnsi="宋体" w:cs="宋体"/>
                <w:b w:val="0"/>
                <w:bCs w:val="0"/>
                <w:szCs w:val="21"/>
                <w:highlight w:val="none"/>
                <w:lang w:val="en-US" w:eastAsia="zh-CN"/>
              </w:rPr>
            </w:pPr>
            <w:r>
              <w:rPr>
                <w:rFonts w:hint="default" w:ascii="宋体" w:hAnsi="宋体" w:cs="宋体"/>
                <w:b w:val="0"/>
                <w:bCs w:val="0"/>
                <w:szCs w:val="21"/>
                <w:highlight w:val="none"/>
                <w:lang w:val="en-US" w:eastAsia="zh-CN"/>
              </w:rPr>
              <w:t>5</w:t>
            </w:r>
            <w:r>
              <w:rPr>
                <w:rFonts w:hint="eastAsia" w:ascii="宋体" w:hAnsi="宋体" w:cs="宋体"/>
                <w:b w:val="0"/>
                <w:bCs w:val="0"/>
                <w:szCs w:val="21"/>
                <w:highlight w:val="none"/>
                <w:lang w:val="en-US" w:eastAsia="zh-CN"/>
              </w:rPr>
              <w:t>、</w:t>
            </w:r>
            <w:r>
              <w:rPr>
                <w:rFonts w:hint="eastAsia" w:ascii="宋体" w:hAnsi="宋体" w:eastAsia="宋体" w:cs="宋体"/>
                <w:b w:val="0"/>
                <w:bCs w:val="0"/>
                <w:kern w:val="2"/>
                <w:sz w:val="21"/>
                <w:szCs w:val="21"/>
                <w:highlight w:val="none"/>
                <w:lang w:val="en-US" w:eastAsia="zh-CN" w:bidi="ar-SA"/>
              </w:rPr>
              <w:t>具有人力资源和社会保障部门（或其他具备职称评定资格的单位或机构）颁发的</w:t>
            </w:r>
            <w:r>
              <w:rPr>
                <w:rFonts w:hint="eastAsia" w:ascii="宋体" w:hAnsi="宋体" w:cs="宋体"/>
                <w:szCs w:val="21"/>
                <w:highlight w:val="yellow"/>
              </w:rPr>
              <w:t>三级</w:t>
            </w:r>
            <w:r>
              <w:rPr>
                <w:rFonts w:hint="eastAsia" w:ascii="宋体" w:hAnsi="宋体" w:cs="宋体"/>
                <w:szCs w:val="21"/>
                <w:highlight w:val="yellow"/>
                <w:lang w:val="en-US" w:eastAsia="zh-CN"/>
              </w:rPr>
              <w:t>/高级工</w:t>
            </w:r>
            <w:r>
              <w:rPr>
                <w:rFonts w:hint="eastAsia" w:ascii="宋体" w:hAnsi="宋体" w:cs="宋体"/>
                <w:szCs w:val="21"/>
                <w:highlight w:val="yellow"/>
              </w:rPr>
              <w:t>（或以上）</w:t>
            </w:r>
            <w:r>
              <w:rPr>
                <w:rFonts w:hint="eastAsia" w:ascii="宋体" w:hAnsi="宋体" w:eastAsia="宋体" w:cs="宋体"/>
                <w:b w:val="0"/>
                <w:bCs w:val="0"/>
                <w:kern w:val="2"/>
                <w:sz w:val="21"/>
                <w:szCs w:val="21"/>
                <w:highlight w:val="none"/>
                <w:lang w:val="en-US" w:eastAsia="zh-CN" w:bidi="ar-SA"/>
              </w:rPr>
              <w:t>人力资源管理师（或企业人力资源管理师）职业资格证书（或职业技能等级证书）的</w:t>
            </w:r>
            <w:r>
              <w:rPr>
                <w:rFonts w:hint="default" w:ascii="宋体" w:hAnsi="宋体" w:cs="宋体"/>
                <w:b w:val="0"/>
                <w:bCs w:val="0"/>
                <w:szCs w:val="21"/>
                <w:highlight w:val="none"/>
                <w:lang w:val="en-US" w:eastAsia="zh-CN"/>
              </w:rPr>
              <w:t>，得</w:t>
            </w:r>
            <w:r>
              <w:rPr>
                <w:rFonts w:hint="eastAsia" w:ascii="宋体" w:hAnsi="宋体" w:cs="宋体"/>
                <w:b w:val="0"/>
                <w:bCs w:val="0"/>
                <w:szCs w:val="21"/>
                <w:highlight w:val="none"/>
                <w:lang w:val="en-US" w:eastAsia="zh-CN"/>
              </w:rPr>
              <w:t>20</w:t>
            </w:r>
            <w:r>
              <w:rPr>
                <w:rFonts w:hint="default" w:ascii="宋体" w:hAnsi="宋体" w:cs="宋体"/>
                <w:b w:val="0"/>
                <w:bCs w:val="0"/>
                <w:szCs w:val="21"/>
                <w:highlight w:val="none"/>
                <w:lang w:val="en-US" w:eastAsia="zh-CN"/>
              </w:rPr>
              <w:t>分</w:t>
            </w:r>
            <w:r>
              <w:rPr>
                <w:rFonts w:hint="eastAsia" w:ascii="宋体" w:hAnsi="宋体" w:cs="宋体"/>
                <w:b w:val="0"/>
                <w:bCs w:val="0"/>
                <w:szCs w:val="21"/>
                <w:highlight w:val="none"/>
                <w:lang w:val="en-US" w:eastAsia="zh-CN"/>
              </w:rPr>
              <w:t>。</w:t>
            </w:r>
          </w:p>
          <w:p>
            <w:pPr>
              <w:wordWrap w:val="0"/>
              <w:adjustRightInd w:val="0"/>
              <w:snapToGrid w:val="0"/>
              <w:spacing w:line="320" w:lineRule="exact"/>
              <w:rPr>
                <w:rFonts w:hint="default" w:ascii="宋体" w:hAnsi="宋体" w:cs="宋体"/>
                <w:b/>
                <w:bCs/>
                <w:szCs w:val="21"/>
                <w:highlight w:val="none"/>
                <w:lang w:val="en-US" w:eastAsia="zh-CN"/>
              </w:rPr>
            </w:pPr>
            <w:r>
              <w:rPr>
                <w:rFonts w:hint="eastAsia" w:ascii="宋体" w:hAnsi="宋体" w:cs="宋体"/>
                <w:b w:val="0"/>
                <w:bCs w:val="0"/>
                <w:szCs w:val="21"/>
                <w:highlight w:val="none"/>
                <w:lang w:val="en-US" w:eastAsia="zh-CN"/>
              </w:rPr>
              <w:t>以上累计最高得100分。</w:t>
            </w:r>
          </w:p>
          <w:p>
            <w:pPr>
              <w:wordWrap w:val="0"/>
              <w:adjustRightInd w:val="0"/>
              <w:snapToGrid w:val="0"/>
              <w:spacing w:line="320" w:lineRule="exact"/>
              <w:rPr>
                <w:rFonts w:hint="eastAsia" w:ascii="宋体" w:hAnsi="宋体" w:cs="宋体"/>
                <w:szCs w:val="21"/>
                <w:highlight w:val="none"/>
              </w:rPr>
            </w:pP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二</w:t>
            </w:r>
            <w:r>
              <w:rPr>
                <w:rFonts w:hint="eastAsia" w:ascii="宋体" w:hAnsi="宋体" w:cs="宋体"/>
                <w:b/>
                <w:bCs/>
                <w:szCs w:val="21"/>
                <w:highlight w:val="none"/>
                <w:lang w:eastAsia="zh-CN"/>
              </w:rPr>
              <w:t>）</w:t>
            </w:r>
            <w:r>
              <w:rPr>
                <w:rFonts w:hint="eastAsia" w:ascii="宋体" w:hAnsi="宋体" w:cs="宋体"/>
                <w:b/>
                <w:bCs/>
                <w:szCs w:val="21"/>
                <w:highlight w:val="none"/>
              </w:rPr>
              <w:t>评分依据：</w:t>
            </w:r>
          </w:p>
          <w:p>
            <w:pPr>
              <w:wordWrap w:val="0"/>
              <w:adjustRightInd w:val="0"/>
              <w:snapToGrid w:val="0"/>
              <w:spacing w:line="320" w:lineRule="exact"/>
              <w:rPr>
                <w:rFonts w:hint="eastAsia" w:ascii="宋体" w:hAnsi="宋体" w:cs="宋体"/>
                <w:szCs w:val="21"/>
              </w:rPr>
            </w:pPr>
            <w:r>
              <w:rPr>
                <w:rFonts w:hint="eastAsia" w:ascii="宋体" w:hAnsi="宋体" w:cs="宋体"/>
                <w:szCs w:val="21"/>
                <w:highlight w:val="none"/>
              </w:rPr>
              <w:t>1.要求提供通过投</w:t>
            </w:r>
            <w:r>
              <w:rPr>
                <w:rFonts w:hint="eastAsia" w:ascii="宋体" w:hAnsi="宋体" w:cs="宋体"/>
                <w:szCs w:val="21"/>
              </w:rPr>
              <w:t>标人缴纳的近三个月(含开标当月)的任意一个月的社保证明作为本单位员工的证明依据，如供应商成立不足一个月，提供情况说明函(格式自拟)，无需提供相关人员社保，亦可得分。</w:t>
            </w:r>
          </w:p>
          <w:p>
            <w:pPr>
              <w:wordWrap w:val="0"/>
              <w:adjustRightInd w:val="0"/>
              <w:snapToGrid w:val="0"/>
              <w:spacing w:line="320" w:lineRule="exact"/>
              <w:rPr>
                <w:rFonts w:hint="eastAsia" w:ascii="宋体" w:hAnsi="宋体" w:cs="宋体"/>
                <w:szCs w:val="21"/>
              </w:rPr>
            </w:pPr>
            <w:r>
              <w:rPr>
                <w:rFonts w:hint="eastAsia" w:ascii="宋体" w:hAnsi="宋体" w:cs="宋体"/>
                <w:szCs w:val="21"/>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pPr>
              <w:wordWrap w:val="0"/>
              <w:adjustRightInd w:val="0"/>
              <w:snapToGrid w:val="0"/>
              <w:spacing w:line="320" w:lineRule="exact"/>
              <w:rPr>
                <w:rFonts w:hint="eastAsia" w:ascii="宋体" w:hAnsi="宋体" w:cs="宋体"/>
                <w:szCs w:val="21"/>
              </w:rPr>
            </w:pPr>
            <w:r>
              <w:rPr>
                <w:rFonts w:hint="eastAsia" w:ascii="宋体" w:hAnsi="宋体" w:cs="宋体"/>
                <w:szCs w:val="21"/>
              </w:rPr>
              <w:t>3.提供</w:t>
            </w:r>
            <w:r>
              <w:rPr>
                <w:rFonts w:hint="eastAsia" w:ascii="宋体" w:hAnsi="宋体" w:cs="宋体"/>
                <w:szCs w:val="21"/>
                <w:lang w:val="en-US" w:eastAsia="zh-CN"/>
              </w:rPr>
              <w:t>相关</w:t>
            </w:r>
            <w:r>
              <w:rPr>
                <w:rFonts w:hint="eastAsia" w:ascii="宋体" w:hAnsi="宋体" w:cs="宋体"/>
                <w:szCs w:val="21"/>
              </w:rPr>
              <w:t>证书扫描件，若人员证书为协会</w:t>
            </w:r>
            <w:r>
              <w:rPr>
                <w:rFonts w:hint="eastAsia" w:ascii="宋体" w:hAnsi="宋体" w:cs="宋体"/>
                <w:szCs w:val="21"/>
                <w:lang w:val="en-US" w:eastAsia="zh-CN"/>
              </w:rPr>
              <w:t>或</w:t>
            </w:r>
            <w:r>
              <w:rPr>
                <w:rFonts w:hint="eastAsia" w:ascii="宋体" w:hAnsi="宋体" w:cs="宋体"/>
                <w:szCs w:val="21"/>
              </w:rPr>
              <w:t>等社会组织颁发的，则还需要提供该协会在全国社会组织信用信息公示平台（网址https://xxgs.chinanpo.mca.gov.cn)的查询“正常”页面截图。涉及“职称证书”需要提供全国人力资源和社会保障政务服务平台（https://www.12333.gov.cn/portal/service_catalog）证书查询记录的相关截图或发证单位（机构）官网的证书信息查询截图。</w:t>
            </w:r>
          </w:p>
          <w:p>
            <w:pPr>
              <w:wordWrap w:val="0"/>
              <w:adjustRightInd w:val="0"/>
              <w:snapToGrid w:val="0"/>
              <w:spacing w:line="320" w:lineRule="exact"/>
              <w:rPr>
                <w:rFonts w:ascii="宋体" w:hAnsi="宋体" w:cs="宋体"/>
                <w:szCs w:val="21"/>
                <w:highlight w:val="none"/>
              </w:rPr>
            </w:pPr>
            <w:r>
              <w:rPr>
                <w:rFonts w:hint="eastAsia" w:ascii="宋体" w:hAnsi="宋体" w:cs="宋体"/>
                <w:szCs w:val="21"/>
                <w:lang w:val="en-US" w:eastAsia="zh-CN"/>
              </w:rPr>
              <w:t>4</w:t>
            </w:r>
            <w:r>
              <w:rPr>
                <w:rFonts w:hint="eastAsia" w:ascii="宋体" w:hAnsi="宋体" w:cs="宋体"/>
                <w:szCs w:val="21"/>
              </w:rPr>
              <w:t>.评分中出现无证明资料或者专家无法凭所提供资料判断是否得分的情况，一律做不得分处理。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2264" w:type="dxa"/>
            <w:tcBorders>
              <w:tl2br w:val="nil"/>
              <w:tr2bl w:val="nil"/>
            </w:tcBorders>
            <w:vAlign w:val="center"/>
          </w:tcPr>
          <w:p>
            <w:pPr>
              <w:wordWrap w:val="0"/>
              <w:adjustRightInd w:val="0"/>
              <w:snapToGrid w:val="0"/>
              <w:spacing w:line="320" w:lineRule="exact"/>
              <w:jc w:val="center"/>
              <w:rPr>
                <w:rFonts w:hint="eastAsia" w:ascii="宋体" w:hAnsi="宋体" w:cs="宋体"/>
                <w:szCs w:val="21"/>
                <w:highlight w:val="none"/>
              </w:rPr>
            </w:pPr>
            <w:r>
              <w:rPr>
                <w:rFonts w:hint="eastAsia" w:ascii="宋体" w:hAnsi="宋体" w:cs="宋体"/>
                <w:szCs w:val="21"/>
              </w:rPr>
              <w:t>拟安排的项目主要团队成员（主要技术人员）情况（项目负责人除外）</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13</w:t>
            </w:r>
          </w:p>
        </w:tc>
        <w:tc>
          <w:tcPr>
            <w:tcW w:w="4856" w:type="dxa"/>
            <w:tcBorders>
              <w:tl2br w:val="nil"/>
              <w:tr2bl w:val="nil"/>
            </w:tcBorders>
          </w:tcPr>
          <w:p>
            <w:pPr>
              <w:wordWrap w:val="0"/>
              <w:adjustRightInd w:val="0"/>
              <w:snapToGrid w:val="0"/>
              <w:spacing w:line="320" w:lineRule="exact"/>
              <w:jc w:val="left"/>
              <w:rPr>
                <w:rFonts w:ascii="宋体" w:hAnsi="宋体" w:cs="宋体"/>
                <w:b/>
                <w:bCs/>
                <w:szCs w:val="21"/>
              </w:rPr>
            </w:pPr>
            <w:r>
              <w:rPr>
                <w:rFonts w:hint="eastAsia" w:ascii="宋体" w:hAnsi="宋体" w:cs="宋体"/>
                <w:b/>
                <w:bCs/>
                <w:szCs w:val="21"/>
              </w:rPr>
              <w:t>（一）评分内容：</w:t>
            </w:r>
          </w:p>
          <w:p>
            <w:pPr>
              <w:wordWrap w:val="0"/>
              <w:adjustRightInd w:val="0"/>
              <w:snapToGrid w:val="0"/>
              <w:spacing w:line="320" w:lineRule="exact"/>
              <w:jc w:val="left"/>
              <w:rPr>
                <w:rFonts w:hint="eastAsia" w:ascii="Times New Roman" w:hAnsi="Times New Roman" w:cs="Times New Roman"/>
                <w:b w:val="0"/>
                <w:bCs w:val="0"/>
              </w:rPr>
            </w:pPr>
            <w:r>
              <w:rPr>
                <w:rFonts w:hint="eastAsia" w:ascii="Times New Roman" w:hAnsi="Times New Roman" w:cs="Times New Roman"/>
              </w:rPr>
              <w:t>拟安排项目团队成员为投标单位员工（以社保为</w:t>
            </w:r>
            <w:r>
              <w:rPr>
                <w:rFonts w:hint="eastAsia" w:ascii="Times New Roman" w:hAnsi="Times New Roman" w:cs="Times New Roman"/>
                <w:b w:val="0"/>
                <w:bCs w:val="0"/>
              </w:rPr>
              <w:t>准），否则该人员本项不得分。在此基础上：</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1、工程人员（1人）:</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①具有本科（或以上）学历的，得</w:t>
            </w:r>
            <w:r>
              <w:rPr>
                <w:rFonts w:hint="eastAsia" w:ascii="宋体" w:hAnsi="宋体" w:cs="宋体"/>
                <w:b w:val="0"/>
                <w:bCs w:val="0"/>
                <w:szCs w:val="21"/>
                <w:lang w:val="en-US" w:eastAsia="zh-CN"/>
              </w:rPr>
              <w:t>20</w:t>
            </w:r>
            <w:r>
              <w:rPr>
                <w:rFonts w:hint="eastAsia" w:ascii="宋体" w:hAnsi="宋体" w:cs="宋体"/>
                <w:b w:val="0"/>
                <w:bCs w:val="0"/>
                <w:szCs w:val="21"/>
                <w:lang w:eastAsia="zh-CN"/>
              </w:rPr>
              <w:t>分；</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②具有人力资源和社会保障部门或</w:t>
            </w:r>
            <w:r>
              <w:rPr>
                <w:rFonts w:hint="eastAsia" w:ascii="宋体" w:hAnsi="宋体" w:cs="宋体"/>
                <w:b w:val="0"/>
                <w:bCs w:val="0"/>
                <w:szCs w:val="21"/>
                <w:lang w:val="en-US" w:eastAsia="zh-CN"/>
              </w:rPr>
              <w:t>职业技能鉴定机构</w:t>
            </w:r>
            <w:r>
              <w:rPr>
                <w:rFonts w:hint="eastAsia" w:ascii="宋体" w:hAnsi="宋体" w:cs="宋体"/>
                <w:b w:val="0"/>
                <w:bCs w:val="0"/>
                <w:szCs w:val="21"/>
                <w:lang w:eastAsia="zh-CN"/>
              </w:rPr>
              <w:t>机构颁发的四级（或以上）电工职业资格证书或职业技能等级证书的，得</w:t>
            </w:r>
            <w:r>
              <w:rPr>
                <w:rFonts w:hint="eastAsia" w:ascii="宋体" w:hAnsi="宋体" w:cs="宋体"/>
                <w:b w:val="0"/>
                <w:bCs w:val="0"/>
                <w:szCs w:val="21"/>
                <w:lang w:val="en-US" w:eastAsia="zh-CN"/>
              </w:rPr>
              <w:t>20</w:t>
            </w:r>
            <w:r>
              <w:rPr>
                <w:rFonts w:hint="eastAsia" w:ascii="宋体" w:hAnsi="宋体" w:cs="宋体"/>
                <w:b w:val="0"/>
                <w:bCs w:val="0"/>
                <w:szCs w:val="21"/>
                <w:lang w:eastAsia="zh-CN"/>
              </w:rPr>
              <w:t>分。</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2、保洁班长（1人）：</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①具有本科（或以上）学历的，得</w:t>
            </w:r>
            <w:r>
              <w:rPr>
                <w:rFonts w:hint="eastAsia" w:ascii="宋体" w:hAnsi="宋体" w:cs="宋体"/>
                <w:b w:val="0"/>
                <w:bCs w:val="0"/>
                <w:szCs w:val="21"/>
                <w:lang w:val="en-US" w:eastAsia="zh-CN"/>
              </w:rPr>
              <w:t>15</w:t>
            </w:r>
            <w:r>
              <w:rPr>
                <w:rFonts w:hint="eastAsia" w:ascii="宋体" w:hAnsi="宋体" w:cs="宋体"/>
                <w:b w:val="0"/>
                <w:bCs w:val="0"/>
                <w:szCs w:val="21"/>
                <w:lang w:eastAsia="zh-CN"/>
              </w:rPr>
              <w:t>分；</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②具有人力资源和社会保障部或职业技能鉴定机构</w:t>
            </w:r>
            <w:r>
              <w:rPr>
                <w:rFonts w:hint="eastAsia" w:ascii="宋体" w:hAnsi="宋体" w:cs="宋体"/>
                <w:szCs w:val="21"/>
                <w:highlight w:val="yellow"/>
              </w:rPr>
              <w:t>或行业协会</w:t>
            </w:r>
            <w:r>
              <w:rPr>
                <w:rFonts w:hint="eastAsia" w:ascii="宋体" w:hAnsi="宋体" w:cs="宋体"/>
                <w:b w:val="0"/>
                <w:bCs w:val="0"/>
                <w:szCs w:val="21"/>
                <w:lang w:eastAsia="zh-CN"/>
              </w:rPr>
              <w:t>颁发的四级（或以上）有害生物防制员职业资格证书</w:t>
            </w:r>
            <w:r>
              <w:rPr>
                <w:rFonts w:hint="eastAsia" w:ascii="宋体" w:hAnsi="宋体" w:cs="宋体"/>
                <w:szCs w:val="21"/>
                <w:highlight w:val="yellow"/>
              </w:rPr>
              <w:t>或高级保洁员职业资格证书</w:t>
            </w:r>
            <w:r>
              <w:rPr>
                <w:rFonts w:hint="eastAsia" w:ascii="宋体" w:hAnsi="宋体" w:cs="宋体"/>
                <w:b w:val="0"/>
                <w:bCs w:val="0"/>
                <w:szCs w:val="21"/>
                <w:lang w:eastAsia="zh-CN"/>
              </w:rPr>
              <w:t>或职业技能等级证书的，得</w:t>
            </w:r>
            <w:r>
              <w:rPr>
                <w:rFonts w:hint="eastAsia" w:ascii="宋体" w:hAnsi="宋体" w:cs="宋体"/>
                <w:b w:val="0"/>
                <w:bCs w:val="0"/>
                <w:szCs w:val="21"/>
                <w:lang w:val="en-US" w:eastAsia="zh-CN"/>
              </w:rPr>
              <w:t>15</w:t>
            </w:r>
            <w:r>
              <w:rPr>
                <w:rFonts w:hint="eastAsia" w:ascii="宋体" w:hAnsi="宋体" w:cs="宋体"/>
                <w:b w:val="0"/>
                <w:bCs w:val="0"/>
                <w:szCs w:val="21"/>
                <w:lang w:eastAsia="zh-CN"/>
              </w:rPr>
              <w:t>分；</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3、绿化员（1人）</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①具有本科（或以上）学历的，得</w:t>
            </w:r>
            <w:r>
              <w:rPr>
                <w:rFonts w:hint="eastAsia" w:ascii="宋体" w:hAnsi="宋体" w:cs="宋体"/>
                <w:b w:val="0"/>
                <w:bCs w:val="0"/>
                <w:szCs w:val="21"/>
                <w:lang w:val="en-US" w:eastAsia="zh-CN"/>
              </w:rPr>
              <w:t>15</w:t>
            </w:r>
            <w:r>
              <w:rPr>
                <w:rFonts w:hint="eastAsia" w:ascii="宋体" w:hAnsi="宋体" w:cs="宋体"/>
                <w:b w:val="0"/>
                <w:bCs w:val="0"/>
                <w:szCs w:val="21"/>
                <w:lang w:eastAsia="zh-CN"/>
              </w:rPr>
              <w:t>分；</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②</w:t>
            </w:r>
            <w:r>
              <w:rPr>
                <w:rFonts w:hint="eastAsia" w:ascii="宋体" w:hAnsi="宋体" w:eastAsia="宋体" w:cs="宋体"/>
                <w:b w:val="0"/>
                <w:bCs w:val="0"/>
                <w:kern w:val="2"/>
                <w:sz w:val="21"/>
                <w:szCs w:val="21"/>
                <w:lang w:val="en-US" w:eastAsia="zh-CN" w:bidi="ar-SA"/>
              </w:rPr>
              <w:t>具有人力资源和社会保障部门颁发的中级 （或以上）</w:t>
            </w:r>
            <w:r>
              <w:rPr>
                <w:rFonts w:hint="eastAsia" w:ascii="宋体" w:hAnsi="宋体" w:eastAsia="宋体" w:cs="宋体"/>
                <w:b w:val="0"/>
                <w:bCs w:val="0"/>
                <w:kern w:val="2"/>
                <w:sz w:val="21"/>
                <w:szCs w:val="21"/>
                <w:highlight w:val="yellow"/>
                <w:lang w:val="en-US" w:eastAsia="zh-CN" w:bidi="ar-SA"/>
              </w:rPr>
              <w:t>工程师</w:t>
            </w:r>
            <w:r>
              <w:rPr>
                <w:rFonts w:hint="eastAsia" w:ascii="宋体" w:hAnsi="宋体" w:eastAsia="宋体" w:cs="宋体"/>
                <w:b w:val="0"/>
                <w:bCs w:val="0"/>
                <w:kern w:val="2"/>
                <w:sz w:val="21"/>
                <w:szCs w:val="21"/>
                <w:lang w:val="en-US" w:eastAsia="zh-CN" w:bidi="ar-SA"/>
              </w:rPr>
              <w:t>职称证书</w:t>
            </w:r>
            <w:r>
              <w:rPr>
                <w:rFonts w:hint="eastAsia" w:ascii="宋体" w:hAnsi="宋体" w:cs="宋体"/>
                <w:b w:val="0"/>
                <w:bCs w:val="0"/>
                <w:szCs w:val="21"/>
                <w:lang w:eastAsia="zh-CN"/>
              </w:rPr>
              <w:t>，得</w:t>
            </w:r>
            <w:r>
              <w:rPr>
                <w:rFonts w:hint="eastAsia" w:ascii="宋体" w:hAnsi="宋体" w:cs="宋体"/>
                <w:b w:val="0"/>
                <w:bCs w:val="0"/>
                <w:szCs w:val="21"/>
                <w:lang w:val="en-US" w:eastAsia="zh-CN"/>
              </w:rPr>
              <w:t>15</w:t>
            </w:r>
            <w:r>
              <w:rPr>
                <w:rFonts w:hint="eastAsia" w:ascii="宋体" w:hAnsi="宋体" w:cs="宋体"/>
                <w:b w:val="0"/>
                <w:bCs w:val="0"/>
                <w:szCs w:val="21"/>
                <w:lang w:eastAsia="zh-CN"/>
              </w:rPr>
              <w:t>分。</w:t>
            </w:r>
          </w:p>
          <w:p>
            <w:pPr>
              <w:numPr>
                <w:ilvl w:val="-1"/>
                <w:numId w:val="0"/>
              </w:numPr>
              <w:wordWrap w:val="0"/>
              <w:adjustRightInd w:val="0"/>
              <w:snapToGrid w:val="0"/>
              <w:spacing w:line="320" w:lineRule="exact"/>
              <w:jc w:val="left"/>
              <w:rPr>
                <w:rFonts w:hint="eastAsia" w:ascii="宋体" w:hAnsi="宋体" w:cs="宋体"/>
                <w:b w:val="0"/>
                <w:bCs w:val="0"/>
                <w:szCs w:val="21"/>
                <w:lang w:eastAsia="zh-CN"/>
              </w:rPr>
            </w:pPr>
            <w:r>
              <w:rPr>
                <w:rFonts w:hint="eastAsia" w:ascii="宋体" w:hAnsi="宋体" w:cs="宋体"/>
                <w:b w:val="0"/>
                <w:bCs w:val="0"/>
                <w:szCs w:val="21"/>
                <w:lang w:eastAsia="zh-CN"/>
              </w:rPr>
              <w:t>以上三项累计得分，最高得</w:t>
            </w:r>
            <w:r>
              <w:rPr>
                <w:rFonts w:hint="eastAsia" w:ascii="宋体" w:hAnsi="宋体" w:cs="宋体"/>
                <w:b w:val="0"/>
                <w:bCs w:val="0"/>
                <w:szCs w:val="21"/>
                <w:lang w:val="en-US" w:eastAsia="zh-CN"/>
              </w:rPr>
              <w:t>100</w:t>
            </w:r>
            <w:r>
              <w:rPr>
                <w:rFonts w:hint="eastAsia" w:ascii="宋体" w:hAnsi="宋体" w:cs="宋体"/>
                <w:b w:val="0"/>
                <w:bCs w:val="0"/>
                <w:szCs w:val="21"/>
                <w:lang w:eastAsia="zh-CN"/>
              </w:rPr>
              <w:t>分，如同一人满足不同得分项时不重复计分。</w:t>
            </w:r>
          </w:p>
          <w:p>
            <w:pPr>
              <w:numPr>
                <w:ilvl w:val="-1"/>
                <w:numId w:val="0"/>
              </w:numPr>
              <w:wordWrap w:val="0"/>
              <w:adjustRightInd w:val="0"/>
              <w:snapToGrid w:val="0"/>
              <w:spacing w:line="320" w:lineRule="exact"/>
              <w:jc w:val="left"/>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cs="宋体"/>
                <w:b/>
                <w:bCs/>
                <w:szCs w:val="21"/>
                <w:lang w:eastAsia="zh-CN"/>
              </w:rPr>
              <w:t>）</w:t>
            </w:r>
            <w:r>
              <w:rPr>
                <w:rFonts w:hint="eastAsia" w:ascii="宋体" w:hAnsi="宋体" w:cs="宋体"/>
                <w:b/>
                <w:bCs/>
                <w:szCs w:val="21"/>
              </w:rPr>
              <w:t>评分依据：</w:t>
            </w:r>
          </w:p>
          <w:p>
            <w:pPr>
              <w:wordWrap w:val="0"/>
              <w:adjustRightInd w:val="0"/>
              <w:snapToGrid w:val="0"/>
              <w:spacing w:line="320" w:lineRule="exact"/>
              <w:jc w:val="left"/>
              <w:rPr>
                <w:rFonts w:ascii="宋体" w:hAnsi="宋体" w:cs="宋体"/>
                <w:szCs w:val="21"/>
              </w:rPr>
            </w:pPr>
            <w:r>
              <w:rPr>
                <w:rFonts w:hint="eastAsia" w:ascii="宋体" w:hAnsi="宋体" w:cs="宋体"/>
                <w:szCs w:val="21"/>
              </w:rPr>
              <w:t>1.</w:t>
            </w:r>
            <w:r>
              <w:rPr>
                <w:rFonts w:hint="eastAsia" w:ascii="宋体" w:hAnsi="宋体" w:eastAsia="宋体" w:cs="宋体"/>
                <w:szCs w:val="21"/>
              </w:rPr>
              <w:t>要求提供通过投标人缴纳的近三个月(含开标当月)的任意一个月的社保证明作为本单位员工的证明依据，如供应商成立不足一个月，提供情况说明函(格式自拟)，无需提供相关人员社保，亦可得分</w:t>
            </w:r>
            <w:r>
              <w:rPr>
                <w:rFonts w:hint="eastAsia" w:ascii="宋体" w:hAnsi="宋体" w:cs="宋体"/>
                <w:szCs w:val="21"/>
              </w:rPr>
              <w:t>。</w:t>
            </w:r>
          </w:p>
          <w:p>
            <w:pPr>
              <w:wordWrap w:val="0"/>
              <w:adjustRightInd w:val="0"/>
              <w:snapToGrid w:val="0"/>
              <w:spacing w:line="320" w:lineRule="exact"/>
              <w:jc w:val="left"/>
              <w:rPr>
                <w:rFonts w:hint="eastAsia" w:ascii="宋体" w:hAnsi="宋体" w:cs="宋体"/>
                <w:szCs w:val="21"/>
              </w:rPr>
            </w:pPr>
            <w:r>
              <w:rPr>
                <w:rFonts w:hint="eastAsia" w:ascii="宋体" w:hAnsi="宋体" w:cs="宋体"/>
                <w:szCs w:val="21"/>
              </w:rPr>
              <w:t>2.提供</w:t>
            </w:r>
            <w:r>
              <w:rPr>
                <w:rFonts w:hint="eastAsia" w:ascii="宋体" w:hAnsi="宋体" w:cs="宋体"/>
                <w:szCs w:val="21"/>
                <w:lang w:val="en-US" w:eastAsia="zh-CN"/>
              </w:rPr>
              <w:t>相关</w:t>
            </w:r>
            <w:r>
              <w:rPr>
                <w:rFonts w:hint="eastAsia" w:ascii="宋体" w:hAnsi="宋体" w:cs="宋体"/>
                <w:szCs w:val="21"/>
              </w:rPr>
              <w:t>证书扫描件，若人员证书为协会等社会组织颁发的，则还需要提供该协会</w:t>
            </w:r>
            <w:r>
              <w:rPr>
                <w:rFonts w:hint="eastAsia" w:ascii="宋体" w:hAnsi="宋体" w:cs="宋体"/>
                <w:szCs w:val="21"/>
                <w:lang w:val="en-US" w:eastAsia="zh-CN"/>
              </w:rPr>
              <w:t>或组织</w:t>
            </w:r>
            <w:r>
              <w:rPr>
                <w:rFonts w:hint="eastAsia" w:ascii="宋体" w:hAnsi="宋体" w:cs="宋体"/>
                <w:szCs w:val="21"/>
              </w:rPr>
              <w:t>在全国社会组织信用信息公示平台（网址https://xxgs.chinanpo.mca.gov.cn)的查询“正常”页面截图。涉及“职称证书”需要提供全国人力资源和社会保障政务服务平台（https://www.12333.gov.cn/portal/service_catalog）证书查询记录的相关截图或发证单位（机构）官网的证书信息查询截图。</w:t>
            </w:r>
          </w:p>
          <w:p>
            <w:pPr>
              <w:wordWrap w:val="0"/>
              <w:adjustRightInd w:val="0"/>
              <w:snapToGrid w:val="0"/>
              <w:spacing w:line="320" w:lineRule="exact"/>
              <w:rPr>
                <w:rFonts w:hint="eastAsia" w:ascii="宋体" w:hAnsi="宋体" w:cs="宋体"/>
                <w:szCs w:val="21"/>
                <w:lang w:val="en-US" w:eastAsia="zh-CN"/>
              </w:rPr>
            </w:pPr>
            <w:r>
              <w:rPr>
                <w:rFonts w:hint="eastAsia" w:ascii="宋体" w:hAnsi="宋体" w:cs="宋体"/>
                <w:szCs w:val="21"/>
              </w:rPr>
              <w:t>4.评分中出现无证明资料或者专家无法凭所提供资料判断是否得分的情况，一律做不得分处理。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3</w:t>
            </w:r>
          </w:p>
        </w:tc>
        <w:tc>
          <w:tcPr>
            <w:tcW w:w="3508" w:type="dxa"/>
            <w:gridSpan w:val="3"/>
            <w:tcBorders>
              <w:tl2br w:val="nil"/>
              <w:tr2bl w:val="nil"/>
            </w:tcBorders>
            <w:vAlign w:val="center"/>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综合实力部分</w:t>
            </w:r>
          </w:p>
        </w:tc>
        <w:tc>
          <w:tcPr>
            <w:tcW w:w="4856" w:type="dxa"/>
            <w:tcBorders>
              <w:tl2br w:val="nil"/>
              <w:tr2bl w:val="nil"/>
            </w:tcBorders>
          </w:tcPr>
          <w:p>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投标人有效业绩</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w:t>
            </w:r>
          </w:p>
        </w:tc>
        <w:tc>
          <w:tcPr>
            <w:tcW w:w="4856" w:type="dxa"/>
            <w:tcBorders>
              <w:tl2br w:val="nil"/>
              <w:tr2bl w:val="nil"/>
            </w:tcBorders>
          </w:tcPr>
          <w:p>
            <w:pPr>
              <w:adjustRightInd w:val="0"/>
              <w:snapToGrid w:val="0"/>
              <w:spacing w:line="320" w:lineRule="exact"/>
              <w:rPr>
                <w:rFonts w:ascii="宋体" w:hAnsi="宋体" w:cs="宋体"/>
                <w:szCs w:val="21"/>
                <w:highlight w:val="none"/>
              </w:rPr>
            </w:pPr>
            <w:r>
              <w:rPr>
                <w:rFonts w:hint="eastAsia" w:ascii="宋体" w:hAnsi="宋体" w:cs="宋体"/>
                <w:b/>
                <w:bCs/>
                <w:szCs w:val="21"/>
                <w:highlight w:val="none"/>
              </w:rPr>
              <w:t>（一）评分内容：</w:t>
            </w:r>
          </w:p>
          <w:p>
            <w:pPr>
              <w:adjustRightInd w:val="0"/>
              <w:snapToGrid w:val="0"/>
              <w:spacing w:line="320" w:lineRule="exact"/>
              <w:rPr>
                <w:rFonts w:ascii="宋体" w:hAnsi="宋体" w:cs="宋体"/>
                <w:szCs w:val="21"/>
                <w:highlight w:val="none"/>
              </w:rPr>
            </w:pPr>
            <w:r>
              <w:rPr>
                <w:rFonts w:hint="eastAsia" w:ascii="宋体" w:hAnsi="宋体" w:cs="宋体"/>
                <w:szCs w:val="21"/>
                <w:highlight w:val="none"/>
              </w:rPr>
              <w:t>投标人自202</w:t>
            </w:r>
            <w:r>
              <w:rPr>
                <w:rFonts w:hint="eastAsia" w:ascii="宋体" w:hAnsi="宋体" w:cs="宋体"/>
                <w:szCs w:val="21"/>
                <w:highlight w:val="none"/>
                <w:lang w:val="en-US" w:eastAsia="zh-CN"/>
              </w:rPr>
              <w:t>2</w:t>
            </w:r>
            <w:r>
              <w:rPr>
                <w:rFonts w:hint="eastAsia" w:ascii="宋体" w:hAnsi="宋体" w:cs="宋体"/>
                <w:szCs w:val="21"/>
                <w:highlight w:val="none"/>
              </w:rPr>
              <w:t>年1月1日至本项目投标截止</w:t>
            </w:r>
            <w:r>
              <w:rPr>
                <w:rFonts w:hint="eastAsia" w:ascii="宋体" w:hAnsi="宋体" w:cs="宋体"/>
                <w:szCs w:val="21"/>
                <w:highlight w:val="none"/>
                <w:lang w:val="en-US" w:eastAsia="zh-CN"/>
              </w:rPr>
              <w:t>日</w:t>
            </w:r>
            <w:r>
              <w:rPr>
                <w:rFonts w:hint="eastAsia" w:ascii="宋体" w:hAnsi="宋体" w:cs="宋体"/>
                <w:szCs w:val="21"/>
                <w:highlight w:val="none"/>
              </w:rPr>
              <w:t>（以合同签订日期为准）：</w:t>
            </w:r>
            <w:r>
              <w:rPr>
                <w:rFonts w:hint="eastAsia" w:ascii="宋体" w:hAnsi="宋体" w:cs="宋体"/>
                <w:szCs w:val="21"/>
                <w:highlight w:val="yellow"/>
              </w:rPr>
              <w:t>具有</w:t>
            </w:r>
            <w:r>
              <w:rPr>
                <w:rFonts w:hint="eastAsia" w:ascii="宋体" w:hAnsi="宋体" w:cs="宋体"/>
                <w:szCs w:val="21"/>
                <w:highlight w:val="none"/>
              </w:rPr>
              <w:t>物业管理</w:t>
            </w:r>
            <w:r>
              <w:rPr>
                <w:rFonts w:hint="eastAsia" w:ascii="宋体" w:hAnsi="宋体" w:cs="宋体"/>
                <w:szCs w:val="21"/>
                <w:highlight w:val="none"/>
                <w:lang w:val="en-US" w:eastAsia="zh-CN"/>
              </w:rPr>
              <w:t>类</w:t>
            </w:r>
            <w:r>
              <w:rPr>
                <w:rFonts w:hint="eastAsia" w:ascii="宋体" w:hAnsi="宋体" w:cs="宋体"/>
                <w:szCs w:val="21"/>
                <w:highlight w:val="none"/>
              </w:rPr>
              <w:t>项目业绩</w:t>
            </w:r>
            <w:r>
              <w:rPr>
                <w:rFonts w:hint="eastAsia" w:ascii="宋体" w:hAnsi="宋体" w:cs="宋体"/>
                <w:szCs w:val="21"/>
                <w:highlight w:val="none"/>
                <w:lang w:eastAsia="zh-CN"/>
              </w:rPr>
              <w:t>，</w:t>
            </w:r>
            <w:r>
              <w:rPr>
                <w:rFonts w:hint="eastAsia" w:ascii="宋体" w:hAnsi="宋体" w:cs="宋体"/>
                <w:szCs w:val="21"/>
                <w:highlight w:val="none"/>
              </w:rPr>
              <w:t>每提供一个项目业绩得</w:t>
            </w:r>
            <w:r>
              <w:rPr>
                <w:rFonts w:hint="eastAsia" w:ascii="宋体" w:hAnsi="宋体" w:cs="宋体"/>
                <w:szCs w:val="21"/>
                <w:highlight w:val="none"/>
                <w:lang w:val="en-US" w:eastAsia="zh-CN"/>
              </w:rPr>
              <w:t>35</w:t>
            </w:r>
            <w:r>
              <w:rPr>
                <w:rFonts w:hint="eastAsia" w:ascii="宋体" w:hAnsi="宋体" w:cs="宋体"/>
                <w:szCs w:val="21"/>
                <w:highlight w:val="none"/>
              </w:rPr>
              <w:t>分，最高得100分。</w:t>
            </w:r>
          </w:p>
          <w:p>
            <w:pPr>
              <w:adjustRightInd w:val="0"/>
              <w:snapToGrid w:val="0"/>
              <w:spacing w:line="320" w:lineRule="exact"/>
              <w:rPr>
                <w:rFonts w:ascii="宋体" w:hAnsi="宋体" w:cs="宋体"/>
                <w:szCs w:val="21"/>
                <w:highlight w:val="none"/>
              </w:rPr>
            </w:pPr>
            <w:r>
              <w:rPr>
                <w:rFonts w:hint="eastAsia" w:ascii="宋体" w:hAnsi="宋体" w:cs="宋体"/>
                <w:b/>
                <w:bCs/>
                <w:szCs w:val="21"/>
                <w:highlight w:val="none"/>
              </w:rPr>
              <w:t>（二）评分依据：</w:t>
            </w:r>
          </w:p>
          <w:p>
            <w:pPr>
              <w:adjustRightInd w:val="0"/>
              <w:snapToGrid w:val="0"/>
              <w:spacing w:line="320" w:lineRule="exact"/>
              <w:rPr>
                <w:rFonts w:ascii="宋体" w:hAnsi="宋体" w:cs="宋体"/>
                <w:szCs w:val="21"/>
                <w:highlight w:val="none"/>
              </w:rPr>
            </w:pPr>
            <w:r>
              <w:rPr>
                <w:rFonts w:hint="eastAsia" w:ascii="宋体" w:hAnsi="宋体" w:cs="宋体"/>
                <w:szCs w:val="21"/>
                <w:highlight w:val="none"/>
              </w:rPr>
              <w:t>1.提供合同关键页（包括但不限于合同的项目名称、服务内容、签订日期、合同双方签字盖章页）；通过合同关键信息无法判断是否得分的，还须同时提供能证明得分的其它证明资料，通过合同关键信息无法判断是否得分的，还须同时提供投标人承诺”。</w:t>
            </w:r>
            <w:r>
              <w:rPr>
                <w:rFonts w:hint="eastAsia" w:ascii="宋体" w:hAnsi="宋体" w:cs="宋体"/>
                <w:szCs w:val="21"/>
              </w:rPr>
              <w:t>评分中出现无证明资料或者专家无法凭所提供资料判断是否得分的情况，一律做不得分处理。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w:t>
            </w:r>
          </w:p>
        </w:tc>
        <w:tc>
          <w:tcPr>
            <w:tcW w:w="2264" w:type="dxa"/>
            <w:tcBorders>
              <w:tl2br w:val="nil"/>
              <w:tr2bl w:val="nil"/>
            </w:tcBorders>
            <w:vAlign w:val="center"/>
          </w:tcPr>
          <w:p>
            <w:pPr>
              <w:jc w:val="center"/>
              <w:rPr>
                <w:rFonts w:ascii="宋体" w:hAnsi="宋体" w:cs="宋体"/>
                <w:szCs w:val="21"/>
                <w:highlight w:val="none"/>
              </w:rPr>
            </w:pPr>
            <w:r>
              <w:rPr>
                <w:rFonts w:hint="eastAsia" w:ascii="宋体" w:hAnsi="宋体"/>
                <w:szCs w:val="21"/>
                <w:highlight w:val="none"/>
              </w:rPr>
              <w:t>履约评价</w:t>
            </w:r>
          </w:p>
        </w:tc>
        <w:tc>
          <w:tcPr>
            <w:tcW w:w="696"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4856" w:type="dxa"/>
            <w:tcBorders>
              <w:tl2br w:val="nil"/>
              <w:tr2bl w:val="nil"/>
            </w:tcBorders>
          </w:tcPr>
          <w:p>
            <w:pPr>
              <w:pStyle w:val="19"/>
              <w:numPr>
                <w:ilvl w:val="0"/>
                <w:numId w:val="0"/>
              </w:numPr>
              <w:snapToGrid w:val="0"/>
              <w:spacing w:line="320" w:lineRule="exact"/>
              <w:rPr>
                <w:rFonts w:hAnsi="宋体" w:cs="宋体"/>
                <w:sz w:val="21"/>
                <w:szCs w:val="21"/>
                <w:highlight w:val="none"/>
              </w:rPr>
            </w:pPr>
            <w:r>
              <w:rPr>
                <w:rFonts w:hint="eastAsia" w:ascii="宋体" w:hAnsi="宋体" w:eastAsia="宋体" w:cs="宋体"/>
                <w:b/>
                <w:bCs/>
                <w:kern w:val="0"/>
                <w:sz w:val="21"/>
                <w:szCs w:val="21"/>
                <w:highlight w:val="none"/>
                <w:lang w:val="en-US" w:eastAsia="zh-CN" w:bidi="ar-SA"/>
              </w:rPr>
              <w:t>（一）</w:t>
            </w:r>
            <w:r>
              <w:rPr>
                <w:rFonts w:hint="eastAsia" w:hAnsi="宋体" w:cs="宋体"/>
                <w:b/>
                <w:bCs/>
                <w:sz w:val="21"/>
                <w:szCs w:val="21"/>
                <w:highlight w:val="none"/>
              </w:rPr>
              <w:t>评分内容：</w:t>
            </w:r>
          </w:p>
          <w:p>
            <w:pPr>
              <w:pStyle w:val="19"/>
              <w:snapToGrid w:val="0"/>
              <w:spacing w:line="320" w:lineRule="exact"/>
              <w:rPr>
                <w:rFonts w:hAnsi="宋体" w:cs="宋体"/>
                <w:sz w:val="21"/>
                <w:szCs w:val="21"/>
                <w:highlight w:val="none"/>
              </w:rPr>
            </w:pPr>
            <w:r>
              <w:rPr>
                <w:rFonts w:hint="eastAsia" w:hAnsi="宋体" w:cs="宋体"/>
                <w:sz w:val="21"/>
                <w:szCs w:val="21"/>
                <w:highlight w:val="none"/>
              </w:rPr>
              <w:t>投标人在上述“投标人有效业绩”评审项中参加评审并被认定有效的业绩（且获得评分），能够提供用户出具的履约评价书，且评价为优或者满意或良好或良或合格</w:t>
            </w:r>
            <w:r>
              <w:rPr>
                <w:rFonts w:hint="eastAsia" w:hAnsi="宋体" w:cs="宋体"/>
                <w:sz w:val="21"/>
                <w:szCs w:val="21"/>
                <w:highlight w:val="none"/>
                <w:lang w:eastAsia="zh-CN"/>
              </w:rPr>
              <w:t>或评价表中其他最高等级评价</w:t>
            </w:r>
            <w:r>
              <w:rPr>
                <w:rFonts w:hint="eastAsia" w:hAnsi="宋体" w:cs="宋体"/>
                <w:sz w:val="21"/>
                <w:szCs w:val="21"/>
                <w:highlight w:val="none"/>
              </w:rPr>
              <w:t>的，每份评价书得</w:t>
            </w:r>
            <w:r>
              <w:rPr>
                <w:rFonts w:hint="eastAsia" w:hAnsi="宋体" w:cs="宋体"/>
                <w:sz w:val="21"/>
                <w:szCs w:val="21"/>
                <w:highlight w:val="none"/>
                <w:lang w:val="en-US" w:eastAsia="zh-CN"/>
              </w:rPr>
              <w:t>35</w:t>
            </w:r>
            <w:r>
              <w:rPr>
                <w:rFonts w:hint="eastAsia" w:hAnsi="宋体" w:cs="宋体"/>
                <w:sz w:val="21"/>
                <w:szCs w:val="21"/>
                <w:highlight w:val="none"/>
              </w:rPr>
              <w:t>分，最高得</w:t>
            </w:r>
            <w:r>
              <w:rPr>
                <w:rFonts w:hAnsi="宋体" w:cs="宋体"/>
                <w:sz w:val="21"/>
                <w:szCs w:val="21"/>
                <w:highlight w:val="none"/>
              </w:rPr>
              <w:t>100</w:t>
            </w:r>
            <w:r>
              <w:rPr>
                <w:rFonts w:hint="eastAsia" w:hAnsi="宋体" w:cs="宋体"/>
                <w:sz w:val="21"/>
                <w:szCs w:val="21"/>
                <w:highlight w:val="none"/>
              </w:rPr>
              <w:t>分。</w:t>
            </w:r>
          </w:p>
          <w:p>
            <w:pPr>
              <w:pStyle w:val="19"/>
              <w:numPr>
                <w:ilvl w:val="0"/>
                <w:numId w:val="0"/>
              </w:numPr>
              <w:snapToGrid w:val="0"/>
              <w:spacing w:line="320" w:lineRule="exact"/>
              <w:rPr>
                <w:rFonts w:hAnsi="宋体" w:cs="宋体"/>
                <w:b/>
                <w:bCs/>
                <w:sz w:val="21"/>
                <w:szCs w:val="21"/>
                <w:highlight w:val="none"/>
              </w:rPr>
            </w:pPr>
            <w:r>
              <w:rPr>
                <w:rFonts w:hint="eastAsia" w:ascii="宋体" w:hAnsi="宋体" w:eastAsia="宋体" w:cs="宋体"/>
                <w:b/>
                <w:bCs/>
                <w:kern w:val="0"/>
                <w:sz w:val="21"/>
                <w:szCs w:val="21"/>
                <w:highlight w:val="none"/>
                <w:lang w:val="en-US" w:eastAsia="zh-CN" w:bidi="ar-SA"/>
              </w:rPr>
              <w:t>（二）</w:t>
            </w:r>
            <w:r>
              <w:rPr>
                <w:rFonts w:hint="eastAsia" w:hAnsi="宋体" w:cs="宋体"/>
                <w:b/>
                <w:bCs/>
                <w:sz w:val="21"/>
                <w:szCs w:val="21"/>
                <w:highlight w:val="none"/>
              </w:rPr>
              <w:t>评分依据：</w:t>
            </w:r>
          </w:p>
          <w:p>
            <w:pPr>
              <w:pStyle w:val="9"/>
              <w:wordWrap w:val="0"/>
              <w:adjustRightInd w:val="0"/>
              <w:snapToGrid w:val="0"/>
              <w:spacing w:line="320" w:lineRule="exact"/>
              <w:rPr>
                <w:rFonts w:hint="eastAsia" w:ascii="宋体" w:hAnsi="宋体" w:cs="宋体"/>
                <w:b w:val="0"/>
                <w:bCs w:val="0"/>
                <w:sz w:val="21"/>
                <w:szCs w:val="21"/>
                <w:highlight w:val="none"/>
                <w:lang w:eastAsia="zh-CN"/>
              </w:rPr>
            </w:pPr>
            <w:r>
              <w:rPr>
                <w:rFonts w:hint="eastAsia" w:ascii="宋体" w:hAnsi="宋体" w:cs="宋体"/>
                <w:b w:val="0"/>
                <w:bCs w:val="0"/>
                <w:sz w:val="21"/>
                <w:szCs w:val="21"/>
                <w:highlight w:val="none"/>
              </w:rPr>
              <w:t>须提供用户出具的履约评价书扫描件（评价书需有甲方公章或业务章）</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rPr>
              <w:t>证明文件的内容包括但不仅限于总体履约评价结果、出具证明的签署日期等相关内容,如提交的证明文件其评价结果没有结论而仅是打分的（比如打100分、98分、95分、85分等的）不计分</w:t>
            </w:r>
            <w:r>
              <w:rPr>
                <w:rFonts w:hint="eastAsia" w:ascii="宋体" w:hAnsi="宋体" w:cs="宋体"/>
                <w:b w:val="0"/>
                <w:bCs w:val="0"/>
                <w:sz w:val="21"/>
                <w:szCs w:val="21"/>
                <w:highlight w:val="none"/>
                <w:lang w:eastAsia="zh-CN"/>
              </w:rPr>
              <w:t>；</w:t>
            </w:r>
          </w:p>
          <w:p>
            <w:pPr>
              <w:pStyle w:val="9"/>
              <w:wordWrap w:val="0"/>
              <w:adjustRightInd w:val="0"/>
              <w:snapToGrid w:val="0"/>
              <w:spacing w:line="320" w:lineRule="exact"/>
              <w:rPr>
                <w:rFonts w:ascii="宋体" w:hAnsi="宋体" w:cs="宋体"/>
                <w:sz w:val="21"/>
                <w:szCs w:val="21"/>
                <w:highlight w:val="none"/>
              </w:rPr>
            </w:pPr>
            <w:r>
              <w:rPr>
                <w:rFonts w:hint="eastAsia" w:ascii="宋体" w:hAnsi="宋体" w:cs="宋体"/>
                <w:b w:val="0"/>
                <w:bCs w:val="0"/>
                <w:sz w:val="21"/>
                <w:szCs w:val="21"/>
                <w:highlight w:val="none"/>
              </w:rPr>
              <w:t>评分中出现无证明资料或者专家无法凭所提供资料判断是否得分的情况，一律做不得分处理。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2264" w:type="dxa"/>
            <w:tcBorders>
              <w:tl2br w:val="nil"/>
              <w:tr2bl w:val="nil"/>
            </w:tcBorders>
            <w:vAlign w:val="center"/>
          </w:tcPr>
          <w:p>
            <w:pPr>
              <w:jc w:val="center"/>
              <w:rPr>
                <w:rFonts w:hint="eastAsia" w:ascii="宋体" w:hAnsi="宋体"/>
                <w:szCs w:val="21"/>
                <w:highlight w:val="none"/>
              </w:rPr>
            </w:pPr>
            <w:r>
              <w:rPr>
                <w:rFonts w:hint="eastAsia" w:ascii="宋体" w:hAnsi="宋体"/>
                <w:szCs w:val="21"/>
                <w:lang w:val="en-US" w:eastAsia="zh-CN"/>
              </w:rPr>
              <w:t>认证</w:t>
            </w:r>
            <w:r>
              <w:rPr>
                <w:rFonts w:hint="eastAsia" w:ascii="宋体" w:hAnsi="宋体"/>
                <w:szCs w:val="21"/>
              </w:rPr>
              <w:t>情况</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12</w:t>
            </w:r>
          </w:p>
        </w:tc>
        <w:tc>
          <w:tcPr>
            <w:tcW w:w="4856" w:type="dxa"/>
            <w:tcBorders>
              <w:tl2br w:val="nil"/>
              <w:tr2bl w:val="nil"/>
            </w:tcBorders>
          </w:tcPr>
          <w:p>
            <w:pPr>
              <w:pStyle w:val="19"/>
              <w:numPr>
                <w:ilvl w:val="0"/>
                <w:numId w:val="0"/>
              </w:numPr>
              <w:snapToGrid w:val="0"/>
              <w:spacing w:line="320" w:lineRule="exact"/>
              <w:rPr>
                <w:rFonts w:hAnsi="宋体" w:cs="宋体"/>
                <w:sz w:val="21"/>
                <w:szCs w:val="21"/>
                <w:highlight w:val="none"/>
              </w:rPr>
            </w:pPr>
            <w:r>
              <w:rPr>
                <w:rFonts w:hint="eastAsia" w:ascii="宋体" w:hAnsi="宋体" w:eastAsia="宋体" w:cs="宋体"/>
                <w:b/>
                <w:bCs/>
                <w:kern w:val="0"/>
                <w:sz w:val="21"/>
                <w:szCs w:val="21"/>
                <w:highlight w:val="none"/>
                <w:lang w:val="en-US" w:eastAsia="zh-CN" w:bidi="ar-SA"/>
              </w:rPr>
              <w:t>（一）</w:t>
            </w:r>
            <w:r>
              <w:rPr>
                <w:rFonts w:hint="eastAsia" w:hAnsi="宋体" w:cs="宋体"/>
                <w:b/>
                <w:bCs/>
                <w:sz w:val="21"/>
                <w:szCs w:val="21"/>
                <w:highlight w:val="none"/>
              </w:rPr>
              <w:t>评分内容：</w:t>
            </w:r>
          </w:p>
          <w:p>
            <w:pPr>
              <w:pStyle w:val="19"/>
              <w:snapToGrid w:val="0"/>
              <w:spacing w:line="320" w:lineRule="exact"/>
              <w:rPr>
                <w:rFonts w:hint="eastAsia" w:hAnsi="宋体" w:cs="宋体"/>
                <w:sz w:val="21"/>
                <w:szCs w:val="21"/>
                <w:highlight w:val="none"/>
              </w:rPr>
            </w:pPr>
            <w:r>
              <w:rPr>
                <w:rFonts w:hint="eastAsia" w:hAnsi="宋体" w:cs="宋体"/>
                <w:sz w:val="21"/>
                <w:szCs w:val="21"/>
                <w:highlight w:val="none"/>
              </w:rPr>
              <w:t>投标人具有以下有效的认证证书：</w:t>
            </w:r>
          </w:p>
          <w:p>
            <w:pPr>
              <w:pStyle w:val="19"/>
              <w:snapToGrid w:val="0"/>
              <w:spacing w:line="320" w:lineRule="exact"/>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yellow"/>
              </w:rPr>
              <w:t>物业服务</w:t>
            </w:r>
            <w:r>
              <w:rPr>
                <w:rFonts w:hint="eastAsia" w:hAnsi="宋体" w:cs="宋体"/>
                <w:sz w:val="21"/>
                <w:szCs w:val="21"/>
                <w:highlight w:val="none"/>
              </w:rPr>
              <w:t>体系认证、</w:t>
            </w:r>
          </w:p>
          <w:p>
            <w:pPr>
              <w:pStyle w:val="19"/>
              <w:snapToGrid w:val="0"/>
              <w:spacing w:line="320" w:lineRule="exact"/>
              <w:rPr>
                <w:rFonts w:hint="eastAsia" w:hAnsi="宋体" w:cs="宋体"/>
                <w:sz w:val="21"/>
                <w:szCs w:val="21"/>
                <w:highlight w:val="none"/>
              </w:rPr>
            </w:pPr>
            <w:r>
              <w:rPr>
                <w:rFonts w:hint="eastAsia" w:hAnsi="宋体" w:cs="宋体"/>
                <w:sz w:val="21"/>
                <w:szCs w:val="21"/>
                <w:highlight w:val="none"/>
              </w:rPr>
              <w:t>（2）质量管理体系认证、</w:t>
            </w:r>
          </w:p>
          <w:p>
            <w:pPr>
              <w:pStyle w:val="19"/>
              <w:snapToGrid w:val="0"/>
              <w:spacing w:line="320" w:lineRule="exact"/>
              <w:rPr>
                <w:rFonts w:hint="eastAsia" w:hAnsi="宋体" w:eastAsia="宋体" w:cs="宋体"/>
                <w:sz w:val="21"/>
                <w:szCs w:val="21"/>
                <w:highlight w:val="none"/>
                <w:lang w:eastAsia="zh-CN"/>
              </w:rPr>
            </w:pPr>
            <w:r>
              <w:rPr>
                <w:rFonts w:hint="eastAsia" w:hAnsi="宋体" w:cs="宋体"/>
                <w:sz w:val="21"/>
                <w:szCs w:val="21"/>
                <w:highlight w:val="none"/>
              </w:rPr>
              <w:t>（3）职业健康安全管理体系认证</w:t>
            </w:r>
            <w:r>
              <w:rPr>
                <w:rFonts w:hint="eastAsia" w:hAnsi="宋体" w:cs="宋体"/>
                <w:sz w:val="21"/>
                <w:szCs w:val="21"/>
                <w:highlight w:val="none"/>
                <w:lang w:eastAsia="zh-CN"/>
              </w:rPr>
              <w:t>、</w:t>
            </w:r>
          </w:p>
          <w:p>
            <w:pPr>
              <w:pStyle w:val="19"/>
              <w:snapToGrid w:val="0"/>
              <w:spacing w:line="320" w:lineRule="exact"/>
              <w:rPr>
                <w:rFonts w:hint="eastAsia" w:hAnsi="宋体" w:cs="宋体"/>
                <w:sz w:val="21"/>
                <w:szCs w:val="21"/>
                <w:highlight w:val="none"/>
                <w:lang w:eastAsia="zh-CN"/>
              </w:rPr>
            </w:pPr>
            <w:r>
              <w:rPr>
                <w:rFonts w:hint="eastAsia" w:hAnsi="宋体" w:cs="宋体"/>
                <w:sz w:val="21"/>
                <w:szCs w:val="21"/>
                <w:highlight w:val="none"/>
              </w:rPr>
              <w:t>（4）环境管理体系认证四项体系认证的</w:t>
            </w:r>
            <w:r>
              <w:rPr>
                <w:rFonts w:hint="eastAsia" w:hAnsi="宋体" w:cs="宋体"/>
                <w:sz w:val="21"/>
                <w:szCs w:val="21"/>
                <w:highlight w:val="none"/>
                <w:lang w:eastAsia="zh-CN"/>
              </w:rPr>
              <w:t>。</w:t>
            </w:r>
          </w:p>
          <w:p>
            <w:pPr>
              <w:pStyle w:val="19"/>
              <w:snapToGrid w:val="0"/>
              <w:spacing w:line="320" w:lineRule="exact"/>
              <w:rPr>
                <w:rFonts w:hint="eastAsia" w:hAnsi="宋体" w:cs="宋体"/>
                <w:sz w:val="21"/>
                <w:szCs w:val="21"/>
                <w:highlight w:val="none"/>
                <w:lang w:eastAsia="zh-CN"/>
              </w:rPr>
            </w:pPr>
            <w:r>
              <w:rPr>
                <w:rFonts w:hint="eastAsia" w:hAnsi="宋体" w:cs="宋体"/>
                <w:sz w:val="21"/>
                <w:szCs w:val="21"/>
                <w:lang w:eastAsia="zh-CN"/>
              </w:rPr>
              <w:t>（</w:t>
            </w:r>
            <w:r>
              <w:rPr>
                <w:rFonts w:hint="eastAsia" w:hAnsi="宋体" w:cs="宋体"/>
                <w:sz w:val="21"/>
                <w:szCs w:val="21"/>
                <w:lang w:val="en-US" w:eastAsia="zh-CN"/>
              </w:rPr>
              <w:t>5</w:t>
            </w:r>
            <w:r>
              <w:rPr>
                <w:rFonts w:hint="eastAsia" w:hAnsi="宋体" w:cs="宋体"/>
                <w:sz w:val="21"/>
                <w:szCs w:val="21"/>
                <w:lang w:eastAsia="zh-CN"/>
              </w:rPr>
              <w:t>）</w:t>
            </w:r>
            <w:r>
              <w:rPr>
                <w:rFonts w:hAnsi="宋体" w:cs="宋体"/>
                <w:sz w:val="21"/>
                <w:szCs w:val="21"/>
              </w:rPr>
              <w:t>生活垃圾分类服务能力认证</w:t>
            </w:r>
            <w:r>
              <w:rPr>
                <w:rFonts w:hint="eastAsia" w:hAnsi="宋体" w:cs="宋体"/>
                <w:sz w:val="21"/>
                <w:szCs w:val="21"/>
              </w:rPr>
              <w:t>。</w:t>
            </w:r>
          </w:p>
          <w:p>
            <w:pPr>
              <w:pStyle w:val="19"/>
              <w:snapToGrid w:val="0"/>
              <w:spacing w:line="320" w:lineRule="exact"/>
              <w:rPr>
                <w:rFonts w:hint="default" w:hAnsi="宋体" w:eastAsia="宋体" w:cs="宋体"/>
                <w:sz w:val="21"/>
                <w:szCs w:val="21"/>
                <w:highlight w:val="none"/>
                <w:lang w:val="en-US" w:eastAsia="zh-CN"/>
              </w:rPr>
            </w:pPr>
            <w:r>
              <w:rPr>
                <w:rFonts w:hint="eastAsia" w:hAnsi="宋体" w:cs="宋体"/>
                <w:sz w:val="21"/>
                <w:szCs w:val="21"/>
                <w:highlight w:val="none"/>
              </w:rPr>
              <w:t>每提供一个有效的证书得</w:t>
            </w:r>
            <w:r>
              <w:rPr>
                <w:rFonts w:hint="eastAsia" w:hAnsi="宋体" w:cs="宋体"/>
                <w:sz w:val="21"/>
                <w:szCs w:val="21"/>
                <w:highlight w:val="none"/>
                <w:lang w:val="en-US" w:eastAsia="zh-CN"/>
              </w:rPr>
              <w:t>20</w:t>
            </w:r>
            <w:r>
              <w:rPr>
                <w:rFonts w:hint="eastAsia" w:hAnsi="宋体" w:cs="宋体"/>
                <w:sz w:val="21"/>
                <w:szCs w:val="21"/>
                <w:highlight w:val="none"/>
              </w:rPr>
              <w:t>分，</w:t>
            </w:r>
            <w:r>
              <w:rPr>
                <w:rFonts w:hint="eastAsia" w:hAnsi="宋体" w:cs="宋体"/>
                <w:sz w:val="21"/>
                <w:szCs w:val="21"/>
                <w:highlight w:val="none"/>
                <w:lang w:val="en-US" w:eastAsia="zh-CN"/>
              </w:rPr>
              <w:t>累计最高得100分。</w:t>
            </w:r>
          </w:p>
          <w:p>
            <w:pPr>
              <w:pStyle w:val="19"/>
              <w:numPr>
                <w:ilvl w:val="0"/>
                <w:numId w:val="0"/>
              </w:numPr>
              <w:snapToGrid w:val="0"/>
              <w:spacing w:line="320" w:lineRule="exact"/>
              <w:rPr>
                <w:rFonts w:hAnsi="宋体" w:cs="宋体"/>
                <w:b/>
                <w:bCs/>
                <w:sz w:val="21"/>
                <w:szCs w:val="21"/>
                <w:highlight w:val="none"/>
              </w:rPr>
            </w:pPr>
            <w:r>
              <w:rPr>
                <w:rFonts w:hint="eastAsia" w:ascii="宋体" w:hAnsi="宋体" w:eastAsia="宋体" w:cs="宋体"/>
                <w:b/>
                <w:bCs/>
                <w:kern w:val="0"/>
                <w:sz w:val="21"/>
                <w:szCs w:val="21"/>
                <w:highlight w:val="none"/>
                <w:lang w:val="en-US" w:eastAsia="zh-CN" w:bidi="ar-SA"/>
              </w:rPr>
              <w:t>（二）</w:t>
            </w:r>
            <w:r>
              <w:rPr>
                <w:rFonts w:hint="eastAsia" w:hAnsi="宋体" w:cs="宋体"/>
                <w:b/>
                <w:bCs/>
                <w:sz w:val="21"/>
                <w:szCs w:val="21"/>
                <w:highlight w:val="none"/>
              </w:rPr>
              <w:t>评分依据：</w:t>
            </w:r>
          </w:p>
          <w:p>
            <w:pPr>
              <w:pStyle w:val="9"/>
              <w:wordWrap w:val="0"/>
              <w:adjustRightInd w:val="0"/>
              <w:snapToGrid w:val="0"/>
              <w:spacing w:line="320" w:lineRule="exact"/>
              <w:rPr>
                <w:rFonts w:ascii="宋体" w:hAnsi="宋体" w:cs="宋体"/>
                <w:b w:val="0"/>
                <w:bCs w:val="0"/>
                <w:sz w:val="21"/>
                <w:szCs w:val="21"/>
              </w:rPr>
            </w:pPr>
            <w:r>
              <w:rPr>
                <w:rFonts w:hint="eastAsia" w:ascii="宋体" w:hAnsi="宋体" w:cs="宋体"/>
                <w:b w:val="0"/>
                <w:bCs w:val="0"/>
                <w:sz w:val="21"/>
                <w:szCs w:val="21"/>
              </w:rPr>
              <w:t>1.提供认证证书</w:t>
            </w:r>
            <w:r>
              <w:rPr>
                <w:rFonts w:hint="eastAsia" w:cs="宋体"/>
                <w:b w:val="0"/>
                <w:bCs w:val="0"/>
                <w:sz w:val="21"/>
                <w:szCs w:val="21"/>
                <w:lang w:val="en-US" w:eastAsia="zh-CN"/>
              </w:rPr>
              <w:t>扫描件</w:t>
            </w:r>
            <w:r>
              <w:rPr>
                <w:rFonts w:hint="eastAsia" w:ascii="宋体" w:hAnsi="宋体" w:cs="宋体"/>
                <w:b w:val="0"/>
                <w:bCs w:val="0"/>
                <w:sz w:val="21"/>
                <w:szCs w:val="21"/>
              </w:rPr>
              <w:t>；同时提供在全国认证认可信息公共服务平台（认e云）（http://cx.cnca.cn）查询截图且显示有效及证书编号一致；</w:t>
            </w:r>
          </w:p>
          <w:p>
            <w:pPr>
              <w:pStyle w:val="9"/>
              <w:wordWrap w:val="0"/>
              <w:adjustRightInd w:val="0"/>
              <w:snapToGrid w:val="0"/>
              <w:spacing w:line="320" w:lineRule="exact"/>
              <w:rPr>
                <w:rFonts w:hint="eastAsia" w:ascii="宋体" w:hAnsi="宋体" w:cs="宋体"/>
                <w:b w:val="0"/>
                <w:bCs w:val="0"/>
                <w:sz w:val="21"/>
                <w:szCs w:val="21"/>
                <w:highlight w:val="none"/>
                <w:lang w:val="en-US" w:eastAsia="zh-CN"/>
              </w:rPr>
            </w:pPr>
            <w:r>
              <w:rPr>
                <w:rFonts w:hint="eastAsia" w:ascii="宋体" w:hAnsi="宋体" w:cs="宋体"/>
                <w:b w:val="0"/>
                <w:bCs w:val="0"/>
                <w:sz w:val="21"/>
                <w:szCs w:val="21"/>
              </w:rPr>
              <w:t>2.评分中出现无证明资料或专家无法凭所提供资料判断是否得分的情况，一律作不得分处理。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2264" w:type="dxa"/>
            <w:tcBorders>
              <w:tl2br w:val="nil"/>
              <w:tr2bl w:val="nil"/>
            </w:tcBorders>
            <w:vAlign w:val="center"/>
          </w:tcPr>
          <w:p>
            <w:pPr>
              <w:jc w:val="center"/>
              <w:rPr>
                <w:rFonts w:hint="eastAsia" w:ascii="宋体" w:hAnsi="宋体"/>
                <w:szCs w:val="21"/>
                <w:lang w:val="en-US" w:eastAsia="zh-CN"/>
              </w:rPr>
            </w:pPr>
            <w:r>
              <w:rPr>
                <w:rFonts w:hint="eastAsia" w:ascii="宋体" w:hAnsi="宋体" w:cs="宋体"/>
                <w:szCs w:val="21"/>
              </w:rPr>
              <w:t>自主知识产权产品（创新、设计）情况</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9</w:t>
            </w:r>
          </w:p>
        </w:tc>
        <w:tc>
          <w:tcPr>
            <w:tcW w:w="4856" w:type="dxa"/>
            <w:tcBorders>
              <w:tl2br w:val="nil"/>
              <w:tr2bl w:val="nil"/>
            </w:tcBorders>
          </w:tcPr>
          <w:p>
            <w:pPr>
              <w:pStyle w:val="9"/>
              <w:wordWrap w:val="0"/>
              <w:adjustRightInd w:val="0"/>
              <w:snapToGrid w:val="0"/>
              <w:spacing w:line="320" w:lineRule="exact"/>
              <w:rPr>
                <w:rFonts w:hint="eastAsia" w:ascii="宋体" w:hAnsi="宋体" w:cs="宋体"/>
                <w:b/>
                <w:bCs/>
                <w:sz w:val="21"/>
                <w:szCs w:val="21"/>
              </w:rPr>
            </w:pPr>
            <w:r>
              <w:rPr>
                <w:rFonts w:hint="eastAsia" w:ascii="宋体" w:hAnsi="宋体" w:cs="宋体"/>
                <w:b/>
                <w:bCs/>
                <w:sz w:val="21"/>
                <w:szCs w:val="21"/>
              </w:rPr>
              <w:t>（一）评分内容：</w:t>
            </w:r>
          </w:p>
          <w:p>
            <w:pPr>
              <w:pStyle w:val="9"/>
              <w:wordWrap w:val="0"/>
              <w:adjustRightInd w:val="0"/>
              <w:snapToGrid w:val="0"/>
              <w:spacing w:line="320" w:lineRule="exact"/>
              <w:rPr>
                <w:rFonts w:hint="eastAsia" w:ascii="宋体" w:hAnsi="宋体" w:eastAsia="宋体" w:cs="宋体"/>
                <w:b w:val="0"/>
                <w:bCs w:val="0"/>
                <w:sz w:val="21"/>
                <w:szCs w:val="21"/>
                <w:lang w:eastAsia="zh-CN"/>
              </w:rPr>
            </w:pPr>
            <w:r>
              <w:rPr>
                <w:rFonts w:hint="eastAsia" w:ascii="宋体" w:hAnsi="宋体" w:cs="宋体"/>
                <w:b w:val="0"/>
                <w:bCs w:val="0"/>
                <w:sz w:val="21"/>
                <w:szCs w:val="21"/>
              </w:rPr>
              <w:t>投标人拥有物业管理相关计算机软件著作权登记证书</w:t>
            </w:r>
            <w:r>
              <w:rPr>
                <w:rFonts w:hint="eastAsia" w:ascii="宋体" w:hAnsi="宋体" w:cs="宋体"/>
                <w:b w:val="0"/>
                <w:bCs w:val="0"/>
                <w:sz w:val="21"/>
                <w:szCs w:val="21"/>
                <w:lang w:eastAsia="zh-CN"/>
              </w:rPr>
              <w:t>：</w:t>
            </w:r>
          </w:p>
          <w:p>
            <w:pPr>
              <w:pStyle w:val="9"/>
              <w:wordWrap w:val="0"/>
              <w:adjustRightInd w:val="0"/>
              <w:snapToGrid w:val="0"/>
              <w:spacing w:line="320" w:lineRule="exact"/>
              <w:rPr>
                <w:rFonts w:hint="eastAsia" w:ascii="宋体" w:hAnsi="宋体" w:cs="宋体"/>
                <w:b w:val="0"/>
                <w:bCs w:val="0"/>
                <w:sz w:val="21"/>
                <w:szCs w:val="21"/>
              </w:rPr>
            </w:pPr>
            <w:r>
              <w:rPr>
                <w:rFonts w:hint="eastAsia" w:ascii="宋体" w:hAnsi="宋体" w:cs="宋体"/>
                <w:b w:val="0"/>
                <w:bCs w:val="0"/>
                <w:sz w:val="21"/>
                <w:szCs w:val="21"/>
              </w:rPr>
              <w:t>1</w:t>
            </w:r>
            <w:r>
              <w:rPr>
                <w:rFonts w:hint="eastAsia" w:ascii="宋体" w:hAnsi="宋体" w:cs="宋体"/>
                <w:b w:val="0"/>
                <w:bCs w:val="0"/>
                <w:sz w:val="21"/>
                <w:szCs w:val="21"/>
                <w:lang w:eastAsia="zh-CN"/>
              </w:rPr>
              <w:t>、</w:t>
            </w:r>
            <w:r>
              <w:rPr>
                <w:rFonts w:hint="eastAsia" w:ascii="宋体" w:hAnsi="宋体" w:cs="宋体"/>
                <w:b w:val="0"/>
                <w:bCs w:val="0"/>
                <w:sz w:val="21"/>
                <w:szCs w:val="21"/>
              </w:rPr>
              <w:t>人力资源管理系统；</w:t>
            </w:r>
          </w:p>
          <w:p>
            <w:pPr>
              <w:pStyle w:val="9"/>
              <w:wordWrap w:val="0"/>
              <w:adjustRightInd w:val="0"/>
              <w:snapToGrid w:val="0"/>
              <w:spacing w:line="320" w:lineRule="exact"/>
              <w:rPr>
                <w:rFonts w:hint="eastAsia" w:ascii="宋体" w:hAnsi="宋体" w:cs="宋体"/>
                <w:b w:val="0"/>
                <w:bCs w:val="0"/>
                <w:sz w:val="21"/>
                <w:szCs w:val="21"/>
              </w:rPr>
            </w:pPr>
            <w:r>
              <w:rPr>
                <w:rFonts w:hint="eastAsia" w:ascii="宋体" w:hAnsi="宋体" w:cs="宋体"/>
                <w:b w:val="0"/>
                <w:bCs w:val="0"/>
                <w:sz w:val="21"/>
                <w:szCs w:val="21"/>
              </w:rPr>
              <w:t>2</w:t>
            </w:r>
            <w:r>
              <w:rPr>
                <w:rFonts w:hint="eastAsia" w:ascii="宋体" w:hAnsi="宋体" w:cs="宋体"/>
                <w:b w:val="0"/>
                <w:bCs w:val="0"/>
                <w:sz w:val="21"/>
                <w:szCs w:val="21"/>
                <w:lang w:eastAsia="zh-CN"/>
              </w:rPr>
              <w:t>、</w:t>
            </w:r>
            <w:r>
              <w:rPr>
                <w:rFonts w:hint="eastAsia" w:ascii="宋体" w:hAnsi="宋体" w:cs="宋体"/>
                <w:b w:val="0"/>
                <w:bCs w:val="0"/>
                <w:sz w:val="21"/>
                <w:szCs w:val="21"/>
              </w:rPr>
              <w:t>智能化人员轨迹定位追踪系统；</w:t>
            </w:r>
          </w:p>
          <w:p>
            <w:pPr>
              <w:pStyle w:val="9"/>
              <w:wordWrap w:val="0"/>
              <w:adjustRightInd w:val="0"/>
              <w:snapToGrid w:val="0"/>
              <w:spacing w:line="320" w:lineRule="exact"/>
              <w:rPr>
                <w:rFonts w:hint="eastAsia" w:ascii="宋体" w:hAnsi="宋体" w:cs="宋体"/>
                <w:b w:val="0"/>
                <w:bCs w:val="0"/>
                <w:sz w:val="21"/>
                <w:szCs w:val="21"/>
              </w:rPr>
            </w:pPr>
            <w:r>
              <w:rPr>
                <w:rFonts w:hint="eastAsia" w:ascii="宋体" w:hAnsi="宋体" w:cs="宋体"/>
                <w:b w:val="0"/>
                <w:bCs w:val="0"/>
                <w:sz w:val="21"/>
                <w:szCs w:val="21"/>
              </w:rPr>
              <w:t>3</w:t>
            </w:r>
            <w:r>
              <w:rPr>
                <w:rFonts w:hint="eastAsia" w:ascii="宋体" w:hAnsi="宋体" w:cs="宋体"/>
                <w:b w:val="0"/>
                <w:bCs w:val="0"/>
                <w:sz w:val="21"/>
                <w:szCs w:val="21"/>
                <w:lang w:eastAsia="zh-CN"/>
              </w:rPr>
              <w:t>、</w:t>
            </w:r>
            <w:r>
              <w:rPr>
                <w:rFonts w:hint="eastAsia" w:ascii="宋体" w:hAnsi="宋体" w:cs="宋体"/>
                <w:b w:val="0"/>
                <w:bCs w:val="0"/>
                <w:sz w:val="21"/>
                <w:szCs w:val="21"/>
              </w:rPr>
              <w:t>智慧园区管理系统；</w:t>
            </w:r>
          </w:p>
          <w:p>
            <w:pPr>
              <w:pStyle w:val="9"/>
              <w:wordWrap w:val="0"/>
              <w:adjustRightInd w:val="0"/>
              <w:snapToGrid w:val="0"/>
              <w:spacing w:line="320" w:lineRule="exact"/>
              <w:rPr>
                <w:rFonts w:hint="eastAsia" w:ascii="宋体" w:hAnsi="宋体" w:cs="宋体"/>
                <w:b w:val="0"/>
                <w:bCs w:val="0"/>
                <w:sz w:val="21"/>
                <w:szCs w:val="21"/>
              </w:rPr>
            </w:pPr>
            <w:r>
              <w:rPr>
                <w:rFonts w:hint="eastAsia" w:ascii="宋体" w:hAnsi="宋体" w:cs="宋体"/>
                <w:b w:val="0"/>
                <w:bCs w:val="0"/>
                <w:sz w:val="21"/>
                <w:szCs w:val="21"/>
              </w:rPr>
              <w:t>4</w:t>
            </w:r>
            <w:r>
              <w:rPr>
                <w:rFonts w:hint="eastAsia" w:ascii="宋体" w:hAnsi="宋体" w:cs="宋体"/>
                <w:b w:val="0"/>
                <w:bCs w:val="0"/>
                <w:sz w:val="21"/>
                <w:szCs w:val="21"/>
                <w:lang w:eastAsia="zh-CN"/>
              </w:rPr>
              <w:t>、</w:t>
            </w:r>
            <w:r>
              <w:rPr>
                <w:rFonts w:hint="eastAsia" w:ascii="宋体" w:hAnsi="宋体" w:cs="宋体"/>
                <w:b w:val="0"/>
                <w:bCs w:val="0"/>
                <w:sz w:val="21"/>
                <w:szCs w:val="21"/>
              </w:rPr>
              <w:t>智慧楼宇消防应急与联动控制系统；</w:t>
            </w:r>
          </w:p>
          <w:p>
            <w:pPr>
              <w:pStyle w:val="9"/>
              <w:wordWrap w:val="0"/>
              <w:adjustRightInd w:val="0"/>
              <w:snapToGrid w:val="0"/>
              <w:spacing w:line="320" w:lineRule="exact"/>
              <w:rPr>
                <w:rFonts w:hint="eastAsia" w:ascii="宋体" w:hAnsi="宋体" w:cs="宋体"/>
                <w:b w:val="0"/>
                <w:bCs w:val="0"/>
                <w:sz w:val="21"/>
                <w:szCs w:val="21"/>
              </w:rPr>
            </w:pPr>
            <w:r>
              <w:rPr>
                <w:rFonts w:hint="eastAsia" w:ascii="宋体" w:hAnsi="宋体" w:cs="宋体"/>
                <w:b w:val="0"/>
                <w:bCs w:val="0"/>
                <w:sz w:val="21"/>
                <w:szCs w:val="21"/>
              </w:rPr>
              <w:t>5</w:t>
            </w:r>
            <w:r>
              <w:rPr>
                <w:rFonts w:hint="eastAsia" w:ascii="宋体" w:hAnsi="宋体" w:cs="宋体"/>
                <w:b w:val="0"/>
                <w:bCs w:val="0"/>
                <w:sz w:val="21"/>
                <w:szCs w:val="21"/>
                <w:lang w:eastAsia="zh-CN"/>
              </w:rPr>
              <w:t>、</w:t>
            </w:r>
            <w:r>
              <w:rPr>
                <w:rFonts w:hint="eastAsia" w:ascii="宋体" w:hAnsi="宋体" w:cs="宋体"/>
                <w:b w:val="0"/>
                <w:bCs w:val="0"/>
                <w:sz w:val="21"/>
                <w:szCs w:val="21"/>
              </w:rPr>
              <w:t>智能楼宇安防监控一体化软件；</w:t>
            </w:r>
          </w:p>
          <w:p>
            <w:pPr>
              <w:pStyle w:val="9"/>
              <w:wordWrap w:val="0"/>
              <w:adjustRightInd w:val="0"/>
              <w:snapToGrid w:val="0"/>
              <w:spacing w:line="320" w:lineRule="exact"/>
              <w:rPr>
                <w:rFonts w:hint="eastAsia" w:ascii="宋体" w:hAnsi="宋体" w:eastAsia="宋体" w:cs="宋体"/>
                <w:b w:val="0"/>
                <w:bCs w:val="0"/>
                <w:sz w:val="21"/>
                <w:szCs w:val="21"/>
                <w:lang w:val="en-US" w:eastAsia="zh-CN"/>
              </w:rPr>
            </w:pPr>
            <w:r>
              <w:rPr>
                <w:rFonts w:hint="eastAsia" w:ascii="宋体" w:hAnsi="宋体" w:cs="宋体"/>
                <w:b w:val="0"/>
                <w:bCs w:val="0"/>
                <w:sz w:val="21"/>
                <w:szCs w:val="21"/>
              </w:rPr>
              <w:t>6</w:t>
            </w:r>
            <w:r>
              <w:rPr>
                <w:rFonts w:hint="eastAsia" w:ascii="宋体" w:hAnsi="宋体" w:cs="宋体"/>
                <w:b w:val="0"/>
                <w:bCs w:val="0"/>
                <w:sz w:val="21"/>
                <w:szCs w:val="21"/>
                <w:lang w:eastAsia="zh-CN"/>
              </w:rPr>
              <w:t>、</w:t>
            </w:r>
            <w:r>
              <w:rPr>
                <w:rFonts w:hint="eastAsia" w:ascii="宋体" w:hAnsi="宋体" w:cs="宋体"/>
                <w:b w:val="0"/>
                <w:bCs w:val="0"/>
                <w:sz w:val="21"/>
                <w:szCs w:val="21"/>
              </w:rPr>
              <w:t>全流程智能保洁管理系统</w:t>
            </w:r>
            <w:r>
              <w:rPr>
                <w:rFonts w:hint="eastAsia" w:ascii="宋体" w:hAnsi="宋体" w:cs="宋体"/>
                <w:b w:val="0"/>
                <w:bCs w:val="0"/>
                <w:sz w:val="21"/>
                <w:szCs w:val="21"/>
                <w:lang w:eastAsia="zh-CN"/>
              </w:rPr>
              <w:t>。</w:t>
            </w:r>
          </w:p>
          <w:p>
            <w:pPr>
              <w:pStyle w:val="9"/>
              <w:wordWrap w:val="0"/>
              <w:adjustRightInd w:val="0"/>
              <w:snapToGrid w:val="0"/>
              <w:spacing w:line="320" w:lineRule="exact"/>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提供以上全部六项证书得</w:t>
            </w:r>
            <w:r>
              <w:rPr>
                <w:rFonts w:hint="eastAsia" w:ascii="宋体" w:hAnsi="宋体" w:cs="宋体"/>
                <w:b w:val="0"/>
                <w:bCs w:val="0"/>
                <w:sz w:val="21"/>
                <w:szCs w:val="21"/>
                <w:lang w:val="en-US" w:eastAsia="zh-CN"/>
              </w:rPr>
              <w:t>100</w:t>
            </w:r>
            <w:r>
              <w:rPr>
                <w:rFonts w:hint="default" w:ascii="宋体" w:hAnsi="宋体" w:eastAsia="宋体" w:cs="宋体"/>
                <w:b w:val="0"/>
                <w:bCs w:val="0"/>
                <w:sz w:val="21"/>
                <w:szCs w:val="21"/>
                <w:lang w:val="en-US" w:eastAsia="zh-CN"/>
              </w:rPr>
              <w:t>分，提供以上四项及以上证书的得</w:t>
            </w:r>
            <w:r>
              <w:rPr>
                <w:rFonts w:hint="eastAsia" w:ascii="宋体" w:hAnsi="宋体" w:cs="宋体"/>
                <w:b w:val="0"/>
                <w:bCs w:val="0"/>
                <w:sz w:val="21"/>
                <w:szCs w:val="21"/>
                <w:lang w:val="en-US" w:eastAsia="zh-CN"/>
              </w:rPr>
              <w:t>60</w:t>
            </w:r>
            <w:r>
              <w:rPr>
                <w:rFonts w:hint="default" w:ascii="宋体" w:hAnsi="宋体" w:eastAsia="宋体" w:cs="宋体"/>
                <w:b w:val="0"/>
                <w:bCs w:val="0"/>
                <w:sz w:val="21"/>
                <w:szCs w:val="21"/>
                <w:lang w:val="en-US" w:eastAsia="zh-CN"/>
              </w:rPr>
              <w:t>分，其他不得分（同一个软件系统包含以上多种功能的只计算1个有效得分）。本项累计最高得</w:t>
            </w:r>
            <w:r>
              <w:rPr>
                <w:rFonts w:hint="eastAsia" w:ascii="宋体" w:hAnsi="宋体" w:cs="宋体"/>
                <w:b w:val="0"/>
                <w:bCs w:val="0"/>
                <w:sz w:val="21"/>
                <w:szCs w:val="21"/>
                <w:lang w:val="en-US" w:eastAsia="zh-CN"/>
              </w:rPr>
              <w:t>100</w:t>
            </w:r>
            <w:r>
              <w:rPr>
                <w:rFonts w:hint="default" w:ascii="宋体" w:hAnsi="宋体" w:eastAsia="宋体" w:cs="宋体"/>
                <w:b w:val="0"/>
                <w:bCs w:val="0"/>
                <w:sz w:val="21"/>
                <w:szCs w:val="21"/>
                <w:lang w:val="en-US" w:eastAsia="zh-CN"/>
              </w:rPr>
              <w:t>分。</w:t>
            </w:r>
          </w:p>
          <w:p>
            <w:pPr>
              <w:pStyle w:val="9"/>
              <w:wordWrap w:val="0"/>
              <w:adjustRightInd w:val="0"/>
              <w:snapToGrid w:val="0"/>
              <w:spacing w:line="320" w:lineRule="exact"/>
              <w:rPr>
                <w:rFonts w:hint="eastAsia" w:ascii="宋体" w:hAnsi="宋体" w:cs="宋体"/>
                <w:b/>
                <w:bCs/>
                <w:sz w:val="21"/>
                <w:szCs w:val="21"/>
              </w:rPr>
            </w:pPr>
            <w:r>
              <w:rPr>
                <w:rFonts w:hint="eastAsia" w:ascii="宋体" w:hAnsi="宋体" w:cs="宋体"/>
                <w:b/>
                <w:bCs/>
                <w:sz w:val="21"/>
                <w:szCs w:val="21"/>
              </w:rPr>
              <w:t>（二）评分依据：</w:t>
            </w:r>
          </w:p>
          <w:p>
            <w:pPr>
              <w:pStyle w:val="9"/>
              <w:wordWrap w:val="0"/>
              <w:adjustRightInd w:val="0"/>
              <w:snapToGrid w:val="0"/>
              <w:spacing w:line="320" w:lineRule="exact"/>
              <w:rPr>
                <w:rFonts w:hint="eastAsia" w:ascii="宋体" w:hAnsi="宋体" w:cs="宋体"/>
                <w:b w:val="0"/>
                <w:bCs w:val="0"/>
                <w:sz w:val="21"/>
                <w:szCs w:val="21"/>
              </w:rPr>
            </w:pPr>
            <w:r>
              <w:rPr>
                <w:rFonts w:hint="eastAsia" w:ascii="宋体" w:hAnsi="宋体" w:cs="宋体"/>
                <w:b w:val="0"/>
                <w:bCs w:val="0"/>
                <w:sz w:val="21"/>
                <w:szCs w:val="21"/>
              </w:rPr>
              <w:t>1.软著证书需同时提供有效计算机软件著作权登记证书扫描件和中国版权保护中心官方网站（网址：http://www.ccopyright.com.cn/）查询截图，著作权人需为投标人，取得方式为原始取得，否则不得分；</w:t>
            </w:r>
          </w:p>
          <w:p>
            <w:pPr>
              <w:pStyle w:val="9"/>
              <w:wordWrap w:val="0"/>
              <w:adjustRightInd w:val="0"/>
              <w:snapToGrid w:val="0"/>
              <w:spacing w:line="320" w:lineRule="exact"/>
              <w:rPr>
                <w:rFonts w:hint="eastAsia" w:ascii="宋体" w:hAnsi="宋体" w:cs="宋体"/>
                <w:b w:val="0"/>
                <w:bCs w:val="0"/>
                <w:sz w:val="21"/>
                <w:szCs w:val="21"/>
              </w:rPr>
            </w:pPr>
            <w:r>
              <w:rPr>
                <w:rFonts w:hint="eastAsia" w:ascii="宋体" w:hAnsi="宋体" w:cs="宋体"/>
                <w:b w:val="0"/>
                <w:bCs w:val="0"/>
                <w:sz w:val="21"/>
                <w:szCs w:val="21"/>
              </w:rPr>
              <w:t>2.如为租赁，需提供购买或租赁的提供计算机软件著作权登记证书（著作权人须为出售/出租方）和购买合同（或租赁合同）；</w:t>
            </w:r>
          </w:p>
          <w:p>
            <w:pPr>
              <w:pStyle w:val="9"/>
              <w:wordWrap w:val="0"/>
              <w:adjustRightInd w:val="0"/>
              <w:snapToGrid w:val="0"/>
              <w:spacing w:line="320" w:lineRule="exact"/>
              <w:rPr>
                <w:rFonts w:hint="eastAsia" w:ascii="宋体" w:hAnsi="宋体" w:cs="宋体"/>
                <w:b w:val="0"/>
                <w:bCs w:val="0"/>
                <w:sz w:val="21"/>
                <w:szCs w:val="21"/>
              </w:rPr>
            </w:pPr>
            <w:r>
              <w:rPr>
                <w:rFonts w:hint="eastAsia" w:ascii="宋体" w:hAnsi="宋体" w:cs="宋体"/>
                <w:b w:val="0"/>
                <w:bCs w:val="0"/>
                <w:sz w:val="21"/>
                <w:szCs w:val="21"/>
              </w:rPr>
              <w:t>3.如未按要求提供证明材料，或所提供的证明材料未能体现上述评分内容的，视为该证明材料无效。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4</w:t>
            </w:r>
          </w:p>
        </w:tc>
        <w:tc>
          <w:tcPr>
            <w:tcW w:w="3508" w:type="dxa"/>
            <w:gridSpan w:val="3"/>
            <w:tcBorders>
              <w:tl2br w:val="nil"/>
              <w:tr2bl w:val="nil"/>
            </w:tcBorders>
            <w:vAlign w:val="center"/>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诚信情况</w:t>
            </w:r>
          </w:p>
        </w:tc>
        <w:tc>
          <w:tcPr>
            <w:tcW w:w="4856" w:type="dxa"/>
            <w:tcBorders>
              <w:tl2br w:val="nil"/>
              <w:tr2bl w:val="nil"/>
            </w:tcBorders>
          </w:tcPr>
          <w:p>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诚信情况</w:t>
            </w:r>
          </w:p>
        </w:tc>
        <w:tc>
          <w:tcPr>
            <w:tcW w:w="696" w:type="dxa"/>
            <w:tcBorders>
              <w:tl2br w:val="nil"/>
              <w:tr2bl w:val="nil"/>
            </w:tcBorders>
            <w:vAlign w:val="center"/>
          </w:tcPr>
          <w:p>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5</w:t>
            </w:r>
          </w:p>
        </w:tc>
        <w:tc>
          <w:tcPr>
            <w:tcW w:w="4856" w:type="dxa"/>
            <w:tcBorders>
              <w:tl2br w:val="nil"/>
              <w:tr2bl w:val="nil"/>
            </w:tcBorders>
          </w:tcPr>
          <w:p>
            <w:pPr>
              <w:wordWrap w:val="0"/>
              <w:adjustRightInd w:val="0"/>
              <w:snapToGrid w:val="0"/>
              <w:spacing w:line="320" w:lineRule="exact"/>
              <w:rPr>
                <w:rFonts w:ascii="宋体" w:hAnsi="宋体" w:eastAsia="宋体" w:cs="宋体"/>
                <w:szCs w:val="21"/>
                <w:highlight w:val="none"/>
              </w:rPr>
            </w:pPr>
            <w:r>
              <w:rPr>
                <w:rFonts w:hint="eastAsia" w:ascii="宋体" w:hAnsi="宋体" w:eastAsia="宋体" w:cs="宋体"/>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pPr>
              <w:wordWrap w:val="0"/>
              <w:adjustRightInd w:val="0"/>
              <w:snapToGrid w:val="0"/>
              <w:spacing w:line="320" w:lineRule="exact"/>
              <w:rPr>
                <w:rFonts w:ascii="宋体" w:hAnsi="宋体" w:eastAsia="宋体" w:cs="宋体"/>
                <w:szCs w:val="21"/>
                <w:highlight w:val="none"/>
              </w:rPr>
            </w:pPr>
          </w:p>
          <w:p>
            <w:pPr>
              <w:wordWrap w:val="0"/>
              <w:adjustRightInd w:val="0"/>
              <w:snapToGrid w:val="0"/>
              <w:spacing w:line="320" w:lineRule="exact"/>
              <w:rPr>
                <w:rFonts w:ascii="宋体" w:hAnsi="宋体" w:cs="宋体"/>
                <w:color w:val="FF0000"/>
                <w:szCs w:val="21"/>
                <w:highlight w:val="none"/>
              </w:rPr>
            </w:pPr>
            <w:r>
              <w:rPr>
                <w:rFonts w:hint="eastAsia" w:ascii="宋体" w:hAnsi="宋体" w:eastAsia="宋体" w:cs="宋体"/>
                <w:szCs w:val="21"/>
                <w:highlight w:val="none"/>
              </w:rPr>
              <w:t>查询渠道具体包括“信用中国”（www.creditchina.gov.cn）、“中国政府采购网”（www.ccgp.gov.cn）”以及“深圳市政府采购监管网”（http://zfcg.sz.gov.cn）为供应商信用信息的查询渠道，相关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pPr>
              <w:wordWrap w:val="0"/>
              <w:adjustRightInd w:val="0"/>
              <w:snapToGrid w:val="0"/>
              <w:spacing w:line="320" w:lineRule="exact"/>
              <w:rPr>
                <w:rFonts w:ascii="宋体" w:hAnsi="宋体" w:cs="宋体"/>
                <w:szCs w:val="21"/>
                <w:highlight w:val="none"/>
              </w:rPr>
            </w:pPr>
          </w:p>
        </w:tc>
      </w:tr>
    </w:tbl>
    <w:p>
      <w:pPr>
        <w:rPr>
          <w:highlight w:val="none"/>
        </w:rPr>
        <w:sectPr>
          <w:pgSz w:w="11907" w:h="16840"/>
          <w:pgMar w:top="1440" w:right="1417" w:bottom="1440" w:left="1417" w:header="851" w:footer="992" w:gutter="0"/>
          <w:pgBorders>
            <w:top w:val="none" w:sz="0" w:space="0"/>
            <w:left w:val="none" w:sz="0" w:space="0"/>
            <w:bottom w:val="none" w:sz="0" w:space="0"/>
            <w:right w:val="none" w:sz="0" w:space="0"/>
          </w:pgBorders>
          <w:cols w:space="425" w:num="1"/>
          <w:titlePg/>
          <w:docGrid w:linePitch="462" w:charSpace="0"/>
        </w:sectPr>
      </w:pPr>
    </w:p>
    <w:p>
      <w:pPr>
        <w:jc w:val="center"/>
        <w:rPr>
          <w:rFonts w:hint="eastAsia"/>
          <w:b/>
          <w:sz w:val="120"/>
          <w:szCs w:val="120"/>
          <w:highlight w:val="none"/>
        </w:rPr>
      </w:pPr>
    </w:p>
    <w:p>
      <w:pPr>
        <w:jc w:val="center"/>
        <w:rPr>
          <w:rFonts w:hint="eastAsia"/>
          <w:b/>
          <w:sz w:val="120"/>
          <w:szCs w:val="120"/>
          <w:highlight w:val="none"/>
        </w:rPr>
      </w:pPr>
    </w:p>
    <w:p>
      <w:pPr>
        <w:jc w:val="center"/>
        <w:rPr>
          <w:b/>
          <w:sz w:val="120"/>
          <w:szCs w:val="120"/>
          <w:highlight w:val="none"/>
        </w:rPr>
      </w:pPr>
      <w:r>
        <w:rPr>
          <w:rFonts w:hint="eastAsia"/>
          <w:b/>
          <w:sz w:val="120"/>
          <w:szCs w:val="120"/>
          <w:highlight w:val="none"/>
        </w:rPr>
        <w:t>政府采购</w:t>
      </w:r>
    </w:p>
    <w:p>
      <w:pPr>
        <w:jc w:val="center"/>
        <w:rPr>
          <w:b/>
          <w:sz w:val="120"/>
          <w:szCs w:val="120"/>
          <w:highlight w:val="none"/>
        </w:rPr>
      </w:pPr>
      <w:r>
        <w:rPr>
          <w:rFonts w:hint="eastAsia"/>
          <w:b/>
          <w:sz w:val="120"/>
          <w:szCs w:val="120"/>
          <w:highlight w:val="none"/>
        </w:rPr>
        <w:t>招标文件</w:t>
      </w:r>
    </w:p>
    <w:p>
      <w:pPr>
        <w:jc w:val="center"/>
        <w:rPr>
          <w:b/>
          <w:sz w:val="52"/>
          <w:szCs w:val="52"/>
          <w:highlight w:val="none"/>
        </w:rPr>
      </w:pPr>
      <w:r>
        <w:rPr>
          <w:rFonts w:hint="eastAsia"/>
          <w:b/>
          <w:sz w:val="52"/>
          <w:szCs w:val="52"/>
          <w:highlight w:val="none"/>
        </w:rPr>
        <w:t>（服务类）</w:t>
      </w: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bookmarkStart w:id="0" w:name="_Hlk71465316"/>
      <w:r>
        <w:rPr>
          <w:rFonts w:hint="eastAsia"/>
          <w:b/>
          <w:sz w:val="44"/>
          <w:szCs w:val="44"/>
          <w:highlight w:val="none"/>
        </w:rPr>
        <w:t>深圳公共资源交易中心</w:t>
      </w:r>
    </w:p>
    <w:p>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5</w:t>
      </w:r>
      <w:r>
        <w:rPr>
          <w:rFonts w:hint="eastAsia"/>
          <w:b/>
          <w:sz w:val="28"/>
          <w:szCs w:val="28"/>
          <w:highlight w:val="none"/>
        </w:rPr>
        <w:t>）</w:t>
      </w:r>
      <w:bookmarkEnd w:id="0"/>
    </w:p>
    <w:p>
      <w:pPr>
        <w:ind w:firstLine="420" w:firstLineChars="200"/>
        <w:rPr>
          <w:rFonts w:hint="eastAsia"/>
          <w:highlight w:val="none"/>
        </w:rPr>
      </w:pPr>
      <w:r>
        <w:rPr>
          <w:rFonts w:hint="eastAsia"/>
          <w:highlight w:val="none"/>
        </w:rPr>
        <w:br w:type="page"/>
      </w:r>
    </w:p>
    <w:p>
      <w:pPr>
        <w:pStyle w:val="3"/>
        <w:rPr>
          <w:highlight w:val="none"/>
        </w:rPr>
      </w:pPr>
      <w:r>
        <w:rPr>
          <w:rFonts w:hint="eastAsia"/>
          <w:highlight w:val="none"/>
        </w:rPr>
        <w:t>目   录</w:t>
      </w:r>
    </w:p>
    <w:p>
      <w:pPr>
        <w:outlineLvl w:val="0"/>
        <w:rPr>
          <w:b/>
          <w:sz w:val="24"/>
          <w:highlight w:val="none"/>
        </w:rPr>
      </w:pPr>
      <w:r>
        <w:rPr>
          <w:rFonts w:hint="eastAsia"/>
          <w:b/>
          <w:sz w:val="24"/>
          <w:highlight w:val="none"/>
        </w:rPr>
        <w:t>第一册  专用条款</w:t>
      </w:r>
    </w:p>
    <w:p>
      <w:pPr>
        <w:ind w:firstLine="960" w:firstLineChars="400"/>
        <w:rPr>
          <w:sz w:val="24"/>
          <w:highlight w:val="none"/>
        </w:rPr>
      </w:pPr>
      <w:r>
        <w:rPr>
          <w:rFonts w:hint="eastAsia"/>
          <w:sz w:val="24"/>
          <w:highlight w:val="none"/>
        </w:rPr>
        <w:t>关键信息</w:t>
      </w:r>
    </w:p>
    <w:p>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1" w:name="_Hlk71994379"/>
      <w:r>
        <w:rPr>
          <w:rFonts w:hint="eastAsia" w:ascii="宋体" w:hAnsi="宋体"/>
          <w:szCs w:val="21"/>
          <w:highlight w:val="none"/>
        </w:rPr>
        <w:t>对通用条款的补充内容及其他关键信息</w:t>
      </w:r>
      <w:bookmarkEnd w:id="1"/>
    </w:p>
    <w:p>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pPr>
        <w:rPr>
          <w:b/>
          <w:sz w:val="24"/>
          <w:highlight w:val="none"/>
        </w:rPr>
      </w:pPr>
    </w:p>
    <w:p>
      <w:pPr>
        <w:outlineLvl w:val="0"/>
        <w:rPr>
          <w:b/>
          <w:sz w:val="24"/>
          <w:highlight w:val="none"/>
        </w:rPr>
      </w:pPr>
      <w:r>
        <w:rPr>
          <w:rFonts w:hint="eastAsia"/>
          <w:b/>
          <w:sz w:val="24"/>
          <w:highlight w:val="none"/>
        </w:rPr>
        <w:t>第二册  通用条款</w:t>
      </w:r>
    </w:p>
    <w:p>
      <w:pPr>
        <w:ind w:left="630" w:leftChars="300" w:firstLine="411" w:firstLineChars="196"/>
        <w:rPr>
          <w:rFonts w:ascii="宋体" w:hAnsi="宋体"/>
          <w:szCs w:val="21"/>
          <w:highlight w:val="none"/>
        </w:rPr>
      </w:pPr>
      <w:r>
        <w:rPr>
          <w:rFonts w:hint="eastAsia" w:ascii="宋体" w:hAnsi="宋体"/>
          <w:szCs w:val="21"/>
          <w:highlight w:val="none"/>
        </w:rPr>
        <w:t>第一章  总则</w:t>
      </w:r>
    </w:p>
    <w:p>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pPr>
        <w:ind w:left="630" w:leftChars="300" w:firstLine="411" w:firstLineChars="196"/>
        <w:rPr>
          <w:rFonts w:ascii="宋体" w:hAnsi="宋体"/>
          <w:szCs w:val="21"/>
          <w:highlight w:val="none"/>
        </w:rPr>
      </w:pPr>
      <w:r>
        <w:rPr>
          <w:rFonts w:hint="eastAsia" w:ascii="宋体" w:hAnsi="宋体"/>
          <w:szCs w:val="21"/>
          <w:highlight w:val="none"/>
        </w:rPr>
        <w:t>第五章  开标</w:t>
      </w:r>
    </w:p>
    <w:p>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pPr>
        <w:ind w:firstLine="1050" w:firstLineChars="500"/>
        <w:outlineLvl w:val="0"/>
        <w:rPr>
          <w:b/>
          <w:sz w:val="24"/>
          <w:highlight w:val="none"/>
        </w:rPr>
      </w:pPr>
      <w:r>
        <w:rPr>
          <w:rFonts w:hint="eastAsia" w:ascii="宋体" w:hAnsi="宋体"/>
          <w:szCs w:val="21"/>
          <w:highlight w:val="none"/>
        </w:rPr>
        <w:t>第十一章  质疑处理</w:t>
      </w:r>
    </w:p>
    <w:p>
      <w:pPr>
        <w:spacing w:line="360" w:lineRule="auto"/>
        <w:ind w:firstLine="420" w:firstLineChars="200"/>
        <w:jc w:val="left"/>
        <w:rPr>
          <w:rFonts w:ascii="宋体" w:hAnsi="宋体"/>
          <w:szCs w:val="21"/>
          <w:highlight w:val="none"/>
        </w:rPr>
      </w:pPr>
    </w:p>
    <w:p>
      <w:pPr>
        <w:pStyle w:val="3"/>
        <w:rPr>
          <w:sz w:val="24"/>
          <w:highlight w:val="none"/>
        </w:rPr>
      </w:pPr>
      <w:r>
        <w:rPr>
          <w:highlight w:val="none"/>
        </w:rPr>
        <w:br w:type="page"/>
      </w:r>
      <w:bookmarkStart w:id="2" w:name="bt其他资料由投标人自定"/>
      <w:bookmarkEnd w:id="2"/>
      <w:bookmarkStart w:id="3" w:name="bt合同条款"/>
      <w:bookmarkEnd w:id="3"/>
      <w:bookmarkStart w:id="4" w:name="bt商务标投标文件格式"/>
      <w:bookmarkEnd w:id="4"/>
      <w:bookmarkStart w:id="5" w:name="bt项目管理班子配备情况"/>
      <w:bookmarkEnd w:id="5"/>
      <w:bookmarkStart w:id="6" w:name="bt投标报价汇总表"/>
      <w:bookmarkEnd w:id="6"/>
      <w:bookmarkStart w:id="7" w:name="bt合同条款及格式"/>
      <w:bookmarkEnd w:id="7"/>
      <w:bookmarkStart w:id="8" w:name="bt其他资料2"/>
      <w:bookmarkEnd w:id="8"/>
      <w:bookmarkStart w:id="9" w:name="bt投标人须知"/>
      <w:bookmarkEnd w:id="9"/>
      <w:bookmarkStart w:id="10" w:name="bt本工程承诺书"/>
      <w:bookmarkEnd w:id="10"/>
      <w:bookmarkStart w:id="11" w:name="bt投标函"/>
      <w:bookmarkEnd w:id="11"/>
      <w:bookmarkStart w:id="12" w:name="bt投标人情况介绍"/>
      <w:bookmarkEnd w:id="12"/>
      <w:bookmarkStart w:id="13" w:name="合同格式"/>
      <w:bookmarkEnd w:id="13"/>
      <w:bookmarkStart w:id="14" w:name="bt投标文件签署授权委托书"/>
      <w:bookmarkEnd w:id="14"/>
      <w:bookmarkStart w:id="15" w:name="bt合同格式"/>
      <w:bookmarkEnd w:id="15"/>
      <w:bookmarkStart w:id="16" w:name="bt技术标投标文件格式"/>
      <w:bookmarkEnd w:id="16"/>
      <w:bookmarkStart w:id="17" w:name="bt说明"/>
      <w:bookmarkEnd w:id="17"/>
      <w:bookmarkStart w:id="18" w:name="bt开标一览表"/>
      <w:bookmarkEnd w:id="18"/>
      <w:r>
        <w:rPr>
          <w:rFonts w:hint="eastAsia"/>
          <w:highlight w:val="none"/>
        </w:rPr>
        <w:t>第一册</w:t>
      </w:r>
      <w:r>
        <w:rPr>
          <w:rFonts w:hint="eastAsia"/>
          <w:highlight w:val="none"/>
          <w:lang w:val="en-US" w:eastAsia="zh-CN"/>
        </w:rPr>
        <w:t xml:space="preserve">  </w:t>
      </w:r>
      <w:r>
        <w:rPr>
          <w:rFonts w:hint="eastAsia"/>
          <w:highlight w:val="none"/>
        </w:rPr>
        <w:t>专用条款</w:t>
      </w:r>
    </w:p>
    <w:p>
      <w:pPr>
        <w:pStyle w:val="4"/>
        <w:rPr>
          <w:rFonts w:hint="eastAsia"/>
          <w:sz w:val="28"/>
          <w:szCs w:val="28"/>
          <w:highlight w:val="none"/>
        </w:rPr>
      </w:pPr>
      <w:r>
        <w:rPr>
          <w:rFonts w:hint="eastAsia"/>
          <w:sz w:val="28"/>
          <w:szCs w:val="28"/>
          <w:highlight w:val="none"/>
        </w:rPr>
        <w:t>第一章  招标公告</w:t>
      </w:r>
    </w:p>
    <w:tbl>
      <w:tblPr>
        <w:tblStyle w:val="43"/>
        <w:tblW w:w="8147" w:type="dxa"/>
        <w:jc w:val="center"/>
        <w:tblCellSpacing w:w="0" w:type="dxa"/>
        <w:tblLayout w:type="fixed"/>
        <w:tblCellMar>
          <w:top w:w="0" w:type="dxa"/>
          <w:left w:w="0" w:type="dxa"/>
          <w:bottom w:w="0" w:type="dxa"/>
          <w:right w:w="0" w:type="dxa"/>
        </w:tblCellMar>
      </w:tblPr>
      <w:tblGrid>
        <w:gridCol w:w="8147"/>
      </w:tblGrid>
      <w:tr>
        <w:tblPrEx>
          <w:tblCellMar>
            <w:top w:w="0" w:type="dxa"/>
            <w:left w:w="0" w:type="dxa"/>
            <w:bottom w:w="0" w:type="dxa"/>
            <w:right w:w="0" w:type="dxa"/>
          </w:tblCellMar>
        </w:tblPrEx>
        <w:trPr>
          <w:tblCellSpacing w:w="0" w:type="dxa"/>
          <w:jc w:val="center"/>
        </w:trPr>
        <w:tc>
          <w:tcPr>
            <w:tcW w:w="8147" w:type="dxa"/>
            <w:vAlign w:val="center"/>
          </w:tcPr>
          <w:tbl>
            <w:tblPr>
              <w:tblStyle w:val="43"/>
              <w:tblW w:w="8147" w:type="dxa"/>
              <w:jc w:val="center"/>
              <w:tblCellSpacing w:w="0" w:type="dxa"/>
              <w:shd w:val="clear" w:color="auto" w:fill="auto"/>
              <w:tblLayout w:type="fixed"/>
              <w:tblCellMar>
                <w:top w:w="30" w:type="dxa"/>
                <w:left w:w="30" w:type="dxa"/>
                <w:bottom w:w="30" w:type="dxa"/>
                <w:right w:w="30" w:type="dxa"/>
              </w:tblCellMar>
            </w:tblPr>
            <w:tblGrid>
              <w:gridCol w:w="8147"/>
            </w:tblGrid>
            <w:tr>
              <w:tblPrEx>
                <w:shd w:val="clear" w:color="auto" w:fill="auto"/>
                <w:tblCellMar>
                  <w:top w:w="30" w:type="dxa"/>
                  <w:left w:w="30" w:type="dxa"/>
                  <w:bottom w:w="30" w:type="dxa"/>
                  <w:right w:w="30" w:type="dxa"/>
                </w:tblCellMar>
              </w:tblPrEx>
              <w:trPr>
                <w:tblCellSpacing w:w="0" w:type="dxa"/>
                <w:jc w:val="center"/>
              </w:trPr>
              <w:tc>
                <w:tcPr>
                  <w:tcW w:w="8147" w:type="dxa"/>
                  <w:shd w:val="clear" w:color="auto" w:fill="auto"/>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pPr>
                    <w:ind w:firstLine="630" w:firstLineChars="300"/>
                    <w:rPr>
                      <w:rFonts w:hint="eastAsia" w:ascii="宋体" w:hAnsi="宋体" w:eastAsia="宋体" w:cs="宋体"/>
                      <w:color w:val="FF0000"/>
                      <w:kern w:val="0"/>
                      <w:szCs w:val="21"/>
                      <w:highlight w:val="none"/>
                      <w:lang w:eastAsia="zh-CN"/>
                    </w:rPr>
                  </w:pPr>
                  <w:r>
                    <w:rPr>
                      <w:rFonts w:hint="eastAsia" w:ascii="宋体" w:hAnsi="宋体" w:eastAsia="宋体" w:cs="宋体"/>
                      <w:color w:val="FF0000"/>
                      <w:kern w:val="0"/>
                      <w:szCs w:val="21"/>
                      <w:highlight w:val="none"/>
                      <w:lang w:eastAsia="zh-CN"/>
                    </w:rPr>
                    <w:t>1.投标人具有以下其中一项资质：</w:t>
                  </w:r>
                </w:p>
                <w:p>
                  <w:pPr>
                    <w:ind w:firstLine="630" w:firstLineChars="300"/>
                    <w:rPr>
                      <w:rFonts w:hint="eastAsia" w:ascii="宋体" w:hAnsi="宋体" w:eastAsia="宋体" w:cs="宋体"/>
                      <w:color w:val="FF0000"/>
                      <w:kern w:val="0"/>
                      <w:szCs w:val="21"/>
                      <w:highlight w:val="none"/>
                      <w:lang w:eastAsia="zh-CN"/>
                    </w:rPr>
                  </w:pPr>
                  <w:r>
                    <w:rPr>
                      <w:rFonts w:hint="eastAsia" w:ascii="宋体" w:hAnsi="宋体" w:eastAsia="宋体" w:cs="宋体"/>
                      <w:color w:val="FF0000"/>
                      <w:kern w:val="0"/>
                      <w:szCs w:val="21"/>
                      <w:highlight w:val="none"/>
                      <w:lang w:eastAsia="zh-CN"/>
                    </w:rPr>
                    <w:t>（1）具有独立法人资格或是具有独立承担民事责任能力的其它组织（提供营业执照或事业单位法人证书等证明资料扫描件）；</w:t>
                  </w:r>
                </w:p>
                <w:p>
                  <w:pPr>
                    <w:ind w:firstLine="630" w:firstLineChars="300"/>
                    <w:rPr>
                      <w:rFonts w:hint="eastAsia" w:ascii="宋体" w:hAnsi="宋体" w:eastAsia="宋体" w:cs="宋体"/>
                      <w:kern w:val="0"/>
                      <w:szCs w:val="21"/>
                      <w:highlight w:val="none"/>
                      <w:lang w:eastAsia="zh-CN"/>
                    </w:rPr>
                  </w:pPr>
                  <w:r>
                    <w:rPr>
                      <w:rFonts w:hint="eastAsia" w:ascii="宋体" w:hAnsi="宋体" w:eastAsia="宋体" w:cs="宋体"/>
                      <w:color w:val="FF0000"/>
                      <w:kern w:val="0"/>
                      <w:szCs w:val="21"/>
                      <w:highlight w:val="none"/>
                      <w:lang w:eastAsia="zh-CN"/>
                    </w:rPr>
                    <w:t>（2）总公司或者分公司只允许一家投标，不允许同时参与本项目投标，以分公司名义参与投标的，须提供总公司出具的愿为其参与本项目投标的行为以及履约等行为承担民事责任的加盖总公司公章的授权函，以及提供总、分公司的营业执照扫描件；</w:t>
                  </w:r>
                </w:p>
                <w:p>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不接受投标人选用进口产品参与投标，详见招标文件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w:t>
                  </w:r>
                </w:p>
                <w:p>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pPr>
                    <w:pStyle w:val="2"/>
                    <w:ind w:firstLine="420" w:firstLineChars="200"/>
                    <w:rPr>
                      <w:rFonts w:hint="default"/>
                      <w:highlight w:val="none"/>
                      <w:lang w:val="en-US" w:eastAsia="zh-CN"/>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w:t>
                  </w:r>
                  <w:r>
                    <w:rPr>
                      <w:rFonts w:hint="eastAsia" w:ascii="宋体" w:hAnsi="宋体" w:cs="宋体"/>
                      <w:kern w:val="0"/>
                      <w:szCs w:val="21"/>
                      <w:highlight w:val="none"/>
                      <w:lang w:val="en-US" w:eastAsia="zh-CN"/>
                    </w:rPr>
                    <w:t>否。</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10.本项目允许投标人将电梯维保工作分包：</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（1）若不分包，投标人须具有符合《中华人民共和国特种设备安全法》的电梯维修资质，提供证书扫描件。</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（2）若投标人选择分包的，分包承担主体不多于1家，且分包承担主体不得再次分包：</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①须提供《分包意向协议》（格式自拟，须载明分包承担主体且加盖投标人与各分包承担主体的公章）；</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cs="宋体"/>
                      <w:color w:val="FF0000"/>
                      <w:kern w:val="0"/>
                      <w:szCs w:val="21"/>
                      <w:highlight w:val="none"/>
                      <w:lang w:val="en-US" w:eastAsia="zh-CN"/>
                    </w:rPr>
                    <w:t>②分包承担主体须具有符合《中华人民共和国特种设备安全法》的电梯维修资质，提供证书扫描件。</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查询</w:t>
                  </w:r>
                  <w:r>
                    <w:rPr>
                      <w:rFonts w:hint="eastAsia" w:ascii="宋体" w:hAnsi="宋体" w:cs="宋体"/>
                      <w:kern w:val="0"/>
                      <w:szCs w:val="21"/>
                      <w:highlight w:val="none"/>
                    </w:rPr>
                    <w:t>“信用服务”栏的“重大税收违法失信主体”“失信被执行人”</w:t>
                  </w:r>
                  <w:r>
                    <w:rPr>
                      <w:rFonts w:hint="eastAsia" w:ascii="宋体" w:hAnsi="宋体" w:cs="宋体"/>
                      <w:kern w:val="0"/>
                      <w:szCs w:val="21"/>
                      <w:highlight w:val="none"/>
                      <w:lang w:val="en-US" w:eastAsia="zh-CN"/>
                    </w:rPr>
                    <w:t>或者下载信用信息报告）</w:t>
                  </w:r>
                  <w:r>
                    <w:rPr>
                      <w:rFonts w:hint="eastAsia" w:ascii="宋体" w:hAnsi="宋体" w:cs="宋体"/>
                      <w:kern w:val="0"/>
                      <w:szCs w:val="21"/>
                      <w:highlight w:val="none"/>
                    </w:rPr>
                    <w:t>，“中国政府采购网”（www.ccgp.gov.cn）中的“政府采购严重违法失信行为记录名单”，以及“深圳市政府采购监管网”（http://zfcg.sz.gov.cn）为供应商信用信息的查询渠道，相关信息以开标当日的查询结果为准；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ascii="宋体" w:hAnsi="宋体"/>
                      <w:highlight w:val="none"/>
                    </w:rPr>
                  </w:pPr>
                  <w:r>
                    <w:rPr>
                      <w:rFonts w:hint="eastAsia" w:ascii="宋体" w:hAnsi="宋体"/>
                      <w:highlight w:val="none"/>
                    </w:rPr>
                    <w:t>（2）供应商投标（上传投标文件）必须先行办理注册手续。</w:t>
                  </w:r>
                </w:p>
                <w:p>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pPr>
              <w:rPr>
                <w:rFonts w:ascii="宋体" w:hAnsi="宋体" w:cs="宋体"/>
                <w:sz w:val="24"/>
                <w:highlight w:val="none"/>
              </w:rPr>
            </w:pPr>
          </w:p>
        </w:tc>
      </w:tr>
    </w:tbl>
    <w:p>
      <w:pPr>
        <w:rPr>
          <w:highlight w:val="none"/>
        </w:rPr>
      </w:pPr>
      <w:r>
        <w:rPr>
          <w:rFonts w:hint="eastAsia"/>
          <w:highlight w:val="none"/>
        </w:rPr>
        <w:br w:type="page"/>
      </w:r>
    </w:p>
    <w:p>
      <w:pPr>
        <w:pStyle w:val="4"/>
        <w:rPr>
          <w:sz w:val="28"/>
          <w:szCs w:val="28"/>
          <w:highlight w:val="none"/>
        </w:rPr>
      </w:pPr>
      <w:r>
        <w:rPr>
          <w:rFonts w:hint="eastAsia"/>
          <w:sz w:val="28"/>
          <w:szCs w:val="28"/>
          <w:highlight w:val="none"/>
        </w:rPr>
        <w:t>第二章 对通用条款的补充内容及其他关键信息</w:t>
      </w:r>
    </w:p>
    <w:p>
      <w:pPr>
        <w:pStyle w:val="4"/>
        <w:spacing w:before="120" w:beforeLines="50" w:after="120" w:afterLines="50"/>
        <w:rPr>
          <w:rFonts w:hint="eastAsia"/>
          <w:szCs w:val="21"/>
          <w:highlight w:val="none"/>
        </w:rPr>
      </w:pPr>
      <w:bookmarkStart w:id="19" w:name="_Toc101074876"/>
      <w:bookmarkStart w:id="20" w:name="_Toc60560625"/>
      <w:bookmarkStart w:id="21" w:name="_Toc100052364"/>
      <w:bookmarkStart w:id="22" w:name="_Toc73521547"/>
      <w:bookmarkStart w:id="23" w:name="_Toc60631620"/>
      <w:bookmarkStart w:id="24" w:name="_Toc73517639"/>
      <w:bookmarkStart w:id="25" w:name="_Toc73521635"/>
      <w:bookmarkStart w:id="26" w:name="_Toc73518117"/>
      <w:r>
        <w:rPr>
          <w:rFonts w:hint="eastAsia"/>
          <w:szCs w:val="24"/>
          <w:highlight w:val="none"/>
        </w:rPr>
        <w:t>一、对通用条款的补充内容</w:t>
      </w:r>
      <w:bookmarkEnd w:id="19"/>
      <w:bookmarkEnd w:id="20"/>
      <w:bookmarkEnd w:id="21"/>
      <w:bookmarkEnd w:id="22"/>
      <w:bookmarkEnd w:id="23"/>
      <w:bookmarkEnd w:id="24"/>
      <w:bookmarkEnd w:id="25"/>
      <w:bookmarkEnd w:id="26"/>
    </w:p>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pPr>
              <w:jc w:val="center"/>
              <w:rPr>
                <w:rFonts w:ascii="宋体" w:hAnsi="宋体"/>
                <w:b/>
                <w:bCs/>
                <w:highlight w:val="none"/>
              </w:rPr>
            </w:pPr>
            <w:r>
              <w:rPr>
                <w:rFonts w:hint="eastAsia" w:ascii="宋体" w:hAnsi="宋体"/>
                <w:b/>
                <w:bCs/>
                <w:highlight w:val="none"/>
              </w:rPr>
              <w:t>涉及事项</w:t>
            </w:r>
          </w:p>
        </w:tc>
        <w:tc>
          <w:tcPr>
            <w:tcW w:w="4980" w:type="dxa"/>
            <w:vAlign w:val="center"/>
          </w:tcPr>
          <w:p>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pPr>
              <w:jc w:val="center"/>
              <w:rPr>
                <w:highlight w:val="none"/>
              </w:rPr>
            </w:pPr>
            <w:r>
              <w:rPr>
                <w:rFonts w:hint="eastAsia"/>
                <w:highlight w:val="none"/>
              </w:rPr>
              <w:t>采购人</w:t>
            </w:r>
          </w:p>
        </w:tc>
        <w:tc>
          <w:tcPr>
            <w:tcW w:w="4980" w:type="dxa"/>
            <w:vAlign w:val="center"/>
          </w:tcPr>
          <w:p>
            <w:pPr>
              <w:spacing w:line="300" w:lineRule="exact"/>
              <w:jc w:val="center"/>
              <w:rPr>
                <w:rFonts w:ascii="宋体" w:hAnsi="宋体"/>
                <w:highlight w:val="none"/>
              </w:rPr>
            </w:pPr>
            <w:r>
              <w:rPr>
                <w:rFonts w:hint="eastAsia" w:ascii="宋体" w:hAnsi="宋体"/>
                <w:highlight w:val="none"/>
              </w:rPr>
              <w:t>深圳市福田区北京大学附属中学深圳学校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pPr>
              <w:jc w:val="center"/>
              <w:rPr>
                <w:rFonts w:ascii="宋体" w:hAnsi="宋体"/>
                <w:highlight w:val="none"/>
              </w:rPr>
            </w:pPr>
            <w:r>
              <w:rPr>
                <w:rFonts w:hint="eastAsia" w:ascii="宋体" w:hAnsi="宋体"/>
                <w:highlight w:val="none"/>
              </w:rPr>
              <w:t>政府集中采购机构</w:t>
            </w:r>
          </w:p>
        </w:tc>
        <w:tc>
          <w:tcPr>
            <w:tcW w:w="4980"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9</w:t>
            </w:r>
          </w:p>
        </w:tc>
        <w:tc>
          <w:tcPr>
            <w:tcW w:w="2409" w:type="dxa"/>
            <w:vAlign w:val="center"/>
          </w:tcPr>
          <w:p>
            <w:pPr>
              <w:jc w:val="center"/>
              <w:rPr>
                <w:rFonts w:ascii="宋体" w:hAnsi="宋体"/>
                <w:highlight w:val="none"/>
              </w:rPr>
            </w:pPr>
            <w:r>
              <w:rPr>
                <w:rFonts w:hint="eastAsia" w:ascii="宋体" w:hAnsi="宋体"/>
                <w:highlight w:val="none"/>
              </w:rPr>
              <w:t>踏勘现场</w:t>
            </w:r>
          </w:p>
        </w:tc>
        <w:tc>
          <w:tcPr>
            <w:tcW w:w="4980"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pPr>
              <w:jc w:val="center"/>
              <w:rPr>
                <w:rFonts w:ascii="宋体" w:hAnsi="宋体"/>
                <w:highlight w:val="none"/>
              </w:rPr>
            </w:pPr>
            <w:r>
              <w:rPr>
                <w:rFonts w:hint="eastAsia" w:ascii="宋体" w:hAnsi="宋体"/>
                <w:highlight w:val="none"/>
              </w:rPr>
              <w:t>标前会议</w:t>
            </w:r>
          </w:p>
        </w:tc>
        <w:tc>
          <w:tcPr>
            <w:tcW w:w="4980"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pPr>
              <w:jc w:val="center"/>
              <w:rPr>
                <w:rFonts w:ascii="宋体" w:hAnsi="宋体"/>
                <w:highlight w:val="none"/>
              </w:rPr>
            </w:pPr>
            <w:r>
              <w:rPr>
                <w:rFonts w:hint="eastAsia" w:ascii="宋体" w:hAnsi="宋体"/>
                <w:highlight w:val="none"/>
              </w:rPr>
              <w:t>招标文件的澄清和修改</w:t>
            </w:r>
          </w:p>
        </w:tc>
        <w:tc>
          <w:tcPr>
            <w:tcW w:w="4980" w:type="dxa"/>
            <w:vAlign w:val="center"/>
          </w:tcPr>
          <w:p>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pPr>
              <w:jc w:val="center"/>
              <w:rPr>
                <w:rFonts w:ascii="宋体" w:hAnsi="宋体"/>
                <w:highlight w:val="none"/>
              </w:rPr>
            </w:pPr>
            <w:r>
              <w:rPr>
                <w:rFonts w:hint="eastAsia" w:ascii="宋体" w:hAnsi="宋体"/>
                <w:highlight w:val="none"/>
              </w:rPr>
              <w:t>投标有效期</w:t>
            </w:r>
          </w:p>
        </w:tc>
        <w:tc>
          <w:tcPr>
            <w:tcW w:w="4980" w:type="dxa"/>
            <w:vAlign w:val="center"/>
          </w:tcPr>
          <w:p>
            <w:pPr>
              <w:spacing w:line="300" w:lineRule="exact"/>
              <w:jc w:val="center"/>
              <w:rPr>
                <w:rFonts w:ascii="宋体" w:hAnsi="宋体"/>
                <w:highlight w:val="none"/>
              </w:rPr>
            </w:pPr>
            <w:r>
              <w:rPr>
                <w:rFonts w:hint="eastAsia" w:ascii="宋体" w:hAnsi="宋体" w:cs="宋体"/>
                <w:szCs w:val="21"/>
                <w:highlight w:val="none"/>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pPr>
              <w:jc w:val="center"/>
              <w:rPr>
                <w:rFonts w:ascii="宋体" w:hAnsi="宋体"/>
                <w:highlight w:val="none"/>
              </w:rPr>
            </w:pPr>
            <w:r>
              <w:rPr>
                <w:rFonts w:hint="eastAsia" w:ascii="宋体" w:hAnsi="宋体"/>
                <w:highlight w:val="none"/>
              </w:rPr>
              <w:t>投标人的替代方案</w:t>
            </w:r>
          </w:p>
        </w:tc>
        <w:tc>
          <w:tcPr>
            <w:tcW w:w="4980" w:type="dxa"/>
            <w:vAlign w:val="center"/>
          </w:tcPr>
          <w:p>
            <w:pPr>
              <w:spacing w:line="300" w:lineRule="exact"/>
              <w:jc w:val="center"/>
              <w:rPr>
                <w:rFonts w:ascii="宋体" w:hAnsi="宋体"/>
                <w:highlight w:val="none"/>
              </w:rPr>
            </w:pPr>
            <w:r>
              <w:rPr>
                <w:rFonts w:hint="eastAsia" w:ascii="宋体" w:hAnsi="宋体" w:cs="宋体"/>
                <w:szCs w:val="21"/>
                <w:highlight w:val="none"/>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pPr>
              <w:jc w:val="center"/>
              <w:rPr>
                <w:rFonts w:ascii="宋体" w:hAnsi="宋体"/>
                <w:highlight w:val="none"/>
              </w:rPr>
            </w:pPr>
            <w:r>
              <w:rPr>
                <w:rFonts w:hint="eastAsia" w:ascii="宋体" w:hAnsi="宋体"/>
                <w:highlight w:val="none"/>
              </w:rPr>
              <w:t>投标文件的大小</w:t>
            </w:r>
          </w:p>
        </w:tc>
        <w:tc>
          <w:tcPr>
            <w:tcW w:w="4980" w:type="dxa"/>
            <w:vAlign w:val="center"/>
          </w:tcPr>
          <w:p>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pPr>
              <w:jc w:val="center"/>
              <w:rPr>
                <w:rFonts w:ascii="宋体" w:hAnsi="宋体"/>
                <w:highlight w:val="none"/>
              </w:rPr>
            </w:pPr>
            <w:r>
              <w:rPr>
                <w:rFonts w:hint="eastAsia" w:ascii="宋体" w:hAnsi="宋体"/>
                <w:highlight w:val="none"/>
              </w:rPr>
              <w:t>样品、现场演示、方案讲解</w:t>
            </w:r>
          </w:p>
        </w:tc>
        <w:tc>
          <w:tcPr>
            <w:tcW w:w="4980" w:type="dxa"/>
            <w:vAlign w:val="center"/>
          </w:tcPr>
          <w:p>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pPr>
              <w:jc w:val="center"/>
              <w:rPr>
                <w:rFonts w:ascii="宋体" w:hAnsi="宋体"/>
                <w:highlight w:val="none"/>
              </w:rPr>
            </w:pPr>
            <w:r>
              <w:rPr>
                <w:rFonts w:hint="eastAsia" w:ascii="宋体" w:hAnsi="宋体"/>
                <w:highlight w:val="none"/>
              </w:rPr>
              <w:t>评审方法</w:t>
            </w:r>
          </w:p>
        </w:tc>
        <w:tc>
          <w:tcPr>
            <w:tcW w:w="4980" w:type="dxa"/>
            <w:vAlign w:val="center"/>
          </w:tcPr>
          <w:p>
            <w:pPr>
              <w:spacing w:line="300" w:lineRule="exact"/>
              <w:jc w:val="left"/>
              <w:rPr>
                <w:rFonts w:ascii="宋体" w:hAnsi="宋体"/>
                <w:highlight w:val="none"/>
              </w:rPr>
            </w:pPr>
            <w:r>
              <w:rPr>
                <w:rFonts w:hint="eastAsia" w:ascii="宋体" w:hAnsi="宋体" w:cs="宋体"/>
                <w:bCs/>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Merge w:val="restart"/>
            <w:vAlign w:val="center"/>
          </w:tcPr>
          <w:p>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pPr>
              <w:jc w:val="center"/>
              <w:rPr>
                <w:rFonts w:ascii="宋体" w:hAnsi="宋体"/>
                <w:highlight w:val="none"/>
              </w:rPr>
            </w:pPr>
            <w:r>
              <w:rPr>
                <w:rFonts w:hint="eastAsia" w:ascii="宋体" w:hAnsi="宋体"/>
                <w:highlight w:val="none"/>
              </w:rPr>
              <w:t>定标方法</w:t>
            </w:r>
          </w:p>
        </w:tc>
        <w:tc>
          <w:tcPr>
            <w:tcW w:w="4980" w:type="dxa"/>
            <w:vAlign w:val="center"/>
          </w:tcPr>
          <w:p>
            <w:pPr>
              <w:spacing w:line="300" w:lineRule="exact"/>
              <w:jc w:val="left"/>
              <w:rPr>
                <w:rFonts w:ascii="宋体" w:hAnsi="宋体"/>
                <w:highlight w:val="none"/>
              </w:rPr>
            </w:pPr>
            <w:r>
              <w:rPr>
                <w:rFonts w:hint="eastAsia" w:ascii="宋体" w:hAnsi="宋体" w:eastAsia="宋体" w:cs="宋体"/>
                <w:bCs/>
                <w:szCs w:val="21"/>
                <w:highlight w:val="none"/>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pPr>
              <w:jc w:val="center"/>
              <w:rPr>
                <w:rFonts w:ascii="宋体" w:hAnsi="宋体"/>
                <w:highlight w:val="none"/>
              </w:rPr>
            </w:pPr>
            <w:r>
              <w:rPr>
                <w:rFonts w:hint="eastAsia" w:ascii="宋体" w:hAnsi="宋体"/>
                <w:highlight w:val="none"/>
              </w:rPr>
              <w:t>履约担保</w:t>
            </w:r>
          </w:p>
        </w:tc>
        <w:tc>
          <w:tcPr>
            <w:tcW w:w="4980" w:type="dxa"/>
            <w:vAlign w:val="center"/>
          </w:tcPr>
          <w:p>
            <w:pPr>
              <w:spacing w:line="300" w:lineRule="exact"/>
              <w:jc w:val="left"/>
              <w:rPr>
                <w:rFonts w:ascii="宋体" w:hAnsi="宋体"/>
                <w:highlight w:val="none"/>
              </w:rPr>
            </w:pPr>
            <w:r>
              <w:rPr>
                <w:rFonts w:hint="eastAsia" w:ascii="宋体" w:hAnsi="宋体" w:cs="宋体"/>
                <w:bCs/>
                <w:szCs w:val="21"/>
                <w:highlight w:val="none"/>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w:t>
            </w:r>
            <w:bookmarkStart w:id="97" w:name="_GoBack"/>
            <w:bookmarkEnd w:id="97"/>
            <w:r>
              <w:rPr>
                <w:rFonts w:hint="eastAsia" w:ascii="宋体" w:hAnsi="宋体" w:cs="宋体"/>
                <w:color w:val="0000FF"/>
                <w:highlight w:val="none"/>
              </w:rPr>
              <w:t>者未在规定时间内答复的，可以在答复期满后7个工作日内向采购人投诉。</w:t>
            </w:r>
          </w:p>
        </w:tc>
      </w:tr>
    </w:tbl>
    <w:p>
      <w:pPr>
        <w:pStyle w:val="10"/>
        <w:rPr>
          <w:rFonts w:hint="eastAsia"/>
          <w:highlight w:val="none"/>
        </w:rPr>
      </w:pPr>
    </w:p>
    <w:p>
      <w:pPr>
        <w:rPr>
          <w:b/>
          <w:highlight w:val="none"/>
        </w:rPr>
      </w:pPr>
      <w:r>
        <w:rPr>
          <w:rFonts w:hint="eastAsia"/>
          <w:szCs w:val="21"/>
          <w:highlight w:val="none"/>
        </w:rPr>
        <w:t>备注：本表是通用条款相关条款的补充和明确，如与通用条款内容相冲突的，以本表为准。</w:t>
      </w:r>
    </w:p>
    <w:p>
      <w:pPr>
        <w:rPr>
          <w:b/>
          <w:highlight w:val="none"/>
        </w:rPr>
      </w:pPr>
    </w:p>
    <w:p>
      <w:pPr>
        <w:pStyle w:val="4"/>
        <w:spacing w:before="120" w:beforeLines="50" w:after="120" w:afterLines="50"/>
        <w:rPr>
          <w:szCs w:val="24"/>
          <w:highlight w:val="none"/>
        </w:rPr>
      </w:pPr>
      <w:r>
        <w:rPr>
          <w:rFonts w:hint="eastAsia"/>
          <w:szCs w:val="24"/>
          <w:highlight w:val="none"/>
        </w:rPr>
        <w:t>二、其他关键信息</w:t>
      </w:r>
    </w:p>
    <w:p>
      <w:pPr>
        <w:ind w:firstLine="422" w:firstLineChars="200"/>
        <w:rPr>
          <w:b/>
          <w:bCs/>
          <w:highlight w:val="none"/>
        </w:rPr>
      </w:pPr>
      <w:r>
        <w:rPr>
          <w:rFonts w:hint="eastAsia"/>
          <w:b/>
          <w:bCs/>
          <w:highlight w:val="none"/>
        </w:rPr>
        <w:t>（一）与“对通用条款的补充内容”章节相关的事项</w:t>
      </w:r>
    </w:p>
    <w:p>
      <w:pPr>
        <w:spacing w:line="276" w:lineRule="auto"/>
        <w:ind w:firstLine="422" w:firstLineChars="200"/>
        <w:jc w:val="left"/>
        <w:rPr>
          <w:rFonts w:asciiTheme="minorEastAsia" w:hAnsiTheme="minorEastAsia" w:eastAsiaTheme="minorEastAsia"/>
          <w:b/>
          <w:kern w:val="0"/>
          <w:szCs w:val="20"/>
          <w:highlight w:val="none"/>
        </w:rPr>
      </w:pPr>
      <w:bookmarkStart w:id="27"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27"/>
    <w:p>
      <w:pPr>
        <w:jc w:val="center"/>
        <w:rPr>
          <w:highlight w:val="yellow"/>
        </w:rPr>
      </w:pPr>
      <w:r>
        <w:rPr>
          <w:rFonts w:hint="eastAsia"/>
          <w:b/>
          <w:highlight w:val="none"/>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rPr>
                <w:highlight w:val="none"/>
              </w:rPr>
            </w:pPr>
            <w:r>
              <w:rPr>
                <w:rFonts w:hint="eastAsia"/>
                <w:highlight w:val="none"/>
              </w:rPr>
              <w:t>评标方法</w:t>
            </w:r>
          </w:p>
        </w:tc>
        <w:tc>
          <w:tcPr>
            <w:tcW w:w="2660" w:type="pct"/>
          </w:tcPr>
          <w:p>
            <w:pPr>
              <w:jc w:val="center"/>
              <w:rPr>
                <w:rFonts w:hint="default" w:eastAsia="宋体"/>
                <w:highlight w:val="none"/>
                <w:lang w:val="en-US" w:eastAsia="zh-CN"/>
              </w:rPr>
            </w:pPr>
            <w:r>
              <w:rPr>
                <w:rFonts w:hint="eastAsia"/>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rPr>
                <w:highlight w:val="none"/>
              </w:rPr>
            </w:pPr>
            <w:r>
              <w:rPr>
                <w:rFonts w:hint="eastAsia"/>
                <w:highlight w:val="none"/>
              </w:rPr>
              <w:t>候选中标供应商家数</w:t>
            </w:r>
          </w:p>
        </w:tc>
        <w:tc>
          <w:tcPr>
            <w:tcW w:w="2660" w:type="pct"/>
          </w:tcPr>
          <w:p>
            <w:pPr>
              <w:jc w:val="center"/>
              <w:rPr>
                <w:rFonts w:hint="eastAsia" w:eastAsia="宋体"/>
                <w:highlight w:val="none"/>
                <w:lang w:val="en-US" w:eastAsia="zh-CN"/>
              </w:rPr>
            </w:pPr>
            <w:r>
              <w:rPr>
                <w:rFonts w:hint="eastAsia"/>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rPr>
                <w:highlight w:val="none"/>
              </w:rPr>
            </w:pPr>
            <w:r>
              <w:rPr>
                <w:rFonts w:hint="eastAsia"/>
                <w:highlight w:val="none"/>
              </w:rPr>
              <w:t>中标供应商家数</w:t>
            </w:r>
          </w:p>
        </w:tc>
        <w:tc>
          <w:tcPr>
            <w:tcW w:w="2660" w:type="pct"/>
          </w:tcPr>
          <w:p>
            <w:pPr>
              <w:jc w:val="center"/>
              <w:rPr>
                <w:highlight w:val="none"/>
              </w:rPr>
            </w:pPr>
            <w:r>
              <w:rPr>
                <w:rFonts w:hint="eastAsia"/>
                <w:highlight w:val="none"/>
              </w:rPr>
              <w:t>1</w:t>
            </w:r>
          </w:p>
        </w:tc>
      </w:tr>
    </w:tbl>
    <w:p>
      <w:pPr>
        <w:pStyle w:val="10"/>
        <w:rPr>
          <w:highlight w:val="none"/>
        </w:rPr>
      </w:pPr>
    </w:p>
    <w:p>
      <w:pPr>
        <w:ind w:firstLine="422" w:firstLineChars="200"/>
        <w:rPr>
          <w:rFonts w:ascii="宋体" w:hAnsi="宋体"/>
          <w:b/>
          <w:highlight w:val="none"/>
        </w:rPr>
      </w:pPr>
    </w:p>
    <w:p>
      <w:pPr>
        <w:ind w:firstLine="422" w:firstLineChars="200"/>
        <w:rPr>
          <w:rFonts w:hint="eastAsia"/>
          <w:b/>
          <w:highlight w:val="none"/>
        </w:rPr>
      </w:pPr>
    </w:p>
    <w:p>
      <w:pPr>
        <w:rPr>
          <w:rFonts w:hint="eastAsia"/>
          <w:b/>
          <w:highlight w:val="none"/>
        </w:rPr>
      </w:pPr>
    </w:p>
    <w:p>
      <w:pPr>
        <w:ind w:firstLine="422" w:firstLineChars="200"/>
        <w:rPr>
          <w:rFonts w:hint="eastAsia"/>
          <w:b/>
          <w:highlight w:val="none"/>
        </w:rPr>
      </w:pPr>
    </w:p>
    <w:p>
      <w:pPr>
        <w:rPr>
          <w:rFonts w:hint="eastAsia"/>
          <w:b/>
          <w:highlight w:val="none"/>
        </w:rPr>
      </w:pPr>
      <w:r>
        <w:rPr>
          <w:rFonts w:hint="eastAsia"/>
          <w:b/>
          <w:highlight w:val="none"/>
        </w:rPr>
        <w:br w:type="page"/>
      </w:r>
    </w:p>
    <w:p>
      <w:pPr>
        <w:ind w:firstLine="422" w:firstLineChars="200"/>
        <w:rPr>
          <w:b/>
          <w:highlight w:val="none"/>
        </w:rPr>
      </w:pPr>
      <w:r>
        <w:rPr>
          <w:rFonts w:hint="eastAsia"/>
          <w:b/>
          <w:highlight w:val="none"/>
        </w:rPr>
        <w:t>（二）其他事项</w:t>
      </w:r>
    </w:p>
    <w:p>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：供应商</w:t>
      </w:r>
      <w:r>
        <w:rPr>
          <w:rFonts w:hint="eastAsia"/>
          <w:highlight w:val="none"/>
        </w:rPr>
        <w:t>提供的服务全部由优惠主体承接，则对其投标总价给予</w:t>
      </w:r>
      <w:r>
        <w:rPr>
          <w:rFonts w:hint="eastAsia"/>
          <w:color w:val="FF0000"/>
          <w:highlight w:val="none"/>
          <w:u w:val="single"/>
          <w:lang w:val="en-US" w:eastAsia="zh-CN"/>
        </w:rPr>
        <w:t>10</w:t>
      </w:r>
      <w:r>
        <w:rPr>
          <w:color w:val="FF0000"/>
          <w:highlight w:val="none"/>
          <w:u w:val="single"/>
        </w:rPr>
        <w:t>%</w:t>
      </w:r>
      <w:r>
        <w:rPr>
          <w:rFonts w:hint="eastAsia" w:eastAsia="宋体"/>
          <w:color w:val="000000" w:themeColor="text1"/>
          <w:highlight w:val="none"/>
          <w:u w:val="none"/>
          <w:lang w:eastAsia="zh-CN"/>
          <w14:textFill>
            <w14:solidFill>
              <w14:schemeClr w14:val="tx1"/>
            </w14:solidFill>
          </w14:textFill>
        </w:rPr>
        <w:t>（</w:t>
      </w:r>
      <w:r>
        <w:rPr>
          <w:rFonts w:hint="eastAsia" w:ascii="Times New Roman" w:eastAsia="宋体"/>
          <w:color w:val="000000" w:themeColor="text1"/>
          <w:highlight w:val="none"/>
          <w:u w:val="none"/>
          <w:lang w:val="en-US" w:eastAsia="zh-CN"/>
          <w14:textFill>
            <w14:solidFill>
              <w14:schemeClr w14:val="tx1"/>
            </w14:solidFill>
          </w14:textFill>
        </w:rPr>
        <w:t>10%~20%</w:t>
      </w:r>
      <w:r>
        <w:rPr>
          <w:rFonts w:hint="eastAsia" w:eastAsia="宋体"/>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28"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highlight w:val="none"/>
        </w:rPr>
        <w:t>《中小企业声明函》中相关企业</w:t>
      </w:r>
      <w:r>
        <w:rPr>
          <w:rFonts w:hint="eastAsia" w:ascii="宋体" w:hAnsi="宋体" w:cs="宋体"/>
          <w:b/>
          <w:bCs/>
          <w:color w:val="FF0000"/>
          <w:sz w:val="21"/>
          <w:szCs w:val="21"/>
          <w:highlight w:val="none"/>
          <w:lang w:eastAsia="zh-CN"/>
        </w:rPr>
        <w:t>（服务承接商）</w:t>
      </w:r>
      <w:r>
        <w:rPr>
          <w:rFonts w:ascii="宋体" w:hAnsi="宋体" w:eastAsia="宋体" w:cs="宋体"/>
          <w:b/>
          <w:bCs/>
          <w:color w:val="FF0000"/>
          <w:sz w:val="21"/>
          <w:szCs w:val="21"/>
          <w:highlight w:val="none"/>
        </w:rPr>
        <w:t>所属行业应当与采购标的所属行业相一致</w:t>
      </w:r>
      <w:r>
        <w:rPr>
          <w:rFonts w:hint="eastAsia" w:eastAsia="宋体"/>
          <w:b/>
          <w:bCs/>
          <w:color w:val="FF0000"/>
          <w:highlight w:val="none"/>
          <w:lang w:eastAsia="zh-CN"/>
        </w:rPr>
        <w:t>，</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w:t>
      </w:r>
      <w:r>
        <w:rPr>
          <w:rFonts w:hint="eastAsia"/>
          <w:b/>
          <w:bCs/>
          <w:color w:val="FF0000"/>
          <w:highlight w:val="none"/>
          <w:lang w:val="en-US" w:eastAsia="zh-CN"/>
        </w:rPr>
        <w:t>服务需求</w:t>
      </w:r>
      <w:r>
        <w:rPr>
          <w:rFonts w:hint="eastAsia" w:ascii="Times New Roman" w:eastAsia="宋体"/>
          <w:b/>
          <w:bCs/>
          <w:color w:val="FF0000"/>
          <w:highlight w:val="none"/>
          <w:lang w:val="en-US" w:eastAsia="zh-CN"/>
        </w:rPr>
        <w:t>明细”的“标的所属行业”一栏为准</w:t>
      </w:r>
      <w:r>
        <w:rPr>
          <w:rFonts w:ascii="宋体" w:hAnsi="宋体" w:eastAsia="宋体" w:cs="宋体"/>
          <w:b/>
          <w:bCs/>
          <w:color w:val="FF0000"/>
          <w:sz w:val="21"/>
          <w:szCs w:val="21"/>
          <w:highlight w:val="none"/>
        </w:rPr>
        <w:t>。</w:t>
      </w:r>
      <w:bookmarkEnd w:id="28"/>
    </w:p>
    <w:p>
      <w:pPr>
        <w:ind w:firstLine="420" w:firstLineChars="200"/>
        <w:rPr>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pPr>
        <w:ind w:firstLine="422" w:firstLineChars="200"/>
        <w:rPr>
          <w:rFonts w:hint="eastAsia"/>
          <w:b/>
          <w:bCs/>
          <w:highlight w:val="none"/>
        </w:rPr>
      </w:pPr>
    </w:p>
    <w:p>
      <w:pPr>
        <w:ind w:firstLine="422" w:firstLineChars="200"/>
        <w:rPr>
          <w:rFonts w:hint="eastAsia"/>
          <w:b/>
          <w:bCs/>
          <w:highlight w:val="none"/>
        </w:rPr>
      </w:pPr>
    </w:p>
    <w:p>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服务</w:t>
      </w:r>
      <w:r>
        <w:rPr>
          <w:rFonts w:hint="eastAsia"/>
          <w:b/>
          <w:color w:val="FF0000"/>
          <w:highlight w:val="none"/>
        </w:rPr>
        <w:t>采购：</w:t>
      </w:r>
    </w:p>
    <w:p>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pPr>
              <w:widowControl/>
              <w:spacing w:line="360" w:lineRule="auto"/>
              <w:jc w:val="center"/>
              <w:rPr>
                <w:highlight w:val="none"/>
              </w:rPr>
            </w:pPr>
            <w:r>
              <w:rPr>
                <w:rFonts w:hint="eastAsia"/>
                <w:highlight w:val="none"/>
              </w:rPr>
              <w:t>货物采购</w:t>
            </w:r>
          </w:p>
        </w:tc>
        <w:tc>
          <w:tcPr>
            <w:tcW w:w="1799" w:type="dxa"/>
            <w:vAlign w:val="center"/>
          </w:tcPr>
          <w:p>
            <w:pPr>
              <w:widowControl/>
              <w:spacing w:line="360" w:lineRule="auto"/>
              <w:jc w:val="center"/>
              <w:rPr>
                <w:highlight w:val="none"/>
              </w:rPr>
            </w:pPr>
            <w:r>
              <w:rPr>
                <w:rFonts w:hint="eastAsia"/>
                <w:highlight w:val="none"/>
              </w:rPr>
              <w:t>服务采购</w:t>
            </w:r>
          </w:p>
        </w:tc>
        <w:tc>
          <w:tcPr>
            <w:tcW w:w="1799" w:type="dxa"/>
            <w:vAlign w:val="center"/>
          </w:tcPr>
          <w:p>
            <w:pPr>
              <w:widowControl/>
              <w:spacing w:line="360" w:lineRule="auto"/>
              <w:jc w:val="center"/>
              <w:rPr>
                <w:highlight w:val="none"/>
              </w:rPr>
            </w:pPr>
            <w:r>
              <w:rPr>
                <w:rFonts w:hint="eastAsia"/>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100万元以下</w:t>
            </w:r>
          </w:p>
        </w:tc>
        <w:tc>
          <w:tcPr>
            <w:tcW w:w="1799" w:type="dxa"/>
            <w:vAlign w:val="center"/>
          </w:tcPr>
          <w:p>
            <w:pPr>
              <w:widowControl/>
              <w:spacing w:line="360" w:lineRule="auto"/>
              <w:jc w:val="center"/>
              <w:rPr>
                <w:highlight w:val="none"/>
              </w:rPr>
            </w:pPr>
            <w:r>
              <w:rPr>
                <w:rFonts w:hint="eastAsia"/>
                <w:highlight w:val="none"/>
              </w:rPr>
              <w:t>1.5%</w:t>
            </w:r>
          </w:p>
        </w:tc>
        <w:tc>
          <w:tcPr>
            <w:tcW w:w="1799" w:type="dxa"/>
            <w:vAlign w:val="center"/>
          </w:tcPr>
          <w:p>
            <w:pPr>
              <w:widowControl/>
              <w:spacing w:line="360" w:lineRule="auto"/>
              <w:jc w:val="center"/>
              <w:rPr>
                <w:highlight w:val="none"/>
              </w:rPr>
            </w:pPr>
            <w:r>
              <w:rPr>
                <w:rFonts w:hint="eastAsia"/>
                <w:highlight w:val="none"/>
              </w:rPr>
              <w:t>1.5%</w:t>
            </w:r>
          </w:p>
        </w:tc>
        <w:tc>
          <w:tcPr>
            <w:tcW w:w="1799" w:type="dxa"/>
            <w:vAlign w:val="center"/>
          </w:tcPr>
          <w:p>
            <w:pPr>
              <w:widowControl/>
              <w:spacing w:line="360" w:lineRule="auto"/>
              <w:jc w:val="center"/>
              <w:rPr>
                <w:highlight w:val="none"/>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100万元（含）-500万元</w:t>
            </w:r>
          </w:p>
        </w:tc>
        <w:tc>
          <w:tcPr>
            <w:tcW w:w="1799" w:type="dxa"/>
            <w:vAlign w:val="center"/>
          </w:tcPr>
          <w:p>
            <w:pPr>
              <w:widowControl/>
              <w:spacing w:line="360" w:lineRule="auto"/>
              <w:jc w:val="center"/>
              <w:rPr>
                <w:highlight w:val="none"/>
              </w:rPr>
            </w:pPr>
            <w:r>
              <w:rPr>
                <w:rFonts w:hint="eastAsia"/>
                <w:highlight w:val="none"/>
              </w:rPr>
              <w:t>1.1%</w:t>
            </w:r>
          </w:p>
        </w:tc>
        <w:tc>
          <w:tcPr>
            <w:tcW w:w="1799" w:type="dxa"/>
            <w:vAlign w:val="center"/>
          </w:tcPr>
          <w:p>
            <w:pPr>
              <w:widowControl/>
              <w:spacing w:line="360" w:lineRule="auto"/>
              <w:jc w:val="center"/>
              <w:rPr>
                <w:highlight w:val="none"/>
              </w:rPr>
            </w:pPr>
            <w:r>
              <w:rPr>
                <w:rFonts w:hint="eastAsia"/>
                <w:highlight w:val="none"/>
              </w:rPr>
              <w:t>0.8%</w:t>
            </w:r>
          </w:p>
        </w:tc>
        <w:tc>
          <w:tcPr>
            <w:tcW w:w="1799" w:type="dxa"/>
            <w:vAlign w:val="center"/>
          </w:tcPr>
          <w:p>
            <w:pPr>
              <w:widowControl/>
              <w:spacing w:line="360" w:lineRule="auto"/>
              <w:jc w:val="center"/>
              <w:rPr>
                <w:highlight w:val="none"/>
              </w:rPr>
            </w:pPr>
            <w:r>
              <w:rPr>
                <w:rFonts w:hint="eastAsia"/>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500万元（含）-1000万元</w:t>
            </w:r>
          </w:p>
        </w:tc>
        <w:tc>
          <w:tcPr>
            <w:tcW w:w="1799" w:type="dxa"/>
            <w:vAlign w:val="center"/>
          </w:tcPr>
          <w:p>
            <w:pPr>
              <w:widowControl/>
              <w:spacing w:line="360" w:lineRule="auto"/>
              <w:jc w:val="center"/>
              <w:rPr>
                <w:highlight w:val="none"/>
              </w:rPr>
            </w:pPr>
            <w:r>
              <w:rPr>
                <w:rFonts w:hint="eastAsia"/>
                <w:highlight w:val="none"/>
              </w:rPr>
              <w:t>0.8%</w:t>
            </w:r>
          </w:p>
        </w:tc>
        <w:tc>
          <w:tcPr>
            <w:tcW w:w="1799" w:type="dxa"/>
            <w:vAlign w:val="center"/>
          </w:tcPr>
          <w:p>
            <w:pPr>
              <w:widowControl/>
              <w:spacing w:line="360" w:lineRule="auto"/>
              <w:jc w:val="center"/>
              <w:rPr>
                <w:highlight w:val="none"/>
              </w:rPr>
            </w:pPr>
            <w:r>
              <w:rPr>
                <w:rFonts w:hint="eastAsia"/>
                <w:highlight w:val="none"/>
              </w:rPr>
              <w:t>0.45%</w:t>
            </w:r>
          </w:p>
        </w:tc>
        <w:tc>
          <w:tcPr>
            <w:tcW w:w="1799" w:type="dxa"/>
            <w:vAlign w:val="center"/>
          </w:tcPr>
          <w:p>
            <w:pPr>
              <w:widowControl/>
              <w:spacing w:line="360" w:lineRule="auto"/>
              <w:jc w:val="center"/>
              <w:rPr>
                <w:highlight w:val="none"/>
              </w:rPr>
            </w:pPr>
            <w:r>
              <w:rPr>
                <w:rFonts w:hint="eastAsia"/>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1000万元（含）-5000万元</w:t>
            </w:r>
          </w:p>
        </w:tc>
        <w:tc>
          <w:tcPr>
            <w:tcW w:w="1799" w:type="dxa"/>
            <w:vAlign w:val="center"/>
          </w:tcPr>
          <w:p>
            <w:pPr>
              <w:widowControl/>
              <w:spacing w:line="360" w:lineRule="auto"/>
              <w:jc w:val="center"/>
              <w:rPr>
                <w:highlight w:val="none"/>
              </w:rPr>
            </w:pPr>
            <w:r>
              <w:rPr>
                <w:rFonts w:hint="eastAsia"/>
                <w:highlight w:val="none"/>
              </w:rPr>
              <w:t>0.5%</w:t>
            </w:r>
          </w:p>
        </w:tc>
        <w:tc>
          <w:tcPr>
            <w:tcW w:w="1799" w:type="dxa"/>
            <w:vAlign w:val="center"/>
          </w:tcPr>
          <w:p>
            <w:pPr>
              <w:widowControl/>
              <w:spacing w:line="360" w:lineRule="auto"/>
              <w:jc w:val="center"/>
              <w:rPr>
                <w:highlight w:val="none"/>
              </w:rPr>
            </w:pPr>
            <w:r>
              <w:rPr>
                <w:rFonts w:hint="eastAsia"/>
                <w:highlight w:val="none"/>
              </w:rPr>
              <w:t>0.25%</w:t>
            </w:r>
          </w:p>
        </w:tc>
        <w:tc>
          <w:tcPr>
            <w:tcW w:w="1799" w:type="dxa"/>
            <w:vAlign w:val="center"/>
          </w:tcPr>
          <w:p>
            <w:pPr>
              <w:widowControl/>
              <w:spacing w:line="360" w:lineRule="auto"/>
              <w:jc w:val="center"/>
              <w:rPr>
                <w:highlight w:val="none"/>
              </w:rPr>
            </w:pPr>
            <w:r>
              <w:rPr>
                <w:rFonts w:hint="eastAsia"/>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5000万元（含）-1亿元</w:t>
            </w:r>
          </w:p>
        </w:tc>
        <w:tc>
          <w:tcPr>
            <w:tcW w:w="1799" w:type="dxa"/>
            <w:vAlign w:val="center"/>
          </w:tcPr>
          <w:p>
            <w:pPr>
              <w:widowControl/>
              <w:spacing w:line="360" w:lineRule="auto"/>
              <w:jc w:val="center"/>
              <w:rPr>
                <w:highlight w:val="none"/>
              </w:rPr>
            </w:pPr>
            <w:r>
              <w:rPr>
                <w:rFonts w:hint="eastAsia"/>
                <w:highlight w:val="none"/>
              </w:rPr>
              <w:t>0.25%</w:t>
            </w:r>
          </w:p>
        </w:tc>
        <w:tc>
          <w:tcPr>
            <w:tcW w:w="1799" w:type="dxa"/>
            <w:vAlign w:val="center"/>
          </w:tcPr>
          <w:p>
            <w:pPr>
              <w:widowControl/>
              <w:spacing w:line="360" w:lineRule="auto"/>
              <w:jc w:val="center"/>
              <w:rPr>
                <w:highlight w:val="none"/>
              </w:rPr>
            </w:pPr>
            <w:r>
              <w:rPr>
                <w:rFonts w:hint="eastAsia"/>
                <w:highlight w:val="none"/>
              </w:rPr>
              <w:t>0.1%</w:t>
            </w:r>
          </w:p>
        </w:tc>
        <w:tc>
          <w:tcPr>
            <w:tcW w:w="1799" w:type="dxa"/>
            <w:vAlign w:val="center"/>
          </w:tcPr>
          <w:p>
            <w:pPr>
              <w:widowControl/>
              <w:spacing w:line="360" w:lineRule="auto"/>
              <w:jc w:val="center"/>
              <w:rPr>
                <w:highlight w:val="none"/>
              </w:rPr>
            </w:pPr>
            <w:r>
              <w:rPr>
                <w:rFonts w:hint="eastAsia"/>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1亿元（含）-5亿元</w:t>
            </w:r>
          </w:p>
        </w:tc>
        <w:tc>
          <w:tcPr>
            <w:tcW w:w="1799" w:type="dxa"/>
            <w:vAlign w:val="center"/>
          </w:tcPr>
          <w:p>
            <w:pPr>
              <w:widowControl/>
              <w:spacing w:line="360" w:lineRule="auto"/>
              <w:jc w:val="center"/>
              <w:rPr>
                <w:highlight w:val="none"/>
              </w:rPr>
            </w:pPr>
            <w:r>
              <w:rPr>
                <w:rFonts w:hint="eastAsia"/>
                <w:highlight w:val="none"/>
              </w:rPr>
              <w:t>0.05%</w:t>
            </w:r>
          </w:p>
        </w:tc>
        <w:tc>
          <w:tcPr>
            <w:tcW w:w="1799" w:type="dxa"/>
            <w:vAlign w:val="center"/>
          </w:tcPr>
          <w:p>
            <w:pPr>
              <w:widowControl/>
              <w:spacing w:line="360" w:lineRule="auto"/>
              <w:jc w:val="center"/>
              <w:rPr>
                <w:highlight w:val="none"/>
              </w:rPr>
            </w:pPr>
            <w:r>
              <w:rPr>
                <w:rFonts w:hint="eastAsia"/>
                <w:highlight w:val="none"/>
              </w:rPr>
              <w:t>0.05%</w:t>
            </w:r>
          </w:p>
        </w:tc>
        <w:tc>
          <w:tcPr>
            <w:tcW w:w="1799" w:type="dxa"/>
            <w:vAlign w:val="center"/>
          </w:tcPr>
          <w:p>
            <w:pPr>
              <w:widowControl/>
              <w:spacing w:line="360" w:lineRule="auto"/>
              <w:jc w:val="center"/>
              <w:rPr>
                <w:highlight w:val="none"/>
              </w:rPr>
            </w:pPr>
            <w:r>
              <w:rPr>
                <w:rFonts w:hint="eastAsia"/>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5亿元（含）-10亿元</w:t>
            </w:r>
          </w:p>
        </w:tc>
        <w:tc>
          <w:tcPr>
            <w:tcW w:w="1799" w:type="dxa"/>
            <w:vAlign w:val="center"/>
          </w:tcPr>
          <w:p>
            <w:pPr>
              <w:widowControl/>
              <w:spacing w:line="360" w:lineRule="auto"/>
              <w:jc w:val="center"/>
              <w:rPr>
                <w:highlight w:val="none"/>
              </w:rPr>
            </w:pPr>
            <w:r>
              <w:rPr>
                <w:rFonts w:hint="eastAsia"/>
                <w:highlight w:val="none"/>
              </w:rPr>
              <w:t>0.035%</w:t>
            </w:r>
          </w:p>
        </w:tc>
        <w:tc>
          <w:tcPr>
            <w:tcW w:w="1799" w:type="dxa"/>
            <w:vAlign w:val="center"/>
          </w:tcPr>
          <w:p>
            <w:pPr>
              <w:widowControl/>
              <w:spacing w:line="360" w:lineRule="auto"/>
              <w:jc w:val="center"/>
              <w:rPr>
                <w:highlight w:val="none"/>
              </w:rPr>
            </w:pPr>
            <w:r>
              <w:rPr>
                <w:rFonts w:hint="eastAsia"/>
                <w:highlight w:val="none"/>
              </w:rPr>
              <w:t>0.035%</w:t>
            </w:r>
          </w:p>
        </w:tc>
        <w:tc>
          <w:tcPr>
            <w:tcW w:w="1799" w:type="dxa"/>
            <w:vAlign w:val="center"/>
          </w:tcPr>
          <w:p>
            <w:pPr>
              <w:widowControl/>
              <w:spacing w:line="360" w:lineRule="auto"/>
              <w:jc w:val="center"/>
              <w:rPr>
                <w:highlight w:val="none"/>
              </w:rPr>
            </w:pPr>
            <w:r>
              <w:rPr>
                <w:rFonts w:hint="eastAsia"/>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rPr>
                <w:highlight w:val="none"/>
              </w:rPr>
            </w:pPr>
            <w:r>
              <w:rPr>
                <w:rFonts w:hint="eastAsia"/>
                <w:highlight w:val="none"/>
              </w:rPr>
              <w:t>10亿元（含）-50亿元</w:t>
            </w:r>
          </w:p>
        </w:tc>
        <w:tc>
          <w:tcPr>
            <w:tcW w:w="1799" w:type="dxa"/>
            <w:vAlign w:val="center"/>
          </w:tcPr>
          <w:p>
            <w:pPr>
              <w:widowControl/>
              <w:spacing w:line="360" w:lineRule="auto"/>
              <w:jc w:val="center"/>
              <w:rPr>
                <w:highlight w:val="none"/>
              </w:rPr>
            </w:pPr>
            <w:r>
              <w:rPr>
                <w:rFonts w:hint="eastAsia"/>
                <w:highlight w:val="none"/>
              </w:rPr>
              <w:t>0.008%</w:t>
            </w:r>
          </w:p>
        </w:tc>
        <w:tc>
          <w:tcPr>
            <w:tcW w:w="1799" w:type="dxa"/>
            <w:vAlign w:val="center"/>
          </w:tcPr>
          <w:p>
            <w:pPr>
              <w:widowControl/>
              <w:spacing w:line="360" w:lineRule="auto"/>
              <w:jc w:val="center"/>
              <w:rPr>
                <w:highlight w:val="none"/>
              </w:rPr>
            </w:pPr>
            <w:r>
              <w:rPr>
                <w:rFonts w:hint="eastAsia"/>
                <w:highlight w:val="none"/>
              </w:rPr>
              <w:t>0.008%</w:t>
            </w:r>
          </w:p>
        </w:tc>
        <w:tc>
          <w:tcPr>
            <w:tcW w:w="1799" w:type="dxa"/>
            <w:vAlign w:val="center"/>
          </w:tcPr>
          <w:p>
            <w:pPr>
              <w:widowControl/>
              <w:spacing w:line="360" w:lineRule="auto"/>
              <w:jc w:val="center"/>
              <w:rPr>
                <w:highlight w:val="none"/>
              </w:rPr>
            </w:pPr>
            <w:r>
              <w:rPr>
                <w:rFonts w:hint="eastAsia"/>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50亿元（含）-100亿元</w:t>
            </w:r>
          </w:p>
        </w:tc>
        <w:tc>
          <w:tcPr>
            <w:tcW w:w="1799" w:type="dxa"/>
            <w:vAlign w:val="center"/>
          </w:tcPr>
          <w:p>
            <w:pPr>
              <w:widowControl/>
              <w:spacing w:line="360" w:lineRule="auto"/>
              <w:jc w:val="center"/>
              <w:rPr>
                <w:highlight w:val="none"/>
              </w:rPr>
            </w:pPr>
            <w:r>
              <w:rPr>
                <w:rFonts w:hint="eastAsia"/>
                <w:highlight w:val="none"/>
              </w:rPr>
              <w:t>0.006%</w:t>
            </w:r>
          </w:p>
        </w:tc>
        <w:tc>
          <w:tcPr>
            <w:tcW w:w="1799" w:type="dxa"/>
            <w:vAlign w:val="center"/>
          </w:tcPr>
          <w:p>
            <w:pPr>
              <w:widowControl/>
              <w:spacing w:line="360" w:lineRule="auto"/>
              <w:jc w:val="center"/>
              <w:rPr>
                <w:highlight w:val="none"/>
              </w:rPr>
            </w:pPr>
            <w:r>
              <w:rPr>
                <w:rFonts w:hint="eastAsia"/>
                <w:highlight w:val="none"/>
              </w:rPr>
              <w:t>0.006%</w:t>
            </w:r>
          </w:p>
        </w:tc>
        <w:tc>
          <w:tcPr>
            <w:tcW w:w="1799" w:type="dxa"/>
            <w:vAlign w:val="center"/>
          </w:tcPr>
          <w:p>
            <w:pPr>
              <w:widowControl/>
              <w:spacing w:line="360" w:lineRule="auto"/>
              <w:jc w:val="center"/>
              <w:rPr>
                <w:highlight w:val="none"/>
              </w:rPr>
            </w:pPr>
            <w:r>
              <w:rPr>
                <w:rFonts w:hint="eastAsia"/>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100亿元（含）以上</w:t>
            </w:r>
          </w:p>
        </w:tc>
        <w:tc>
          <w:tcPr>
            <w:tcW w:w="1799" w:type="dxa"/>
            <w:vAlign w:val="center"/>
          </w:tcPr>
          <w:p>
            <w:pPr>
              <w:widowControl/>
              <w:spacing w:line="360" w:lineRule="auto"/>
              <w:jc w:val="center"/>
              <w:rPr>
                <w:highlight w:val="none"/>
              </w:rPr>
            </w:pPr>
            <w:r>
              <w:rPr>
                <w:rFonts w:hint="eastAsia"/>
                <w:highlight w:val="none"/>
              </w:rPr>
              <w:t>0.004%</w:t>
            </w:r>
          </w:p>
        </w:tc>
        <w:tc>
          <w:tcPr>
            <w:tcW w:w="1799" w:type="dxa"/>
            <w:vAlign w:val="center"/>
          </w:tcPr>
          <w:p>
            <w:pPr>
              <w:widowControl/>
              <w:spacing w:line="360" w:lineRule="auto"/>
              <w:jc w:val="center"/>
              <w:rPr>
                <w:highlight w:val="none"/>
              </w:rPr>
            </w:pPr>
            <w:r>
              <w:rPr>
                <w:rFonts w:hint="eastAsia"/>
                <w:highlight w:val="none"/>
              </w:rPr>
              <w:t>0.004%</w:t>
            </w:r>
          </w:p>
        </w:tc>
        <w:tc>
          <w:tcPr>
            <w:tcW w:w="1799" w:type="dxa"/>
            <w:vAlign w:val="center"/>
          </w:tcPr>
          <w:p>
            <w:pPr>
              <w:widowControl/>
              <w:spacing w:line="360" w:lineRule="auto"/>
              <w:jc w:val="center"/>
              <w:rPr>
                <w:highlight w:val="none"/>
              </w:rPr>
            </w:pPr>
            <w:r>
              <w:rPr>
                <w:rFonts w:hint="eastAsia"/>
                <w:highlight w:val="none"/>
              </w:rPr>
              <w:t>0.004%</w:t>
            </w:r>
          </w:p>
        </w:tc>
      </w:tr>
    </w:tbl>
    <w:p>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pPr>
        <w:ind w:firstLine="420" w:firstLineChars="200"/>
        <w:rPr>
          <w:highlight w:val="none"/>
        </w:rPr>
      </w:pPr>
    </w:p>
    <w:p>
      <w:pPr>
        <w:ind w:firstLine="420" w:firstLineChars="200"/>
        <w:rPr>
          <w:highlight w:val="none"/>
        </w:rPr>
      </w:pPr>
      <w:r>
        <w:rPr>
          <w:rFonts w:hint="eastAsia"/>
          <w:highlight w:val="none"/>
        </w:rPr>
        <w:t>如某货物采购项目，中标（成交）金额为600万元，总共交纳的代理服务费的具体计算过程如下：</w:t>
      </w:r>
    </w:p>
    <w:p>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pPr>
        <w:pStyle w:val="9"/>
        <w:rPr>
          <w:b/>
          <w:highlight w:val="none"/>
        </w:rPr>
      </w:pPr>
    </w:p>
    <w:p>
      <w:pPr>
        <w:pStyle w:val="9"/>
        <w:rPr>
          <w:b/>
          <w:highlight w:val="none"/>
        </w:rPr>
      </w:pPr>
    </w:p>
    <w:p>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pPr>
        <w:pStyle w:val="10"/>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pPr>
        <w:pStyle w:val="9"/>
        <w:rPr>
          <w:b/>
          <w:highlight w:val="none"/>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4"/>
        <w:rPr>
          <w:sz w:val="28"/>
          <w:szCs w:val="28"/>
          <w:highlight w:val="none"/>
        </w:rPr>
      </w:pPr>
      <w:bookmarkStart w:id="29" w:name="_Toc128884461"/>
      <w:r>
        <w:rPr>
          <w:rFonts w:hint="eastAsia"/>
          <w:sz w:val="28"/>
          <w:szCs w:val="28"/>
          <w:highlight w:val="none"/>
        </w:rPr>
        <w:t>第三章 用户需求书</w:t>
      </w:r>
    </w:p>
    <w:p>
      <w:pPr>
        <w:pStyle w:val="4"/>
        <w:spacing w:before="120" w:beforeLines="50" w:after="120" w:afterLines="50"/>
        <w:rPr>
          <w:szCs w:val="24"/>
          <w:highlight w:val="none"/>
        </w:rPr>
      </w:pPr>
      <w:r>
        <w:rPr>
          <w:rFonts w:hint="eastAsia"/>
          <w:szCs w:val="24"/>
          <w:highlight w:val="none"/>
        </w:rPr>
        <w:t>一、项目基本信息</w:t>
      </w:r>
    </w:p>
    <w:p>
      <w:pPr>
        <w:rPr>
          <w:rFonts w:ascii="宋体" w:hAnsi="宋体"/>
          <w:b/>
          <w:color w:val="FF0000"/>
          <w:szCs w:val="21"/>
          <w:highlight w:val="none"/>
        </w:rPr>
      </w:pPr>
    </w:p>
    <w:tbl>
      <w:tblPr>
        <w:tblStyle w:val="43"/>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8" w:type="pct"/>
            <w:vAlign w:val="center"/>
          </w:tcPr>
          <w:p>
            <w:pPr>
              <w:jc w:val="center"/>
              <w:rPr>
                <w:bCs/>
                <w:szCs w:val="21"/>
                <w:highlight w:val="none"/>
              </w:rPr>
            </w:pPr>
            <w:r>
              <w:rPr>
                <w:rFonts w:hint="eastAsia"/>
                <w:bCs/>
                <w:szCs w:val="21"/>
                <w:highlight w:val="none"/>
              </w:rPr>
              <w:t>序号</w:t>
            </w:r>
          </w:p>
        </w:tc>
        <w:tc>
          <w:tcPr>
            <w:tcW w:w="2665" w:type="pct"/>
            <w:vAlign w:val="center"/>
          </w:tcPr>
          <w:p>
            <w:pPr>
              <w:jc w:val="center"/>
              <w:rPr>
                <w:bCs/>
                <w:szCs w:val="21"/>
                <w:highlight w:val="none"/>
              </w:rPr>
            </w:pPr>
            <w:r>
              <w:rPr>
                <w:rFonts w:hint="eastAsia"/>
                <w:bCs/>
                <w:szCs w:val="21"/>
                <w:highlight w:val="none"/>
              </w:rPr>
              <w:t>采购项目名称</w:t>
            </w:r>
          </w:p>
        </w:tc>
        <w:tc>
          <w:tcPr>
            <w:tcW w:w="1986" w:type="pct"/>
            <w:vAlign w:val="center"/>
          </w:tcPr>
          <w:p>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48" w:type="pct"/>
            <w:vAlign w:val="center"/>
          </w:tcPr>
          <w:p>
            <w:pPr>
              <w:jc w:val="center"/>
              <w:rPr>
                <w:bCs/>
                <w:color w:val="FF0000"/>
                <w:szCs w:val="21"/>
                <w:highlight w:val="none"/>
              </w:rPr>
            </w:pPr>
            <w:r>
              <w:rPr>
                <w:rFonts w:hint="eastAsia"/>
                <w:bCs/>
                <w:color w:val="FF0000"/>
                <w:szCs w:val="21"/>
                <w:highlight w:val="none"/>
              </w:rPr>
              <w:t>1</w:t>
            </w:r>
          </w:p>
        </w:tc>
        <w:tc>
          <w:tcPr>
            <w:tcW w:w="2665" w:type="pct"/>
            <w:vAlign w:val="center"/>
          </w:tcPr>
          <w:p>
            <w:pPr>
              <w:jc w:val="center"/>
              <w:rPr>
                <w:b/>
                <w:bCs/>
                <w:color w:val="FF0000"/>
                <w:szCs w:val="21"/>
                <w:highlight w:val="none"/>
              </w:rPr>
            </w:pPr>
            <w:r>
              <w:rPr>
                <w:rFonts w:hint="eastAsia"/>
                <w:b/>
                <w:bCs/>
                <w:color w:val="FF0000"/>
                <w:szCs w:val="21"/>
                <w:highlight w:val="none"/>
                <w:lang w:val="en-US" w:eastAsia="zh-CN"/>
              </w:rPr>
              <w:t>深圳市福田区北京大学附属中学深圳学校（集团）外国语中学物业管理服务项目</w:t>
            </w:r>
          </w:p>
        </w:tc>
        <w:tc>
          <w:tcPr>
            <w:tcW w:w="1986" w:type="pct"/>
            <w:vAlign w:val="center"/>
          </w:tcPr>
          <w:p>
            <w:pPr>
              <w:jc w:val="center"/>
              <w:rPr>
                <w:rFonts w:hint="default" w:eastAsia="宋体"/>
                <w:bCs/>
                <w:color w:val="FF0000"/>
                <w:szCs w:val="21"/>
                <w:highlight w:val="none"/>
                <w:lang w:val="en-US" w:eastAsia="zh-CN"/>
              </w:rPr>
            </w:pPr>
            <w:r>
              <w:rPr>
                <w:rFonts w:hint="default" w:eastAsia="宋体"/>
                <w:bCs/>
                <w:color w:val="FF0000"/>
                <w:szCs w:val="21"/>
                <w:highlight w:val="none"/>
                <w:lang w:val="en-US" w:eastAsia="zh-CN"/>
              </w:rPr>
              <w:t>796300</w:t>
            </w:r>
          </w:p>
        </w:tc>
      </w:tr>
    </w:tbl>
    <w:p>
      <w:pPr>
        <w:rPr>
          <w:rFonts w:ascii="宋体" w:hAnsi="宋体"/>
          <w:b/>
          <w:color w:val="FF0000"/>
          <w:szCs w:val="21"/>
          <w:highlight w:val="none"/>
        </w:rPr>
      </w:pPr>
    </w:p>
    <w:p>
      <w:pPr>
        <w:pStyle w:val="4"/>
        <w:spacing w:before="120" w:beforeLines="50" w:after="120" w:afterLines="50"/>
        <w:rPr>
          <w:szCs w:val="24"/>
          <w:highlight w:val="none"/>
        </w:rPr>
      </w:pPr>
      <w:r>
        <w:rPr>
          <w:rFonts w:hint="eastAsia"/>
          <w:szCs w:val="24"/>
          <w:highlight w:val="none"/>
        </w:rPr>
        <w:t>二、项目概况</w:t>
      </w:r>
    </w:p>
    <w:p>
      <w:pPr>
        <w:ind w:firstLine="480" w:firstLineChars="200"/>
        <w:rPr>
          <w:sz w:val="24"/>
          <w:highlight w:val="none"/>
        </w:rPr>
      </w:pPr>
      <w:r>
        <w:rPr>
          <w:rFonts w:hint="eastAsia"/>
          <w:sz w:val="24"/>
          <w:highlight w:val="none"/>
        </w:rPr>
        <w:t>北京大学附属中学深圳学校（集团）外国语中学，学校占地面积1</w:t>
      </w:r>
      <w:r>
        <w:rPr>
          <w:sz w:val="24"/>
          <w:highlight w:val="none"/>
        </w:rPr>
        <w:t>8082.5㎡，</w:t>
      </w:r>
      <w:r>
        <w:rPr>
          <w:rFonts w:hint="eastAsia"/>
          <w:sz w:val="24"/>
          <w:highlight w:val="none"/>
        </w:rPr>
        <w:t>总建筑面积为21267.9㎡。</w:t>
      </w:r>
    </w:p>
    <w:p>
      <w:pPr>
        <w:ind w:firstLine="480" w:firstLineChars="200"/>
        <w:rPr>
          <w:sz w:val="24"/>
          <w:highlight w:val="none"/>
        </w:rPr>
      </w:pPr>
    </w:p>
    <w:p>
      <w:pPr>
        <w:rPr>
          <w:rFonts w:ascii="宋体" w:hAnsi="宋体"/>
          <w:b/>
          <w:color w:val="FF0000"/>
          <w:szCs w:val="21"/>
          <w:highlight w:val="none"/>
        </w:rPr>
      </w:pPr>
    </w:p>
    <w:p>
      <w:pPr>
        <w:pStyle w:val="4"/>
        <w:spacing w:before="120" w:beforeLines="50" w:after="120" w:afterLines="50"/>
        <w:rPr>
          <w:szCs w:val="24"/>
          <w:highlight w:val="none"/>
        </w:rPr>
      </w:pPr>
      <w:r>
        <w:rPr>
          <w:rFonts w:hint="eastAsia"/>
          <w:szCs w:val="24"/>
          <w:highlight w:val="none"/>
        </w:rPr>
        <w:t>三、</w:t>
      </w:r>
      <w:bookmarkStart w:id="30" w:name="_Hlk72073432"/>
      <w:r>
        <w:rPr>
          <w:rFonts w:hint="eastAsia"/>
          <w:szCs w:val="24"/>
          <w:highlight w:val="none"/>
        </w:rPr>
        <w:t>服务需求明细</w:t>
      </w:r>
      <w:bookmarkEnd w:id="30"/>
    </w:p>
    <w:tbl>
      <w:tblPr>
        <w:tblStyle w:val="43"/>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668"/>
        <w:gridCol w:w="1581"/>
        <w:gridCol w:w="841"/>
        <w:gridCol w:w="1429"/>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top"/>
          </w:tcPr>
          <w:p>
            <w:pPr>
              <w:jc w:val="center"/>
              <w:rPr>
                <w:bCs/>
                <w:szCs w:val="21"/>
                <w:highlight w:val="none"/>
              </w:rPr>
            </w:pPr>
            <w:r>
              <w:rPr>
                <w:rFonts w:hint="eastAsia"/>
                <w:bCs/>
                <w:szCs w:val="21"/>
                <w:highlight w:val="none"/>
              </w:rPr>
              <w:t>序号</w:t>
            </w:r>
          </w:p>
        </w:tc>
        <w:tc>
          <w:tcPr>
            <w:tcW w:w="1564" w:type="pct"/>
            <w:vAlign w:val="top"/>
          </w:tcPr>
          <w:p>
            <w:pPr>
              <w:jc w:val="center"/>
              <w:rPr>
                <w:bCs/>
                <w:szCs w:val="21"/>
                <w:highlight w:val="none"/>
              </w:rPr>
            </w:pPr>
            <w:r>
              <w:rPr>
                <w:rFonts w:hint="eastAsia"/>
                <w:bCs/>
                <w:szCs w:val="21"/>
                <w:highlight w:val="none"/>
              </w:rPr>
              <w:t>服务需求名称（标的名称）</w:t>
            </w:r>
          </w:p>
        </w:tc>
        <w:tc>
          <w:tcPr>
            <w:tcW w:w="927" w:type="pct"/>
            <w:vAlign w:val="top"/>
          </w:tcPr>
          <w:p>
            <w:pPr>
              <w:jc w:val="center"/>
              <w:rPr>
                <w:bCs/>
                <w:szCs w:val="21"/>
                <w:highlight w:val="none"/>
              </w:rPr>
            </w:pPr>
            <w:r>
              <w:rPr>
                <w:rFonts w:hint="eastAsia"/>
                <w:bCs/>
                <w:szCs w:val="21"/>
                <w:highlight w:val="none"/>
              </w:rPr>
              <w:t>数量</w:t>
            </w:r>
          </w:p>
        </w:tc>
        <w:tc>
          <w:tcPr>
            <w:tcW w:w="493" w:type="pct"/>
            <w:vAlign w:val="top"/>
          </w:tcPr>
          <w:p>
            <w:pPr>
              <w:jc w:val="center"/>
              <w:rPr>
                <w:bCs/>
                <w:szCs w:val="21"/>
                <w:highlight w:val="none"/>
              </w:rPr>
            </w:pPr>
            <w:r>
              <w:rPr>
                <w:rFonts w:hint="eastAsia"/>
                <w:bCs/>
                <w:szCs w:val="21"/>
                <w:highlight w:val="none"/>
              </w:rPr>
              <w:t>单位</w:t>
            </w:r>
          </w:p>
        </w:tc>
        <w:tc>
          <w:tcPr>
            <w:tcW w:w="838" w:type="pct"/>
            <w:vAlign w:val="top"/>
          </w:tcPr>
          <w:p>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838" w:type="pct"/>
            <w:vAlign w:val="top"/>
          </w:tcPr>
          <w:p>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pPr>
              <w:jc w:val="center"/>
              <w:rPr>
                <w:bCs/>
                <w:szCs w:val="21"/>
                <w:highlight w:val="none"/>
              </w:rPr>
            </w:pPr>
            <w:r>
              <w:rPr>
                <w:rFonts w:hint="eastAsia"/>
                <w:bCs/>
                <w:szCs w:val="21"/>
                <w:highlight w:val="none"/>
              </w:rPr>
              <w:t>1</w:t>
            </w:r>
          </w:p>
        </w:tc>
        <w:tc>
          <w:tcPr>
            <w:tcW w:w="1564" w:type="pct"/>
            <w:vAlign w:val="center"/>
          </w:tcPr>
          <w:p>
            <w:pPr>
              <w:jc w:val="center"/>
              <w:rPr>
                <w:bCs/>
                <w:szCs w:val="21"/>
                <w:highlight w:val="none"/>
              </w:rPr>
            </w:pPr>
            <w:r>
              <w:rPr>
                <w:rFonts w:hint="eastAsia"/>
                <w:bCs/>
                <w:szCs w:val="21"/>
                <w:highlight w:val="none"/>
                <w:lang w:val="en-US" w:eastAsia="zh-CN"/>
              </w:rPr>
              <w:t>深圳市福田区北京大学附属中学深圳学校（集团）外国语中学物业管理服务项目</w:t>
            </w:r>
          </w:p>
        </w:tc>
        <w:tc>
          <w:tcPr>
            <w:tcW w:w="927" w:type="pct"/>
            <w:vAlign w:val="center"/>
          </w:tcPr>
          <w:p>
            <w:pPr>
              <w:jc w:val="center"/>
              <w:rPr>
                <w:rFonts w:hint="eastAsia" w:eastAsia="宋体"/>
                <w:bCs/>
                <w:szCs w:val="21"/>
                <w:highlight w:val="none"/>
                <w:lang w:eastAsia="zh-CN"/>
              </w:rPr>
            </w:pPr>
            <w:r>
              <w:rPr>
                <w:rFonts w:hint="eastAsia"/>
                <w:highlight w:val="none"/>
                <w:lang w:val="en-US" w:eastAsia="zh-CN"/>
              </w:rPr>
              <w:t>1</w:t>
            </w:r>
          </w:p>
        </w:tc>
        <w:tc>
          <w:tcPr>
            <w:tcW w:w="493" w:type="pct"/>
            <w:vAlign w:val="center"/>
          </w:tcPr>
          <w:p>
            <w:pPr>
              <w:jc w:val="center"/>
              <w:rPr>
                <w:rFonts w:hint="eastAsia" w:eastAsia="宋体"/>
                <w:bCs/>
                <w:szCs w:val="21"/>
                <w:highlight w:val="none"/>
                <w:lang w:val="en-US" w:eastAsia="zh-CN"/>
              </w:rPr>
            </w:pPr>
            <w:r>
              <w:rPr>
                <w:rFonts w:hint="eastAsia"/>
                <w:bCs/>
                <w:szCs w:val="21"/>
                <w:highlight w:val="none"/>
                <w:lang w:val="en-US" w:eastAsia="zh-CN"/>
              </w:rPr>
              <w:t>项</w:t>
            </w:r>
          </w:p>
        </w:tc>
        <w:tc>
          <w:tcPr>
            <w:tcW w:w="838" w:type="pct"/>
            <w:vAlign w:val="center"/>
          </w:tcPr>
          <w:p>
            <w:pPr>
              <w:jc w:val="center"/>
              <w:rPr>
                <w:rFonts w:hint="default" w:eastAsia="宋体"/>
                <w:bCs/>
                <w:szCs w:val="21"/>
                <w:highlight w:val="none"/>
                <w:lang w:val="en-US" w:eastAsia="zh-CN"/>
              </w:rPr>
            </w:pPr>
            <w:r>
              <w:rPr>
                <w:rFonts w:hint="eastAsia"/>
                <w:bCs/>
                <w:szCs w:val="21"/>
                <w:highlight w:val="none"/>
                <w:lang w:val="en-US" w:eastAsia="zh-CN"/>
              </w:rPr>
              <w:t>否</w:t>
            </w:r>
          </w:p>
        </w:tc>
        <w:tc>
          <w:tcPr>
            <w:tcW w:w="838" w:type="pct"/>
            <w:vAlign w:val="center"/>
          </w:tcPr>
          <w:p>
            <w:pPr>
              <w:jc w:val="center"/>
              <w:rPr>
                <w:bCs/>
                <w:szCs w:val="21"/>
                <w:highlight w:val="none"/>
              </w:rPr>
            </w:pPr>
            <w:r>
              <w:rPr>
                <w:rFonts w:hint="eastAsia"/>
              </w:rPr>
              <w:t>租赁和商务服务业</w:t>
            </w:r>
          </w:p>
        </w:tc>
      </w:tr>
    </w:tbl>
    <w:p>
      <w:pPr>
        <w:pStyle w:val="4"/>
        <w:spacing w:before="120" w:beforeLines="50" w:after="120" w:afterLines="50"/>
        <w:rPr>
          <w:szCs w:val="24"/>
          <w:highlight w:val="none"/>
        </w:rPr>
      </w:pPr>
      <w:r>
        <w:rPr>
          <w:rFonts w:hint="eastAsia"/>
          <w:szCs w:val="24"/>
          <w:highlight w:val="none"/>
        </w:rPr>
        <w:t>四、实质性条款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795" w:type="dxa"/>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7795" w:type="dxa"/>
          </w:tcPr>
          <w:p>
            <w:pPr>
              <w:rPr>
                <w:rFonts w:hAnsi="宋体" w:eastAsiaTheme="minorEastAsia"/>
                <w:kern w:val="0"/>
                <w:szCs w:val="21"/>
                <w:highlight w:val="none"/>
              </w:rPr>
            </w:pPr>
            <w:r>
              <w:rPr>
                <w:rFonts w:hint="eastAsia" w:hAnsi="宋体" w:eastAsiaTheme="minorEastAsia"/>
                <w:color w:val="FF0000"/>
                <w:kern w:val="0"/>
                <w:szCs w:val="21"/>
                <w:highlight w:val="none"/>
              </w:rPr>
              <w:t>具体以采购文件第三章 用户需求书中带“★”的需求项为准。</w:t>
            </w:r>
          </w:p>
        </w:tc>
      </w:tr>
    </w:tbl>
    <w:p>
      <w:pPr>
        <w:pStyle w:val="6"/>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bookmarkEnd w:id="29"/>
    </w:p>
    <w:p>
      <w:pPr>
        <w:rPr>
          <w:b/>
          <w:bCs/>
          <w:sz w:val="24"/>
          <w:highlight w:val="none"/>
        </w:rPr>
      </w:pPr>
    </w:p>
    <w:p>
      <w:pPr>
        <w:pStyle w:val="4"/>
        <w:spacing w:before="120" w:beforeLines="50" w:after="120" w:afterLines="50"/>
        <w:rPr>
          <w:b/>
          <w:sz w:val="24"/>
          <w:highlight w:val="none"/>
        </w:rPr>
      </w:pPr>
      <w:r>
        <w:rPr>
          <w:rFonts w:hint="eastAsia"/>
          <w:szCs w:val="24"/>
          <w:highlight w:val="none"/>
        </w:rPr>
        <w:t>五、技术要求</w:t>
      </w:r>
    </w:p>
    <w:tbl>
      <w:tblPr>
        <w:tblStyle w:val="43"/>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2205"/>
        <w:gridCol w:w="5130"/>
        <w:gridCol w:w="675"/>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276" w:lineRule="auto"/>
              <w:jc w:val="center"/>
              <w:rPr>
                <w:rFonts w:asciiTheme="minorEastAsia" w:hAnsiTheme="minorEastAsia" w:eastAsiaTheme="minorEastAsia"/>
                <w:b w:val="0"/>
                <w:bCs/>
                <w:szCs w:val="21"/>
              </w:rPr>
            </w:pPr>
            <w:r>
              <w:rPr>
                <w:rFonts w:hint="eastAsia" w:asciiTheme="minorEastAsia" w:hAnsiTheme="minorEastAsia" w:eastAsiaTheme="minorEastAsia"/>
                <w:b w:val="0"/>
                <w:bCs/>
                <w:szCs w:val="21"/>
              </w:rPr>
              <w:t>序号</w:t>
            </w:r>
          </w:p>
        </w:tc>
        <w:tc>
          <w:tcPr>
            <w:tcW w:w="2205" w:type="dxa"/>
            <w:vAlign w:val="center"/>
          </w:tcPr>
          <w:p>
            <w:pPr>
              <w:spacing w:line="276" w:lineRule="auto"/>
              <w:jc w:val="center"/>
              <w:rPr>
                <w:rFonts w:asciiTheme="minorEastAsia" w:hAnsiTheme="minorEastAsia" w:eastAsiaTheme="minorEastAsia"/>
                <w:b w:val="0"/>
                <w:bCs/>
                <w:szCs w:val="21"/>
              </w:rPr>
            </w:pPr>
            <w:r>
              <w:rPr>
                <w:rFonts w:hint="eastAsia" w:asciiTheme="minorEastAsia" w:hAnsiTheme="minorEastAsia" w:eastAsiaTheme="minorEastAsia"/>
                <w:b w:val="0"/>
                <w:bCs/>
                <w:szCs w:val="21"/>
              </w:rPr>
              <w:t>名称</w:t>
            </w:r>
          </w:p>
        </w:tc>
        <w:tc>
          <w:tcPr>
            <w:tcW w:w="5130" w:type="dxa"/>
            <w:vAlign w:val="center"/>
          </w:tcPr>
          <w:p>
            <w:pPr>
              <w:spacing w:line="276" w:lineRule="auto"/>
              <w:jc w:val="center"/>
              <w:rPr>
                <w:rFonts w:asciiTheme="minorEastAsia" w:hAnsiTheme="minorEastAsia" w:eastAsiaTheme="minorEastAsia"/>
                <w:b w:val="0"/>
                <w:bCs/>
                <w:szCs w:val="21"/>
              </w:rPr>
            </w:pPr>
            <w:r>
              <w:rPr>
                <w:rFonts w:hint="eastAsia" w:asciiTheme="minorEastAsia" w:hAnsiTheme="minorEastAsia" w:eastAsiaTheme="minorEastAsia"/>
                <w:b w:val="0"/>
                <w:bCs/>
                <w:szCs w:val="21"/>
              </w:rPr>
              <w:t>具体内容</w:t>
            </w:r>
          </w:p>
        </w:tc>
        <w:tc>
          <w:tcPr>
            <w:tcW w:w="675" w:type="dxa"/>
            <w:vAlign w:val="center"/>
          </w:tcPr>
          <w:p>
            <w:pPr>
              <w:spacing w:line="276" w:lineRule="auto"/>
              <w:jc w:val="center"/>
              <w:rPr>
                <w:rFonts w:asciiTheme="minorEastAsia" w:hAnsiTheme="minorEastAsia" w:eastAsiaTheme="minorEastAsia"/>
                <w:b w:val="0"/>
                <w:bCs/>
                <w:szCs w:val="21"/>
              </w:rPr>
            </w:pPr>
            <w:r>
              <w:rPr>
                <w:rFonts w:hint="eastAsia" w:asciiTheme="minorEastAsia" w:hAnsiTheme="minorEastAsia" w:eastAsiaTheme="minorEastAsia"/>
                <w:b w:val="0"/>
                <w:bCs/>
                <w:szCs w:val="21"/>
              </w:rPr>
              <w:t>标注</w:t>
            </w:r>
          </w:p>
        </w:tc>
        <w:tc>
          <w:tcPr>
            <w:tcW w:w="1188" w:type="dxa"/>
            <w:vAlign w:val="center"/>
          </w:tcPr>
          <w:p>
            <w:pPr>
              <w:spacing w:line="276" w:lineRule="auto"/>
              <w:jc w:val="center"/>
              <w:rPr>
                <w:rFonts w:asciiTheme="minorEastAsia" w:hAnsiTheme="minorEastAsia" w:eastAsiaTheme="minorEastAsia"/>
                <w:b w:val="0"/>
                <w:bCs/>
                <w:szCs w:val="21"/>
              </w:rPr>
            </w:pPr>
            <w:r>
              <w:rPr>
                <w:rFonts w:hint="eastAsia" w:asciiTheme="minorEastAsia" w:hAnsiTheme="minorEastAsia" w:eastAsiaTheme="minorEastAsia"/>
                <w:b w:val="0"/>
                <w:bCs/>
                <w:szCs w:val="2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276" w:lineRule="auto"/>
              <w:rPr>
                <w:rFonts w:asciiTheme="minorEastAsia" w:hAnsiTheme="minorEastAsia" w:eastAsiaTheme="minorEastAsia"/>
                <w:b w:val="0"/>
                <w:bCs/>
                <w:szCs w:val="21"/>
              </w:rPr>
            </w:pPr>
            <w:r>
              <w:rPr>
                <w:rFonts w:hint="eastAsia" w:asciiTheme="minorEastAsia" w:hAnsiTheme="minorEastAsia" w:eastAsiaTheme="minorEastAsia"/>
                <w:b w:val="0"/>
                <w:bCs/>
                <w:szCs w:val="21"/>
              </w:rPr>
              <w:t>1</w:t>
            </w:r>
          </w:p>
        </w:tc>
        <w:tc>
          <w:tcPr>
            <w:tcW w:w="2205" w:type="dxa"/>
            <w:vAlign w:val="center"/>
          </w:tcPr>
          <w:p>
            <w:pPr>
              <w:spacing w:line="276" w:lineRule="auto"/>
              <w:jc w:val="center"/>
              <w:rPr>
                <w:rFonts w:asciiTheme="minorEastAsia" w:hAnsiTheme="minorEastAsia" w:eastAsiaTheme="minorEastAsia"/>
                <w:b w:val="0"/>
                <w:bCs/>
                <w:szCs w:val="21"/>
              </w:rPr>
            </w:pPr>
            <w:r>
              <w:rPr>
                <w:rFonts w:hint="eastAsia" w:asciiTheme="minorEastAsia" w:hAnsiTheme="minorEastAsia" w:eastAsiaTheme="minorEastAsia"/>
                <w:b w:val="0"/>
                <w:bCs/>
                <w:szCs w:val="21"/>
              </w:rPr>
              <w:t>项目概况</w:t>
            </w:r>
          </w:p>
        </w:tc>
        <w:tc>
          <w:tcPr>
            <w:tcW w:w="5130" w:type="dxa"/>
            <w:vAlign w:val="center"/>
          </w:tcPr>
          <w:p>
            <w:pPr>
              <w:spacing w:line="276" w:lineRule="auto"/>
              <w:rPr>
                <w:rFonts w:asciiTheme="minorEastAsia" w:hAnsiTheme="minorEastAsia" w:eastAsiaTheme="minorEastAsia"/>
                <w:b w:val="0"/>
                <w:bCs/>
                <w:szCs w:val="21"/>
              </w:rPr>
            </w:pPr>
            <w:r>
              <w:rPr>
                <w:rFonts w:hint="eastAsia" w:asciiTheme="minorEastAsia" w:hAnsiTheme="minorEastAsia" w:eastAsiaTheme="minorEastAsia"/>
                <w:b w:val="0"/>
                <w:bCs/>
                <w:szCs w:val="21"/>
              </w:rPr>
              <w:t>北京大学附属中学深圳学校（集团）外国语中学，学校占地面积1</w:t>
            </w:r>
            <w:r>
              <w:rPr>
                <w:rFonts w:asciiTheme="minorEastAsia" w:hAnsiTheme="minorEastAsia" w:eastAsiaTheme="minorEastAsia"/>
                <w:b w:val="0"/>
                <w:bCs/>
                <w:szCs w:val="21"/>
              </w:rPr>
              <w:t>8082.5㎡，</w:t>
            </w:r>
            <w:r>
              <w:rPr>
                <w:rFonts w:hint="eastAsia" w:asciiTheme="minorEastAsia" w:hAnsiTheme="minorEastAsia" w:eastAsiaTheme="minorEastAsia"/>
                <w:b w:val="0"/>
                <w:bCs/>
                <w:szCs w:val="21"/>
              </w:rPr>
              <w:t>总建筑面积为21267.9㎡。</w:t>
            </w:r>
          </w:p>
        </w:tc>
        <w:tc>
          <w:tcPr>
            <w:tcW w:w="675" w:type="dxa"/>
            <w:vAlign w:val="center"/>
          </w:tcPr>
          <w:p>
            <w:pPr>
              <w:spacing w:line="276" w:lineRule="auto"/>
              <w:rPr>
                <w:rFonts w:asciiTheme="minorEastAsia" w:hAnsiTheme="minorEastAsia" w:eastAsiaTheme="minorEastAsia"/>
                <w:b w:val="0"/>
                <w:bCs/>
                <w:szCs w:val="21"/>
              </w:rPr>
            </w:pPr>
          </w:p>
        </w:tc>
        <w:tc>
          <w:tcPr>
            <w:tcW w:w="1188" w:type="dxa"/>
            <w:vAlign w:val="center"/>
          </w:tcPr>
          <w:p>
            <w:pPr>
              <w:spacing w:line="276" w:lineRule="auto"/>
              <w:rPr>
                <w:rFonts w:asciiTheme="minorEastAsia" w:hAnsiTheme="minorEastAsia" w:eastAsiaTheme="minorEastAsia"/>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276" w:lineRule="auto"/>
              <w:rPr>
                <w:rFonts w:asciiTheme="minorEastAsia" w:hAnsiTheme="minorEastAsia" w:eastAsiaTheme="minorEastAsia"/>
                <w:b w:val="0"/>
                <w:bCs/>
                <w:szCs w:val="21"/>
              </w:rPr>
            </w:pPr>
            <w:r>
              <w:rPr>
                <w:rFonts w:hint="eastAsia" w:asciiTheme="minorEastAsia" w:hAnsiTheme="minorEastAsia" w:eastAsiaTheme="minorEastAsia"/>
                <w:b w:val="0"/>
                <w:bCs/>
                <w:szCs w:val="21"/>
              </w:rPr>
              <w:t>2</w:t>
            </w:r>
          </w:p>
        </w:tc>
        <w:tc>
          <w:tcPr>
            <w:tcW w:w="2205" w:type="dxa"/>
            <w:vAlign w:val="center"/>
          </w:tcPr>
          <w:p>
            <w:pPr>
              <w:spacing w:line="276" w:lineRule="auto"/>
              <w:jc w:val="center"/>
              <w:rPr>
                <w:rFonts w:asciiTheme="minorEastAsia" w:hAnsiTheme="minorEastAsia" w:eastAsiaTheme="minorEastAsia"/>
                <w:b w:val="0"/>
                <w:bCs/>
                <w:szCs w:val="21"/>
              </w:rPr>
            </w:pPr>
            <w:r>
              <w:rPr>
                <w:rFonts w:hint="eastAsia" w:asciiTheme="minorEastAsia" w:hAnsiTheme="minorEastAsia" w:eastAsiaTheme="minorEastAsia"/>
                <w:b w:val="0"/>
                <w:bCs/>
                <w:szCs w:val="21"/>
              </w:rPr>
              <w:t>服务要求</w:t>
            </w:r>
          </w:p>
        </w:tc>
        <w:tc>
          <w:tcPr>
            <w:tcW w:w="5130" w:type="dxa"/>
            <w:vAlign w:val="center"/>
          </w:tcPr>
          <w:p>
            <w:pPr>
              <w:spacing w:line="276" w:lineRule="auto"/>
              <w:rPr>
                <w:rFonts w:asciiTheme="minorEastAsia" w:hAnsiTheme="minorEastAsia" w:eastAsiaTheme="minorEastAsia"/>
                <w:b w:val="0"/>
                <w:bCs/>
                <w:szCs w:val="21"/>
              </w:rPr>
            </w:pPr>
            <w:r>
              <w:rPr>
                <w:rFonts w:asciiTheme="minorEastAsia" w:hAnsiTheme="minorEastAsia" w:eastAsiaTheme="minorEastAsia"/>
                <w:b w:val="0"/>
                <w:bCs/>
                <w:szCs w:val="21"/>
              </w:rPr>
              <w:t>（一）服务内容及要求</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1.配合监管要求</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（1）</w:t>
            </w:r>
            <w:r>
              <w:rPr>
                <w:rFonts w:hint="eastAsia" w:cs="宋体" w:asciiTheme="minorEastAsia" w:hAnsiTheme="minorEastAsia" w:eastAsiaTheme="minorEastAsia"/>
                <w:b w:val="0"/>
                <w:bCs/>
                <w:color w:val="000000"/>
                <w:szCs w:val="21"/>
                <w:lang w:val="en-US" w:eastAsia="zh-CN"/>
              </w:rPr>
              <w:t>中标人</w:t>
            </w:r>
            <w:r>
              <w:rPr>
                <w:rFonts w:hint="eastAsia" w:cs="宋体" w:asciiTheme="minorEastAsia" w:hAnsiTheme="minorEastAsia" w:eastAsiaTheme="minorEastAsia"/>
                <w:b w:val="0"/>
                <w:bCs/>
                <w:color w:val="000000"/>
                <w:szCs w:val="21"/>
              </w:rPr>
              <w:t>提供的服务，均须围绕学校的教育教学及管理工作来开展，努力做到对学校的各项工作不产生干扰，遵守学校的管理制度。</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（2）</w:t>
            </w:r>
            <w:r>
              <w:rPr>
                <w:rFonts w:hint="eastAsia" w:ascii="宋体" w:hAnsi="宋体"/>
                <w:snapToGrid w:val="0"/>
                <w:color w:val="auto"/>
                <w:kern w:val="0"/>
                <w:szCs w:val="24"/>
                <w:highlight w:val="none"/>
                <w:lang w:val="en-US" w:eastAsia="zh-CN"/>
              </w:rPr>
              <w:t>中标人</w:t>
            </w:r>
            <w:r>
              <w:rPr>
                <w:rFonts w:hint="eastAsia" w:cs="宋体" w:asciiTheme="minorEastAsia" w:hAnsiTheme="minorEastAsia" w:eastAsiaTheme="minorEastAsia"/>
                <w:b w:val="0"/>
                <w:bCs/>
                <w:color w:val="000000"/>
                <w:szCs w:val="21"/>
              </w:rPr>
              <w:t>应认真配合按照学校针对本项目制订的监</w:t>
            </w:r>
            <w:r>
              <w:rPr>
                <w:rFonts w:hint="eastAsia" w:cs="宋体" w:asciiTheme="minorEastAsia" w:hAnsiTheme="minorEastAsia" w:eastAsiaTheme="minorEastAsia"/>
                <w:b w:val="0"/>
                <w:bCs/>
                <w:color w:val="000000"/>
                <w:kern w:val="0"/>
                <w:szCs w:val="21"/>
              </w:rPr>
              <w:t>督</w:t>
            </w:r>
            <w:r>
              <w:rPr>
                <w:rFonts w:hint="eastAsia" w:cs="宋体" w:asciiTheme="minorEastAsia" w:hAnsiTheme="minorEastAsia" w:eastAsiaTheme="minorEastAsia"/>
                <w:b w:val="0"/>
                <w:bCs/>
                <w:color w:val="000000"/>
                <w:szCs w:val="21"/>
              </w:rPr>
              <w:t>制度、配合学校专门工作人员进行的监</w:t>
            </w:r>
            <w:r>
              <w:rPr>
                <w:rFonts w:hint="eastAsia" w:cs="宋体" w:asciiTheme="minorEastAsia" w:hAnsiTheme="minorEastAsia" w:eastAsiaTheme="minorEastAsia"/>
                <w:b w:val="0"/>
                <w:bCs/>
                <w:color w:val="000000"/>
                <w:kern w:val="0"/>
                <w:szCs w:val="21"/>
              </w:rPr>
              <w:t>督</w:t>
            </w:r>
            <w:r>
              <w:rPr>
                <w:rFonts w:hint="eastAsia" w:cs="宋体" w:asciiTheme="minorEastAsia" w:hAnsiTheme="minorEastAsia" w:eastAsiaTheme="minorEastAsia"/>
                <w:b w:val="0"/>
                <w:bCs/>
                <w:color w:val="000000"/>
                <w:szCs w:val="21"/>
              </w:rPr>
              <w:t>。</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（3）对学校涉及到本服务项目有关的教育教学及管理等各项工作而提出的配合措施，</w:t>
            </w:r>
            <w:r>
              <w:rPr>
                <w:rFonts w:hint="eastAsia" w:ascii="宋体" w:hAnsi="宋体"/>
                <w:snapToGrid w:val="0"/>
                <w:color w:val="auto"/>
                <w:kern w:val="0"/>
                <w:szCs w:val="24"/>
                <w:highlight w:val="none"/>
                <w:lang w:val="en-US" w:eastAsia="zh-CN"/>
              </w:rPr>
              <w:t>中标人</w:t>
            </w:r>
            <w:r>
              <w:rPr>
                <w:rFonts w:hint="eastAsia" w:cs="宋体" w:asciiTheme="minorEastAsia" w:hAnsiTheme="minorEastAsia" w:eastAsiaTheme="minorEastAsia"/>
                <w:b w:val="0"/>
                <w:bCs/>
                <w:color w:val="000000"/>
                <w:szCs w:val="21"/>
              </w:rPr>
              <w:t>须尽量配合。</w:t>
            </w:r>
          </w:p>
          <w:p>
            <w:pPr>
              <w:snapToGrid w:val="0"/>
              <w:spacing w:line="276" w:lineRule="auto"/>
              <w:rPr>
                <w:rFonts w:cs="宋体" w:asciiTheme="minorEastAsia" w:hAnsiTheme="minorEastAsia" w:eastAsiaTheme="minorEastAsia"/>
                <w:b w:val="0"/>
                <w:bCs/>
                <w:color w:val="000000"/>
                <w:szCs w:val="21"/>
                <w:lang w:val="zh-CN"/>
              </w:rPr>
            </w:pPr>
            <w:r>
              <w:rPr>
                <w:rFonts w:hint="eastAsia" w:cs="宋体" w:asciiTheme="minorEastAsia" w:hAnsiTheme="minorEastAsia" w:eastAsiaTheme="minorEastAsia"/>
                <w:b w:val="0"/>
                <w:bCs/>
                <w:color w:val="000000"/>
                <w:szCs w:val="21"/>
                <w:lang w:val="zh-CN"/>
              </w:rPr>
              <w:t>（4）福田区教育局作为辖区内学校的主管部门，履行</w:t>
            </w:r>
            <w:r>
              <w:rPr>
                <w:rFonts w:hint="eastAsia" w:cs="宋体" w:asciiTheme="minorEastAsia" w:hAnsiTheme="minorEastAsia" w:eastAsiaTheme="minorEastAsia"/>
                <w:b w:val="0"/>
                <w:bCs/>
                <w:color w:val="000000"/>
                <w:kern w:val="0"/>
                <w:szCs w:val="21"/>
              </w:rPr>
              <w:t>监</w:t>
            </w:r>
            <w:r>
              <w:rPr>
                <w:rFonts w:hint="eastAsia" w:cs="宋体" w:asciiTheme="minorEastAsia" w:hAnsiTheme="minorEastAsia" w:eastAsiaTheme="minorEastAsia"/>
                <w:b w:val="0"/>
                <w:bCs/>
                <w:color w:val="000000"/>
                <w:szCs w:val="21"/>
              </w:rPr>
              <w:t>督</w:t>
            </w:r>
            <w:r>
              <w:rPr>
                <w:rFonts w:hint="eastAsia" w:cs="宋体" w:asciiTheme="minorEastAsia" w:hAnsiTheme="minorEastAsia" w:eastAsiaTheme="minorEastAsia"/>
                <w:b w:val="0"/>
                <w:bCs/>
                <w:color w:val="000000"/>
                <w:kern w:val="0"/>
                <w:szCs w:val="21"/>
              </w:rPr>
              <w:t>物业服务企业履行物业管理服务合同的职责，投标人应主动配合。各学校</w:t>
            </w:r>
            <w:r>
              <w:rPr>
                <w:rFonts w:hint="eastAsia" w:cs="宋体" w:asciiTheme="minorEastAsia" w:hAnsiTheme="minorEastAsia" w:eastAsiaTheme="minorEastAsia"/>
                <w:b w:val="0"/>
                <w:bCs/>
                <w:color w:val="000000"/>
                <w:szCs w:val="21"/>
                <w:lang w:val="zh-CN"/>
              </w:rPr>
              <w:t>履行</w:t>
            </w:r>
            <w:r>
              <w:rPr>
                <w:rFonts w:hint="eastAsia" w:cs="宋体" w:asciiTheme="minorEastAsia" w:hAnsiTheme="minorEastAsia" w:eastAsiaTheme="minorEastAsia"/>
                <w:b w:val="0"/>
                <w:bCs/>
                <w:color w:val="000000"/>
                <w:kern w:val="0"/>
                <w:szCs w:val="21"/>
              </w:rPr>
              <w:t>监</w:t>
            </w:r>
            <w:r>
              <w:rPr>
                <w:rFonts w:hint="eastAsia" w:cs="宋体" w:asciiTheme="minorEastAsia" w:hAnsiTheme="minorEastAsia" w:eastAsiaTheme="minorEastAsia"/>
                <w:b w:val="0"/>
                <w:bCs/>
                <w:color w:val="000000"/>
                <w:szCs w:val="21"/>
              </w:rPr>
              <w:t>管</w:t>
            </w:r>
            <w:r>
              <w:rPr>
                <w:rFonts w:hint="eastAsia" w:cs="宋体" w:asciiTheme="minorEastAsia" w:hAnsiTheme="minorEastAsia" w:eastAsiaTheme="minorEastAsia"/>
                <w:b w:val="0"/>
                <w:bCs/>
                <w:color w:val="000000"/>
                <w:kern w:val="0"/>
                <w:szCs w:val="21"/>
              </w:rPr>
              <w:t>物业服务企业履行物业管理服务合同的职责。</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2. 建章立制要求</w:t>
            </w:r>
          </w:p>
          <w:p>
            <w:pPr>
              <w:snapToGrid w:val="0"/>
              <w:spacing w:line="276" w:lineRule="auto"/>
              <w:ind w:firstLine="420" w:firstLineChars="200"/>
              <w:rPr>
                <w:rFonts w:cs="宋体" w:asciiTheme="minorEastAsia" w:hAnsiTheme="minorEastAsia" w:eastAsiaTheme="minorEastAsia"/>
                <w:b w:val="0"/>
                <w:bCs/>
                <w:color w:val="000000"/>
                <w:szCs w:val="21"/>
              </w:rPr>
            </w:pPr>
            <w:r>
              <w:rPr>
                <w:rFonts w:hint="eastAsia" w:ascii="宋体" w:hAnsi="宋体"/>
                <w:snapToGrid w:val="0"/>
                <w:color w:val="auto"/>
                <w:kern w:val="0"/>
                <w:szCs w:val="24"/>
                <w:highlight w:val="none"/>
                <w:lang w:val="en-US" w:eastAsia="zh-CN"/>
              </w:rPr>
              <w:t>中标人</w:t>
            </w:r>
            <w:r>
              <w:rPr>
                <w:rFonts w:hint="eastAsia" w:cs="宋体" w:asciiTheme="minorEastAsia" w:hAnsiTheme="minorEastAsia" w:eastAsiaTheme="minorEastAsia"/>
                <w:b w:val="0"/>
                <w:bCs/>
                <w:color w:val="000000"/>
                <w:szCs w:val="21"/>
              </w:rPr>
              <w:t>须建立健全针对本项目所涉及的各类管理制度、服务规范、设备操作规范、安全事故防范方案、维修报请处理及应急响应制度等等，并须得到学校管理部门的批准和备案，以便能够保证为师生提供高效、优质的服务，加强对工作人员的职业道德教育、行为管理、技能培训，保障各种设备的正常运行，杜绝安全事故及设备非自然损坏现象。</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3.环境卫生及防疫消杀管理要求</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（1）清洁卫生实行一体化管理，有专业清洁队伍，管理制度完善。</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（2）负责做好校门前及红线图以内所有的地面、绿化带、建筑物的墙面及附属物、门窗、室内区域（不含学生宿舍房间内、教室内、教师办公室及宿舍内，）所有设施及用具的卫生保洁与管理。</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（3）负责定期进行下水道及沟井的清扫处理、垃圾收集清运（建筑垃圾、食堂区域除外）、化粪池的清运，办理好垃圾清运等有关手续。</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（4）定期开展除“四害”及卫生消杀工作，严格按照上级有关部门规定进行定期的防疫消杀工作。</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（5）在流行性传染病高发期或爆发期要严格按校方或上级有关部门要求组织防疫消杀（药品由学校购置）。</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（6）负责承担学校教师卫生间的洗水液、纸巾（此类物品由学校购置）的放置与管理。</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（7）学校区域内的教学楼、办公楼、图书馆等建筑物公共部位以及绿地、道路、操场等空地的清洁每天不少于二次。</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（8）电梯轿厢、操作板、地面等清洁保养每天不少于二次。</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（9）5—10月的灭蚊、灭鼠、灭苍蝇、灭蟑螂等消杀工作每月不少于三次，其余月份每月不少于二次。</w:t>
            </w:r>
          </w:p>
          <w:p>
            <w:pPr>
              <w:numPr>
                <w:ilvl w:val="0"/>
                <w:numId w:val="7"/>
              </w:numPr>
              <w:snapToGrid w:val="0"/>
              <w:spacing w:line="276" w:lineRule="auto"/>
              <w:rPr>
                <w:rFonts w:hint="eastAsia" w:eastAsia="宋体"/>
                <w:lang w:eastAsia="zh-CN"/>
              </w:rPr>
            </w:pPr>
            <w:r>
              <w:rPr>
                <w:rFonts w:hint="eastAsia" w:asciiTheme="minorEastAsia" w:hAnsiTheme="minorEastAsia" w:eastAsiaTheme="minorEastAsia"/>
                <w:b w:val="0"/>
                <w:bCs/>
              </w:rPr>
              <w:t>在每学期开学及期末阶段，按校方要求完成校园范围内的大扫除服务，具体包括但不限于对教学区域、公共活动空间、办公区域等场所的清洁</w:t>
            </w:r>
            <w:r>
              <w:rPr>
                <w:rFonts w:asciiTheme="minorEastAsia" w:hAnsiTheme="minorEastAsia" w:eastAsiaTheme="minorEastAsia"/>
                <w:b w:val="0"/>
                <w:bCs/>
              </w:rPr>
              <w:t>。</w:t>
            </w:r>
          </w:p>
          <w:p>
            <w:pPr>
              <w:numPr>
                <w:ilvl w:val="0"/>
                <w:numId w:val="0"/>
              </w:numPr>
              <w:snapToGrid w:val="0"/>
              <w:spacing w:line="276" w:lineRule="auto"/>
              <w:rPr>
                <w:rFonts w:hint="eastAsia" w:eastAsia="宋体"/>
                <w:lang w:eastAsia="zh-CN"/>
              </w:rPr>
            </w:pPr>
            <w:r>
              <w:rPr>
                <w:rFonts w:hint="eastAsia"/>
                <w:lang w:eastAsia="zh-CN"/>
              </w:rPr>
              <w:t>（</w:t>
            </w:r>
            <w:r>
              <w:rPr>
                <w:rFonts w:hint="eastAsia"/>
                <w:lang w:val="en-US" w:eastAsia="zh-CN"/>
              </w:rPr>
              <w:t>11</w:t>
            </w:r>
            <w:r>
              <w:rPr>
                <w:rFonts w:hint="eastAsia"/>
                <w:lang w:eastAsia="zh-CN"/>
              </w:rPr>
              <w:t>）</w:t>
            </w:r>
            <w:r>
              <w:rPr>
                <w:rFonts w:hint="eastAsia" w:eastAsia="宋体"/>
                <w:lang w:eastAsia="zh-CN"/>
              </w:rPr>
              <w:t>负责教学楼、宿舍楼（含学生公寓）内厕所的日常巡检与疏通处理，确保排水通畅，若出现堵塞情况需及时响应并妥善解决，保障正常使用。</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4.园林绿化管理要求</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（1）配备专业人员进行管理，制度完善。</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（2）实行标准化作业，由专人负责检查监督。</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（3）负责承担校区红线图以内所有绿化、盆景（盆花）、室内盆栽植物、地理园、温棚植物等的养护、修剪造型、施肥、浇水、除杂草、补苗、松土、杀虫、杂物清除等管理。</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（4）承担校园有关公共场所（含会议室、功能室、办公室以及教室）的花草摆放及节假日或有关会议、活动庆典的花草布置（此类物品由学校购置）。</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（5）室内绿化管养标准：</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①保持所有植物正常生长；盆景植物无积尘，适当浇水，容器中无积水，整形修剪每季度不少于一次，无枯枝败叶。</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②做好植物病虫害预防、控制工作，定期进行喷药。</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③定期做好施肥工作，按薄肥勤施原则进行。</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④定期调换室内植物摆放位置、品种，使植物适应不同光线，湿度环境。</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⑤定期清理黄叶,做到无病虫、无黄叶、无脏物。</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⑥及时更换摆放逐渐逊色的花木。</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⑦保持花盆垫不积水，叶面无积尘。</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（6）室外绿化管养标准：</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①植物生长健康，无病虫害，无枯黄叶，无黄土裸露。</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②绿地或花坛内各类乔、灌、草等绿化存活率达到100%，草坪常年保持平整，边缘清晰。</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③乔、灌木以及攀援植物每年普修八次以上、切边整理三次以上，各种植物上长茂盛，无枯枝、缺枝。</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④定期修剪，及时修补、扶持和补苗，保持花木形态常美。</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⑤绿地、操场等无白色垃圾、绿化生产垃圾（如树枝、树叶等），无积水，无干旱。</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5.水电维护管理要求</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（1）设施设备管理要求</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①建立完善的质量保证体系，提供切实可行的运行管理、维护保养、维修的实施方案和各种措施。</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②制定设备安全运行管理、岗位责任制、定期巡视检查、操作规程及监督检查制度，建立岗位责任制，并严格执行。做到科学管理、正确使用，精心维护，备齐备件，及时维修。</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③实行值班制度，保证设备良好，运行正常，无重大管理责任事故。</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④设备及机房环境整洁，无杂物、灰尘，无鼠、虫害发生。</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⑤相关技术人员持证上岗，有解决各类故障和事件的能力。</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⑥建立设备台帐和档案，项目齐全，目录清晰，设备图纸档案、技术资料齐全。管理完善，可随时查阅。</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⑦各类设施设备的完好率达到98%以上，急修及时率达到100%；走廊、楼道等共用部位照明系统的完好率达到99%以上。</w:t>
            </w:r>
          </w:p>
          <w:p>
            <w:pPr>
              <w:snapToGrid w:val="0"/>
              <w:spacing w:line="276" w:lineRule="auto"/>
              <w:rPr>
                <w:rFonts w:cs="宋体" w:asciiTheme="minorEastAsia" w:hAnsiTheme="minorEastAsia" w:eastAsiaTheme="minorEastAsia"/>
                <w:b w:val="0"/>
                <w:bCs/>
                <w:color w:val="000000"/>
                <w:szCs w:val="21"/>
              </w:rPr>
            </w:pPr>
            <w:r>
              <w:rPr>
                <w:rFonts w:cs="宋体" w:asciiTheme="minorEastAsia" w:hAnsiTheme="minorEastAsia" w:eastAsiaTheme="minorEastAsia"/>
                <w:b w:val="0"/>
                <w:bCs/>
                <w:color w:val="000000"/>
                <w:szCs w:val="21"/>
              </w:rPr>
              <w:t>⑧加强对消防系统的检查保养，消防栓、灭火器、报警功能巡查每周不少于三次；消防泵启动每年不少于四次；保障消防通道畅顺。</w:t>
            </w:r>
            <w:r>
              <w:rPr>
                <w:rFonts w:hint="eastAsia" w:cs="宋体" w:asciiTheme="minorEastAsia" w:hAnsiTheme="minorEastAsia" w:eastAsiaTheme="minorEastAsia"/>
                <w:b w:val="0"/>
                <w:bCs/>
                <w:color w:val="000000"/>
                <w:szCs w:val="21"/>
              </w:rPr>
              <w:t>（有消防控制室的校区自行约定，持证上岗）</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（2）给排水系统管理</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①建立用水、供水管理制度并予以实施;</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②防止跑、冒、滴、漏，对供水系统管路、水泵、水箱、阀门等进行日常维护和定期检修，不发生大面积跑水事故，定期对水泵房进行检查、保养、维修、清洁;</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③保证设备和管道系统状况良好，供水系统能正常发挥功能;</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④定期对排水管、化粪池、隔油池、沟渠、池、井进行清疏、养护及清除污垢。保证排水系统通畅、确保上下水管道完好和正常使用;</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⑤及时发现和解决故障，当出现故障时，维修人员及时到位抢修，恢复正常功能。</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⑥上述设施设备正常损耗的零配件及水箱清洗材料等费用，由学校承担。</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（3）供配电系统管理</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①对供电范围的电气设备定期巡查，做到安全、合理、节约用电；</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②及时发现和解决故障。当出现故障时，维修人员10分钟内及时到位抢修，排除故障，恢复正常功能；</w:t>
            </w:r>
          </w:p>
          <w:p>
            <w:pPr>
              <w:snapToGrid w:val="0"/>
              <w:spacing w:line="276" w:lineRule="auto"/>
              <w:rPr>
                <w:rFonts w:cs="宋体" w:asciiTheme="minorEastAsia" w:hAnsiTheme="minorEastAsia" w:eastAsiaTheme="minorEastAsia"/>
                <w:b w:val="0"/>
                <w:bCs/>
                <w:color w:val="000000"/>
                <w:szCs w:val="21"/>
                <w:highlight w:val="red"/>
              </w:rPr>
            </w:pPr>
            <w:r>
              <w:rPr>
                <w:rFonts w:hint="eastAsia" w:cs="宋体" w:asciiTheme="minorEastAsia" w:hAnsiTheme="minorEastAsia" w:eastAsiaTheme="minorEastAsia"/>
                <w:b w:val="0"/>
                <w:bCs/>
                <w:color w:val="000000"/>
                <w:szCs w:val="21"/>
              </w:rPr>
              <w:t>③加强日常维护检修，公共使用的照明灯具（包括地下室照明、楼梯、电梯间、室外院墙照明）线路、开关保证完好，确保用电安全；</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④配电设备管理、操作、维修保养严格按国家标准操作运行，制定临时用电措施并严格执行。</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⑤上述设施设备正常损耗的零配件费用，由学校承担。</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（4）电梯管理：</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①电梯由专业队伍维修保养，电梯维修、保养人员均持证上岗，电梯各种安全检查审核证件齐全有效；</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②建立电梯运行管理、设备管理、安全管理制度，确保电梯按规定时间运行，状态良好，安全设施齐全有效，通风、照明及其它附属设施完好；</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③</w:t>
            </w:r>
            <w:r>
              <w:rPr>
                <w:rFonts w:hint="eastAsia" w:ascii="宋体" w:hAnsi="宋体"/>
                <w:snapToGrid w:val="0"/>
                <w:color w:val="auto"/>
                <w:kern w:val="0"/>
                <w:szCs w:val="24"/>
                <w:highlight w:val="none"/>
                <w:lang w:val="en-US" w:eastAsia="zh-CN"/>
              </w:rPr>
              <w:t>中标人</w:t>
            </w:r>
            <w:r>
              <w:rPr>
                <w:rFonts w:hint="eastAsia" w:cs="宋体" w:asciiTheme="minorEastAsia" w:hAnsiTheme="minorEastAsia" w:eastAsiaTheme="minorEastAsia"/>
                <w:b w:val="0"/>
                <w:bCs/>
                <w:color w:val="000000"/>
                <w:szCs w:val="21"/>
              </w:rPr>
              <w:t>负责按国家规定提供保养服务，每15天一次例保，由甲方签字确认，每月对电梯自备电池放电一次，每季度进行一次检查，确保电梯处于良好的运行状态（包括定期性调校。清洁润滑，加注油脂，检查电梯各安全开关、梯级、大链，机部件等的正常运行状态；</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④</w:t>
            </w:r>
            <w:r>
              <w:rPr>
                <w:rFonts w:hint="eastAsia" w:ascii="宋体" w:hAnsi="宋体"/>
                <w:snapToGrid w:val="0"/>
                <w:color w:val="auto"/>
                <w:kern w:val="0"/>
                <w:szCs w:val="24"/>
                <w:highlight w:val="none"/>
                <w:lang w:val="en-US" w:eastAsia="zh-CN"/>
              </w:rPr>
              <w:t>中标人</w:t>
            </w:r>
            <w:r>
              <w:rPr>
                <w:rFonts w:hint="eastAsia" w:cs="宋体" w:asciiTheme="minorEastAsia" w:hAnsiTheme="minorEastAsia" w:eastAsiaTheme="minorEastAsia"/>
                <w:b w:val="0"/>
                <w:bCs/>
                <w:color w:val="000000"/>
                <w:szCs w:val="21"/>
              </w:rPr>
              <w:t>为学校向市技术监督部门办理电梯安全年检手续，保证取得《电梯运行许可证》，年检费用由学校负责。投标人对电梯每年进行一次负荷调校试验。上述资料均由学校存档备查，确保电梯得到恰当检修，轿厢及机房整洁、通风、照明及其他附属设施完好；</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⑤出现运行故障后，接到报修后维修人员在10分钟内到达现场抢修，并及时排除故障；</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⑥建立电梯设备档案，各种运行维护保养和巡视检查记录齐全归档；</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⑦学校更换并提供一切因自然劳损与锈蚀的电器零件，因机械性磨损而损耗的电梯零部件，更换零配件及检测费用由学校负责实行全保。</w:t>
            </w:r>
          </w:p>
          <w:p>
            <w:pPr>
              <w:spacing w:line="276" w:lineRule="auto"/>
              <w:rPr>
                <w:rFonts w:cs="宋体" w:asciiTheme="minorEastAsia" w:hAnsiTheme="minorEastAsia" w:eastAsiaTheme="minorEastAsia"/>
                <w:b w:val="0"/>
                <w:bCs/>
                <w:szCs w:val="21"/>
              </w:rPr>
            </w:pPr>
            <w:r>
              <w:rPr>
                <w:rFonts w:hint="eastAsia" w:cs="宋体" w:asciiTheme="minorEastAsia" w:hAnsiTheme="minorEastAsia" w:eastAsiaTheme="minorEastAsia"/>
                <w:b w:val="0"/>
                <w:bCs/>
                <w:szCs w:val="21"/>
              </w:rPr>
              <w:t>（5）发电机管理</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①发电机由专业队伍定期维修保养；</w:t>
            </w:r>
          </w:p>
          <w:p>
            <w:pPr>
              <w:snapToGrid w:val="0"/>
              <w:spacing w:line="276" w:lineRule="auto"/>
              <w:rPr>
                <w:rFonts w:cs="宋体" w:asciiTheme="minorEastAsia" w:hAnsiTheme="minorEastAsia" w:eastAsiaTheme="minorEastAsia"/>
                <w:b w:val="0"/>
                <w:bCs/>
                <w:color w:val="000000"/>
                <w:szCs w:val="21"/>
              </w:rPr>
            </w:pPr>
            <w:r>
              <w:rPr>
                <w:rFonts w:hint="eastAsia" w:cs="宋体" w:asciiTheme="minorEastAsia" w:hAnsiTheme="minorEastAsia" w:eastAsiaTheme="minorEastAsia"/>
                <w:b w:val="0"/>
                <w:bCs/>
                <w:color w:val="000000"/>
                <w:szCs w:val="21"/>
              </w:rPr>
              <w:t>②因供电公司临时停电，应在5分钟内启动发电机发电；</w:t>
            </w:r>
          </w:p>
          <w:p>
            <w:pPr>
              <w:snapToGrid w:val="0"/>
              <w:spacing w:line="276" w:lineRule="auto"/>
              <w:rPr>
                <w:rFonts w:cs="宋体" w:asciiTheme="minorEastAsia" w:hAnsiTheme="minorEastAsia" w:eastAsiaTheme="minorEastAsia"/>
                <w:b w:val="0"/>
                <w:bCs/>
                <w:szCs w:val="21"/>
              </w:rPr>
            </w:pPr>
            <w:r>
              <w:rPr>
                <w:rFonts w:hint="eastAsia" w:cs="宋体" w:asciiTheme="minorEastAsia" w:hAnsiTheme="minorEastAsia" w:eastAsiaTheme="minorEastAsia"/>
                <w:b w:val="0"/>
                <w:bCs/>
                <w:color w:val="000000"/>
                <w:szCs w:val="21"/>
              </w:rPr>
              <w:t>③应留意报纸上的停电公告，提早购买储备柴油，因临时停电，发电机维护保养及发电用柴油费用由学校负责。</w:t>
            </w:r>
            <w:r>
              <w:rPr>
                <w:rFonts w:cs="宋体" w:asciiTheme="minorEastAsia" w:hAnsiTheme="minorEastAsia" w:eastAsiaTheme="minorEastAsia"/>
                <w:b w:val="0"/>
                <w:bCs/>
                <w:spacing w:val="-4"/>
                <w:szCs w:val="21"/>
              </w:rPr>
              <w:t xml:space="preserve"> </w:t>
            </w:r>
          </w:p>
          <w:p>
            <w:pPr>
              <w:snapToGrid w:val="0"/>
              <w:spacing w:line="360" w:lineRule="auto"/>
              <w:rPr>
                <w:rFonts w:ascii="宋体" w:hAnsi="宋体" w:cs="宋体"/>
                <w:b w:val="0"/>
                <w:bCs/>
                <w:color w:val="000000"/>
                <w:szCs w:val="21"/>
              </w:rPr>
            </w:pPr>
            <w:r>
              <w:rPr>
                <w:rFonts w:ascii="宋体" w:hAnsi="宋体" w:cs="宋体"/>
                <w:b w:val="0"/>
                <w:bCs/>
                <w:color w:val="000000"/>
                <w:szCs w:val="21"/>
              </w:rPr>
              <w:t>6</w:t>
            </w:r>
            <w:r>
              <w:rPr>
                <w:rFonts w:hint="eastAsia" w:ascii="宋体" w:hAnsi="宋体" w:cs="宋体"/>
                <w:b w:val="0"/>
                <w:bCs/>
                <w:color w:val="000000"/>
                <w:szCs w:val="21"/>
              </w:rPr>
              <w:t>.其它服务事项要求</w:t>
            </w:r>
          </w:p>
          <w:p>
            <w:pPr>
              <w:snapToGrid w:val="0"/>
              <w:spacing w:line="360" w:lineRule="auto"/>
              <w:rPr>
                <w:rFonts w:ascii="宋体" w:hAnsi="宋体" w:cs="宋体"/>
                <w:b w:val="0"/>
                <w:bCs/>
                <w:color w:val="000000"/>
                <w:szCs w:val="21"/>
              </w:rPr>
            </w:pPr>
            <w:r>
              <w:rPr>
                <w:rFonts w:hint="eastAsia" w:ascii="宋体" w:hAnsi="宋体" w:cs="宋体"/>
                <w:b w:val="0"/>
                <w:bCs/>
                <w:color w:val="000000"/>
                <w:szCs w:val="21"/>
              </w:rPr>
              <w:t>（1）学校重大活动无偿提供协助及服务。</w:t>
            </w:r>
          </w:p>
          <w:p>
            <w:pPr>
              <w:snapToGrid w:val="0"/>
              <w:spacing w:line="360" w:lineRule="auto"/>
              <w:rPr>
                <w:rFonts w:ascii="宋体" w:hAnsi="宋体" w:cs="宋体"/>
                <w:b w:val="0"/>
                <w:bCs/>
                <w:color w:val="000000"/>
                <w:szCs w:val="21"/>
              </w:rPr>
            </w:pPr>
            <w:r>
              <w:rPr>
                <w:rFonts w:hint="eastAsia" w:ascii="宋体" w:hAnsi="宋体" w:cs="宋体"/>
                <w:b w:val="0"/>
                <w:bCs/>
                <w:color w:val="000000"/>
                <w:szCs w:val="21"/>
              </w:rPr>
              <w:t>（2）无偿协助本校零星搬运工作。</w:t>
            </w:r>
          </w:p>
          <w:p>
            <w:pPr>
              <w:snapToGrid w:val="0"/>
              <w:spacing w:line="360" w:lineRule="auto"/>
              <w:rPr>
                <w:rFonts w:ascii="宋体" w:hAnsi="宋体" w:cs="宋体"/>
                <w:b w:val="0"/>
                <w:bCs/>
                <w:color w:val="000000"/>
                <w:szCs w:val="21"/>
              </w:rPr>
            </w:pPr>
            <w:r>
              <w:rPr>
                <w:rFonts w:hint="eastAsia" w:ascii="宋体" w:hAnsi="宋体" w:cs="宋体"/>
                <w:b w:val="0"/>
                <w:bCs/>
                <w:color w:val="000000"/>
                <w:szCs w:val="21"/>
              </w:rPr>
              <w:t>（</w:t>
            </w:r>
            <w:r>
              <w:rPr>
                <w:rFonts w:ascii="宋体" w:hAnsi="宋体" w:cs="宋体"/>
                <w:b w:val="0"/>
                <w:bCs/>
                <w:color w:val="000000"/>
                <w:szCs w:val="21"/>
              </w:rPr>
              <w:t>3</w:t>
            </w:r>
            <w:r>
              <w:rPr>
                <w:rFonts w:hint="eastAsia" w:ascii="宋体" w:hAnsi="宋体" w:cs="宋体"/>
                <w:b w:val="0"/>
                <w:bCs/>
                <w:color w:val="000000"/>
                <w:szCs w:val="21"/>
              </w:rPr>
              <w:t>）国家法律政策规定的其他物业管理事项。</w:t>
            </w:r>
          </w:p>
          <w:p>
            <w:pPr>
              <w:pStyle w:val="2"/>
              <w:spacing w:line="276" w:lineRule="auto"/>
              <w:rPr>
                <w:rFonts w:asciiTheme="minorEastAsia" w:hAnsiTheme="minorEastAsia" w:eastAsiaTheme="minorEastAsia"/>
                <w:b w:val="0"/>
                <w:bCs/>
              </w:rPr>
            </w:pPr>
            <w:r>
              <w:rPr>
                <w:rFonts w:asciiTheme="minorEastAsia" w:hAnsiTheme="minorEastAsia" w:eastAsiaTheme="minorEastAsia"/>
                <w:b w:val="0"/>
                <w:bCs/>
              </w:rPr>
              <w:t>（二）物业</w:t>
            </w:r>
            <w:r>
              <w:rPr>
                <w:rFonts w:hint="eastAsia" w:asciiTheme="minorEastAsia" w:hAnsiTheme="minorEastAsia" w:eastAsiaTheme="minorEastAsia"/>
                <w:b w:val="0"/>
                <w:bCs/>
              </w:rPr>
              <w:t>管理</w:t>
            </w:r>
            <w:r>
              <w:rPr>
                <w:rFonts w:asciiTheme="minorEastAsia" w:hAnsiTheme="minorEastAsia" w:eastAsiaTheme="minorEastAsia"/>
                <w:b w:val="0"/>
                <w:bCs/>
              </w:rPr>
              <w:t>标准</w:t>
            </w:r>
          </w:p>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1.按“全国物业管理示范大厦”标准进行管理。</w:t>
            </w:r>
          </w:p>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2.杜绝火灾等安全事故。</w:t>
            </w:r>
          </w:p>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3.环境卫生达标率95%。</w:t>
            </w:r>
          </w:p>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4.用户满意及基本满意率95%。</w:t>
            </w:r>
          </w:p>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5.有效投诉处理率100%。</w:t>
            </w:r>
          </w:p>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6.有效投诉率低于5%。</w:t>
            </w:r>
          </w:p>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7.消毒、消杀、绿化达标率为100%。</w:t>
            </w:r>
          </w:p>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8.利用现代化管理手段对物业进行管理。</w:t>
            </w:r>
          </w:p>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000000"/>
                <w:szCs w:val="21"/>
              </w:rPr>
              <w:t>9.未尽事宜，依照教育主管部门及物业管理部门的相关规定执行。</w:t>
            </w:r>
          </w:p>
        </w:tc>
        <w:tc>
          <w:tcPr>
            <w:tcW w:w="675" w:type="dxa"/>
            <w:vAlign w:val="center"/>
          </w:tcPr>
          <w:p>
            <w:pPr>
              <w:spacing w:line="276" w:lineRule="auto"/>
              <w:rPr>
                <w:rFonts w:asciiTheme="minorEastAsia" w:hAnsiTheme="minorEastAsia" w:eastAsiaTheme="minorEastAsia"/>
                <w:b w:val="0"/>
                <w:bCs/>
                <w:szCs w:val="21"/>
              </w:rPr>
            </w:pPr>
          </w:p>
        </w:tc>
        <w:tc>
          <w:tcPr>
            <w:tcW w:w="1188" w:type="dxa"/>
            <w:vAlign w:val="center"/>
          </w:tcPr>
          <w:p>
            <w:pPr>
              <w:spacing w:line="276" w:lineRule="auto"/>
              <w:rPr>
                <w:rFonts w:asciiTheme="minorEastAsia" w:hAnsiTheme="minorEastAsia" w:eastAsiaTheme="minorEastAsia"/>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276" w:lineRule="auto"/>
              <w:rPr>
                <w:rFonts w:asciiTheme="minorEastAsia" w:hAnsiTheme="minorEastAsia" w:eastAsiaTheme="minorEastAsia"/>
                <w:b w:val="0"/>
                <w:bCs/>
                <w:szCs w:val="21"/>
              </w:rPr>
            </w:pPr>
            <w:r>
              <w:rPr>
                <w:rFonts w:hint="eastAsia" w:asciiTheme="minorEastAsia" w:hAnsiTheme="minorEastAsia" w:eastAsiaTheme="minorEastAsia"/>
                <w:b w:val="0"/>
                <w:bCs/>
                <w:szCs w:val="21"/>
              </w:rPr>
              <w:t>3</w:t>
            </w:r>
          </w:p>
        </w:tc>
        <w:tc>
          <w:tcPr>
            <w:tcW w:w="2205" w:type="dxa"/>
            <w:vAlign w:val="center"/>
          </w:tcPr>
          <w:p>
            <w:pPr>
              <w:snapToGrid w:val="0"/>
              <w:spacing w:line="360" w:lineRule="auto"/>
              <w:ind w:firstLine="420" w:firstLineChars="200"/>
              <w:rPr>
                <w:rFonts w:ascii="宋体" w:hAnsi="宋体" w:cs="宋体"/>
                <w:b w:val="0"/>
                <w:bCs/>
                <w:color w:val="000000"/>
                <w:szCs w:val="21"/>
              </w:rPr>
            </w:pPr>
            <w:r>
              <w:rPr>
                <w:rFonts w:hint="eastAsia" w:ascii="宋体" w:hAnsi="宋体" w:cs="宋体"/>
                <w:b w:val="0"/>
                <w:bCs/>
                <w:color w:val="FF0000"/>
                <w:szCs w:val="21"/>
              </w:rPr>
              <w:t>★人员要求</w:t>
            </w:r>
          </w:p>
        </w:tc>
        <w:tc>
          <w:tcPr>
            <w:tcW w:w="5130" w:type="dxa"/>
            <w:vAlign w:val="center"/>
          </w:tcPr>
          <w:p>
            <w:pPr>
              <w:pStyle w:val="2"/>
              <w:snapToGrid w:val="0"/>
              <w:spacing w:line="360" w:lineRule="auto"/>
              <w:rPr>
                <w:rFonts w:ascii="宋体" w:hAnsi="宋体" w:cs="宋体"/>
                <w:b w:val="0"/>
                <w:bCs/>
                <w:color w:val="000000"/>
                <w:szCs w:val="21"/>
              </w:rPr>
            </w:pPr>
            <w:r>
              <w:rPr>
                <w:rFonts w:hint="eastAsia" w:ascii="宋体" w:hAnsi="宋体" w:cs="宋体"/>
                <w:b w:val="0"/>
                <w:bCs/>
                <w:color w:val="000000"/>
                <w:szCs w:val="21"/>
              </w:rPr>
              <w:t>1</w:t>
            </w:r>
            <w:r>
              <w:rPr>
                <w:rFonts w:ascii="宋体" w:hAnsi="宋体" w:cs="宋体"/>
                <w:b w:val="0"/>
                <w:bCs/>
                <w:color w:val="000000"/>
                <w:szCs w:val="21"/>
              </w:rPr>
              <w:t>.</w:t>
            </w:r>
            <w:r>
              <w:rPr>
                <w:rFonts w:hint="eastAsia" w:ascii="宋体" w:hAnsi="宋体" w:cs="宋体"/>
                <w:b w:val="0"/>
                <w:bCs/>
                <w:color w:val="000000"/>
                <w:szCs w:val="21"/>
              </w:rPr>
              <w:t>本次物业项目总体要求人数不少于</w:t>
            </w:r>
            <w:r>
              <w:rPr>
                <w:rFonts w:ascii="宋体" w:hAnsi="宋体" w:cs="宋体"/>
                <w:b w:val="0"/>
                <w:bCs/>
                <w:color w:val="000000"/>
                <w:szCs w:val="21"/>
              </w:rPr>
              <w:t>7</w:t>
            </w:r>
            <w:r>
              <w:rPr>
                <w:rFonts w:hint="eastAsia" w:ascii="宋体" w:hAnsi="宋体" w:cs="宋体"/>
                <w:b w:val="0"/>
                <w:bCs/>
                <w:color w:val="000000"/>
                <w:szCs w:val="21"/>
              </w:rPr>
              <w:t>人，具体岗位及人员安排情况见下表：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866"/>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pct"/>
                  <w:shd w:val="clear" w:color="auto" w:fill="BFBFBF"/>
                  <w:vAlign w:val="center"/>
                </w:tcPr>
                <w:p>
                  <w:pPr>
                    <w:tabs>
                      <w:tab w:val="left" w:pos="426"/>
                    </w:tabs>
                    <w:adjustRightInd w:val="0"/>
                    <w:snapToGrid w:val="0"/>
                    <w:jc w:val="center"/>
                    <w:rPr>
                      <w:rFonts w:ascii="宋体" w:hAnsi="宋体" w:cs="宋体"/>
                      <w:b w:val="0"/>
                      <w:bCs/>
                      <w:szCs w:val="21"/>
                    </w:rPr>
                  </w:pPr>
                  <w:r>
                    <w:rPr>
                      <w:rFonts w:hint="eastAsia" w:ascii="宋体" w:hAnsi="宋体" w:cs="宋体"/>
                      <w:b w:val="0"/>
                      <w:bCs/>
                      <w:szCs w:val="21"/>
                    </w:rPr>
                    <w:t>序号</w:t>
                  </w:r>
                </w:p>
              </w:tc>
              <w:tc>
                <w:tcPr>
                  <w:tcW w:w="1903" w:type="pct"/>
                  <w:shd w:val="clear" w:color="auto" w:fill="BFBFBF"/>
                  <w:vAlign w:val="center"/>
                </w:tcPr>
                <w:p>
                  <w:pPr>
                    <w:tabs>
                      <w:tab w:val="left" w:pos="426"/>
                    </w:tabs>
                    <w:adjustRightInd w:val="0"/>
                    <w:snapToGrid w:val="0"/>
                    <w:jc w:val="center"/>
                    <w:rPr>
                      <w:rFonts w:ascii="宋体" w:hAnsi="宋体" w:cs="宋体"/>
                      <w:b w:val="0"/>
                      <w:bCs/>
                      <w:szCs w:val="21"/>
                    </w:rPr>
                  </w:pPr>
                  <w:r>
                    <w:rPr>
                      <w:rFonts w:hint="eastAsia" w:ascii="宋体" w:hAnsi="宋体" w:cs="宋体"/>
                      <w:b w:val="0"/>
                      <w:bCs/>
                      <w:szCs w:val="21"/>
                    </w:rPr>
                    <w:t>岗位</w:t>
                  </w:r>
                </w:p>
              </w:tc>
              <w:tc>
                <w:tcPr>
                  <w:tcW w:w="1667" w:type="pct"/>
                  <w:shd w:val="clear" w:color="auto" w:fill="BFBFBF"/>
                  <w:vAlign w:val="center"/>
                </w:tcPr>
                <w:p>
                  <w:pPr>
                    <w:tabs>
                      <w:tab w:val="left" w:pos="426"/>
                    </w:tabs>
                    <w:adjustRightInd w:val="0"/>
                    <w:snapToGrid w:val="0"/>
                    <w:jc w:val="center"/>
                    <w:rPr>
                      <w:rFonts w:ascii="宋体" w:hAnsi="宋体" w:cs="宋体"/>
                      <w:b w:val="0"/>
                      <w:bCs/>
                      <w:szCs w:val="21"/>
                    </w:rPr>
                  </w:pPr>
                  <w:r>
                    <w:rPr>
                      <w:rFonts w:hint="eastAsia" w:ascii="宋体" w:hAnsi="宋体" w:cs="宋体"/>
                      <w:b w:val="0"/>
                      <w:bCs/>
                      <w:szCs w:val="21"/>
                    </w:rPr>
                    <w:t>人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pct"/>
                  <w:shd w:val="clear" w:color="auto" w:fill="FFFFFF"/>
                  <w:vAlign w:val="center"/>
                </w:tcPr>
                <w:p>
                  <w:pPr>
                    <w:tabs>
                      <w:tab w:val="left" w:pos="426"/>
                    </w:tabs>
                    <w:adjustRightInd w:val="0"/>
                    <w:snapToGrid w:val="0"/>
                    <w:jc w:val="center"/>
                    <w:rPr>
                      <w:rFonts w:ascii="宋体" w:hAnsi="宋体" w:cs="宋体"/>
                      <w:b w:val="0"/>
                      <w:bCs/>
                      <w:szCs w:val="21"/>
                      <w:highlight w:val="none"/>
                    </w:rPr>
                  </w:pPr>
                  <w:r>
                    <w:rPr>
                      <w:rFonts w:hint="eastAsia" w:ascii="宋体" w:hAnsi="宋体" w:cs="宋体"/>
                      <w:b w:val="0"/>
                      <w:bCs/>
                      <w:szCs w:val="21"/>
                      <w:highlight w:val="none"/>
                    </w:rPr>
                    <w:t>1</w:t>
                  </w:r>
                </w:p>
              </w:tc>
              <w:tc>
                <w:tcPr>
                  <w:tcW w:w="1903" w:type="pct"/>
                  <w:vAlign w:val="center"/>
                </w:tcPr>
                <w:p>
                  <w:pPr>
                    <w:tabs>
                      <w:tab w:val="left" w:pos="426"/>
                    </w:tabs>
                    <w:adjustRightInd w:val="0"/>
                    <w:snapToGrid w:val="0"/>
                    <w:jc w:val="center"/>
                    <w:rPr>
                      <w:rFonts w:ascii="宋体" w:hAnsi="宋体" w:cs="宋体"/>
                      <w:b w:val="0"/>
                      <w:bCs/>
                      <w:szCs w:val="21"/>
                      <w:highlight w:val="none"/>
                    </w:rPr>
                  </w:pPr>
                  <w:r>
                    <w:rPr>
                      <w:rFonts w:hint="eastAsia" w:ascii="宋体" w:hAnsi="宋体" w:cs="宋体"/>
                      <w:b w:val="0"/>
                      <w:bCs/>
                      <w:szCs w:val="21"/>
                      <w:highlight w:val="none"/>
                    </w:rPr>
                    <w:t>维修工</w:t>
                  </w:r>
                </w:p>
              </w:tc>
              <w:tc>
                <w:tcPr>
                  <w:tcW w:w="1667" w:type="pct"/>
                  <w:vAlign w:val="center"/>
                </w:tcPr>
                <w:p>
                  <w:pPr>
                    <w:tabs>
                      <w:tab w:val="left" w:pos="426"/>
                    </w:tabs>
                    <w:adjustRightInd w:val="0"/>
                    <w:snapToGrid w:val="0"/>
                    <w:jc w:val="center"/>
                    <w:rPr>
                      <w:rFonts w:ascii="宋体" w:hAnsi="宋体" w:cs="宋体"/>
                      <w:b w:val="0"/>
                      <w:bCs/>
                      <w:szCs w:val="21"/>
                      <w:highlight w:val="none"/>
                    </w:rPr>
                  </w:pPr>
                  <w:r>
                    <w:rPr>
                      <w:rFonts w:hint="eastAsia" w:ascii="宋体" w:hAnsi="宋体" w:cs="宋体"/>
                      <w:b w:val="0"/>
                      <w:bCs/>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pct"/>
                  <w:shd w:val="clear" w:color="auto" w:fill="FFFFFF"/>
                  <w:vAlign w:val="center"/>
                </w:tcPr>
                <w:p>
                  <w:pPr>
                    <w:tabs>
                      <w:tab w:val="left" w:pos="426"/>
                    </w:tabs>
                    <w:adjustRightInd w:val="0"/>
                    <w:snapToGrid w:val="0"/>
                    <w:jc w:val="center"/>
                    <w:rPr>
                      <w:rFonts w:ascii="宋体" w:hAnsi="宋体" w:cs="宋体"/>
                      <w:b w:val="0"/>
                      <w:bCs/>
                      <w:szCs w:val="21"/>
                      <w:highlight w:val="none"/>
                    </w:rPr>
                  </w:pPr>
                  <w:r>
                    <w:rPr>
                      <w:rFonts w:hint="eastAsia" w:ascii="宋体" w:hAnsi="宋体" w:cs="宋体"/>
                      <w:b w:val="0"/>
                      <w:bCs/>
                      <w:szCs w:val="21"/>
                      <w:highlight w:val="none"/>
                    </w:rPr>
                    <w:t>2</w:t>
                  </w:r>
                </w:p>
              </w:tc>
              <w:tc>
                <w:tcPr>
                  <w:tcW w:w="1903" w:type="pct"/>
                  <w:vAlign w:val="center"/>
                </w:tcPr>
                <w:p>
                  <w:pPr>
                    <w:tabs>
                      <w:tab w:val="left" w:pos="426"/>
                    </w:tabs>
                    <w:adjustRightInd w:val="0"/>
                    <w:snapToGrid w:val="0"/>
                    <w:jc w:val="center"/>
                    <w:rPr>
                      <w:rFonts w:ascii="宋体" w:hAnsi="宋体" w:cs="宋体"/>
                      <w:b w:val="0"/>
                      <w:bCs/>
                      <w:szCs w:val="21"/>
                      <w:highlight w:val="none"/>
                    </w:rPr>
                  </w:pPr>
                  <w:r>
                    <w:rPr>
                      <w:rFonts w:hint="eastAsia" w:ascii="宋体" w:hAnsi="宋体" w:cs="宋体"/>
                      <w:b w:val="0"/>
                      <w:bCs/>
                      <w:szCs w:val="21"/>
                      <w:highlight w:val="none"/>
                    </w:rPr>
                    <w:t>清洁工</w:t>
                  </w:r>
                </w:p>
              </w:tc>
              <w:tc>
                <w:tcPr>
                  <w:tcW w:w="1667" w:type="pct"/>
                  <w:vAlign w:val="center"/>
                </w:tcPr>
                <w:p>
                  <w:pPr>
                    <w:tabs>
                      <w:tab w:val="left" w:pos="426"/>
                    </w:tabs>
                    <w:adjustRightInd w:val="0"/>
                    <w:snapToGrid w:val="0"/>
                    <w:jc w:val="center"/>
                    <w:rPr>
                      <w:rFonts w:hint="eastAsia" w:ascii="宋体" w:hAnsi="宋体" w:eastAsia="宋体" w:cs="宋体"/>
                      <w:b w:val="0"/>
                      <w:bCs/>
                      <w:szCs w:val="21"/>
                      <w:highlight w:val="yellow"/>
                      <w:lang w:eastAsia="zh-CN"/>
                    </w:rPr>
                  </w:pPr>
                  <w:r>
                    <w:rPr>
                      <w:rFonts w:hint="eastAsia" w:ascii="宋体" w:hAnsi="宋体" w:cs="宋体"/>
                      <w:b w:val="0"/>
                      <w:bCs/>
                      <w:szCs w:val="21"/>
                      <w:highlight w:val="yellow"/>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pct"/>
                  <w:shd w:val="clear" w:color="auto" w:fill="FFFFFF"/>
                  <w:vAlign w:val="center"/>
                </w:tcPr>
                <w:p>
                  <w:pPr>
                    <w:tabs>
                      <w:tab w:val="left" w:pos="426"/>
                    </w:tabs>
                    <w:adjustRightInd w:val="0"/>
                    <w:snapToGrid w:val="0"/>
                    <w:jc w:val="center"/>
                    <w:rPr>
                      <w:rFonts w:ascii="宋体" w:hAnsi="宋体" w:cs="宋体"/>
                      <w:b w:val="0"/>
                      <w:bCs/>
                      <w:szCs w:val="21"/>
                      <w:highlight w:val="none"/>
                    </w:rPr>
                  </w:pPr>
                  <w:r>
                    <w:rPr>
                      <w:rFonts w:hint="eastAsia" w:ascii="宋体" w:hAnsi="宋体" w:cs="宋体"/>
                      <w:b w:val="0"/>
                      <w:bCs/>
                      <w:szCs w:val="21"/>
                      <w:highlight w:val="none"/>
                    </w:rPr>
                    <w:t>3</w:t>
                  </w:r>
                </w:p>
              </w:tc>
              <w:tc>
                <w:tcPr>
                  <w:tcW w:w="1903" w:type="pct"/>
                  <w:vAlign w:val="center"/>
                </w:tcPr>
                <w:p>
                  <w:pPr>
                    <w:tabs>
                      <w:tab w:val="left" w:pos="426"/>
                    </w:tabs>
                    <w:adjustRightInd w:val="0"/>
                    <w:snapToGrid w:val="0"/>
                    <w:jc w:val="center"/>
                    <w:rPr>
                      <w:rFonts w:ascii="宋体" w:hAnsi="宋体" w:cs="宋体"/>
                      <w:b w:val="0"/>
                      <w:bCs/>
                      <w:szCs w:val="21"/>
                      <w:highlight w:val="none"/>
                    </w:rPr>
                  </w:pPr>
                  <w:r>
                    <w:rPr>
                      <w:rFonts w:hint="eastAsia" w:ascii="宋体" w:hAnsi="宋体" w:cs="宋体"/>
                      <w:b w:val="0"/>
                      <w:bCs/>
                      <w:szCs w:val="21"/>
                      <w:highlight w:val="none"/>
                    </w:rPr>
                    <w:t>绿化工</w:t>
                  </w:r>
                </w:p>
              </w:tc>
              <w:tc>
                <w:tcPr>
                  <w:tcW w:w="1667" w:type="pct"/>
                  <w:vAlign w:val="center"/>
                </w:tcPr>
                <w:p>
                  <w:pPr>
                    <w:tabs>
                      <w:tab w:val="left" w:pos="426"/>
                    </w:tabs>
                    <w:adjustRightInd w:val="0"/>
                    <w:snapToGrid w:val="0"/>
                    <w:jc w:val="center"/>
                    <w:rPr>
                      <w:rFonts w:hint="eastAsia" w:ascii="宋体" w:hAnsi="宋体" w:eastAsia="宋体" w:cs="宋体"/>
                      <w:b w:val="0"/>
                      <w:bCs/>
                      <w:szCs w:val="21"/>
                      <w:highlight w:val="yellow"/>
                      <w:lang w:eastAsia="zh-CN"/>
                    </w:rPr>
                  </w:pPr>
                  <w:r>
                    <w:rPr>
                      <w:rFonts w:hint="eastAsia" w:ascii="宋体" w:hAnsi="宋体" w:cs="宋体"/>
                      <w:b w:val="0"/>
                      <w:bCs/>
                      <w:szCs w:val="21"/>
                      <w:highlight w:val="yellow"/>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pct"/>
                  <w:shd w:val="clear" w:color="auto" w:fill="FFFFFF"/>
                  <w:vAlign w:val="center"/>
                </w:tcPr>
                <w:p>
                  <w:pPr>
                    <w:tabs>
                      <w:tab w:val="left" w:pos="426"/>
                    </w:tabs>
                    <w:adjustRightInd w:val="0"/>
                    <w:snapToGrid w:val="0"/>
                    <w:jc w:val="center"/>
                    <w:rPr>
                      <w:rFonts w:ascii="宋体" w:hAnsi="宋体" w:cs="宋体"/>
                      <w:b w:val="0"/>
                      <w:bCs/>
                      <w:szCs w:val="21"/>
                      <w:highlight w:val="none"/>
                    </w:rPr>
                  </w:pPr>
                  <w:r>
                    <w:rPr>
                      <w:rFonts w:hint="eastAsia" w:ascii="宋体" w:hAnsi="宋体" w:cs="宋体"/>
                      <w:b w:val="0"/>
                      <w:bCs/>
                      <w:szCs w:val="21"/>
                      <w:highlight w:val="none"/>
                    </w:rPr>
                    <w:t>合计</w:t>
                  </w:r>
                </w:p>
              </w:tc>
              <w:tc>
                <w:tcPr>
                  <w:tcW w:w="1903" w:type="pct"/>
                  <w:vAlign w:val="center"/>
                </w:tcPr>
                <w:p>
                  <w:pPr>
                    <w:tabs>
                      <w:tab w:val="left" w:pos="426"/>
                    </w:tabs>
                    <w:adjustRightInd w:val="0"/>
                    <w:snapToGrid w:val="0"/>
                    <w:jc w:val="center"/>
                    <w:rPr>
                      <w:rFonts w:ascii="宋体" w:hAnsi="宋体" w:cs="宋体"/>
                      <w:b w:val="0"/>
                      <w:bCs/>
                      <w:szCs w:val="21"/>
                      <w:highlight w:val="none"/>
                    </w:rPr>
                  </w:pPr>
                </w:p>
              </w:tc>
              <w:tc>
                <w:tcPr>
                  <w:tcW w:w="1667" w:type="pct"/>
                  <w:vAlign w:val="center"/>
                </w:tcPr>
                <w:p>
                  <w:pPr>
                    <w:tabs>
                      <w:tab w:val="left" w:pos="426"/>
                    </w:tabs>
                    <w:adjustRightInd w:val="0"/>
                    <w:snapToGrid w:val="0"/>
                    <w:jc w:val="center"/>
                    <w:rPr>
                      <w:rFonts w:ascii="宋体" w:hAnsi="宋体" w:cs="宋体"/>
                      <w:b w:val="0"/>
                      <w:bCs/>
                      <w:szCs w:val="21"/>
                      <w:highlight w:val="none"/>
                    </w:rPr>
                  </w:pPr>
                  <w:r>
                    <w:rPr>
                      <w:rFonts w:ascii="宋体" w:hAnsi="宋体" w:cs="宋体"/>
                      <w:b w:val="0"/>
                      <w:bCs/>
                      <w:szCs w:val="21"/>
                      <w:highlight w:val="none"/>
                    </w:rPr>
                    <w:t>7</w:t>
                  </w:r>
                </w:p>
              </w:tc>
            </w:tr>
          </w:tbl>
          <w:p>
            <w:pPr>
              <w:pStyle w:val="2"/>
              <w:snapToGrid w:val="0"/>
              <w:spacing w:line="360" w:lineRule="auto"/>
              <w:rPr>
                <w:rFonts w:ascii="宋体" w:hAnsi="宋体" w:cs="宋体"/>
                <w:b w:val="0"/>
                <w:bCs/>
                <w:color w:val="000000"/>
                <w:szCs w:val="21"/>
              </w:rPr>
            </w:pPr>
            <w:r>
              <w:rPr>
                <w:rFonts w:hint="eastAsia" w:ascii="宋体" w:hAnsi="宋体" w:cs="宋体"/>
                <w:b w:val="0"/>
                <w:bCs/>
                <w:color w:val="000000"/>
                <w:szCs w:val="21"/>
                <w:highlight w:val="none"/>
              </w:rPr>
              <w:t>备注：中标单位须拟派至少1名</w:t>
            </w:r>
            <w:r>
              <w:rPr>
                <w:rFonts w:hint="eastAsia" w:ascii="宋体" w:hAnsi="宋体" w:cs="宋体"/>
                <w:b w:val="0"/>
                <w:bCs/>
                <w:color w:val="000000"/>
                <w:szCs w:val="21"/>
              </w:rPr>
              <w:t>项目经理对本项目进行管理，费用由中标单位自行承担。</w:t>
            </w:r>
          </w:p>
          <w:p>
            <w:pPr>
              <w:pStyle w:val="2"/>
              <w:snapToGrid w:val="0"/>
              <w:spacing w:line="360" w:lineRule="auto"/>
              <w:rPr>
                <w:rFonts w:hint="default" w:ascii="宋体" w:hAnsi="宋体" w:cs="宋体"/>
                <w:b w:val="0"/>
                <w:bCs/>
                <w:color w:val="000000"/>
                <w:szCs w:val="21"/>
                <w:lang w:val="en-US" w:eastAsia="zh-CN"/>
              </w:rPr>
            </w:pPr>
            <w:r>
              <w:rPr>
                <w:rFonts w:hint="eastAsia" w:ascii="宋体" w:hAnsi="宋体" w:cs="宋体"/>
                <w:b w:val="0"/>
                <w:bCs/>
                <w:color w:val="000000"/>
                <w:szCs w:val="21"/>
                <w:lang w:val="en-US" w:eastAsia="zh-CN"/>
              </w:rPr>
              <w:t>2.中标人应按照《中华人民共和国劳动法》的相关规定发放工资，其中项目负责人和主要技术人员的社会保险参保单位须为投标人，服务人员基本工资不得低于深圳市企业职工最低工资标准（工资不含按国家规定供应商必须支付的社会保险及其他应付费用）。</w:t>
            </w:r>
          </w:p>
          <w:p>
            <w:pPr>
              <w:pStyle w:val="2"/>
              <w:snapToGrid w:val="0"/>
              <w:spacing w:line="360" w:lineRule="auto"/>
              <w:rPr>
                <w:rFonts w:ascii="宋体" w:hAnsi="宋体" w:cs="宋体"/>
                <w:b w:val="0"/>
                <w:bCs/>
                <w:color w:val="000000"/>
                <w:szCs w:val="21"/>
              </w:rPr>
            </w:pPr>
            <w:r>
              <w:rPr>
                <w:rFonts w:hint="eastAsia" w:ascii="宋体" w:hAnsi="宋体" w:cs="宋体"/>
                <w:b w:val="0"/>
                <w:bCs/>
                <w:color w:val="000000"/>
                <w:szCs w:val="21"/>
                <w:lang w:val="en-US" w:eastAsia="zh-CN"/>
              </w:rPr>
              <w:t>3</w:t>
            </w:r>
            <w:r>
              <w:rPr>
                <w:rFonts w:ascii="宋体" w:hAnsi="宋体" w:cs="宋体"/>
                <w:b w:val="0"/>
                <w:bCs/>
                <w:color w:val="000000"/>
                <w:szCs w:val="21"/>
              </w:rPr>
              <w:t>.</w:t>
            </w:r>
            <w:r>
              <w:rPr>
                <w:rFonts w:hint="eastAsia" w:ascii="宋体" w:hAnsi="宋体" w:cs="宋体"/>
                <w:b w:val="0"/>
                <w:bCs/>
                <w:color w:val="000000"/>
                <w:szCs w:val="21"/>
              </w:rPr>
              <w:t>人员素质：为保证服务质量和维护系统的形象，人员配置须遵守《劳动法》等相关规定，避免引起劳动纠纷。主要岗位人员持证上岗，具体要求如下：</w:t>
            </w:r>
          </w:p>
          <w:p>
            <w:pPr>
              <w:pStyle w:val="2"/>
              <w:snapToGrid w:val="0"/>
              <w:spacing w:line="360" w:lineRule="auto"/>
              <w:rPr>
                <w:rFonts w:ascii="宋体" w:hAnsi="宋体" w:cs="宋体"/>
                <w:b w:val="0"/>
                <w:bCs/>
                <w:color w:val="000000"/>
                <w:szCs w:val="21"/>
              </w:rPr>
            </w:pPr>
            <w:r>
              <w:rPr>
                <w:rFonts w:hint="eastAsia" w:ascii="宋体" w:hAnsi="宋体" w:cs="宋体"/>
                <w:b w:val="0"/>
                <w:bCs/>
                <w:color w:val="000000"/>
                <w:szCs w:val="21"/>
              </w:rPr>
              <w:t>（1）维修工</w:t>
            </w:r>
          </w:p>
          <w:p>
            <w:pPr>
              <w:pStyle w:val="2"/>
              <w:snapToGrid w:val="0"/>
              <w:spacing w:line="360" w:lineRule="auto"/>
              <w:rPr>
                <w:rFonts w:ascii="宋体" w:hAnsi="宋体" w:cs="宋体"/>
                <w:b w:val="0"/>
                <w:bCs/>
                <w:color w:val="000000"/>
                <w:szCs w:val="21"/>
              </w:rPr>
            </w:pPr>
            <w:r>
              <w:rPr>
                <w:rFonts w:hint="eastAsia" w:ascii="宋体" w:hAnsi="宋体" w:cs="宋体"/>
                <w:b w:val="0"/>
                <w:bCs/>
                <w:color w:val="000000"/>
                <w:szCs w:val="21"/>
              </w:rPr>
              <w:t>有维修工工作经验和能力，有强烈的事业心和责任心，能吃苦耐劳。</w:t>
            </w:r>
          </w:p>
          <w:p>
            <w:pPr>
              <w:pStyle w:val="2"/>
              <w:snapToGrid w:val="0"/>
              <w:spacing w:line="360" w:lineRule="auto"/>
              <w:rPr>
                <w:rFonts w:ascii="宋体" w:hAnsi="宋体" w:cs="宋体"/>
                <w:b w:val="0"/>
                <w:bCs/>
                <w:color w:val="000000"/>
                <w:szCs w:val="21"/>
              </w:rPr>
            </w:pPr>
            <w:r>
              <w:rPr>
                <w:rFonts w:hint="eastAsia" w:ascii="宋体" w:hAnsi="宋体" w:cs="宋体"/>
                <w:b w:val="0"/>
                <w:bCs/>
                <w:color w:val="000000"/>
                <w:szCs w:val="21"/>
              </w:rPr>
              <w:t>（2）保洁员、绿化工。</w:t>
            </w:r>
          </w:p>
          <w:p>
            <w:pPr>
              <w:pStyle w:val="2"/>
              <w:snapToGrid w:val="0"/>
              <w:spacing w:line="360" w:lineRule="auto"/>
              <w:rPr>
                <w:rFonts w:ascii="宋体" w:hAnsi="宋体" w:cs="宋体"/>
                <w:b w:val="0"/>
                <w:bCs/>
                <w:color w:val="000000"/>
                <w:szCs w:val="21"/>
              </w:rPr>
            </w:pPr>
            <w:r>
              <w:rPr>
                <w:rFonts w:hint="eastAsia" w:ascii="宋体" w:hAnsi="宋体" w:cs="宋体"/>
                <w:b w:val="0"/>
                <w:bCs/>
                <w:color w:val="000000"/>
                <w:szCs w:val="21"/>
              </w:rPr>
              <w:t>要求身体健康，有从事过相关工作一年以上经验，仪表整洁，礼貌、和蔼，有良好素养。</w:t>
            </w:r>
          </w:p>
        </w:tc>
        <w:tc>
          <w:tcPr>
            <w:tcW w:w="675" w:type="dxa"/>
            <w:vAlign w:val="center"/>
          </w:tcPr>
          <w:p>
            <w:pPr>
              <w:spacing w:line="276" w:lineRule="auto"/>
              <w:rPr>
                <w:rFonts w:asciiTheme="minorEastAsia" w:hAnsiTheme="minorEastAsia" w:eastAsiaTheme="minorEastAsia"/>
                <w:b w:val="0"/>
                <w:bCs/>
                <w:szCs w:val="21"/>
              </w:rPr>
            </w:pPr>
          </w:p>
        </w:tc>
        <w:tc>
          <w:tcPr>
            <w:tcW w:w="1188" w:type="dxa"/>
            <w:vAlign w:val="center"/>
          </w:tcPr>
          <w:p>
            <w:pPr>
              <w:spacing w:line="276" w:lineRule="auto"/>
              <w:rPr>
                <w:rFonts w:asciiTheme="minorEastAsia" w:hAnsiTheme="minorEastAsia" w:eastAsiaTheme="minorEastAsia"/>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276" w:lineRule="auto"/>
              <w:rPr>
                <w:rFonts w:asciiTheme="minorEastAsia" w:hAnsiTheme="minorEastAsia" w:eastAsiaTheme="minorEastAsia"/>
                <w:b w:val="0"/>
                <w:bCs/>
                <w:szCs w:val="21"/>
              </w:rPr>
            </w:pPr>
            <w:r>
              <w:rPr>
                <w:rFonts w:hint="eastAsia" w:asciiTheme="minorEastAsia" w:hAnsiTheme="minorEastAsia" w:eastAsiaTheme="minorEastAsia"/>
                <w:b w:val="0"/>
                <w:bCs/>
                <w:szCs w:val="21"/>
              </w:rPr>
              <w:t>4</w:t>
            </w:r>
          </w:p>
        </w:tc>
        <w:tc>
          <w:tcPr>
            <w:tcW w:w="2205" w:type="dxa"/>
            <w:vAlign w:val="center"/>
          </w:tcPr>
          <w:p>
            <w:pPr>
              <w:spacing w:line="276" w:lineRule="auto"/>
              <w:jc w:val="center"/>
              <w:rPr>
                <w:rFonts w:asciiTheme="minorEastAsia" w:hAnsiTheme="minorEastAsia" w:eastAsiaTheme="minorEastAsia"/>
                <w:b w:val="0"/>
                <w:bCs/>
                <w:szCs w:val="21"/>
              </w:rPr>
            </w:pPr>
            <w:r>
              <w:rPr>
                <w:rFonts w:hint="eastAsia" w:ascii="宋体" w:hAnsi="宋体" w:cs="宋体"/>
                <w:b w:val="0"/>
                <w:bCs/>
                <w:color w:val="FF0000"/>
                <w:szCs w:val="21"/>
              </w:rPr>
              <w:t>★</w:t>
            </w:r>
            <w:r>
              <w:rPr>
                <w:rFonts w:hint="eastAsia" w:asciiTheme="minorEastAsia" w:hAnsiTheme="minorEastAsia" w:eastAsiaTheme="minorEastAsia"/>
                <w:b w:val="0"/>
                <w:bCs/>
                <w:color w:val="FF0000"/>
                <w:szCs w:val="21"/>
              </w:rPr>
              <w:t>服务期限</w:t>
            </w:r>
          </w:p>
        </w:tc>
        <w:tc>
          <w:tcPr>
            <w:tcW w:w="5130" w:type="dxa"/>
            <w:vAlign w:val="center"/>
          </w:tcPr>
          <w:p>
            <w:pPr>
              <w:spacing w:line="276" w:lineRule="auto"/>
              <w:rPr>
                <w:rFonts w:asciiTheme="minorEastAsia" w:hAnsiTheme="minorEastAsia" w:eastAsiaTheme="minorEastAsia"/>
                <w:b w:val="0"/>
                <w:bCs/>
                <w:szCs w:val="21"/>
              </w:rPr>
            </w:pPr>
            <w:r>
              <w:rPr>
                <w:rFonts w:hint="eastAsia" w:asciiTheme="minorEastAsia" w:hAnsiTheme="minorEastAsia" w:eastAsiaTheme="minorEastAsia"/>
                <w:b w:val="0"/>
                <w:bCs/>
                <w:szCs w:val="21"/>
              </w:rPr>
              <w:t>自合同签订起一年。本项目服务期限最长为36个月，合同一年一签，如采购方对履约情况不满意，采购方不再续约。因政策原因需要终止服务的，招标人可以通知供应商解除合同。</w:t>
            </w:r>
          </w:p>
        </w:tc>
        <w:tc>
          <w:tcPr>
            <w:tcW w:w="675" w:type="dxa"/>
            <w:vAlign w:val="center"/>
          </w:tcPr>
          <w:p>
            <w:pPr>
              <w:spacing w:line="276" w:lineRule="auto"/>
              <w:rPr>
                <w:rFonts w:asciiTheme="minorEastAsia" w:hAnsiTheme="minorEastAsia" w:eastAsiaTheme="minorEastAsia"/>
                <w:b w:val="0"/>
                <w:bCs/>
                <w:szCs w:val="21"/>
              </w:rPr>
            </w:pPr>
          </w:p>
        </w:tc>
        <w:tc>
          <w:tcPr>
            <w:tcW w:w="1188" w:type="dxa"/>
            <w:vAlign w:val="center"/>
          </w:tcPr>
          <w:p>
            <w:pPr>
              <w:spacing w:line="276" w:lineRule="auto"/>
              <w:rPr>
                <w:rFonts w:asciiTheme="minorEastAsia" w:hAnsiTheme="minorEastAsia" w:eastAsiaTheme="minorEastAsia"/>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276" w:lineRule="auto"/>
              <w:rPr>
                <w:rFonts w:hint="eastAsia" w:asciiTheme="minorEastAsia" w:hAnsiTheme="minorEastAsia" w:eastAsiaTheme="minorEastAsia"/>
                <w:b w:val="0"/>
                <w:bCs/>
                <w:szCs w:val="21"/>
                <w:lang w:eastAsia="zh-CN"/>
              </w:rPr>
            </w:pPr>
            <w:r>
              <w:rPr>
                <w:rFonts w:hint="eastAsia" w:asciiTheme="minorEastAsia" w:hAnsiTheme="minorEastAsia" w:eastAsiaTheme="minorEastAsia"/>
                <w:b w:val="0"/>
                <w:bCs/>
                <w:szCs w:val="21"/>
                <w:lang w:val="en-US" w:eastAsia="zh-CN"/>
              </w:rPr>
              <w:t>5</w:t>
            </w:r>
          </w:p>
        </w:tc>
        <w:tc>
          <w:tcPr>
            <w:tcW w:w="2205" w:type="dxa"/>
            <w:vAlign w:val="center"/>
          </w:tcPr>
          <w:p>
            <w:pPr>
              <w:spacing w:line="276" w:lineRule="auto"/>
              <w:jc w:val="center"/>
              <w:rPr>
                <w:rFonts w:asciiTheme="minorEastAsia" w:hAnsiTheme="minorEastAsia" w:eastAsiaTheme="minorEastAsia"/>
                <w:b w:val="0"/>
                <w:bCs/>
                <w:szCs w:val="21"/>
              </w:rPr>
            </w:pPr>
            <w:r>
              <w:rPr>
                <w:rFonts w:hint="eastAsia" w:asciiTheme="minorEastAsia" w:hAnsiTheme="minorEastAsia" w:eastAsiaTheme="minorEastAsia"/>
                <w:b w:val="0"/>
                <w:bCs/>
                <w:szCs w:val="21"/>
              </w:rPr>
              <w:t>其他要求</w:t>
            </w:r>
          </w:p>
        </w:tc>
        <w:tc>
          <w:tcPr>
            <w:tcW w:w="5130" w:type="dxa"/>
            <w:vAlign w:val="center"/>
          </w:tcPr>
          <w:p>
            <w:pPr>
              <w:spacing w:line="276" w:lineRule="auto"/>
              <w:ind w:firstLine="420" w:firstLineChars="200"/>
              <w:rPr>
                <w:rFonts w:asciiTheme="minorEastAsia" w:hAnsiTheme="minorEastAsia" w:eastAsiaTheme="minorEastAsia"/>
                <w:b w:val="0"/>
                <w:bCs/>
                <w:szCs w:val="21"/>
              </w:rPr>
            </w:pPr>
            <w:r>
              <w:rPr>
                <w:rFonts w:hint="eastAsia" w:asciiTheme="minorEastAsia" w:hAnsiTheme="minorEastAsia" w:eastAsiaTheme="minorEastAsia"/>
                <w:b w:val="0"/>
                <w:bCs/>
                <w:szCs w:val="21"/>
              </w:rPr>
              <w:t>1.</w:t>
            </w:r>
            <w:r>
              <w:rPr>
                <w:rFonts w:hint="eastAsia" w:ascii="宋体" w:hAnsi="宋体"/>
                <w:snapToGrid w:val="0"/>
                <w:color w:val="auto"/>
                <w:kern w:val="0"/>
                <w:szCs w:val="24"/>
                <w:highlight w:val="none"/>
                <w:lang w:val="en-US" w:eastAsia="zh-CN"/>
              </w:rPr>
              <w:t>中标人</w:t>
            </w:r>
            <w:r>
              <w:rPr>
                <w:rFonts w:hint="eastAsia" w:asciiTheme="minorEastAsia" w:hAnsiTheme="minorEastAsia" w:eastAsiaTheme="minorEastAsia"/>
                <w:b w:val="0"/>
                <w:bCs/>
                <w:szCs w:val="21"/>
              </w:rPr>
              <w:t>中标后按中标价与学校签订物业管理服务合同，由学校按月支付物业管理服务费用。</w:t>
            </w:r>
          </w:p>
          <w:p>
            <w:pPr>
              <w:spacing w:line="276" w:lineRule="auto"/>
              <w:ind w:firstLine="420" w:firstLineChars="200"/>
              <w:rPr>
                <w:rFonts w:asciiTheme="minorEastAsia" w:hAnsiTheme="minorEastAsia" w:eastAsiaTheme="minorEastAsia"/>
                <w:b w:val="0"/>
                <w:bCs/>
                <w:szCs w:val="21"/>
              </w:rPr>
            </w:pPr>
            <w:r>
              <w:rPr>
                <w:rFonts w:hint="eastAsia" w:asciiTheme="minorEastAsia" w:hAnsiTheme="minorEastAsia" w:eastAsiaTheme="minorEastAsia"/>
                <w:b w:val="0"/>
                <w:bCs/>
                <w:szCs w:val="21"/>
              </w:rPr>
              <w:t>2.学校物业服务的特殊工种(电梯维护、消杀、外墙清洗等)须委托有资质证书或资格证书的企业。</w:t>
            </w:r>
          </w:p>
          <w:p>
            <w:pPr>
              <w:spacing w:line="276" w:lineRule="auto"/>
              <w:ind w:firstLine="420" w:firstLineChars="200"/>
              <w:rPr>
                <w:rFonts w:asciiTheme="minorEastAsia" w:hAnsiTheme="minorEastAsia" w:eastAsiaTheme="minorEastAsia"/>
                <w:b w:val="0"/>
                <w:bCs/>
                <w:szCs w:val="21"/>
              </w:rPr>
            </w:pPr>
            <w:r>
              <w:rPr>
                <w:rFonts w:hint="eastAsia" w:asciiTheme="minorEastAsia" w:hAnsiTheme="minorEastAsia" w:eastAsiaTheme="minorEastAsia"/>
                <w:b w:val="0"/>
                <w:bCs/>
                <w:szCs w:val="21"/>
              </w:rPr>
              <w:t>3.甲方违反本合同约定，导致乙方未能完成服务内容的，乙方有权要求甲方限期解决:逾期未解决的，乙方可要求甲方支付1个月物业管理服务费的违约金:造成损失的，乙方可要求甲方承担相应的赔偿责任。</w:t>
            </w:r>
          </w:p>
          <w:p>
            <w:pPr>
              <w:spacing w:line="276" w:lineRule="auto"/>
              <w:ind w:firstLine="420" w:firstLineChars="200"/>
              <w:rPr>
                <w:rFonts w:asciiTheme="minorEastAsia" w:hAnsiTheme="minorEastAsia" w:eastAsiaTheme="minorEastAsia"/>
                <w:b w:val="0"/>
                <w:bCs/>
                <w:szCs w:val="21"/>
              </w:rPr>
            </w:pPr>
            <w:r>
              <w:rPr>
                <w:rFonts w:hint="eastAsia" w:asciiTheme="minorEastAsia" w:hAnsiTheme="minorEastAsia" w:eastAsiaTheme="minorEastAsia"/>
                <w:b w:val="0"/>
                <w:bCs/>
                <w:szCs w:val="21"/>
              </w:rPr>
              <w:t>4.乙方提供的服务达不到本合同约定的标准的，甲方有权要求乙方在合理期限内改进，乙方未能改进的，甲方可要求乙方支付1个月物业管理服务费的违约金:给甲方造成损失的，甲方可要求乙方承担相应的赔偿责任。</w:t>
            </w:r>
          </w:p>
          <w:p>
            <w:pPr>
              <w:spacing w:line="276" w:lineRule="auto"/>
              <w:ind w:firstLine="420" w:firstLineChars="200"/>
              <w:rPr>
                <w:rFonts w:asciiTheme="minorEastAsia" w:hAnsiTheme="minorEastAsia" w:eastAsiaTheme="minorEastAsia"/>
                <w:b w:val="0"/>
                <w:bCs/>
                <w:szCs w:val="21"/>
              </w:rPr>
            </w:pPr>
            <w:r>
              <w:rPr>
                <w:rFonts w:hint="eastAsia" w:asciiTheme="minorEastAsia" w:hAnsiTheme="minorEastAsia" w:eastAsiaTheme="minorEastAsia"/>
                <w:b w:val="0"/>
                <w:bCs/>
                <w:szCs w:val="21"/>
              </w:rPr>
              <w:t>5.中标人应承担以下费用:</w:t>
            </w:r>
          </w:p>
          <w:p>
            <w:pPr>
              <w:spacing w:line="276" w:lineRule="auto"/>
              <w:ind w:firstLine="420" w:firstLineChars="200"/>
              <w:rPr>
                <w:rFonts w:asciiTheme="minorEastAsia" w:hAnsiTheme="minorEastAsia" w:eastAsiaTheme="minorEastAsia"/>
                <w:b w:val="0"/>
                <w:bCs/>
                <w:szCs w:val="21"/>
              </w:rPr>
            </w:pPr>
            <w:r>
              <w:rPr>
                <w:rFonts w:hint="eastAsia" w:asciiTheme="minorEastAsia" w:hAnsiTheme="minorEastAsia" w:eastAsiaTheme="minorEastAsia"/>
                <w:b w:val="0"/>
                <w:bCs/>
                <w:szCs w:val="21"/>
              </w:rPr>
              <w:t>(1)本项目所涉及的各类手续报批、应检等费用:</w:t>
            </w:r>
          </w:p>
          <w:p>
            <w:pPr>
              <w:spacing w:line="276" w:lineRule="auto"/>
              <w:ind w:firstLine="420" w:firstLineChars="200"/>
              <w:rPr>
                <w:rFonts w:asciiTheme="minorEastAsia" w:hAnsiTheme="minorEastAsia" w:eastAsiaTheme="minorEastAsia"/>
                <w:b w:val="0"/>
                <w:bCs/>
                <w:szCs w:val="21"/>
              </w:rPr>
            </w:pPr>
            <w:r>
              <w:rPr>
                <w:rFonts w:hint="eastAsia" w:asciiTheme="minorEastAsia" w:hAnsiTheme="minorEastAsia" w:eastAsiaTheme="minorEastAsia"/>
                <w:b w:val="0"/>
                <w:bCs/>
                <w:szCs w:val="21"/>
              </w:rPr>
              <w:t>(2)本项目所涉及员工工资、福利、保险、税金等以及所需要的设备、配件、工具、耗材、服装等管理费用(本标书列明由学校提供的除外)。</w:t>
            </w:r>
          </w:p>
          <w:p>
            <w:pPr>
              <w:spacing w:line="276" w:lineRule="auto"/>
              <w:ind w:firstLine="420" w:firstLineChars="200"/>
              <w:rPr>
                <w:rFonts w:asciiTheme="minorEastAsia" w:hAnsiTheme="minorEastAsia" w:eastAsiaTheme="minorEastAsia"/>
                <w:b w:val="0"/>
                <w:bCs/>
                <w:szCs w:val="21"/>
              </w:rPr>
            </w:pPr>
            <w:r>
              <w:rPr>
                <w:rFonts w:hint="eastAsia" w:asciiTheme="minorEastAsia" w:hAnsiTheme="minorEastAsia" w:eastAsiaTheme="minorEastAsia"/>
                <w:b w:val="0"/>
                <w:bCs/>
                <w:szCs w:val="21"/>
              </w:rPr>
              <w:t>6.中标人拟委派人员的基本情况必须报学校备案，派出人员必须遵守学校规章制度,人员必须做到相对稳定，不得频繁变动，如有人员调动或离职，须在 24小时内配齐，以保证工作正常运转。</w:t>
            </w:r>
          </w:p>
          <w:p>
            <w:pPr>
              <w:pStyle w:val="2"/>
              <w:spacing w:line="276" w:lineRule="auto"/>
              <w:ind w:firstLine="420" w:firstLineChars="200"/>
              <w:rPr>
                <w:rFonts w:asciiTheme="minorEastAsia" w:hAnsiTheme="minorEastAsia" w:eastAsiaTheme="minorEastAsia"/>
                <w:b w:val="0"/>
                <w:bCs/>
              </w:rPr>
            </w:pPr>
            <w:r>
              <w:rPr>
                <w:rFonts w:asciiTheme="minorEastAsia" w:hAnsiTheme="minorEastAsia" w:eastAsiaTheme="minorEastAsia"/>
                <w:b w:val="0"/>
                <w:bCs/>
              </w:rPr>
              <w:t>7.</w:t>
            </w:r>
            <w:r>
              <w:rPr>
                <w:rFonts w:hint="eastAsia" w:asciiTheme="minorEastAsia" w:hAnsiTheme="minorEastAsia" w:eastAsiaTheme="minorEastAsia"/>
                <w:b w:val="0"/>
                <w:bCs/>
              </w:rPr>
              <w:t>如果中标人聘用达到或超过法定退休年龄的人员，又不能为其购买社会保险时，应为其投保足额的医疗、意外伤害商业保险。而且，当发生医疗、意外伤害事件后，相关保险理赔不足以满足其医疗费支出时，由中标人先行垫付后再依法追偿。</w:t>
            </w:r>
          </w:p>
          <w:p>
            <w:pPr>
              <w:pStyle w:val="2"/>
              <w:spacing w:line="276" w:lineRule="auto"/>
              <w:ind w:firstLine="420" w:firstLineChars="200"/>
              <w:rPr>
                <w:rFonts w:asciiTheme="minorEastAsia" w:hAnsiTheme="minorEastAsia" w:eastAsiaTheme="minorEastAsia"/>
                <w:b w:val="0"/>
                <w:bCs/>
              </w:rPr>
            </w:pPr>
            <w:r>
              <w:rPr>
                <w:rFonts w:asciiTheme="minorEastAsia" w:hAnsiTheme="minorEastAsia" w:eastAsiaTheme="minorEastAsia"/>
                <w:b w:val="0"/>
                <w:bCs/>
              </w:rPr>
              <w:t>8.</w:t>
            </w:r>
            <w:r>
              <w:rPr>
                <w:rFonts w:hint="eastAsia" w:asciiTheme="minorEastAsia" w:hAnsiTheme="minorEastAsia" w:eastAsiaTheme="minorEastAsia"/>
                <w:b w:val="0"/>
                <w:bCs/>
              </w:rPr>
              <w:t>为保证物业服务质量，项目负责人（项目经理）应为中标人聘用人员，合同签订主体、工资发放主体、社保缴纳主体必须为中标人或其授权分公司且必须为同一单位。除项目管理团队成员外，其余人员均应为中标人聘用人员或采用劳务派遣方式用工人员。</w:t>
            </w:r>
          </w:p>
        </w:tc>
        <w:tc>
          <w:tcPr>
            <w:tcW w:w="675" w:type="dxa"/>
            <w:vAlign w:val="center"/>
          </w:tcPr>
          <w:p>
            <w:pPr>
              <w:spacing w:line="276" w:lineRule="auto"/>
              <w:rPr>
                <w:rFonts w:asciiTheme="minorEastAsia" w:hAnsiTheme="minorEastAsia" w:eastAsiaTheme="minorEastAsia"/>
                <w:b w:val="0"/>
                <w:bCs/>
                <w:szCs w:val="21"/>
              </w:rPr>
            </w:pPr>
          </w:p>
        </w:tc>
        <w:tc>
          <w:tcPr>
            <w:tcW w:w="1188" w:type="dxa"/>
            <w:vAlign w:val="center"/>
          </w:tcPr>
          <w:p>
            <w:pPr>
              <w:spacing w:line="276" w:lineRule="auto"/>
              <w:rPr>
                <w:rFonts w:asciiTheme="minorEastAsia" w:hAnsiTheme="minorEastAsia" w:eastAsiaTheme="minorEastAsia"/>
                <w:b w:val="0"/>
                <w:bCs/>
                <w:szCs w:val="21"/>
              </w:rPr>
            </w:pPr>
          </w:p>
        </w:tc>
      </w:tr>
    </w:tbl>
    <w:p>
      <w:pPr>
        <w:rPr>
          <w:b/>
          <w:sz w:val="24"/>
          <w:highlight w:val="none"/>
        </w:rPr>
      </w:pPr>
    </w:p>
    <w:p>
      <w:pPr>
        <w:pStyle w:val="4"/>
        <w:spacing w:before="120" w:beforeLines="50" w:after="120" w:afterLines="50"/>
        <w:rPr>
          <w:szCs w:val="24"/>
          <w:highlight w:val="none"/>
        </w:rPr>
      </w:pPr>
      <w:r>
        <w:rPr>
          <w:rFonts w:hint="eastAsia"/>
          <w:szCs w:val="24"/>
          <w:highlight w:val="none"/>
        </w:rPr>
        <w:t>六、商务要求</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147"/>
        <w:gridCol w:w="6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25" w:type="dxa"/>
            <w:vAlign w:val="center"/>
          </w:tcPr>
          <w:p>
            <w:pPr>
              <w:widowControl/>
              <w:jc w:val="center"/>
              <w:rPr>
                <w:b/>
                <w:szCs w:val="21"/>
                <w:highlight w:val="none"/>
              </w:rPr>
            </w:pPr>
            <w:r>
              <w:rPr>
                <w:rFonts w:hint="eastAsia"/>
                <w:b/>
                <w:szCs w:val="21"/>
                <w:highlight w:val="none"/>
              </w:rPr>
              <w:t>序号</w:t>
            </w:r>
          </w:p>
        </w:tc>
        <w:tc>
          <w:tcPr>
            <w:tcW w:w="1147" w:type="dxa"/>
            <w:vAlign w:val="center"/>
          </w:tcPr>
          <w:p>
            <w:pPr>
              <w:widowControl/>
              <w:jc w:val="center"/>
              <w:rPr>
                <w:b/>
                <w:szCs w:val="21"/>
                <w:highlight w:val="none"/>
              </w:rPr>
            </w:pPr>
            <w:r>
              <w:rPr>
                <w:rFonts w:hint="eastAsia"/>
                <w:b/>
                <w:szCs w:val="21"/>
                <w:highlight w:val="none"/>
              </w:rPr>
              <w:t>目录</w:t>
            </w:r>
          </w:p>
        </w:tc>
        <w:tc>
          <w:tcPr>
            <w:tcW w:w="6757" w:type="dxa"/>
            <w:vAlign w:val="center"/>
          </w:tcPr>
          <w:p>
            <w:pPr>
              <w:widowControl/>
              <w:jc w:val="center"/>
              <w:rPr>
                <w:b/>
                <w:szCs w:val="21"/>
                <w:highlight w:val="none"/>
              </w:rPr>
            </w:pPr>
            <w:r>
              <w:rPr>
                <w:rFonts w:hint="eastAsia" w:ascii="宋体" w:hAnsi="宋体" w:cs="宋体"/>
                <w:szCs w:val="21"/>
                <w:highlight w:val="none"/>
              </w:rPr>
              <w:t>★</w:t>
            </w:r>
            <w:r>
              <w:rPr>
                <w:rFonts w:hint="eastAsia"/>
                <w:b/>
                <w:szCs w:val="21"/>
                <w:highlight w:val="none"/>
              </w:rPr>
              <w:t>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jc w:val="center"/>
              <w:outlineLvl w:val="0"/>
              <w:rPr>
                <w:rFonts w:ascii="宋体" w:hAnsi="宋体"/>
                <w:b/>
                <w:bCs/>
                <w:szCs w:val="21"/>
                <w:highlight w:val="none"/>
              </w:rPr>
            </w:pPr>
            <w:r>
              <w:rPr>
                <w:rFonts w:hint="eastAsia" w:ascii="宋体" w:hAnsi="宋体"/>
                <w:b/>
                <w:bCs/>
                <w:szCs w:val="21"/>
                <w:highlight w:val="none"/>
              </w:rPr>
              <w:t>1</w:t>
            </w:r>
          </w:p>
        </w:tc>
        <w:tc>
          <w:tcPr>
            <w:tcW w:w="1147" w:type="dxa"/>
            <w:vAlign w:val="center"/>
          </w:tcPr>
          <w:p>
            <w:pPr>
              <w:jc w:val="center"/>
              <w:outlineLvl w:val="0"/>
              <w:rPr>
                <w:rFonts w:ascii="宋体" w:hAnsi="宋体"/>
                <w:b/>
                <w:bCs/>
                <w:szCs w:val="21"/>
                <w:highlight w:val="none"/>
              </w:rPr>
            </w:pPr>
            <w:r>
              <w:rPr>
                <w:rFonts w:hint="eastAsia" w:ascii="宋体" w:hAnsi="宋体"/>
                <w:b/>
                <w:bCs/>
                <w:szCs w:val="21"/>
                <w:highlight w:val="none"/>
              </w:rPr>
              <w:t>服务期要求</w:t>
            </w:r>
          </w:p>
        </w:tc>
        <w:tc>
          <w:tcPr>
            <w:tcW w:w="6757" w:type="dxa"/>
          </w:tcPr>
          <w:p>
            <w:pPr>
              <w:spacing w:line="276" w:lineRule="auto"/>
              <w:rPr>
                <w:highlight w:val="none"/>
              </w:rPr>
            </w:pPr>
            <w:r>
              <w:rPr>
                <w:rFonts w:hint="eastAsia"/>
                <w:highlight w:val="none"/>
              </w:rPr>
              <w:t xml:space="preserve">系指合同签订之日起至服务结束的时间期限。具体是指本项目服务期限为自合同签订 </w:t>
            </w:r>
            <w:r>
              <w:rPr>
                <w:highlight w:val="none"/>
              </w:rPr>
              <w:t>12个月</w:t>
            </w:r>
            <w:r>
              <w:rPr>
                <w:rFonts w:hint="eastAsia"/>
                <w:highlight w:val="none"/>
              </w:rPr>
              <w:t>。</w:t>
            </w:r>
          </w:p>
          <w:p>
            <w:pPr>
              <w:spacing w:line="276" w:lineRule="auto"/>
              <w:rPr>
                <w:highlight w:val="none"/>
              </w:rPr>
            </w:pPr>
            <w:r>
              <w:rPr>
                <w:rFonts w:hint="eastAsia"/>
                <w:highlight w:val="none"/>
              </w:rPr>
              <w:t>本项目为长期服务项目，合同期满可以续签，但合同履行期限最长不得超过三十六个月。如甲方对履约情况不满意，甲方不再续约。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jc w:val="center"/>
              <w:outlineLvl w:val="0"/>
              <w:rPr>
                <w:rFonts w:ascii="宋体" w:hAnsi="宋体"/>
                <w:b/>
                <w:bCs/>
                <w:szCs w:val="21"/>
                <w:highlight w:val="none"/>
              </w:rPr>
            </w:pPr>
            <w:r>
              <w:rPr>
                <w:rFonts w:hint="eastAsia" w:ascii="宋体" w:hAnsi="宋体"/>
                <w:b/>
                <w:bCs/>
                <w:szCs w:val="21"/>
                <w:highlight w:val="none"/>
              </w:rPr>
              <w:t>2</w:t>
            </w:r>
          </w:p>
        </w:tc>
        <w:tc>
          <w:tcPr>
            <w:tcW w:w="1147" w:type="dxa"/>
            <w:vAlign w:val="center"/>
          </w:tcPr>
          <w:p>
            <w:pPr>
              <w:jc w:val="center"/>
              <w:outlineLvl w:val="0"/>
              <w:rPr>
                <w:rFonts w:ascii="宋体" w:hAnsi="宋体"/>
                <w:b/>
                <w:bCs/>
                <w:szCs w:val="21"/>
                <w:highlight w:val="none"/>
              </w:rPr>
            </w:pPr>
            <w:r>
              <w:rPr>
                <w:rFonts w:hint="eastAsia" w:ascii="宋体" w:hAnsi="宋体"/>
                <w:b/>
                <w:bCs/>
                <w:szCs w:val="21"/>
                <w:highlight w:val="none"/>
              </w:rPr>
              <w:t>服务地点</w:t>
            </w:r>
          </w:p>
        </w:tc>
        <w:tc>
          <w:tcPr>
            <w:tcW w:w="6757" w:type="dxa"/>
          </w:tcPr>
          <w:p>
            <w:pPr>
              <w:outlineLvl w:val="0"/>
              <w:rPr>
                <w:rFonts w:hint="default" w:ascii="宋体" w:hAnsi="宋体" w:eastAsia="宋体"/>
                <w:b/>
                <w:sz w:val="28"/>
                <w:szCs w:val="28"/>
                <w:highlight w:val="none"/>
                <w:lang w:val="en-US" w:eastAsia="zh-CN"/>
              </w:rPr>
            </w:pPr>
            <w:r>
              <w:rPr>
                <w:rFonts w:hint="default" w:ascii="Times New Roman" w:hAnsi="Times New Roman" w:eastAsia="宋体" w:cs="Times New Roman"/>
                <w:highlight w:val="none"/>
                <w:lang w:val="en-US" w:eastAsia="zh-CN"/>
              </w:rPr>
              <w:t>深圳市福田区景田北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jc w:val="center"/>
              <w:outlineLvl w:val="0"/>
              <w:rPr>
                <w:rFonts w:ascii="宋体" w:hAnsi="宋体"/>
                <w:b/>
                <w:bCs/>
                <w:szCs w:val="21"/>
                <w:highlight w:val="none"/>
              </w:rPr>
            </w:pPr>
            <w:r>
              <w:rPr>
                <w:rFonts w:hint="eastAsia" w:ascii="宋体" w:hAnsi="宋体"/>
                <w:b/>
                <w:bCs/>
                <w:szCs w:val="21"/>
                <w:highlight w:val="none"/>
              </w:rPr>
              <w:t>3</w:t>
            </w:r>
          </w:p>
        </w:tc>
        <w:tc>
          <w:tcPr>
            <w:tcW w:w="1147" w:type="dxa"/>
            <w:vAlign w:val="center"/>
          </w:tcPr>
          <w:p>
            <w:pPr>
              <w:jc w:val="center"/>
              <w:outlineLvl w:val="0"/>
              <w:rPr>
                <w:rFonts w:ascii="宋体" w:hAnsi="宋体"/>
                <w:b/>
                <w:bCs/>
                <w:szCs w:val="21"/>
                <w:highlight w:val="none"/>
              </w:rPr>
            </w:pPr>
            <w:r>
              <w:rPr>
                <w:rFonts w:hint="eastAsia" w:ascii="宋体" w:hAnsi="宋体"/>
                <w:b/>
                <w:bCs/>
                <w:szCs w:val="21"/>
                <w:highlight w:val="none"/>
              </w:rPr>
              <w:t>付款方式</w:t>
            </w:r>
          </w:p>
        </w:tc>
        <w:tc>
          <w:tcPr>
            <w:tcW w:w="6757" w:type="dxa"/>
          </w:tcPr>
          <w:p>
            <w:pPr>
              <w:numPr>
                <w:ilvl w:val="0"/>
                <w:numId w:val="0"/>
              </w:numPr>
              <w:rPr>
                <w:rFonts w:ascii="宋体" w:hAnsi="宋体"/>
                <w:szCs w:val="21"/>
                <w:highlight w:val="none"/>
              </w:rPr>
            </w:pPr>
            <w:r>
              <w:rPr>
                <w:rFonts w:hint="eastAsia" w:ascii="宋体" w:hAnsi="宋体"/>
                <w:szCs w:val="21"/>
                <w:highlight w:val="none"/>
              </w:rPr>
              <w:t>按月支付。每月5日为上月物业管理服务费结算日，凭承包方完税发票，由甲方签署付款凭证，办理付款手续。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jc w:val="center"/>
              <w:outlineLvl w:val="0"/>
              <w:rPr>
                <w:rFonts w:ascii="宋体" w:hAnsi="宋体"/>
                <w:b/>
                <w:bCs/>
                <w:szCs w:val="21"/>
                <w:highlight w:val="none"/>
              </w:rPr>
            </w:pPr>
            <w:r>
              <w:rPr>
                <w:rFonts w:hint="eastAsia" w:ascii="宋体" w:hAnsi="宋体"/>
                <w:b/>
                <w:bCs/>
                <w:szCs w:val="21"/>
                <w:highlight w:val="none"/>
              </w:rPr>
              <w:t>4</w:t>
            </w:r>
          </w:p>
        </w:tc>
        <w:tc>
          <w:tcPr>
            <w:tcW w:w="1147" w:type="dxa"/>
            <w:vAlign w:val="center"/>
          </w:tcPr>
          <w:p>
            <w:pPr>
              <w:jc w:val="center"/>
              <w:rPr>
                <w:rFonts w:ascii="宋体" w:hAnsi="宋体"/>
                <w:b/>
                <w:bCs/>
                <w:szCs w:val="21"/>
                <w:highlight w:val="none"/>
              </w:rPr>
            </w:pPr>
            <w:r>
              <w:rPr>
                <w:rFonts w:hint="eastAsia" w:ascii="宋体" w:hAnsi="宋体"/>
                <w:b/>
                <w:bCs/>
                <w:szCs w:val="21"/>
                <w:highlight w:val="none"/>
              </w:rPr>
              <w:t>关于验收</w:t>
            </w:r>
          </w:p>
          <w:p>
            <w:pPr>
              <w:jc w:val="center"/>
              <w:outlineLvl w:val="0"/>
              <w:rPr>
                <w:rFonts w:ascii="宋体" w:hAnsi="宋体"/>
                <w:b/>
                <w:bCs/>
                <w:szCs w:val="21"/>
                <w:highlight w:val="none"/>
              </w:rPr>
            </w:pPr>
          </w:p>
        </w:tc>
        <w:tc>
          <w:tcPr>
            <w:tcW w:w="6757" w:type="dxa"/>
          </w:tcPr>
          <w:p>
            <w:pPr>
              <w:rPr>
                <w:rFonts w:ascii="宋体" w:hAnsi="宋体"/>
                <w:b/>
                <w:szCs w:val="21"/>
                <w:highlight w:val="none"/>
              </w:rPr>
            </w:pPr>
            <w:r>
              <w:rPr>
                <w:rFonts w:hint="eastAsia" w:ascii="宋体" w:hAnsi="宋体"/>
                <w:bCs/>
                <w:szCs w:val="21"/>
                <w:highlight w:val="none"/>
              </w:rPr>
              <w:t>1）服务经过双方检验认可后，签署验收报告。</w:t>
            </w:r>
          </w:p>
          <w:p>
            <w:pPr>
              <w:rPr>
                <w:rFonts w:ascii="宋体" w:hAnsi="宋体"/>
                <w:bCs/>
                <w:szCs w:val="21"/>
                <w:highlight w:val="none"/>
              </w:rPr>
            </w:pPr>
            <w:r>
              <w:rPr>
                <w:rFonts w:hint="eastAsia" w:ascii="宋体" w:hAnsi="宋体"/>
                <w:bCs/>
                <w:szCs w:val="21"/>
                <w:highlight w:val="none"/>
              </w:rPr>
              <w:t>2）当满足以下条件时，采购人才向中标人签发验收报告：</w:t>
            </w:r>
          </w:p>
          <w:p>
            <w:pPr>
              <w:tabs>
                <w:tab w:val="left" w:pos="1260"/>
              </w:tabs>
              <w:rPr>
                <w:rFonts w:ascii="宋体" w:hAnsi="宋体"/>
                <w:bCs/>
                <w:szCs w:val="21"/>
                <w:highlight w:val="none"/>
              </w:rPr>
            </w:pPr>
            <w:r>
              <w:rPr>
                <w:rFonts w:hint="eastAsia" w:ascii="宋体" w:hAnsi="宋体"/>
                <w:bCs/>
                <w:szCs w:val="21"/>
                <w:highlight w:val="none"/>
              </w:rPr>
              <w:t>a、中标人已按照合同规定提供了全部技术资料。</w:t>
            </w:r>
          </w:p>
          <w:p>
            <w:pPr>
              <w:tabs>
                <w:tab w:val="left" w:pos="1260"/>
              </w:tabs>
              <w:rPr>
                <w:rFonts w:ascii="宋体" w:hAnsi="宋体"/>
                <w:szCs w:val="21"/>
                <w:highlight w:val="none"/>
              </w:rPr>
            </w:pPr>
            <w:r>
              <w:rPr>
                <w:rFonts w:hint="eastAsia" w:ascii="宋体" w:hAnsi="宋体"/>
                <w:bCs/>
                <w:szCs w:val="21"/>
                <w:highlight w:val="none"/>
              </w:rPr>
              <w:t>b、服务项目符合招标文件的服务要求</w:t>
            </w:r>
          </w:p>
        </w:tc>
      </w:tr>
    </w:tbl>
    <w:p>
      <w:pPr>
        <w:ind w:firstLine="420" w:firstLineChars="200"/>
        <w:rPr>
          <w:rFonts w:asciiTheme="minorEastAsia" w:hAnsiTheme="minorEastAsia" w:eastAsiaTheme="minorEastAsia"/>
          <w:highlight w:val="none"/>
        </w:rPr>
      </w:pPr>
    </w:p>
    <w:p>
      <w:pPr>
        <w:rPr>
          <w:highlight w:val="none"/>
        </w:rPr>
      </w:pPr>
    </w:p>
    <w:p>
      <w:pPr>
        <w:pStyle w:val="4"/>
        <w:spacing w:before="120" w:beforeLines="50" w:after="120" w:afterLines="50"/>
        <w:rPr>
          <w:rFonts w:hint="eastAsia"/>
          <w:szCs w:val="24"/>
          <w:highlight w:val="none"/>
        </w:rPr>
      </w:pPr>
    </w:p>
    <w:p>
      <w:pPr>
        <w:pStyle w:val="4"/>
        <w:spacing w:before="120" w:beforeLines="50" w:after="120" w:afterLines="50"/>
        <w:rPr>
          <w:rFonts w:hint="eastAsia"/>
          <w:szCs w:val="24"/>
          <w:highlight w:val="none"/>
        </w:rPr>
      </w:pPr>
    </w:p>
    <w:p>
      <w:pPr>
        <w:pStyle w:val="4"/>
        <w:spacing w:before="120" w:beforeLines="50" w:after="120" w:afterLines="50"/>
        <w:rPr>
          <w:szCs w:val="24"/>
          <w:highlight w:val="none"/>
        </w:rPr>
      </w:pPr>
      <w:r>
        <w:rPr>
          <w:rFonts w:hint="eastAsia"/>
          <w:szCs w:val="24"/>
          <w:highlight w:val="none"/>
        </w:rPr>
        <w:t>七、其他重要条款</w:t>
      </w:r>
    </w:p>
    <w:p>
      <w:pPr>
        <w:ind w:firstLine="420" w:firstLineChars="200"/>
        <w:rPr>
          <w:bCs/>
          <w:szCs w:val="21"/>
          <w:highlight w:val="none"/>
        </w:rPr>
      </w:pPr>
      <w:r>
        <w:rPr>
          <w:rFonts w:hint="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8"/>
        <w:spacing w:before="60" w:beforeLines="25" w:after="60" w:afterLines="25"/>
        <w:ind w:firstLine="392" w:firstLineChars="187"/>
        <w:rPr>
          <w:rFonts w:ascii="宋体" w:hAnsi="宋体"/>
          <w:szCs w:val="21"/>
          <w:highlight w:val="none"/>
        </w:rPr>
      </w:pPr>
      <w:r>
        <w:rPr>
          <w:bCs/>
          <w:szCs w:val="21"/>
          <w:highlight w:val="none"/>
        </w:rPr>
        <w:t>2</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highlight w:val="none"/>
        </w:rPr>
      </w:pPr>
      <w:r>
        <w:rPr>
          <w:bCs/>
          <w:szCs w:val="21"/>
          <w:highlight w:val="none"/>
        </w:rPr>
        <w:t>3</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highlight w:val="none"/>
        </w:rPr>
      </w:pPr>
      <w:r>
        <w:rPr>
          <w:rFonts w:hint="eastAsia" w:ascii="Times New Roman" w:eastAsia="宋体"/>
          <w:bCs/>
          <w:szCs w:val="21"/>
          <w:highlight w:val="none"/>
          <w:lang w:val="en-US" w:eastAsia="zh-CN"/>
        </w:rPr>
        <w:t>4</w:t>
      </w:r>
      <w:r>
        <w:rPr>
          <w:rFonts w:hint="eastAsia"/>
          <w:bCs/>
          <w:szCs w:val="21"/>
          <w:highlight w:val="none"/>
        </w:rPr>
        <w:t>、除政府采购合同继续履行将损害国家利益和社会公共利益外，双方当事人不得擅自变更、中止或者终止合同。</w:t>
      </w:r>
    </w:p>
    <w:p>
      <w:pPr>
        <w:ind w:firstLine="420" w:firstLineChars="200"/>
        <w:rPr>
          <w:rFonts w:hint="eastAsia" w:eastAsia="宋体"/>
          <w:bCs/>
          <w:szCs w:val="21"/>
          <w:highlight w:val="none"/>
          <w:lang w:val="en-US" w:eastAsia="zh-CN"/>
        </w:rPr>
      </w:pPr>
      <w:r>
        <w:rPr>
          <w:rFonts w:hint="eastAsia" w:ascii="Times New Roman" w:eastAsia="宋体"/>
          <w:bCs/>
          <w:szCs w:val="21"/>
          <w:highlight w:val="none"/>
          <w:lang w:val="en-US" w:eastAsia="zh-CN"/>
        </w:rPr>
        <w:t>5</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pPr>
        <w:pStyle w:val="8"/>
        <w:spacing w:before="60" w:beforeLines="25" w:after="60" w:afterLines="25"/>
        <w:ind w:firstLine="392" w:firstLineChars="187"/>
        <w:rPr>
          <w:rFonts w:ascii="宋体" w:hAnsi="宋体"/>
          <w:szCs w:val="21"/>
          <w:highlight w:val="none"/>
        </w:rPr>
      </w:pPr>
    </w:p>
    <w:p>
      <w:pPr>
        <w:pStyle w:val="8"/>
        <w:spacing w:before="60" w:beforeLines="25" w:after="60" w:afterLines="25"/>
        <w:ind w:firstLine="392" w:firstLineChars="187"/>
        <w:rPr>
          <w:rFonts w:ascii="宋体" w:hAnsi="宋体"/>
          <w:szCs w:val="21"/>
          <w:highlight w:val="none"/>
        </w:rPr>
      </w:pPr>
    </w:p>
    <w:p>
      <w:pPr>
        <w:pStyle w:val="8"/>
        <w:spacing w:before="60" w:beforeLines="25" w:after="60" w:afterLines="25"/>
        <w:ind w:firstLine="392" w:firstLineChars="187"/>
        <w:rPr>
          <w:rFonts w:ascii="宋体" w:hAnsi="宋体"/>
          <w:szCs w:val="21"/>
          <w:highlight w:val="none"/>
        </w:rPr>
      </w:pPr>
    </w:p>
    <w:p>
      <w:pPr>
        <w:rPr>
          <w:highlight w:val="none"/>
        </w:rPr>
      </w:pPr>
    </w:p>
    <w:p>
      <w:pPr>
        <w:pStyle w:val="4"/>
        <w:rPr>
          <w:rFonts w:hint="eastAsia"/>
          <w:kern w:val="2"/>
          <w:highlight w:val="none"/>
        </w:rPr>
      </w:pPr>
    </w:p>
    <w:p>
      <w:pPr>
        <w:pStyle w:val="4"/>
        <w:rPr>
          <w:rFonts w:hint="eastAsia"/>
          <w:kern w:val="2"/>
          <w:highlight w:val="none"/>
        </w:rPr>
      </w:pPr>
    </w:p>
    <w:p>
      <w:pPr>
        <w:pStyle w:val="4"/>
        <w:rPr>
          <w:rFonts w:hint="eastAsia"/>
          <w:kern w:val="2"/>
          <w:highlight w:val="none"/>
        </w:rPr>
      </w:pPr>
    </w:p>
    <w:p>
      <w:pPr>
        <w:pStyle w:val="4"/>
        <w:rPr>
          <w:rFonts w:hint="eastAsia"/>
          <w:kern w:val="2"/>
          <w:highlight w:val="none"/>
        </w:rPr>
      </w:pPr>
    </w:p>
    <w:p>
      <w:pPr>
        <w:pStyle w:val="4"/>
        <w:rPr>
          <w:rFonts w:hint="eastAsia"/>
          <w:kern w:val="2"/>
          <w:highlight w:val="none"/>
        </w:rPr>
      </w:pPr>
    </w:p>
    <w:p>
      <w:pPr>
        <w:pStyle w:val="4"/>
        <w:rPr>
          <w:rFonts w:hint="eastAsia"/>
          <w:kern w:val="2"/>
          <w:highlight w:val="none"/>
        </w:rPr>
      </w:pPr>
    </w:p>
    <w:p>
      <w:pPr>
        <w:pStyle w:val="4"/>
        <w:rPr>
          <w:rFonts w:hint="eastAsia"/>
          <w:kern w:val="2"/>
          <w:highlight w:val="none"/>
        </w:rPr>
      </w:pPr>
    </w:p>
    <w:p>
      <w:pPr>
        <w:pStyle w:val="4"/>
        <w:rPr>
          <w:rFonts w:hint="eastAsia"/>
          <w:kern w:val="2"/>
          <w:highlight w:val="none"/>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center"/>
      </w:pPr>
      <w:r>
        <w:rPr>
          <w:rFonts w:hint="eastAsia"/>
          <w:b/>
          <w:bCs/>
          <w:sz w:val="24"/>
          <w:szCs w:val="24"/>
        </w:rPr>
        <w:t>第四章 投标文件组成要求及格式</w:t>
      </w:r>
    </w:p>
    <w:p>
      <w:pPr>
        <w:rPr>
          <w:rStyle w:val="56"/>
          <w:sz w:val="24"/>
          <w:highlight w:val="none"/>
        </w:rPr>
      </w:pPr>
      <w:r>
        <w:rPr>
          <w:rStyle w:val="56"/>
          <w:rFonts w:hint="eastAsia"/>
          <w:sz w:val="24"/>
          <w:highlight w:val="none"/>
        </w:rPr>
        <w:t>特别提醒：</w:t>
      </w:r>
    </w:p>
    <w:p>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pPr>
        <w:widowControl/>
        <w:jc w:val="left"/>
        <w:rPr>
          <w:rFonts w:ascii="宋体" w:hAnsi="宋体" w:cs="宋体"/>
          <w:kern w:val="0"/>
          <w:sz w:val="24"/>
          <w:highlight w:val="none"/>
        </w:rPr>
      </w:pPr>
    </w:p>
    <w:p>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pPr>
        <w:ind w:firstLine="480" w:firstLineChars="200"/>
        <w:rPr>
          <w:rFonts w:ascii="仿宋_GB2312" w:eastAsia="仿宋_GB2312"/>
          <w:sz w:val="24"/>
          <w:highlight w:val="none"/>
        </w:rPr>
      </w:pPr>
    </w:p>
    <w:p>
      <w:pPr>
        <w:ind w:firstLine="482" w:firstLineChars="200"/>
        <w:rPr>
          <w:rFonts w:ascii="宋体" w:hAnsi="宋体"/>
          <w:b/>
          <w:sz w:val="24"/>
          <w:highlight w:val="none"/>
        </w:rPr>
      </w:pPr>
    </w:p>
    <w:p>
      <w:pPr>
        <w:rPr>
          <w:rFonts w:ascii="宋体" w:hAnsi="宋体"/>
          <w:sz w:val="24"/>
          <w:highlight w:val="none"/>
        </w:rPr>
      </w:pPr>
      <w:r>
        <w:rPr>
          <w:rFonts w:hint="eastAsia" w:ascii="宋体" w:hAnsi="宋体"/>
          <w:sz w:val="24"/>
          <w:highlight w:val="none"/>
        </w:rPr>
        <w:t>投标文件组成：</w:t>
      </w:r>
    </w:p>
    <w:p>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pPr>
        <w:ind w:left="718" w:leftChars="342" w:firstLine="1417" w:firstLineChars="675"/>
        <w:rPr>
          <w:szCs w:val="21"/>
          <w:highlight w:val="none"/>
        </w:rPr>
      </w:pPr>
      <w:r>
        <w:rPr>
          <w:rFonts w:hint="eastAsia"/>
          <w:szCs w:val="21"/>
          <w:highlight w:val="none"/>
        </w:rPr>
        <w:t>（1）</w:t>
      </w:r>
      <w:bookmarkStart w:id="31" w:name="_Hlk72070784"/>
      <w:r>
        <w:rPr>
          <w:rFonts w:hint="eastAsia"/>
          <w:szCs w:val="21"/>
          <w:highlight w:val="none"/>
        </w:rPr>
        <w:t>投标函</w:t>
      </w:r>
      <w:bookmarkEnd w:id="31"/>
    </w:p>
    <w:p>
      <w:pPr>
        <w:ind w:left="718" w:leftChars="342" w:firstLine="1417" w:firstLineChars="675"/>
        <w:rPr>
          <w:szCs w:val="21"/>
          <w:highlight w:val="none"/>
        </w:rPr>
      </w:pPr>
      <w:r>
        <w:rPr>
          <w:rFonts w:hint="eastAsia"/>
          <w:szCs w:val="21"/>
          <w:highlight w:val="none"/>
        </w:rPr>
        <w:t>（2）</w:t>
      </w:r>
      <w:bookmarkStart w:id="32" w:name="_Hlk72062521"/>
      <w:r>
        <w:rPr>
          <w:rFonts w:hint="eastAsia"/>
          <w:szCs w:val="21"/>
          <w:highlight w:val="none"/>
        </w:rPr>
        <w:t>政府采购投标及履约承诺函</w:t>
      </w:r>
      <w:bookmarkEnd w:id="32"/>
    </w:p>
    <w:p>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pPr>
        <w:ind w:left="718" w:leftChars="342" w:firstLine="1417" w:firstLineChars="675"/>
        <w:rPr>
          <w:rFonts w:ascii="宋体" w:hAnsi="宋体"/>
          <w:szCs w:val="21"/>
          <w:highlight w:val="none"/>
        </w:rPr>
      </w:pPr>
      <w:bookmarkStart w:id="33" w:name="_Hlk72257201"/>
      <w:r>
        <w:rPr>
          <w:rFonts w:hint="eastAsia"/>
          <w:szCs w:val="21"/>
          <w:highlight w:val="none"/>
        </w:rPr>
        <w:t>（</w:t>
      </w:r>
      <w:r>
        <w:rPr>
          <w:szCs w:val="21"/>
          <w:highlight w:val="none"/>
        </w:rPr>
        <w:t>4</w:t>
      </w:r>
      <w:r>
        <w:rPr>
          <w:rFonts w:hint="eastAsia"/>
          <w:szCs w:val="21"/>
          <w:highlight w:val="none"/>
        </w:rPr>
        <w:t>）项目详细报价</w:t>
      </w:r>
      <w:bookmarkEnd w:id="33"/>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w:t>
      </w:r>
      <w:r>
        <w:rPr>
          <w:rFonts w:hint="eastAsia" w:asciiTheme="minorEastAsia" w:hAnsiTheme="minorEastAsia" w:eastAsiaTheme="minorEastAsia"/>
          <w:szCs w:val="21"/>
        </w:rPr>
        <w:t>投标人有效业绩</w:t>
      </w:r>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（6）履约评价</w:t>
      </w:r>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7</w:t>
      </w:r>
      <w:r>
        <w:rPr>
          <w:rFonts w:hint="eastAsia" w:ascii="Times New Roman" w:hAnsi="Times New Roman" w:eastAsia="宋体" w:cs="Times New Roman"/>
          <w:szCs w:val="21"/>
          <w:highlight w:val="none"/>
        </w:rPr>
        <w:t>）认证情况</w:t>
      </w:r>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8</w:t>
      </w:r>
      <w:r>
        <w:rPr>
          <w:rFonts w:hint="eastAsia" w:ascii="Times New Roman" w:hAnsi="Times New Roman" w:eastAsia="宋体" w:cs="Times New Roman"/>
          <w:szCs w:val="21"/>
          <w:highlight w:val="none"/>
        </w:rPr>
        <w:t>）自主知识产权产品（创新、设计）情况</w:t>
      </w:r>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9</w:t>
      </w:r>
      <w:r>
        <w:rPr>
          <w:rFonts w:hint="eastAsia" w:ascii="Times New Roman" w:hAnsi="Times New Roman" w:eastAsia="宋体" w:cs="Times New Roman"/>
          <w:szCs w:val="21"/>
          <w:highlight w:val="none"/>
        </w:rPr>
        <w:t>）投标人认为需要加以说明的其他内容（信息公开部分）</w:t>
      </w:r>
    </w:p>
    <w:p>
      <w:pPr>
        <w:ind w:firstLine="1200" w:firstLineChars="500"/>
        <w:outlineLvl w:val="9"/>
        <w:rPr>
          <w:rFonts w:hint="eastAsia" w:ascii="宋体" w:hAnsi="宋体"/>
          <w:sz w:val="24"/>
          <w:highlight w:val="none"/>
        </w:rPr>
      </w:pPr>
    </w:p>
    <w:p>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）项目服务方案</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）质量保障措施</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）项目重点难点分析、应对措施及相关的合理化建议</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w:t>
      </w:r>
      <w:r>
        <w:rPr>
          <w:rFonts w:hint="eastAsia" w:cs="宋体" w:asciiTheme="minorEastAsia" w:hAnsiTheme="minorEastAsia" w:eastAsiaTheme="minorEastAsia"/>
          <w:kern w:val="0"/>
          <w:szCs w:val="21"/>
          <w:lang w:bidi="ar"/>
        </w:rPr>
        <w:t>项目完成（服务期满）后的服务承诺</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）拟安排的项目负责人情况（仅限一人）</w:t>
      </w:r>
    </w:p>
    <w:p>
      <w:pPr>
        <w:ind w:left="718" w:leftChars="342" w:firstLine="1417" w:firstLineChars="675"/>
        <w:rPr>
          <w:rFonts w:hint="eastAsia"/>
          <w:szCs w:val="21"/>
          <w:highlight w:val="none"/>
        </w:rPr>
      </w:pPr>
      <w:r>
        <w:rPr>
          <w:rFonts w:hint="eastAsia"/>
          <w:szCs w:val="21"/>
          <w:highlight w:val="none"/>
        </w:rPr>
        <w:t>（1</w:t>
      </w:r>
      <w:r>
        <w:rPr>
          <w:rFonts w:hint="eastAsia"/>
          <w:szCs w:val="21"/>
          <w:highlight w:val="none"/>
          <w:lang w:val="en-US" w:eastAsia="zh-CN"/>
        </w:rPr>
        <w:t>0</w:t>
      </w:r>
      <w:r>
        <w:rPr>
          <w:rFonts w:hint="eastAsia"/>
          <w:szCs w:val="21"/>
          <w:highlight w:val="none"/>
        </w:rPr>
        <w:t>）拟安排的项目主要团队成员（主要技术人员）情况（项目负责人除外）</w:t>
      </w:r>
    </w:p>
    <w:p>
      <w:pPr>
        <w:ind w:left="718" w:leftChars="342" w:firstLine="1417" w:firstLineChars="675"/>
        <w:rPr>
          <w:rFonts w:hint="eastAsia"/>
          <w:szCs w:val="21"/>
          <w:highlight w:val="none"/>
        </w:rPr>
      </w:pPr>
      <w:r>
        <w:rPr>
          <w:rFonts w:hint="eastAsia"/>
          <w:szCs w:val="21"/>
          <w:highlight w:val="none"/>
          <w:lang w:eastAsia="zh-CN"/>
        </w:rPr>
        <w:t>（</w:t>
      </w:r>
      <w:r>
        <w:rPr>
          <w:rFonts w:hint="eastAsia"/>
          <w:szCs w:val="21"/>
          <w:highlight w:val="none"/>
          <w:lang w:val="en-US" w:eastAsia="zh-CN"/>
        </w:rPr>
        <w:t>11</w:t>
      </w:r>
      <w:r>
        <w:rPr>
          <w:rFonts w:hint="eastAsia"/>
          <w:szCs w:val="21"/>
          <w:highlight w:val="none"/>
          <w:lang w:eastAsia="zh-CN"/>
        </w:rPr>
        <w:t>）</w:t>
      </w:r>
      <w:r>
        <w:rPr>
          <w:rFonts w:hint="eastAsia"/>
          <w:szCs w:val="21"/>
          <w:highlight w:val="none"/>
        </w:rPr>
        <w:t>投标人认为需要加以说明的其他内容（信息不公开部分）</w:t>
      </w:r>
    </w:p>
    <w:p>
      <w:pPr>
        <w:pStyle w:val="9"/>
        <w:rPr>
          <w:highlight w:val="none"/>
        </w:rPr>
      </w:pPr>
    </w:p>
    <w:p>
      <w:pPr>
        <w:rPr>
          <w:rFonts w:ascii="仿宋_GB2312" w:eastAsia="仿宋_GB2312"/>
          <w:sz w:val="24"/>
          <w:highlight w:val="none"/>
        </w:rPr>
      </w:pPr>
    </w:p>
    <w:p>
      <w:pPr>
        <w:ind w:firstLine="426" w:firstLineChars="202"/>
        <w:rPr>
          <w:rFonts w:ascii="宋体" w:hAnsi="宋体"/>
          <w:b/>
          <w:szCs w:val="21"/>
          <w:highlight w:val="none"/>
        </w:rPr>
      </w:pPr>
      <w:r>
        <w:rPr>
          <w:rFonts w:hint="eastAsia" w:ascii="宋体" w:hAnsi="宋体"/>
          <w:b/>
          <w:szCs w:val="21"/>
          <w:highlight w:val="none"/>
        </w:rPr>
        <w:t>备注：</w:t>
      </w:r>
    </w:p>
    <w:p>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pPr>
        <w:ind w:firstLine="426" w:firstLineChars="202"/>
        <w:rPr>
          <w:rFonts w:ascii="宋体" w:hAnsi="宋体"/>
          <w:b/>
          <w:szCs w:val="21"/>
          <w:highlight w:val="none"/>
        </w:rPr>
      </w:pPr>
      <w:r>
        <w:rPr>
          <w:rFonts w:hint="eastAsia" w:ascii="宋体" w:hAnsi="宋体"/>
          <w:b/>
          <w:szCs w:val="21"/>
          <w:highlight w:val="none"/>
        </w:rPr>
        <w:t>2.关于填写“开标一览表”的说明：“开标一览表”中除“投标总价”外，其他信息不作评审依据。</w:t>
      </w:r>
    </w:p>
    <w:p>
      <w:pPr>
        <w:rPr>
          <w:rFonts w:hint="eastAsia" w:ascii="宋体" w:hAnsi="宋体"/>
          <w:b/>
          <w:color w:val="FF0000"/>
          <w:sz w:val="28"/>
          <w:szCs w:val="28"/>
          <w:highlight w:val="none"/>
        </w:rPr>
      </w:pPr>
      <w:r>
        <w:rPr>
          <w:rFonts w:hint="eastAsia" w:ascii="宋体" w:hAnsi="宋体"/>
          <w:b/>
          <w:color w:val="FF0000"/>
          <w:sz w:val="28"/>
          <w:szCs w:val="28"/>
          <w:highlight w:val="none"/>
        </w:rPr>
        <w:br w:type="page"/>
      </w:r>
    </w:p>
    <w:p>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pPr>
        <w:pStyle w:val="5"/>
        <w:jc w:val="center"/>
        <w:rPr>
          <w:rFonts w:ascii="黑体" w:eastAsia="黑体"/>
          <w:b w:val="0"/>
          <w:kern w:val="0"/>
          <w:sz w:val="24"/>
          <w:highlight w:val="none"/>
        </w:rPr>
      </w:pPr>
      <w:r>
        <w:rPr>
          <w:rFonts w:hint="eastAsia" w:ascii="黑体" w:eastAsia="黑体"/>
          <w:b w:val="0"/>
          <w:kern w:val="0"/>
          <w:sz w:val="24"/>
          <w:highlight w:val="none"/>
        </w:rPr>
        <w:t>一、投标函</w:t>
      </w:r>
    </w:p>
    <w:p>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pPr>
        <w:ind w:firstLine="420" w:firstLineChars="200"/>
        <w:rPr>
          <w:rFonts w:ascii="宋体" w:hAnsi="宋体"/>
          <w:szCs w:val="21"/>
          <w:highlight w:val="none"/>
        </w:rPr>
      </w:pPr>
      <w:bookmarkStart w:id="34"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5" w:name="_Hlk72263588"/>
      <w:r>
        <w:rPr>
          <w:rFonts w:hint="eastAsia"/>
          <w:szCs w:val="21"/>
          <w:highlight w:val="none"/>
        </w:rPr>
        <w:t>愿意按照招标文件要求承包上述项目并修补其任何缺陷。</w:t>
      </w:r>
      <w:bookmarkEnd w:id="35"/>
    </w:p>
    <w:p>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34"/>
    </w:p>
    <w:p>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pPr>
        <w:ind w:left="420" w:leftChars="200"/>
        <w:rPr>
          <w:sz w:val="24"/>
          <w:highlight w:val="none"/>
        </w:rPr>
      </w:pPr>
      <w:r>
        <w:rPr>
          <w:rFonts w:hint="eastAsia"/>
          <w:sz w:val="24"/>
          <w:highlight w:val="none"/>
        </w:rPr>
        <w:t xml:space="preserve">                       </w:t>
      </w:r>
    </w:p>
    <w:p>
      <w:pPr>
        <w:rPr>
          <w:rFonts w:ascii="黑体" w:hAnsi="宋体" w:eastAsia="黑体"/>
          <w:highlight w:val="none"/>
        </w:rPr>
      </w:pPr>
    </w:p>
    <w:p>
      <w:pPr>
        <w:rPr>
          <w:rFonts w:ascii="宋体" w:hAnsi="宋体"/>
          <w:szCs w:val="21"/>
          <w:highlight w:val="none"/>
        </w:rPr>
      </w:pPr>
    </w:p>
    <w:p>
      <w:pPr>
        <w:pStyle w:val="5"/>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pPr>
        <w:rPr>
          <w:rFonts w:ascii="宋体" w:hAnsi="宋体"/>
          <w:sz w:val="24"/>
          <w:highlight w:val="none"/>
        </w:rPr>
      </w:pPr>
    </w:p>
    <w:p>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pPr>
        <w:ind w:right="-815" w:firstLine="420" w:firstLineChars="200"/>
        <w:rPr>
          <w:rFonts w:ascii="宋体" w:hAnsi="宋体"/>
          <w:szCs w:val="21"/>
          <w:highlight w:val="none"/>
        </w:rPr>
      </w:pPr>
      <w:r>
        <w:rPr>
          <w:rFonts w:hint="eastAsia" w:ascii="宋体" w:hAnsi="宋体"/>
          <w:szCs w:val="21"/>
          <w:highlight w:val="none"/>
        </w:rPr>
        <w:t>我单位承诺：</w:t>
      </w:r>
    </w:p>
    <w:p>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pPr>
        <w:pStyle w:val="9"/>
        <w:ind w:firstLine="482" w:firstLineChars="200"/>
        <w:rPr>
          <w:rFonts w:ascii="宋体" w:hAnsi="宋体"/>
          <w:highlight w:val="none"/>
        </w:rPr>
      </w:pPr>
    </w:p>
    <w:p>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pPr>
        <w:rPr>
          <w:rFonts w:ascii="宋体" w:hAnsi="宋体"/>
          <w:szCs w:val="21"/>
          <w:highlight w:val="none"/>
        </w:rPr>
      </w:pPr>
    </w:p>
    <w:p>
      <w:pPr>
        <w:rPr>
          <w:rFonts w:ascii="宋体" w:hAnsi="宋体"/>
          <w:szCs w:val="21"/>
          <w:highlight w:val="none"/>
        </w:rPr>
      </w:pPr>
    </w:p>
    <w:p>
      <w:pPr>
        <w:rPr>
          <w:highlight w:val="none"/>
        </w:rPr>
      </w:pPr>
    </w:p>
    <w:p>
      <w:pPr>
        <w:rPr>
          <w:highlight w:val="none"/>
        </w:rPr>
      </w:pPr>
    </w:p>
    <w:p>
      <w:pPr>
        <w:pStyle w:val="5"/>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pPr>
        <w:ind w:firstLine="482" w:firstLineChars="200"/>
        <w:rPr>
          <w:b/>
          <w:sz w:val="24"/>
          <w:highlight w:val="none"/>
        </w:rPr>
      </w:pPr>
    </w:p>
    <w:p>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pPr>
        <w:jc w:val="left"/>
        <w:outlineLvl w:val="3"/>
        <w:rPr>
          <w:rFonts w:ascii="黑体" w:hAnsi="宋体" w:eastAsia="黑体"/>
          <w:bCs/>
          <w:kern w:val="0"/>
          <w:sz w:val="24"/>
          <w:szCs w:val="32"/>
          <w:highlight w:val="none"/>
        </w:rPr>
      </w:pP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lang w:val="en-US" w:eastAsia="zh-CN"/>
        </w:rPr>
        <w:t>1.</w:t>
      </w:r>
      <w:r>
        <w:rPr>
          <w:rFonts w:hint="eastAsia" w:ascii="黑体" w:hAnsi="宋体" w:eastAsia="黑体"/>
          <w:bCs/>
          <w:color w:val="FF0000"/>
          <w:kern w:val="0"/>
          <w:szCs w:val="21"/>
          <w:highlight w:val="none"/>
        </w:rPr>
        <w:t>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w:t>
      </w:r>
      <w:bookmarkStart w:id="36" w:name="_Hlk71925120"/>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w:t>
      </w:r>
      <w:bookmarkEnd w:id="36"/>
      <w:r>
        <w:rPr>
          <w:rFonts w:hint="eastAsia" w:ascii="黑体" w:hAnsi="黑体" w:eastAsia="黑体"/>
          <w:color w:val="FF0000"/>
          <w:szCs w:val="21"/>
          <w:highlight w:val="none"/>
        </w:rPr>
        <w:t>，以下简称3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pPr>
        <w:pStyle w:val="2"/>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6.本项目属于服务类项目，相关服务的承接商应当为中小企业或残疾人福利性单位或监狱企业，如包含硬件设备、产品等货物采购的，不再对其中涉及的货物的制造商作出要求。</w:t>
      </w:r>
    </w:p>
    <w:p>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pStyle w:val="2"/>
        <w:rPr>
          <w:rFonts w:hint="default"/>
          <w:highlight w:val="none"/>
          <w:lang w:val="en-US" w:eastAsia="zh-CN"/>
        </w:rPr>
      </w:pPr>
    </w:p>
    <w:p>
      <w:pPr>
        <w:ind w:firstLine="420" w:firstLineChars="200"/>
        <w:rPr>
          <w:highlight w:val="none"/>
        </w:rPr>
      </w:pPr>
    </w:p>
    <w:p>
      <w:pPr>
        <w:numPr>
          <w:ilvl w:val="0"/>
          <w:numId w:val="0"/>
        </w:numPr>
        <w:jc w:val="center"/>
        <w:outlineLvl w:val="3"/>
        <w:rPr>
          <w:b/>
          <w:sz w:val="24"/>
          <w:highlight w:val="none"/>
        </w:rPr>
      </w:pPr>
      <w:r>
        <w:rPr>
          <w:rFonts w:hint="eastAsia"/>
          <w:b/>
          <w:sz w:val="24"/>
          <w:highlight w:val="none"/>
          <w:lang w:val="en-US" w:eastAsia="zh-CN"/>
        </w:rPr>
        <w:t>1.</w:t>
      </w:r>
      <w:r>
        <w:rPr>
          <w:b/>
          <w:sz w:val="24"/>
          <w:highlight w:val="none"/>
        </w:rPr>
        <w:t>中小企业声明函（</w:t>
      </w:r>
      <w:r>
        <w:rPr>
          <w:rFonts w:hint="eastAsia"/>
          <w:b/>
          <w:sz w:val="24"/>
          <w:highlight w:val="none"/>
        </w:rPr>
        <w:t>服务</w:t>
      </w:r>
      <w:r>
        <w:rPr>
          <w:b/>
          <w:sz w:val="24"/>
          <w:highlight w:val="none"/>
        </w:rPr>
        <w:t>）</w:t>
      </w:r>
    </w:p>
    <w:p>
      <w:pPr>
        <w:pStyle w:val="9"/>
        <w:numPr>
          <w:ilvl w:val="0"/>
          <w:numId w:val="0"/>
        </w:numPr>
        <w:rPr>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bookmarkStart w:id="37" w:name="_Hlk73562275"/>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7"/>
    </w:p>
    <w:p>
      <w:pPr>
        <w:ind w:firstLine="420" w:firstLineChars="200"/>
        <w:rPr>
          <w:highlight w:val="none"/>
        </w:rPr>
      </w:pPr>
    </w:p>
    <w:p>
      <w:pPr>
        <w:jc w:val="center"/>
        <w:outlineLvl w:val="3"/>
        <w:rPr>
          <w:b/>
          <w:sz w:val="24"/>
          <w:highlight w:val="none"/>
        </w:rPr>
      </w:pPr>
      <w:r>
        <w:rPr>
          <w:rFonts w:hint="eastAsia"/>
          <w:b/>
          <w:sz w:val="24"/>
          <w:highlight w:val="none"/>
          <w:lang w:val="en-US" w:eastAsia="zh-CN"/>
        </w:rPr>
        <w:t>2.</w:t>
      </w:r>
      <w:r>
        <w:rPr>
          <w:rFonts w:hint="eastAsia"/>
          <w:b/>
          <w:sz w:val="24"/>
          <w:highlight w:val="none"/>
        </w:rPr>
        <w:t>残疾人福利性单位声明函</w:t>
      </w:r>
      <w:r>
        <w:rPr>
          <w:rFonts w:hint="eastAsia"/>
          <w:b/>
          <w:sz w:val="24"/>
          <w:highlight w:val="none"/>
          <w:lang w:eastAsia="zh-CN"/>
        </w:rPr>
        <w:t>（</w:t>
      </w:r>
      <w:r>
        <w:rPr>
          <w:rFonts w:hint="eastAsia"/>
          <w:b/>
          <w:sz w:val="24"/>
          <w:highlight w:val="none"/>
          <w:lang w:val="en-US" w:eastAsia="zh-CN"/>
        </w:rPr>
        <w:t>服务</w:t>
      </w:r>
      <w:r>
        <w:rPr>
          <w:rFonts w:hint="eastAsia"/>
          <w:b/>
          <w:sz w:val="24"/>
          <w:highlight w:val="none"/>
        </w:rPr>
        <w:t>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项目采购活动由本单位提供服务。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jc w:val="center"/>
        <w:outlineLvl w:val="3"/>
        <w:rPr>
          <w:b/>
          <w:sz w:val="24"/>
          <w:highlight w:val="none"/>
        </w:rPr>
      </w:pPr>
      <w:r>
        <w:rPr>
          <w:rFonts w:hint="eastAsia"/>
          <w:b/>
          <w:sz w:val="24"/>
          <w:highlight w:val="none"/>
          <w:lang w:val="en-US" w:eastAsia="zh-CN"/>
        </w:rPr>
        <w:t>3.</w:t>
      </w:r>
      <w:r>
        <w:rPr>
          <w:rFonts w:hint="eastAsia"/>
          <w:b/>
          <w:sz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szCs w:val="21"/>
          <w:highlight w:val="none"/>
          <w:u w:val="single"/>
        </w:rPr>
        <w:t>（</w:t>
      </w:r>
      <w:r>
        <w:rPr>
          <w:rFonts w:hint="eastAsia" w:ascii="宋体" w:hAnsi="宋体"/>
          <w:b/>
          <w:bCs/>
          <w:szCs w:val="21"/>
          <w:highlight w:val="none"/>
          <w:u w:val="single"/>
        </w:rPr>
        <w:t>采购人</w:t>
      </w:r>
      <w:r>
        <w:rPr>
          <w:rFonts w:ascii="宋体" w:hAnsi="宋体"/>
          <w:b/>
          <w:bCs/>
          <w:szCs w:val="21"/>
          <w:highlight w:val="none"/>
          <w:u w:val="single"/>
        </w:rPr>
        <w:t>名称）</w:t>
      </w:r>
      <w:r>
        <w:rPr>
          <w:rFonts w:ascii="宋体" w:hAnsi="宋体"/>
          <w:szCs w:val="21"/>
          <w:highlight w:val="none"/>
        </w:rPr>
        <w:t>的</w:t>
      </w:r>
      <w:r>
        <w:rPr>
          <w:rFonts w:ascii="宋体" w:hAnsi="宋体"/>
          <w:b/>
          <w:bCs/>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pPr>
        <w:ind w:firstLine="420" w:firstLineChars="200"/>
        <w:rPr>
          <w:rFonts w:ascii="宋体" w:hAnsi="宋体"/>
          <w:szCs w:val="21"/>
          <w:highlight w:val="none"/>
        </w:rPr>
      </w:pPr>
      <w:r>
        <w:rPr>
          <w:rFonts w:ascii="宋体" w:hAnsi="宋体"/>
          <w:szCs w:val="21"/>
          <w:highlight w:val="none"/>
        </w:rPr>
        <w:t>1.</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b/>
          <w:bCs/>
          <w:szCs w:val="21"/>
          <w:highlight w:val="none"/>
          <w:u w:val="single"/>
        </w:rPr>
        <w:t>）</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ascii="宋体" w:hAnsi="宋体"/>
          <w:szCs w:val="21"/>
          <w:highlight w:val="none"/>
        </w:rPr>
        <w:t>；</w:t>
      </w:r>
    </w:p>
    <w:p>
      <w:pPr>
        <w:ind w:firstLine="420" w:firstLineChars="200"/>
        <w:rPr>
          <w:rFonts w:ascii="宋体" w:hAnsi="宋体"/>
          <w:szCs w:val="21"/>
          <w:highlight w:val="none"/>
        </w:rPr>
      </w:pPr>
      <w:r>
        <w:rPr>
          <w:rFonts w:ascii="宋体" w:hAnsi="宋体"/>
          <w:szCs w:val="21"/>
          <w:highlight w:val="none"/>
        </w:rPr>
        <w:t>2.</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i/>
          <w:iCs/>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hint="eastAsia" w:ascii="宋体" w:hAnsi="宋体"/>
          <w:szCs w:val="21"/>
          <w:highlight w:val="none"/>
        </w:rPr>
        <w:t>。</w:t>
      </w:r>
    </w:p>
    <w:p>
      <w:pPr>
        <w:ind w:firstLine="420" w:firstLineChars="200"/>
        <w:outlineLvl w:val="3"/>
        <w:rPr>
          <w:rFonts w:ascii="宋体" w:hAnsi="宋体"/>
          <w:szCs w:val="21"/>
          <w:highlight w:val="none"/>
        </w:rPr>
      </w:pPr>
      <w:r>
        <w:rPr>
          <w:rFonts w:ascii="宋体" w:hAnsi="宋体"/>
          <w:szCs w:val="21"/>
          <w:highlight w:val="none"/>
        </w:rPr>
        <w:t xml:space="preserve">…… </w:t>
      </w:r>
    </w:p>
    <w:p>
      <w:pPr>
        <w:ind w:firstLine="420" w:firstLineChars="200"/>
        <w:rPr>
          <w:rFonts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pPr>
        <w:ind w:left="723" w:hanging="723" w:hangingChars="300"/>
        <w:rPr>
          <w:b/>
          <w:sz w:val="24"/>
          <w:highlight w:val="none"/>
        </w:rPr>
      </w:pPr>
    </w:p>
    <w:p>
      <w:pPr>
        <w:ind w:left="723" w:hanging="723" w:hangingChars="300"/>
        <w:rPr>
          <w:b/>
          <w:sz w:val="24"/>
          <w:highlight w:val="none"/>
        </w:rPr>
      </w:pPr>
    </w:p>
    <w:p>
      <w:pPr>
        <w:rPr>
          <w:rFonts w:hint="eastAsia" w:ascii="黑体" w:eastAsia="黑体"/>
          <w:b w:val="0"/>
          <w:sz w:val="24"/>
          <w:szCs w:val="24"/>
          <w:highlight w:val="none"/>
        </w:rPr>
      </w:pPr>
      <w:r>
        <w:rPr>
          <w:rFonts w:hint="eastAsia" w:ascii="黑体" w:eastAsia="黑体"/>
          <w:b w:val="0"/>
          <w:sz w:val="24"/>
          <w:szCs w:val="24"/>
          <w:highlight w:val="none"/>
        </w:rPr>
        <w:br w:type="page"/>
      </w:r>
    </w:p>
    <w:p>
      <w:pPr>
        <w:pStyle w:val="5"/>
        <w:jc w:val="center"/>
        <w:rPr>
          <w:rFonts w:ascii="黑体" w:eastAsia="黑体"/>
          <w:b w:val="0"/>
          <w:sz w:val="24"/>
          <w:szCs w:val="24"/>
          <w:highlight w:val="none"/>
        </w:rPr>
      </w:pPr>
      <w:r>
        <w:rPr>
          <w:rFonts w:hint="eastAsia" w:ascii="黑体" w:eastAsia="黑体"/>
          <w:b w:val="0"/>
          <w:sz w:val="24"/>
          <w:szCs w:val="24"/>
          <w:highlight w:val="none"/>
        </w:rPr>
        <w:t>四、项目详细报价</w:t>
      </w:r>
    </w:p>
    <w:p>
      <w:pPr>
        <w:tabs>
          <w:tab w:val="left" w:pos="720"/>
        </w:tabs>
        <w:ind w:firstLine="3132" w:firstLineChars="1300"/>
        <w:rPr>
          <w:b/>
          <w:sz w:val="24"/>
          <w:highlight w:val="none"/>
        </w:rPr>
      </w:pPr>
      <w:r>
        <w:rPr>
          <w:rFonts w:hint="eastAsia"/>
          <w:b/>
          <w:sz w:val="24"/>
          <w:highlight w:val="none"/>
        </w:rPr>
        <w:t>（一）分项报价表</w:t>
      </w:r>
    </w:p>
    <w:tbl>
      <w:tblPr>
        <w:tblStyle w:val="43"/>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pPr>
              <w:rPr>
                <w:rFonts w:hint="eastAsia" w:hAnsi="宋体"/>
                <w:sz w:val="24"/>
              </w:rPr>
            </w:pPr>
            <w:r>
              <w:rPr>
                <w:rFonts w:hint="eastAsia" w:hAnsi="宋体"/>
                <w:sz w:val="24"/>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pPr>
              <w:rPr>
                <w:rFonts w:hint="eastAsia" w:hAnsi="宋体"/>
                <w:sz w:val="24"/>
              </w:rPr>
            </w:pPr>
            <w:r>
              <w:rPr>
                <w:rFonts w:hint="eastAsia" w:hAnsi="宋体"/>
                <w:sz w:val="24"/>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pPr>
              <w:rPr>
                <w:rFonts w:hint="eastAsia" w:hAnsi="宋体"/>
                <w:sz w:val="24"/>
              </w:rPr>
            </w:pPr>
            <w:r>
              <w:rPr>
                <w:rFonts w:hint="eastAsia" w:hAnsi="宋体"/>
                <w:sz w:val="24"/>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pPr>
              <w:rPr>
                <w:rFonts w:hint="eastAsia" w:hAnsi="宋体"/>
                <w:sz w:val="24"/>
              </w:rPr>
            </w:pPr>
            <w:r>
              <w:rPr>
                <w:rFonts w:hint="eastAsia" w:hAnsi="宋体"/>
                <w:sz w:val="24"/>
              </w:rPr>
              <w:t>说明</w:t>
            </w:r>
          </w:p>
        </w:tc>
      </w:tr>
      <w:tr>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hAnsi="宋体"/>
                <w:sz w:val="24"/>
              </w:rPr>
            </w:pPr>
            <w:r>
              <w:rPr>
                <w:rFonts w:hint="eastAsia" w:hAnsi="宋体"/>
                <w:sz w:val="24"/>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pPr>
              <w:rPr>
                <w:rFonts w:hint="eastAsia" w:hAnsi="宋体"/>
                <w:sz w:val="24"/>
              </w:rPr>
            </w:pPr>
            <w:r>
              <w:rPr>
                <w:rFonts w:hint="eastAsia" w:hAnsi="宋体"/>
                <w:sz w:val="24"/>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　</w:t>
            </w:r>
          </w:p>
        </w:tc>
        <w:tc>
          <w:tcPr>
            <w:tcW w:w="2268" w:type="dxa"/>
            <w:tcBorders>
              <w:top w:val="single" w:color="auto" w:sz="4" w:space="0"/>
              <w:left w:val="nil"/>
              <w:bottom w:val="single" w:color="auto" w:sz="4" w:space="0"/>
              <w:right w:val="single" w:color="auto" w:sz="8" w:space="0"/>
            </w:tcBorders>
            <w:shd w:val="clear" w:color="auto" w:fill="auto"/>
            <w:vAlign w:val="center"/>
          </w:tcPr>
          <w:p>
            <w:pPr>
              <w:rPr>
                <w:rFonts w:hint="eastAsia" w:hAnsi="宋体"/>
                <w:sz w:val="24"/>
              </w:rPr>
            </w:pPr>
          </w:p>
        </w:tc>
      </w:tr>
      <w:tr>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pPr>
              <w:rPr>
                <w:rFonts w:hint="eastAsia" w:hAnsi="宋体"/>
                <w:sz w:val="24"/>
              </w:rPr>
            </w:pPr>
            <w:r>
              <w:rPr>
                <w:rFonts w:hint="eastAsia" w:hAnsi="宋体"/>
                <w:sz w:val="24"/>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pPr>
              <w:rPr>
                <w:rFonts w:hint="eastAsia" w:hAnsi="宋体"/>
                <w:sz w:val="24"/>
              </w:rPr>
            </w:pPr>
            <w:r>
              <w:rPr>
                <w:rFonts w:hint="eastAsia" w:hAnsi="宋体"/>
                <w:sz w:val="24"/>
              </w:rPr>
              <w:t>**费用</w:t>
            </w:r>
          </w:p>
        </w:tc>
        <w:tc>
          <w:tcPr>
            <w:tcW w:w="3152" w:type="dxa"/>
            <w:tcBorders>
              <w:top w:val="nil"/>
              <w:left w:val="nil"/>
              <w:bottom w:val="single" w:color="auto" w:sz="4" w:space="0"/>
              <w:right w:val="single" w:color="auto" w:sz="4" w:space="0"/>
            </w:tcBorders>
            <w:shd w:val="clear" w:color="auto" w:fill="auto"/>
            <w:vAlign w:val="center"/>
          </w:tcPr>
          <w:p>
            <w:pPr>
              <w:rPr>
                <w:rFonts w:hint="eastAsia" w:hAnsi="宋体"/>
                <w:sz w:val="24"/>
              </w:rPr>
            </w:pPr>
          </w:p>
        </w:tc>
        <w:tc>
          <w:tcPr>
            <w:tcW w:w="1559" w:type="dxa"/>
            <w:tcBorders>
              <w:top w:val="nil"/>
              <w:left w:val="nil"/>
              <w:bottom w:val="single" w:color="auto" w:sz="4" w:space="0"/>
              <w:right w:val="single" w:color="auto" w:sz="4" w:space="0"/>
            </w:tcBorders>
            <w:shd w:val="clear" w:color="auto" w:fill="auto"/>
            <w:vAlign w:val="center"/>
          </w:tcPr>
          <w:p>
            <w:pPr>
              <w:rPr>
                <w:rFonts w:hint="eastAsia" w:hAnsi="宋体"/>
                <w:sz w:val="24"/>
              </w:rPr>
            </w:pPr>
            <w:r>
              <w:rPr>
                <w:rFonts w:hint="eastAsia" w:hAnsi="宋体"/>
                <w:sz w:val="24"/>
              </w:rPr>
              <w:t>　</w:t>
            </w:r>
          </w:p>
        </w:tc>
        <w:tc>
          <w:tcPr>
            <w:tcW w:w="2268" w:type="dxa"/>
            <w:vMerge w:val="restart"/>
            <w:tcBorders>
              <w:top w:val="nil"/>
              <w:left w:val="nil"/>
              <w:right w:val="single" w:color="auto" w:sz="8" w:space="0"/>
            </w:tcBorders>
            <w:shd w:val="clear" w:color="auto" w:fill="auto"/>
            <w:vAlign w:val="center"/>
          </w:tcPr>
          <w:p>
            <w:pPr>
              <w:rPr>
                <w:rFonts w:hint="eastAsia" w:hAnsi="宋体"/>
                <w:sz w:val="24"/>
              </w:rPr>
            </w:pPr>
            <w:r>
              <w:rPr>
                <w:rFonts w:hint="eastAsia" w:hAnsi="宋体"/>
                <w:sz w:val="24"/>
              </w:rPr>
              <w:t>　</w:t>
            </w: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rPr>
                <w:rFonts w:hint="eastAsia" w:hAnsi="宋体"/>
                <w:sz w:val="24"/>
              </w:rPr>
            </w:pPr>
          </w:p>
        </w:tc>
        <w:tc>
          <w:tcPr>
            <w:tcW w:w="1016" w:type="dxa"/>
            <w:vMerge w:val="continue"/>
            <w:tcBorders>
              <w:top w:val="nil"/>
              <w:left w:val="single" w:color="auto" w:sz="4" w:space="0"/>
              <w:bottom w:val="single" w:color="auto" w:sz="4" w:space="0"/>
              <w:right w:val="single" w:color="auto" w:sz="4" w:space="0"/>
            </w:tcBorders>
            <w:vAlign w:val="center"/>
          </w:tcPr>
          <w:p>
            <w:pPr>
              <w:rPr>
                <w:rFonts w:hint="eastAsia" w:hAnsi="宋体"/>
                <w:sz w:val="24"/>
              </w:rPr>
            </w:pPr>
          </w:p>
        </w:tc>
        <w:tc>
          <w:tcPr>
            <w:tcW w:w="3152" w:type="dxa"/>
            <w:tcBorders>
              <w:top w:val="nil"/>
              <w:left w:val="nil"/>
              <w:bottom w:val="single" w:color="auto" w:sz="4" w:space="0"/>
              <w:right w:val="single" w:color="auto" w:sz="4" w:space="0"/>
            </w:tcBorders>
            <w:shd w:val="clear" w:color="auto" w:fill="auto"/>
            <w:vAlign w:val="center"/>
          </w:tcPr>
          <w:p>
            <w:pPr>
              <w:rPr>
                <w:rFonts w:hint="eastAsia" w:hAnsi="宋体"/>
                <w:sz w:val="24"/>
              </w:rPr>
            </w:pPr>
          </w:p>
        </w:tc>
        <w:tc>
          <w:tcPr>
            <w:tcW w:w="1559" w:type="dxa"/>
            <w:tcBorders>
              <w:top w:val="nil"/>
              <w:left w:val="nil"/>
              <w:bottom w:val="single" w:color="auto" w:sz="4" w:space="0"/>
              <w:right w:val="single" w:color="auto" w:sz="4" w:space="0"/>
            </w:tcBorders>
            <w:shd w:val="clear" w:color="auto" w:fill="auto"/>
            <w:vAlign w:val="center"/>
          </w:tcPr>
          <w:p>
            <w:pPr>
              <w:rPr>
                <w:rFonts w:hint="eastAsia" w:hAnsi="宋体"/>
                <w:sz w:val="24"/>
              </w:rPr>
            </w:pPr>
            <w:r>
              <w:rPr>
                <w:rFonts w:hint="eastAsia" w:hAnsi="宋体"/>
                <w:sz w:val="24"/>
              </w:rPr>
              <w:t>　</w:t>
            </w:r>
          </w:p>
        </w:tc>
        <w:tc>
          <w:tcPr>
            <w:tcW w:w="2268" w:type="dxa"/>
            <w:vMerge w:val="continue"/>
            <w:tcBorders>
              <w:left w:val="nil"/>
              <w:right w:val="single" w:color="auto" w:sz="8" w:space="0"/>
            </w:tcBorders>
            <w:shd w:val="clear" w:color="auto" w:fill="auto"/>
            <w:vAlign w:val="center"/>
          </w:tcPr>
          <w:p>
            <w:pPr>
              <w:rPr>
                <w:rFonts w:hint="eastAsia" w:hAnsi="宋体"/>
                <w:sz w:val="24"/>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rPr>
                <w:rFonts w:hint="eastAsia" w:hAnsi="宋体"/>
                <w:sz w:val="24"/>
              </w:rPr>
            </w:pPr>
          </w:p>
        </w:tc>
        <w:tc>
          <w:tcPr>
            <w:tcW w:w="1016" w:type="dxa"/>
            <w:vMerge w:val="continue"/>
            <w:tcBorders>
              <w:top w:val="nil"/>
              <w:left w:val="single" w:color="auto" w:sz="4" w:space="0"/>
              <w:bottom w:val="single" w:color="auto" w:sz="4" w:space="0"/>
              <w:right w:val="single" w:color="auto" w:sz="4" w:space="0"/>
            </w:tcBorders>
            <w:vAlign w:val="center"/>
          </w:tcPr>
          <w:p>
            <w:pPr>
              <w:rPr>
                <w:rFonts w:hint="eastAsia" w:hAnsi="宋体"/>
                <w:sz w:val="24"/>
              </w:rPr>
            </w:pPr>
          </w:p>
        </w:tc>
        <w:tc>
          <w:tcPr>
            <w:tcW w:w="3152" w:type="dxa"/>
            <w:tcBorders>
              <w:top w:val="nil"/>
              <w:left w:val="nil"/>
              <w:bottom w:val="single" w:color="auto" w:sz="4" w:space="0"/>
              <w:right w:val="single" w:color="auto" w:sz="4" w:space="0"/>
            </w:tcBorders>
            <w:shd w:val="clear" w:color="auto" w:fill="auto"/>
            <w:vAlign w:val="center"/>
          </w:tcPr>
          <w:p>
            <w:pPr>
              <w:rPr>
                <w:rFonts w:hint="eastAsia" w:hAnsi="宋体"/>
                <w:sz w:val="24"/>
              </w:rPr>
            </w:pPr>
          </w:p>
        </w:tc>
        <w:tc>
          <w:tcPr>
            <w:tcW w:w="1559" w:type="dxa"/>
            <w:tcBorders>
              <w:top w:val="nil"/>
              <w:left w:val="nil"/>
              <w:bottom w:val="single" w:color="auto" w:sz="4" w:space="0"/>
              <w:right w:val="single" w:color="auto" w:sz="4" w:space="0"/>
            </w:tcBorders>
            <w:shd w:val="clear" w:color="auto" w:fill="auto"/>
            <w:vAlign w:val="center"/>
          </w:tcPr>
          <w:p>
            <w:pPr>
              <w:rPr>
                <w:rFonts w:hint="eastAsia" w:hAnsi="宋体"/>
                <w:sz w:val="24"/>
              </w:rPr>
            </w:pPr>
            <w:r>
              <w:rPr>
                <w:rFonts w:hint="eastAsia" w:hAnsi="宋体"/>
                <w:sz w:val="24"/>
              </w:rPr>
              <w:t>　</w:t>
            </w:r>
          </w:p>
        </w:tc>
        <w:tc>
          <w:tcPr>
            <w:tcW w:w="2268" w:type="dxa"/>
            <w:vMerge w:val="continue"/>
            <w:tcBorders>
              <w:left w:val="nil"/>
              <w:right w:val="single" w:color="auto" w:sz="8" w:space="0"/>
            </w:tcBorders>
            <w:shd w:val="clear" w:color="auto" w:fill="auto"/>
            <w:vAlign w:val="center"/>
          </w:tcPr>
          <w:p>
            <w:pPr>
              <w:rPr>
                <w:rFonts w:hint="eastAsia" w:hAnsi="宋体"/>
                <w:sz w:val="24"/>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rPr>
                <w:rFonts w:hint="eastAsia" w:hAnsi="宋体"/>
                <w:sz w:val="24"/>
              </w:rPr>
            </w:pPr>
          </w:p>
        </w:tc>
        <w:tc>
          <w:tcPr>
            <w:tcW w:w="1016" w:type="dxa"/>
            <w:vMerge w:val="continue"/>
            <w:tcBorders>
              <w:top w:val="nil"/>
              <w:left w:val="single" w:color="auto" w:sz="4" w:space="0"/>
              <w:bottom w:val="single" w:color="auto" w:sz="4" w:space="0"/>
              <w:right w:val="single" w:color="auto" w:sz="4" w:space="0"/>
            </w:tcBorders>
            <w:vAlign w:val="center"/>
          </w:tcPr>
          <w:p>
            <w:pPr>
              <w:rPr>
                <w:rFonts w:hint="eastAsia" w:hAnsi="宋体"/>
                <w:sz w:val="24"/>
              </w:rPr>
            </w:pPr>
          </w:p>
        </w:tc>
        <w:tc>
          <w:tcPr>
            <w:tcW w:w="3152" w:type="dxa"/>
            <w:tcBorders>
              <w:top w:val="nil"/>
              <w:left w:val="nil"/>
              <w:bottom w:val="single" w:color="auto" w:sz="4" w:space="0"/>
              <w:right w:val="single" w:color="auto" w:sz="4" w:space="0"/>
            </w:tcBorders>
            <w:shd w:val="clear" w:color="auto" w:fill="auto"/>
            <w:vAlign w:val="center"/>
          </w:tcPr>
          <w:p>
            <w:pPr>
              <w:rPr>
                <w:rFonts w:hint="eastAsia" w:hAnsi="宋体"/>
                <w:sz w:val="24"/>
              </w:rPr>
            </w:pPr>
          </w:p>
        </w:tc>
        <w:tc>
          <w:tcPr>
            <w:tcW w:w="1559" w:type="dxa"/>
            <w:tcBorders>
              <w:top w:val="nil"/>
              <w:left w:val="nil"/>
              <w:bottom w:val="single" w:color="auto" w:sz="4" w:space="0"/>
              <w:right w:val="single" w:color="auto" w:sz="4" w:space="0"/>
            </w:tcBorders>
            <w:shd w:val="clear" w:color="auto" w:fill="auto"/>
            <w:vAlign w:val="center"/>
          </w:tcPr>
          <w:p>
            <w:pPr>
              <w:rPr>
                <w:rFonts w:hint="eastAsia" w:hAnsi="宋体"/>
                <w:sz w:val="24"/>
              </w:rPr>
            </w:pPr>
            <w:r>
              <w:rPr>
                <w:rFonts w:hint="eastAsia" w:hAnsi="宋体"/>
                <w:sz w:val="24"/>
              </w:rPr>
              <w:t>　</w:t>
            </w:r>
          </w:p>
        </w:tc>
        <w:tc>
          <w:tcPr>
            <w:tcW w:w="2268" w:type="dxa"/>
            <w:vMerge w:val="continue"/>
            <w:tcBorders>
              <w:left w:val="nil"/>
              <w:right w:val="single" w:color="auto" w:sz="8" w:space="0"/>
            </w:tcBorders>
            <w:shd w:val="clear" w:color="auto" w:fill="auto"/>
            <w:vAlign w:val="center"/>
          </w:tcPr>
          <w:p>
            <w:pPr>
              <w:rPr>
                <w:rFonts w:hint="eastAsia" w:hAnsi="宋体"/>
                <w:sz w:val="24"/>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rPr>
                <w:rFonts w:hint="eastAsia" w:hAnsi="宋体"/>
                <w:sz w:val="24"/>
              </w:rPr>
            </w:pPr>
          </w:p>
        </w:tc>
        <w:tc>
          <w:tcPr>
            <w:tcW w:w="1016" w:type="dxa"/>
            <w:vMerge w:val="continue"/>
            <w:tcBorders>
              <w:top w:val="nil"/>
              <w:left w:val="single" w:color="auto" w:sz="4" w:space="0"/>
              <w:bottom w:val="single" w:color="auto" w:sz="4" w:space="0"/>
              <w:right w:val="single" w:color="auto" w:sz="4" w:space="0"/>
            </w:tcBorders>
            <w:vAlign w:val="center"/>
          </w:tcPr>
          <w:p>
            <w:pPr>
              <w:rPr>
                <w:rFonts w:hint="eastAsia" w:hAnsi="宋体"/>
                <w:sz w:val="24"/>
              </w:rPr>
            </w:pPr>
          </w:p>
        </w:tc>
        <w:tc>
          <w:tcPr>
            <w:tcW w:w="3152" w:type="dxa"/>
            <w:tcBorders>
              <w:top w:val="nil"/>
              <w:left w:val="nil"/>
              <w:bottom w:val="single" w:color="auto" w:sz="4" w:space="0"/>
              <w:right w:val="single" w:color="auto" w:sz="4" w:space="0"/>
            </w:tcBorders>
            <w:shd w:val="clear" w:color="auto" w:fill="auto"/>
            <w:vAlign w:val="center"/>
          </w:tcPr>
          <w:p>
            <w:pPr>
              <w:rPr>
                <w:rFonts w:hint="eastAsia" w:hAnsi="宋体"/>
                <w:sz w:val="24"/>
              </w:rPr>
            </w:pPr>
          </w:p>
        </w:tc>
        <w:tc>
          <w:tcPr>
            <w:tcW w:w="1559" w:type="dxa"/>
            <w:tcBorders>
              <w:top w:val="nil"/>
              <w:left w:val="nil"/>
              <w:bottom w:val="single" w:color="auto" w:sz="4" w:space="0"/>
              <w:right w:val="single" w:color="auto" w:sz="4" w:space="0"/>
            </w:tcBorders>
            <w:shd w:val="clear" w:color="auto" w:fill="auto"/>
            <w:vAlign w:val="center"/>
          </w:tcPr>
          <w:p>
            <w:pPr>
              <w:rPr>
                <w:rFonts w:hint="eastAsia" w:hAnsi="宋体"/>
                <w:sz w:val="24"/>
              </w:rPr>
            </w:pPr>
            <w:r>
              <w:rPr>
                <w:rFonts w:hint="eastAsia" w:hAnsi="宋体"/>
                <w:sz w:val="24"/>
              </w:rPr>
              <w:t>　</w:t>
            </w:r>
          </w:p>
        </w:tc>
        <w:tc>
          <w:tcPr>
            <w:tcW w:w="2268" w:type="dxa"/>
            <w:vMerge w:val="continue"/>
            <w:tcBorders>
              <w:left w:val="nil"/>
              <w:right w:val="single" w:color="auto" w:sz="8" w:space="0"/>
            </w:tcBorders>
            <w:shd w:val="clear" w:color="auto" w:fill="auto"/>
            <w:vAlign w:val="center"/>
          </w:tcPr>
          <w:p>
            <w:pPr>
              <w:rPr>
                <w:rFonts w:hint="eastAsia" w:hAnsi="宋体"/>
                <w:sz w:val="24"/>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rPr>
                <w:rFonts w:hint="eastAsia" w:hAnsi="宋体"/>
                <w:sz w:val="24"/>
              </w:rPr>
            </w:pPr>
          </w:p>
        </w:tc>
        <w:tc>
          <w:tcPr>
            <w:tcW w:w="1016" w:type="dxa"/>
            <w:vMerge w:val="continue"/>
            <w:tcBorders>
              <w:top w:val="nil"/>
              <w:left w:val="single" w:color="auto" w:sz="4" w:space="0"/>
              <w:bottom w:val="single" w:color="auto" w:sz="4" w:space="0"/>
              <w:right w:val="single" w:color="auto" w:sz="4" w:space="0"/>
            </w:tcBorders>
            <w:vAlign w:val="center"/>
          </w:tcPr>
          <w:p>
            <w:pPr>
              <w:rPr>
                <w:rFonts w:hint="eastAsia" w:hAnsi="宋体"/>
                <w:sz w:val="24"/>
              </w:rPr>
            </w:pPr>
          </w:p>
        </w:tc>
        <w:tc>
          <w:tcPr>
            <w:tcW w:w="3152" w:type="dxa"/>
            <w:tcBorders>
              <w:top w:val="nil"/>
              <w:left w:val="nil"/>
              <w:bottom w:val="single" w:color="auto" w:sz="4" w:space="0"/>
              <w:right w:val="single" w:color="auto" w:sz="4" w:space="0"/>
            </w:tcBorders>
            <w:shd w:val="clear" w:color="auto" w:fill="auto"/>
            <w:vAlign w:val="center"/>
          </w:tcPr>
          <w:p>
            <w:pPr>
              <w:rPr>
                <w:rFonts w:hint="eastAsia" w:hAnsi="宋体"/>
                <w:sz w:val="24"/>
              </w:rPr>
            </w:pPr>
          </w:p>
        </w:tc>
        <w:tc>
          <w:tcPr>
            <w:tcW w:w="1559" w:type="dxa"/>
            <w:tcBorders>
              <w:top w:val="nil"/>
              <w:left w:val="nil"/>
              <w:bottom w:val="single" w:color="auto" w:sz="4" w:space="0"/>
              <w:right w:val="single" w:color="auto" w:sz="4" w:space="0"/>
            </w:tcBorders>
            <w:shd w:val="clear" w:color="auto" w:fill="auto"/>
            <w:vAlign w:val="center"/>
          </w:tcPr>
          <w:p>
            <w:pPr>
              <w:rPr>
                <w:rFonts w:hint="eastAsia" w:hAnsi="宋体"/>
                <w:sz w:val="24"/>
              </w:rPr>
            </w:pPr>
            <w:r>
              <w:rPr>
                <w:rFonts w:hint="eastAsia" w:hAnsi="宋体"/>
                <w:sz w:val="24"/>
              </w:rPr>
              <w:t>　</w:t>
            </w:r>
          </w:p>
        </w:tc>
        <w:tc>
          <w:tcPr>
            <w:tcW w:w="2268" w:type="dxa"/>
            <w:vMerge w:val="continue"/>
            <w:tcBorders>
              <w:left w:val="nil"/>
              <w:bottom w:val="single" w:color="auto" w:sz="4" w:space="0"/>
              <w:right w:val="single" w:color="auto" w:sz="8" w:space="0"/>
            </w:tcBorders>
            <w:shd w:val="clear" w:color="auto" w:fill="auto"/>
            <w:vAlign w:val="center"/>
          </w:tcPr>
          <w:p>
            <w:pPr>
              <w:rPr>
                <w:rFonts w:hint="eastAsia" w:hAnsi="宋体"/>
                <w:sz w:val="24"/>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rPr>
                <w:rFonts w:hint="eastAsia" w:hAnsi="宋体"/>
                <w:sz w:val="24"/>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**费用小计</w:t>
            </w:r>
          </w:p>
        </w:tc>
        <w:tc>
          <w:tcPr>
            <w:tcW w:w="1559" w:type="dxa"/>
            <w:tcBorders>
              <w:top w:val="nil"/>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　</w:t>
            </w:r>
          </w:p>
        </w:tc>
        <w:tc>
          <w:tcPr>
            <w:tcW w:w="2268" w:type="dxa"/>
            <w:tcBorders>
              <w:top w:val="nil"/>
              <w:left w:val="nil"/>
              <w:bottom w:val="single" w:color="auto" w:sz="4" w:space="0"/>
              <w:right w:val="single" w:color="auto" w:sz="8" w:space="0"/>
            </w:tcBorders>
            <w:shd w:val="clear" w:color="000000" w:fill="FFFFFF"/>
            <w:vAlign w:val="center"/>
          </w:tcPr>
          <w:p>
            <w:pPr>
              <w:rPr>
                <w:rFonts w:hint="eastAsia" w:hAnsi="宋体"/>
                <w:sz w:val="24"/>
              </w:rPr>
            </w:pPr>
            <w:r>
              <w:rPr>
                <w:rFonts w:hint="eastAsia" w:hAnsi="宋体"/>
                <w:sz w:val="24"/>
              </w:rPr>
              <w:t>　</w:t>
            </w:r>
          </w:p>
        </w:tc>
      </w:tr>
      <w:tr>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pPr>
              <w:rPr>
                <w:rFonts w:hint="eastAsia" w:hAnsi="宋体"/>
                <w:sz w:val="24"/>
              </w:rPr>
            </w:pPr>
            <w:r>
              <w:rPr>
                <w:rFonts w:hint="eastAsia" w:hAnsi="宋体"/>
                <w:sz w:val="24"/>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其他费用</w:t>
            </w:r>
          </w:p>
        </w:tc>
        <w:tc>
          <w:tcPr>
            <w:tcW w:w="3152" w:type="dxa"/>
            <w:tcBorders>
              <w:top w:val="nil"/>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w:t>
            </w:r>
          </w:p>
        </w:tc>
        <w:tc>
          <w:tcPr>
            <w:tcW w:w="1559" w:type="dxa"/>
            <w:tcBorders>
              <w:top w:val="nil"/>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　</w:t>
            </w:r>
          </w:p>
        </w:tc>
        <w:tc>
          <w:tcPr>
            <w:tcW w:w="2268" w:type="dxa"/>
            <w:tcBorders>
              <w:top w:val="nil"/>
              <w:left w:val="nil"/>
              <w:bottom w:val="single" w:color="auto" w:sz="4" w:space="0"/>
              <w:right w:val="single" w:color="auto" w:sz="8" w:space="0"/>
            </w:tcBorders>
            <w:shd w:val="clear" w:color="000000" w:fill="FFFFFF"/>
            <w:vAlign w:val="center"/>
          </w:tcPr>
          <w:p>
            <w:pPr>
              <w:rPr>
                <w:rFonts w:hint="eastAsia" w:hAnsi="宋体"/>
                <w:sz w:val="24"/>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pPr>
              <w:rPr>
                <w:rFonts w:hint="eastAsia" w:hAnsi="宋体"/>
                <w:sz w:val="24"/>
              </w:rPr>
            </w:pPr>
          </w:p>
        </w:tc>
        <w:tc>
          <w:tcPr>
            <w:tcW w:w="1016" w:type="dxa"/>
            <w:vMerge w:val="continue"/>
            <w:tcBorders>
              <w:top w:val="nil"/>
              <w:left w:val="single" w:color="auto" w:sz="4" w:space="0"/>
              <w:bottom w:val="single" w:color="auto" w:sz="4" w:space="0"/>
              <w:right w:val="single" w:color="auto" w:sz="4" w:space="0"/>
            </w:tcBorders>
            <w:vAlign w:val="center"/>
          </w:tcPr>
          <w:p>
            <w:pPr>
              <w:rPr>
                <w:rFonts w:hint="eastAsia" w:hAnsi="宋体"/>
                <w:sz w:val="24"/>
              </w:rPr>
            </w:pPr>
          </w:p>
        </w:tc>
        <w:tc>
          <w:tcPr>
            <w:tcW w:w="3152" w:type="dxa"/>
            <w:tcBorders>
              <w:top w:val="nil"/>
              <w:left w:val="nil"/>
              <w:bottom w:val="single" w:color="auto" w:sz="4" w:space="0"/>
              <w:right w:val="single" w:color="auto" w:sz="4" w:space="0"/>
            </w:tcBorders>
            <w:shd w:val="clear" w:color="000000" w:fill="FFFFFF"/>
            <w:vAlign w:val="center"/>
          </w:tcPr>
          <w:p>
            <w:pPr>
              <w:rPr>
                <w:rFonts w:hint="eastAsia" w:hAnsi="宋体"/>
                <w:sz w:val="24"/>
              </w:rPr>
            </w:pPr>
          </w:p>
        </w:tc>
        <w:tc>
          <w:tcPr>
            <w:tcW w:w="1559" w:type="dxa"/>
            <w:tcBorders>
              <w:top w:val="nil"/>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　</w:t>
            </w:r>
          </w:p>
        </w:tc>
        <w:tc>
          <w:tcPr>
            <w:tcW w:w="2268" w:type="dxa"/>
            <w:tcBorders>
              <w:top w:val="nil"/>
              <w:left w:val="nil"/>
              <w:bottom w:val="single" w:color="auto" w:sz="4" w:space="0"/>
              <w:right w:val="single" w:color="auto" w:sz="8" w:space="0"/>
            </w:tcBorders>
            <w:shd w:val="clear" w:color="000000" w:fill="FFFFFF"/>
            <w:vAlign w:val="center"/>
          </w:tcPr>
          <w:p>
            <w:pPr>
              <w:rPr>
                <w:rFonts w:hint="eastAsia" w:hAnsi="宋体"/>
                <w:sz w:val="24"/>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rPr>
                <w:rFonts w:hint="eastAsia" w:hAnsi="宋体"/>
                <w:sz w:val="24"/>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其他费用小计</w:t>
            </w:r>
          </w:p>
        </w:tc>
        <w:tc>
          <w:tcPr>
            <w:tcW w:w="1559" w:type="dxa"/>
            <w:tcBorders>
              <w:top w:val="nil"/>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　</w:t>
            </w:r>
          </w:p>
        </w:tc>
        <w:tc>
          <w:tcPr>
            <w:tcW w:w="2268" w:type="dxa"/>
            <w:tcBorders>
              <w:top w:val="nil"/>
              <w:left w:val="nil"/>
              <w:bottom w:val="single" w:color="auto" w:sz="4" w:space="0"/>
              <w:right w:val="single" w:color="auto" w:sz="8" w:space="0"/>
            </w:tcBorders>
            <w:shd w:val="clear" w:color="000000" w:fill="FFFFFF"/>
            <w:vAlign w:val="center"/>
          </w:tcPr>
          <w:p>
            <w:pPr>
              <w:rPr>
                <w:rFonts w:hint="eastAsia" w:hAnsi="宋体"/>
                <w:sz w:val="24"/>
              </w:rPr>
            </w:pPr>
            <w:r>
              <w:rPr>
                <w:rFonts w:hint="eastAsia" w:hAnsi="宋体"/>
                <w:sz w:val="24"/>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税金</w:t>
            </w:r>
          </w:p>
        </w:tc>
        <w:tc>
          <w:tcPr>
            <w:tcW w:w="1559" w:type="dxa"/>
            <w:tcBorders>
              <w:top w:val="nil"/>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　</w:t>
            </w:r>
          </w:p>
        </w:tc>
        <w:tc>
          <w:tcPr>
            <w:tcW w:w="2268" w:type="dxa"/>
            <w:tcBorders>
              <w:top w:val="nil"/>
              <w:left w:val="nil"/>
              <w:bottom w:val="single" w:color="auto" w:sz="4" w:space="0"/>
              <w:right w:val="single" w:color="auto" w:sz="8" w:space="0"/>
            </w:tcBorders>
            <w:shd w:val="clear" w:color="000000" w:fill="FFFFFF"/>
            <w:vAlign w:val="center"/>
          </w:tcPr>
          <w:p>
            <w:pPr>
              <w:rPr>
                <w:rFonts w:hint="eastAsia" w:hAnsi="宋体"/>
                <w:sz w:val="24"/>
              </w:rPr>
            </w:pPr>
            <w:r>
              <w:rPr>
                <w:rFonts w:hint="eastAsia" w:hAnsi="宋体"/>
                <w:sz w:val="24"/>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rPr>
                <w:rFonts w:hint="eastAsia" w:hAnsi="宋体"/>
                <w:sz w:val="24"/>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w:t>
            </w:r>
          </w:p>
        </w:tc>
        <w:tc>
          <w:tcPr>
            <w:tcW w:w="1559" w:type="dxa"/>
            <w:tcBorders>
              <w:top w:val="nil"/>
              <w:left w:val="nil"/>
              <w:bottom w:val="single" w:color="auto" w:sz="4" w:space="0"/>
              <w:right w:val="single" w:color="auto" w:sz="4" w:space="0"/>
            </w:tcBorders>
            <w:shd w:val="clear" w:color="000000" w:fill="FFFFFF"/>
            <w:vAlign w:val="center"/>
          </w:tcPr>
          <w:p>
            <w:pPr>
              <w:rPr>
                <w:rFonts w:hint="eastAsia" w:hAnsi="宋体"/>
                <w:sz w:val="24"/>
              </w:rPr>
            </w:pPr>
          </w:p>
        </w:tc>
        <w:tc>
          <w:tcPr>
            <w:tcW w:w="2268" w:type="dxa"/>
            <w:tcBorders>
              <w:top w:val="nil"/>
              <w:left w:val="nil"/>
              <w:bottom w:val="single" w:color="auto" w:sz="4" w:space="0"/>
              <w:right w:val="single" w:color="auto" w:sz="8" w:space="0"/>
            </w:tcBorders>
            <w:shd w:val="clear" w:color="000000" w:fill="FFFFFF"/>
            <w:vAlign w:val="center"/>
          </w:tcPr>
          <w:p>
            <w:pPr>
              <w:rPr>
                <w:rFonts w:hint="eastAsia" w:hAnsi="宋体"/>
                <w:sz w:val="24"/>
              </w:rPr>
            </w:pP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rPr>
                <w:rFonts w:hint="eastAsia" w:hAnsi="宋体"/>
                <w:sz w:val="24"/>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合计(元)</w:t>
            </w:r>
          </w:p>
        </w:tc>
        <w:tc>
          <w:tcPr>
            <w:tcW w:w="1559" w:type="dxa"/>
            <w:tcBorders>
              <w:top w:val="nil"/>
              <w:left w:val="nil"/>
              <w:bottom w:val="single" w:color="auto" w:sz="4" w:space="0"/>
              <w:right w:val="single" w:color="auto" w:sz="4" w:space="0"/>
            </w:tcBorders>
            <w:shd w:val="clear" w:color="000000" w:fill="FFFFFF"/>
            <w:vAlign w:val="center"/>
          </w:tcPr>
          <w:p>
            <w:pPr>
              <w:rPr>
                <w:rFonts w:hint="eastAsia" w:hAnsi="宋体"/>
                <w:sz w:val="24"/>
              </w:rPr>
            </w:pPr>
            <w:r>
              <w:rPr>
                <w:rFonts w:hint="eastAsia" w:hAnsi="宋体"/>
                <w:sz w:val="24"/>
              </w:rPr>
              <w:t>　</w:t>
            </w:r>
          </w:p>
        </w:tc>
        <w:tc>
          <w:tcPr>
            <w:tcW w:w="2268" w:type="dxa"/>
            <w:tcBorders>
              <w:top w:val="nil"/>
              <w:left w:val="nil"/>
              <w:bottom w:val="single" w:color="auto" w:sz="4" w:space="0"/>
              <w:right w:val="single" w:color="auto" w:sz="8" w:space="0"/>
            </w:tcBorders>
            <w:shd w:val="clear" w:color="000000" w:fill="FFFFFF"/>
            <w:vAlign w:val="center"/>
          </w:tcPr>
          <w:p>
            <w:pPr>
              <w:rPr>
                <w:rFonts w:hint="eastAsia" w:hAnsi="宋体"/>
                <w:sz w:val="24"/>
              </w:rPr>
            </w:pPr>
            <w:r>
              <w:rPr>
                <w:rFonts w:hint="eastAsia" w:hAnsi="宋体"/>
                <w:sz w:val="24"/>
              </w:rPr>
              <w:t>　以上各项之和</w:t>
            </w:r>
          </w:p>
        </w:tc>
      </w:tr>
    </w:tbl>
    <w:p>
      <w:pPr>
        <w:ind w:firstLine="413" w:firstLineChars="196"/>
        <w:rPr>
          <w:rFonts w:hint="eastAsia" w:ascii="宋体" w:hAnsi="宋体" w:eastAsia="宋体" w:cs="宋体"/>
          <w:b/>
          <w:color w:val="0000FF"/>
          <w:szCs w:val="21"/>
        </w:rPr>
      </w:pPr>
      <w:r>
        <w:rPr>
          <w:rFonts w:hint="eastAsia" w:ascii="宋体" w:hAnsi="宋体" w:eastAsia="宋体" w:cs="宋体"/>
          <w:b/>
          <w:color w:val="0000FF"/>
          <w:szCs w:val="21"/>
        </w:rPr>
        <w:t>备注：</w:t>
      </w:r>
    </w:p>
    <w:p>
      <w:pPr>
        <w:ind w:firstLine="413" w:firstLineChars="196"/>
        <w:rPr>
          <w:rFonts w:hint="eastAsia" w:ascii="宋体" w:hAnsi="宋体" w:eastAsia="宋体" w:cs="宋体"/>
          <w:b/>
          <w:color w:val="0000FF"/>
          <w:szCs w:val="21"/>
        </w:rPr>
      </w:pPr>
      <w:r>
        <w:rPr>
          <w:rFonts w:hint="eastAsia" w:ascii="宋体" w:hAnsi="宋体" w:eastAsia="宋体" w:cs="宋体"/>
          <w:b/>
          <w:color w:val="0000FF"/>
          <w:szCs w:val="21"/>
        </w:rPr>
        <w:t>1.所有价格应按“招标文件”中规定的货币单位填写；</w:t>
      </w:r>
    </w:p>
    <w:p>
      <w:pPr>
        <w:ind w:firstLine="413" w:firstLineChars="196"/>
        <w:rPr>
          <w:rFonts w:hint="eastAsia" w:ascii="宋体" w:hAnsi="宋体" w:eastAsia="宋体" w:cs="宋体"/>
          <w:b/>
          <w:color w:val="0000FF"/>
          <w:szCs w:val="21"/>
        </w:rPr>
      </w:pPr>
      <w:r>
        <w:rPr>
          <w:rFonts w:hint="eastAsia" w:ascii="宋体" w:hAnsi="宋体" w:eastAsia="宋体" w:cs="宋体"/>
          <w:b/>
          <w:color w:val="0000FF"/>
          <w:szCs w:val="21"/>
        </w:rPr>
        <w:t>2.投标总价应为以上各分项价格之和；</w:t>
      </w:r>
    </w:p>
    <w:p>
      <w:pPr>
        <w:ind w:firstLine="413" w:firstLineChars="196"/>
        <w:rPr>
          <w:rFonts w:hint="eastAsia" w:ascii="宋体" w:hAnsi="宋体" w:eastAsia="宋体" w:cs="宋体"/>
          <w:b/>
          <w:color w:val="0000FF"/>
          <w:szCs w:val="21"/>
        </w:rPr>
      </w:pPr>
      <w:r>
        <w:rPr>
          <w:rFonts w:hint="eastAsia" w:ascii="宋体" w:hAnsi="宋体" w:eastAsia="宋体" w:cs="宋体"/>
          <w:b/>
          <w:color w:val="0000FF"/>
          <w:szCs w:val="21"/>
        </w:rPr>
        <w:t>3.本表格式可根据项目具体情况进行修改；</w:t>
      </w:r>
    </w:p>
    <w:p>
      <w:pPr>
        <w:ind w:firstLine="413" w:firstLineChars="196"/>
        <w:rPr>
          <w:rFonts w:hint="eastAsia" w:ascii="宋体" w:hAnsi="宋体" w:eastAsia="宋体" w:cs="宋体"/>
          <w:b/>
          <w:color w:val="0000FF"/>
          <w:szCs w:val="21"/>
        </w:rPr>
      </w:pPr>
      <w:r>
        <w:rPr>
          <w:rFonts w:hint="eastAsia" w:ascii="宋体" w:hAnsi="宋体" w:eastAsia="宋体" w:cs="宋体"/>
          <w:b/>
          <w:color w:val="0000FF"/>
          <w:szCs w:val="21"/>
        </w:rPr>
        <w:t>4.投标总价和项目报价表中单个采购预算条目报价均不得超过对应的财政预算限额，否则将导致投标无效。</w:t>
      </w:r>
    </w:p>
    <w:p>
      <w:pPr>
        <w:ind w:firstLine="413" w:firstLineChars="196"/>
        <w:rPr>
          <w:rFonts w:hint="default" w:ascii="宋体" w:hAnsi="宋体" w:eastAsia="宋体" w:cs="宋体"/>
          <w:b/>
          <w:color w:val="0000FF"/>
          <w:szCs w:val="21"/>
          <w:lang w:val="en-US" w:eastAsia="zh-CN"/>
        </w:rPr>
      </w:pPr>
      <w:r>
        <w:rPr>
          <w:rFonts w:hint="eastAsia" w:ascii="宋体" w:hAnsi="宋体" w:eastAsia="宋体" w:cs="宋体"/>
          <w:b/>
          <w:color w:val="0000FF"/>
          <w:szCs w:val="21"/>
        </w:rPr>
        <w:t>5.《分项报价表》的投标总价应与开标一览表的投标总价一致。</w:t>
      </w:r>
    </w:p>
    <w:p>
      <w:pPr>
        <w:pStyle w:val="40"/>
        <w:rPr>
          <w:rFonts w:hint="eastAsia"/>
          <w:lang w:val="en-US" w:eastAsia="zh-CN"/>
        </w:rPr>
      </w:pPr>
    </w:p>
    <w:p>
      <w:pPr>
        <w:pStyle w:val="40"/>
        <w:rPr>
          <w:rFonts w:hint="default"/>
          <w:lang w:val="en-US" w:eastAsia="zh-CN"/>
        </w:rPr>
      </w:pPr>
    </w:p>
    <w:p>
      <w:pPr>
        <w:tabs>
          <w:tab w:val="left" w:pos="720"/>
        </w:tabs>
        <w:jc w:val="center"/>
        <w:rPr>
          <w:b/>
          <w:sz w:val="24"/>
          <w:highlight w:val="none"/>
        </w:rPr>
      </w:pPr>
      <w:r>
        <w:rPr>
          <w:rFonts w:hint="eastAsia"/>
          <w:b/>
          <w:sz w:val="24"/>
          <w:highlight w:val="none"/>
        </w:rPr>
        <w:t>（二）</w:t>
      </w:r>
      <w:bookmarkStart w:id="38" w:name="_Hlk72073235"/>
      <w:r>
        <w:rPr>
          <w:rFonts w:hint="eastAsia"/>
          <w:b/>
          <w:sz w:val="24"/>
          <w:highlight w:val="none"/>
        </w:rPr>
        <w:t>投标人认为需要涉及的其他内容报价清单</w:t>
      </w:r>
      <w:bookmarkEnd w:id="38"/>
    </w:p>
    <w:p>
      <w:pPr>
        <w:rPr>
          <w:highlight w:val="none"/>
        </w:rPr>
      </w:pPr>
    </w:p>
    <w:p>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五、投标人有效业绩</w:t>
      </w:r>
    </w:p>
    <w:tbl>
      <w:tblPr>
        <w:tblStyle w:val="43"/>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pPr>
              <w:spacing w:line="276" w:lineRule="auto"/>
              <w:jc w:val="center"/>
              <w:rPr>
                <w:rFonts w:ascii="宋体"/>
                <w:szCs w:val="21"/>
                <w:highlight w:val="none"/>
              </w:rPr>
            </w:pPr>
            <w:r>
              <w:rPr>
                <w:rFonts w:hint="eastAsia" w:ascii="宋体" w:hAnsi="宋体"/>
                <w:szCs w:val="21"/>
                <w:highlight w:val="none"/>
              </w:rPr>
              <w:t>联系电话</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bl>
    <w:p>
      <w:pPr>
        <w:pStyle w:val="9"/>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pPr>
        <w:rPr>
          <w:rFonts w:hint="eastAsia" w:ascii="黑体" w:eastAsia="黑体"/>
          <w:b w:val="0"/>
          <w:kern w:val="0"/>
          <w:sz w:val="24"/>
          <w:szCs w:val="24"/>
          <w:highlight w:val="none"/>
        </w:rPr>
      </w:pPr>
      <w:bookmarkStart w:id="39" w:name="_Toc59916729"/>
      <w:r>
        <w:rPr>
          <w:rFonts w:hint="eastAsia" w:ascii="黑体" w:eastAsia="黑体"/>
          <w:b w:val="0"/>
          <w:kern w:val="0"/>
          <w:sz w:val="24"/>
          <w:szCs w:val="24"/>
          <w:highlight w:val="none"/>
        </w:rPr>
        <w:br w:type="page"/>
      </w:r>
    </w:p>
    <w:p>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w:t>
      </w:r>
      <w:bookmarkEnd w:id="39"/>
      <w:r>
        <w:rPr>
          <w:rFonts w:hint="eastAsia" w:ascii="黑体" w:eastAsia="黑体"/>
          <w:b w:val="0"/>
          <w:kern w:val="0"/>
          <w:sz w:val="24"/>
          <w:szCs w:val="24"/>
          <w:highlight w:val="none"/>
        </w:rPr>
        <w:t>履约评价</w:t>
      </w:r>
    </w:p>
    <w:p>
      <w:pPr>
        <w:pStyle w:val="9"/>
        <w:spacing w:line="276" w:lineRule="auto"/>
        <w:rPr>
          <w:b w:val="0"/>
          <w:bCs w:val="0"/>
          <w:sz w:val="21"/>
          <w:szCs w:val="21"/>
          <w:highlight w:val="none"/>
        </w:rPr>
      </w:pPr>
      <w:r>
        <w:rPr>
          <w:rFonts w:hint="eastAsia"/>
          <w:b w:val="0"/>
          <w:bCs w:val="0"/>
          <w:sz w:val="21"/>
          <w:szCs w:val="21"/>
          <w:highlight w:val="none"/>
        </w:rPr>
        <w:t>（特别提示：投标人须按本招标文件评标信息中“履约评价”这一评分因素要求，提供证明资料）</w:t>
      </w:r>
    </w:p>
    <w:p>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pPr>
        <w:pStyle w:val="5"/>
        <w:spacing w:line="276" w:lineRule="auto"/>
        <w:jc w:val="center"/>
        <w:rPr>
          <w:rFonts w:hint="eastAsia" w:ascii="黑体" w:eastAsia="黑体"/>
          <w:b w:val="0"/>
          <w:kern w:val="0"/>
          <w:sz w:val="24"/>
          <w:szCs w:val="24"/>
          <w:highlight w:val="none"/>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、认证情况</w:t>
      </w:r>
    </w:p>
    <w:p>
      <w:pPr>
        <w:pStyle w:val="9"/>
        <w:spacing w:line="276" w:lineRule="auto"/>
        <w:rPr>
          <w:b w:val="0"/>
          <w:bCs w:val="0"/>
          <w:sz w:val="21"/>
          <w:szCs w:val="21"/>
          <w:highlight w:val="none"/>
        </w:rPr>
      </w:pPr>
      <w:r>
        <w:rPr>
          <w:rFonts w:hint="eastAsia"/>
          <w:b w:val="0"/>
          <w:bCs w:val="0"/>
          <w:sz w:val="21"/>
          <w:szCs w:val="21"/>
          <w:highlight w:val="none"/>
        </w:rPr>
        <w:t>（特别提示：投标人须按本招标文件评标信息中“认证情况”这一评分因素要求，提供证明资料）</w:t>
      </w:r>
    </w:p>
    <w:p>
      <w:pPr>
        <w:pStyle w:val="5"/>
        <w:spacing w:line="276" w:lineRule="auto"/>
        <w:jc w:val="center"/>
        <w:rPr>
          <w:rFonts w:hint="eastAsia" w:ascii="黑体" w:eastAsia="黑体"/>
          <w:b w:val="0"/>
          <w:kern w:val="0"/>
          <w:sz w:val="24"/>
          <w:szCs w:val="24"/>
          <w:highlight w:val="none"/>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、自主知识产权产品（创新、设计）情况</w:t>
      </w:r>
    </w:p>
    <w:p>
      <w:pPr>
        <w:pStyle w:val="5"/>
        <w:spacing w:line="276" w:lineRule="auto"/>
        <w:jc w:val="center"/>
        <w:rPr>
          <w:rFonts w:hint="eastAsia" w:ascii="黑体" w:eastAsia="黑体"/>
          <w:b w:val="0"/>
          <w:kern w:val="0"/>
          <w:sz w:val="24"/>
          <w:szCs w:val="24"/>
          <w:highlight w:val="none"/>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b w:val="0"/>
          <w:bCs w:val="0"/>
          <w:sz w:val="21"/>
          <w:szCs w:val="21"/>
          <w:highlight w:val="none"/>
        </w:rPr>
        <w:t>（特别提示：投标人须按本招标文件评标信息中“自主知识产权产品（创新、设计）情况”这一评分因素要求，提供证明资料）</w:t>
      </w:r>
    </w:p>
    <w:p>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、投标人认为需要加以说明的其他内容（信息公开部分）</w:t>
      </w:r>
    </w:p>
    <w:p>
      <w:pPr>
        <w:pStyle w:val="2"/>
        <w:rPr>
          <w:highlight w:val="none"/>
        </w:rPr>
      </w:pPr>
    </w:p>
    <w:p>
      <w:pPr>
        <w:pStyle w:val="8"/>
        <w:rPr>
          <w:highlight w:val="none"/>
        </w:rPr>
      </w:pPr>
    </w:p>
    <w:p>
      <w:pPr>
        <w:jc w:val="center"/>
        <w:rPr>
          <w:highlight w:val="none"/>
        </w:rPr>
      </w:pPr>
      <w:r>
        <w:rPr>
          <w:rFonts w:hint="eastAsia"/>
          <w:b/>
          <w:color w:val="FF0000"/>
          <w:sz w:val="24"/>
          <w:highlight w:val="none"/>
        </w:rPr>
        <w:t>（信息公开部分的内容到此为止！以下为信息不公开部分。）</w:t>
      </w:r>
    </w:p>
    <w:p>
      <w:pPr>
        <w:rPr>
          <w:rFonts w:hint="default" w:eastAsia="宋体"/>
          <w:highlight w:val="none"/>
          <w:lang w:val="en-US" w:eastAsia="zh-CN"/>
        </w:rPr>
      </w:pPr>
    </w:p>
    <w:p>
      <w:pPr>
        <w:rPr>
          <w:rFonts w:hint="eastAsia"/>
          <w:b/>
          <w:color w:val="FF0000"/>
          <w:sz w:val="24"/>
          <w:highlight w:val="none"/>
        </w:rPr>
      </w:pPr>
      <w:r>
        <w:rPr>
          <w:rFonts w:hint="eastAsia"/>
          <w:b/>
          <w:color w:val="FF0000"/>
          <w:sz w:val="24"/>
          <w:highlight w:val="none"/>
        </w:rPr>
        <w:br w:type="page"/>
      </w:r>
    </w:p>
    <w:p>
      <w:pPr>
        <w:outlineLvl w:val="1"/>
        <w:rPr>
          <w:rFonts w:hint="eastAsia" w:ascii="宋体" w:hAnsi="宋体"/>
          <w:b/>
          <w:color w:val="FF0000"/>
          <w:sz w:val="28"/>
          <w:szCs w:val="28"/>
          <w:highlight w:val="none"/>
        </w:rPr>
      </w:pPr>
    </w:p>
    <w:p>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2"/>
        <w:rPr>
          <w:rFonts w:hint="eastAsia" w:ascii="宋体" w:hAnsi="宋体"/>
          <w:b/>
          <w:color w:val="FF0000"/>
          <w:sz w:val="28"/>
          <w:szCs w:val="28"/>
          <w:highlight w:val="none"/>
        </w:rPr>
      </w:pPr>
    </w:p>
    <w:p>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pPr>
        <w:pStyle w:val="5"/>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40" w:name="_Hlk72092499"/>
      <w:r>
        <w:rPr>
          <w:rFonts w:hint="eastAsia" w:ascii="黑体" w:eastAsia="黑体"/>
          <w:b w:val="0"/>
          <w:sz w:val="24"/>
          <w:highlight w:val="none"/>
        </w:rPr>
        <w:t>法定代表人（负责人）证明书</w:t>
      </w:r>
      <w:bookmarkEnd w:id="40"/>
    </w:p>
    <w:p>
      <w:pPr>
        <w:rPr>
          <w:sz w:val="24"/>
          <w:highlight w:val="none"/>
        </w:rPr>
      </w:pPr>
    </w:p>
    <w:p>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pPr>
        <w:spacing w:line="360" w:lineRule="auto"/>
        <w:ind w:firstLine="420" w:firstLineChars="200"/>
        <w:rPr>
          <w:szCs w:val="21"/>
          <w:highlight w:val="none"/>
        </w:rPr>
      </w:pPr>
      <w:r>
        <w:rPr>
          <w:rFonts w:hint="eastAsia"/>
          <w:szCs w:val="21"/>
          <w:highlight w:val="none"/>
        </w:rPr>
        <w:t>特此证明。</w:t>
      </w:r>
    </w:p>
    <w:p>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证件扫描件正面</w:t>
            </w:r>
          </w:p>
          <w:p>
            <w:pPr>
              <w:pStyle w:val="9"/>
              <w:jc w:val="center"/>
              <w:rPr>
                <w:rFonts w:hint="eastAsia"/>
                <w:highlight w:val="none"/>
                <w:lang w:val="en-US" w:eastAsia="zh-CN"/>
              </w:rPr>
            </w:pPr>
            <w:r>
              <w:rPr>
                <w:rFonts w:hint="eastAsia"/>
                <w:highlight w:val="none"/>
                <w:lang w:val="en-US" w:eastAsia="zh-CN"/>
              </w:rPr>
              <w:t xml:space="preserve"> </w:t>
            </w:r>
          </w:p>
          <w:p>
            <w:pPr>
              <w:pStyle w:val="10"/>
              <w:rPr>
                <w:rFonts w:hint="eastAsia"/>
                <w:highlight w:val="none"/>
                <w:lang w:val="en-US" w:eastAsia="zh-CN"/>
              </w:rPr>
            </w:pPr>
          </w:p>
          <w:p>
            <w:pPr>
              <w:pStyle w:val="10"/>
              <w:rPr>
                <w:rFonts w:hint="eastAsia"/>
                <w:highlight w:val="none"/>
                <w:lang w:val="en-US" w:eastAsia="zh-CN"/>
              </w:rPr>
            </w:pPr>
          </w:p>
          <w:p>
            <w:pPr>
              <w:pStyle w:val="10"/>
              <w:rPr>
                <w:rFonts w:hint="eastAsia"/>
                <w:highlight w:val="none"/>
                <w:lang w:val="en-US" w:eastAsia="zh-CN"/>
              </w:rPr>
            </w:pPr>
          </w:p>
          <w:p>
            <w:pPr>
              <w:pStyle w:val="10"/>
              <w:rPr>
                <w:rFonts w:hint="default"/>
                <w:highlight w:val="none"/>
                <w:lang w:val="en-US" w:eastAsia="zh-CN"/>
              </w:rPr>
            </w:pPr>
          </w:p>
          <w:p>
            <w:pPr>
              <w:pStyle w:val="10"/>
              <w:jc w:val="center"/>
              <w:rPr>
                <w:rFonts w:hint="default"/>
                <w:highlight w:val="none"/>
                <w:lang w:val="en-US" w:eastAsia="zh-CN"/>
              </w:rPr>
            </w:pPr>
          </w:p>
        </w:tc>
        <w:tc>
          <w:tcPr>
            <w:tcW w:w="4265"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证件扫描件反面</w:t>
            </w:r>
          </w:p>
          <w:p>
            <w:pPr>
              <w:pStyle w:val="9"/>
              <w:jc w:val="center"/>
              <w:rPr>
                <w:rFonts w:hint="eastAsia"/>
                <w:highlight w:val="none"/>
                <w:lang w:val="en-US" w:eastAsia="zh-CN"/>
              </w:rPr>
            </w:pPr>
          </w:p>
          <w:p>
            <w:pPr>
              <w:pStyle w:val="10"/>
              <w:jc w:val="center"/>
              <w:rPr>
                <w:rFonts w:hint="eastAsia"/>
                <w:sz w:val="24"/>
                <w:highlight w:val="none"/>
                <w:vertAlign w:val="baseline"/>
                <w:lang w:val="en-US" w:eastAsia="zh-CN"/>
              </w:rPr>
            </w:pPr>
          </w:p>
        </w:tc>
      </w:tr>
    </w:tbl>
    <w:p>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sz w:val="24"/>
          <w:highlight w:val="none"/>
        </w:rPr>
      </w:pPr>
    </w:p>
    <w:p>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pPr>
        <w:pStyle w:val="5"/>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highlight w:val="none"/>
        </w:rPr>
      </w:pPr>
      <w:r>
        <w:rPr>
          <w:rFonts w:hint="eastAsia"/>
          <w:szCs w:val="21"/>
          <w:highlight w:val="none"/>
        </w:rPr>
        <w:t>代理人无转委托权，特此委托。</w:t>
      </w:r>
    </w:p>
    <w:p>
      <w:pPr>
        <w:spacing w:line="360" w:lineRule="auto"/>
        <w:ind w:firstLine="420" w:firstLineChars="200"/>
        <w:rPr>
          <w:rFonts w:hint="eastAsia"/>
          <w:szCs w:val="21"/>
          <w:highlight w:val="none"/>
        </w:rPr>
      </w:pPr>
    </w:p>
    <w:p>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证件扫描件正面</w:t>
            </w:r>
          </w:p>
          <w:p>
            <w:pPr>
              <w:pStyle w:val="9"/>
              <w:jc w:val="center"/>
              <w:rPr>
                <w:rFonts w:hint="eastAsia"/>
                <w:highlight w:val="none"/>
                <w:lang w:val="en-US" w:eastAsia="zh-CN"/>
              </w:rPr>
            </w:pPr>
          </w:p>
          <w:p>
            <w:pPr>
              <w:pStyle w:val="10"/>
              <w:jc w:val="center"/>
              <w:rPr>
                <w:rFonts w:hint="default"/>
                <w:highlight w:val="none"/>
                <w:lang w:val="en-US" w:eastAsia="zh-CN"/>
              </w:rPr>
            </w:pPr>
          </w:p>
        </w:tc>
        <w:tc>
          <w:tcPr>
            <w:tcW w:w="4265"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证件扫描件反面</w:t>
            </w:r>
          </w:p>
          <w:p>
            <w:pPr>
              <w:pStyle w:val="9"/>
              <w:jc w:val="center"/>
              <w:rPr>
                <w:rFonts w:hint="eastAsia"/>
                <w:highlight w:val="none"/>
                <w:lang w:val="en-US" w:eastAsia="zh-CN"/>
              </w:rPr>
            </w:pPr>
          </w:p>
          <w:p>
            <w:pPr>
              <w:pStyle w:val="10"/>
              <w:jc w:val="center"/>
              <w:rPr>
                <w:rFonts w:hint="eastAsia"/>
                <w:sz w:val="24"/>
                <w:highlight w:val="none"/>
                <w:vertAlign w:val="baseline"/>
                <w:lang w:val="en-US" w:eastAsia="zh-CN"/>
              </w:rPr>
            </w:pPr>
          </w:p>
        </w:tc>
      </w:tr>
    </w:tbl>
    <w:p>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5"/>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41" w:name="_Hlk72092634"/>
      <w:r>
        <w:rPr>
          <w:rFonts w:hint="eastAsia" w:ascii="黑体" w:eastAsia="黑体"/>
          <w:b w:val="0"/>
          <w:kern w:val="0"/>
          <w:sz w:val="24"/>
          <w:szCs w:val="24"/>
          <w:highlight w:val="none"/>
        </w:rPr>
        <w:t>实质性条款响应情况表</w:t>
      </w:r>
      <w:bookmarkEnd w:id="41"/>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highlight w:val="none"/>
              </w:rPr>
            </w:pPr>
            <w:bookmarkStart w:id="42" w:name="_Hlk72092651"/>
            <w:r>
              <w:rPr>
                <w:rFonts w:hint="eastAsia" w:ascii="宋体" w:hAnsi="宋体"/>
                <w:kern w:val="0"/>
                <w:szCs w:val="21"/>
                <w:highlight w:val="none"/>
              </w:rPr>
              <w:t>序号</w:t>
            </w:r>
          </w:p>
        </w:tc>
        <w:tc>
          <w:tcPr>
            <w:tcW w:w="2664" w:type="dxa"/>
            <w:vAlign w:val="center"/>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top"/>
          </w:tcPr>
          <w:p>
            <w:pPr>
              <w:rPr>
                <w:rFonts w:hAnsi="宋体"/>
                <w:kern w:val="0"/>
                <w:szCs w:val="21"/>
                <w:highlight w:val="none"/>
              </w:rPr>
            </w:pPr>
            <w:r>
              <w:rPr>
                <w:rFonts w:hint="eastAsia" w:hAnsi="宋体"/>
                <w:b/>
                <w:bCs/>
                <w:color w:val="FF0000"/>
                <w:kern w:val="0"/>
                <w:szCs w:val="21"/>
                <w:highlight w:val="none"/>
              </w:rPr>
              <w:t>具体以采购文件第三章 用户需求书中带“★”的需求项为准。</w:t>
            </w:r>
          </w:p>
        </w:tc>
        <w:tc>
          <w:tcPr>
            <w:tcW w:w="1588" w:type="dxa"/>
          </w:tcPr>
          <w:p>
            <w:pPr>
              <w:adjustRightInd w:val="0"/>
              <w:snapToGrid w:val="0"/>
              <w:spacing w:line="360" w:lineRule="auto"/>
              <w:rPr>
                <w:rFonts w:ascii="宋体" w:hAnsi="宋体"/>
                <w:kern w:val="0"/>
                <w:szCs w:val="21"/>
                <w:highlight w:val="none"/>
              </w:rPr>
            </w:pPr>
          </w:p>
        </w:tc>
        <w:tc>
          <w:tcPr>
            <w:tcW w:w="1842" w:type="dxa"/>
          </w:tcPr>
          <w:p>
            <w:pPr>
              <w:adjustRightInd w:val="0"/>
              <w:snapToGrid w:val="0"/>
              <w:spacing w:line="360" w:lineRule="auto"/>
              <w:rPr>
                <w:rFonts w:ascii="宋体" w:hAnsi="宋体"/>
                <w:kern w:val="0"/>
                <w:szCs w:val="21"/>
                <w:highlight w:val="none"/>
              </w:rPr>
            </w:pPr>
          </w:p>
        </w:tc>
        <w:tc>
          <w:tcPr>
            <w:tcW w:w="1418" w:type="dxa"/>
          </w:tcPr>
          <w:p>
            <w:pPr>
              <w:adjustRightInd w:val="0"/>
              <w:snapToGrid w:val="0"/>
              <w:spacing w:line="360" w:lineRule="auto"/>
              <w:rPr>
                <w:rFonts w:ascii="宋体" w:hAnsi="宋体"/>
                <w:kern w:val="0"/>
                <w:szCs w:val="21"/>
                <w:highlight w:val="none"/>
              </w:rPr>
            </w:pPr>
          </w:p>
        </w:tc>
      </w:tr>
    </w:tbl>
    <w:p>
      <w:pPr>
        <w:ind w:firstLine="482" w:firstLineChars="200"/>
        <w:rPr>
          <w:b/>
          <w:sz w:val="24"/>
          <w:szCs w:val="22"/>
          <w:highlight w:val="none"/>
        </w:rPr>
      </w:pPr>
      <w:r>
        <w:rPr>
          <w:rFonts w:hint="eastAsia"/>
          <w:b/>
          <w:sz w:val="24"/>
          <w:szCs w:val="22"/>
          <w:highlight w:val="none"/>
        </w:rPr>
        <w:t>注：1.上表所列各项均为不可负偏离条款。</w:t>
      </w:r>
    </w:p>
    <w:p>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pPr>
        <w:ind w:firstLine="420" w:firstLineChars="200"/>
        <w:rPr>
          <w:highlight w:val="none"/>
        </w:rPr>
      </w:pPr>
    </w:p>
    <w:p>
      <w:pPr>
        <w:rPr>
          <w:b/>
          <w:bCs/>
          <w:sz w:val="24"/>
          <w:highlight w:val="none"/>
        </w:rPr>
      </w:pPr>
    </w:p>
    <w:p>
      <w:pPr>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、项目服务方案</w:t>
      </w:r>
    </w:p>
    <w:p>
      <w:pPr>
        <w:pStyle w:val="9"/>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（特别提示：投标人须按本招标文件评标信息中“项目服务方案”这一评分因素要求，提供证明资料）</w:t>
      </w: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、质量保障措施</w:t>
      </w:r>
    </w:p>
    <w:p>
      <w:pPr>
        <w:pStyle w:val="9"/>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（特别提示：投标人须按本招标文件评标信息中“质量保障措施”这一评分因素要求，提供证明资料）</w:t>
      </w: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、项目重点难点分析、应对措施及相关的合理化建议</w:t>
      </w:r>
    </w:p>
    <w:p>
      <w:pPr>
        <w:pStyle w:val="9"/>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（特别提示：投标人须按本招标文件评标信息中“项目重点难点分析、应对措施及相关的合理化建议”这一评分因素要求，提供证明资料）</w:t>
      </w:r>
    </w:p>
    <w:p>
      <w:pPr>
        <w:rPr>
          <w:rFonts w:ascii="黑体" w:hAnsi="宋体" w:eastAsia="黑体"/>
          <w:bCs/>
          <w:kern w:val="0"/>
          <w:sz w:val="24"/>
          <w:highlight w:val="none"/>
        </w:rPr>
      </w:pP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5"/>
        <w:adjustRightInd w:val="0"/>
        <w:snapToGrid w:val="0"/>
        <w:spacing w:line="276" w:lineRule="auto"/>
        <w:jc w:val="center"/>
        <w:rPr>
          <w:rFonts w:hint="eastAsia" w:ascii="黑体" w:eastAsia="黑体"/>
          <w:b w:val="0"/>
          <w:kern w:val="0"/>
          <w:sz w:val="24"/>
          <w:szCs w:val="24"/>
          <w:highlight w:val="none"/>
          <w:lang w:val="en-US" w:eastAsia="zh-CN"/>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numPr>
          <w:ilvl w:val="0"/>
          <w:numId w:val="0"/>
        </w:numPr>
        <w:adjustRightInd w:val="0"/>
        <w:snapToGrid w:val="0"/>
        <w:spacing w:line="276" w:lineRule="auto"/>
        <w:jc w:val="center"/>
        <w:rPr>
          <w:rFonts w:hint="eastAsia"/>
          <w:lang w:val="en-US" w:eastAsia="zh-CN"/>
        </w:rPr>
      </w:pPr>
      <w:r>
        <w:rPr>
          <w:rFonts w:hint="eastAsia" w:ascii="黑体" w:eastAsia="黑体"/>
          <w:b w:val="0"/>
          <w:kern w:val="0"/>
          <w:sz w:val="24"/>
          <w:szCs w:val="24"/>
          <w:highlight w:val="none"/>
          <w:lang w:val="en-US" w:eastAsia="zh-CN"/>
        </w:rPr>
        <w:t>八、项目完成（服务期满）后的服务承诺</w:t>
      </w:r>
    </w:p>
    <w:p>
      <w:pPr>
        <w:pStyle w:val="9"/>
        <w:adjustRightInd w:val="0"/>
        <w:snapToGrid w:val="0"/>
        <w:spacing w:line="276" w:lineRule="auto"/>
        <w:rPr>
          <w:rFonts w:hint="eastAsia" w:ascii="Times New Roman" w:hAnsi="Times New Roman" w:eastAsia="宋体" w:cs="Times New Roman"/>
          <w:b w:val="0"/>
          <w:bCs w:val="0"/>
          <w:sz w:val="21"/>
          <w:szCs w:val="21"/>
          <w:highlight w:val="none"/>
          <w:lang w:val="en-US" w:eastAsia="zh-CN"/>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Times New Roman" w:hAnsi="Times New Roman" w:eastAsia="宋体" w:cs="Times New Roman"/>
          <w:b w:val="0"/>
          <w:bCs w:val="0"/>
          <w:sz w:val="21"/>
          <w:szCs w:val="21"/>
          <w:highlight w:val="none"/>
        </w:rPr>
        <w:t>（特别提示：投标人须按本招标文件评标信息中“投入服务配套的设施情况”这一评分因素要求，提供证明资料）</w:t>
      </w:r>
    </w:p>
    <w:p>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、拟安排的项目负责人情况（仅限一人）</w:t>
      </w:r>
    </w:p>
    <w:p>
      <w:pPr>
        <w:pStyle w:val="6"/>
        <w:adjustRightInd w:val="0"/>
        <w:snapToGrid w:val="0"/>
        <w:spacing w:before="0" w:after="0" w:line="276" w:lineRule="auto"/>
        <w:jc w:val="left"/>
        <w:rPr>
          <w:highlight w:val="none"/>
        </w:rPr>
      </w:pPr>
      <w:r>
        <w:rPr>
          <w:rFonts w:hint="eastAsia" w:ascii="宋体" w:hAnsi="宋体" w:eastAsia="宋体"/>
          <w:sz w:val="21"/>
          <w:szCs w:val="21"/>
          <w:highlight w:val="none"/>
        </w:rPr>
        <w:t>拟安排的项目负责人情况（仅限一人）情况</w:t>
      </w:r>
    </w:p>
    <w:tbl>
      <w:tblPr>
        <w:tblStyle w:val="43"/>
        <w:tblW w:w="84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27" w:hRule="atLeast"/>
          <w:jc w:val="center"/>
        </w:trPr>
        <w:tc>
          <w:tcPr>
            <w:tcW w:w="1125"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类别</w:t>
            </w:r>
          </w:p>
        </w:tc>
        <w:tc>
          <w:tcPr>
            <w:tcW w:w="932"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姓名</w:t>
            </w:r>
          </w:p>
        </w:tc>
        <w:tc>
          <w:tcPr>
            <w:tcW w:w="932"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职称</w:t>
            </w:r>
          </w:p>
        </w:tc>
        <w:tc>
          <w:tcPr>
            <w:tcW w:w="932"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学历</w:t>
            </w:r>
          </w:p>
        </w:tc>
        <w:tc>
          <w:tcPr>
            <w:tcW w:w="4536" w:type="dxa"/>
            <w:gridSpan w:val="4"/>
            <w:vAlign w:val="center"/>
          </w:tcPr>
          <w:p>
            <w:pPr>
              <w:spacing w:line="276" w:lineRule="auto"/>
              <w:jc w:val="center"/>
              <w:rPr>
                <w:rFonts w:ascii="宋体" w:hAnsi="宋体"/>
                <w:szCs w:val="21"/>
                <w:highlight w:val="none"/>
              </w:rPr>
            </w:pPr>
            <w:r>
              <w:rPr>
                <w:rFonts w:hint="eastAsia" w:ascii="宋体" w:hAnsi="宋体"/>
                <w:szCs w:val="21"/>
                <w:highlight w:val="none"/>
              </w:rPr>
              <w:t>上岗资格证明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vAlign w:val="center"/>
          </w:tcPr>
          <w:p>
            <w:pPr>
              <w:spacing w:line="276" w:lineRule="auto"/>
              <w:jc w:val="center"/>
              <w:rPr>
                <w:rFonts w:ascii="宋体" w:hAnsi="宋体"/>
                <w:szCs w:val="21"/>
                <w:highlight w:val="none"/>
              </w:rPr>
            </w:pPr>
          </w:p>
        </w:tc>
        <w:tc>
          <w:tcPr>
            <w:tcW w:w="932" w:type="dxa"/>
            <w:vMerge w:val="continue"/>
            <w:vAlign w:val="center"/>
          </w:tcPr>
          <w:p>
            <w:pPr>
              <w:spacing w:line="276" w:lineRule="auto"/>
              <w:jc w:val="center"/>
              <w:rPr>
                <w:rFonts w:ascii="宋体" w:hAnsi="宋体"/>
                <w:szCs w:val="21"/>
                <w:highlight w:val="none"/>
              </w:rPr>
            </w:pPr>
          </w:p>
        </w:tc>
        <w:tc>
          <w:tcPr>
            <w:tcW w:w="932" w:type="dxa"/>
            <w:vMerge w:val="continue"/>
          </w:tcPr>
          <w:p>
            <w:pPr>
              <w:spacing w:line="276" w:lineRule="auto"/>
              <w:jc w:val="center"/>
              <w:rPr>
                <w:rFonts w:ascii="宋体" w:hAnsi="宋体"/>
                <w:szCs w:val="21"/>
                <w:highlight w:val="none"/>
              </w:rPr>
            </w:pPr>
          </w:p>
        </w:tc>
        <w:tc>
          <w:tcPr>
            <w:tcW w:w="932" w:type="dxa"/>
            <w:vMerge w:val="continue"/>
            <w:vAlign w:val="center"/>
          </w:tcPr>
          <w:p>
            <w:pPr>
              <w:spacing w:line="276" w:lineRule="auto"/>
              <w:jc w:val="center"/>
              <w:rPr>
                <w:rFonts w:ascii="宋体" w:hAnsi="宋体"/>
                <w:szCs w:val="21"/>
                <w:highlight w:val="none"/>
              </w:rPr>
            </w:pPr>
          </w:p>
        </w:tc>
        <w:tc>
          <w:tcPr>
            <w:tcW w:w="1224" w:type="dxa"/>
            <w:vAlign w:val="center"/>
          </w:tcPr>
          <w:p>
            <w:pPr>
              <w:spacing w:line="276" w:lineRule="auto"/>
              <w:jc w:val="center"/>
              <w:rPr>
                <w:rFonts w:ascii="宋体" w:hAnsi="宋体"/>
                <w:szCs w:val="21"/>
                <w:highlight w:val="none"/>
              </w:rPr>
            </w:pPr>
            <w:r>
              <w:rPr>
                <w:rFonts w:hint="eastAsia" w:ascii="宋体" w:hAnsi="宋体"/>
                <w:szCs w:val="21"/>
                <w:highlight w:val="none"/>
              </w:rPr>
              <w:t>证书名称</w:t>
            </w:r>
          </w:p>
        </w:tc>
        <w:tc>
          <w:tcPr>
            <w:tcW w:w="992" w:type="dxa"/>
            <w:vAlign w:val="center"/>
          </w:tcPr>
          <w:p>
            <w:pPr>
              <w:spacing w:line="276" w:lineRule="auto"/>
              <w:jc w:val="center"/>
              <w:rPr>
                <w:rFonts w:ascii="宋体" w:hAnsi="宋体"/>
                <w:szCs w:val="21"/>
                <w:highlight w:val="none"/>
              </w:rPr>
            </w:pPr>
            <w:r>
              <w:rPr>
                <w:rFonts w:hint="eastAsia" w:ascii="宋体" w:hAnsi="宋体"/>
                <w:szCs w:val="21"/>
                <w:highlight w:val="none"/>
              </w:rPr>
              <w:t>级别</w:t>
            </w:r>
          </w:p>
        </w:tc>
        <w:tc>
          <w:tcPr>
            <w:tcW w:w="1171" w:type="dxa"/>
            <w:vAlign w:val="center"/>
          </w:tcPr>
          <w:p>
            <w:pPr>
              <w:spacing w:line="276" w:lineRule="auto"/>
              <w:jc w:val="center"/>
              <w:rPr>
                <w:rFonts w:ascii="宋体" w:hAnsi="宋体"/>
                <w:szCs w:val="21"/>
                <w:highlight w:val="none"/>
              </w:rPr>
            </w:pPr>
            <w:r>
              <w:rPr>
                <w:rFonts w:hint="eastAsia" w:ascii="宋体" w:hAnsi="宋体"/>
                <w:szCs w:val="21"/>
                <w:highlight w:val="none"/>
              </w:rPr>
              <w:t>证号</w:t>
            </w:r>
          </w:p>
        </w:tc>
        <w:tc>
          <w:tcPr>
            <w:tcW w:w="1149" w:type="dxa"/>
            <w:vAlign w:val="center"/>
          </w:tcPr>
          <w:p>
            <w:pPr>
              <w:spacing w:line="276" w:lineRule="auto"/>
              <w:jc w:val="center"/>
              <w:rPr>
                <w:rFonts w:ascii="宋体" w:hAnsi="宋体"/>
                <w:szCs w:val="21"/>
                <w:highlight w:val="none"/>
              </w:rPr>
            </w:pPr>
            <w:r>
              <w:rPr>
                <w:rFonts w:hint="eastAsia" w:ascii="宋体" w:hAnsi="宋体"/>
                <w:szCs w:val="21"/>
                <w:highlight w:val="none"/>
              </w:rPr>
              <w:t>专业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vAlign w:val="center"/>
          </w:tcPr>
          <w:p>
            <w:pPr>
              <w:spacing w:line="276" w:lineRule="auto"/>
              <w:jc w:val="center"/>
              <w:rPr>
                <w:rFonts w:ascii="宋体" w:hAnsi="宋体"/>
                <w:szCs w:val="21"/>
                <w:highlight w:val="none"/>
              </w:rPr>
            </w:pPr>
            <w:r>
              <w:rPr>
                <w:rFonts w:hint="eastAsia" w:ascii="宋体" w:hAnsi="宋体"/>
                <w:szCs w:val="21"/>
                <w:highlight w:val="none"/>
              </w:rPr>
              <w:t>拟派项目负责人</w:t>
            </w:r>
          </w:p>
        </w:tc>
        <w:tc>
          <w:tcPr>
            <w:tcW w:w="932" w:type="dxa"/>
            <w:vAlign w:val="center"/>
          </w:tcPr>
          <w:p>
            <w:pPr>
              <w:spacing w:line="276" w:lineRule="auto"/>
              <w:jc w:val="center"/>
              <w:rPr>
                <w:rFonts w:ascii="宋体" w:hAnsi="宋体"/>
                <w:szCs w:val="21"/>
                <w:highlight w:val="none"/>
              </w:rPr>
            </w:pPr>
          </w:p>
        </w:tc>
        <w:tc>
          <w:tcPr>
            <w:tcW w:w="932" w:type="dxa"/>
          </w:tcPr>
          <w:p>
            <w:pPr>
              <w:spacing w:line="276" w:lineRule="auto"/>
              <w:jc w:val="center"/>
              <w:rPr>
                <w:rFonts w:ascii="宋体" w:hAnsi="宋体"/>
                <w:szCs w:val="21"/>
                <w:highlight w:val="none"/>
              </w:rPr>
            </w:pPr>
          </w:p>
        </w:tc>
        <w:tc>
          <w:tcPr>
            <w:tcW w:w="932" w:type="dxa"/>
            <w:vAlign w:val="center"/>
          </w:tcPr>
          <w:p>
            <w:pPr>
              <w:spacing w:line="276" w:lineRule="auto"/>
              <w:jc w:val="center"/>
              <w:rPr>
                <w:rFonts w:ascii="宋体" w:hAnsi="宋体"/>
                <w:szCs w:val="21"/>
                <w:highlight w:val="none"/>
              </w:rPr>
            </w:pPr>
          </w:p>
        </w:tc>
        <w:tc>
          <w:tcPr>
            <w:tcW w:w="1224" w:type="dxa"/>
            <w:vAlign w:val="center"/>
          </w:tcPr>
          <w:p>
            <w:pPr>
              <w:spacing w:line="276" w:lineRule="auto"/>
              <w:jc w:val="center"/>
              <w:rPr>
                <w:rFonts w:ascii="宋体" w:hAnsi="宋体"/>
                <w:szCs w:val="21"/>
                <w:highlight w:val="none"/>
              </w:rPr>
            </w:pPr>
          </w:p>
        </w:tc>
        <w:tc>
          <w:tcPr>
            <w:tcW w:w="992" w:type="dxa"/>
            <w:vAlign w:val="center"/>
          </w:tcPr>
          <w:p>
            <w:pPr>
              <w:spacing w:line="276" w:lineRule="auto"/>
              <w:jc w:val="center"/>
              <w:rPr>
                <w:rFonts w:ascii="宋体" w:hAnsi="宋体"/>
                <w:szCs w:val="21"/>
                <w:highlight w:val="none"/>
              </w:rPr>
            </w:pPr>
          </w:p>
        </w:tc>
        <w:tc>
          <w:tcPr>
            <w:tcW w:w="1171" w:type="dxa"/>
            <w:vAlign w:val="center"/>
          </w:tcPr>
          <w:p>
            <w:pPr>
              <w:spacing w:line="276" w:lineRule="auto"/>
              <w:jc w:val="center"/>
              <w:rPr>
                <w:rFonts w:ascii="宋体" w:hAnsi="宋体"/>
                <w:szCs w:val="21"/>
                <w:highlight w:val="none"/>
              </w:rPr>
            </w:pPr>
          </w:p>
        </w:tc>
        <w:tc>
          <w:tcPr>
            <w:tcW w:w="1149" w:type="dxa"/>
            <w:vAlign w:val="center"/>
          </w:tcPr>
          <w:p>
            <w:pPr>
              <w:spacing w:line="276" w:lineRule="auto"/>
              <w:jc w:val="center"/>
              <w:rPr>
                <w:rFonts w:ascii="宋体" w:hAnsi="宋体"/>
                <w:szCs w:val="21"/>
                <w:highlight w:val="none"/>
              </w:rPr>
            </w:pPr>
          </w:p>
        </w:tc>
      </w:tr>
    </w:tbl>
    <w:p>
      <w:pPr>
        <w:pStyle w:val="9"/>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（特别提示：以上表格仅供参考。投标人须按本招标文件评标信息中“拟安排的项目负责人情况（仅限一人）”这一评分因素要求，提供证明资料）</w:t>
      </w:r>
    </w:p>
    <w:p>
      <w:pPr>
        <w:adjustRightInd w:val="0"/>
        <w:snapToGrid w:val="0"/>
        <w:rPr>
          <w:highlight w:val="none"/>
        </w:rPr>
      </w:pPr>
    </w:p>
    <w:p>
      <w:pPr>
        <w:rPr>
          <w:rFonts w:hint="eastAsia" w:ascii="黑体" w:eastAsia="黑体"/>
          <w:b w:val="0"/>
          <w:kern w:val="0"/>
          <w:sz w:val="24"/>
          <w:szCs w:val="24"/>
          <w:highlight w:val="none"/>
          <w:lang w:val="en-US" w:eastAsia="zh-CN"/>
        </w:rPr>
      </w:pPr>
      <w:bookmarkStart w:id="43" w:name="_Toc59916727"/>
      <w:r>
        <w:rPr>
          <w:rFonts w:hint="eastAsia" w:ascii="黑体" w:eastAsia="黑体"/>
          <w:b w:val="0"/>
          <w:kern w:val="0"/>
          <w:sz w:val="24"/>
          <w:szCs w:val="24"/>
          <w:highlight w:val="none"/>
          <w:lang w:val="en-US" w:eastAsia="zh-CN"/>
        </w:rPr>
        <w:br w:type="page"/>
      </w:r>
    </w:p>
    <w:p>
      <w:pPr>
        <w:pStyle w:val="5"/>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十</w:t>
      </w:r>
      <w:r>
        <w:rPr>
          <w:rFonts w:hint="eastAsia" w:ascii="黑体" w:eastAsia="黑体"/>
          <w:b w:val="0"/>
          <w:kern w:val="0"/>
          <w:sz w:val="24"/>
          <w:szCs w:val="24"/>
          <w:highlight w:val="none"/>
        </w:rPr>
        <w:t>、</w:t>
      </w:r>
      <w:bookmarkEnd w:id="43"/>
      <w:r>
        <w:rPr>
          <w:rFonts w:hint="eastAsia" w:ascii="黑体" w:eastAsia="黑体"/>
          <w:b w:val="0"/>
          <w:kern w:val="0"/>
          <w:sz w:val="24"/>
          <w:szCs w:val="24"/>
          <w:highlight w:val="none"/>
        </w:rPr>
        <w:t>拟安排的项目主要团队成员（主要技术人员）情况（项目负责人除外）情况</w:t>
      </w:r>
    </w:p>
    <w:tbl>
      <w:tblPr>
        <w:tblStyle w:val="43"/>
        <w:tblW w:w="88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类别</w:t>
            </w:r>
          </w:p>
        </w:tc>
        <w:tc>
          <w:tcPr>
            <w:tcW w:w="876"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职务</w:t>
            </w:r>
          </w:p>
        </w:tc>
        <w:tc>
          <w:tcPr>
            <w:tcW w:w="877"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姓名</w:t>
            </w:r>
          </w:p>
        </w:tc>
        <w:tc>
          <w:tcPr>
            <w:tcW w:w="877"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职称</w:t>
            </w:r>
          </w:p>
        </w:tc>
        <w:tc>
          <w:tcPr>
            <w:tcW w:w="877"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学历</w:t>
            </w:r>
          </w:p>
        </w:tc>
        <w:tc>
          <w:tcPr>
            <w:tcW w:w="4265" w:type="dxa"/>
            <w:gridSpan w:val="4"/>
            <w:vAlign w:val="center"/>
          </w:tcPr>
          <w:p>
            <w:pPr>
              <w:spacing w:line="276" w:lineRule="auto"/>
              <w:jc w:val="center"/>
              <w:rPr>
                <w:rFonts w:ascii="宋体" w:hAnsi="宋体" w:cs="宋体"/>
                <w:szCs w:val="21"/>
                <w:highlight w:val="none"/>
              </w:rPr>
            </w:pPr>
            <w:r>
              <w:rPr>
                <w:rFonts w:hint="eastAsia" w:ascii="宋体" w:hAnsi="宋体" w:cs="宋体"/>
                <w:szCs w:val="21"/>
                <w:highlight w:val="none"/>
              </w:rPr>
              <w:t>上岗资格证明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pPr>
              <w:spacing w:line="276" w:lineRule="auto"/>
              <w:jc w:val="center"/>
              <w:rPr>
                <w:rFonts w:ascii="宋体" w:hAnsi="宋体" w:cs="宋体"/>
                <w:szCs w:val="21"/>
                <w:highlight w:val="none"/>
              </w:rPr>
            </w:pPr>
          </w:p>
        </w:tc>
        <w:tc>
          <w:tcPr>
            <w:tcW w:w="876" w:type="dxa"/>
            <w:vMerge w:val="continue"/>
            <w:vAlign w:val="center"/>
          </w:tcPr>
          <w:p>
            <w:pPr>
              <w:spacing w:line="276" w:lineRule="auto"/>
              <w:jc w:val="center"/>
              <w:rPr>
                <w:rFonts w:ascii="宋体" w:hAnsi="宋体" w:cs="宋体"/>
                <w:szCs w:val="21"/>
                <w:highlight w:val="none"/>
              </w:rPr>
            </w:pPr>
          </w:p>
        </w:tc>
        <w:tc>
          <w:tcPr>
            <w:tcW w:w="877" w:type="dxa"/>
            <w:vMerge w:val="continue"/>
            <w:vAlign w:val="center"/>
          </w:tcPr>
          <w:p>
            <w:pPr>
              <w:spacing w:line="276" w:lineRule="auto"/>
              <w:jc w:val="center"/>
              <w:rPr>
                <w:rFonts w:ascii="宋体" w:hAnsi="宋体" w:cs="宋体"/>
                <w:szCs w:val="21"/>
                <w:highlight w:val="none"/>
              </w:rPr>
            </w:pPr>
          </w:p>
        </w:tc>
        <w:tc>
          <w:tcPr>
            <w:tcW w:w="877" w:type="dxa"/>
            <w:vMerge w:val="continue"/>
          </w:tcPr>
          <w:p>
            <w:pPr>
              <w:spacing w:line="276" w:lineRule="auto"/>
              <w:jc w:val="center"/>
              <w:rPr>
                <w:rFonts w:ascii="宋体" w:hAnsi="宋体" w:cs="宋体"/>
                <w:szCs w:val="21"/>
                <w:highlight w:val="none"/>
              </w:rPr>
            </w:pPr>
          </w:p>
        </w:tc>
        <w:tc>
          <w:tcPr>
            <w:tcW w:w="877" w:type="dxa"/>
            <w:vMerge w:val="continue"/>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证书名称</w:t>
            </w:r>
          </w:p>
        </w:tc>
        <w:tc>
          <w:tcPr>
            <w:tcW w:w="933"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级别</w:t>
            </w:r>
          </w:p>
        </w:tc>
        <w:tc>
          <w:tcPr>
            <w:tcW w:w="1101"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证号</w:t>
            </w:r>
          </w:p>
        </w:tc>
        <w:tc>
          <w:tcPr>
            <w:tcW w:w="1080"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专业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拟安排的项目团队成员</w:t>
            </w:r>
          </w:p>
        </w:tc>
        <w:tc>
          <w:tcPr>
            <w:tcW w:w="876" w:type="dxa"/>
            <w:vAlign w:val="center"/>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877" w:type="dxa"/>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p>
        </w:tc>
        <w:tc>
          <w:tcPr>
            <w:tcW w:w="933" w:type="dxa"/>
            <w:vAlign w:val="center"/>
          </w:tcPr>
          <w:p>
            <w:pPr>
              <w:spacing w:line="276" w:lineRule="auto"/>
              <w:jc w:val="center"/>
              <w:rPr>
                <w:rFonts w:ascii="宋体" w:hAnsi="宋体" w:cs="宋体"/>
                <w:szCs w:val="21"/>
                <w:highlight w:val="none"/>
              </w:rPr>
            </w:pPr>
          </w:p>
        </w:tc>
        <w:tc>
          <w:tcPr>
            <w:tcW w:w="1101" w:type="dxa"/>
            <w:vAlign w:val="center"/>
          </w:tcPr>
          <w:p>
            <w:pPr>
              <w:spacing w:line="276" w:lineRule="auto"/>
              <w:jc w:val="center"/>
              <w:rPr>
                <w:rFonts w:ascii="宋体" w:hAnsi="宋体" w:cs="宋体"/>
                <w:szCs w:val="21"/>
                <w:highlight w:val="none"/>
              </w:rPr>
            </w:pPr>
          </w:p>
        </w:tc>
        <w:tc>
          <w:tcPr>
            <w:tcW w:w="1080" w:type="dxa"/>
            <w:vAlign w:val="center"/>
          </w:tcPr>
          <w:p>
            <w:pPr>
              <w:spacing w:line="276" w:lineRule="auto"/>
              <w:jc w:val="center"/>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pPr>
              <w:spacing w:line="276" w:lineRule="auto"/>
              <w:jc w:val="center"/>
              <w:rPr>
                <w:rFonts w:ascii="宋体" w:hAnsi="宋体" w:cs="宋体"/>
                <w:szCs w:val="21"/>
                <w:highlight w:val="none"/>
              </w:rPr>
            </w:pPr>
          </w:p>
        </w:tc>
        <w:tc>
          <w:tcPr>
            <w:tcW w:w="876" w:type="dxa"/>
            <w:vAlign w:val="center"/>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877" w:type="dxa"/>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p>
        </w:tc>
        <w:tc>
          <w:tcPr>
            <w:tcW w:w="933" w:type="dxa"/>
            <w:vAlign w:val="center"/>
          </w:tcPr>
          <w:p>
            <w:pPr>
              <w:spacing w:line="276" w:lineRule="auto"/>
              <w:jc w:val="center"/>
              <w:rPr>
                <w:rFonts w:ascii="宋体" w:hAnsi="宋体" w:cs="宋体"/>
                <w:szCs w:val="21"/>
                <w:highlight w:val="none"/>
              </w:rPr>
            </w:pPr>
          </w:p>
        </w:tc>
        <w:tc>
          <w:tcPr>
            <w:tcW w:w="1101" w:type="dxa"/>
            <w:vAlign w:val="center"/>
          </w:tcPr>
          <w:p>
            <w:pPr>
              <w:spacing w:line="276" w:lineRule="auto"/>
              <w:jc w:val="center"/>
              <w:rPr>
                <w:rFonts w:ascii="宋体" w:hAnsi="宋体" w:cs="宋体"/>
                <w:szCs w:val="21"/>
                <w:highlight w:val="none"/>
              </w:rPr>
            </w:pPr>
          </w:p>
        </w:tc>
        <w:tc>
          <w:tcPr>
            <w:tcW w:w="1080" w:type="dxa"/>
            <w:vAlign w:val="center"/>
          </w:tcPr>
          <w:p>
            <w:pPr>
              <w:spacing w:line="276" w:lineRule="auto"/>
              <w:jc w:val="center"/>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pPr>
              <w:spacing w:line="276" w:lineRule="auto"/>
              <w:jc w:val="center"/>
              <w:rPr>
                <w:rFonts w:ascii="宋体" w:hAnsi="宋体" w:cs="宋体"/>
                <w:szCs w:val="21"/>
                <w:highlight w:val="none"/>
              </w:rPr>
            </w:pPr>
          </w:p>
        </w:tc>
        <w:tc>
          <w:tcPr>
            <w:tcW w:w="876" w:type="dxa"/>
            <w:vAlign w:val="center"/>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877" w:type="dxa"/>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p>
        </w:tc>
        <w:tc>
          <w:tcPr>
            <w:tcW w:w="933" w:type="dxa"/>
            <w:vAlign w:val="center"/>
          </w:tcPr>
          <w:p>
            <w:pPr>
              <w:spacing w:line="276" w:lineRule="auto"/>
              <w:jc w:val="center"/>
              <w:rPr>
                <w:rFonts w:ascii="宋体" w:hAnsi="宋体" w:cs="宋体"/>
                <w:szCs w:val="21"/>
                <w:highlight w:val="none"/>
              </w:rPr>
            </w:pPr>
          </w:p>
        </w:tc>
        <w:tc>
          <w:tcPr>
            <w:tcW w:w="1101" w:type="dxa"/>
            <w:vAlign w:val="center"/>
          </w:tcPr>
          <w:p>
            <w:pPr>
              <w:spacing w:line="276" w:lineRule="auto"/>
              <w:jc w:val="center"/>
              <w:rPr>
                <w:rFonts w:ascii="宋体" w:hAnsi="宋体" w:cs="宋体"/>
                <w:szCs w:val="21"/>
                <w:highlight w:val="none"/>
              </w:rPr>
            </w:pPr>
          </w:p>
        </w:tc>
        <w:tc>
          <w:tcPr>
            <w:tcW w:w="1080" w:type="dxa"/>
            <w:vAlign w:val="center"/>
          </w:tcPr>
          <w:p>
            <w:pPr>
              <w:spacing w:line="276" w:lineRule="auto"/>
              <w:jc w:val="center"/>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其他</w:t>
            </w:r>
          </w:p>
        </w:tc>
        <w:tc>
          <w:tcPr>
            <w:tcW w:w="876"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1151" w:type="dxa"/>
          </w:tcPr>
          <w:p>
            <w:pPr>
              <w:spacing w:line="276" w:lineRule="auto"/>
              <w:rPr>
                <w:rFonts w:ascii="宋体" w:hAnsi="宋体" w:cs="宋体"/>
                <w:szCs w:val="21"/>
                <w:highlight w:val="none"/>
              </w:rPr>
            </w:pPr>
          </w:p>
        </w:tc>
        <w:tc>
          <w:tcPr>
            <w:tcW w:w="933" w:type="dxa"/>
          </w:tcPr>
          <w:p>
            <w:pPr>
              <w:spacing w:line="276" w:lineRule="auto"/>
              <w:rPr>
                <w:rFonts w:ascii="宋体" w:hAnsi="宋体" w:cs="宋体"/>
                <w:szCs w:val="21"/>
                <w:highlight w:val="none"/>
              </w:rPr>
            </w:pPr>
          </w:p>
        </w:tc>
        <w:tc>
          <w:tcPr>
            <w:tcW w:w="1101" w:type="dxa"/>
          </w:tcPr>
          <w:p>
            <w:pPr>
              <w:spacing w:line="276" w:lineRule="auto"/>
              <w:rPr>
                <w:rFonts w:ascii="宋体" w:hAnsi="宋体" w:cs="宋体"/>
                <w:szCs w:val="21"/>
                <w:highlight w:val="none"/>
              </w:rPr>
            </w:pPr>
          </w:p>
        </w:tc>
        <w:tc>
          <w:tcPr>
            <w:tcW w:w="1080" w:type="dxa"/>
          </w:tcPr>
          <w:p>
            <w:pPr>
              <w:spacing w:line="276" w:lineRule="auto"/>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tcPr>
          <w:p>
            <w:pPr>
              <w:spacing w:line="276" w:lineRule="auto"/>
              <w:rPr>
                <w:rFonts w:ascii="宋体" w:hAnsi="宋体" w:cs="宋体"/>
                <w:szCs w:val="21"/>
                <w:highlight w:val="none"/>
              </w:rPr>
            </w:pPr>
          </w:p>
        </w:tc>
        <w:tc>
          <w:tcPr>
            <w:tcW w:w="876"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1151" w:type="dxa"/>
          </w:tcPr>
          <w:p>
            <w:pPr>
              <w:spacing w:line="276" w:lineRule="auto"/>
              <w:rPr>
                <w:rFonts w:ascii="宋体" w:hAnsi="宋体" w:cs="宋体"/>
                <w:szCs w:val="21"/>
                <w:highlight w:val="none"/>
              </w:rPr>
            </w:pPr>
          </w:p>
        </w:tc>
        <w:tc>
          <w:tcPr>
            <w:tcW w:w="933" w:type="dxa"/>
          </w:tcPr>
          <w:p>
            <w:pPr>
              <w:spacing w:line="276" w:lineRule="auto"/>
              <w:rPr>
                <w:rFonts w:ascii="宋体" w:hAnsi="宋体" w:cs="宋体"/>
                <w:szCs w:val="21"/>
                <w:highlight w:val="none"/>
              </w:rPr>
            </w:pPr>
          </w:p>
        </w:tc>
        <w:tc>
          <w:tcPr>
            <w:tcW w:w="1101" w:type="dxa"/>
          </w:tcPr>
          <w:p>
            <w:pPr>
              <w:spacing w:line="276" w:lineRule="auto"/>
              <w:rPr>
                <w:rFonts w:ascii="宋体" w:hAnsi="宋体" w:cs="宋体"/>
                <w:szCs w:val="21"/>
                <w:highlight w:val="none"/>
              </w:rPr>
            </w:pPr>
          </w:p>
        </w:tc>
        <w:tc>
          <w:tcPr>
            <w:tcW w:w="1080" w:type="dxa"/>
          </w:tcPr>
          <w:p>
            <w:pPr>
              <w:spacing w:line="276" w:lineRule="auto"/>
              <w:rPr>
                <w:rFonts w:ascii="宋体" w:hAnsi="宋体" w:cs="宋体"/>
                <w:szCs w:val="21"/>
                <w:highlight w:val="none"/>
              </w:rPr>
            </w:pPr>
          </w:p>
        </w:tc>
      </w:tr>
    </w:tbl>
    <w:p>
      <w:pPr>
        <w:pStyle w:val="9"/>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（特别提示：以上表格仅供参考。投标人须按本招标文件评标信息中“拟安排的项目主要团队成员（主要技术人员）情况（项目负责人除外）情况”这一评分因素要求，提供证明资料）</w:t>
      </w:r>
    </w:p>
    <w:p>
      <w:pPr>
        <w:pStyle w:val="8"/>
        <w:spacing w:before="60" w:beforeLines="25" w:after="60" w:afterLines="25"/>
        <w:ind w:firstLine="0"/>
        <w:rPr>
          <w:rFonts w:ascii="黑体" w:hAnsi="宋体" w:eastAsia="黑体"/>
          <w:sz w:val="24"/>
          <w:highlight w:val="none"/>
        </w:rPr>
      </w:pPr>
    </w:p>
    <w:p>
      <w:pPr>
        <w:rPr>
          <w:rFonts w:ascii="黑体" w:hAnsi="宋体" w:eastAsia="黑体"/>
          <w:sz w:val="24"/>
          <w:highlight w:val="none"/>
        </w:rPr>
      </w:pPr>
    </w:p>
    <w:p>
      <w:pPr>
        <w:pStyle w:val="6"/>
        <w:jc w:val="center"/>
        <w:rPr>
          <w:rFonts w:hint="eastAsia" w:ascii="黑体" w:eastAsia="黑体"/>
          <w:b w:val="0"/>
          <w:bCs w:val="0"/>
          <w:sz w:val="24"/>
          <w:szCs w:val="20"/>
          <w:highlight w:val="none"/>
          <w:lang w:val="en-US" w:eastAsia="zh-CN"/>
        </w:rPr>
      </w:pPr>
    </w:p>
    <w:p>
      <w:pPr>
        <w:rPr>
          <w:rFonts w:hint="eastAsia" w:ascii="黑体" w:eastAsia="黑体" w:cs="Times New Roman"/>
          <w:b w:val="0"/>
          <w:bCs w:val="0"/>
          <w:sz w:val="24"/>
          <w:szCs w:val="28"/>
          <w:highlight w:val="none"/>
          <w:lang w:val="en-US" w:eastAsia="zh-CN"/>
        </w:rPr>
      </w:pPr>
      <w:r>
        <w:rPr>
          <w:rFonts w:hint="eastAsia" w:ascii="黑体" w:eastAsia="黑体" w:cs="Times New Roman"/>
          <w:b w:val="0"/>
          <w:bCs w:val="0"/>
          <w:sz w:val="24"/>
          <w:szCs w:val="28"/>
          <w:highlight w:val="none"/>
          <w:lang w:val="en-US" w:eastAsia="zh-CN"/>
        </w:rPr>
        <w:br w:type="page"/>
      </w:r>
    </w:p>
    <w:p>
      <w:pPr>
        <w:pStyle w:val="6"/>
        <w:jc w:val="center"/>
        <w:rPr>
          <w:rFonts w:hint="eastAsia" w:ascii="黑体" w:eastAsia="黑体" w:cs="Times New Roman"/>
          <w:b w:val="0"/>
          <w:bCs w:val="0"/>
          <w:sz w:val="24"/>
          <w:szCs w:val="28"/>
          <w:highlight w:val="none"/>
        </w:rPr>
      </w:pPr>
      <w:r>
        <w:rPr>
          <w:rFonts w:hint="eastAsia" w:ascii="黑体" w:eastAsia="黑体" w:cs="Times New Roman"/>
          <w:b w:val="0"/>
          <w:bCs w:val="0"/>
          <w:sz w:val="24"/>
          <w:szCs w:val="28"/>
          <w:highlight w:val="none"/>
          <w:lang w:val="en-US" w:eastAsia="zh-CN"/>
        </w:rPr>
        <w:t>十</w:t>
      </w:r>
      <w:r>
        <w:rPr>
          <w:rFonts w:hint="eastAsia" w:ascii="黑体" w:cs="Times New Roman"/>
          <w:b w:val="0"/>
          <w:bCs w:val="0"/>
          <w:sz w:val="24"/>
          <w:szCs w:val="28"/>
          <w:highlight w:val="none"/>
          <w:lang w:val="en-US" w:eastAsia="zh-CN"/>
        </w:rPr>
        <w:t>一</w:t>
      </w:r>
      <w:r>
        <w:rPr>
          <w:rFonts w:hint="eastAsia" w:ascii="黑体" w:eastAsia="黑体" w:cs="Times New Roman"/>
          <w:b w:val="0"/>
          <w:bCs w:val="0"/>
          <w:sz w:val="24"/>
          <w:szCs w:val="28"/>
          <w:highlight w:val="none"/>
        </w:rPr>
        <w:t>、投标人认为需要加以说明的其他内容</w:t>
      </w:r>
    </w:p>
    <w:p>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p>
    <w:p>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pPr>
        <w:spacing w:beforeLines="0" w:line="340" w:lineRule="exact"/>
        <w:ind w:firstLine="420" w:firstLineChars="200"/>
        <w:rPr>
          <w:color w:val="auto"/>
          <w:highlight w:val="none"/>
        </w:rPr>
      </w:pPr>
      <w:r>
        <w:rPr>
          <w:rFonts w:hint="eastAsia"/>
          <w:color w:val="auto"/>
          <w:highlight w:val="none"/>
        </w:rPr>
        <w:t>（七）不同投标人的投标报价呈规律性差异。</w:t>
      </w:r>
    </w:p>
    <w:p>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法律风险，在投标前已对相关风险事项进行排查。</w:t>
      </w:r>
    </w:p>
    <w:p>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已充分知悉政府采购违法、违规行为的法律后果。</w:t>
      </w:r>
    </w:p>
    <w:p>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pPr>
        <w:widowControl/>
        <w:autoSpaceDE w:val="0"/>
        <w:autoSpaceDN w:val="0"/>
        <w:spacing w:line="400" w:lineRule="exact"/>
        <w:ind w:right="1414" w:firstLine="480" w:firstLineChars="200"/>
        <w:jc w:val="right"/>
        <w:rPr>
          <w:rFonts w:eastAsiaTheme="minorEastAsia"/>
          <w:kern w:val="0"/>
          <w:sz w:val="24"/>
          <w:highlight w:val="none"/>
        </w:rPr>
      </w:pPr>
    </w:p>
    <w:p>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pPr>
        <w:widowControl/>
        <w:autoSpaceDE w:val="0"/>
        <w:autoSpaceDN w:val="0"/>
        <w:spacing w:line="400" w:lineRule="exact"/>
        <w:ind w:right="1414" w:firstLine="480" w:firstLineChars="200"/>
        <w:jc w:val="right"/>
        <w:rPr>
          <w:rFonts w:eastAsiaTheme="minorEastAsia"/>
          <w:kern w:val="0"/>
          <w:sz w:val="24"/>
          <w:highlight w:val="none"/>
        </w:rPr>
      </w:pPr>
    </w:p>
    <w:p>
      <w:pPr>
        <w:widowControl/>
        <w:autoSpaceDE w:val="0"/>
        <w:autoSpaceDN w:val="0"/>
        <w:spacing w:line="400" w:lineRule="exact"/>
        <w:ind w:right="1414" w:firstLine="480" w:firstLineChars="200"/>
        <w:jc w:val="right"/>
        <w:rPr>
          <w:rFonts w:eastAsiaTheme="minorEastAsia"/>
          <w:kern w:val="0"/>
          <w:sz w:val="24"/>
          <w:highlight w:val="none"/>
        </w:rPr>
      </w:pPr>
    </w:p>
    <w:p>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pPr>
        <w:ind w:firstLine="720" w:firstLineChars="300"/>
        <w:rPr>
          <w:sz w:val="24"/>
          <w:highlight w:val="none"/>
        </w:rPr>
      </w:pPr>
    </w:p>
    <w:p>
      <w:pPr>
        <w:widowControl/>
        <w:spacing w:line="360" w:lineRule="auto"/>
        <w:jc w:val="left"/>
        <w:rPr>
          <w:rFonts w:eastAsiaTheme="minorEastAsia"/>
          <w:b/>
          <w:bCs/>
          <w:kern w:val="0"/>
          <w:sz w:val="24"/>
          <w:highlight w:val="none"/>
        </w:rPr>
      </w:pPr>
    </w:p>
    <w:p>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pPr>
        <w:rPr>
          <w:highlight w:val="none"/>
        </w:rPr>
      </w:pPr>
    </w:p>
    <w:p>
      <w:pPr>
        <w:pStyle w:val="9"/>
        <w:rPr>
          <w:highlight w:val="none"/>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9"/>
        <w:rPr>
          <w:highlight w:val="none"/>
        </w:rPr>
      </w:pPr>
    </w:p>
    <w:p>
      <w:pPr>
        <w:pStyle w:val="4"/>
        <w:rPr>
          <w:highlight w:val="none"/>
        </w:rPr>
      </w:pPr>
      <w:r>
        <w:rPr>
          <w:rFonts w:hint="eastAsia"/>
          <w:highlight w:val="none"/>
        </w:rPr>
        <w:t>第五章  合同条款及格式</w:t>
      </w:r>
    </w:p>
    <w:p>
      <w:pPr>
        <w:ind w:firstLine="411" w:firstLineChars="196"/>
        <w:rPr>
          <w:highlight w:val="none"/>
        </w:rPr>
      </w:pPr>
    </w:p>
    <w:p>
      <w:pPr>
        <w:jc w:val="center"/>
        <w:outlineLvl w:val="0"/>
        <w:rPr>
          <w:highlight w:val="none"/>
        </w:rPr>
      </w:pPr>
      <w:r>
        <w:rPr>
          <w:rFonts w:hint="eastAsia"/>
          <w:b/>
          <w:sz w:val="24"/>
          <w:highlight w:val="none"/>
        </w:rPr>
        <w:t>（仅供参考，具体以项目需求及采购结果为准）</w:t>
      </w:r>
    </w:p>
    <w:p>
      <w:pPr>
        <w:rPr>
          <w:rFonts w:ascii="宋体" w:hAnsi="宋体"/>
          <w:b/>
          <w:bCs/>
          <w:szCs w:val="21"/>
          <w:highlight w:val="none"/>
        </w:rPr>
      </w:pPr>
      <w:r>
        <w:rPr>
          <w:rFonts w:hint="eastAsia" w:ascii="宋体" w:hAnsi="宋体"/>
          <w:b/>
          <w:bCs/>
          <w:szCs w:val="21"/>
          <w:highlight w:val="none"/>
        </w:rPr>
        <w:t>甲方：</w:t>
      </w:r>
    </w:p>
    <w:p>
      <w:pPr>
        <w:rPr>
          <w:rFonts w:ascii="宋体" w:hAnsi="宋体"/>
          <w:szCs w:val="21"/>
          <w:highlight w:val="none"/>
        </w:rPr>
      </w:pPr>
      <w:r>
        <w:rPr>
          <w:rFonts w:hint="eastAsia" w:ascii="宋体" w:hAnsi="宋体"/>
          <w:szCs w:val="21"/>
          <w:highlight w:val="none"/>
        </w:rPr>
        <w:t>地址：</w:t>
      </w:r>
    </w:p>
    <w:p>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pPr>
        <w:rPr>
          <w:rFonts w:ascii="宋体" w:hAnsi="宋体"/>
          <w:b/>
          <w:bCs/>
          <w:szCs w:val="21"/>
          <w:highlight w:val="none"/>
        </w:rPr>
      </w:pPr>
      <w:r>
        <w:rPr>
          <w:rFonts w:hint="eastAsia" w:ascii="宋体" w:hAnsi="宋体"/>
          <w:szCs w:val="21"/>
          <w:highlight w:val="none"/>
        </w:rPr>
        <w:t>联系电话：</w:t>
      </w:r>
    </w:p>
    <w:p>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pPr>
        <w:rPr>
          <w:rFonts w:ascii="宋体" w:hAnsi="宋体"/>
          <w:b/>
          <w:bCs/>
          <w:szCs w:val="21"/>
          <w:highlight w:val="none"/>
        </w:rPr>
      </w:pPr>
      <w:r>
        <w:rPr>
          <w:rFonts w:hint="eastAsia" w:ascii="宋体" w:hAnsi="宋体"/>
          <w:b/>
          <w:bCs/>
          <w:szCs w:val="21"/>
          <w:highlight w:val="none"/>
        </w:rPr>
        <w:t>乙方：</w:t>
      </w:r>
    </w:p>
    <w:p>
      <w:pPr>
        <w:rPr>
          <w:rFonts w:ascii="宋体" w:hAnsi="宋体"/>
          <w:szCs w:val="21"/>
          <w:highlight w:val="none"/>
        </w:rPr>
      </w:pPr>
      <w:r>
        <w:rPr>
          <w:rFonts w:hint="eastAsia" w:ascii="宋体" w:hAnsi="宋体"/>
          <w:szCs w:val="21"/>
          <w:highlight w:val="none"/>
        </w:rPr>
        <w:t>地址：</w:t>
      </w:r>
    </w:p>
    <w:p>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pPr>
        <w:rPr>
          <w:rFonts w:ascii="宋体" w:hAnsi="宋体"/>
          <w:b/>
          <w:bCs/>
          <w:szCs w:val="21"/>
          <w:highlight w:val="none"/>
        </w:rPr>
      </w:pPr>
      <w:r>
        <w:rPr>
          <w:rFonts w:hint="eastAsia" w:ascii="宋体" w:hAnsi="宋体"/>
          <w:szCs w:val="21"/>
          <w:highlight w:val="none"/>
        </w:rPr>
        <w:t>联系电话：</w:t>
      </w:r>
    </w:p>
    <w:p>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pPr>
        <w:rPr>
          <w:rFonts w:ascii="宋体" w:hAnsi="宋体"/>
          <w:szCs w:val="21"/>
          <w:highlight w:val="none"/>
        </w:rPr>
      </w:pPr>
    </w:p>
    <w:p>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w:t>
      </w:r>
      <w:r>
        <w:rPr>
          <w:rFonts w:hint="eastAsia" w:ascii="宋体" w:hAnsi="宋体"/>
          <w:szCs w:val="21"/>
          <w:highlight w:val="none"/>
          <w:lang w:val="en-US" w:eastAsia="zh-CN"/>
        </w:rPr>
        <w:t>福田</w:t>
      </w:r>
      <w:r>
        <w:rPr>
          <w:rFonts w:hint="eastAsia" w:ascii="宋体" w:hAnsi="宋体"/>
          <w:szCs w:val="21"/>
          <w:highlight w:val="none"/>
        </w:rPr>
        <w:t>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pPr>
        <w:ind w:firstLine="422" w:firstLineChars="200"/>
        <w:rPr>
          <w:rFonts w:ascii="宋体" w:hAnsi="宋体"/>
          <w:b/>
          <w:bCs/>
          <w:szCs w:val="21"/>
          <w:highlight w:val="none"/>
        </w:rPr>
      </w:pPr>
      <w:r>
        <w:rPr>
          <w:rFonts w:hint="eastAsia" w:ascii="宋体" w:hAnsi="宋体"/>
          <w:b/>
          <w:bCs/>
          <w:szCs w:val="21"/>
          <w:highlight w:val="none"/>
        </w:rPr>
        <w:t>第一条　项目概况</w:t>
      </w:r>
    </w:p>
    <w:p>
      <w:pPr>
        <w:ind w:firstLine="420" w:firstLineChars="200"/>
        <w:rPr>
          <w:rFonts w:ascii="宋体" w:hAnsi="宋体"/>
          <w:szCs w:val="21"/>
          <w:highlight w:val="none"/>
        </w:rPr>
      </w:pPr>
      <w:r>
        <w:rPr>
          <w:rFonts w:hint="eastAsia" w:ascii="宋体" w:hAnsi="宋体"/>
          <w:szCs w:val="21"/>
          <w:highlight w:val="none"/>
        </w:rPr>
        <w:t xml:space="preserve">项目名称： </w:t>
      </w:r>
    </w:p>
    <w:p>
      <w:pPr>
        <w:ind w:firstLine="420" w:firstLineChars="200"/>
        <w:rPr>
          <w:rFonts w:ascii="宋体" w:hAnsi="宋体"/>
          <w:szCs w:val="21"/>
          <w:highlight w:val="none"/>
        </w:rPr>
      </w:pPr>
      <w:r>
        <w:rPr>
          <w:rFonts w:hint="eastAsia" w:ascii="宋体" w:hAnsi="宋体"/>
          <w:szCs w:val="21"/>
          <w:highlight w:val="none"/>
        </w:rPr>
        <w:t xml:space="preserve">项目内容： </w:t>
      </w:r>
    </w:p>
    <w:p>
      <w:pPr>
        <w:ind w:firstLine="420" w:firstLineChars="200"/>
        <w:rPr>
          <w:rFonts w:ascii="宋体" w:hAnsi="宋体"/>
          <w:szCs w:val="21"/>
          <w:highlight w:val="none"/>
        </w:rPr>
      </w:pPr>
      <w:r>
        <w:rPr>
          <w:rFonts w:hint="eastAsia" w:ascii="宋体" w:hAnsi="宋体"/>
          <w:szCs w:val="21"/>
          <w:highlight w:val="none"/>
        </w:rPr>
        <w:t xml:space="preserve">服务时间： </w:t>
      </w:r>
    </w:p>
    <w:p>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pPr>
        <w:pStyle w:val="8"/>
        <w:rPr>
          <w:rFonts w:ascii="宋体" w:hAnsi="宋体"/>
          <w:szCs w:val="21"/>
          <w:highlight w:val="none"/>
        </w:rPr>
      </w:pPr>
      <w:r>
        <w:rPr>
          <w:rFonts w:hint="eastAsia" w:ascii="宋体" w:hAnsi="宋体"/>
          <w:szCs w:val="21"/>
          <w:highlight w:val="none"/>
        </w:rPr>
        <w:t>支付方式：分期支付。</w:t>
      </w:r>
    </w:p>
    <w:p>
      <w:pPr>
        <w:ind w:firstLine="422" w:firstLineChars="200"/>
        <w:rPr>
          <w:rFonts w:ascii="宋体" w:hAnsi="宋体"/>
          <w:b/>
          <w:bCs/>
          <w:szCs w:val="21"/>
          <w:highlight w:val="none"/>
        </w:rPr>
      </w:pPr>
      <w:r>
        <w:rPr>
          <w:rFonts w:hint="eastAsia" w:ascii="宋体" w:hAnsi="宋体"/>
          <w:b/>
          <w:bCs/>
          <w:szCs w:val="21"/>
          <w:highlight w:val="none"/>
        </w:rPr>
        <w:t>第二条  服务范围</w:t>
      </w:r>
    </w:p>
    <w:p>
      <w:pPr>
        <w:ind w:firstLine="420" w:firstLineChars="200"/>
        <w:rPr>
          <w:rFonts w:ascii="宋体" w:hAnsi="宋体"/>
          <w:szCs w:val="21"/>
          <w:highlight w:val="none"/>
        </w:rPr>
      </w:pPr>
      <w:r>
        <w:rPr>
          <w:rFonts w:hint="eastAsia" w:ascii="宋体" w:hAnsi="宋体"/>
          <w:szCs w:val="21"/>
          <w:highlight w:val="none"/>
        </w:rPr>
        <w:t xml:space="preserve">1、  </w:t>
      </w:r>
    </w:p>
    <w:p>
      <w:pPr>
        <w:ind w:firstLine="420" w:firstLineChars="200"/>
        <w:rPr>
          <w:rFonts w:ascii="宋体" w:hAnsi="宋体"/>
          <w:szCs w:val="21"/>
          <w:highlight w:val="none"/>
        </w:rPr>
      </w:pPr>
      <w:r>
        <w:rPr>
          <w:rFonts w:hint="eastAsia" w:ascii="宋体" w:hAnsi="宋体"/>
          <w:szCs w:val="21"/>
          <w:highlight w:val="none"/>
        </w:rPr>
        <w:t xml:space="preserve">2、  </w:t>
      </w:r>
    </w:p>
    <w:p>
      <w:pPr>
        <w:ind w:firstLine="420" w:firstLineChars="200"/>
        <w:rPr>
          <w:rFonts w:ascii="宋体" w:hAnsi="宋体"/>
          <w:szCs w:val="21"/>
          <w:highlight w:val="none"/>
        </w:rPr>
      </w:pPr>
      <w:r>
        <w:rPr>
          <w:rFonts w:hint="eastAsia" w:ascii="宋体" w:hAnsi="宋体"/>
          <w:szCs w:val="21"/>
          <w:highlight w:val="none"/>
        </w:rPr>
        <w:t xml:space="preserve">3、  </w:t>
      </w:r>
    </w:p>
    <w:p>
      <w:pPr>
        <w:ind w:firstLine="420" w:firstLineChars="200"/>
        <w:rPr>
          <w:rFonts w:ascii="宋体" w:hAnsi="宋体"/>
          <w:szCs w:val="21"/>
          <w:highlight w:val="none"/>
        </w:rPr>
      </w:pPr>
      <w:r>
        <w:rPr>
          <w:rFonts w:hint="eastAsia" w:ascii="宋体" w:hAnsi="宋体"/>
          <w:szCs w:val="21"/>
          <w:highlight w:val="none"/>
        </w:rPr>
        <w:t>4、 其他合同未明示的相关工作。</w:t>
      </w:r>
    </w:p>
    <w:p>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pPr>
        <w:ind w:firstLine="420" w:firstLineChars="200"/>
        <w:rPr>
          <w:rFonts w:ascii="宋体" w:hAnsi="宋体"/>
          <w:szCs w:val="21"/>
          <w:highlight w:val="none"/>
        </w:rPr>
      </w:pPr>
      <w:r>
        <w:rPr>
          <w:rFonts w:hint="eastAsia" w:ascii="宋体" w:hAnsi="宋体"/>
          <w:szCs w:val="21"/>
          <w:highlight w:val="none"/>
        </w:rPr>
        <w:t xml:space="preserve">2、 </w:t>
      </w:r>
    </w:p>
    <w:p>
      <w:pPr>
        <w:ind w:firstLine="420" w:firstLineChars="200"/>
        <w:rPr>
          <w:rFonts w:ascii="宋体" w:hAnsi="宋体"/>
          <w:szCs w:val="21"/>
          <w:highlight w:val="none"/>
        </w:rPr>
      </w:pPr>
      <w:r>
        <w:rPr>
          <w:rFonts w:hint="eastAsia" w:ascii="宋体" w:hAnsi="宋体"/>
          <w:szCs w:val="21"/>
          <w:highlight w:val="none"/>
        </w:rPr>
        <w:t>3、</w:t>
      </w:r>
    </w:p>
    <w:p>
      <w:pPr>
        <w:ind w:firstLine="420" w:firstLineChars="200"/>
        <w:rPr>
          <w:rFonts w:ascii="宋体" w:hAnsi="宋体"/>
          <w:szCs w:val="21"/>
          <w:highlight w:val="none"/>
        </w:rPr>
      </w:pPr>
      <w:r>
        <w:rPr>
          <w:rFonts w:hint="eastAsia" w:ascii="宋体" w:hAnsi="宋体"/>
          <w:szCs w:val="21"/>
          <w:highlight w:val="none"/>
        </w:rPr>
        <w:t>4、</w:t>
      </w:r>
    </w:p>
    <w:p>
      <w:pPr>
        <w:ind w:firstLine="422" w:firstLineChars="200"/>
        <w:rPr>
          <w:rFonts w:ascii="宋体" w:hAnsi="宋体"/>
          <w:b/>
          <w:bCs/>
          <w:szCs w:val="21"/>
          <w:highlight w:val="none"/>
        </w:rPr>
      </w:pPr>
      <w:r>
        <w:rPr>
          <w:rFonts w:hint="eastAsia" w:ascii="宋体" w:hAnsi="宋体"/>
          <w:b/>
          <w:bCs/>
          <w:szCs w:val="21"/>
          <w:highlight w:val="none"/>
        </w:rPr>
        <w:t>第四条  服务资料归属</w:t>
      </w:r>
    </w:p>
    <w:p>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pPr>
        <w:ind w:firstLine="422" w:firstLineChars="200"/>
        <w:rPr>
          <w:rFonts w:ascii="宋体" w:hAnsi="宋体"/>
          <w:b/>
          <w:bCs/>
          <w:szCs w:val="21"/>
          <w:highlight w:val="none"/>
        </w:rPr>
      </w:pPr>
      <w:r>
        <w:rPr>
          <w:rFonts w:hint="eastAsia" w:ascii="宋体" w:hAnsi="宋体"/>
          <w:b/>
          <w:bCs/>
          <w:szCs w:val="21"/>
          <w:highlight w:val="none"/>
        </w:rPr>
        <w:t>第五条  甲方的义务</w:t>
      </w:r>
    </w:p>
    <w:p>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pPr>
        <w:ind w:firstLine="422" w:firstLineChars="200"/>
        <w:rPr>
          <w:rFonts w:ascii="宋体" w:hAnsi="宋体"/>
          <w:b/>
          <w:bCs/>
          <w:szCs w:val="21"/>
          <w:highlight w:val="none"/>
        </w:rPr>
      </w:pPr>
      <w:r>
        <w:rPr>
          <w:rFonts w:hint="eastAsia" w:ascii="宋体" w:hAnsi="宋体"/>
          <w:b/>
          <w:bCs/>
          <w:szCs w:val="21"/>
          <w:highlight w:val="none"/>
        </w:rPr>
        <w:t>第六条　乙方的义务</w:t>
      </w:r>
    </w:p>
    <w:p>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pPr>
        <w:ind w:firstLine="422" w:firstLineChars="200"/>
        <w:rPr>
          <w:rFonts w:ascii="宋体" w:hAnsi="宋体"/>
          <w:b/>
          <w:bCs/>
          <w:szCs w:val="21"/>
          <w:highlight w:val="none"/>
        </w:rPr>
      </w:pPr>
      <w:r>
        <w:rPr>
          <w:rFonts w:hint="eastAsia" w:ascii="宋体" w:hAnsi="宋体"/>
          <w:b/>
          <w:bCs/>
          <w:szCs w:val="21"/>
          <w:highlight w:val="none"/>
        </w:rPr>
        <w:t>第七条  甲方的权利</w:t>
      </w:r>
    </w:p>
    <w:p>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pPr>
        <w:ind w:firstLine="422" w:firstLineChars="200"/>
        <w:rPr>
          <w:rFonts w:ascii="宋体" w:hAnsi="宋体"/>
          <w:b/>
          <w:bCs/>
          <w:szCs w:val="21"/>
          <w:highlight w:val="none"/>
        </w:rPr>
      </w:pPr>
      <w:r>
        <w:rPr>
          <w:rFonts w:hint="eastAsia" w:ascii="宋体" w:hAnsi="宋体"/>
          <w:b/>
          <w:bCs/>
          <w:szCs w:val="21"/>
          <w:highlight w:val="none"/>
        </w:rPr>
        <w:t>第八条  乙方的权利</w:t>
      </w:r>
    </w:p>
    <w:p>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pPr>
        <w:ind w:firstLine="422" w:firstLineChars="200"/>
        <w:rPr>
          <w:rFonts w:ascii="宋体" w:hAnsi="宋体"/>
          <w:b/>
          <w:bCs/>
          <w:szCs w:val="21"/>
          <w:highlight w:val="none"/>
        </w:rPr>
      </w:pPr>
      <w:r>
        <w:rPr>
          <w:rFonts w:hint="eastAsia" w:ascii="宋体" w:hAnsi="宋体"/>
          <w:b/>
          <w:bCs/>
          <w:szCs w:val="21"/>
          <w:highlight w:val="none"/>
        </w:rPr>
        <w:t>第九条  甲方的责任</w:t>
      </w:r>
    </w:p>
    <w:p>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pPr>
        <w:ind w:firstLine="422" w:firstLineChars="200"/>
        <w:rPr>
          <w:rFonts w:ascii="宋体" w:hAnsi="宋体"/>
          <w:b/>
          <w:bCs/>
          <w:szCs w:val="21"/>
          <w:highlight w:val="none"/>
        </w:rPr>
      </w:pPr>
      <w:r>
        <w:rPr>
          <w:rFonts w:hint="eastAsia" w:ascii="宋体" w:hAnsi="宋体"/>
          <w:b/>
          <w:bCs/>
          <w:szCs w:val="21"/>
          <w:highlight w:val="none"/>
        </w:rPr>
        <w:t>第十条  乙方的责任</w:t>
      </w:r>
    </w:p>
    <w:p>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pPr>
        <w:ind w:firstLine="422" w:firstLineChars="200"/>
        <w:rPr>
          <w:rFonts w:ascii="宋体" w:hAnsi="宋体"/>
          <w:b/>
          <w:bCs/>
          <w:szCs w:val="21"/>
          <w:highlight w:val="none"/>
        </w:rPr>
      </w:pPr>
      <w:r>
        <w:rPr>
          <w:rFonts w:hint="eastAsia" w:ascii="宋体" w:hAnsi="宋体"/>
          <w:b/>
          <w:bCs/>
          <w:szCs w:val="21"/>
          <w:highlight w:val="none"/>
        </w:rPr>
        <w:t>第十一条  人员要求</w:t>
      </w:r>
    </w:p>
    <w:p>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参加本项目的试验人员的配置必须与投标文件中的服务承诺书和试验服务组织实施方案一致。</w:t>
      </w:r>
    </w:p>
    <w:p>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pPr>
        <w:ind w:firstLine="422" w:firstLineChars="200"/>
        <w:rPr>
          <w:rFonts w:ascii="宋体" w:hAnsi="宋体"/>
          <w:b/>
          <w:bCs/>
          <w:szCs w:val="21"/>
          <w:highlight w:val="none"/>
        </w:rPr>
      </w:pPr>
      <w:r>
        <w:rPr>
          <w:rFonts w:hint="eastAsia" w:ascii="宋体" w:hAnsi="宋体"/>
          <w:b/>
          <w:bCs/>
          <w:szCs w:val="21"/>
          <w:highlight w:val="none"/>
        </w:rPr>
        <w:t>第十三条  保密要求</w:t>
      </w:r>
    </w:p>
    <w:p>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pPr>
        <w:ind w:firstLine="422" w:firstLineChars="200"/>
        <w:rPr>
          <w:rFonts w:ascii="宋体" w:hAnsi="宋体"/>
          <w:b/>
          <w:bCs/>
          <w:szCs w:val="21"/>
          <w:highlight w:val="none"/>
        </w:rPr>
      </w:pPr>
      <w:r>
        <w:rPr>
          <w:rFonts w:hint="eastAsia" w:ascii="宋体" w:hAnsi="宋体"/>
          <w:b/>
          <w:bCs/>
          <w:szCs w:val="21"/>
          <w:highlight w:val="none"/>
        </w:rPr>
        <w:t>第十五条  付款方式</w:t>
      </w:r>
    </w:p>
    <w:p>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pPr>
        <w:ind w:firstLine="422" w:firstLineChars="200"/>
        <w:rPr>
          <w:rFonts w:ascii="宋体" w:hAnsi="宋体"/>
          <w:b/>
          <w:bCs/>
          <w:szCs w:val="21"/>
          <w:highlight w:val="none"/>
        </w:rPr>
      </w:pPr>
      <w:r>
        <w:rPr>
          <w:rFonts w:hint="eastAsia" w:ascii="宋体" w:hAnsi="宋体"/>
          <w:b/>
          <w:bCs/>
          <w:szCs w:val="21"/>
          <w:highlight w:val="none"/>
        </w:rPr>
        <w:t>第十七条  风险责任</w:t>
      </w:r>
    </w:p>
    <w:p>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pPr>
        <w:ind w:firstLine="422" w:firstLineChars="200"/>
        <w:rPr>
          <w:rFonts w:ascii="宋体" w:hAnsi="宋体"/>
          <w:b/>
          <w:bCs/>
          <w:szCs w:val="21"/>
          <w:highlight w:val="none"/>
        </w:rPr>
      </w:pPr>
      <w:r>
        <w:rPr>
          <w:rFonts w:hint="eastAsia" w:ascii="宋体" w:hAnsi="宋体"/>
          <w:b/>
          <w:bCs/>
          <w:szCs w:val="21"/>
          <w:highlight w:val="none"/>
        </w:rPr>
        <w:t>第十八条  违约责任</w:t>
      </w:r>
    </w:p>
    <w:p>
      <w:pPr>
        <w:pStyle w:val="21"/>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pPr>
        <w:ind w:firstLine="422" w:firstLineChars="200"/>
        <w:rPr>
          <w:rFonts w:ascii="宋体" w:hAnsi="宋体"/>
          <w:b/>
          <w:bCs/>
          <w:szCs w:val="21"/>
          <w:highlight w:val="none"/>
        </w:rPr>
      </w:pPr>
      <w:r>
        <w:rPr>
          <w:rFonts w:hint="eastAsia" w:ascii="宋体" w:hAnsi="宋体"/>
          <w:b/>
          <w:bCs/>
          <w:szCs w:val="21"/>
          <w:highlight w:val="none"/>
        </w:rPr>
        <w:t>第十九条  其他</w:t>
      </w:r>
    </w:p>
    <w:p>
      <w:pPr>
        <w:ind w:firstLine="420" w:firstLineChars="200"/>
        <w:rPr>
          <w:rFonts w:hint="eastAsia"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pPr>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pPr>
        <w:ind w:firstLine="420" w:firstLineChars="200"/>
        <w:rPr>
          <w:rFonts w:hint="eastAsia" w:ascii="宋体" w:hAnsi="宋体"/>
          <w:szCs w:val="21"/>
          <w:highlight w:val="none"/>
        </w:rPr>
      </w:pPr>
      <w:r>
        <w:rPr>
          <w:rFonts w:hint="eastAsia" w:ascii="宋体" w:hAnsi="宋体"/>
          <w:szCs w:val="21"/>
          <w:highlight w:val="none"/>
        </w:rPr>
        <w:t>（2）政府采购合同专用条款</w:t>
      </w:r>
    </w:p>
    <w:p>
      <w:pPr>
        <w:ind w:firstLine="420" w:firstLineChars="200"/>
        <w:rPr>
          <w:rFonts w:hint="eastAsia" w:ascii="宋体" w:hAnsi="宋体"/>
          <w:szCs w:val="21"/>
          <w:highlight w:val="none"/>
        </w:rPr>
      </w:pPr>
      <w:r>
        <w:rPr>
          <w:rFonts w:hint="eastAsia" w:ascii="宋体" w:hAnsi="宋体"/>
          <w:szCs w:val="21"/>
          <w:highlight w:val="none"/>
        </w:rPr>
        <w:t>（3）政府采购合同通用条款</w:t>
      </w:r>
    </w:p>
    <w:p>
      <w:pPr>
        <w:ind w:firstLine="420" w:firstLineChars="200"/>
        <w:rPr>
          <w:rFonts w:hint="eastAsia" w:ascii="宋体" w:hAnsi="宋体"/>
          <w:szCs w:val="21"/>
          <w:highlight w:val="none"/>
        </w:rPr>
      </w:pPr>
      <w:r>
        <w:rPr>
          <w:rFonts w:hint="eastAsia" w:ascii="宋体" w:hAnsi="宋体"/>
          <w:szCs w:val="21"/>
          <w:highlight w:val="none"/>
        </w:rPr>
        <w:t>（4）中标（成交）通知书</w:t>
      </w:r>
    </w:p>
    <w:p>
      <w:pPr>
        <w:ind w:firstLine="420" w:firstLineChars="200"/>
        <w:rPr>
          <w:rFonts w:hint="eastAsia" w:ascii="宋体" w:hAnsi="宋体"/>
          <w:szCs w:val="21"/>
          <w:highlight w:val="none"/>
        </w:rPr>
      </w:pPr>
      <w:r>
        <w:rPr>
          <w:rFonts w:hint="eastAsia" w:ascii="宋体" w:hAnsi="宋体"/>
          <w:szCs w:val="21"/>
          <w:highlight w:val="none"/>
        </w:rPr>
        <w:t>（5）投标（响应）文件</w:t>
      </w:r>
    </w:p>
    <w:p>
      <w:pPr>
        <w:ind w:firstLine="420" w:firstLineChars="200"/>
        <w:rPr>
          <w:rFonts w:hint="eastAsia" w:ascii="宋体" w:hAnsi="宋体"/>
          <w:szCs w:val="21"/>
          <w:highlight w:val="none"/>
        </w:rPr>
      </w:pPr>
      <w:r>
        <w:rPr>
          <w:rFonts w:hint="eastAsia" w:ascii="宋体" w:hAnsi="宋体"/>
          <w:szCs w:val="21"/>
          <w:highlight w:val="none"/>
        </w:rPr>
        <w:t>（6）采购文件</w:t>
      </w:r>
    </w:p>
    <w:p>
      <w:pPr>
        <w:ind w:firstLine="420" w:firstLineChars="200"/>
        <w:rPr>
          <w:rFonts w:hint="eastAsia" w:ascii="宋体" w:hAnsi="宋体"/>
          <w:szCs w:val="21"/>
          <w:highlight w:val="none"/>
        </w:rPr>
      </w:pPr>
      <w:r>
        <w:rPr>
          <w:rFonts w:hint="eastAsia" w:ascii="宋体" w:hAnsi="宋体"/>
          <w:szCs w:val="21"/>
          <w:highlight w:val="none"/>
        </w:rPr>
        <w:t>（7）有关技术文件，图纸</w:t>
      </w:r>
    </w:p>
    <w:p>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pPr>
        <w:ind w:firstLine="420" w:firstLineChars="200"/>
        <w:rPr>
          <w:rFonts w:ascii="宋体" w:hAnsi="宋体"/>
          <w:szCs w:val="21"/>
          <w:highlight w:val="none"/>
        </w:rPr>
      </w:pPr>
      <w:r>
        <w:rPr>
          <w:rFonts w:hint="eastAsia" w:ascii="宋体" w:hAnsi="宋体"/>
          <w:szCs w:val="21"/>
          <w:highlight w:val="none"/>
        </w:rPr>
        <w:t>2、下列文件均为本合同的组成部分：</w:t>
      </w:r>
    </w:p>
    <w:p>
      <w:pPr>
        <w:ind w:firstLine="420" w:firstLineChars="200"/>
        <w:rPr>
          <w:rFonts w:ascii="宋体" w:hAnsi="宋体"/>
          <w:szCs w:val="21"/>
          <w:highlight w:val="none"/>
        </w:rPr>
      </w:pPr>
      <w:r>
        <w:rPr>
          <w:rFonts w:hint="eastAsia" w:ascii="宋体" w:hAnsi="宋体"/>
          <w:szCs w:val="21"/>
          <w:highlight w:val="none"/>
        </w:rPr>
        <w:t>（1）号招标文件、答疑及补充通知；</w:t>
      </w:r>
    </w:p>
    <w:p>
      <w:pPr>
        <w:ind w:firstLine="420" w:firstLineChars="200"/>
        <w:rPr>
          <w:rFonts w:ascii="宋体" w:hAnsi="宋体"/>
          <w:szCs w:val="21"/>
          <w:highlight w:val="none"/>
        </w:rPr>
      </w:pPr>
      <w:r>
        <w:rPr>
          <w:rFonts w:hint="eastAsia" w:ascii="宋体" w:hAnsi="宋体"/>
          <w:szCs w:val="21"/>
          <w:highlight w:val="none"/>
        </w:rPr>
        <w:t>（2）投标文件；</w:t>
      </w:r>
    </w:p>
    <w:p>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pPr>
        <w:ind w:firstLine="420" w:firstLineChars="200"/>
        <w:rPr>
          <w:rFonts w:ascii="宋体" w:hAnsi="宋体"/>
          <w:szCs w:val="21"/>
          <w:highlight w:val="none"/>
        </w:rPr>
      </w:pPr>
    </w:p>
    <w:p>
      <w:pPr>
        <w:ind w:firstLine="420" w:firstLineChars="200"/>
        <w:rPr>
          <w:rFonts w:ascii="宋体" w:hAnsi="宋体"/>
          <w:szCs w:val="21"/>
          <w:highlight w:val="none"/>
        </w:rPr>
      </w:pPr>
    </w:p>
    <w:p>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pPr>
        <w:ind w:firstLine="420" w:firstLineChars="200"/>
        <w:rPr>
          <w:rFonts w:ascii="宋体" w:hAnsi="宋体"/>
          <w:szCs w:val="21"/>
          <w:highlight w:val="none"/>
        </w:rPr>
      </w:pPr>
      <w:r>
        <w:rPr>
          <w:rFonts w:hint="eastAsia" w:ascii="宋体" w:hAnsi="宋体"/>
          <w:szCs w:val="21"/>
          <w:highlight w:val="none"/>
        </w:rPr>
        <w:t>日期：   年     月    日         日期：   年     月    日</w:t>
      </w: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widowControl/>
        <w:jc w:val="left"/>
        <w:rPr>
          <w:rFonts w:ascii="宋体" w:hAnsi="宋体"/>
          <w:szCs w:val="21"/>
          <w:highlight w:val="none"/>
        </w:rPr>
      </w:pPr>
      <w:r>
        <w:rPr>
          <w:rFonts w:ascii="宋体" w:hAnsi="宋体"/>
          <w:szCs w:val="21"/>
          <w:highlight w:val="none"/>
        </w:rPr>
        <w:br w:type="page"/>
      </w:r>
    </w:p>
    <w:p>
      <w:pPr>
        <w:pStyle w:val="4"/>
        <w:spacing w:before="120" w:beforeLines="50" w:after="120" w:afterLines="50"/>
        <w:ind w:left="562"/>
        <w:rPr>
          <w:sz w:val="28"/>
          <w:szCs w:val="28"/>
          <w:highlight w:val="none"/>
        </w:rPr>
      </w:pPr>
      <w:r>
        <w:rPr>
          <w:rFonts w:hint="eastAsia"/>
          <w:sz w:val="28"/>
          <w:szCs w:val="28"/>
          <w:highlight w:val="none"/>
        </w:rPr>
        <w:t>第二册  通用条款（公开招标）</w:t>
      </w:r>
    </w:p>
    <w:p>
      <w:pPr>
        <w:pStyle w:val="4"/>
        <w:numPr>
          <w:ilvl w:val="0"/>
          <w:numId w:val="8"/>
        </w:numPr>
        <w:spacing w:before="120" w:beforeLines="50" w:after="120" w:afterLines="50"/>
        <w:ind w:left="562" w:hanging="562"/>
        <w:rPr>
          <w:sz w:val="28"/>
          <w:szCs w:val="28"/>
          <w:highlight w:val="none"/>
        </w:rPr>
      </w:pPr>
      <w:bookmarkStart w:id="44" w:name="_Hlk72399513"/>
      <w:r>
        <w:rPr>
          <w:rFonts w:hint="eastAsia"/>
          <w:sz w:val="28"/>
          <w:szCs w:val="28"/>
          <w:highlight w:val="none"/>
        </w:rPr>
        <w:t>总则</w:t>
      </w:r>
    </w:p>
    <w:bookmarkEnd w:id="44"/>
    <w:p>
      <w:pPr>
        <w:rPr>
          <w:rFonts w:ascii="黑体" w:hAnsi="宋体" w:eastAsia="黑体"/>
          <w:sz w:val="24"/>
          <w:highlight w:val="none"/>
        </w:rPr>
      </w:pPr>
      <w:r>
        <w:rPr>
          <w:rFonts w:hint="eastAsia" w:ascii="黑体" w:hAnsi="宋体" w:eastAsia="黑体"/>
          <w:sz w:val="24"/>
          <w:highlight w:val="none"/>
        </w:rPr>
        <w:t>1. 通用条款说明</w:t>
      </w:r>
    </w:p>
    <w:p>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5" w:name="_Hlk72399729"/>
      <w:r>
        <w:rPr>
          <w:rFonts w:hint="eastAsia" w:ascii="宋体" w:hAnsi="宋体"/>
          <w:szCs w:val="21"/>
          <w:highlight w:val="none"/>
        </w:rPr>
        <w:t>如有需要，政府集中采购机构可以对通用条款的内容进行补充。</w:t>
      </w:r>
      <w:bookmarkEnd w:id="45"/>
    </w:p>
    <w:p>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pPr>
        <w:rPr>
          <w:rFonts w:ascii="黑体" w:hAnsi="宋体" w:eastAsia="黑体"/>
          <w:sz w:val="24"/>
          <w:highlight w:val="none"/>
        </w:rPr>
      </w:pPr>
      <w:r>
        <w:rPr>
          <w:rFonts w:hint="eastAsia" w:ascii="黑体" w:hAnsi="宋体" w:eastAsia="黑体"/>
          <w:sz w:val="24"/>
          <w:highlight w:val="none"/>
        </w:rPr>
        <w:t>3．定义</w:t>
      </w:r>
    </w:p>
    <w:p>
      <w:pPr>
        <w:ind w:firstLine="420" w:firstLineChars="200"/>
        <w:rPr>
          <w:rFonts w:ascii="宋体" w:hAnsi="宋体"/>
          <w:szCs w:val="21"/>
          <w:highlight w:val="none"/>
        </w:rPr>
      </w:pPr>
      <w:r>
        <w:rPr>
          <w:rFonts w:ascii="宋体" w:hAnsi="宋体"/>
          <w:szCs w:val="21"/>
          <w:highlight w:val="none"/>
        </w:rPr>
        <w:t>招标文件中下列术语应解释为：</w:t>
      </w:r>
    </w:p>
    <w:p>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rFonts w:ascii="Times New Roman" w:hAnsi="Times New Roman" w:eastAsia="宋体" w:cs="Times New Roman"/>
          <w:b/>
          <w:bCs/>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深圳市自行采购系统投标文件编制工具”下载）</w:t>
      </w:r>
      <w:r>
        <w:rPr>
          <w:rFonts w:ascii="Times New Roman" w:hAnsi="Times New Roman" w:eastAsia="宋体" w:cs="Times New Roman"/>
          <w:b/>
          <w:bCs/>
          <w:szCs w:val="21"/>
          <w:highlight w:val="none"/>
        </w:rPr>
        <w:t>；</w:t>
      </w:r>
    </w:p>
    <w:p>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pPr>
        <w:rPr>
          <w:rFonts w:ascii="黑体" w:hAnsi="宋体" w:eastAsia="黑体"/>
          <w:sz w:val="24"/>
          <w:highlight w:val="none"/>
        </w:rPr>
      </w:pPr>
      <w:r>
        <w:rPr>
          <w:rFonts w:hint="eastAsia" w:ascii="黑体" w:hAnsi="宋体" w:eastAsia="黑体"/>
          <w:sz w:val="24"/>
          <w:highlight w:val="none"/>
        </w:rPr>
        <w:t xml:space="preserve">4. </w:t>
      </w:r>
      <w:bookmarkStart w:id="46" w:name="_Hlk72398643"/>
      <w:r>
        <w:rPr>
          <w:rFonts w:hint="eastAsia" w:ascii="黑体" w:hAnsi="宋体" w:eastAsia="黑体"/>
          <w:sz w:val="24"/>
          <w:highlight w:val="none"/>
        </w:rPr>
        <w:t>政府采购供应商责任</w:t>
      </w:r>
    </w:p>
    <w:p>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sz w:val="24"/>
          <w:highlight w:val="none"/>
        </w:rPr>
      </w:pPr>
      <w:r>
        <w:rPr>
          <w:rFonts w:hint="eastAsia" w:ascii="黑体" w:hAnsi="宋体" w:eastAsia="黑体"/>
          <w:sz w:val="24"/>
          <w:highlight w:val="none"/>
        </w:rPr>
        <w:t>5．投标人参加政府采购的条件</w:t>
      </w:r>
    </w:p>
    <w:p>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5.2投标人资格要求</w:t>
      </w:r>
    </w:p>
    <w:p>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pPr>
        <w:ind w:firstLine="411" w:firstLineChars="196"/>
        <w:rPr>
          <w:rFonts w:ascii="宋体" w:hAnsi="宋体"/>
          <w:szCs w:val="21"/>
          <w:highlight w:val="none"/>
        </w:rPr>
      </w:pPr>
      <w:r>
        <w:rPr>
          <w:rFonts w:hint="eastAsia" w:ascii="宋体" w:hAnsi="宋体"/>
          <w:szCs w:val="21"/>
          <w:highlight w:val="none"/>
        </w:rPr>
        <w:t>5.3联合体投标</w:t>
      </w:r>
    </w:p>
    <w:p>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pPr>
        <w:rPr>
          <w:rFonts w:ascii="黑体" w:hAnsi="宋体" w:eastAsia="黑体"/>
          <w:sz w:val="24"/>
          <w:highlight w:val="none"/>
        </w:rPr>
      </w:pPr>
      <w:r>
        <w:rPr>
          <w:rFonts w:hint="eastAsia" w:ascii="黑体" w:hAnsi="宋体" w:eastAsia="黑体"/>
          <w:sz w:val="24"/>
          <w:highlight w:val="none"/>
        </w:rPr>
        <w:t>6．政策导向</w:t>
      </w:r>
    </w:p>
    <w:p>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47"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7"/>
    </w:p>
    <w:p>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pPr>
        <w:rPr>
          <w:rFonts w:ascii="黑体" w:hAnsi="宋体" w:eastAsia="黑体"/>
          <w:sz w:val="24"/>
          <w:highlight w:val="none"/>
        </w:rPr>
      </w:pPr>
      <w:r>
        <w:rPr>
          <w:rFonts w:hint="eastAsia" w:ascii="黑体" w:hAnsi="宋体" w:eastAsia="黑体"/>
          <w:sz w:val="24"/>
          <w:highlight w:val="none"/>
        </w:rPr>
        <w:t>8．投标费用</w:t>
      </w:r>
    </w:p>
    <w:p>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pPr>
        <w:rPr>
          <w:rFonts w:ascii="黑体" w:hAnsi="宋体" w:eastAsia="黑体"/>
          <w:sz w:val="24"/>
          <w:highlight w:val="none"/>
        </w:rPr>
      </w:pPr>
      <w:r>
        <w:rPr>
          <w:rFonts w:hint="eastAsia" w:ascii="黑体" w:hAnsi="宋体" w:eastAsia="黑体"/>
          <w:sz w:val="24"/>
          <w:highlight w:val="none"/>
        </w:rPr>
        <w:t>9．踏勘现场</w:t>
      </w:r>
    </w:p>
    <w:p>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46"/>
    <w:p>
      <w:pPr>
        <w:ind w:firstLine="411" w:firstLineChars="196"/>
        <w:rPr>
          <w:rFonts w:ascii="宋体" w:hAnsi="宋体"/>
          <w:highlight w:val="none"/>
        </w:rPr>
      </w:pPr>
    </w:p>
    <w:p>
      <w:pPr>
        <w:pStyle w:val="4"/>
        <w:numPr>
          <w:ilvl w:val="0"/>
          <w:numId w:val="8"/>
        </w:numPr>
        <w:spacing w:before="120" w:beforeLines="50" w:after="120" w:afterLines="50"/>
        <w:ind w:left="562" w:hanging="562"/>
        <w:rPr>
          <w:sz w:val="28"/>
          <w:szCs w:val="28"/>
          <w:highlight w:val="none"/>
        </w:rPr>
      </w:pPr>
      <w:r>
        <w:rPr>
          <w:rFonts w:hint="eastAsia"/>
          <w:sz w:val="28"/>
          <w:szCs w:val="28"/>
          <w:highlight w:val="none"/>
        </w:rPr>
        <w:t>招标文件</w:t>
      </w:r>
    </w:p>
    <w:p>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48" w:name="_Hlk72399819"/>
      <w:r>
        <w:rPr>
          <w:rFonts w:hint="eastAsia" w:ascii="黑体" w:hAnsi="宋体" w:eastAsia="黑体"/>
          <w:sz w:val="24"/>
          <w:highlight w:val="none"/>
        </w:rPr>
        <w:t>招标文件的编制与组成</w:t>
      </w:r>
    </w:p>
    <w:p>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szCs w:val="21"/>
          <w:highlight w:val="none"/>
        </w:rPr>
      </w:pPr>
      <w:r>
        <w:rPr>
          <w:rFonts w:hint="eastAsia" w:ascii="宋体" w:hAnsi="宋体"/>
          <w:szCs w:val="21"/>
          <w:highlight w:val="none"/>
        </w:rPr>
        <w:t>招标文件包括下列内容：</w:t>
      </w:r>
    </w:p>
    <w:p>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pPr>
        <w:ind w:left="1079" w:leftChars="514"/>
        <w:rPr>
          <w:rFonts w:ascii="宋体" w:hAnsi="宋体"/>
          <w:b/>
          <w:szCs w:val="21"/>
          <w:highlight w:val="none"/>
        </w:rPr>
      </w:pPr>
      <w:r>
        <w:rPr>
          <w:rFonts w:hint="eastAsia" w:ascii="宋体" w:hAnsi="宋体"/>
          <w:b/>
          <w:szCs w:val="21"/>
          <w:highlight w:val="none"/>
        </w:rPr>
        <w:t>关键信息</w:t>
      </w:r>
    </w:p>
    <w:p>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pPr>
        <w:ind w:left="630" w:leftChars="300" w:firstLine="411" w:firstLineChars="196"/>
        <w:rPr>
          <w:rFonts w:ascii="宋体" w:hAnsi="宋体"/>
          <w:szCs w:val="21"/>
          <w:highlight w:val="none"/>
        </w:rPr>
      </w:pPr>
      <w:r>
        <w:rPr>
          <w:rFonts w:hint="eastAsia" w:ascii="宋体" w:hAnsi="宋体"/>
          <w:szCs w:val="21"/>
          <w:highlight w:val="none"/>
        </w:rPr>
        <w:t>第一章  总则</w:t>
      </w:r>
    </w:p>
    <w:p>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pPr>
        <w:ind w:left="630" w:leftChars="300" w:firstLine="411" w:firstLineChars="196"/>
        <w:rPr>
          <w:rFonts w:ascii="宋体" w:hAnsi="宋体"/>
          <w:szCs w:val="21"/>
          <w:highlight w:val="none"/>
        </w:rPr>
      </w:pPr>
      <w:r>
        <w:rPr>
          <w:rFonts w:hint="eastAsia" w:ascii="宋体" w:hAnsi="宋体"/>
          <w:szCs w:val="21"/>
          <w:highlight w:val="none"/>
        </w:rPr>
        <w:t>第五章  开标</w:t>
      </w:r>
    </w:p>
    <w:p>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pStyle w:val="9"/>
        <w:ind w:firstLine="420" w:firstLineChars="200"/>
        <w:rPr>
          <w:highlight w:val="none"/>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8"/>
    </w:p>
    <w:p>
      <w:pPr>
        <w:rPr>
          <w:rFonts w:ascii="宋体" w:hAnsi="宋体"/>
          <w:szCs w:val="21"/>
          <w:highlight w:val="none"/>
        </w:rPr>
      </w:pPr>
    </w:p>
    <w:p>
      <w:pPr>
        <w:pStyle w:val="4"/>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投标文件的编制</w:t>
      </w:r>
    </w:p>
    <w:p>
      <w:pPr>
        <w:rPr>
          <w:rFonts w:ascii="黑体" w:hAnsi="宋体" w:eastAsia="黑体"/>
          <w:sz w:val="24"/>
          <w:highlight w:val="none"/>
        </w:rPr>
      </w:pPr>
      <w:r>
        <w:rPr>
          <w:rFonts w:hint="eastAsia" w:ascii="黑体" w:hAnsi="宋体" w:eastAsia="黑体"/>
          <w:sz w:val="24"/>
          <w:highlight w:val="none"/>
        </w:rPr>
        <w:t>14．</w:t>
      </w:r>
      <w:bookmarkStart w:id="49" w:name="_Hlk72400236"/>
      <w:r>
        <w:rPr>
          <w:rFonts w:hint="eastAsia" w:ascii="黑体" w:hAnsi="宋体" w:eastAsia="黑体"/>
          <w:sz w:val="24"/>
          <w:highlight w:val="none"/>
        </w:rPr>
        <w:t>投标文件的语言及度量单位</w:t>
      </w:r>
    </w:p>
    <w:p>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49"/>
    <w:p>
      <w:pPr>
        <w:rPr>
          <w:rFonts w:ascii="黑体" w:hAnsi="宋体" w:eastAsia="黑体"/>
          <w:sz w:val="24"/>
          <w:highlight w:val="none"/>
        </w:rPr>
      </w:pPr>
      <w:r>
        <w:rPr>
          <w:rFonts w:hint="eastAsia" w:ascii="黑体" w:hAnsi="宋体" w:eastAsia="黑体"/>
          <w:sz w:val="24"/>
          <w:highlight w:val="none"/>
        </w:rPr>
        <w:t>15．</w:t>
      </w:r>
      <w:bookmarkStart w:id="50" w:name="_Hlk72401567"/>
      <w:r>
        <w:rPr>
          <w:rFonts w:hint="eastAsia" w:ascii="黑体" w:hAnsi="宋体" w:eastAsia="黑体"/>
          <w:sz w:val="24"/>
          <w:highlight w:val="none"/>
        </w:rPr>
        <w:t>投标文件的组成</w:t>
      </w:r>
    </w:p>
    <w:p>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pPr>
        <w:rPr>
          <w:rFonts w:ascii="黑体" w:hAnsi="宋体" w:eastAsia="黑体"/>
          <w:sz w:val="24"/>
          <w:highlight w:val="none"/>
        </w:rPr>
      </w:pPr>
      <w:r>
        <w:rPr>
          <w:rFonts w:ascii="黑体" w:hAnsi="宋体" w:eastAsia="黑体"/>
          <w:sz w:val="24"/>
          <w:highlight w:val="none"/>
        </w:rPr>
        <w:t>16．投标文件格式</w:t>
      </w:r>
    </w:p>
    <w:p>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pPr>
        <w:rPr>
          <w:rFonts w:ascii="黑体" w:hAnsi="宋体" w:eastAsia="黑体"/>
          <w:sz w:val="24"/>
          <w:highlight w:val="none"/>
        </w:rPr>
      </w:pPr>
      <w:r>
        <w:rPr>
          <w:rFonts w:hint="eastAsia" w:ascii="黑体" w:hAnsi="宋体" w:eastAsia="黑体"/>
          <w:sz w:val="24"/>
          <w:highlight w:val="none"/>
        </w:rPr>
        <w:t>17．投标货币</w:t>
      </w:r>
    </w:p>
    <w:p>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50"/>
    <w:p>
      <w:pPr>
        <w:rPr>
          <w:rFonts w:ascii="黑体" w:hAnsi="宋体" w:eastAsia="黑体"/>
          <w:sz w:val="24"/>
          <w:highlight w:val="none"/>
        </w:rPr>
      </w:pPr>
      <w:r>
        <w:rPr>
          <w:rFonts w:hint="eastAsia" w:ascii="黑体" w:hAnsi="宋体" w:eastAsia="黑体"/>
          <w:sz w:val="24"/>
          <w:highlight w:val="none"/>
        </w:rPr>
        <w:t>18．</w:t>
      </w:r>
      <w:bookmarkStart w:id="51" w:name="_Hlk72401735"/>
      <w:r>
        <w:rPr>
          <w:rFonts w:hint="eastAsia" w:ascii="黑体" w:hAnsi="宋体" w:eastAsia="黑体"/>
          <w:sz w:val="24"/>
          <w:highlight w:val="none"/>
        </w:rPr>
        <w:t>证明投标文件投标技术方案的合格性和符合招标文件规定的文件要求</w:t>
      </w:r>
    </w:p>
    <w:p>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51"/>
    <w:p>
      <w:pPr>
        <w:rPr>
          <w:rFonts w:ascii="黑体" w:hAnsi="宋体" w:eastAsia="黑体"/>
          <w:sz w:val="24"/>
          <w:highlight w:val="none"/>
        </w:rPr>
      </w:pPr>
      <w:r>
        <w:rPr>
          <w:rFonts w:hint="eastAsia" w:ascii="黑体" w:hAnsi="宋体" w:eastAsia="黑体"/>
          <w:sz w:val="24"/>
          <w:highlight w:val="none"/>
        </w:rPr>
        <w:t>19．</w:t>
      </w:r>
      <w:bookmarkStart w:id="52" w:name="_Hlk72402034"/>
      <w:r>
        <w:rPr>
          <w:rFonts w:hint="eastAsia" w:ascii="黑体" w:hAnsi="宋体" w:eastAsia="黑体"/>
          <w:sz w:val="24"/>
          <w:highlight w:val="none"/>
        </w:rPr>
        <w:t>投标文件其他证明文件的要求</w:t>
      </w:r>
    </w:p>
    <w:p>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3"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以及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3"/>
    <w:p>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sz w:val="24"/>
          <w:highlight w:val="none"/>
        </w:rPr>
      </w:pPr>
      <w:r>
        <w:rPr>
          <w:rFonts w:hint="eastAsia" w:ascii="黑体" w:hAnsi="宋体" w:eastAsia="黑体"/>
          <w:sz w:val="24"/>
          <w:highlight w:val="none"/>
        </w:rPr>
        <w:t>20．投标有效期</w:t>
      </w:r>
    </w:p>
    <w:bookmarkEnd w:id="52"/>
    <w:p>
      <w:pPr>
        <w:ind w:firstLine="411" w:firstLineChars="196"/>
        <w:rPr>
          <w:rFonts w:ascii="宋体" w:hAnsi="宋体"/>
          <w:szCs w:val="21"/>
          <w:highlight w:val="none"/>
        </w:rPr>
      </w:pPr>
      <w:bookmarkStart w:id="54"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4"/>
    <w:p>
      <w:pPr>
        <w:rPr>
          <w:rFonts w:ascii="黑体" w:hAnsi="宋体" w:eastAsia="黑体"/>
          <w:sz w:val="24"/>
          <w:highlight w:val="none"/>
        </w:rPr>
      </w:pPr>
      <w:r>
        <w:rPr>
          <w:rFonts w:hint="eastAsia" w:ascii="黑体" w:hAnsi="宋体" w:eastAsia="黑体"/>
          <w:sz w:val="24"/>
          <w:highlight w:val="none"/>
        </w:rPr>
        <w:t>21．</w:t>
      </w:r>
      <w:bookmarkStart w:id="55" w:name="_Hlk72402325"/>
      <w:r>
        <w:rPr>
          <w:rFonts w:hint="eastAsia" w:ascii="黑体" w:hAnsi="宋体" w:eastAsia="黑体"/>
          <w:sz w:val="24"/>
          <w:highlight w:val="none"/>
        </w:rPr>
        <w:t xml:space="preserve">关于投标保证金 </w:t>
      </w:r>
    </w:p>
    <w:p>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pPr>
        <w:rPr>
          <w:rFonts w:ascii="黑体" w:hAnsi="宋体" w:eastAsia="黑体"/>
          <w:sz w:val="24"/>
          <w:highlight w:val="none"/>
        </w:rPr>
      </w:pPr>
      <w:r>
        <w:rPr>
          <w:rFonts w:hint="eastAsia" w:ascii="黑体" w:hAnsi="宋体" w:eastAsia="黑体"/>
          <w:sz w:val="24"/>
          <w:highlight w:val="none"/>
        </w:rPr>
        <w:t>22．投标人的替代方案</w:t>
      </w:r>
    </w:p>
    <w:p>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5"/>
    <w:p>
      <w:pPr>
        <w:rPr>
          <w:rFonts w:ascii="黑体" w:hAnsi="宋体" w:eastAsia="黑体"/>
          <w:sz w:val="24"/>
          <w:highlight w:val="none"/>
        </w:rPr>
      </w:pPr>
      <w:r>
        <w:rPr>
          <w:rFonts w:hint="eastAsia" w:ascii="黑体" w:hAnsi="宋体" w:eastAsia="黑体"/>
          <w:sz w:val="24"/>
          <w:highlight w:val="none"/>
        </w:rPr>
        <w:t>23．</w:t>
      </w:r>
      <w:bookmarkStart w:id="56"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pPr>
        <w:ind w:firstLine="411" w:firstLineChars="196"/>
        <w:rPr>
          <w:rFonts w:hint="eastAsia"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9"/>
          <w:rFonts w:hint="eastAsia" w:ascii="宋体" w:hAnsi="宋体"/>
          <w:highlight w:val="none"/>
        </w:rPr>
        <w:t>https://www.szggzy.com/jyfw/details.html?contentId=2053275】。</w:t>
      </w:r>
      <w:r>
        <w:rPr>
          <w:rFonts w:hint="eastAsia" w:ascii="宋体" w:hAnsi="宋体"/>
          <w:highlight w:val="none"/>
        </w:rPr>
        <w:fldChar w:fldCharType="end"/>
      </w:r>
    </w:p>
    <w:p>
      <w:pPr>
        <w:ind w:firstLine="411" w:firstLineChars="196"/>
        <w:rPr>
          <w:rFonts w:ascii="宋体" w:hAnsi="宋体"/>
          <w:highlight w:val="none"/>
        </w:rPr>
      </w:pPr>
      <w:r>
        <w:rPr>
          <w:rFonts w:hint="eastAsia" w:ascii="宋体" w:hAnsi="宋体"/>
          <w:highlight w:val="none"/>
        </w:rPr>
        <w:t>23.2投标人在使用《投标书编制软件》编制投标书时须注意：</w:t>
      </w:r>
    </w:p>
    <w:p>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highlight w:val="none"/>
        </w:rPr>
      </w:pPr>
      <w:r>
        <w:rPr>
          <w:rFonts w:hint="eastAsia" w:ascii="宋体" w:hAnsi="宋体"/>
          <w:highlight w:val="none"/>
        </w:rPr>
        <w:t>23.2.5完整填写“投标关键信息”</w:t>
      </w:r>
      <w:r>
        <w:rPr>
          <w:rFonts w:hint="eastAsia" w:ascii="宋体" w:hAnsi="宋体"/>
          <w:highlight w:val="none"/>
          <w:lang w:eastAsia="zh-CN"/>
        </w:rPr>
        <w:t>。</w:t>
      </w:r>
    </w:p>
    <w:p>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ascii="宋体" w:hAnsi="宋体"/>
          <w:highlight w:val="none"/>
        </w:rPr>
      </w:pPr>
      <w:r>
        <w:rPr>
          <w:rFonts w:hint="eastAsia" w:ascii="宋体" w:hAnsi="宋体"/>
          <w:highlight w:val="none"/>
        </w:rPr>
        <w:t>23.3电报、电话、传真形式的投标概不接受。</w:t>
      </w:r>
    </w:p>
    <w:p>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56"/>
    </w:p>
    <w:p>
      <w:pPr>
        <w:ind w:firstLine="411" w:firstLineChars="196"/>
        <w:rPr>
          <w:rFonts w:ascii="宋体" w:hAnsi="宋体"/>
          <w:szCs w:val="21"/>
          <w:highlight w:val="none"/>
        </w:rPr>
      </w:pPr>
    </w:p>
    <w:p>
      <w:pPr>
        <w:pStyle w:val="4"/>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投标文件的递交</w:t>
      </w:r>
    </w:p>
    <w:p>
      <w:pPr>
        <w:rPr>
          <w:rFonts w:ascii="黑体" w:hAnsi="宋体" w:eastAsia="黑体"/>
          <w:sz w:val="24"/>
          <w:highlight w:val="none"/>
        </w:rPr>
      </w:pPr>
      <w:bookmarkStart w:id="57" w:name="_Hlk72405459"/>
      <w:r>
        <w:rPr>
          <w:rFonts w:hint="eastAsia" w:ascii="黑体" w:hAnsi="宋体" w:eastAsia="黑体"/>
          <w:sz w:val="24"/>
          <w:highlight w:val="none"/>
        </w:rPr>
        <w:t>24．投标文件的保密</w:t>
      </w:r>
    </w:p>
    <w:p>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pPr>
        <w:spacing w:line="276" w:lineRule="auto"/>
        <w:ind w:firstLine="422" w:firstLineChars="200"/>
        <w:rPr>
          <w:b/>
          <w:highlight w:val="none"/>
        </w:rPr>
      </w:pPr>
      <w:r>
        <w:rPr>
          <w:b/>
          <w:highlight w:val="none"/>
        </w:rPr>
        <w:t>24.2若采购项目出现延期情况：</w:t>
      </w:r>
    </w:p>
    <w:p>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pPr>
        <w:spacing w:line="276" w:lineRule="auto"/>
        <w:rPr>
          <w:rFonts w:eastAsia="黑体"/>
          <w:sz w:val="24"/>
          <w:highlight w:val="none"/>
        </w:rPr>
      </w:pPr>
      <w:r>
        <w:rPr>
          <w:rFonts w:eastAsia="黑体"/>
          <w:sz w:val="24"/>
          <w:highlight w:val="none"/>
        </w:rPr>
        <w:t>25．上传投标文件及投标截止日期</w:t>
      </w:r>
    </w:p>
    <w:p>
      <w:pPr>
        <w:ind w:firstLine="411" w:firstLineChars="196"/>
        <w:rPr>
          <w:rFonts w:hint="eastAsia"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pPr>
        <w:ind w:firstLine="411" w:firstLineChars="196"/>
        <w:rPr>
          <w:rFonts w:ascii="宋体" w:hAnsi="宋体"/>
          <w:highlight w:val="none"/>
        </w:rPr>
      </w:pPr>
    </w:p>
    <w:bookmarkEnd w:id="57"/>
    <w:p>
      <w:pPr>
        <w:rPr>
          <w:rFonts w:ascii="黑体" w:hAnsi="宋体" w:eastAsia="黑体"/>
          <w:sz w:val="24"/>
          <w:highlight w:val="none"/>
        </w:rPr>
      </w:pPr>
      <w:r>
        <w:rPr>
          <w:rFonts w:hint="eastAsia" w:ascii="黑体" w:hAnsi="宋体" w:eastAsia="黑体"/>
          <w:sz w:val="24"/>
          <w:highlight w:val="none"/>
        </w:rPr>
        <w:t>26. 样品、现场演示、方案讲解</w:t>
      </w:r>
    </w:p>
    <w:p>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pPr>
        <w:rPr>
          <w:rFonts w:ascii="黑体" w:hAnsi="宋体" w:eastAsia="黑体"/>
          <w:sz w:val="24"/>
          <w:highlight w:val="none"/>
        </w:rPr>
      </w:pPr>
      <w:bookmarkStart w:id="58"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58"/>
    <w:p>
      <w:pPr>
        <w:pStyle w:val="4"/>
        <w:numPr>
          <w:ilvl w:val="0"/>
          <w:numId w:val="8"/>
        </w:numPr>
        <w:spacing w:before="120" w:beforeLines="50" w:after="120" w:afterLines="50"/>
        <w:ind w:left="562" w:hanging="562"/>
        <w:rPr>
          <w:sz w:val="28"/>
          <w:szCs w:val="28"/>
          <w:highlight w:val="none"/>
        </w:rPr>
      </w:pPr>
      <w:r>
        <w:rPr>
          <w:rFonts w:hint="eastAsia"/>
          <w:sz w:val="28"/>
          <w:szCs w:val="28"/>
          <w:highlight w:val="none"/>
        </w:rPr>
        <w:t>开标</w:t>
      </w:r>
    </w:p>
    <w:p>
      <w:pPr>
        <w:rPr>
          <w:rFonts w:ascii="黑体" w:hAnsi="宋体" w:eastAsia="黑体"/>
          <w:sz w:val="24"/>
          <w:highlight w:val="none"/>
        </w:rPr>
      </w:pPr>
      <w:r>
        <w:rPr>
          <w:rFonts w:hint="eastAsia" w:ascii="黑体" w:hAnsi="宋体" w:eastAsia="黑体"/>
          <w:sz w:val="24"/>
          <w:highlight w:val="none"/>
        </w:rPr>
        <w:t>28．开标</w:t>
      </w:r>
    </w:p>
    <w:p>
      <w:pPr>
        <w:ind w:firstLine="315" w:firstLineChars="150"/>
        <w:rPr>
          <w:rFonts w:hint="eastAsia"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highlight w:val="none"/>
        </w:rPr>
      </w:pPr>
    </w:p>
    <w:p>
      <w:pPr>
        <w:pStyle w:val="4"/>
        <w:numPr>
          <w:ilvl w:val="0"/>
          <w:numId w:val="8"/>
        </w:numPr>
        <w:spacing w:before="120" w:beforeLines="50" w:after="120" w:afterLines="50"/>
        <w:ind w:left="562" w:hanging="562"/>
        <w:rPr>
          <w:sz w:val="28"/>
          <w:szCs w:val="28"/>
          <w:highlight w:val="none"/>
        </w:rPr>
      </w:pPr>
      <w:r>
        <w:rPr>
          <w:rFonts w:hint="eastAsia"/>
          <w:sz w:val="28"/>
          <w:szCs w:val="28"/>
          <w:highlight w:val="none"/>
        </w:rPr>
        <w:t>评审要求</w:t>
      </w:r>
    </w:p>
    <w:p>
      <w:pPr>
        <w:rPr>
          <w:rFonts w:ascii="黑体" w:hAnsi="宋体" w:eastAsia="黑体"/>
          <w:sz w:val="24"/>
          <w:highlight w:val="none"/>
        </w:rPr>
      </w:pPr>
      <w:r>
        <w:rPr>
          <w:rFonts w:hint="eastAsia" w:ascii="黑体" w:hAnsi="宋体" w:eastAsia="黑体"/>
          <w:sz w:val="24"/>
          <w:highlight w:val="none"/>
        </w:rPr>
        <w:t>29．评审委员会组成</w:t>
      </w:r>
    </w:p>
    <w:p>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pPr>
        <w:ind w:firstLine="411" w:firstLineChars="196"/>
        <w:rPr>
          <w:rFonts w:hint="eastAsia" w:ascii="宋体" w:hAnsi="宋体"/>
          <w:highlight w:val="none"/>
        </w:rPr>
      </w:pPr>
      <w:bookmarkStart w:id="59"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59"/>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pPr>
        <w:pStyle w:val="9"/>
        <w:ind w:firstLine="422" w:firstLineChars="200"/>
        <w:rPr>
          <w:highlight w:val="none"/>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pPr>
        <w:ind w:firstLine="411" w:firstLineChars="196"/>
        <w:rPr>
          <w:rFonts w:ascii="宋体" w:hAnsi="宋体"/>
          <w:highlight w:val="none"/>
        </w:rPr>
      </w:pPr>
      <w:r>
        <w:rPr>
          <w:rFonts w:hint="eastAsia" w:ascii="宋体" w:hAnsi="宋体"/>
          <w:highlight w:val="none"/>
        </w:rPr>
        <w:t>29.2评审定标应当遵循公平、公正、科学、择优的原则。</w:t>
      </w:r>
    </w:p>
    <w:p>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pPr>
        <w:rPr>
          <w:rFonts w:ascii="黑体" w:hAnsi="宋体" w:eastAsia="黑体"/>
          <w:sz w:val="24"/>
          <w:highlight w:val="none"/>
        </w:rPr>
      </w:pPr>
      <w:r>
        <w:rPr>
          <w:rFonts w:hint="eastAsia" w:ascii="黑体" w:hAnsi="宋体" w:eastAsia="黑体"/>
          <w:sz w:val="24"/>
          <w:highlight w:val="none"/>
        </w:rPr>
        <w:t>30．向评审委员会提供的资料</w:t>
      </w:r>
    </w:p>
    <w:p>
      <w:pPr>
        <w:ind w:firstLine="411" w:firstLineChars="196"/>
        <w:rPr>
          <w:rFonts w:ascii="宋体" w:hAnsi="宋体"/>
          <w:highlight w:val="none"/>
        </w:rPr>
      </w:pPr>
      <w:r>
        <w:rPr>
          <w:rFonts w:hint="eastAsia" w:ascii="宋体" w:hAnsi="宋体"/>
          <w:highlight w:val="none"/>
        </w:rPr>
        <w:t>30.1公开发布的招标文件，包括图纸、服务清单、答疑文件等；</w:t>
      </w:r>
    </w:p>
    <w:p>
      <w:pPr>
        <w:ind w:firstLine="411" w:firstLineChars="196"/>
        <w:rPr>
          <w:rFonts w:ascii="宋体" w:hAnsi="宋体"/>
          <w:highlight w:val="none"/>
        </w:rPr>
      </w:pPr>
      <w:r>
        <w:rPr>
          <w:rFonts w:hint="eastAsia" w:ascii="宋体" w:hAnsi="宋体"/>
          <w:highlight w:val="none"/>
        </w:rPr>
        <w:t>30.2其他评标必须的资料。</w:t>
      </w:r>
    </w:p>
    <w:p>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pPr>
        <w:ind w:firstLine="411" w:firstLineChars="196"/>
        <w:rPr>
          <w:rFonts w:ascii="宋体" w:hAnsi="宋体"/>
          <w:highlight w:val="none"/>
        </w:rPr>
      </w:pPr>
      <w:r>
        <w:rPr>
          <w:rFonts w:hint="eastAsia" w:ascii="宋体" w:hAnsi="宋体"/>
          <w:highlight w:val="none"/>
        </w:rPr>
        <w:t>（1）招标的目的；</w:t>
      </w:r>
    </w:p>
    <w:p>
      <w:pPr>
        <w:ind w:firstLine="411" w:firstLineChars="196"/>
        <w:rPr>
          <w:rFonts w:ascii="宋体" w:hAnsi="宋体"/>
          <w:highlight w:val="none"/>
        </w:rPr>
      </w:pPr>
      <w:r>
        <w:rPr>
          <w:rFonts w:hint="eastAsia" w:ascii="宋体" w:hAnsi="宋体"/>
          <w:highlight w:val="none"/>
        </w:rPr>
        <w:t>（2）招标项目需求的范围和性质；</w:t>
      </w:r>
    </w:p>
    <w:p>
      <w:pPr>
        <w:ind w:firstLine="411" w:firstLineChars="196"/>
        <w:rPr>
          <w:rFonts w:ascii="宋体" w:hAnsi="宋体"/>
          <w:highlight w:val="none"/>
        </w:rPr>
      </w:pPr>
      <w:r>
        <w:rPr>
          <w:rFonts w:hint="eastAsia" w:ascii="宋体" w:hAnsi="宋体"/>
          <w:highlight w:val="none"/>
        </w:rPr>
        <w:t>（3）招标文件规定的投标人的资格、财政预算限额、商务条款；</w:t>
      </w:r>
    </w:p>
    <w:p>
      <w:pPr>
        <w:ind w:firstLine="411" w:firstLineChars="196"/>
        <w:rPr>
          <w:rFonts w:ascii="宋体" w:hAnsi="宋体"/>
          <w:highlight w:val="none"/>
        </w:rPr>
      </w:pPr>
      <w:r>
        <w:rPr>
          <w:rFonts w:hint="eastAsia" w:ascii="宋体" w:hAnsi="宋体"/>
          <w:highlight w:val="none"/>
        </w:rPr>
        <w:t>（4）招标文件规定的评标程序、评标方法和评标因素；</w:t>
      </w:r>
    </w:p>
    <w:p>
      <w:pPr>
        <w:ind w:firstLine="411" w:firstLineChars="196"/>
        <w:rPr>
          <w:rFonts w:ascii="宋体" w:hAnsi="宋体"/>
          <w:highlight w:val="none"/>
        </w:rPr>
      </w:pPr>
      <w:r>
        <w:rPr>
          <w:rFonts w:hint="eastAsia" w:ascii="宋体" w:hAnsi="宋体"/>
          <w:highlight w:val="none"/>
        </w:rPr>
        <w:t>（5）招标文件所列示的资格性审查表及符合性审查表。</w:t>
      </w:r>
    </w:p>
    <w:p>
      <w:pPr>
        <w:rPr>
          <w:rFonts w:ascii="黑体" w:hAnsi="宋体" w:eastAsia="黑体"/>
          <w:sz w:val="24"/>
          <w:highlight w:val="none"/>
        </w:rPr>
      </w:pPr>
      <w:r>
        <w:rPr>
          <w:rFonts w:hint="eastAsia" w:ascii="黑体" w:hAnsi="宋体" w:eastAsia="黑体"/>
          <w:sz w:val="24"/>
          <w:highlight w:val="none"/>
        </w:rPr>
        <w:t>31．独立评审</w:t>
      </w:r>
    </w:p>
    <w:p>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pPr>
        <w:ind w:firstLine="411" w:firstLineChars="196"/>
        <w:rPr>
          <w:rFonts w:ascii="宋体" w:hAnsi="宋体"/>
          <w:bCs/>
          <w:szCs w:val="21"/>
          <w:highlight w:val="none"/>
        </w:rPr>
      </w:pPr>
    </w:p>
    <w:p>
      <w:pPr>
        <w:pStyle w:val="4"/>
        <w:numPr>
          <w:ilvl w:val="0"/>
          <w:numId w:val="8"/>
        </w:numPr>
        <w:spacing w:before="120" w:beforeLines="50" w:after="120" w:afterLines="50"/>
        <w:ind w:left="562" w:hanging="562"/>
        <w:rPr>
          <w:sz w:val="28"/>
          <w:szCs w:val="28"/>
          <w:highlight w:val="none"/>
        </w:rPr>
      </w:pPr>
      <w:r>
        <w:rPr>
          <w:rFonts w:hint="eastAsia"/>
          <w:sz w:val="28"/>
          <w:szCs w:val="28"/>
          <w:highlight w:val="none"/>
        </w:rPr>
        <w:t>评审程序及评审方法</w:t>
      </w:r>
    </w:p>
    <w:p>
      <w:pPr>
        <w:rPr>
          <w:rFonts w:ascii="黑体" w:hAnsi="宋体" w:eastAsia="黑体"/>
          <w:sz w:val="24"/>
          <w:highlight w:val="none"/>
        </w:rPr>
      </w:pPr>
      <w:r>
        <w:rPr>
          <w:rFonts w:hint="eastAsia" w:ascii="黑体" w:hAnsi="宋体" w:eastAsia="黑体"/>
          <w:sz w:val="24"/>
          <w:highlight w:val="none"/>
        </w:rPr>
        <w:t>32．投标文件初审</w:t>
      </w:r>
    </w:p>
    <w:p>
      <w:pPr>
        <w:ind w:firstLine="411" w:firstLineChars="196"/>
        <w:rPr>
          <w:rFonts w:ascii="宋体" w:hAnsi="宋体"/>
          <w:highlight w:val="none"/>
        </w:rPr>
      </w:pPr>
      <w:r>
        <w:rPr>
          <w:rFonts w:hint="eastAsia" w:ascii="宋体" w:hAnsi="宋体"/>
          <w:highlight w:val="none"/>
        </w:rPr>
        <w:t>32.1投标文件初审包括资格性审查和符合性审查。</w:t>
      </w:r>
    </w:p>
    <w:p>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pPr>
        <w:ind w:firstLine="411" w:firstLineChars="196"/>
        <w:rPr>
          <w:rFonts w:ascii="宋体" w:hAnsi="宋体"/>
          <w:bCs/>
          <w:highlight w:val="none"/>
        </w:rPr>
      </w:pPr>
      <w:r>
        <w:rPr>
          <w:rFonts w:hint="eastAsia" w:ascii="宋体" w:hAnsi="宋体"/>
          <w:bCs/>
          <w:highlight w:val="none"/>
        </w:rPr>
        <w:t>32.3 投标文件初审中关于供应商家数的计算:</w:t>
      </w:r>
    </w:p>
    <w:p>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highlight w:val="none"/>
        </w:rPr>
      </w:pPr>
      <w:r>
        <w:rPr>
          <w:rFonts w:hint="eastAsia" w:ascii="宋体" w:hAnsi="宋体"/>
          <w:highlight w:val="none"/>
        </w:rPr>
        <w:t>32.4.8不同投标供应商的投标文件内容存在非正常一致；</w:t>
      </w:r>
    </w:p>
    <w:p>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pPr>
        <w:ind w:firstLine="411" w:firstLineChars="196"/>
        <w:rPr>
          <w:rFonts w:ascii="宋体" w:hAnsi="宋体"/>
          <w:highlight w:val="none"/>
        </w:rPr>
      </w:pPr>
      <w:r>
        <w:rPr>
          <w:rFonts w:hint="eastAsia" w:ascii="宋体" w:hAnsi="宋体"/>
          <w:highlight w:val="none"/>
        </w:rPr>
        <w:t>32.4.10主管部门依照法律、法规认定的其他情形。</w:t>
      </w:r>
    </w:p>
    <w:p>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pPr>
        <w:rPr>
          <w:rFonts w:ascii="黑体" w:hAnsi="宋体" w:eastAsia="黑体"/>
          <w:sz w:val="24"/>
          <w:highlight w:val="none"/>
        </w:rPr>
      </w:pPr>
      <w:r>
        <w:rPr>
          <w:rFonts w:hint="eastAsia" w:ascii="黑体" w:hAnsi="宋体" w:eastAsia="黑体"/>
          <w:sz w:val="24"/>
          <w:highlight w:val="none"/>
        </w:rPr>
        <w:t>33．澄清有关问题</w:t>
      </w:r>
    </w:p>
    <w:p>
      <w:pPr>
        <w:ind w:firstLine="411" w:firstLineChars="196"/>
        <w:rPr>
          <w:rFonts w:ascii="宋体" w:hAnsi="宋体"/>
          <w:highlight w:val="none"/>
        </w:rPr>
      </w:pPr>
      <w:bookmarkStart w:id="60"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60"/>
    </w:p>
    <w:p>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pPr>
        <w:rPr>
          <w:rFonts w:ascii="黑体" w:hAnsi="宋体" w:eastAsia="黑体"/>
          <w:sz w:val="24"/>
          <w:highlight w:val="none"/>
        </w:rPr>
      </w:pPr>
      <w:bookmarkStart w:id="61" w:name="_Toc73518151"/>
      <w:bookmarkStart w:id="62" w:name="_Toc100052400"/>
      <w:bookmarkStart w:id="63" w:name="_Toc73521581"/>
      <w:bookmarkStart w:id="64" w:name="_Toc73521669"/>
      <w:bookmarkStart w:id="65" w:name="_Toc73517673"/>
      <w:r>
        <w:rPr>
          <w:rFonts w:hint="eastAsia" w:ascii="黑体" w:hAnsi="宋体" w:eastAsia="黑体"/>
          <w:sz w:val="24"/>
          <w:highlight w:val="none"/>
        </w:rPr>
        <w:t>34．错误的修正</w:t>
      </w:r>
      <w:bookmarkEnd w:id="61"/>
      <w:bookmarkEnd w:id="62"/>
      <w:bookmarkEnd w:id="63"/>
      <w:bookmarkEnd w:id="64"/>
      <w:bookmarkEnd w:id="65"/>
    </w:p>
    <w:p>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pPr>
        <w:rPr>
          <w:rFonts w:ascii="黑体" w:hAnsi="宋体" w:eastAsia="黑体"/>
          <w:sz w:val="24"/>
          <w:highlight w:val="none"/>
        </w:rPr>
      </w:pPr>
      <w:r>
        <w:rPr>
          <w:rFonts w:hint="eastAsia" w:ascii="黑体" w:hAnsi="宋体" w:eastAsia="黑体"/>
          <w:sz w:val="24"/>
          <w:highlight w:val="none"/>
        </w:rPr>
        <w:t>35．投标文件的比较与评价</w:t>
      </w:r>
    </w:p>
    <w:p>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highlight w:val="none"/>
        </w:rPr>
      </w:pPr>
      <w:r>
        <w:rPr>
          <w:rFonts w:hint="eastAsia" w:ascii="黑体" w:hAnsi="宋体" w:eastAsia="黑体"/>
          <w:sz w:val="24"/>
          <w:highlight w:val="none"/>
        </w:rPr>
        <w:t>36. 实地考察</w:t>
      </w:r>
    </w:p>
    <w:p>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pPr>
        <w:rPr>
          <w:rFonts w:ascii="黑体" w:hAnsi="宋体" w:eastAsia="黑体"/>
          <w:sz w:val="24"/>
          <w:highlight w:val="none"/>
        </w:rPr>
      </w:pPr>
      <w:r>
        <w:rPr>
          <w:rFonts w:hint="eastAsia" w:ascii="黑体" w:hAnsi="宋体" w:eastAsia="黑体"/>
          <w:sz w:val="24"/>
          <w:highlight w:val="none"/>
        </w:rPr>
        <w:t>37．评审方法</w:t>
      </w:r>
    </w:p>
    <w:p>
      <w:pPr>
        <w:ind w:firstLine="413" w:firstLineChars="196"/>
        <w:rPr>
          <w:rFonts w:ascii="宋体" w:hAnsi="宋体"/>
          <w:b/>
          <w:bCs/>
          <w:szCs w:val="21"/>
          <w:highlight w:val="none"/>
        </w:rPr>
      </w:pPr>
      <w:r>
        <w:rPr>
          <w:rFonts w:hint="eastAsia" w:ascii="宋体" w:hAnsi="宋体"/>
          <w:b/>
          <w:bCs/>
          <w:szCs w:val="21"/>
          <w:highlight w:val="none"/>
        </w:rPr>
        <w:t>37.1.1最低价法</w:t>
      </w:r>
    </w:p>
    <w:p>
      <w:pPr>
        <w:ind w:firstLine="411" w:firstLineChars="196"/>
        <w:rPr>
          <w:rFonts w:ascii="ˎ̥" w:hAnsi="ˎ̥"/>
          <w:highlight w:val="none"/>
        </w:rPr>
      </w:pPr>
      <w:bookmarkStart w:id="66"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pPr>
        <w:ind w:firstLine="413" w:firstLineChars="196"/>
        <w:rPr>
          <w:rFonts w:ascii="宋体" w:hAnsi="宋体"/>
          <w:b/>
          <w:bCs/>
          <w:szCs w:val="21"/>
          <w:highlight w:val="none"/>
        </w:rPr>
      </w:pPr>
      <w:r>
        <w:rPr>
          <w:rFonts w:hint="eastAsia" w:ascii="宋体" w:hAnsi="宋体"/>
          <w:b/>
          <w:bCs/>
          <w:szCs w:val="21"/>
          <w:highlight w:val="none"/>
        </w:rPr>
        <w:t>37.1.2综合评分法</w:t>
      </w:r>
    </w:p>
    <w:p>
      <w:pPr>
        <w:ind w:firstLine="411" w:firstLineChars="196"/>
        <w:rPr>
          <w:rFonts w:hint="eastAsia"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66"/>
    </w:p>
    <w:p>
      <w:pPr>
        <w:ind w:firstLine="411" w:firstLineChars="196"/>
        <w:rPr>
          <w:rFonts w:ascii="宋体" w:hAnsi="宋体"/>
          <w:b/>
          <w:bCs/>
          <w:szCs w:val="21"/>
          <w:highlight w:val="none"/>
        </w:rPr>
      </w:pPr>
      <w:r>
        <w:rPr>
          <w:rFonts w:hint="eastAsia" w:ascii="ˎ̥" w:hAnsi="ˎ̥"/>
          <w:highlight w:val="none"/>
          <w:lang w:val="en-US" w:eastAsia="zh-CN"/>
        </w:rPr>
        <w:t>3</w:t>
      </w:r>
      <w:r>
        <w:rPr>
          <w:rFonts w:hint="eastAsia" w:ascii="宋体" w:hAnsi="宋体"/>
          <w:b/>
          <w:bCs/>
          <w:szCs w:val="21"/>
          <w:highlight w:val="none"/>
        </w:rPr>
        <w:t>7.2 本项目采用的评审方法见本项目招标文件第一册“专用条款”的相关内容。</w:t>
      </w:r>
    </w:p>
    <w:p>
      <w:pPr>
        <w:ind w:firstLine="413" w:firstLineChars="196"/>
        <w:rPr>
          <w:rFonts w:ascii="宋体" w:hAnsi="宋体"/>
          <w:b/>
          <w:bCs/>
          <w:szCs w:val="21"/>
          <w:highlight w:val="none"/>
        </w:rPr>
      </w:pPr>
      <w:r>
        <w:rPr>
          <w:rFonts w:hint="eastAsia" w:ascii="宋体" w:hAnsi="宋体"/>
          <w:b/>
          <w:bCs/>
          <w:szCs w:val="21"/>
          <w:highlight w:val="none"/>
        </w:rPr>
        <w:t>37.3重新评审的情形</w:t>
      </w:r>
    </w:p>
    <w:p>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pPr>
        <w:ind w:firstLine="411" w:firstLineChars="196"/>
        <w:rPr>
          <w:rFonts w:ascii="宋体" w:hAnsi="宋体"/>
          <w:szCs w:val="21"/>
          <w:highlight w:val="none"/>
        </w:rPr>
      </w:pPr>
    </w:p>
    <w:p>
      <w:pPr>
        <w:pStyle w:val="4"/>
        <w:numPr>
          <w:ilvl w:val="0"/>
          <w:numId w:val="8"/>
        </w:numPr>
        <w:spacing w:before="120" w:beforeLines="50" w:after="120" w:afterLines="50"/>
        <w:ind w:left="562" w:hanging="562"/>
        <w:rPr>
          <w:sz w:val="28"/>
          <w:szCs w:val="28"/>
          <w:highlight w:val="none"/>
        </w:rPr>
      </w:pPr>
      <w:r>
        <w:rPr>
          <w:rFonts w:hint="eastAsia"/>
          <w:sz w:val="28"/>
          <w:szCs w:val="28"/>
          <w:highlight w:val="none"/>
        </w:rPr>
        <w:t>定标及公示</w:t>
      </w:r>
    </w:p>
    <w:p>
      <w:pPr>
        <w:rPr>
          <w:rFonts w:ascii="黑体" w:hAnsi="宋体" w:eastAsia="黑体"/>
          <w:sz w:val="24"/>
          <w:highlight w:val="none"/>
        </w:rPr>
      </w:pPr>
      <w:r>
        <w:rPr>
          <w:rFonts w:hint="eastAsia" w:ascii="黑体" w:hAnsi="宋体" w:eastAsia="黑体"/>
          <w:sz w:val="24"/>
          <w:highlight w:val="none"/>
        </w:rPr>
        <w:t>38．定标方法</w:t>
      </w:r>
    </w:p>
    <w:p>
      <w:pPr>
        <w:ind w:firstLine="411" w:firstLineChars="196"/>
        <w:rPr>
          <w:rFonts w:ascii="宋体" w:hAnsi="宋体"/>
          <w:szCs w:val="21"/>
          <w:highlight w:val="none"/>
        </w:rPr>
      </w:pPr>
      <w:r>
        <w:rPr>
          <w:rFonts w:hint="eastAsia" w:ascii="宋体" w:hAnsi="宋体"/>
          <w:szCs w:val="21"/>
          <w:highlight w:val="none"/>
        </w:rPr>
        <w:t>38.1非评定分离项目定标方法</w:t>
      </w:r>
    </w:p>
    <w:p>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pPr>
        <w:ind w:firstLine="411" w:firstLineChars="196"/>
        <w:rPr>
          <w:rFonts w:ascii="宋体" w:hAnsi="宋体"/>
          <w:szCs w:val="21"/>
          <w:highlight w:val="none"/>
        </w:rPr>
      </w:pPr>
      <w:r>
        <w:rPr>
          <w:rFonts w:hint="eastAsia" w:ascii="宋体" w:hAnsi="宋体"/>
          <w:szCs w:val="21"/>
          <w:highlight w:val="none"/>
        </w:rPr>
        <w:t>38.2评定分离项目定标方法</w:t>
      </w:r>
    </w:p>
    <w:p>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highlight w:val="none"/>
        </w:rPr>
      </w:pPr>
      <w:r>
        <w:rPr>
          <w:rFonts w:ascii="宋体" w:hAnsi="宋体"/>
          <w:szCs w:val="21"/>
          <w:highlight w:val="none"/>
        </w:rPr>
        <w:t xml:space="preserve">38.2.2 </w:t>
      </w:r>
      <w:bookmarkStart w:id="67"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pPr>
        <w:ind w:firstLine="411" w:firstLineChars="196"/>
        <w:rPr>
          <w:rFonts w:ascii="宋体" w:hAnsi="宋体"/>
          <w:szCs w:val="21"/>
          <w:highlight w:val="none"/>
        </w:rPr>
      </w:pPr>
      <w:r>
        <w:rPr>
          <w:rFonts w:hint="eastAsia" w:ascii="宋体" w:hAnsi="宋体"/>
          <w:szCs w:val="21"/>
          <w:highlight w:val="none"/>
        </w:rPr>
        <w:t>38.2.3</w:t>
      </w:r>
      <w:bookmarkStart w:id="68"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7"/>
      <w:bookmarkEnd w:id="68"/>
    </w:p>
    <w:p>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ascii="Times New Roman" w:eastAsia="宋体"/>
          <w:highlight w:val="none"/>
          <w:lang w:val="en-US" w:eastAsia="zh-CN"/>
        </w:rPr>
        <w:t>&lt;</w:t>
      </w:r>
      <w:r>
        <w:rPr>
          <w:rFonts w:hint="eastAsia"/>
          <w:highlight w:val="none"/>
        </w:rPr>
        <w:t>深圳市政府采购评标定标分离管理办法</w:t>
      </w:r>
      <w:r>
        <w:rPr>
          <w:rFonts w:hint="eastAsia" w:ascii="Times New Roman" w:eastAsia="宋体"/>
          <w:highlight w:val="none"/>
          <w:lang w:val="en-US" w:eastAsia="zh-CN"/>
        </w:rPr>
        <w:t>&gt;</w:t>
      </w:r>
      <w:r>
        <w:rPr>
          <w:rFonts w:hint="eastAsia"/>
          <w:highlight w:val="none"/>
        </w:rPr>
        <w:t>续期的通知》（深财规〔2023〕1号）执行。</w:t>
      </w:r>
    </w:p>
    <w:p>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pPr>
        <w:rPr>
          <w:rFonts w:ascii="黑体" w:hAnsi="宋体" w:eastAsia="黑体"/>
          <w:sz w:val="24"/>
          <w:highlight w:val="none"/>
        </w:rPr>
      </w:pPr>
      <w:r>
        <w:rPr>
          <w:rFonts w:hint="eastAsia" w:ascii="黑体" w:hAnsi="宋体" w:eastAsia="黑体"/>
          <w:sz w:val="24"/>
          <w:highlight w:val="none"/>
        </w:rPr>
        <w:t>39．编写评审报告</w:t>
      </w:r>
    </w:p>
    <w:p>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highlight w:val="none"/>
        </w:rPr>
      </w:pPr>
      <w:r>
        <w:rPr>
          <w:rFonts w:hint="eastAsia" w:ascii="黑体" w:hAnsi="宋体" w:eastAsia="黑体"/>
          <w:sz w:val="24"/>
          <w:highlight w:val="none"/>
        </w:rPr>
        <w:t>40．中标公告</w:t>
      </w:r>
    </w:p>
    <w:p>
      <w:pPr>
        <w:ind w:firstLine="411" w:firstLineChars="196"/>
        <w:rPr>
          <w:rFonts w:ascii="宋体" w:hAnsi="宋体"/>
          <w:szCs w:val="21"/>
          <w:highlight w:val="none"/>
        </w:rPr>
      </w:pPr>
      <w:r>
        <w:rPr>
          <w:rFonts w:hint="eastAsia" w:ascii="宋体" w:hAnsi="宋体"/>
          <w:szCs w:val="21"/>
          <w:highlight w:val="none"/>
        </w:rPr>
        <w:t>40.1</w:t>
      </w:r>
      <w:bookmarkStart w:id="69"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69"/>
      <w:bookmarkStart w:id="70"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70"/>
    <w:p>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pPr>
        <w:rPr>
          <w:rFonts w:ascii="黑体" w:hAnsi="宋体" w:eastAsia="黑体"/>
          <w:sz w:val="24"/>
          <w:highlight w:val="none"/>
        </w:rPr>
      </w:pPr>
      <w:r>
        <w:rPr>
          <w:rFonts w:hint="eastAsia" w:ascii="黑体" w:hAnsi="宋体" w:eastAsia="黑体"/>
          <w:sz w:val="24"/>
          <w:highlight w:val="none"/>
        </w:rPr>
        <w:t>41．中标通知书</w:t>
      </w:r>
    </w:p>
    <w:p>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71"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1"/>
    </w:p>
    <w:p>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pPr>
        <w:ind w:firstLine="411" w:firstLineChars="196"/>
        <w:rPr>
          <w:rFonts w:ascii="宋体" w:hAnsi="宋体"/>
          <w:szCs w:val="21"/>
          <w:highlight w:val="none"/>
        </w:rPr>
      </w:pPr>
      <w:bookmarkStart w:id="72" w:name="_Hlk71407340"/>
      <w:r>
        <w:rPr>
          <w:rFonts w:hint="eastAsia" w:ascii="宋体" w:hAnsi="宋体"/>
          <w:szCs w:val="21"/>
          <w:highlight w:val="none"/>
        </w:rPr>
        <w:t>41.3因质疑投诉或其它原因导致项目结果变更或采购终止的，政府集中采购机构有权吊销中标通知书。</w:t>
      </w:r>
    </w:p>
    <w:bookmarkEnd w:id="72"/>
    <w:p>
      <w:pPr>
        <w:ind w:firstLine="411" w:firstLineChars="196"/>
        <w:rPr>
          <w:rFonts w:ascii="宋体" w:hAnsi="宋体"/>
          <w:szCs w:val="21"/>
          <w:highlight w:val="none"/>
        </w:rPr>
      </w:pPr>
    </w:p>
    <w:p>
      <w:pPr>
        <w:pStyle w:val="4"/>
        <w:numPr>
          <w:ilvl w:val="0"/>
          <w:numId w:val="8"/>
        </w:numPr>
        <w:spacing w:before="120" w:beforeLines="50" w:after="120" w:afterLines="50"/>
        <w:ind w:left="562" w:hanging="562"/>
        <w:rPr>
          <w:sz w:val="28"/>
          <w:szCs w:val="28"/>
          <w:highlight w:val="none"/>
        </w:rPr>
      </w:pPr>
      <w:r>
        <w:rPr>
          <w:rFonts w:hint="eastAsia"/>
          <w:sz w:val="28"/>
          <w:szCs w:val="28"/>
          <w:highlight w:val="none"/>
        </w:rPr>
        <w:t>公开招标失败的后续处理</w:t>
      </w:r>
    </w:p>
    <w:p>
      <w:pPr>
        <w:rPr>
          <w:rFonts w:ascii="黑体" w:hAnsi="宋体" w:eastAsia="黑体"/>
          <w:sz w:val="24"/>
          <w:highlight w:val="none"/>
        </w:rPr>
      </w:pPr>
      <w:r>
        <w:rPr>
          <w:rFonts w:hint="eastAsia" w:ascii="黑体" w:hAnsi="宋体" w:eastAsia="黑体"/>
          <w:sz w:val="24"/>
          <w:highlight w:val="none"/>
        </w:rPr>
        <w:t>42．公开招标失败的处理</w:t>
      </w:r>
    </w:p>
    <w:p>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pPr>
        <w:ind w:firstLine="411" w:firstLineChars="196"/>
        <w:rPr>
          <w:rFonts w:ascii="宋体" w:hAnsi="宋体"/>
          <w:highlight w:val="none"/>
        </w:rPr>
      </w:pPr>
      <w:r>
        <w:rPr>
          <w:rFonts w:hint="eastAsia" w:ascii="宋体" w:hAnsi="宋体"/>
          <w:highlight w:val="none"/>
        </w:rPr>
        <w:t>（1）由政府集中采购机构重新组织公开招标；</w:t>
      </w:r>
    </w:p>
    <w:p>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pPr>
        <w:rPr>
          <w:rFonts w:ascii="黑体" w:hAnsi="宋体" w:eastAsia="黑体"/>
          <w:sz w:val="24"/>
          <w:highlight w:val="none"/>
        </w:rPr>
      </w:pPr>
    </w:p>
    <w:p>
      <w:pPr>
        <w:pStyle w:val="4"/>
        <w:numPr>
          <w:ilvl w:val="0"/>
          <w:numId w:val="8"/>
        </w:numPr>
        <w:spacing w:before="120" w:beforeLines="50" w:after="120" w:afterLines="50"/>
        <w:ind w:left="562" w:hanging="562"/>
        <w:rPr>
          <w:sz w:val="28"/>
          <w:szCs w:val="28"/>
          <w:highlight w:val="none"/>
        </w:rPr>
      </w:pPr>
      <w:bookmarkStart w:id="73" w:name="_Hlk72439043"/>
      <w:r>
        <w:rPr>
          <w:rFonts w:hint="eastAsia"/>
          <w:sz w:val="28"/>
          <w:szCs w:val="28"/>
          <w:highlight w:val="none"/>
        </w:rPr>
        <w:t>合同的授予与备案</w:t>
      </w:r>
      <w:bookmarkEnd w:id="73"/>
    </w:p>
    <w:p>
      <w:pPr>
        <w:rPr>
          <w:rFonts w:ascii="黑体" w:hAnsi="宋体" w:eastAsia="黑体"/>
          <w:sz w:val="24"/>
          <w:highlight w:val="none"/>
        </w:rPr>
      </w:pPr>
      <w:bookmarkStart w:id="74" w:name="_Toc73521674"/>
      <w:bookmarkStart w:id="75" w:name="_Toc73521586"/>
      <w:bookmarkStart w:id="76" w:name="_Toc100052408"/>
      <w:bookmarkStart w:id="77" w:name="_Toc73517679"/>
      <w:bookmarkStart w:id="78" w:name="_Toc73518157"/>
      <w:bookmarkStart w:id="79" w:name="_Hlk72439088"/>
      <w:r>
        <w:rPr>
          <w:rFonts w:hint="eastAsia" w:ascii="黑体" w:hAnsi="宋体" w:eastAsia="黑体"/>
          <w:sz w:val="24"/>
          <w:highlight w:val="none"/>
        </w:rPr>
        <w:t>43．合同授予标准</w:t>
      </w:r>
      <w:bookmarkEnd w:id="74"/>
      <w:bookmarkEnd w:id="75"/>
      <w:bookmarkEnd w:id="76"/>
      <w:bookmarkEnd w:id="77"/>
      <w:bookmarkEnd w:id="78"/>
    </w:p>
    <w:p>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pPr>
        <w:rPr>
          <w:rFonts w:ascii="黑体" w:hAnsi="宋体" w:eastAsia="黑体"/>
          <w:sz w:val="24"/>
          <w:highlight w:val="none"/>
        </w:rPr>
      </w:pPr>
      <w:bookmarkStart w:id="80" w:name="_Toc100052409"/>
      <w:bookmarkStart w:id="81" w:name="_Toc73517680"/>
      <w:bookmarkStart w:id="82" w:name="_Toc73521675"/>
      <w:bookmarkStart w:id="83" w:name="_Toc73521587"/>
      <w:bookmarkStart w:id="84" w:name="_Toc73518158"/>
      <w:r>
        <w:rPr>
          <w:rFonts w:hint="eastAsia" w:ascii="黑体" w:hAnsi="宋体" w:eastAsia="黑体"/>
          <w:sz w:val="24"/>
          <w:highlight w:val="none"/>
        </w:rPr>
        <w:t>44．</w:t>
      </w:r>
      <w:bookmarkEnd w:id="80"/>
      <w:bookmarkEnd w:id="81"/>
      <w:bookmarkEnd w:id="82"/>
      <w:bookmarkEnd w:id="83"/>
      <w:bookmarkEnd w:id="84"/>
      <w:r>
        <w:rPr>
          <w:rFonts w:hint="eastAsia" w:ascii="黑体" w:hAnsi="宋体" w:eastAsia="黑体"/>
          <w:sz w:val="24"/>
          <w:highlight w:val="none"/>
        </w:rPr>
        <w:t>接受和拒绝任何或所有投标的权力</w:t>
      </w:r>
    </w:p>
    <w:p>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sz w:val="24"/>
          <w:highlight w:val="none"/>
        </w:rPr>
      </w:pPr>
      <w:bookmarkStart w:id="85" w:name="_Toc73518160"/>
      <w:bookmarkStart w:id="86" w:name="_Toc73521589"/>
      <w:bookmarkStart w:id="87" w:name="_Toc100052410"/>
      <w:bookmarkStart w:id="88" w:name="_Toc73517682"/>
      <w:bookmarkStart w:id="89" w:name="_Toc73521677"/>
      <w:r>
        <w:rPr>
          <w:rFonts w:hint="eastAsia" w:ascii="黑体" w:hAnsi="宋体" w:eastAsia="黑体"/>
          <w:sz w:val="24"/>
          <w:highlight w:val="none"/>
        </w:rPr>
        <w:t>45．合同的签订</w:t>
      </w:r>
      <w:bookmarkEnd w:id="85"/>
      <w:bookmarkEnd w:id="86"/>
      <w:bookmarkEnd w:id="87"/>
      <w:bookmarkEnd w:id="88"/>
      <w:bookmarkEnd w:id="89"/>
    </w:p>
    <w:p>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pPr>
        <w:rPr>
          <w:rFonts w:ascii="黑体" w:hAnsi="宋体" w:eastAsia="黑体"/>
          <w:sz w:val="24"/>
          <w:highlight w:val="none"/>
        </w:rPr>
      </w:pPr>
      <w:bookmarkStart w:id="90" w:name="_Toc100052411"/>
      <w:bookmarkStart w:id="91" w:name="_Toc73521590"/>
      <w:bookmarkStart w:id="92" w:name="_Toc73517683"/>
      <w:bookmarkStart w:id="93" w:name="_Toc73518161"/>
      <w:bookmarkStart w:id="94" w:name="_Toc73521678"/>
      <w:r>
        <w:rPr>
          <w:rFonts w:hint="eastAsia" w:ascii="黑体" w:hAnsi="宋体" w:eastAsia="黑体"/>
          <w:sz w:val="24"/>
          <w:highlight w:val="none"/>
        </w:rPr>
        <w:t>46．履约担保</w:t>
      </w:r>
      <w:bookmarkEnd w:id="90"/>
      <w:bookmarkEnd w:id="91"/>
      <w:bookmarkEnd w:id="92"/>
      <w:bookmarkEnd w:id="93"/>
      <w:bookmarkEnd w:id="94"/>
    </w:p>
    <w:p>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pPr>
        <w:rPr>
          <w:rFonts w:ascii="黑体" w:hAnsi="宋体" w:eastAsia="黑体"/>
          <w:sz w:val="24"/>
          <w:highlight w:val="none"/>
        </w:rPr>
      </w:pPr>
      <w:r>
        <w:rPr>
          <w:rFonts w:hint="eastAsia" w:ascii="黑体" w:hAnsi="宋体" w:eastAsia="黑体"/>
          <w:sz w:val="24"/>
          <w:highlight w:val="none"/>
        </w:rPr>
        <w:t>47. 合同备案</w:t>
      </w:r>
    </w:p>
    <w:p>
      <w:pPr>
        <w:ind w:firstLine="411" w:firstLineChars="196"/>
        <w:rPr>
          <w:rFonts w:ascii="宋体" w:hAnsi="宋体"/>
          <w:szCs w:val="21"/>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pPr>
        <w:rPr>
          <w:rFonts w:ascii="黑体" w:hAnsi="宋体" w:eastAsia="黑体"/>
          <w:sz w:val="24"/>
          <w:highlight w:val="none"/>
        </w:rPr>
      </w:pPr>
      <w:r>
        <w:rPr>
          <w:rFonts w:hint="eastAsia" w:ascii="黑体" w:hAnsi="宋体" w:eastAsia="黑体"/>
          <w:sz w:val="24"/>
          <w:highlight w:val="none"/>
        </w:rPr>
        <w:t>48. 合同变更</w:t>
      </w:r>
    </w:p>
    <w:p>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pPr>
        <w:rPr>
          <w:rFonts w:ascii="黑体" w:hAnsi="宋体" w:eastAsia="黑体"/>
          <w:sz w:val="24"/>
          <w:highlight w:val="none"/>
        </w:rPr>
      </w:pPr>
      <w:r>
        <w:rPr>
          <w:rFonts w:hint="eastAsia" w:ascii="黑体" w:hAnsi="宋体" w:eastAsia="黑体"/>
          <w:sz w:val="24"/>
          <w:highlight w:val="none"/>
        </w:rPr>
        <w:t>49. 项目验收</w:t>
      </w:r>
    </w:p>
    <w:p>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pPr>
        <w:rPr>
          <w:rFonts w:ascii="黑体" w:hAnsi="宋体" w:eastAsia="黑体"/>
          <w:sz w:val="24"/>
          <w:highlight w:val="none"/>
        </w:rPr>
      </w:pPr>
      <w:r>
        <w:rPr>
          <w:rFonts w:hint="eastAsia" w:ascii="黑体" w:hAnsi="宋体" w:eastAsia="黑体"/>
          <w:sz w:val="24"/>
          <w:highlight w:val="none"/>
        </w:rPr>
        <w:t>50. 宣传</w:t>
      </w:r>
    </w:p>
    <w:p>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pPr>
        <w:ind w:left="210" w:leftChars="100" w:firstLine="411" w:firstLineChars="196"/>
        <w:rPr>
          <w:rFonts w:ascii="宋体" w:hAnsi="宋体"/>
          <w:highlight w:val="none"/>
        </w:rPr>
      </w:pPr>
      <w:r>
        <w:rPr>
          <w:rFonts w:ascii="宋体" w:hAnsi="宋体"/>
          <w:highlight w:val="none"/>
        </w:rPr>
        <w:t>a.名片、宣传册、广告标语等；</w:t>
      </w:r>
    </w:p>
    <w:p>
      <w:pPr>
        <w:ind w:left="210" w:leftChars="100" w:firstLine="411" w:firstLineChars="196"/>
        <w:rPr>
          <w:rFonts w:ascii="宋体" w:hAnsi="宋体"/>
          <w:highlight w:val="none"/>
        </w:rPr>
      </w:pPr>
      <w:r>
        <w:rPr>
          <w:rFonts w:ascii="宋体" w:hAnsi="宋体"/>
          <w:highlight w:val="none"/>
        </w:rPr>
        <w:t>b.案例介绍、推广等；</w:t>
      </w:r>
    </w:p>
    <w:p>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pPr>
        <w:rPr>
          <w:rFonts w:ascii="黑体" w:hAnsi="宋体" w:eastAsia="黑体"/>
          <w:sz w:val="24"/>
          <w:highlight w:val="none"/>
        </w:rPr>
      </w:pPr>
      <w:r>
        <w:rPr>
          <w:rFonts w:hint="eastAsia" w:ascii="黑体" w:hAnsi="宋体" w:eastAsia="黑体"/>
          <w:sz w:val="24"/>
          <w:highlight w:val="none"/>
        </w:rPr>
        <w:t>51. 供应商违法责任</w:t>
      </w:r>
    </w:p>
    <w:p>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pPr>
        <w:ind w:firstLine="411" w:firstLineChars="196"/>
        <w:rPr>
          <w:rFonts w:ascii="宋体" w:hAnsi="宋体"/>
          <w:szCs w:val="21"/>
          <w:highlight w:val="none"/>
        </w:rPr>
      </w:pPr>
      <w:r>
        <w:rPr>
          <w:rFonts w:hint="eastAsia" w:ascii="宋体" w:hAnsi="宋体"/>
          <w:szCs w:val="21"/>
          <w:highlight w:val="none"/>
        </w:rPr>
        <w:t>（3）隐瞒真实情况，提供虚假资料的；</w:t>
      </w:r>
    </w:p>
    <w:p>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pPr>
        <w:ind w:firstLine="411" w:firstLineChars="196"/>
        <w:rPr>
          <w:rFonts w:ascii="宋体" w:hAnsi="宋体"/>
          <w:szCs w:val="21"/>
          <w:highlight w:val="none"/>
        </w:rPr>
      </w:pPr>
      <w:r>
        <w:rPr>
          <w:rFonts w:hint="eastAsia" w:ascii="宋体" w:hAnsi="宋体"/>
          <w:szCs w:val="21"/>
          <w:highlight w:val="none"/>
        </w:rPr>
        <w:t>（5）与其他采购参加人串通投标的；</w:t>
      </w:r>
    </w:p>
    <w:p>
      <w:pPr>
        <w:ind w:firstLine="411" w:firstLineChars="196"/>
        <w:rPr>
          <w:rFonts w:ascii="宋体" w:hAnsi="宋体"/>
          <w:szCs w:val="21"/>
          <w:highlight w:val="none"/>
        </w:rPr>
      </w:pPr>
      <w:r>
        <w:rPr>
          <w:rFonts w:hint="eastAsia" w:ascii="宋体" w:hAnsi="宋体"/>
          <w:szCs w:val="21"/>
          <w:highlight w:val="none"/>
        </w:rPr>
        <w:t>（6）恶意投诉的；</w:t>
      </w:r>
    </w:p>
    <w:p>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pPr>
        <w:ind w:firstLine="411" w:firstLineChars="196"/>
        <w:rPr>
          <w:rFonts w:ascii="宋体" w:hAnsi="宋体"/>
          <w:szCs w:val="21"/>
          <w:highlight w:val="none"/>
        </w:rPr>
      </w:pPr>
      <w:r>
        <w:rPr>
          <w:rFonts w:hint="eastAsia" w:ascii="宋体" w:hAnsi="宋体"/>
          <w:szCs w:val="21"/>
          <w:highlight w:val="none"/>
        </w:rPr>
        <w:t>（8）阻碍、抗拒主管部门监督检查的；</w:t>
      </w:r>
    </w:p>
    <w:p>
      <w:pPr>
        <w:ind w:firstLine="411" w:firstLineChars="196"/>
        <w:rPr>
          <w:rFonts w:ascii="宋体" w:hAnsi="宋体"/>
          <w:szCs w:val="21"/>
          <w:highlight w:val="none"/>
        </w:rPr>
      </w:pPr>
      <w:r>
        <w:rPr>
          <w:rFonts w:hint="eastAsia" w:ascii="宋体" w:hAnsi="宋体"/>
          <w:szCs w:val="21"/>
          <w:highlight w:val="none"/>
        </w:rPr>
        <w:t>（9）其他违反本条例规定的行为。</w:t>
      </w:r>
    </w:p>
    <w:p>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95" w:name="_Hlk72440769"/>
      <w:r>
        <w:rPr>
          <w:rFonts w:hint="eastAsia" w:ascii="宋体" w:hAnsi="宋体"/>
          <w:szCs w:val="21"/>
          <w:highlight w:val="none"/>
        </w:rPr>
        <w:t>政府集中采购机构或采购人不予退还其交纳的谈判保证金，情节严重的，并由主管部门</w:t>
      </w:r>
      <w:bookmarkEnd w:id="95"/>
      <w:r>
        <w:rPr>
          <w:rFonts w:hint="eastAsia" w:ascii="宋体" w:hAnsi="宋体"/>
          <w:szCs w:val="21"/>
          <w:highlight w:val="none"/>
        </w:rPr>
        <w:t>记入供应商诚信档案，予以通报：</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79"/>
    <w:p>
      <w:pPr>
        <w:pStyle w:val="4"/>
        <w:numPr>
          <w:ilvl w:val="0"/>
          <w:numId w:val="8"/>
        </w:numPr>
        <w:spacing w:before="120" w:beforeLines="50" w:after="120" w:afterLines="50"/>
        <w:ind w:left="562" w:hanging="562"/>
        <w:rPr>
          <w:sz w:val="28"/>
          <w:szCs w:val="28"/>
          <w:highlight w:val="none"/>
        </w:rPr>
      </w:pPr>
      <w:r>
        <w:rPr>
          <w:rFonts w:hint="eastAsia"/>
          <w:sz w:val="28"/>
          <w:szCs w:val="28"/>
          <w:highlight w:val="none"/>
        </w:rPr>
        <w:t>质疑处理</w:t>
      </w:r>
    </w:p>
    <w:p>
      <w:pPr>
        <w:rPr>
          <w:rFonts w:ascii="黑体" w:hAnsi="宋体" w:eastAsia="黑体"/>
          <w:sz w:val="24"/>
          <w:highlight w:val="none"/>
        </w:rPr>
      </w:pPr>
      <w:bookmarkStart w:id="96" w:name="_Hlk72439706"/>
      <w:r>
        <w:rPr>
          <w:rFonts w:hint="eastAsia" w:ascii="黑体" w:hAnsi="宋体" w:eastAsia="黑体"/>
          <w:sz w:val="24"/>
          <w:highlight w:val="none"/>
        </w:rPr>
        <w:t>52.质疑提出与答复</w:t>
      </w:r>
    </w:p>
    <w:p>
      <w:pPr>
        <w:rPr>
          <w:rFonts w:ascii="宋体" w:hAnsi="宋体"/>
          <w:szCs w:val="21"/>
          <w:highlight w:val="none"/>
        </w:rPr>
      </w:pPr>
      <w:r>
        <w:rPr>
          <w:rFonts w:hint="eastAsia" w:ascii="宋体" w:hAnsi="宋体"/>
          <w:szCs w:val="21"/>
          <w:highlight w:val="none"/>
        </w:rPr>
        <w:t xml:space="preserve">    52.1提出质疑</w:t>
      </w:r>
    </w:p>
    <w:p>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pPr>
        <w:ind w:firstLine="420" w:firstLineChars="200"/>
        <w:rPr>
          <w:rFonts w:ascii="宋体" w:hAnsi="宋体"/>
          <w:szCs w:val="21"/>
          <w:highlight w:val="none"/>
        </w:rPr>
      </w:pPr>
      <w:r>
        <w:rPr>
          <w:rFonts w:hint="eastAsia" w:ascii="宋体" w:hAnsi="宋体"/>
          <w:szCs w:val="21"/>
          <w:highlight w:val="none"/>
        </w:rPr>
        <w:t>（2）质疑项目的名称、编号；</w:t>
      </w:r>
    </w:p>
    <w:p>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pPr>
        <w:ind w:firstLine="420" w:firstLineChars="200"/>
        <w:rPr>
          <w:rFonts w:ascii="宋体" w:hAnsi="宋体"/>
          <w:szCs w:val="21"/>
          <w:highlight w:val="none"/>
        </w:rPr>
      </w:pPr>
      <w:r>
        <w:rPr>
          <w:rFonts w:hint="eastAsia" w:ascii="宋体" w:hAnsi="宋体"/>
          <w:szCs w:val="21"/>
          <w:highlight w:val="none"/>
        </w:rPr>
        <w:t>（4）因质疑事项而受损害的权益；</w:t>
      </w:r>
    </w:p>
    <w:p>
      <w:pPr>
        <w:ind w:firstLine="420" w:firstLineChars="200"/>
        <w:rPr>
          <w:rFonts w:ascii="宋体" w:hAnsi="宋体"/>
          <w:szCs w:val="21"/>
          <w:highlight w:val="none"/>
        </w:rPr>
      </w:pPr>
      <w:r>
        <w:rPr>
          <w:rFonts w:hint="eastAsia" w:ascii="宋体" w:hAnsi="宋体"/>
          <w:szCs w:val="21"/>
          <w:highlight w:val="none"/>
        </w:rPr>
        <w:t>（5）事实依据；</w:t>
      </w:r>
    </w:p>
    <w:p>
      <w:pPr>
        <w:ind w:firstLine="420" w:firstLineChars="200"/>
        <w:rPr>
          <w:rFonts w:ascii="宋体" w:hAnsi="宋体"/>
          <w:szCs w:val="21"/>
          <w:highlight w:val="none"/>
        </w:rPr>
      </w:pPr>
      <w:r>
        <w:rPr>
          <w:rFonts w:hint="eastAsia" w:ascii="宋体" w:hAnsi="宋体"/>
          <w:szCs w:val="21"/>
          <w:highlight w:val="none"/>
        </w:rPr>
        <w:t>（6）必要的法律依据；</w:t>
      </w:r>
    </w:p>
    <w:p>
      <w:pPr>
        <w:ind w:firstLine="420" w:firstLineChars="200"/>
        <w:rPr>
          <w:rFonts w:ascii="宋体" w:hAnsi="宋体"/>
          <w:szCs w:val="21"/>
          <w:highlight w:val="none"/>
        </w:rPr>
      </w:pPr>
      <w:r>
        <w:rPr>
          <w:rFonts w:hint="eastAsia" w:ascii="宋体" w:hAnsi="宋体"/>
          <w:szCs w:val="21"/>
          <w:highlight w:val="none"/>
        </w:rPr>
        <w:t>（7）提出质疑的日期。</w:t>
      </w:r>
    </w:p>
    <w:p>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highlight w:val="none"/>
        </w:rPr>
      </w:pPr>
      <w:r>
        <w:rPr>
          <w:rFonts w:hint="eastAsia" w:ascii="宋体" w:hAnsi="宋体"/>
          <w:szCs w:val="21"/>
          <w:highlight w:val="none"/>
        </w:rPr>
        <w:t>52.5收文地点</w:t>
      </w:r>
    </w:p>
    <w:p>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pPr>
        <w:ind w:firstLine="420" w:firstLineChars="200"/>
        <w:rPr>
          <w:rFonts w:ascii="宋体" w:hAnsi="宋体"/>
          <w:szCs w:val="21"/>
          <w:highlight w:val="none"/>
        </w:rPr>
      </w:pPr>
      <w:r>
        <w:rPr>
          <w:rFonts w:hint="eastAsia" w:ascii="宋体" w:hAnsi="宋体"/>
          <w:szCs w:val="21"/>
          <w:highlight w:val="none"/>
        </w:rPr>
        <w:t>（1）质疑主体不满足要求的；</w:t>
      </w:r>
    </w:p>
    <w:p>
      <w:pPr>
        <w:ind w:firstLine="420" w:firstLineChars="200"/>
        <w:rPr>
          <w:rFonts w:ascii="宋体" w:hAnsi="宋体"/>
          <w:szCs w:val="21"/>
          <w:highlight w:val="none"/>
        </w:rPr>
      </w:pPr>
      <w:r>
        <w:rPr>
          <w:rFonts w:hint="eastAsia" w:ascii="宋体" w:hAnsi="宋体"/>
          <w:szCs w:val="21"/>
          <w:highlight w:val="none"/>
        </w:rPr>
        <w:t>（2）供应商自身权益未受到损害的；</w:t>
      </w:r>
    </w:p>
    <w:p>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pPr>
        <w:ind w:firstLine="420" w:firstLineChars="200"/>
        <w:rPr>
          <w:rFonts w:ascii="宋体" w:hAnsi="宋体"/>
          <w:szCs w:val="21"/>
          <w:highlight w:val="none"/>
        </w:rPr>
      </w:pPr>
      <w:r>
        <w:rPr>
          <w:rFonts w:hint="eastAsia" w:ascii="宋体" w:hAnsi="宋体"/>
          <w:szCs w:val="21"/>
          <w:highlight w:val="none"/>
        </w:rPr>
        <w:t>（5）其他不符合受理条件情形的。</w:t>
      </w:r>
    </w:p>
    <w:p>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pPr>
        <w:rPr>
          <w:rFonts w:ascii="宋体" w:hAnsi="宋体"/>
          <w:szCs w:val="21"/>
          <w:highlight w:val="none"/>
        </w:rPr>
      </w:pPr>
      <w:r>
        <w:rPr>
          <w:rFonts w:hint="eastAsia" w:ascii="宋体" w:hAnsi="宋体"/>
          <w:szCs w:val="21"/>
          <w:highlight w:val="none"/>
        </w:rPr>
        <w:t xml:space="preserve">    自收文之日起七个工作日内。</w:t>
      </w:r>
    </w:p>
    <w:p>
      <w:pPr>
        <w:rPr>
          <w:rFonts w:ascii="宋体" w:hAnsi="宋体"/>
          <w:szCs w:val="21"/>
          <w:highlight w:val="none"/>
        </w:rPr>
      </w:pPr>
      <w:r>
        <w:rPr>
          <w:rFonts w:hint="eastAsia" w:ascii="宋体" w:hAnsi="宋体"/>
          <w:szCs w:val="21"/>
          <w:highlight w:val="none"/>
        </w:rPr>
        <w:t xml:space="preserve">    52.8投诉</w:t>
      </w:r>
    </w:p>
    <w:p>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pPr>
        <w:rPr>
          <w:rFonts w:ascii="黑体" w:hAnsi="宋体" w:eastAsia="黑体"/>
          <w:sz w:val="24"/>
          <w:highlight w:val="none"/>
        </w:rPr>
      </w:pPr>
      <w:r>
        <w:rPr>
          <w:rFonts w:hint="eastAsia" w:ascii="黑体" w:hAnsi="宋体" w:eastAsia="黑体"/>
          <w:sz w:val="24"/>
          <w:highlight w:val="none"/>
        </w:rPr>
        <w:t>53. 质疑后续处理</w:t>
      </w:r>
    </w:p>
    <w:p>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pPr>
        <w:ind w:firstLine="420"/>
        <w:rPr>
          <w:rFonts w:hint="eastAsia"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ind w:firstLine="0" w:firstLineChars="0"/>
        <w:jc w:val="both"/>
        <w:rPr>
          <w:rFonts w:hint="eastAsia"/>
          <w:highlight w:val="none"/>
        </w:rPr>
      </w:pPr>
      <w:r>
        <w:rPr>
          <w:rFonts w:hint="eastAsia"/>
          <w:highlight w:val="none"/>
          <w:lang w:val="en-US" w:eastAsia="zh-CN"/>
        </w:rPr>
        <w:t xml:space="preserve">   </w:t>
      </w:r>
      <w:r>
        <w:rPr>
          <w:rFonts w:hint="eastAsia"/>
          <w:highlight w:val="none"/>
        </w:rPr>
        <w:t>53.3被质疑供应商应配合提供质疑答辩意见,并提供相关证据材料,逾期不作书面答辩</w:t>
      </w:r>
    </w:p>
    <w:p>
      <w:pPr>
        <w:ind w:firstLine="0" w:firstLineChars="0"/>
        <w:jc w:val="both"/>
        <w:rPr>
          <w:rFonts w:hint="default" w:eastAsia="宋体"/>
          <w:highlight w:val="none"/>
          <w:lang w:val="en-US" w:eastAsia="zh-CN"/>
        </w:rPr>
      </w:pPr>
      <w:r>
        <w:rPr>
          <w:rFonts w:hint="eastAsia"/>
          <w:highlight w:val="none"/>
        </w:rPr>
        <w:t>的,视同放弃答辩权利,依法承担由此可能产生的不利法律后果。</w:t>
      </w:r>
    </w:p>
    <w:p>
      <w:pPr>
        <w:pStyle w:val="2"/>
        <w:ind w:firstLine="420"/>
        <w:rPr>
          <w:highlight w:val="none"/>
        </w:rPr>
      </w:pPr>
    </w:p>
    <w:p>
      <w:pPr>
        <w:jc w:val="center"/>
      </w:pPr>
      <w:r>
        <w:rPr>
          <w:highlight w:val="none"/>
        </w:rPr>
        <w:t>---- END ----</w:t>
      </w:r>
    </w:p>
    <w:bookmarkEnd w:id="96"/>
    <w:p/>
    <w:p>
      <w:pPr>
        <w:ind w:firstLine="420" w:firstLineChars="200"/>
        <w:rPr>
          <w:rFonts w:ascii="宋体" w:hAnsi="宋体"/>
          <w:szCs w:val="21"/>
        </w:rPr>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7"/>
      <w:lvlText w:val=""/>
      <w:lvlJc w:val="left"/>
      <w:pPr>
        <w:tabs>
          <w:tab w:val="left" w:pos="360"/>
        </w:tabs>
        <w:ind w:left="360" w:hanging="360" w:hangingChars="200"/>
      </w:pPr>
      <w:rPr>
        <w:rFonts w:hint="default" w:ascii="Wingdings" w:hAnsi="Wingdings"/>
      </w:rPr>
    </w:lvl>
  </w:abstractNum>
  <w:abstractNum w:abstractNumId="2">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D7F666A"/>
    <w:multiLevelType w:val="singleLevel"/>
    <w:tmpl w:val="2D7F666A"/>
    <w:lvl w:ilvl="0" w:tentative="0">
      <w:start w:val="10"/>
      <w:numFmt w:val="decimal"/>
      <w:suff w:val="nothing"/>
      <w:lvlText w:val="（%1）"/>
      <w:lvlJc w:val="left"/>
    </w:lvl>
  </w:abstractNum>
  <w:abstractNum w:abstractNumId="6">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4"/>
  </w:num>
  <w:num w:numId="4">
    <w:abstractNumId w:val="3"/>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5E1"/>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34789D"/>
    <w:rsid w:val="03613039"/>
    <w:rsid w:val="036202D4"/>
    <w:rsid w:val="036D3086"/>
    <w:rsid w:val="038A236C"/>
    <w:rsid w:val="038A4A16"/>
    <w:rsid w:val="03D07714"/>
    <w:rsid w:val="03EC6FAB"/>
    <w:rsid w:val="04B94B88"/>
    <w:rsid w:val="050276AF"/>
    <w:rsid w:val="05262D76"/>
    <w:rsid w:val="056F462F"/>
    <w:rsid w:val="05B45F67"/>
    <w:rsid w:val="06270849"/>
    <w:rsid w:val="06552DE0"/>
    <w:rsid w:val="067D4F9E"/>
    <w:rsid w:val="06D71535"/>
    <w:rsid w:val="07515FD1"/>
    <w:rsid w:val="07991A83"/>
    <w:rsid w:val="087B2F8F"/>
    <w:rsid w:val="087E7443"/>
    <w:rsid w:val="08CA370B"/>
    <w:rsid w:val="09F07824"/>
    <w:rsid w:val="0A0932C7"/>
    <w:rsid w:val="0A506477"/>
    <w:rsid w:val="0A8A4C86"/>
    <w:rsid w:val="0A9342CF"/>
    <w:rsid w:val="0B547001"/>
    <w:rsid w:val="0C8D726E"/>
    <w:rsid w:val="0CE05750"/>
    <w:rsid w:val="0D1077DD"/>
    <w:rsid w:val="0EA162F1"/>
    <w:rsid w:val="0EE93F94"/>
    <w:rsid w:val="0F20361C"/>
    <w:rsid w:val="0F4F55B5"/>
    <w:rsid w:val="0F523385"/>
    <w:rsid w:val="0F646474"/>
    <w:rsid w:val="108B0AAD"/>
    <w:rsid w:val="10907D14"/>
    <w:rsid w:val="10F16DCD"/>
    <w:rsid w:val="110658A6"/>
    <w:rsid w:val="114A387E"/>
    <w:rsid w:val="116D2364"/>
    <w:rsid w:val="11A5684D"/>
    <w:rsid w:val="11F046AF"/>
    <w:rsid w:val="120E7E09"/>
    <w:rsid w:val="123D4E07"/>
    <w:rsid w:val="124704DB"/>
    <w:rsid w:val="12562AA0"/>
    <w:rsid w:val="128C51F9"/>
    <w:rsid w:val="13A17880"/>
    <w:rsid w:val="1478143A"/>
    <w:rsid w:val="15525935"/>
    <w:rsid w:val="155B6F0B"/>
    <w:rsid w:val="156B7273"/>
    <w:rsid w:val="159B504D"/>
    <w:rsid w:val="15C649DD"/>
    <w:rsid w:val="167F40D4"/>
    <w:rsid w:val="169B65A7"/>
    <w:rsid w:val="16CB4F50"/>
    <w:rsid w:val="17853B61"/>
    <w:rsid w:val="17A710C7"/>
    <w:rsid w:val="17CB121D"/>
    <w:rsid w:val="183A1C0C"/>
    <w:rsid w:val="18B310B8"/>
    <w:rsid w:val="199E5A21"/>
    <w:rsid w:val="19D2715C"/>
    <w:rsid w:val="1B942A09"/>
    <w:rsid w:val="1BB61013"/>
    <w:rsid w:val="1BCE272A"/>
    <w:rsid w:val="1BDF7E16"/>
    <w:rsid w:val="1BEC2078"/>
    <w:rsid w:val="1C4C11C0"/>
    <w:rsid w:val="1D035455"/>
    <w:rsid w:val="1D2B1804"/>
    <w:rsid w:val="1D2D465B"/>
    <w:rsid w:val="1D735950"/>
    <w:rsid w:val="1E0A297A"/>
    <w:rsid w:val="1E3950C5"/>
    <w:rsid w:val="1E4808ED"/>
    <w:rsid w:val="1FF71956"/>
    <w:rsid w:val="20913CBA"/>
    <w:rsid w:val="20DB5404"/>
    <w:rsid w:val="210118AD"/>
    <w:rsid w:val="216F5E01"/>
    <w:rsid w:val="225241D7"/>
    <w:rsid w:val="23C47B15"/>
    <w:rsid w:val="242E759C"/>
    <w:rsid w:val="25B12A01"/>
    <w:rsid w:val="25C31279"/>
    <w:rsid w:val="26101C34"/>
    <w:rsid w:val="27034AD1"/>
    <w:rsid w:val="280C250B"/>
    <w:rsid w:val="28CF69C0"/>
    <w:rsid w:val="28DD6E23"/>
    <w:rsid w:val="28EF0C48"/>
    <w:rsid w:val="298D24BC"/>
    <w:rsid w:val="2A4F0167"/>
    <w:rsid w:val="2AD91221"/>
    <w:rsid w:val="2ADE7026"/>
    <w:rsid w:val="2B057693"/>
    <w:rsid w:val="2B3C09F3"/>
    <w:rsid w:val="2C5814C2"/>
    <w:rsid w:val="2CDD21EA"/>
    <w:rsid w:val="2D8206C8"/>
    <w:rsid w:val="2EEC40A0"/>
    <w:rsid w:val="2FD74BE1"/>
    <w:rsid w:val="307410C2"/>
    <w:rsid w:val="308D0856"/>
    <w:rsid w:val="30DC13F0"/>
    <w:rsid w:val="31121EF5"/>
    <w:rsid w:val="31EF7704"/>
    <w:rsid w:val="32751E9A"/>
    <w:rsid w:val="33305B83"/>
    <w:rsid w:val="333529DB"/>
    <w:rsid w:val="338B6C3E"/>
    <w:rsid w:val="33D2281B"/>
    <w:rsid w:val="34C17D58"/>
    <w:rsid w:val="35AF558A"/>
    <w:rsid w:val="361D05E2"/>
    <w:rsid w:val="368D755E"/>
    <w:rsid w:val="37C5270E"/>
    <w:rsid w:val="37E766AA"/>
    <w:rsid w:val="39AF0A37"/>
    <w:rsid w:val="39E14173"/>
    <w:rsid w:val="3A660185"/>
    <w:rsid w:val="3B072B73"/>
    <w:rsid w:val="3BDD4E74"/>
    <w:rsid w:val="3C7E4EDD"/>
    <w:rsid w:val="3CB21EDE"/>
    <w:rsid w:val="3D303E99"/>
    <w:rsid w:val="3E824310"/>
    <w:rsid w:val="3E8E68D7"/>
    <w:rsid w:val="3EB53DB8"/>
    <w:rsid w:val="3F2415CF"/>
    <w:rsid w:val="405C2C22"/>
    <w:rsid w:val="40B97C69"/>
    <w:rsid w:val="41103AB3"/>
    <w:rsid w:val="411A2A57"/>
    <w:rsid w:val="4185067D"/>
    <w:rsid w:val="41A2641C"/>
    <w:rsid w:val="426828AB"/>
    <w:rsid w:val="42A11473"/>
    <w:rsid w:val="42D24149"/>
    <w:rsid w:val="42E51F94"/>
    <w:rsid w:val="44502E5B"/>
    <w:rsid w:val="44C558EE"/>
    <w:rsid w:val="45882058"/>
    <w:rsid w:val="45E17242"/>
    <w:rsid w:val="46CF4FC2"/>
    <w:rsid w:val="46EC288D"/>
    <w:rsid w:val="47560599"/>
    <w:rsid w:val="47B6656B"/>
    <w:rsid w:val="480E135C"/>
    <w:rsid w:val="48C170B3"/>
    <w:rsid w:val="48FE5B0D"/>
    <w:rsid w:val="49574862"/>
    <w:rsid w:val="4A5406A2"/>
    <w:rsid w:val="4AA13BA6"/>
    <w:rsid w:val="4AC519F6"/>
    <w:rsid w:val="4B110B90"/>
    <w:rsid w:val="4B2E0642"/>
    <w:rsid w:val="4B430CA9"/>
    <w:rsid w:val="4B7454E3"/>
    <w:rsid w:val="4D4B1098"/>
    <w:rsid w:val="4D624570"/>
    <w:rsid w:val="4E444B87"/>
    <w:rsid w:val="4E584DC9"/>
    <w:rsid w:val="4E5E5755"/>
    <w:rsid w:val="4ECD31C1"/>
    <w:rsid w:val="4FB34218"/>
    <w:rsid w:val="51264D54"/>
    <w:rsid w:val="53083749"/>
    <w:rsid w:val="5355411C"/>
    <w:rsid w:val="53590226"/>
    <w:rsid w:val="54803EF9"/>
    <w:rsid w:val="55FD133D"/>
    <w:rsid w:val="561244DD"/>
    <w:rsid w:val="562B3B54"/>
    <w:rsid w:val="563A27AE"/>
    <w:rsid w:val="563E276B"/>
    <w:rsid w:val="56BD644F"/>
    <w:rsid w:val="56F15429"/>
    <w:rsid w:val="573F362D"/>
    <w:rsid w:val="57752C31"/>
    <w:rsid w:val="5879650B"/>
    <w:rsid w:val="58B205DA"/>
    <w:rsid w:val="58BE44AB"/>
    <w:rsid w:val="59562254"/>
    <w:rsid w:val="59F22E73"/>
    <w:rsid w:val="5AA23067"/>
    <w:rsid w:val="5AB92201"/>
    <w:rsid w:val="5B847B74"/>
    <w:rsid w:val="5BAE3C36"/>
    <w:rsid w:val="5C6D49B2"/>
    <w:rsid w:val="5C92709D"/>
    <w:rsid w:val="5CED3FF9"/>
    <w:rsid w:val="5D4476FB"/>
    <w:rsid w:val="5E8B3C4B"/>
    <w:rsid w:val="5ED8763C"/>
    <w:rsid w:val="5EE80ED1"/>
    <w:rsid w:val="5F771986"/>
    <w:rsid w:val="5FC96642"/>
    <w:rsid w:val="60032513"/>
    <w:rsid w:val="601574AE"/>
    <w:rsid w:val="60257F58"/>
    <w:rsid w:val="61250170"/>
    <w:rsid w:val="614B2DC9"/>
    <w:rsid w:val="62111B39"/>
    <w:rsid w:val="634925E3"/>
    <w:rsid w:val="63EE1813"/>
    <w:rsid w:val="65735661"/>
    <w:rsid w:val="665E5750"/>
    <w:rsid w:val="66DC2EB8"/>
    <w:rsid w:val="67857971"/>
    <w:rsid w:val="678877B3"/>
    <w:rsid w:val="67E1648C"/>
    <w:rsid w:val="67EE261E"/>
    <w:rsid w:val="68DA5D31"/>
    <w:rsid w:val="6902700E"/>
    <w:rsid w:val="69A9410F"/>
    <w:rsid w:val="6A226566"/>
    <w:rsid w:val="6B100175"/>
    <w:rsid w:val="6BF7330F"/>
    <w:rsid w:val="6D0E2679"/>
    <w:rsid w:val="6D4621DE"/>
    <w:rsid w:val="6DE55656"/>
    <w:rsid w:val="6E261BA7"/>
    <w:rsid w:val="6E660432"/>
    <w:rsid w:val="6E681C31"/>
    <w:rsid w:val="6E8D3E82"/>
    <w:rsid w:val="6EBB0535"/>
    <w:rsid w:val="6ED7625C"/>
    <w:rsid w:val="6F135292"/>
    <w:rsid w:val="70F50EBA"/>
    <w:rsid w:val="71266569"/>
    <w:rsid w:val="7157391A"/>
    <w:rsid w:val="717C6A58"/>
    <w:rsid w:val="71D60130"/>
    <w:rsid w:val="731833B6"/>
    <w:rsid w:val="73A155A6"/>
    <w:rsid w:val="73FA5E27"/>
    <w:rsid w:val="741E4FC3"/>
    <w:rsid w:val="7447637A"/>
    <w:rsid w:val="74C667AB"/>
    <w:rsid w:val="74C876B4"/>
    <w:rsid w:val="757440A2"/>
    <w:rsid w:val="75C75F9E"/>
    <w:rsid w:val="75F61EF0"/>
    <w:rsid w:val="75F73A2A"/>
    <w:rsid w:val="75FC7405"/>
    <w:rsid w:val="76484AEE"/>
    <w:rsid w:val="769958F2"/>
    <w:rsid w:val="76E96805"/>
    <w:rsid w:val="770266B0"/>
    <w:rsid w:val="77E577FB"/>
    <w:rsid w:val="78174C2D"/>
    <w:rsid w:val="784576F8"/>
    <w:rsid w:val="78767A5E"/>
    <w:rsid w:val="793D0B51"/>
    <w:rsid w:val="79981429"/>
    <w:rsid w:val="7B471C92"/>
    <w:rsid w:val="7BCF4F27"/>
    <w:rsid w:val="7C081039"/>
    <w:rsid w:val="7CFE3D1B"/>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spacing w:before="340" w:after="330" w:line="360" w:lineRule="auto"/>
      <w:jc w:val="center"/>
      <w:outlineLvl w:val="0"/>
    </w:pPr>
    <w:rPr>
      <w:rFonts w:eastAsia="黑体"/>
      <w:kern w:val="44"/>
      <w:szCs w:val="44"/>
    </w:rPr>
  </w:style>
  <w:style w:type="paragraph" w:styleId="4">
    <w:name w:val="heading 2"/>
    <w:basedOn w:val="5"/>
    <w:next w:val="6"/>
    <w:link w:val="69"/>
    <w:qFormat/>
    <w:uiPriority w:val="0"/>
    <w:pPr>
      <w:adjustRightInd w:val="0"/>
      <w:jc w:val="center"/>
      <w:textAlignment w:val="baseline"/>
      <w:outlineLvl w:val="1"/>
    </w:pPr>
    <w:rPr>
      <w:kern w:val="0"/>
      <w:sz w:val="24"/>
      <w:szCs w:val="20"/>
    </w:rPr>
  </w:style>
  <w:style w:type="paragraph" w:styleId="5">
    <w:name w:val="heading 3"/>
    <w:basedOn w:val="6"/>
    <w:next w:val="1"/>
    <w:link w:val="53"/>
    <w:qFormat/>
    <w:uiPriority w:val="9"/>
    <w:pPr>
      <w:spacing w:before="260" w:after="260" w:line="240" w:lineRule="auto"/>
      <w:outlineLvl w:val="2"/>
    </w:pPr>
    <w:rPr>
      <w:rFonts w:ascii="宋体" w:hAnsi="宋体" w:eastAsia="宋体"/>
      <w:szCs w:val="32"/>
    </w:rPr>
  </w:style>
  <w:style w:type="paragraph" w:styleId="6">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8"/>
    <w:qFormat/>
    <w:uiPriority w:val="0"/>
    <w:pPr>
      <w:keepNext/>
      <w:keepLines/>
      <w:spacing w:before="280" w:after="290" w:line="376" w:lineRule="auto"/>
      <w:outlineLvl w:val="4"/>
    </w:pPr>
    <w:rPr>
      <w:b/>
      <w:sz w:val="28"/>
      <w:szCs w:val="20"/>
    </w:rPr>
  </w:style>
  <w:style w:type="paragraph" w:styleId="11">
    <w:name w:val="heading 6"/>
    <w:basedOn w:val="1"/>
    <w:next w:val="8"/>
    <w:link w:val="81"/>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8"/>
    <w:link w:val="82"/>
    <w:qFormat/>
    <w:uiPriority w:val="0"/>
    <w:pPr>
      <w:keepNext/>
      <w:keepLines/>
      <w:spacing w:before="240" w:after="64" w:line="320" w:lineRule="auto"/>
      <w:outlineLvl w:val="6"/>
    </w:pPr>
    <w:rPr>
      <w:b/>
      <w:sz w:val="24"/>
      <w:szCs w:val="20"/>
    </w:rPr>
  </w:style>
  <w:style w:type="paragraph" w:styleId="13">
    <w:name w:val="heading 8"/>
    <w:basedOn w:val="1"/>
    <w:next w:val="8"/>
    <w:link w:val="83"/>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8"/>
    <w:link w:val="84"/>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next w:val="9"/>
    <w:link w:val="55"/>
    <w:qFormat/>
    <w:uiPriority w:val="0"/>
    <w:pPr>
      <w:ind w:firstLine="420"/>
    </w:pPr>
    <w:rPr>
      <w:szCs w:val="20"/>
    </w:rPr>
  </w:style>
  <w:style w:type="paragraph" w:styleId="9">
    <w:name w:val="Body Text"/>
    <w:basedOn w:val="1"/>
    <w:next w:val="10"/>
    <w:link w:val="90"/>
    <w:qFormat/>
    <w:uiPriority w:val="0"/>
    <w:pPr>
      <w:spacing w:line="360" w:lineRule="auto"/>
    </w:pPr>
    <w:rPr>
      <w:b/>
      <w:bCs/>
      <w:sz w:val="24"/>
    </w:rPr>
  </w:style>
  <w:style w:type="paragraph" w:styleId="10">
    <w:name w:val="Body Text 2"/>
    <w:basedOn w:val="1"/>
    <w:link w:val="94"/>
    <w:qFormat/>
    <w:uiPriority w:val="0"/>
    <w:pPr>
      <w:spacing w:line="360" w:lineRule="auto"/>
    </w:pPr>
    <w:rPr>
      <w:sz w:val="24"/>
    </w:rPr>
  </w:style>
  <w:style w:type="paragraph" w:styleId="15">
    <w:name w:val="toc 7"/>
    <w:basedOn w:val="1"/>
    <w:next w:val="1"/>
    <w:semiHidden/>
    <w:qFormat/>
    <w:uiPriority w:val="0"/>
    <w:pPr>
      <w:ind w:left="1260"/>
      <w:jc w:val="left"/>
    </w:pPr>
    <w:rPr>
      <w:szCs w:val="21"/>
    </w:rPr>
  </w:style>
  <w:style w:type="paragraph" w:styleId="16">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7">
    <w:name w:val="List Bullet"/>
    <w:basedOn w:val="1"/>
    <w:qFormat/>
    <w:uiPriority w:val="0"/>
    <w:pPr>
      <w:numPr>
        <w:ilvl w:val="0"/>
        <w:numId w:val="1"/>
      </w:numPr>
    </w:pPr>
    <w:rPr>
      <w:szCs w:val="20"/>
    </w:rPr>
  </w:style>
  <w:style w:type="paragraph" w:styleId="18">
    <w:name w:val="Document Map"/>
    <w:basedOn w:val="1"/>
    <w:semiHidden/>
    <w:qFormat/>
    <w:uiPriority w:val="0"/>
    <w:pPr>
      <w:shd w:val="clear" w:color="auto" w:fill="000080"/>
    </w:pPr>
  </w:style>
  <w:style w:type="paragraph" w:styleId="19">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20">
    <w:name w:val="Body Text 3"/>
    <w:basedOn w:val="1"/>
    <w:link w:val="96"/>
    <w:qFormat/>
    <w:uiPriority w:val="0"/>
    <w:pPr>
      <w:spacing w:after="120"/>
    </w:pPr>
    <w:rPr>
      <w:sz w:val="16"/>
      <w:szCs w:val="16"/>
    </w:rPr>
  </w:style>
  <w:style w:type="paragraph" w:styleId="21">
    <w:name w:val="Body Text Indent"/>
    <w:basedOn w:val="1"/>
    <w:link w:val="77"/>
    <w:qFormat/>
    <w:uiPriority w:val="0"/>
    <w:pPr>
      <w:spacing w:line="360" w:lineRule="auto"/>
      <w:ind w:firstLine="420" w:firstLineChars="200"/>
    </w:pPr>
  </w:style>
  <w:style w:type="paragraph" w:styleId="22">
    <w:name w:val="toc 5"/>
    <w:basedOn w:val="1"/>
    <w:next w:val="1"/>
    <w:semiHidden/>
    <w:qFormat/>
    <w:uiPriority w:val="0"/>
    <w:pPr>
      <w:ind w:left="840"/>
      <w:jc w:val="left"/>
    </w:pPr>
    <w:rPr>
      <w:szCs w:val="21"/>
    </w:rPr>
  </w:style>
  <w:style w:type="paragraph" w:styleId="23">
    <w:name w:val="toc 3"/>
    <w:basedOn w:val="1"/>
    <w:next w:val="1"/>
    <w:semiHidden/>
    <w:qFormat/>
    <w:uiPriority w:val="0"/>
    <w:pPr>
      <w:ind w:left="420"/>
      <w:jc w:val="left"/>
    </w:pPr>
    <w:rPr>
      <w:i/>
      <w:iCs/>
    </w:rPr>
  </w:style>
  <w:style w:type="paragraph" w:styleId="24">
    <w:name w:val="Plain Text"/>
    <w:basedOn w:val="1"/>
    <w:link w:val="88"/>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86"/>
    <w:qFormat/>
    <w:uiPriority w:val="0"/>
    <w:rPr>
      <w:rFonts w:ascii="宋体" w:hAnsi="Courier New"/>
      <w:sz w:val="32"/>
      <w:szCs w:val="20"/>
    </w:rPr>
  </w:style>
  <w:style w:type="paragraph" w:styleId="27">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97"/>
    <w:semiHidden/>
    <w:qFormat/>
    <w:uiPriority w:val="99"/>
    <w:rPr>
      <w:sz w:val="18"/>
      <w:szCs w:val="18"/>
    </w:rPr>
  </w:style>
  <w:style w:type="paragraph" w:styleId="29">
    <w:name w:val="footer"/>
    <w:basedOn w:val="1"/>
    <w:link w:val="95"/>
    <w:qFormat/>
    <w:uiPriority w:val="0"/>
    <w:pPr>
      <w:tabs>
        <w:tab w:val="center" w:pos="4153"/>
        <w:tab w:val="right" w:pos="8306"/>
      </w:tabs>
      <w:snapToGrid w:val="0"/>
      <w:jc w:val="left"/>
    </w:pPr>
    <w:rPr>
      <w:sz w:val="18"/>
      <w:szCs w:val="18"/>
    </w:rPr>
  </w:style>
  <w:style w:type="paragraph" w:styleId="30">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3"/>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88"/>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next w:val="1"/>
    <w:link w:val="85"/>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9"/>
    <w:next w:val="19"/>
    <w:link w:val="183"/>
    <w:qFormat/>
    <w:uiPriority w:val="99"/>
    <w:pPr>
      <w:autoSpaceDE/>
      <w:autoSpaceDN/>
      <w:adjustRightInd/>
      <w:textAlignment w:val="auto"/>
    </w:pPr>
    <w:rPr>
      <w:rFonts w:ascii="Times New Roman"/>
      <w:b/>
      <w:bCs/>
      <w:kern w:val="2"/>
      <w:sz w:val="21"/>
      <w:szCs w:val="24"/>
    </w:rPr>
  </w:style>
  <w:style w:type="paragraph" w:styleId="42">
    <w:name w:val="Body Text First Indent"/>
    <w:basedOn w:val="9"/>
    <w:link w:val="128"/>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character" w:customStyle="1" w:styleId="51">
    <w:name w:val="标题 4 Char"/>
    <w:link w:val="6"/>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5"/>
    <w:qFormat/>
    <w:uiPriority w:val="9"/>
    <w:rPr>
      <w:rFonts w:ascii="宋体" w:hAnsi="宋体" w:eastAsia="宋体"/>
      <w:b/>
      <w:bCs/>
      <w:kern w:val="2"/>
      <w:sz w:val="28"/>
      <w:szCs w:val="32"/>
      <w:lang w:val="en-US" w:eastAsia="zh-CN" w:bidi="ar-SA"/>
    </w:rPr>
  </w:style>
  <w:style w:type="character" w:customStyle="1" w:styleId="54">
    <w:name w:val="标题 1 Char"/>
    <w:link w:val="3"/>
    <w:qFormat/>
    <w:uiPriority w:val="0"/>
    <w:rPr>
      <w:rFonts w:ascii="宋体" w:hAnsi="宋体" w:eastAsia="黑体"/>
      <w:b/>
      <w:bCs/>
      <w:kern w:val="44"/>
      <w:sz w:val="28"/>
      <w:szCs w:val="44"/>
      <w:lang w:val="en-US" w:eastAsia="zh-CN" w:bidi="ar-SA"/>
    </w:rPr>
  </w:style>
  <w:style w:type="character" w:customStyle="1" w:styleId="55">
    <w:name w:val="正文缩进 Char"/>
    <w:link w:val="8"/>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4"/>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1"/>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4"/>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21"/>
    <w:qFormat/>
    <w:uiPriority w:val="0"/>
    <w:rPr>
      <w:rFonts w:eastAsia="宋体"/>
      <w:kern w:val="2"/>
      <w:sz w:val="21"/>
      <w:szCs w:val="24"/>
      <w:lang w:val="en-US" w:eastAsia="zh-CN" w:bidi="ar-SA"/>
    </w:rPr>
  </w:style>
  <w:style w:type="character" w:customStyle="1" w:styleId="78">
    <w:name w:val="标题 5 Char"/>
    <w:link w:val="7"/>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11"/>
    <w:qFormat/>
    <w:uiPriority w:val="0"/>
    <w:rPr>
      <w:rFonts w:ascii="Arial" w:hAnsi="Arial" w:eastAsia="黑体"/>
      <w:b/>
      <w:kern w:val="2"/>
      <w:sz w:val="24"/>
      <w:lang w:val="en-US" w:eastAsia="zh-CN" w:bidi="ar-SA"/>
    </w:rPr>
  </w:style>
  <w:style w:type="character" w:customStyle="1" w:styleId="82">
    <w:name w:val="标题 7 Char"/>
    <w:link w:val="12"/>
    <w:qFormat/>
    <w:uiPriority w:val="0"/>
    <w:rPr>
      <w:rFonts w:eastAsia="宋体"/>
      <w:b/>
      <w:kern w:val="2"/>
      <w:sz w:val="24"/>
      <w:lang w:val="en-US" w:eastAsia="zh-CN" w:bidi="ar-SA"/>
    </w:rPr>
  </w:style>
  <w:style w:type="character" w:customStyle="1" w:styleId="83">
    <w:name w:val="标题 8 Char"/>
    <w:link w:val="13"/>
    <w:qFormat/>
    <w:uiPriority w:val="0"/>
    <w:rPr>
      <w:rFonts w:ascii="Arial" w:hAnsi="Arial" w:eastAsia="黑体"/>
      <w:kern w:val="2"/>
      <w:sz w:val="24"/>
      <w:lang w:val="en-US" w:eastAsia="zh-CN" w:bidi="ar-SA"/>
    </w:rPr>
  </w:style>
  <w:style w:type="character" w:customStyle="1" w:styleId="84">
    <w:name w:val="标题 9 Char"/>
    <w:link w:val="14"/>
    <w:qFormat/>
    <w:uiPriority w:val="0"/>
    <w:rPr>
      <w:rFonts w:ascii="Arial" w:hAnsi="Arial" w:eastAsia="黑体"/>
      <w:kern w:val="2"/>
      <w:sz w:val="21"/>
      <w:lang w:val="en-US" w:eastAsia="zh-CN" w:bidi="ar-SA"/>
    </w:rPr>
  </w:style>
  <w:style w:type="character" w:customStyle="1" w:styleId="85">
    <w:name w:val="标题 Char"/>
    <w:link w:val="40"/>
    <w:qFormat/>
    <w:uiPriority w:val="0"/>
    <w:rPr>
      <w:rFonts w:ascii="Arial" w:hAnsi="Arial" w:eastAsia="隶书" w:cs="Arial"/>
      <w:b/>
      <w:bCs/>
      <w:kern w:val="2"/>
      <w:sz w:val="32"/>
      <w:szCs w:val="32"/>
      <w:lang w:val="en-US" w:eastAsia="zh-CN" w:bidi="ar-SA"/>
    </w:rPr>
  </w:style>
  <w:style w:type="character" w:customStyle="1" w:styleId="86">
    <w:name w:val="日期 Char"/>
    <w:link w:val="26"/>
    <w:qFormat/>
    <w:uiPriority w:val="0"/>
    <w:rPr>
      <w:rFonts w:ascii="宋体" w:hAnsi="Courier New" w:eastAsia="宋体"/>
      <w:kern w:val="2"/>
      <w:sz w:val="32"/>
      <w:lang w:val="en-US" w:eastAsia="zh-CN" w:bidi="ar-SA"/>
    </w:rPr>
  </w:style>
  <w:style w:type="character" w:customStyle="1" w:styleId="87">
    <w:name w:val="HTML 预设格式 Char"/>
    <w:link w:val="37"/>
    <w:qFormat/>
    <w:uiPriority w:val="0"/>
    <w:rPr>
      <w:rFonts w:ascii="Arial Unicode MS" w:hAnsi="Arial Unicode MS" w:eastAsia="Arial Unicode MS"/>
      <w:color w:val="000000"/>
      <w:lang w:val="en-US" w:eastAsia="zh-CN" w:bidi="ar-SA"/>
    </w:rPr>
  </w:style>
  <w:style w:type="character" w:customStyle="1" w:styleId="88">
    <w:name w:val="纯文本 Char"/>
    <w:link w:val="24"/>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9"/>
    <w:qFormat/>
    <w:uiPriority w:val="0"/>
    <w:rPr>
      <w:rFonts w:eastAsia="宋体"/>
      <w:b/>
      <w:bCs/>
      <w:kern w:val="2"/>
      <w:sz w:val="24"/>
      <w:szCs w:val="24"/>
      <w:lang w:val="en-US" w:eastAsia="zh-CN" w:bidi="ar-SA"/>
    </w:rPr>
  </w:style>
  <w:style w:type="character" w:customStyle="1" w:styleId="91">
    <w:name w:val="正文文本缩进 2 Char"/>
    <w:link w:val="27"/>
    <w:qFormat/>
    <w:uiPriority w:val="0"/>
    <w:rPr>
      <w:rFonts w:ascii="宋体" w:hAnsi="宋体" w:eastAsia="宋体"/>
      <w:kern w:val="2"/>
      <w:sz w:val="21"/>
      <w:szCs w:val="24"/>
      <w:lang w:val="en-US" w:eastAsia="zh-CN" w:bidi="ar-SA"/>
    </w:rPr>
  </w:style>
  <w:style w:type="character" w:customStyle="1" w:styleId="92">
    <w:name w:val="页眉 Char"/>
    <w:link w:val="30"/>
    <w:qFormat/>
    <w:uiPriority w:val="99"/>
    <w:rPr>
      <w:rFonts w:eastAsia="宋体"/>
      <w:kern w:val="2"/>
      <w:sz w:val="18"/>
      <w:szCs w:val="18"/>
      <w:lang w:val="en-US" w:eastAsia="zh-CN" w:bidi="ar-SA"/>
    </w:rPr>
  </w:style>
  <w:style w:type="character" w:customStyle="1" w:styleId="93">
    <w:name w:val="正文文本缩进 3 Char"/>
    <w:link w:val="34"/>
    <w:qFormat/>
    <w:uiPriority w:val="0"/>
    <w:rPr>
      <w:rFonts w:ascii="宋体" w:eastAsia="宋体"/>
      <w:b/>
      <w:bCs/>
      <w:kern w:val="2"/>
      <w:sz w:val="24"/>
      <w:szCs w:val="24"/>
      <w:lang w:val="en-US" w:eastAsia="zh-CN" w:bidi="ar-SA"/>
    </w:rPr>
  </w:style>
  <w:style w:type="character" w:customStyle="1" w:styleId="94">
    <w:name w:val="正文文本 2 Char"/>
    <w:link w:val="10"/>
    <w:qFormat/>
    <w:uiPriority w:val="0"/>
    <w:rPr>
      <w:rFonts w:eastAsia="宋体"/>
      <w:kern w:val="2"/>
      <w:sz w:val="24"/>
      <w:szCs w:val="24"/>
      <w:lang w:val="en-US" w:eastAsia="zh-CN" w:bidi="ar-SA"/>
    </w:rPr>
  </w:style>
  <w:style w:type="character" w:customStyle="1" w:styleId="95">
    <w:name w:val="页脚 Char"/>
    <w:link w:val="29"/>
    <w:qFormat/>
    <w:uiPriority w:val="0"/>
    <w:rPr>
      <w:rFonts w:eastAsia="宋体"/>
      <w:kern w:val="2"/>
      <w:sz w:val="18"/>
      <w:szCs w:val="18"/>
      <w:lang w:val="en-US" w:eastAsia="zh-CN" w:bidi="ar-SA"/>
    </w:rPr>
  </w:style>
  <w:style w:type="character" w:customStyle="1" w:styleId="96">
    <w:name w:val="正文文本 3 Char"/>
    <w:link w:val="20"/>
    <w:qFormat/>
    <w:uiPriority w:val="0"/>
    <w:rPr>
      <w:rFonts w:eastAsia="宋体"/>
      <w:kern w:val="2"/>
      <w:sz w:val="16"/>
      <w:szCs w:val="16"/>
      <w:lang w:val="en-US" w:eastAsia="zh-CN" w:bidi="ar-SA"/>
    </w:rPr>
  </w:style>
  <w:style w:type="character" w:customStyle="1" w:styleId="97">
    <w:name w:val="批注框文本 Char"/>
    <w:link w:val="28"/>
    <w:semiHidden/>
    <w:qFormat/>
    <w:uiPriority w:val="99"/>
    <w:rPr>
      <w:rFonts w:eastAsia="宋体"/>
      <w:kern w:val="2"/>
      <w:sz w:val="18"/>
      <w:szCs w:val="18"/>
      <w:lang w:val="en-US" w:eastAsia="zh-CN" w:bidi="ar-SA"/>
    </w:rPr>
  </w:style>
  <w:style w:type="paragraph" w:customStyle="1" w:styleId="98">
    <w:name w:val="样式1"/>
    <w:basedOn w:val="40"/>
    <w:qFormat/>
    <w:uiPriority w:val="0"/>
    <w:pPr>
      <w:spacing w:before="120" w:after="120"/>
    </w:pPr>
    <w:rPr>
      <w:rFonts w:eastAsia="黑体"/>
      <w:b w:val="0"/>
      <w:sz w:val="30"/>
      <w:szCs w:val="21"/>
    </w:rPr>
  </w:style>
  <w:style w:type="paragraph" w:customStyle="1" w:styleId="99">
    <w:name w:val="样式2"/>
    <w:basedOn w:val="40"/>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5"/>
    <w:qFormat/>
    <w:uiPriority w:val="0"/>
  </w:style>
  <w:style w:type="character" w:customStyle="1" w:styleId="124">
    <w:name w:val="font2"/>
    <w:basedOn w:val="45"/>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2"/>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5"/>
    <w:qFormat/>
    <w:uiPriority w:val="0"/>
  </w:style>
  <w:style w:type="paragraph" w:customStyle="1" w:styleId="133">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5"/>
    <w:qFormat/>
    <w:uiPriority w:val="0"/>
  </w:style>
  <w:style w:type="paragraph" w:customStyle="1" w:styleId="135">
    <w:name w:val="8"/>
    <w:basedOn w:val="1"/>
    <w:next w:val="21"/>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5"/>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5"/>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5"/>
    <w:qFormat/>
    <w:uiPriority w:val="0"/>
  </w:style>
  <w:style w:type="character" w:customStyle="1" w:styleId="151">
    <w:name w:val="prodheadlines"/>
    <w:basedOn w:val="45"/>
    <w:qFormat/>
    <w:uiPriority w:val="0"/>
  </w:style>
  <w:style w:type="character" w:customStyle="1" w:styleId="152">
    <w:name w:val="text"/>
    <w:basedOn w:val="45"/>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4"/>
    <w:qFormat/>
    <w:uiPriority w:val="0"/>
    <w:pPr>
      <w:ind w:firstLine="560" w:firstLineChars="200"/>
    </w:pPr>
    <w:rPr>
      <w:sz w:val="28"/>
    </w:rPr>
  </w:style>
  <w:style w:type="character" w:customStyle="1" w:styleId="159">
    <w:name w:val="gray6"/>
    <w:basedOn w:val="45"/>
    <w:qFormat/>
    <w:uiPriority w:val="0"/>
  </w:style>
  <w:style w:type="character" w:customStyle="1" w:styleId="160">
    <w:name w:val="style9"/>
    <w:basedOn w:val="45"/>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5"/>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5"/>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5"/>
    <w:link w:val="19"/>
    <w:qFormat/>
    <w:uiPriority w:val="99"/>
    <w:rPr>
      <w:rFonts w:ascii="宋体"/>
      <w:sz w:val="34"/>
    </w:rPr>
  </w:style>
  <w:style w:type="character" w:customStyle="1" w:styleId="183">
    <w:name w:val="批注主题 Char"/>
    <w:basedOn w:val="182"/>
    <w:link w:val="41"/>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8"/>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57</Pages>
  <Words>3794</Words>
  <Characters>3909</Characters>
  <Lines>332</Lines>
  <Paragraphs>93</Paragraphs>
  <TotalTime>0</TotalTime>
  <ScaleCrop>false</ScaleCrop>
  <LinksUpToDate>false</LinksUpToDate>
  <CharactersWithSpaces>3928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l-jr117</cp:lastModifiedBy>
  <cp:lastPrinted>2021-05-09T08:02:00Z</cp:lastPrinted>
  <dcterms:modified xsi:type="dcterms:W3CDTF">2025-08-21T06:07:17Z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003ADDF3662F45C08528B97CC53E75F7_13</vt:lpwstr>
  </property>
  <property fmtid="{D5CDD505-2E9C-101B-9397-08002B2CF9AE}" pid="4" name="KSOTemplateDocerSaveRecord">
    <vt:lpwstr>eyJoZGlkIjoiMTEzMmY3N2I4ZDI1ZjE2ODBjMDFkZjY1NmM5NWQwZWUiLCJ1c2VySWQiOiIzODU2MzU4NTIifQ==</vt:lpwstr>
  </property>
</Properties>
</file>