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hint="eastAsia" w:ascii="Times New Roman" w:hAnsi="Times New Roman" w:eastAsia="宋体" w:cs="Times New Roman"/>
          <w:b/>
          <w:bCs/>
          <w:kern w:val="0"/>
          <w:sz w:val="40"/>
          <w:szCs w:val="40"/>
          <w:highlight w:val="none"/>
          <w:lang w:eastAsia="zh-CN"/>
        </w:rPr>
      </w:pPr>
      <w:bookmarkStart w:id="91" w:name="_GoBack"/>
      <w:r>
        <w:rPr>
          <w:rFonts w:hint="eastAsia" w:ascii="Times New Roman" w:hAnsi="Times New Roman" w:eastAsia="宋体" w:cs="Times New Roman"/>
          <w:b/>
          <w:bCs/>
          <w:kern w:val="0"/>
          <w:sz w:val="40"/>
          <w:szCs w:val="40"/>
          <w:highlight w:val="none"/>
          <w:lang w:eastAsia="zh-CN"/>
        </w:rPr>
        <w:t>新安中学(集团)外国语学校窗帘采购项目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highlight w:val="none"/>
        </w:rPr>
      </w:pPr>
      <w:r>
        <w:rPr>
          <w:rFonts w:hint="eastAsia" w:ascii="黑体" w:hAnsi="宋体" w:eastAsia="黑体" w:cs="黑体"/>
          <w:kern w:val="0"/>
          <w:sz w:val="40"/>
          <w:szCs w:val="40"/>
          <w:highlight w:val="none"/>
        </w:rPr>
        <w:t>招标文件信息</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项目编号：BAZXCG-2024-00169</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项目名称：新安中学(集团)外国语学校窗帘采购项目</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包    号：A</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项目类型：货物类</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采购方式：公开招标</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货币类型：人民币</w:t>
      </w:r>
    </w:p>
    <w:p>
      <w:pPr>
        <w:tabs>
          <w:tab w:val="left" w:pos="2790"/>
        </w:tabs>
        <w:snapToGrid w:val="0"/>
        <w:spacing w:line="440" w:lineRule="exact"/>
        <w:jc w:val="left"/>
        <w:rPr>
          <w:rFonts w:asciiTheme="minorEastAsia" w:hAnsiTheme="minorEastAsia"/>
          <w:sz w:val="30"/>
          <w:szCs w:val="30"/>
          <w:highlight w:val="none"/>
        </w:rPr>
      </w:pPr>
      <w:r>
        <w:rPr>
          <w:rFonts w:hint="eastAsia" w:asciiTheme="minorEastAsia" w:hAnsiTheme="minorEastAsia"/>
          <w:sz w:val="30"/>
          <w:szCs w:val="30"/>
          <w:highlight w:val="none"/>
        </w:rPr>
        <w:t>评标方法：综合评分法（新价格分算法）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资格性审查表</w:t>
      </w:r>
    </w:p>
    <w:tbl>
      <w:tblPr>
        <w:tblStyle w:val="17"/>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highlight w:val="none"/>
              </w:rPr>
            </w:pPr>
            <w:r>
              <w:rPr>
                <w:rFonts w:ascii="宋体" w:hAnsi="宋体" w:eastAsia="宋体" w:cs="宋体"/>
                <w:kern w:val="0"/>
                <w:szCs w:val="21"/>
                <w:highlight w:val="none"/>
              </w:rPr>
              <w:t>投标人不</w:t>
            </w:r>
            <w:r>
              <w:rPr>
                <w:rFonts w:hint="eastAsia" w:ascii="宋体" w:hAnsi="宋体" w:eastAsia="宋体" w:cs="宋体"/>
                <w:kern w:val="0"/>
                <w:szCs w:val="21"/>
                <w:highlight w:val="none"/>
              </w:rPr>
              <w:t>符合</w:t>
            </w:r>
            <w:r>
              <w:rPr>
                <w:rFonts w:ascii="宋体" w:hAnsi="宋体" w:eastAsia="宋体" w:cs="宋体"/>
                <w:kern w:val="0"/>
                <w:szCs w:val="21"/>
                <w:highlight w:val="none"/>
              </w:rPr>
              <w:t>资格要求，或未提交相应的资格证明资料（详见招标公告</w:t>
            </w:r>
            <w:r>
              <w:rPr>
                <w:rFonts w:hint="eastAsia" w:ascii="宋体" w:hAnsi="宋体" w:eastAsia="宋体" w:cs="Times New Roman"/>
                <w:szCs w:val="21"/>
                <w:highlight w:val="none"/>
              </w:rPr>
              <w:t>投标人资格要求，即申请人的资格要求</w:t>
            </w:r>
            <w:r>
              <w:rPr>
                <w:rFonts w:ascii="宋体" w:hAnsi="宋体" w:eastAsia="宋体" w:cs="宋体"/>
                <w:kern w:val="0"/>
                <w:szCs w:val="21"/>
                <w:highlight w:val="none"/>
              </w:rPr>
              <w:t>）。</w:t>
            </w:r>
          </w:p>
        </w:tc>
      </w:tr>
    </w:tbl>
    <w:p>
      <w:pPr>
        <w:tabs>
          <w:tab w:val="left" w:pos="2790"/>
        </w:tabs>
        <w:snapToGrid w:val="0"/>
        <w:jc w:val="center"/>
        <w:rPr>
          <w:rFonts w:ascii="黑体" w:hAnsi="黑体" w:eastAsia="黑体" w:cs="Times New Roman"/>
          <w:sz w:val="40"/>
          <w:szCs w:val="40"/>
          <w:highlight w:val="none"/>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符合性审查表</w:t>
      </w:r>
    </w:p>
    <w:tbl>
      <w:tblPr>
        <w:tblStyle w:val="17"/>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none"/>
              </w:rPr>
            </w:pPr>
            <w:r>
              <w:rPr>
                <w:rFonts w:hint="eastAsia"/>
                <w:highlight w:val="none"/>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分项报价或投标总价不得高于</w:t>
            </w:r>
            <w:bookmarkStart w:id="0" w:name="_Hlk71832186"/>
            <w:r>
              <w:rPr>
                <w:rFonts w:hint="eastAsia"/>
                <w:highlight w:val="none"/>
              </w:rPr>
              <w:t>相应预算金额（或设定的预算金额下的最高限价）</w:t>
            </w:r>
            <w:bookmarkEnd w:id="0"/>
            <w:r>
              <w:rPr>
                <w:rFonts w:hint="eastAsia" w:ascii="Calibri" w:hAnsi="Calibri" w:eastAsia="宋体" w:cs="Times New Roman"/>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ascii="Calibri" w:hAnsi="Calibri" w:eastAsia="宋体" w:cs="Times New Roman"/>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所投货物、服务在技术、商务等方面没有实质性满足招标文件要求</w:t>
            </w:r>
            <w:r>
              <w:rPr>
                <w:rFonts w:hint="eastAsia" w:ascii="Calibri" w:hAnsi="Calibri" w:eastAsia="宋体" w:cs="Times New Roman"/>
                <w:highlight w:val="none"/>
              </w:rPr>
              <w:t>（或未响应招标文件中带★号条款或响应有负偏离）的</w:t>
            </w:r>
            <w:r>
              <w:rPr>
                <w:rFonts w:hint="eastAsia"/>
                <w:highlight w:val="none"/>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投标报价有缺漏项目，或者对招标文件规定的项目需求内容或者需求数量进行修改，评审委员会判定投标响应不满足采购需求；</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highlight w:val="none"/>
              </w:rPr>
            </w:pPr>
            <w:r>
              <w:rPr>
                <w:rFonts w:hint="eastAsia" w:ascii="宋体" w:hAnsi="宋体" w:eastAsia="宋体"/>
                <w:highlight w:val="none"/>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highlight w:val="none"/>
              </w:rPr>
            </w:pPr>
            <w:r>
              <w:rPr>
                <w:rFonts w:hint="eastAsia" w:ascii="Calibri" w:hAnsi="Calibri" w:eastAsia="宋体" w:cs="Times New Roman"/>
                <w:highlight w:val="none"/>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highlight w:val="none"/>
              </w:rPr>
              <w:t>（</w:t>
            </w:r>
            <w:r>
              <w:rPr>
                <w:rFonts w:ascii="Calibri" w:hAnsi="Calibri" w:eastAsia="宋体" w:cs="Times New Roman"/>
                <w:bCs/>
                <w:highlight w:val="none"/>
              </w:rPr>
              <w:t>在《</w:t>
            </w:r>
            <w:r>
              <w:rPr>
                <w:rFonts w:hint="eastAsia" w:ascii="Calibri" w:hAnsi="Calibri" w:eastAsia="宋体" w:cs="Times New Roman"/>
                <w:bCs/>
                <w:highlight w:val="none"/>
              </w:rPr>
              <w:t>政府采购投标及履约承诺函</w:t>
            </w:r>
            <w:r>
              <w:rPr>
                <w:rFonts w:ascii="Calibri" w:hAnsi="Calibri" w:eastAsia="宋体" w:cs="Times New Roman"/>
                <w:bCs/>
                <w:highlight w:val="none"/>
              </w:rPr>
              <w:t>》中作出声明</w:t>
            </w:r>
            <w:r>
              <w:rPr>
                <w:rFonts w:hint="eastAsia" w:ascii="Calibri" w:hAnsi="Calibri" w:eastAsia="宋体" w:cs="Times New Roman"/>
                <w:bCs/>
                <w:highlight w:val="none"/>
              </w:rPr>
              <w:t>）</w:t>
            </w:r>
            <w:r>
              <w:rPr>
                <w:rFonts w:hint="eastAsia" w:ascii="Calibri" w:hAnsi="Calibri" w:eastAsia="宋体" w:cs="Times New Roman"/>
                <w:highlight w:val="none"/>
              </w:rPr>
              <w:t>；</w:t>
            </w:r>
            <w:r>
              <w:rPr>
                <w:rFonts w:hint="eastAsia" w:ascii="宋体" w:hAnsi="宋体" w:eastAsia="宋体"/>
                <w:highlight w:val="none"/>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法律、法规、规章、规范性文件规定的其他情形。</w:t>
            </w:r>
          </w:p>
        </w:tc>
      </w:tr>
    </w:tbl>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pStyle w:val="15"/>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highlight w:val="none"/>
        </w:rPr>
      </w:pPr>
      <w:r>
        <w:rPr>
          <w:rFonts w:hint="eastAsia" w:ascii="黑体" w:hAnsi="黑体" w:eastAsia="黑体"/>
          <w:sz w:val="40"/>
          <w:szCs w:val="40"/>
          <w:highlight w:val="none"/>
        </w:rPr>
        <w:t>评标信息</w:t>
      </w:r>
    </w:p>
    <w:p>
      <w:pPr>
        <w:rPr>
          <w:highlight w:val="none"/>
        </w:rPr>
      </w:pPr>
      <w:r>
        <w:rPr>
          <w:rFonts w:ascii="宋体" w:hAnsi="宋体"/>
          <w:b/>
          <w:bCs/>
          <w:highlight w:val="none"/>
        </w:rPr>
        <w:t>评标方法：综合评分法（新价格分算法）</w:t>
      </w:r>
    </w:p>
    <w:p>
      <w:pPr>
        <w:spacing w:line="324" w:lineRule="auto"/>
        <w:ind w:firstLine="420"/>
        <w:rPr>
          <w:highlight w:val="none"/>
        </w:rPr>
      </w:pPr>
      <w:r>
        <w:rPr>
          <w:rFonts w:ascii="宋体" w:hAnsi="宋体"/>
          <w:highlight w:val="none"/>
        </w:rPr>
        <w:t>综合评分法，是指投标文件满足招标文件全部实质性要求，且按照评审因素的量化指标评审得分最高的投标人为中标候选人的评标方法。</w:t>
      </w:r>
      <w:r>
        <w:rPr>
          <w:highlight w:val="none"/>
        </w:rPr>
        <w:t xml:space="preserve"> </w:t>
      </w:r>
    </w:p>
    <w:p>
      <w:pPr>
        <w:ind w:firstLine="420"/>
        <w:rPr>
          <w:highlight w:val="none"/>
        </w:rPr>
      </w:pPr>
      <w:r>
        <w:rPr>
          <w:rFonts w:ascii="宋体" w:hAnsi="宋体"/>
          <w:highlight w:val="none"/>
        </w:rPr>
        <w:t>价格分计算方法：</w:t>
      </w:r>
    </w:p>
    <w:p>
      <w:pPr>
        <w:rPr>
          <w:highlight w:val="none"/>
        </w:rPr>
      </w:pPr>
      <w:r>
        <w:rPr>
          <w:rFonts w:ascii="宋体" w:hAnsi="宋体"/>
          <w:highlight w:val="none"/>
        </w:rPr>
        <w:t>采用低价优先法计算，即满足招标文件要求且投标价格最低的投标报价为评标基准价，其价格分为满分。其他投标人的价格分统一按照下列公式计算：</w:t>
      </w:r>
      <w:r>
        <w:rPr>
          <w:highlight w:val="none"/>
        </w:rPr>
        <w:t xml:space="preserve"> </w:t>
      </w:r>
      <w:r>
        <w:rPr>
          <w:highlight w:val="none"/>
        </w:rPr>
        <w:br w:type="textWrapping"/>
      </w:r>
      <w:r>
        <w:rPr>
          <w:rFonts w:ascii="宋体" w:hAnsi="宋体"/>
          <w:highlight w:val="none"/>
        </w:rPr>
        <w:t>投标报价得分</w:t>
      </w:r>
      <w:r>
        <w:rPr>
          <w:highlight w:val="none"/>
        </w:rPr>
        <w:t>=(</w:t>
      </w:r>
      <w:r>
        <w:rPr>
          <w:rFonts w:ascii="宋体" w:hAnsi="宋体"/>
          <w:highlight w:val="none"/>
        </w:rPr>
        <w:t>评标基准价／投标报价</w:t>
      </w:r>
      <w:r>
        <w:rPr>
          <w:highlight w:val="none"/>
        </w:rPr>
        <w:t xml:space="preserve">)×100 </w:t>
      </w:r>
      <w:r>
        <w:rPr>
          <w:highlight w:val="none"/>
        </w:rPr>
        <w:br w:type="textWrapping"/>
      </w:r>
      <w:r>
        <w:rPr>
          <w:rFonts w:ascii="宋体" w:hAnsi="宋体"/>
          <w:highlight w:val="none"/>
        </w:rPr>
        <w:t>评标总得分＝</w:t>
      </w:r>
      <w:r>
        <w:rPr>
          <w:highlight w:val="none"/>
        </w:rPr>
        <w:t>F1×A1</w:t>
      </w:r>
      <w:r>
        <w:rPr>
          <w:rFonts w:ascii="宋体" w:hAnsi="宋体"/>
          <w:highlight w:val="none"/>
        </w:rPr>
        <w:t>＋</w:t>
      </w:r>
      <w:r>
        <w:rPr>
          <w:highlight w:val="none"/>
        </w:rPr>
        <w:t>F2×A2</w:t>
      </w:r>
      <w:r>
        <w:rPr>
          <w:rFonts w:ascii="宋体" w:hAnsi="宋体"/>
          <w:highlight w:val="none"/>
        </w:rPr>
        <w:t>＋</w:t>
      </w:r>
      <w:r>
        <w:rPr>
          <w:highlight w:val="none"/>
        </w:rPr>
        <w:t>……</w:t>
      </w:r>
      <w:r>
        <w:rPr>
          <w:rFonts w:ascii="宋体" w:hAnsi="宋体"/>
          <w:highlight w:val="none"/>
        </w:rPr>
        <w:t>＋</w:t>
      </w:r>
      <w:r>
        <w:rPr>
          <w:highlight w:val="none"/>
        </w:rPr>
        <w:t xml:space="preserve">Fn×An </w:t>
      </w:r>
      <w:r>
        <w:rPr>
          <w:highlight w:val="none"/>
        </w:rPr>
        <w:br w:type="textWrapping"/>
      </w:r>
      <w:r>
        <w:rPr>
          <w:highlight w:val="none"/>
        </w:rPr>
        <w:t>F1</w:t>
      </w:r>
      <w:r>
        <w:rPr>
          <w:rFonts w:ascii="宋体" w:hAnsi="宋体"/>
          <w:highlight w:val="none"/>
        </w:rPr>
        <w:t>、</w:t>
      </w:r>
      <w:r>
        <w:rPr>
          <w:highlight w:val="none"/>
        </w:rPr>
        <w:t>F2……Fn</w:t>
      </w:r>
      <w:r>
        <w:rPr>
          <w:rFonts w:ascii="宋体" w:hAnsi="宋体"/>
          <w:highlight w:val="none"/>
        </w:rPr>
        <w:t xml:space="preserve">分别为各项评审因素的得分； </w:t>
      </w:r>
      <w:r>
        <w:rPr>
          <w:highlight w:val="none"/>
        </w:rPr>
        <w:br w:type="textWrapping"/>
      </w:r>
      <w:r>
        <w:rPr>
          <w:highlight w:val="none"/>
        </w:rPr>
        <w:t>A1</w:t>
      </w:r>
      <w:r>
        <w:rPr>
          <w:rFonts w:ascii="宋体" w:hAnsi="宋体"/>
          <w:highlight w:val="none"/>
        </w:rPr>
        <w:t>、</w:t>
      </w:r>
      <w:r>
        <w:rPr>
          <w:highlight w:val="none"/>
        </w:rPr>
        <w:t>A2</w:t>
      </w:r>
      <w:r>
        <w:rPr>
          <w:rFonts w:ascii="宋体" w:hAnsi="宋体"/>
          <w:highlight w:val="none"/>
        </w:rPr>
        <w:t>、</w:t>
      </w:r>
      <w:r>
        <w:rPr>
          <w:highlight w:val="none"/>
        </w:rPr>
        <w:t xml:space="preserve">……An </w:t>
      </w:r>
      <w:r>
        <w:rPr>
          <w:rFonts w:ascii="宋体" w:hAnsi="宋体"/>
          <w:highlight w:val="none"/>
        </w:rPr>
        <w:t>分别为各项评审因素所占的权重</w:t>
      </w:r>
      <w:r>
        <w:rPr>
          <w:highlight w:val="none"/>
        </w:rPr>
        <w:t>(A1</w:t>
      </w:r>
      <w:r>
        <w:rPr>
          <w:rFonts w:ascii="宋体" w:hAnsi="宋体"/>
          <w:highlight w:val="none"/>
        </w:rPr>
        <w:t>＋</w:t>
      </w:r>
      <w:r>
        <w:rPr>
          <w:highlight w:val="none"/>
        </w:rPr>
        <w:t>A2</w:t>
      </w:r>
      <w:r>
        <w:rPr>
          <w:rFonts w:ascii="宋体" w:hAnsi="宋体"/>
          <w:highlight w:val="none"/>
        </w:rPr>
        <w:t>＋</w:t>
      </w:r>
      <w:r>
        <w:rPr>
          <w:highlight w:val="none"/>
        </w:rPr>
        <w:t>……</w:t>
      </w:r>
      <w:r>
        <w:rPr>
          <w:rFonts w:ascii="宋体" w:hAnsi="宋体"/>
          <w:highlight w:val="none"/>
        </w:rPr>
        <w:t>＋</w:t>
      </w:r>
      <w:r>
        <w:rPr>
          <w:highlight w:val="none"/>
        </w:rPr>
        <w:t>An</w:t>
      </w:r>
      <w:r>
        <w:rPr>
          <w:rFonts w:ascii="宋体" w:hAnsi="宋体"/>
          <w:highlight w:val="none"/>
        </w:rPr>
        <w:t>＝</w:t>
      </w:r>
      <w:r>
        <w:rPr>
          <w:highlight w:val="none"/>
        </w:rPr>
        <w:t>1)</w:t>
      </w:r>
      <w:r>
        <w:rPr>
          <w:rFonts w:ascii="宋体" w:hAnsi="宋体"/>
          <w:highlight w:val="none"/>
        </w:rPr>
        <w:t xml:space="preserve">。 </w:t>
      </w:r>
      <w:r>
        <w:rPr>
          <w:highlight w:val="none"/>
        </w:rPr>
        <w:br w:type="textWrapping"/>
      </w:r>
      <w:r>
        <w:rPr>
          <w:rFonts w:ascii="宋体" w:hAnsi="宋体"/>
          <w:highlight w:val="none"/>
        </w:rPr>
        <w:t>评标过程中，不得去掉报价中的最高报价和最低报价。</w:t>
      </w:r>
      <w:r>
        <w:rPr>
          <w:highlight w:val="none"/>
        </w:rPr>
        <w:t xml:space="preserve"> </w:t>
      </w:r>
      <w:r>
        <w:rPr>
          <w:highlight w:val="none"/>
        </w:rPr>
        <w:br w:type="textWrapping"/>
      </w:r>
      <w:r>
        <w:rPr>
          <w:rFonts w:ascii="宋体" w:hAnsi="宋体"/>
          <w:highlight w:val="none"/>
        </w:rPr>
        <w:t>此方法适用于货物类、服务类、工程类项目。</w:t>
      </w:r>
    </w:p>
    <w:p>
      <w:pPr>
        <w:snapToGrid w:val="0"/>
        <w:rPr>
          <w:highlight w:val="none"/>
        </w:rPr>
      </w:pPr>
    </w:p>
    <w:tbl>
      <w:tblPr>
        <w:tblStyle w:val="17"/>
        <w:tblW w:w="92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20" w:type="dxa"/>
          <w:left w:w="108" w:type="dxa"/>
          <w:bottom w:w="20" w:type="dxa"/>
          <w:right w:w="108" w:type="dxa"/>
        </w:tblCellMar>
      </w:tblPr>
      <w:tblGrid>
        <w:gridCol w:w="700"/>
        <w:gridCol w:w="454"/>
        <w:gridCol w:w="1697"/>
        <w:gridCol w:w="709"/>
        <w:gridCol w:w="56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286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评分项</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286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价格</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trHeight w:val="284" w:hRule="atLeast"/>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286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技术部分</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69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70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567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rPr>
            </w:pPr>
            <w:r>
              <w:rPr>
                <w:rFonts w:hint="default" w:ascii="宋体" w:hAnsi="宋体" w:eastAsia="宋体" w:cs="宋体"/>
                <w:sz w:val="21"/>
                <w:szCs w:val="21"/>
                <w:highlight w:val="none"/>
                <w:lang w:val="en-US"/>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b/>
                <w:sz w:val="21"/>
                <w:szCs w:val="21"/>
                <w:highlight w:val="none"/>
              </w:rPr>
            </w:pPr>
            <w:r>
              <w:rPr>
                <w:rFonts w:hint="eastAsia" w:ascii="宋体" w:hAnsi="宋体" w:eastAsia="宋体"/>
                <w:szCs w:val="21"/>
                <w:highlight w:val="none"/>
              </w:rPr>
              <w:t>非“</w:t>
            </w:r>
            <w:r>
              <w:rPr>
                <w:rFonts w:hint="eastAsia" w:ascii="宋体" w:hAnsi="宋体" w:eastAsia="宋体"/>
                <w:bCs/>
                <w:szCs w:val="21"/>
                <w:highlight w:val="none"/>
              </w:rPr>
              <w:t>▲”参数</w:t>
            </w:r>
            <w:r>
              <w:rPr>
                <w:rFonts w:hint="eastAsia" w:ascii="宋体" w:hAnsi="宋体" w:eastAsia="宋体"/>
                <w:szCs w:val="21"/>
                <w:highlight w:val="none"/>
              </w:rPr>
              <w:t>响应情况评价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8</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非“▲”参数响应</w:t>
            </w:r>
            <w:r>
              <w:rPr>
                <w:rFonts w:hint="eastAsia" w:ascii="宋体" w:hAnsi="宋体" w:eastAsia="宋体" w:cs="宋体"/>
                <w:kern w:val="0"/>
                <w:szCs w:val="21"/>
                <w:highlight w:val="none"/>
              </w:rPr>
              <w:t>情况。</w:t>
            </w:r>
          </w:p>
          <w:p>
            <w:pPr>
              <w:spacing w:line="300" w:lineRule="exact"/>
              <w:rPr>
                <w:rFonts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spacing w:after="60" w:line="300" w:lineRule="exact"/>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偏离表》为评审依据，完全符合招标要求的，得100分。有1项非“▲”参数不符合招标要求（或缺漏）的扣</w:t>
            </w:r>
            <w:r>
              <w:rPr>
                <w:rFonts w:hint="eastAsia" w:ascii="宋体" w:hAnsi="宋体" w:cs="宋体"/>
                <w:color w:val="0000FF"/>
                <w:kern w:val="0"/>
                <w:szCs w:val="21"/>
                <w:highlight w:val="none"/>
                <w:lang w:val="en-US" w:eastAsia="zh-CN"/>
              </w:rPr>
              <w:t>16.7</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eastAsia" w:ascii="宋体" w:hAnsi="宋体" w:eastAsia="宋体" w:cs="宋体"/>
                <w:b/>
                <w:sz w:val="21"/>
                <w:szCs w:val="21"/>
                <w:highlight w:val="none"/>
              </w:rPr>
            </w:pPr>
            <w:r>
              <w:rPr>
                <w:rFonts w:hint="eastAsia" w:ascii="宋体" w:hAnsi="宋体" w:eastAsia="宋体"/>
                <w:bCs/>
                <w:szCs w:val="21"/>
                <w:highlight w:val="none"/>
              </w:rPr>
              <w:t>“▲”参数响应</w:t>
            </w:r>
            <w:r>
              <w:rPr>
                <w:rFonts w:ascii="宋体" w:hAnsi="宋体" w:eastAsia="宋体"/>
                <w:bCs/>
                <w:szCs w:val="21"/>
                <w:highlight w:val="none"/>
              </w:rPr>
              <w:t>情况评价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pacing w:after="60" w:line="300" w:lineRule="exact"/>
              <w:jc w:val="center"/>
              <w:rPr>
                <w:rFonts w:hint="default" w:ascii="宋体" w:hAnsi="宋体" w:eastAsia="宋体" w:cs="宋体"/>
                <w:sz w:val="21"/>
                <w:szCs w:val="21"/>
                <w:highlight w:val="none"/>
                <w:lang w:val="en-US"/>
              </w:rPr>
            </w:pPr>
            <w:r>
              <w:rPr>
                <w:rFonts w:hint="eastAsia" w:ascii="宋体" w:hAnsi="宋体"/>
                <w:szCs w:val="21"/>
                <w:highlight w:val="none"/>
                <w:lang w:val="en-US" w:eastAsia="zh-CN"/>
              </w:rPr>
              <w:t>25</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widowControl/>
              <w:spacing w:line="300" w:lineRule="exact"/>
              <w:jc w:val="left"/>
              <w:rPr>
                <w:rFonts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widowControl/>
              <w:spacing w:line="300" w:lineRule="exact"/>
              <w:jc w:val="left"/>
              <w:rPr>
                <w:rFonts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“▲”参数响应</w:t>
            </w:r>
            <w:r>
              <w:rPr>
                <w:rFonts w:hint="eastAsia" w:ascii="宋体" w:hAnsi="宋体" w:eastAsia="宋体" w:cs="宋体"/>
                <w:kern w:val="0"/>
                <w:szCs w:val="21"/>
                <w:highlight w:val="none"/>
              </w:rPr>
              <w:t>情况。</w:t>
            </w:r>
          </w:p>
          <w:p>
            <w:pPr>
              <w:spacing w:line="300" w:lineRule="exact"/>
              <w:rPr>
                <w:rFonts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spacing w:after="60" w:line="300" w:lineRule="exact"/>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偏离表》为评审依据，完全符合招标要求的，得100分。有1项“▲”参数不符合招标要求（或缺漏）的扣</w:t>
            </w:r>
            <w:r>
              <w:rPr>
                <w:rFonts w:hint="eastAsia" w:ascii="宋体" w:hAnsi="宋体" w:cs="宋体"/>
                <w:color w:val="0000FF"/>
                <w:kern w:val="0"/>
                <w:szCs w:val="21"/>
                <w:highlight w:val="none"/>
                <w:lang w:val="en-US" w:eastAsia="zh-CN"/>
              </w:rPr>
              <w:t>20</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项目组织实施方案的评价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3</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numPr>
                <w:ilvl w:val="0"/>
                <w:numId w:val="1"/>
              </w:numPr>
              <w:autoSpaceDE w:val="0"/>
              <w:autoSpaceDN w:val="0"/>
              <w:adjustRightInd w:val="0"/>
              <w:spacing w:line="300" w:lineRule="exact"/>
              <w:jc w:val="left"/>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rPr>
              <w:t>评审内容：</w:t>
            </w:r>
            <w:r>
              <w:rPr>
                <w:rFonts w:hint="eastAsia" w:ascii="宋体" w:hAnsi="宋体" w:cs="宋体"/>
                <w:b/>
                <w:bCs/>
                <w:sz w:val="21"/>
                <w:szCs w:val="21"/>
                <w:highlight w:val="none"/>
                <w:lang w:val="en-US" w:eastAsia="zh-CN"/>
              </w:rPr>
              <w:t xml:space="preserve">  </w:t>
            </w:r>
          </w:p>
          <w:p>
            <w:pPr>
              <w:numPr>
                <w:ilvl w:val="0"/>
                <w:numId w:val="0"/>
              </w:numPr>
              <w:autoSpaceDE w:val="0"/>
              <w:autoSpaceDN w:val="0"/>
              <w:adjustRightInd w:val="0"/>
              <w:spacing w:line="300" w:lineRule="exact"/>
              <w:jc w:val="left"/>
              <w:rPr>
                <w:rFonts w:hint="eastAsia" w:ascii="宋体" w:hAnsi="宋体" w:cs="宋体"/>
                <w:sz w:val="21"/>
                <w:szCs w:val="21"/>
                <w:highlight w:val="none"/>
                <w:lang w:eastAsia="zh-CN"/>
              </w:rPr>
            </w:pPr>
            <w:r>
              <w:rPr>
                <w:rFonts w:hint="eastAsia" w:ascii="宋体" w:hAnsi="宋体" w:eastAsia="宋体" w:cs="宋体"/>
                <w:sz w:val="21"/>
                <w:szCs w:val="21"/>
                <w:highlight w:val="none"/>
              </w:rPr>
              <w:t>投标人提供本项目的组织实施方案，方案中应包含</w:t>
            </w:r>
            <w:r>
              <w:rPr>
                <w:rFonts w:hint="eastAsia" w:ascii="宋体" w:hAnsi="宋体" w:cs="宋体"/>
                <w:sz w:val="21"/>
                <w:szCs w:val="21"/>
                <w:highlight w:val="none"/>
                <w:lang w:eastAsia="zh-CN"/>
              </w:rPr>
              <w:t>：</w:t>
            </w:r>
          </w:p>
          <w:p>
            <w:pPr>
              <w:numPr>
                <w:ilvl w:val="0"/>
                <w:numId w:val="2"/>
              </w:numPr>
              <w:autoSpaceDE w:val="0"/>
              <w:autoSpaceDN w:val="0"/>
              <w:adjustRightInd w:val="0"/>
              <w:spacing w:line="30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项目进度计划安排</w:t>
            </w:r>
            <w:r>
              <w:rPr>
                <w:rFonts w:hint="eastAsia" w:ascii="宋体" w:hAnsi="宋体" w:cs="宋体"/>
                <w:b/>
                <w:bCs/>
                <w:sz w:val="21"/>
                <w:szCs w:val="21"/>
                <w:highlight w:val="none"/>
                <w:lang w:eastAsia="zh-CN"/>
              </w:rPr>
              <w:t>；</w:t>
            </w:r>
          </w:p>
          <w:p>
            <w:pPr>
              <w:numPr>
                <w:ilvl w:val="0"/>
                <w:numId w:val="2"/>
              </w:numPr>
              <w:autoSpaceDE w:val="0"/>
              <w:autoSpaceDN w:val="0"/>
              <w:adjustRightInd w:val="0"/>
              <w:spacing w:line="300" w:lineRule="exact"/>
              <w:ind w:left="0" w:leftChars="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施工组织计划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numPr>
                <w:ilvl w:val="0"/>
                <w:numId w:val="2"/>
              </w:numPr>
              <w:autoSpaceDE w:val="0"/>
              <w:autoSpaceDN w:val="0"/>
              <w:adjustRightInd w:val="0"/>
              <w:spacing w:line="300" w:lineRule="exact"/>
              <w:ind w:left="0" w:leftChars="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验收组织计划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numPr>
                <w:ilvl w:val="0"/>
                <w:numId w:val="2"/>
              </w:numPr>
              <w:autoSpaceDE w:val="0"/>
              <w:autoSpaceDN w:val="0"/>
              <w:adjustRightInd w:val="0"/>
              <w:spacing w:line="300" w:lineRule="exact"/>
              <w:ind w:left="0" w:leftChars="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产品培训方案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numPr>
                <w:ilvl w:val="0"/>
                <w:numId w:val="1"/>
              </w:numPr>
              <w:autoSpaceDE w:val="0"/>
              <w:autoSpaceDN w:val="0"/>
              <w:adjustRightInd w:val="0"/>
              <w:spacing w:line="300" w:lineRule="exact"/>
              <w:ind w:left="0" w:leftChars="0" w:firstLine="0" w:firstLineChars="0"/>
              <w:jc w:val="left"/>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评审标准：</w:t>
            </w:r>
          </w:p>
          <w:p>
            <w:pPr>
              <w:numPr>
                <w:ilvl w:val="0"/>
                <w:numId w:val="0"/>
              </w:numPr>
              <w:autoSpaceDE w:val="0"/>
              <w:autoSpaceDN w:val="0"/>
              <w:adjustRightInd w:val="0"/>
              <w:spacing w:line="300" w:lineRule="exact"/>
              <w:ind w:leftChars="0"/>
              <w:jc w:val="left"/>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numPr>
                <w:ilvl w:val="0"/>
                <w:numId w:val="0"/>
              </w:numPr>
              <w:autoSpaceDE w:val="0"/>
              <w:autoSpaceDN w:val="0"/>
              <w:adjustRightInd w:val="0"/>
              <w:spacing w:line="300" w:lineRule="exact"/>
              <w:ind w:leftChars="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在此基础上，对方案的合理性、可行性进行打分。</w:t>
            </w:r>
          </w:p>
          <w:p>
            <w:pPr>
              <w:numPr>
                <w:ilvl w:val="0"/>
                <w:numId w:val="0"/>
              </w:numPr>
              <w:autoSpaceDE w:val="0"/>
              <w:autoSpaceDN w:val="0"/>
              <w:adjustRightInd w:val="0"/>
              <w:spacing w:line="300" w:lineRule="exact"/>
              <w:ind w:leftChars="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1、方案清晰周密、合理可行、表述完整、方法得当、技术先进、符合相关规范要求得40分。</w:t>
            </w:r>
          </w:p>
          <w:p>
            <w:pPr>
              <w:numPr>
                <w:ilvl w:val="0"/>
                <w:numId w:val="0"/>
              </w:numPr>
              <w:autoSpaceDE w:val="0"/>
              <w:autoSpaceDN w:val="0"/>
              <w:adjustRightInd w:val="0"/>
              <w:spacing w:line="300" w:lineRule="exact"/>
              <w:ind w:leftChars="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2、方案基本可行表述基本完整得20分。</w:t>
            </w:r>
          </w:p>
          <w:p>
            <w:pPr>
              <w:numPr>
                <w:ilvl w:val="0"/>
                <w:numId w:val="0"/>
              </w:numPr>
              <w:autoSpaceDE w:val="0"/>
              <w:autoSpaceDN w:val="0"/>
              <w:adjustRightInd w:val="0"/>
              <w:spacing w:line="300" w:lineRule="exact"/>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color w:val="0000FF"/>
                <w:sz w:val="21"/>
                <w:szCs w:val="21"/>
                <w:highlight w:val="none"/>
              </w:rPr>
              <w:t xml:space="preserve"> 3、未提供或方案计划不切合本项目的实际情况、合理完善性差、可行性差的对应项不得分。</w:t>
            </w:r>
            <w:r>
              <w:rPr>
                <w:rFonts w:hint="eastAsia" w:ascii="宋体" w:hAnsi="宋体" w:eastAsia="宋体" w:cs="宋体"/>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售后服务评价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（一）评审内容：</w:t>
            </w:r>
          </w:p>
          <w:p>
            <w:pPr>
              <w:snapToGrid w:val="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投标人提供本项目的售后服务方案，方案中应包含</w:t>
            </w:r>
            <w:r>
              <w:rPr>
                <w:rFonts w:hint="eastAsia" w:ascii="宋体" w:hAnsi="宋体" w:eastAsia="宋体" w:cs="宋体"/>
                <w:sz w:val="21"/>
                <w:szCs w:val="21"/>
                <w:highlight w:val="none"/>
                <w:lang w:eastAsia="zh-CN"/>
              </w:rPr>
              <w:t>：</w:t>
            </w:r>
          </w:p>
          <w:p>
            <w:pPr>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1、服务内容</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2、维修应急方案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snapToGrid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3、培训计划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snapToGrid w:val="0"/>
              <w:rPr>
                <w:rFonts w:hint="eastAsia" w:ascii="宋体" w:hAnsi="宋体" w:eastAsia="宋体" w:cs="宋体"/>
                <w:sz w:val="21"/>
                <w:szCs w:val="21"/>
                <w:highlight w:val="none"/>
              </w:rPr>
            </w:pPr>
            <w:r>
              <w:rPr>
                <w:rFonts w:hint="eastAsia" w:ascii="宋体" w:hAnsi="宋体" w:eastAsia="宋体" w:cs="宋体"/>
                <w:b/>
                <w:bCs/>
                <w:sz w:val="21"/>
                <w:szCs w:val="21"/>
                <w:highlight w:val="none"/>
              </w:rPr>
              <w:t>4、其他特色服务等</w:t>
            </w:r>
            <w:r>
              <w:rPr>
                <w:rFonts w:hint="eastAsia" w:ascii="宋体" w:hAnsi="宋体" w:cs="宋体"/>
                <w:b/>
                <w:bCs/>
                <w:sz w:val="21"/>
                <w:szCs w:val="21"/>
                <w:highlight w:val="none"/>
                <w:lang w:eastAsia="zh-CN"/>
              </w:rPr>
              <w:t>。</w:t>
            </w:r>
            <w:r>
              <w:rPr>
                <w:rFonts w:hint="eastAsia" w:ascii="宋体" w:hAnsi="宋体" w:eastAsia="宋体" w:cs="宋体"/>
                <w:sz w:val="21"/>
                <w:szCs w:val="21"/>
                <w:highlight w:val="none"/>
              </w:rPr>
              <w:t xml:space="preserve"> </w:t>
            </w:r>
          </w:p>
          <w:p>
            <w:pPr>
              <w:snapToGrid w:val="0"/>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（二）评审标准：</w:t>
            </w:r>
          </w:p>
          <w:p>
            <w:pPr>
              <w:numPr>
                <w:ilvl w:val="0"/>
                <w:numId w:val="0"/>
              </w:numPr>
              <w:autoSpaceDE w:val="0"/>
              <w:autoSpaceDN w:val="0"/>
              <w:adjustRightInd w:val="0"/>
              <w:spacing w:line="300" w:lineRule="exact"/>
              <w:ind w:leftChars="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snapToGrid w:val="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在此基础上，对方案的合理性、可行性进行打分。 </w:t>
            </w:r>
          </w:p>
          <w:p>
            <w:pPr>
              <w:snapToGrid w:val="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(1)售后服务方案非常详细，保障措施完善可行，得40分； </w:t>
            </w:r>
          </w:p>
          <w:p>
            <w:pPr>
              <w:snapToGrid w:val="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(2)售后服务方案比较具体，保障措施比较完善可行，能够满足招标文件要求的得20分；</w:t>
            </w:r>
          </w:p>
          <w:p>
            <w:pPr>
              <w:snapToGrid w:val="0"/>
              <w:rPr>
                <w:rFonts w:hint="eastAsia" w:ascii="宋体" w:hAnsi="宋体" w:eastAsia="宋体" w:cs="宋体"/>
                <w:sz w:val="21"/>
                <w:szCs w:val="21"/>
                <w:highlight w:val="none"/>
              </w:rPr>
            </w:pPr>
            <w:r>
              <w:rPr>
                <w:rFonts w:hint="eastAsia" w:ascii="宋体" w:hAnsi="宋体" w:eastAsia="宋体" w:cs="宋体"/>
                <w:color w:val="0000FF"/>
                <w:sz w:val="21"/>
                <w:szCs w:val="21"/>
                <w:highlight w:val="none"/>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286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Theme="minorEastAsia" w:hAnsiTheme="minorEastAsia"/>
                <w:b/>
                <w:bCs/>
                <w:szCs w:val="21"/>
                <w:highlight w:val="none"/>
                <w:lang w:val="en-US" w:eastAsia="zh-CN"/>
              </w:rPr>
              <w:t>商务</w:t>
            </w:r>
            <w:r>
              <w:rPr>
                <w:rFonts w:hint="eastAsia" w:ascii="宋体" w:hAnsi="宋体" w:eastAsia="宋体" w:cs="宋体"/>
                <w:b/>
                <w:bCs/>
                <w:sz w:val="21"/>
                <w:szCs w:val="21"/>
                <w:highlight w:val="none"/>
              </w:rPr>
              <w:t>部分</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69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70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567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经验评价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2022年1月1日（以合同签订日期为准）以后，投标人具有</w:t>
            </w:r>
            <w:r>
              <w:rPr>
                <w:rFonts w:hint="eastAsia" w:ascii="宋体" w:hAnsi="宋体" w:cs="宋体"/>
                <w:sz w:val="21"/>
                <w:szCs w:val="21"/>
                <w:highlight w:val="none"/>
                <w:lang w:val="en-US" w:eastAsia="zh-CN"/>
              </w:rPr>
              <w:t>窗帘采购</w:t>
            </w:r>
            <w:r>
              <w:rPr>
                <w:rFonts w:hint="eastAsia" w:ascii="宋体" w:hAnsi="宋体" w:eastAsia="宋体" w:cs="宋体"/>
                <w:sz w:val="21"/>
                <w:szCs w:val="21"/>
                <w:highlight w:val="none"/>
              </w:rPr>
              <w:t>项目经验，且履约评价为优或满意（或同等评价），每提供一个得  100分，最高得100分。</w:t>
            </w:r>
          </w:p>
          <w:p>
            <w:pPr>
              <w:snapToGrid w:val="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证明材料：</w:t>
            </w:r>
          </w:p>
          <w:p>
            <w:pPr>
              <w:snapToGrid w:val="0"/>
              <w:rPr>
                <w:rFonts w:hint="eastAsia" w:ascii="宋体" w:hAnsi="宋体" w:eastAsia="宋体" w:cs="宋体"/>
                <w:sz w:val="21"/>
                <w:szCs w:val="21"/>
                <w:highlight w:val="none"/>
              </w:rPr>
            </w:pPr>
            <w:r>
              <w:rPr>
                <w:rFonts w:hint="eastAsia" w:ascii="宋体" w:hAnsi="宋体" w:eastAsia="宋体" w:cs="宋体"/>
                <w:color w:val="0000FF"/>
                <w:sz w:val="21"/>
                <w:szCs w:val="21"/>
                <w:highlight w:val="none"/>
              </w:rPr>
              <w:t>1、同时提供以下：（1）合同关键页扫描件；（2）设备配置清单扫描件；（3）验收报告[加盖合同甲方公章（或甲方业务章）]；（4）履约评价证明[加盖合同甲方公章（或甲方业务章）]。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政府采购节能环保产品</w:t>
            </w:r>
            <w:r>
              <w:rPr>
                <w:rFonts w:hint="eastAsia" w:ascii="宋体" w:hAnsi="宋体" w:eastAsia="宋体" w:cs="宋体"/>
                <w:sz w:val="21"/>
                <w:szCs w:val="21"/>
                <w:highlight w:val="none"/>
                <w:lang w:val="en-US" w:eastAsia="zh-CN"/>
              </w:rPr>
              <w:t>情况</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cs="宋体"/>
                <w:b/>
                <w:sz w:val="21"/>
                <w:szCs w:val="21"/>
                <w:highlight w:val="none"/>
                <w:lang w:val="en-US" w:eastAsia="zh-CN"/>
              </w:rPr>
              <w:t>5</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autoSpaceDE w:val="0"/>
              <w:autoSpaceDN w:val="0"/>
              <w:adjustRightInd w:val="0"/>
              <w:spacing w:line="30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sz w:val="21"/>
                <w:szCs w:val="21"/>
                <w:highlight w:val="none"/>
                <w:lang w:val="en-US" w:eastAsia="zh-CN"/>
              </w:rPr>
              <w:t>招标文件</w:t>
            </w:r>
            <w:r>
              <w:rPr>
                <w:rFonts w:hint="eastAsia" w:ascii="宋体" w:hAnsi="宋体" w:eastAsia="宋体" w:cs="宋体"/>
                <w:sz w:val="21"/>
                <w:szCs w:val="21"/>
                <w:highlight w:val="none"/>
              </w:rPr>
              <w:t>第三章 用户需求书 二、货物需求明细中“货物名称”为准）被列入节能产品政府采购品目清单（</w:t>
            </w:r>
            <w:r>
              <w:rPr>
                <w:rFonts w:hint="eastAsia" w:ascii="宋体" w:hAnsi="宋体" w:eastAsia="宋体" w:cs="宋体"/>
                <w:color w:val="FF0000"/>
                <w:sz w:val="21"/>
                <w:szCs w:val="21"/>
                <w:highlight w:val="none"/>
              </w:rPr>
              <w:t>已标注</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rPr>
              <w:t>★</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lang w:val="en-US" w:eastAsia="zh-CN"/>
              </w:rPr>
              <w:t>号属</w:t>
            </w:r>
            <w:r>
              <w:rPr>
                <w:rFonts w:hint="eastAsia" w:ascii="宋体" w:hAnsi="宋体" w:eastAsia="宋体" w:cs="宋体"/>
                <w:color w:val="FF0000"/>
                <w:sz w:val="21"/>
                <w:szCs w:val="21"/>
                <w:highlight w:val="none"/>
              </w:rPr>
              <w:t>政府强制采购产品</w:t>
            </w:r>
            <w:r>
              <w:rPr>
                <w:rFonts w:hint="eastAsia" w:ascii="宋体" w:hAnsi="宋体" w:eastAsia="宋体" w:cs="宋体"/>
                <w:color w:val="FF0000"/>
                <w:sz w:val="21"/>
                <w:szCs w:val="21"/>
                <w:highlight w:val="none"/>
                <w:lang w:val="en-US" w:eastAsia="zh-CN"/>
              </w:rPr>
              <w:t>需具有</w:t>
            </w:r>
            <w:r>
              <w:rPr>
                <w:rFonts w:hint="eastAsia" w:ascii="宋体" w:hAnsi="宋体" w:eastAsia="宋体" w:cs="宋体"/>
                <w:color w:val="FF0000"/>
                <w:sz w:val="21"/>
                <w:szCs w:val="21"/>
                <w:highlight w:val="none"/>
              </w:rPr>
              <w:t>节能产品认证证书的除外</w:t>
            </w:r>
            <w:r>
              <w:rPr>
                <w:rFonts w:hint="eastAsia" w:ascii="宋体" w:hAnsi="宋体" w:eastAsia="宋体" w:cs="宋体"/>
                <w:sz w:val="21"/>
                <w:szCs w:val="21"/>
                <w:highlight w:val="none"/>
              </w:rPr>
              <w:t>）或环境标志产品政府采购品目清单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且具有有效期内的</w:t>
            </w:r>
            <w:r>
              <w:rPr>
                <w:rFonts w:hint="eastAsia" w:ascii="宋体" w:hAnsi="宋体" w:eastAsia="宋体" w:cs="宋体"/>
                <w:sz w:val="21"/>
                <w:szCs w:val="21"/>
                <w:highlight w:val="none"/>
              </w:rPr>
              <w:t>节能产品</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环境标志产品认证证书的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每提供1项得100分，最高</w:t>
            </w:r>
            <w:r>
              <w:rPr>
                <w:rFonts w:hint="eastAsia" w:ascii="宋体" w:hAnsi="宋体" w:eastAsia="宋体" w:cs="宋体"/>
                <w:sz w:val="21"/>
                <w:szCs w:val="21"/>
                <w:highlight w:val="none"/>
              </w:rPr>
              <w:t>得100分。</w:t>
            </w:r>
          </w:p>
          <w:p>
            <w:pPr>
              <w:snapToGrid w:val="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snapToGrid w:val="0"/>
              <w:jc w:val="both"/>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提供《市场监管总局关于发布参与实施政府采购节能产品、环境标志产品认证机构名录的公告》（2019年第16号）确定的认证机构出具的</w:t>
            </w:r>
            <w:r>
              <w:rPr>
                <w:rFonts w:hint="eastAsia" w:ascii="宋体" w:hAnsi="宋体" w:eastAsia="宋体" w:cs="宋体"/>
                <w:color w:val="0000FF"/>
                <w:sz w:val="21"/>
                <w:szCs w:val="21"/>
                <w:highlight w:val="none"/>
                <w:lang w:val="en-US" w:eastAsia="zh-CN"/>
              </w:rPr>
              <w:t>且</w:t>
            </w:r>
            <w:r>
              <w:rPr>
                <w:rFonts w:hint="eastAsia" w:ascii="宋体" w:hAnsi="宋体" w:eastAsia="宋体" w:cs="宋体"/>
                <w:color w:val="0000FF"/>
                <w:sz w:val="21"/>
                <w:szCs w:val="21"/>
                <w:highlight w:val="none"/>
              </w:rPr>
              <w:t>处于有效期内的节能产品</w:t>
            </w:r>
            <w:r>
              <w:rPr>
                <w:rFonts w:hint="eastAsia" w:ascii="宋体" w:hAnsi="宋体" w:eastAsia="宋体" w:cs="宋体"/>
                <w:color w:val="0000FF"/>
                <w:sz w:val="21"/>
                <w:szCs w:val="21"/>
                <w:highlight w:val="none"/>
                <w:lang w:val="en-US" w:eastAsia="zh-CN"/>
              </w:rPr>
              <w:t>或</w:t>
            </w:r>
            <w:r>
              <w:rPr>
                <w:rFonts w:hint="eastAsia" w:ascii="宋体" w:hAnsi="宋体" w:eastAsia="宋体" w:cs="宋体"/>
                <w:color w:val="0000FF"/>
                <w:sz w:val="21"/>
                <w:szCs w:val="21"/>
                <w:highlight w:val="none"/>
              </w:rPr>
              <w:t>环境标志产品认证证书扫描件</w:t>
            </w:r>
            <w:r>
              <w:rPr>
                <w:rFonts w:hint="eastAsia" w:ascii="宋体" w:hAnsi="宋体" w:eastAsia="宋体" w:cs="宋体"/>
                <w:color w:val="0000FF"/>
                <w:sz w:val="21"/>
                <w:szCs w:val="21"/>
                <w:highlight w:val="none"/>
                <w:lang w:eastAsia="zh-CN"/>
              </w:rPr>
              <w:t>；</w:t>
            </w:r>
          </w:p>
          <w:p>
            <w:pPr>
              <w:snapToGrid w:val="0"/>
              <w:jc w:val="both"/>
              <w:rPr>
                <w:rFonts w:hint="eastAsia" w:ascii="宋体" w:hAnsi="宋体" w:eastAsia="宋体" w:cs="宋体"/>
                <w:sz w:val="21"/>
                <w:szCs w:val="21"/>
                <w:highlight w:val="none"/>
              </w:rPr>
            </w:pPr>
            <w:r>
              <w:rPr>
                <w:rFonts w:hint="eastAsia" w:ascii="宋体" w:hAnsi="宋体" w:eastAsia="宋体" w:cs="宋体"/>
                <w:color w:val="0000FF"/>
                <w:sz w:val="21"/>
                <w:szCs w:val="21"/>
                <w:highlight w:val="none"/>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trHeight w:val="2459" w:hRule="atLeast"/>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绿色采购</w:t>
            </w:r>
            <w:r>
              <w:rPr>
                <w:rFonts w:hint="eastAsia" w:ascii="宋体" w:hAnsi="宋体" w:eastAsia="宋体" w:cs="宋体"/>
                <w:sz w:val="21"/>
                <w:szCs w:val="21"/>
                <w:highlight w:val="none"/>
                <w:lang w:val="en-US" w:eastAsia="zh-CN"/>
              </w:rPr>
              <w:t>情况</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2</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autoSpaceDE w:val="0"/>
              <w:autoSpaceDN w:val="0"/>
              <w:adjustRightInd w:val="0"/>
              <w:spacing w:line="300" w:lineRule="exact"/>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autoSpaceDE w:val="0"/>
              <w:autoSpaceDN w:val="0"/>
              <w:adjustRightInd w:val="0"/>
              <w:spacing w:line="300" w:lineRule="exact"/>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w:t>
            </w:r>
            <w:r>
              <w:rPr>
                <w:rFonts w:hint="eastAsia" w:ascii="宋体" w:hAnsi="宋体" w:eastAsia="宋体" w:cs="宋体"/>
                <w:sz w:val="21"/>
                <w:szCs w:val="21"/>
                <w:highlight w:val="none"/>
              </w:rPr>
              <w:t>项目采购内容中需要对相关产品进行商品包装和快递包装，投标人承诺</w:t>
            </w:r>
            <w:r>
              <w:rPr>
                <w:rFonts w:hint="eastAsia" w:ascii="宋体" w:hAnsi="宋体" w:eastAsia="宋体" w:cs="宋体"/>
                <w:sz w:val="21"/>
                <w:szCs w:val="21"/>
                <w:highlight w:val="none"/>
                <w:lang w:val="en-US" w:eastAsia="zh-CN"/>
              </w:rPr>
              <w:t>以下内容的得100分：</w:t>
            </w:r>
          </w:p>
          <w:p>
            <w:pPr>
              <w:autoSpaceDE w:val="0"/>
              <w:autoSpaceDN w:val="0"/>
              <w:adjustRightInd w:val="0"/>
              <w:spacing w:line="30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所进行的商品包装和快递包装满足财政部《商品包装政府采购需求标准（试行）》《快递包装政府采购需求标准（试行）》（财办库〔2020〕123号）的要求，采用环保材料进行包装。</w:t>
            </w:r>
          </w:p>
          <w:p>
            <w:pPr>
              <w:snapToGrid w:val="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snapToGrid w:val="0"/>
              <w:jc w:val="both"/>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ind w:firstLine="210" w:firstLineChars="10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产品质量</w:t>
            </w:r>
            <w:r>
              <w:rPr>
                <w:rFonts w:hint="eastAsia" w:ascii="宋体" w:hAnsi="宋体" w:eastAsia="宋体" w:cs="宋体"/>
                <w:sz w:val="21"/>
                <w:szCs w:val="21"/>
                <w:highlight w:val="none"/>
                <w:lang w:val="en-US" w:eastAsia="zh-CN"/>
              </w:rPr>
              <w:t>保障</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投标人</w:t>
            </w:r>
            <w:r>
              <w:rPr>
                <w:rFonts w:hint="eastAsia" w:ascii="宋体" w:hAnsi="宋体" w:cs="宋体"/>
                <w:sz w:val="21"/>
                <w:szCs w:val="21"/>
                <w:highlight w:val="none"/>
                <w:lang w:val="zh-CN" w:eastAsia="zh-CN"/>
              </w:rPr>
              <w:t>（</w:t>
            </w:r>
            <w:r>
              <w:rPr>
                <w:rFonts w:hint="eastAsia" w:ascii="宋体" w:hAnsi="宋体" w:cs="宋体"/>
                <w:sz w:val="21"/>
                <w:szCs w:val="21"/>
                <w:highlight w:val="none"/>
                <w:lang w:val="en-US" w:eastAsia="zh-CN"/>
              </w:rPr>
              <w:t>或所投产品制造商</w:t>
            </w:r>
            <w:r>
              <w:rPr>
                <w:rFonts w:hint="eastAsia" w:ascii="宋体" w:hAnsi="宋体" w:cs="宋体"/>
                <w:sz w:val="21"/>
                <w:szCs w:val="21"/>
                <w:highlight w:val="none"/>
                <w:lang w:val="zh-CN" w:eastAsia="zh-CN"/>
              </w:rPr>
              <w:t>）</w:t>
            </w:r>
            <w:r>
              <w:rPr>
                <w:rFonts w:hint="eastAsia" w:ascii="宋体" w:hAnsi="宋体" w:eastAsia="宋体" w:cs="宋体"/>
                <w:sz w:val="21"/>
                <w:szCs w:val="21"/>
                <w:highlight w:val="none"/>
                <w:lang w:val="en-US" w:eastAsia="zh-CN"/>
              </w:rPr>
              <w:t>具有以下</w:t>
            </w:r>
            <w:r>
              <w:rPr>
                <w:rFonts w:hint="eastAsia" w:ascii="宋体" w:hAnsi="宋体" w:cs="宋体"/>
                <w:sz w:val="21"/>
                <w:szCs w:val="21"/>
                <w:highlight w:val="none"/>
                <w:lang w:val="en-US" w:eastAsia="zh-CN"/>
              </w:rPr>
              <w:t>类别</w:t>
            </w:r>
            <w:r>
              <w:rPr>
                <w:rFonts w:hint="eastAsia" w:ascii="宋体" w:hAnsi="宋体" w:eastAsia="宋体" w:cs="宋体"/>
                <w:sz w:val="21"/>
                <w:szCs w:val="21"/>
                <w:highlight w:val="none"/>
                <w:lang w:val="en-US" w:eastAsia="zh-CN"/>
              </w:rPr>
              <w:t>设备，</w:t>
            </w:r>
            <w:r>
              <w:rPr>
                <w:rFonts w:hint="eastAsia" w:ascii="宋体" w:hAnsi="宋体" w:eastAsia="宋体" w:cs="宋体"/>
                <w:sz w:val="21"/>
                <w:szCs w:val="21"/>
                <w:highlight w:val="none"/>
                <w:lang w:val="zh-CN" w:eastAsia="zh-CN"/>
              </w:rPr>
              <w:t>每</w:t>
            </w:r>
            <w:r>
              <w:rPr>
                <w:rFonts w:hint="eastAsia" w:ascii="宋体" w:hAnsi="宋体" w:cs="宋体"/>
                <w:sz w:val="21"/>
                <w:szCs w:val="21"/>
                <w:highlight w:val="none"/>
                <w:lang w:val="en-US" w:eastAsia="zh-CN"/>
              </w:rPr>
              <w:t>提供</w:t>
            </w:r>
            <w:r>
              <w:rPr>
                <w:rFonts w:hint="eastAsia" w:ascii="宋体" w:hAnsi="宋体" w:eastAsia="宋体" w:cs="宋体"/>
                <w:sz w:val="21"/>
                <w:szCs w:val="21"/>
                <w:highlight w:val="none"/>
                <w:lang w:val="zh-CN" w:eastAsia="zh-CN"/>
              </w:rPr>
              <w:t>一</w:t>
            </w:r>
            <w:r>
              <w:rPr>
                <w:rFonts w:hint="eastAsia" w:ascii="宋体" w:hAnsi="宋体" w:cs="宋体"/>
                <w:sz w:val="21"/>
                <w:szCs w:val="21"/>
                <w:highlight w:val="none"/>
                <w:lang w:val="en-US" w:eastAsia="zh-CN"/>
              </w:rPr>
              <w:t>个</w:t>
            </w:r>
            <w:r>
              <w:rPr>
                <w:rFonts w:hint="eastAsia" w:ascii="宋体" w:hAnsi="宋体" w:eastAsia="宋体" w:cs="宋体"/>
                <w:sz w:val="21"/>
                <w:szCs w:val="21"/>
                <w:highlight w:val="none"/>
                <w:lang w:val="zh-CN" w:eastAsia="zh-CN"/>
              </w:rPr>
              <w:t>得</w:t>
            </w: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lang w:val="zh-CN" w:eastAsia="zh-CN"/>
              </w:rPr>
              <w:t>分，本项最高得1</w:t>
            </w:r>
            <w:r>
              <w:rPr>
                <w:rFonts w:hint="eastAsia" w:ascii="宋体" w:hAnsi="宋体" w:eastAsia="宋体" w:cs="宋体"/>
                <w:sz w:val="21"/>
                <w:szCs w:val="21"/>
                <w:highlight w:val="none"/>
                <w:lang w:val="en-US" w:eastAsia="zh-CN"/>
              </w:rPr>
              <w:t>00</w:t>
            </w:r>
            <w:r>
              <w:rPr>
                <w:rFonts w:hint="eastAsia" w:ascii="宋体" w:hAnsi="宋体" w:eastAsia="宋体" w:cs="宋体"/>
                <w:sz w:val="21"/>
                <w:szCs w:val="21"/>
                <w:highlight w:val="none"/>
                <w:lang w:val="zh-CN" w:eastAsia="zh-CN"/>
              </w:rPr>
              <w:t>分：</w:t>
            </w:r>
          </w:p>
          <w:p>
            <w:pPr>
              <w:autoSpaceDE w:val="0"/>
              <w:autoSpaceDN w:val="0"/>
              <w:adjustRightInd w:val="0"/>
              <w:spacing w:line="300" w:lineRule="exact"/>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1.烟密度试验机</w:t>
            </w:r>
            <w:r>
              <w:rPr>
                <w:rFonts w:hint="eastAsia" w:ascii="宋体" w:hAnsi="宋体" w:cs="宋体"/>
                <w:sz w:val="21"/>
                <w:szCs w:val="21"/>
                <w:highlight w:val="none"/>
                <w:lang w:val="en-US" w:eastAsia="zh-CN"/>
              </w:rPr>
              <w:t>类</w:t>
            </w:r>
            <w:r>
              <w:rPr>
                <w:rFonts w:hint="eastAsia" w:ascii="宋体" w:hAnsi="宋体" w:eastAsia="宋体" w:cs="宋体"/>
                <w:sz w:val="21"/>
                <w:szCs w:val="21"/>
                <w:highlight w:val="none"/>
                <w:lang w:val="zh-CN" w:eastAsia="zh-CN"/>
              </w:rPr>
              <w:t>；</w:t>
            </w:r>
          </w:p>
          <w:p>
            <w:pPr>
              <w:autoSpaceDE w:val="0"/>
              <w:autoSpaceDN w:val="0"/>
              <w:adjustRightInd w:val="0"/>
              <w:spacing w:line="300" w:lineRule="exact"/>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2.纺织品垂直燃烧试验</w:t>
            </w:r>
            <w:r>
              <w:rPr>
                <w:rFonts w:hint="eastAsia" w:ascii="宋体" w:hAnsi="宋体" w:cs="宋体"/>
                <w:sz w:val="21"/>
                <w:szCs w:val="21"/>
                <w:highlight w:val="none"/>
                <w:lang w:val="en-US" w:eastAsia="zh-CN"/>
              </w:rPr>
              <w:t>类</w:t>
            </w:r>
            <w:r>
              <w:rPr>
                <w:rFonts w:hint="eastAsia" w:ascii="宋体" w:hAnsi="宋体" w:cs="宋体"/>
                <w:sz w:val="21"/>
                <w:szCs w:val="21"/>
                <w:highlight w:val="none"/>
                <w:lang w:val="zh-CN" w:eastAsia="zh-CN"/>
              </w:rPr>
              <w:t>；</w:t>
            </w:r>
          </w:p>
          <w:p>
            <w:pPr>
              <w:autoSpaceDE w:val="0"/>
              <w:autoSpaceDN w:val="0"/>
              <w:adjustRightInd w:val="0"/>
              <w:spacing w:line="300" w:lineRule="exact"/>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3.悬挂织物燃烧试验机</w:t>
            </w:r>
            <w:r>
              <w:rPr>
                <w:rFonts w:hint="eastAsia" w:ascii="宋体" w:hAnsi="宋体" w:cs="宋体"/>
                <w:sz w:val="21"/>
                <w:szCs w:val="21"/>
                <w:highlight w:val="none"/>
                <w:lang w:val="en-US" w:eastAsia="zh-CN"/>
              </w:rPr>
              <w:t>类</w:t>
            </w:r>
            <w:r>
              <w:rPr>
                <w:rFonts w:hint="eastAsia" w:ascii="宋体" w:hAnsi="宋体" w:cs="宋体"/>
                <w:sz w:val="21"/>
                <w:szCs w:val="21"/>
                <w:highlight w:val="none"/>
                <w:lang w:val="zh-CN" w:eastAsia="zh-CN"/>
              </w:rPr>
              <w:t>；</w:t>
            </w:r>
          </w:p>
          <w:p>
            <w:pPr>
              <w:autoSpaceDE w:val="0"/>
              <w:autoSpaceDN w:val="0"/>
              <w:adjustRightInd w:val="0"/>
              <w:spacing w:line="300" w:lineRule="exact"/>
              <w:jc w:val="both"/>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4.数显氧指数测定仪</w:t>
            </w:r>
            <w:r>
              <w:rPr>
                <w:rFonts w:hint="eastAsia" w:ascii="宋体" w:hAnsi="宋体" w:cs="宋体"/>
                <w:sz w:val="21"/>
                <w:szCs w:val="21"/>
                <w:highlight w:val="none"/>
                <w:lang w:val="en-US" w:eastAsia="zh-CN"/>
              </w:rPr>
              <w:t>类</w:t>
            </w:r>
            <w:r>
              <w:rPr>
                <w:rFonts w:hint="eastAsia" w:ascii="宋体" w:hAnsi="宋体" w:cs="宋体"/>
                <w:sz w:val="21"/>
                <w:szCs w:val="21"/>
                <w:highlight w:val="none"/>
                <w:lang w:val="zh-CN" w:eastAsia="zh-CN"/>
              </w:rPr>
              <w:t>；</w:t>
            </w:r>
          </w:p>
          <w:p>
            <w:pPr>
              <w:snapToGrid w:val="0"/>
              <w:jc w:val="both"/>
              <w:rPr>
                <w:rFonts w:hint="eastAsia" w:ascii="宋体" w:hAnsi="宋体" w:eastAsia="宋体" w:cs="宋体"/>
                <w:color w:val="0000FF"/>
                <w:sz w:val="21"/>
                <w:szCs w:val="21"/>
                <w:highlight w:val="none"/>
                <w:lang w:val="zh-CN" w:eastAsia="zh-CN"/>
              </w:rPr>
            </w:pPr>
            <w:r>
              <w:rPr>
                <w:rFonts w:hint="eastAsia" w:ascii="宋体" w:hAnsi="宋体" w:eastAsia="宋体" w:cs="宋体"/>
                <w:color w:val="0000FF"/>
                <w:sz w:val="21"/>
                <w:szCs w:val="21"/>
                <w:highlight w:val="none"/>
                <w:lang w:val="zh-CN" w:eastAsia="zh-CN"/>
              </w:rPr>
              <w:t>证明材料：</w:t>
            </w:r>
          </w:p>
          <w:p>
            <w:pPr>
              <w:snapToGrid w:val="0"/>
              <w:jc w:val="both"/>
              <w:rPr>
                <w:rFonts w:hint="default" w:ascii="宋体" w:hAnsi="宋体" w:eastAsia="宋体" w:cs="宋体"/>
                <w:color w:val="0000FF"/>
                <w:sz w:val="21"/>
                <w:szCs w:val="21"/>
                <w:highlight w:val="none"/>
                <w:lang w:val="en-US" w:eastAsia="zh-CN"/>
              </w:rPr>
            </w:pPr>
            <w:r>
              <w:rPr>
                <w:rFonts w:hint="default" w:ascii="宋体" w:hAnsi="宋体" w:eastAsia="宋体" w:cs="宋体"/>
                <w:color w:val="0000FF"/>
                <w:sz w:val="21"/>
                <w:szCs w:val="21"/>
                <w:highlight w:val="none"/>
                <w:lang w:val="en-US" w:eastAsia="zh-CN"/>
              </w:rPr>
              <w:t>1、如设备为自有设备，投标需同时提供：①购买发票（发票需能体现投标人或所投产品制造商信息）；</w:t>
            </w:r>
            <w:r>
              <w:rPr>
                <w:rFonts w:hint="eastAsia" w:ascii="宋体" w:hAnsi="宋体" w:cs="宋体"/>
                <w:color w:val="0000FF"/>
                <w:sz w:val="21"/>
                <w:szCs w:val="21"/>
                <w:highlight w:val="none"/>
                <w:lang w:val="en-US" w:eastAsia="zh-CN"/>
              </w:rPr>
              <w:t>②</w:t>
            </w:r>
            <w:r>
              <w:rPr>
                <w:rFonts w:hint="default" w:ascii="宋体" w:hAnsi="宋体" w:eastAsia="宋体" w:cs="宋体"/>
                <w:color w:val="0000FF"/>
                <w:sz w:val="21"/>
                <w:szCs w:val="21"/>
                <w:highlight w:val="none"/>
                <w:lang w:val="en-US" w:eastAsia="zh-CN"/>
              </w:rPr>
              <w:t>设备实物照片。</w:t>
            </w:r>
          </w:p>
          <w:p>
            <w:pPr>
              <w:snapToGrid w:val="0"/>
              <w:jc w:val="both"/>
              <w:rPr>
                <w:rFonts w:hint="default" w:ascii="宋体" w:hAnsi="宋体" w:eastAsia="宋体" w:cs="宋体"/>
                <w:color w:val="0000FF"/>
                <w:sz w:val="21"/>
                <w:szCs w:val="21"/>
                <w:highlight w:val="none"/>
                <w:lang w:val="en-US" w:eastAsia="zh-CN"/>
              </w:rPr>
            </w:pPr>
            <w:r>
              <w:rPr>
                <w:rFonts w:hint="default" w:ascii="宋体" w:hAnsi="宋体" w:eastAsia="宋体" w:cs="宋体"/>
                <w:color w:val="0000FF"/>
                <w:sz w:val="21"/>
                <w:szCs w:val="21"/>
                <w:highlight w:val="none"/>
                <w:lang w:val="en-US" w:eastAsia="zh-CN"/>
              </w:rPr>
              <w:t>2、如设备为租赁设备，投标需同时提供：①设备租赁合同关键页；②租金支付发票（发票需能体现投标人或所投产品制造商信息）；③出租方的购买设备发票；④设备实物照片。</w:t>
            </w:r>
          </w:p>
          <w:p>
            <w:pPr>
              <w:snapToGrid w:val="0"/>
              <w:jc w:val="both"/>
              <w:rPr>
                <w:rFonts w:hint="default" w:ascii="宋体" w:hAnsi="宋体" w:eastAsia="宋体" w:cs="宋体"/>
                <w:color w:val="0000FF"/>
                <w:sz w:val="21"/>
                <w:szCs w:val="21"/>
                <w:highlight w:val="none"/>
                <w:lang w:val="en-US" w:eastAsia="zh-CN"/>
              </w:rPr>
            </w:pPr>
            <w:r>
              <w:rPr>
                <w:rFonts w:hint="default" w:ascii="宋体" w:hAnsi="宋体" w:eastAsia="宋体" w:cs="宋体"/>
                <w:color w:val="0000FF"/>
                <w:sz w:val="21"/>
                <w:szCs w:val="21"/>
                <w:highlight w:val="none"/>
                <w:lang w:val="en-US" w:eastAsia="zh-CN"/>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企业的综合实力评价</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autoSpaceDE w:val="0"/>
              <w:autoSpaceDN w:val="0"/>
              <w:adjustRightInd w:val="0"/>
              <w:spacing w:line="300" w:lineRule="exact"/>
              <w:jc w:val="both"/>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投标人所投产品具有</w:t>
            </w:r>
            <w:r>
              <w:rPr>
                <w:rFonts w:hint="eastAsia" w:ascii="宋体" w:hAnsi="宋体" w:cs="宋体"/>
                <w:sz w:val="21"/>
                <w:szCs w:val="21"/>
                <w:highlight w:val="none"/>
                <w:lang w:val="en-US" w:eastAsia="zh-CN"/>
              </w:rPr>
              <w:t>相关机构颁发的公共场所阻燃制品及组件标识使用证书或燃烧性能标识授权书的</w:t>
            </w:r>
            <w:r>
              <w:rPr>
                <w:rFonts w:hint="eastAsia" w:ascii="宋体" w:hAnsi="宋体" w:eastAsia="宋体" w:cs="宋体"/>
                <w:sz w:val="21"/>
                <w:szCs w:val="21"/>
                <w:highlight w:val="none"/>
                <w:lang w:val="en-US" w:eastAsia="zh-CN"/>
              </w:rPr>
              <w:t>，得</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0分</w:t>
            </w:r>
            <w:r>
              <w:rPr>
                <w:rFonts w:hint="eastAsia" w:ascii="宋体" w:hAnsi="宋体" w:cs="宋体"/>
                <w:sz w:val="21"/>
                <w:szCs w:val="21"/>
                <w:highlight w:val="none"/>
                <w:lang w:val="en-US" w:eastAsia="zh-CN"/>
              </w:rPr>
              <w:t>。</w:t>
            </w:r>
          </w:p>
          <w:p>
            <w:pPr>
              <w:autoSpaceDE w:val="0"/>
              <w:autoSpaceDN w:val="0"/>
              <w:adjustRightInd w:val="0"/>
              <w:spacing w:line="300" w:lineRule="exact"/>
              <w:jc w:val="both"/>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证明材料：</w:t>
            </w:r>
          </w:p>
          <w:p>
            <w:pPr>
              <w:numPr>
                <w:ilvl w:val="0"/>
                <w:numId w:val="3"/>
              </w:numPr>
              <w:autoSpaceDE w:val="0"/>
              <w:autoSpaceDN w:val="0"/>
              <w:adjustRightInd w:val="0"/>
              <w:spacing w:line="300" w:lineRule="exact"/>
              <w:jc w:val="both"/>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同时提供相关证书扫描件与官方网站查询截图（如：中国防火建材网（国家防火建筑材料质量监督检验中心网站）（http://www.fire-testing.net/）查询截图或全国认证认可信息公共服务平台（全国认证认可信息公共服务平台网站cx.cnca.cn)的查询截图或其他国家机关或事业单位官网查询截图；</w:t>
            </w:r>
          </w:p>
          <w:p>
            <w:pPr>
              <w:numPr>
                <w:ilvl w:val="0"/>
                <w:numId w:val="3"/>
              </w:numPr>
              <w:autoSpaceDE w:val="0"/>
              <w:autoSpaceDN w:val="0"/>
              <w:adjustRightInd w:val="0"/>
              <w:spacing w:line="300" w:lineRule="exact"/>
              <w:jc w:val="both"/>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如证书由行业协会（或学会）颁发的，还需同时提供证书颁发单位在全国社会组织信用信息公示平台（https://xxgs.chinanpo.mca.gov.cn/gsxt/newList）的信息查询截图（截图需显示发证单位状态为“正常”且登记证书信息需在有效期内）。</w:t>
            </w:r>
          </w:p>
          <w:p>
            <w:pPr>
              <w:numPr>
                <w:ilvl w:val="0"/>
                <w:numId w:val="3"/>
              </w:numPr>
              <w:autoSpaceDE w:val="0"/>
              <w:autoSpaceDN w:val="0"/>
              <w:adjustRightInd w:val="0"/>
              <w:spacing w:line="300" w:lineRule="exact"/>
              <w:jc w:val="both"/>
              <w:rPr>
                <w:rFonts w:hint="eastAsia" w:ascii="宋体" w:hAnsi="宋体" w:cs="宋体"/>
                <w:color w:val="0000FF"/>
                <w:sz w:val="21"/>
                <w:szCs w:val="21"/>
                <w:highlight w:val="none"/>
                <w:lang w:val="zh-CN" w:eastAsia="zh-CN"/>
              </w:rPr>
            </w:pPr>
            <w:r>
              <w:rPr>
                <w:rFonts w:hint="default" w:ascii="宋体" w:hAnsi="宋体" w:eastAsia="宋体" w:cs="宋体"/>
                <w:color w:val="0000FF"/>
                <w:sz w:val="21"/>
                <w:szCs w:val="21"/>
                <w:highlight w:val="none"/>
                <w:lang w:val="en-US" w:eastAsia="zh-CN"/>
              </w:rPr>
              <w:t>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w:t>
            </w:r>
          </w:p>
        </w:tc>
        <w:tc>
          <w:tcPr>
            <w:tcW w:w="2860"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其他部分</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69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70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5677"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454"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9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诚信情况</w:t>
            </w:r>
          </w:p>
        </w:tc>
        <w:tc>
          <w:tcPr>
            <w:tcW w:w="70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5677"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rPr>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rPr>
          <w:rFonts w:hint="eastAsia"/>
          <w:b/>
          <w:sz w:val="120"/>
          <w:szCs w:val="120"/>
          <w:highlight w:val="none"/>
        </w:rPr>
      </w:pPr>
      <w:r>
        <w:rPr>
          <w:rFonts w:hint="eastAsia"/>
          <w:b/>
          <w:sz w:val="120"/>
          <w:szCs w:val="120"/>
          <w:highlight w:val="none"/>
        </w:rPr>
        <w:br w:type="page"/>
      </w:r>
    </w:p>
    <w:p>
      <w:pPr>
        <w:jc w:val="center"/>
        <w:rPr>
          <w:rFonts w:hint="eastAsia"/>
          <w:b/>
          <w:sz w:val="120"/>
          <w:szCs w:val="120"/>
          <w:highlight w:val="none"/>
        </w:rPr>
      </w:pPr>
    </w:p>
    <w:p>
      <w:pPr>
        <w:jc w:val="center"/>
        <w:rPr>
          <w:rFonts w:hint="eastAsia"/>
          <w:b/>
          <w:sz w:val="120"/>
          <w:szCs w:val="120"/>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（货物类）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ascii="宋体" w:hAnsi="宋体"/>
          <w:b/>
          <w:sz w:val="44"/>
          <w:szCs w:val="44"/>
          <w:highlight w:val="none"/>
        </w:rPr>
        <w:t>深圳公共资源交易中心</w:t>
      </w:r>
    </w:p>
    <w:p>
      <w:pPr>
        <w:jc w:val="center"/>
        <w:rPr>
          <w:b/>
          <w:sz w:val="44"/>
          <w:szCs w:val="44"/>
          <w:highlight w:val="none"/>
        </w:rPr>
      </w:pPr>
      <w:r>
        <w:rPr>
          <w:rFonts w:hint="eastAsia" w:ascii="宋体" w:hAnsi="宋体"/>
          <w:b/>
          <w:sz w:val="44"/>
          <w:szCs w:val="44"/>
          <w:highlight w:val="none"/>
        </w:rPr>
        <w:t>（</w:t>
      </w:r>
      <w:r>
        <w:rPr>
          <w:b/>
          <w:sz w:val="44"/>
          <w:szCs w:val="44"/>
          <w:highlight w:val="none"/>
        </w:rPr>
        <w:t>20</w:t>
      </w:r>
      <w:r>
        <w:rPr>
          <w:rFonts w:hint="eastAsia"/>
          <w:b/>
          <w:sz w:val="44"/>
          <w:szCs w:val="44"/>
          <w:highlight w:val="none"/>
        </w:rPr>
        <w:t>2</w:t>
      </w:r>
      <w:r>
        <w:rPr>
          <w:rFonts w:hint="eastAsia"/>
          <w:b/>
          <w:sz w:val="44"/>
          <w:szCs w:val="44"/>
          <w:highlight w:val="none"/>
          <w:lang w:val="en-US" w:eastAsia="zh-CN"/>
        </w:rPr>
        <w:t>4</w:t>
      </w:r>
      <w:r>
        <w:rPr>
          <w:rFonts w:hint="eastAsia" w:ascii="宋体" w:hAnsi="宋体"/>
          <w:b/>
          <w:sz w:val="44"/>
          <w:szCs w:val="44"/>
          <w:highlight w:val="none"/>
        </w:rPr>
        <w:t>）</w:t>
      </w:r>
    </w:p>
    <w:p>
      <w:pPr>
        <w:ind w:firstLine="6786" w:firstLineChars="1300"/>
        <w:jc w:val="center"/>
        <w:rPr>
          <w:bCs/>
          <w:color w:val="FF0000"/>
          <w:highlight w:val="none"/>
        </w:rPr>
      </w:pPr>
      <w:r>
        <w:rPr>
          <w:rFonts w:hint="eastAsia"/>
          <w:b/>
          <w:color w:val="FF0000"/>
          <w:sz w:val="52"/>
          <w:szCs w:val="52"/>
          <w:highlight w:val="none"/>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highlight w:val="none"/>
        </w:rPr>
      </w:pPr>
      <w:bookmarkStart w:id="1" w:name="_Hlk73564573"/>
      <w:r>
        <w:rPr>
          <w:rFonts w:hint="eastAsia" w:ascii="宋体" w:hAnsi="宋体" w:eastAsia="黑体"/>
          <w:b/>
          <w:bCs/>
          <w:color w:val="FF0000"/>
          <w:kern w:val="44"/>
          <w:sz w:val="28"/>
          <w:szCs w:val="44"/>
          <w:highlight w:val="none"/>
        </w:rPr>
        <w:t>警示条款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一、</w:t>
      </w:r>
      <w:r>
        <w:rPr>
          <w:rFonts w:hint="eastAsia" w:asciiTheme="minorEastAsia" w:hAnsiTheme="minorEastAsia" w:eastAsiaTheme="minorEastAsia" w:cstheme="minorEastAsia"/>
          <w:b/>
          <w:bCs/>
          <w:color w:val="FF0000"/>
          <w:sz w:val="21"/>
          <w:szCs w:val="21"/>
          <w:highlight w:val="none"/>
        </w:rPr>
        <w:t>《深圳经济特区政府采购条例》第五十七条</w:t>
      </w:r>
      <w:r>
        <w:rPr>
          <w:rFonts w:hint="eastAsia" w:asciiTheme="minorEastAsia" w:hAnsiTheme="minorEastAsia" w:eastAsiaTheme="minorEastAsia" w:cstheme="minorEastAsia"/>
          <w:color w:val="FF0000"/>
          <w:sz w:val="21"/>
          <w:szCs w:val="21"/>
          <w:highlight w:val="none"/>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（三）隐瞒真实情况，提供虚假资料的；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（五）与其他采购参加人串通投标的；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（六）恶意投诉的；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（八）阻碍、抗拒主管部门监督检查的；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（九）其他违反本条例规定的行为。</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二、《深圳经济特区政府采购条例实施细则》第七十五条 </w:t>
      </w:r>
      <w:r>
        <w:rPr>
          <w:rFonts w:hint="eastAsia" w:asciiTheme="minorEastAsia" w:hAnsiTheme="minorEastAsia" w:eastAsiaTheme="minorEastAsia" w:cstheme="minorEastAsia"/>
          <w:color w:val="FF0000"/>
          <w:sz w:val="21"/>
          <w:szCs w:val="21"/>
          <w:highlight w:val="none"/>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三、《深圳经济特区政府采购条例实施细则》第七十七条 </w:t>
      </w:r>
      <w:r>
        <w:rPr>
          <w:rFonts w:hint="eastAsia" w:asciiTheme="minorEastAsia" w:hAnsiTheme="minorEastAsia" w:eastAsiaTheme="minorEastAsia" w:cstheme="minorEastAsia"/>
          <w:color w:val="FF0000"/>
          <w:sz w:val="21"/>
          <w:szCs w:val="21"/>
          <w:highlight w:val="none"/>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Theme="minorEastAsia" w:hAnsiTheme="minorEastAsia" w:eastAsiaTheme="minorEastAsia" w:cstheme="minorEastAsia"/>
          <w:b/>
          <w:color w:val="FF0000"/>
          <w:sz w:val="21"/>
          <w:szCs w:val="21"/>
          <w:highlight w:val="none"/>
        </w:rPr>
      </w:pPr>
      <w:r>
        <w:rPr>
          <w:rFonts w:hint="eastAsia" w:asciiTheme="minorEastAsia" w:hAnsiTheme="minorEastAsia" w:eastAsiaTheme="minorEastAsia" w:cstheme="minorEastAsia"/>
          <w:b/>
          <w:color w:val="FF0000"/>
          <w:sz w:val="21"/>
          <w:szCs w:val="21"/>
          <w:highlight w:val="none"/>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highlight w:val="none"/>
          <w:lang w:val="en-US" w:eastAsia="zh-CN"/>
        </w:rPr>
      </w:pPr>
      <w:r>
        <w:rPr>
          <w:rFonts w:hint="eastAsia" w:asciiTheme="minorEastAsia" w:hAnsiTheme="minorEastAsia" w:eastAsiaTheme="minorEastAsia" w:cstheme="minorEastAsia"/>
          <w:b w:val="0"/>
          <w:bCs/>
          <w:color w:val="FF0000"/>
          <w:sz w:val="21"/>
          <w:szCs w:val="21"/>
          <w:highlight w:val="none"/>
          <w:lang w:val="en-US" w:eastAsia="zh-CN"/>
        </w:rPr>
        <w:t>五、供应商在使用深圳政府采购智慧平台的投标文件制作工具创建投标文件时，该工具将自动在投标文件中记录文件创建标识码，同时提取投标文件制作电脑的网卡MAC地址、硬盘序列号、CPU 序列号、主板序列号和工具标识号，经加密生成文件制作机器码并在投标文件中记录。文件制作机器码一致表明不同供应商使用了同一设备编制投标文件，文件创建标识码一致表明不同供应商的投标文件为同一份文件，IP 地址一致表明上传投标文件时使用了相同的网络。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highlight w:val="none"/>
          <w:lang w:val="en-US" w:eastAsia="zh-CN"/>
        </w:rPr>
      </w:pPr>
      <w:r>
        <w:rPr>
          <w:rFonts w:hint="eastAsia" w:asciiTheme="minorEastAsia" w:hAnsiTheme="minorEastAsia" w:eastAsiaTheme="minorEastAsia" w:cstheme="minorEastAsia"/>
          <w:b w:val="0"/>
          <w:bCs/>
          <w:color w:val="FF0000"/>
          <w:sz w:val="21"/>
          <w:szCs w:val="21"/>
          <w:highlight w:val="none"/>
          <w:lang w:val="en-US" w:eastAsia="zh-CN"/>
        </w:rPr>
        <w:t>为避免出现不同供应商投标文件的文件制作机器码、文件创建标识码、IP 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Theme="minorEastAsia" w:hAnsiTheme="minorEastAsia" w:eastAsiaTheme="minorEastAsia" w:cstheme="minorEastAsia"/>
          <w:b w:val="0"/>
          <w:bCs/>
          <w:color w:val="FF0000"/>
          <w:sz w:val="21"/>
          <w:szCs w:val="21"/>
          <w:highlight w:val="none"/>
          <w:lang w:val="en-US" w:eastAsia="zh-CN"/>
        </w:rPr>
      </w:pPr>
      <w:r>
        <w:rPr>
          <w:rFonts w:hint="eastAsia" w:asciiTheme="minorEastAsia" w:hAnsiTheme="minorEastAsia" w:eastAsiaTheme="minorEastAsia" w:cstheme="minorEastAsia"/>
          <w:b w:val="0"/>
          <w:bCs/>
          <w:color w:val="FF0000"/>
          <w:sz w:val="21"/>
          <w:szCs w:val="21"/>
          <w:highlight w:val="none"/>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的行政处罚，请各供应商独立编制、上传投标文件，妥善保管和使用电子秘钥。</w:t>
      </w:r>
    </w:p>
    <w:p>
      <w:pPr>
        <w:snapToGrid w:val="0"/>
        <w:spacing w:line="360" w:lineRule="exact"/>
        <w:jc w:val="left"/>
        <w:rPr>
          <w:rFonts w:ascii="宋体" w:hAnsi="宋体" w:eastAsia="宋体" w:cs="宋体"/>
          <w:color w:val="000000"/>
          <w:kern w:val="0"/>
          <w:sz w:val="24"/>
          <w:szCs w:val="24"/>
          <w:highlight w:val="none"/>
        </w:rPr>
      </w:pPr>
    </w:p>
    <w:p>
      <w:pPr>
        <w:snapToGrid w:val="0"/>
        <w:spacing w:line="360" w:lineRule="exact"/>
        <w:jc w:val="left"/>
        <w:rPr>
          <w:rFonts w:ascii="宋体" w:hAnsi="宋体" w:eastAsia="宋体" w:cs="宋体"/>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目   录</w:t>
      </w:r>
    </w:p>
    <w:p>
      <w:pPr>
        <w:rPr>
          <w:b/>
          <w:sz w:val="24"/>
          <w:szCs w:val="24"/>
          <w:highlight w:val="none"/>
        </w:rPr>
      </w:pPr>
      <w:r>
        <w:rPr>
          <w:rFonts w:hint="eastAsia"/>
          <w:b/>
          <w:sz w:val="24"/>
          <w:szCs w:val="24"/>
          <w:highlight w:val="none"/>
        </w:rPr>
        <w:t>第一册  专用条款</w:t>
      </w:r>
    </w:p>
    <w:p>
      <w:pPr>
        <w:ind w:left="630" w:leftChars="300" w:firstLine="411" w:firstLineChars="196"/>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 xml:space="preserve">第三章 </w:t>
      </w:r>
      <w:r>
        <w:rPr>
          <w:rFonts w:ascii="宋体" w:hAnsi="宋体"/>
          <w:szCs w:val="21"/>
          <w:highlight w:val="none"/>
        </w:rPr>
        <w:t xml:space="preserve"> </w:t>
      </w:r>
      <w:r>
        <w:rPr>
          <w:rFonts w:hint="eastAsia" w:ascii="宋体" w:hAnsi="宋体"/>
          <w:szCs w:val="21"/>
          <w:highlight w:val="none"/>
        </w:rPr>
        <w:t>用户需求书</w:t>
      </w:r>
    </w:p>
    <w:p>
      <w:pPr>
        <w:ind w:left="630" w:leftChars="300" w:firstLine="411" w:firstLineChars="196"/>
        <w:rPr>
          <w:rFonts w:ascii="宋体" w:hAnsi="宋体"/>
          <w:szCs w:val="21"/>
          <w:highlight w:val="none"/>
        </w:rPr>
      </w:pPr>
      <w:r>
        <w:rPr>
          <w:rFonts w:hint="eastAsia" w:ascii="宋体" w:hAnsi="宋体"/>
          <w:szCs w:val="21"/>
          <w:highlight w:val="none"/>
        </w:rPr>
        <w:t xml:space="preserve">第四章 </w:t>
      </w:r>
      <w:r>
        <w:rPr>
          <w:rFonts w:ascii="宋体" w:hAnsi="宋体"/>
          <w:szCs w:val="21"/>
          <w:highlight w:val="none"/>
        </w:rPr>
        <w:t xml:space="preserve"> </w:t>
      </w:r>
      <w:r>
        <w:rPr>
          <w:rFonts w:hint="eastAsia" w:ascii="宋体" w:hAnsi="宋体"/>
          <w:szCs w:val="21"/>
          <w:highlight w:val="none"/>
        </w:rPr>
        <w:t>投标文件组成要求及格式</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rPr>
          <w:b/>
          <w:sz w:val="24"/>
          <w:highlight w:val="none"/>
        </w:rPr>
      </w:pPr>
    </w:p>
    <w:p>
      <w:pPr>
        <w:rPr>
          <w:b/>
          <w:sz w:val="24"/>
          <w:szCs w:val="24"/>
          <w:highlight w:val="none"/>
        </w:rPr>
      </w:pPr>
      <w:r>
        <w:rPr>
          <w:rFonts w:hint="eastAsia"/>
          <w:b/>
          <w:sz w:val="24"/>
          <w:szCs w:val="24"/>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rPr>
          <w:highlight w:val="none"/>
        </w:rPr>
      </w:pPr>
      <w:r>
        <w:rPr>
          <w:rFonts w:hint="eastAsia"/>
          <w:highlight w:val="none"/>
        </w:rPr>
        <w:t xml:space="preserve">          第十一章  质疑处理</w:t>
      </w:r>
    </w:p>
    <w:p>
      <w:pPr>
        <w:rPr>
          <w:highlight w:val="none"/>
        </w:rPr>
      </w:pPr>
    </w:p>
    <w:p>
      <w:pPr>
        <w:rPr>
          <w:highlight w:val="none"/>
        </w:rPr>
      </w:pPr>
    </w:p>
    <w:p>
      <w:pPr>
        <w:widowControl/>
        <w:jc w:val="left"/>
        <w:rPr>
          <w:highlight w:val="none"/>
        </w:rPr>
      </w:pPr>
      <w:r>
        <w:rPr>
          <w:highlight w:val="none"/>
        </w:rPr>
        <w:br w:type="page"/>
      </w:r>
    </w:p>
    <w:p>
      <w:pPr>
        <w:pStyle w:val="2"/>
        <w:spacing w:after="78"/>
        <w:jc w:val="center"/>
        <w:rPr>
          <w:sz w:val="32"/>
          <w:szCs w:val="32"/>
          <w:highlight w:val="none"/>
        </w:rPr>
      </w:pPr>
      <w:r>
        <w:rPr>
          <w:rFonts w:hint="eastAsia"/>
          <w:sz w:val="32"/>
          <w:szCs w:val="32"/>
          <w:highlight w:val="none"/>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第一章  招标公告</w:t>
      </w:r>
    </w:p>
    <w:p>
      <w:pPr>
        <w:snapToGrid w:val="0"/>
        <w:spacing w:line="300" w:lineRule="exact"/>
        <w:rPr>
          <w:rFonts w:ascii="Arial" w:hAnsi="Arial" w:eastAsia="宋体" w:cs="Times New Roman"/>
          <w:szCs w:val="21"/>
          <w:highlight w:val="none"/>
        </w:rPr>
      </w:pPr>
      <w:r>
        <w:rPr>
          <w:rFonts w:hint="eastAsia" w:ascii="Arial" w:hAnsi="Arial" w:eastAsia="宋体" w:cs="Times New Roman"/>
          <w:b/>
          <w:bCs/>
          <w:szCs w:val="21"/>
          <w:highlight w:val="none"/>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2）本项目不接受联合体投标</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color w:val="0000FF"/>
          <w:sz w:val="24"/>
          <w:szCs w:val="24"/>
          <w:highlight w:val="none"/>
          <w:lang w:val="en-US" w:eastAsia="zh-CN"/>
        </w:rPr>
      </w:pPr>
      <w:r>
        <w:rPr>
          <w:rFonts w:hint="eastAsia" w:asciiTheme="minorEastAsia" w:hAnsiTheme="minorEastAsia" w:eastAsiaTheme="minorEastAsia" w:cstheme="minorEastAsia"/>
          <w:bCs/>
          <w:color w:val="0000FF"/>
          <w:sz w:val="24"/>
          <w:szCs w:val="24"/>
          <w:highlight w:val="none"/>
          <w:lang w:val="en-US" w:eastAsia="zh-CN"/>
        </w:rPr>
        <w:t>7</w:t>
      </w:r>
      <w:r>
        <w:rPr>
          <w:rFonts w:hint="eastAsia" w:asciiTheme="minorEastAsia" w:hAnsiTheme="minorEastAsia" w:eastAsiaTheme="minorEastAsia" w:cstheme="minorEastAsia"/>
          <w:bCs/>
          <w:color w:val="0000FF"/>
          <w:sz w:val="24"/>
          <w:szCs w:val="24"/>
          <w:highlight w:val="none"/>
        </w:rPr>
        <w:t>）本项目是（否）专门面向中小企业采购：</w:t>
      </w:r>
      <w:r>
        <w:rPr>
          <w:rFonts w:hint="eastAsia" w:asciiTheme="minorEastAsia" w:hAnsiTheme="minorEastAsia" w:cstheme="minorEastAsia"/>
          <w:bCs/>
          <w:color w:val="0000FF"/>
          <w:sz w:val="24"/>
          <w:szCs w:val="24"/>
          <w:highlight w:val="none"/>
          <w:lang w:val="en-US" w:eastAsia="zh-CN"/>
        </w:rPr>
        <w:t>是</w:t>
      </w:r>
      <w:r>
        <w:rPr>
          <w:rFonts w:hint="eastAsia" w:asciiTheme="minorEastAsia" w:hAnsiTheme="minorEastAsia" w:eastAsiaTheme="minorEastAsia" w:cstheme="minorEastAsia"/>
          <w:bCs/>
          <w:color w:val="0000FF"/>
          <w:sz w:val="24"/>
          <w:szCs w:val="24"/>
          <w:highlight w:val="none"/>
          <w:lang w:val="en-US" w:eastAsia="zh-CN"/>
        </w:rPr>
        <w:t>。</w:t>
      </w:r>
      <w:r>
        <w:rPr>
          <w:rFonts w:hint="eastAsia" w:asciiTheme="minorEastAsia" w:hAnsiTheme="minorEastAsia" w:eastAsiaTheme="minorEastAsia" w:cstheme="minorEastAsia"/>
          <w:color w:val="0000FF"/>
          <w:sz w:val="24"/>
          <w:szCs w:val="24"/>
          <w:highlight w:val="none"/>
        </w:rPr>
        <w:t>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（1）“信用中国”中“信用服务”栏的“重大税收违法失信主体”“失信被执行人”</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“中国政府采购网”中的“政府采购严重违法失信行为记录名单”</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（2）供应商投标（上传投标文件）必须先行办理注册手续，具体请按照本公告“六、其他补充事宜”相关内容指引办理。</w:t>
      </w:r>
    </w:p>
    <w:p>
      <w:pPr>
        <w:snapToGrid w:val="0"/>
        <w:spacing w:line="300" w:lineRule="auto"/>
        <w:ind w:firstLine="480" w:firstLineChars="200"/>
        <w:rPr>
          <w:rFonts w:ascii="Arial" w:hAnsi="Arial" w:eastAsia="宋体" w:cs="Times New Roman"/>
          <w:sz w:val="24"/>
          <w:szCs w:val="24"/>
          <w:highlight w:val="none"/>
        </w:rPr>
      </w:pPr>
    </w:p>
    <w:p>
      <w:pPr>
        <w:spacing w:afterLines="25"/>
        <w:jc w:val="center"/>
        <w:rPr>
          <w:b/>
          <w:color w:val="FF0000"/>
          <w:sz w:val="30"/>
          <w:szCs w:val="30"/>
          <w:highlight w:val="none"/>
        </w:rPr>
      </w:pPr>
      <w:r>
        <w:rPr>
          <w:rFonts w:hint="eastAsia" w:ascii="Arial" w:hAnsi="Arial" w:eastAsia="宋体" w:cs="Times New Roman"/>
          <w:b/>
          <w:color w:val="FF0000"/>
          <w:sz w:val="30"/>
          <w:szCs w:val="30"/>
          <w:highlight w:val="none"/>
        </w:rPr>
        <w:t>完整公告内容以网站公布信息为准，详见：</w:t>
      </w:r>
      <w:r>
        <w:rPr>
          <w:rFonts w:hint="eastAsia"/>
          <w:b/>
          <w:color w:val="FF0000"/>
          <w:sz w:val="30"/>
          <w:szCs w:val="30"/>
          <w:highlight w:val="none"/>
        </w:rPr>
        <w:t>深圳公共资源交易网（</w:t>
      </w:r>
      <w:r>
        <w:rPr>
          <w:highlight w:val="none"/>
        </w:rPr>
        <w:fldChar w:fldCharType="begin"/>
      </w:r>
      <w:r>
        <w:rPr>
          <w:highlight w:val="none"/>
        </w:rPr>
        <w:instrText xml:space="preserve"> HYPERLINK "https://www.szggzy.com" </w:instrText>
      </w:r>
      <w:r>
        <w:rPr>
          <w:highlight w:val="none"/>
        </w:rPr>
        <w:fldChar w:fldCharType="separate"/>
      </w:r>
      <w:r>
        <w:rPr>
          <w:rStyle w:val="21"/>
          <w:b/>
          <w:sz w:val="30"/>
          <w:szCs w:val="30"/>
          <w:highlight w:val="none"/>
        </w:rPr>
        <w:t>https://www.szggzy.com</w:t>
      </w:r>
      <w:r>
        <w:rPr>
          <w:rStyle w:val="21"/>
          <w:b/>
          <w:sz w:val="30"/>
          <w:szCs w:val="30"/>
          <w:highlight w:val="none"/>
        </w:rPr>
        <w:fldChar w:fldCharType="end"/>
      </w:r>
      <w:r>
        <w:rPr>
          <w:rFonts w:hint="eastAsia"/>
          <w:b/>
          <w:color w:val="FF0000"/>
          <w:sz w:val="30"/>
          <w:szCs w:val="30"/>
          <w:highlight w:val="none"/>
        </w:rPr>
        <w:t>）</w:t>
      </w:r>
    </w:p>
    <w:p>
      <w:pPr>
        <w:spacing w:afterLines="25"/>
        <w:rPr>
          <w:rFonts w:ascii="Arial" w:hAnsi="Arial" w:eastAsia="宋体" w:cs="Times New Roman"/>
          <w:b/>
          <w:color w:val="FF0000"/>
          <w:sz w:val="30"/>
          <w:szCs w:val="30"/>
          <w:highlight w:val="none"/>
        </w:rPr>
      </w:pPr>
    </w:p>
    <w:p>
      <w:pPr>
        <w:keepNext/>
        <w:keepLines/>
        <w:spacing w:before="260" w:after="260" w:line="416" w:lineRule="auto"/>
        <w:jc w:val="center"/>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 xml:space="preserve">第二章 </w:t>
      </w:r>
      <w:bookmarkStart w:id="2" w:name="_Hlk71926094"/>
      <w:r>
        <w:rPr>
          <w:rFonts w:hint="eastAsia" w:ascii="宋体" w:hAnsi="宋体" w:eastAsia="宋体" w:cs="Times New Roman"/>
          <w:b/>
          <w:bCs/>
          <w:kern w:val="0"/>
          <w:sz w:val="28"/>
          <w:szCs w:val="28"/>
          <w:highlight w:val="none"/>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highlight w:val="none"/>
        </w:rPr>
      </w:pPr>
      <w:bookmarkStart w:id="3" w:name="_Toc73521635"/>
      <w:bookmarkStart w:id="4" w:name="_Toc60560625"/>
      <w:bookmarkStart w:id="5" w:name="_Toc60631620"/>
      <w:bookmarkStart w:id="6" w:name="_Toc101074876"/>
      <w:bookmarkStart w:id="7" w:name="_Toc100052364"/>
      <w:bookmarkStart w:id="8" w:name="_Toc73521547"/>
      <w:bookmarkStart w:id="9" w:name="_Toc73517639"/>
      <w:bookmarkStart w:id="10" w:name="_Toc73518117"/>
      <w:r>
        <w:rPr>
          <w:rFonts w:hint="eastAsia" w:ascii="宋体" w:hAnsi="宋体" w:eastAsia="宋体" w:cs="Times New Roman"/>
          <w:b/>
          <w:bCs/>
          <w:kern w:val="0"/>
          <w:sz w:val="24"/>
          <w:szCs w:val="24"/>
          <w:highlight w:val="none"/>
        </w:rPr>
        <w:t>一、对通用条款的补充内容</w:t>
      </w:r>
    </w:p>
    <w:tbl>
      <w:tblPr>
        <w:tblStyle w:val="17"/>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highlight w:val="none"/>
              </w:rPr>
            </w:pPr>
            <w:r>
              <w:rPr>
                <w:rFonts w:hint="eastAsia" w:ascii="宋体" w:hAnsi="宋体"/>
                <w:b/>
                <w:bCs/>
                <w:highlight w:val="none"/>
              </w:rPr>
              <w:t>通用条款序号</w:t>
            </w:r>
          </w:p>
        </w:tc>
        <w:tc>
          <w:tcPr>
            <w:tcW w:w="1755" w:type="dxa"/>
            <w:vAlign w:val="center"/>
          </w:tcPr>
          <w:p>
            <w:pPr>
              <w:jc w:val="center"/>
              <w:rPr>
                <w:rFonts w:ascii="宋体" w:hAnsi="宋体"/>
                <w:b/>
                <w:bCs/>
                <w:highlight w:val="none"/>
              </w:rPr>
            </w:pPr>
            <w:r>
              <w:rPr>
                <w:rFonts w:hint="eastAsia" w:ascii="宋体" w:hAnsi="宋体"/>
                <w:b/>
                <w:bCs/>
                <w:highlight w:val="none"/>
              </w:rPr>
              <w:t>涉及事项</w:t>
            </w:r>
          </w:p>
        </w:tc>
        <w:tc>
          <w:tcPr>
            <w:tcW w:w="6795" w:type="dxa"/>
            <w:vAlign w:val="center"/>
          </w:tcPr>
          <w:p>
            <w:pPr>
              <w:jc w:val="center"/>
              <w:rPr>
                <w:rFonts w:ascii="宋体" w:hAnsi="宋体"/>
                <w:b/>
                <w:bCs/>
                <w:highlight w:val="none"/>
              </w:rPr>
            </w:pPr>
            <w:r>
              <w:rPr>
                <w:rFonts w:hint="eastAsia" w:ascii="宋体" w:hAnsi="宋体"/>
                <w:b/>
                <w:bCs/>
                <w:highlight w:val="none"/>
              </w:rPr>
              <w:t xml:space="preserve">具 </w:t>
            </w:r>
            <w:r>
              <w:rPr>
                <w:rFonts w:ascii="宋体" w:hAnsi="宋体"/>
                <w:b/>
                <w:bCs/>
                <w:highlight w:val="none"/>
              </w:rPr>
              <w:t xml:space="preserve"> </w:t>
            </w:r>
            <w:r>
              <w:rPr>
                <w:rFonts w:hint="eastAsia" w:ascii="宋体" w:hAnsi="宋体"/>
                <w:b/>
                <w:bCs/>
                <w:highlight w:val="none"/>
              </w:rPr>
              <w:t xml:space="preserve">体 </w:t>
            </w:r>
            <w:r>
              <w:rPr>
                <w:rFonts w:ascii="宋体" w:hAnsi="宋体"/>
                <w:b/>
                <w:bCs/>
                <w:highlight w:val="none"/>
              </w:rPr>
              <w:t xml:space="preserve"> </w:t>
            </w:r>
            <w:r>
              <w:rPr>
                <w:rFonts w:hint="eastAsia" w:ascii="宋体" w:hAnsi="宋体"/>
                <w:b/>
                <w:bCs/>
                <w:highlight w:val="none"/>
              </w:rPr>
              <w:t xml:space="preserve">补 </w:t>
            </w:r>
            <w:r>
              <w:rPr>
                <w:rFonts w:ascii="宋体" w:hAnsi="宋体"/>
                <w:b/>
                <w:bCs/>
                <w:highlight w:val="none"/>
              </w:rPr>
              <w:t xml:space="preserve"> </w:t>
            </w:r>
            <w:r>
              <w:rPr>
                <w:rFonts w:hint="eastAsia" w:ascii="宋体" w:hAnsi="宋体"/>
                <w:b/>
                <w:bCs/>
                <w:highlight w:val="none"/>
              </w:rPr>
              <w:t xml:space="preserve">充 </w:t>
            </w:r>
            <w:r>
              <w:rPr>
                <w:rFonts w:ascii="宋体" w:hAnsi="宋体"/>
                <w:b/>
                <w:bCs/>
                <w:highlight w:val="none"/>
              </w:rPr>
              <w:t xml:space="preserve"> </w:t>
            </w:r>
            <w:r>
              <w:rPr>
                <w:rFonts w:hint="eastAsia" w:ascii="宋体" w:hAnsi="宋体"/>
                <w:b/>
                <w:bCs/>
                <w:highlight w:val="none"/>
              </w:rPr>
              <w:t xml:space="preserve">内 </w:t>
            </w:r>
            <w:r>
              <w:rPr>
                <w:rFonts w:ascii="宋体" w:hAnsi="宋体"/>
                <w:b/>
                <w:bCs/>
                <w:highlight w:val="none"/>
              </w:rPr>
              <w:t xml:space="preserve"> </w:t>
            </w:r>
            <w:r>
              <w:rPr>
                <w:rFonts w:hint="eastAsia" w:ascii="宋体" w:hAnsi="宋体"/>
                <w:b/>
                <w:bCs/>
                <w:highlight w:val="none"/>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.1</w:t>
            </w:r>
          </w:p>
        </w:tc>
        <w:tc>
          <w:tcPr>
            <w:tcW w:w="1755" w:type="dxa"/>
            <w:vAlign w:val="center"/>
          </w:tcPr>
          <w:p>
            <w:pPr>
              <w:jc w:val="center"/>
              <w:rPr>
                <w:highlight w:val="none"/>
              </w:rPr>
            </w:pPr>
            <w:r>
              <w:rPr>
                <w:rFonts w:hint="eastAsia"/>
                <w:highlight w:val="none"/>
              </w:rPr>
              <w:t>采购人</w:t>
            </w:r>
          </w:p>
        </w:tc>
        <w:tc>
          <w:tcPr>
            <w:tcW w:w="6795" w:type="dxa"/>
            <w:vAlign w:val="center"/>
          </w:tcPr>
          <w:p>
            <w:pPr>
              <w:jc w:val="left"/>
              <w:rPr>
                <w:rFonts w:ascii="宋体" w:hAnsi="宋体"/>
                <w:highlight w:val="none"/>
              </w:rPr>
            </w:pPr>
            <w:r>
              <w:rPr>
                <w:rFonts w:hint="eastAsia" w:ascii="宋体" w:hAnsi="宋体" w:eastAsia="宋体" w:cs="Arial"/>
                <w:b/>
                <w:szCs w:val="21"/>
                <w:highlight w:val="none"/>
              </w:rPr>
              <w:t>深圳市新安中学（集团）外国语学校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政府集中采购机构</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本文件所述的“政府集中采购机构”</w:t>
            </w:r>
            <w:r>
              <w:rPr>
                <w:rFonts w:ascii="宋体" w:hAnsi="宋体" w:eastAsia="宋体" w:cs="Arial"/>
                <w:szCs w:val="21"/>
                <w:highlight w:val="none"/>
              </w:rPr>
              <w:t>指</w:t>
            </w:r>
            <w:r>
              <w:rPr>
                <w:rFonts w:hint="eastAsia" w:ascii="宋体" w:hAnsi="宋体" w:eastAsia="宋体" w:cs="Arial"/>
                <w:b/>
                <w:bCs/>
                <w:szCs w:val="21"/>
                <w:highlight w:val="none"/>
              </w:rPr>
              <w:t>深圳公共资源交易中心</w:t>
            </w:r>
            <w:r>
              <w:rPr>
                <w:rFonts w:hint="eastAsia" w:ascii="Arial" w:hAnsi="Arial" w:eastAsia="宋体" w:cs="Times New Roman"/>
                <w:szCs w:val="24"/>
                <w:highlight w:val="none"/>
              </w:rPr>
              <w:t>。本项目具体由深圳公共资源交易中心（深圳交易集团有限公司宝安分公司）执行</w:t>
            </w:r>
            <w:r>
              <w:rPr>
                <w:rFonts w:hint="eastAsia" w:ascii="Arial" w:hAnsi="Arial" w:eastAsia="宋体" w:cs="Times New Roman"/>
                <w:bCs/>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联合体投标</w:t>
            </w:r>
          </w:p>
        </w:tc>
        <w:tc>
          <w:tcPr>
            <w:tcW w:w="6795" w:type="dxa"/>
            <w:vAlign w:val="center"/>
          </w:tcPr>
          <w:p>
            <w:pPr>
              <w:jc w:val="left"/>
              <w:rPr>
                <w:rFonts w:hint="default" w:ascii="宋体" w:hAnsi="宋体" w:eastAsiaTheme="minorEastAsia"/>
                <w:highlight w:val="none"/>
                <w:lang w:val="en-US" w:eastAsia="zh-CN"/>
              </w:rPr>
            </w:pPr>
            <w:r>
              <w:rPr>
                <w:rFonts w:hint="eastAsia" w:ascii="宋体" w:hAnsi="宋体"/>
                <w:highlight w:val="none"/>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9</w:t>
            </w:r>
          </w:p>
        </w:tc>
        <w:tc>
          <w:tcPr>
            <w:tcW w:w="1755" w:type="dxa"/>
            <w:vAlign w:val="center"/>
          </w:tcPr>
          <w:p>
            <w:pPr>
              <w:jc w:val="center"/>
              <w:rPr>
                <w:rFonts w:ascii="宋体" w:hAnsi="宋体"/>
                <w:highlight w:val="none"/>
              </w:rPr>
            </w:pPr>
            <w:r>
              <w:rPr>
                <w:rFonts w:hint="eastAsia" w:ascii="宋体" w:hAnsi="宋体"/>
                <w:highlight w:val="none"/>
              </w:rPr>
              <w:t>踏勘现场</w:t>
            </w:r>
          </w:p>
        </w:tc>
        <w:tc>
          <w:tcPr>
            <w:tcW w:w="6795" w:type="dxa"/>
            <w:vAlign w:val="center"/>
          </w:tcPr>
          <w:p>
            <w:pPr>
              <w:snapToGrid w:val="0"/>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标前会议</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/1</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招标文件的澄清和修改</w:t>
            </w:r>
          </w:p>
        </w:tc>
        <w:tc>
          <w:tcPr>
            <w:tcW w:w="6795" w:type="dxa"/>
            <w:vAlign w:val="center"/>
          </w:tcPr>
          <w:p>
            <w:pPr>
              <w:jc w:val="left"/>
              <w:rPr>
                <w:rFonts w:hint="eastAsia" w:ascii="宋体" w:hAnsi="宋体" w:eastAsiaTheme="minorEastAsia"/>
                <w:highlight w:val="none"/>
                <w:lang w:eastAsia="zh-CN"/>
              </w:rPr>
            </w:pPr>
            <w:r>
              <w:rPr>
                <w:rFonts w:hint="eastAsia" w:ascii="宋体" w:hAnsi="宋体"/>
                <w:highlight w:val="none"/>
              </w:rPr>
              <w:t>对招标文件澄清/修改时间不晚于投标截止日三日前，投标人有义务在招标期间在政府集中采购机构网站浏览与本项目有关的澄清和修改信息</w:t>
            </w:r>
            <w:r>
              <w:rPr>
                <w:rFonts w:hint="eastAsia" w:ascii="宋体" w:hAnsi="宋体"/>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投标有效期</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投标有效期：从投标截止之日起</w:t>
            </w:r>
            <w:r>
              <w:rPr>
                <w:rFonts w:hint="eastAsia" w:ascii="宋体" w:hAnsi="宋体" w:eastAsia="宋体" w:cs="Times New Roman"/>
                <w:b/>
                <w:color w:val="0000FF"/>
                <w:sz w:val="24"/>
                <w:szCs w:val="24"/>
                <w:highlight w:val="none"/>
                <w:u w:val="single"/>
              </w:rPr>
              <w:t xml:space="preserve"> 120 </w:t>
            </w:r>
            <w:r>
              <w:rPr>
                <w:rFonts w:hint="eastAsia" w:ascii="宋体" w:hAnsi="宋体" w:eastAsia="宋体" w:cs="Arial"/>
                <w:szCs w:val="21"/>
                <w:highlight w:val="none"/>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投标人的替代方案</w:t>
            </w:r>
          </w:p>
        </w:tc>
        <w:tc>
          <w:tcPr>
            <w:tcW w:w="6795" w:type="dxa"/>
            <w:vAlign w:val="center"/>
          </w:tcPr>
          <w:p>
            <w:pPr>
              <w:jc w:val="left"/>
              <w:rPr>
                <w:rFonts w:ascii="宋体" w:hAnsi="宋体"/>
                <w:highlight w:val="none"/>
              </w:rPr>
            </w:pPr>
            <w:r>
              <w:rPr>
                <w:rFonts w:hint="eastAsia" w:ascii="宋体" w:hAnsi="宋体"/>
                <w:highlight w:val="none"/>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5</w:t>
            </w:r>
          </w:p>
        </w:tc>
        <w:tc>
          <w:tcPr>
            <w:tcW w:w="1755" w:type="dxa"/>
            <w:vAlign w:val="center"/>
          </w:tcPr>
          <w:p>
            <w:pPr>
              <w:jc w:val="center"/>
              <w:rPr>
                <w:rFonts w:ascii="宋体" w:hAnsi="宋体"/>
                <w:highlight w:val="none"/>
              </w:rPr>
            </w:pPr>
            <w:r>
              <w:rPr>
                <w:rFonts w:hint="eastAsia" w:ascii="宋体" w:hAnsi="宋体"/>
                <w:highlight w:val="none"/>
              </w:rPr>
              <w:t>投标文件的大小</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6</w:t>
            </w:r>
          </w:p>
        </w:tc>
        <w:tc>
          <w:tcPr>
            <w:tcW w:w="1755" w:type="dxa"/>
            <w:vAlign w:val="center"/>
          </w:tcPr>
          <w:p>
            <w:pPr>
              <w:jc w:val="center"/>
              <w:rPr>
                <w:rFonts w:ascii="宋体" w:hAnsi="宋体"/>
                <w:highlight w:val="none"/>
              </w:rPr>
            </w:pPr>
            <w:bookmarkStart w:id="11" w:name="_Hlk71664860"/>
            <w:r>
              <w:rPr>
                <w:rFonts w:hint="eastAsia" w:ascii="宋体" w:hAnsi="宋体"/>
                <w:highlight w:val="none"/>
              </w:rPr>
              <w:t>样品、现场演示、方案讲解</w:t>
            </w:r>
            <w:bookmarkEnd w:id="11"/>
          </w:p>
        </w:tc>
        <w:tc>
          <w:tcPr>
            <w:tcW w:w="6795" w:type="dxa"/>
            <w:vAlign w:val="center"/>
          </w:tcPr>
          <w:p>
            <w:pPr>
              <w:jc w:val="left"/>
              <w:rPr>
                <w:rFonts w:ascii="宋体" w:hAnsi="宋体"/>
                <w:highlight w:val="none"/>
              </w:rPr>
            </w:pPr>
            <w:r>
              <w:rPr>
                <w:rFonts w:hint="eastAsia" w:ascii="宋体" w:hAnsi="宋体"/>
                <w:highlight w:val="none"/>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7</w:t>
            </w:r>
          </w:p>
        </w:tc>
        <w:tc>
          <w:tcPr>
            <w:tcW w:w="1755" w:type="dxa"/>
            <w:vAlign w:val="center"/>
          </w:tcPr>
          <w:p>
            <w:pPr>
              <w:jc w:val="center"/>
              <w:rPr>
                <w:rFonts w:ascii="宋体" w:hAnsi="宋体"/>
                <w:highlight w:val="none"/>
              </w:rPr>
            </w:pPr>
            <w:r>
              <w:rPr>
                <w:rFonts w:hint="eastAsia" w:ascii="宋体" w:hAnsi="宋体"/>
                <w:highlight w:val="none"/>
              </w:rPr>
              <w:t>评审方法</w:t>
            </w:r>
          </w:p>
        </w:tc>
        <w:tc>
          <w:tcPr>
            <w:tcW w:w="6795" w:type="dxa"/>
            <w:vAlign w:val="center"/>
          </w:tcPr>
          <w:p>
            <w:pPr>
              <w:jc w:val="left"/>
              <w:rPr>
                <w:rFonts w:ascii="宋体" w:hAnsi="宋体"/>
                <w:highlight w:val="none"/>
              </w:rPr>
            </w:pPr>
            <w:r>
              <w:rPr>
                <w:rFonts w:ascii="宋体" w:hAnsi="宋体"/>
                <w:b/>
                <w:bCs/>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highlight w:val="none"/>
              </w:rPr>
            </w:pPr>
            <w:r>
              <w:rPr>
                <w:rFonts w:hint="eastAsia" w:ascii="宋体" w:hAnsi="宋体"/>
                <w:highlight w:val="none"/>
                <w:lang w:val="en-US" w:eastAsia="zh-CN"/>
              </w:rPr>
              <w:t>52.8</w:t>
            </w:r>
          </w:p>
        </w:tc>
        <w:tc>
          <w:tcPr>
            <w:tcW w:w="1755" w:type="dxa"/>
            <w:vAlign w:val="center"/>
          </w:tcPr>
          <w:p>
            <w:pPr>
              <w:jc w:val="center"/>
              <w:rPr>
                <w:rFonts w:hint="eastAsia" w:ascii="宋体" w:hAnsi="宋体"/>
                <w:highlight w:val="none"/>
              </w:rPr>
            </w:pPr>
            <w:r>
              <w:rPr>
                <w:rFonts w:hint="eastAsia" w:ascii="宋体" w:hAnsi="宋体"/>
                <w:highlight w:val="none"/>
                <w:lang w:val="en-US" w:eastAsia="zh-CN"/>
              </w:rPr>
              <w:t>投诉</w:t>
            </w:r>
          </w:p>
        </w:tc>
        <w:tc>
          <w:tcPr>
            <w:tcW w:w="6795" w:type="dxa"/>
            <w:vAlign w:val="center"/>
          </w:tcPr>
          <w:p>
            <w:pPr>
              <w:jc w:val="left"/>
              <w:rPr>
                <w:rFonts w:hint="eastAsia" w:ascii="宋体" w:hAnsi="宋体"/>
                <w:highlight w:val="none"/>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rFonts w:hint="eastAsia" w:ascii="黑体" w:hAnsi="宋体" w:eastAsia="黑体"/>
          <w:bCs/>
          <w:sz w:val="24"/>
          <w:highlight w:val="none"/>
          <w:lang w:val="en-US" w:eastAsia="zh-CN"/>
        </w:rPr>
      </w:pPr>
      <w:r>
        <w:rPr>
          <w:rFonts w:hint="eastAsia" w:ascii="黑体" w:hAnsi="宋体" w:eastAsia="黑体"/>
          <w:bCs/>
          <w:sz w:val="24"/>
          <w:highlight w:val="none"/>
          <w:lang w:val="en-US" w:eastAsia="zh-CN"/>
        </w:rPr>
        <w:t>1、评标定标信息</w:t>
      </w:r>
    </w:p>
    <w:p>
      <w:pPr>
        <w:tabs>
          <w:tab w:val="left" w:pos="720"/>
        </w:tabs>
        <w:jc w:val="center"/>
        <w:rPr>
          <w:rFonts w:hint="default" w:eastAsiaTheme="minorEastAsia"/>
          <w:highlight w:val="none"/>
          <w:lang w:val="en-US" w:eastAsia="zh-CN"/>
        </w:rPr>
      </w:pPr>
      <w:r>
        <w:rPr>
          <w:rFonts w:hint="eastAsia"/>
          <w:highlight w:val="none"/>
          <w:lang w:val="en-US" w:eastAsia="zh-CN"/>
        </w:rPr>
        <w:t>非评定分离项目</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bookmarkStart w:id="12" w:name="_Hlk74239733"/>
            <w:r>
              <w:rPr>
                <w:rFonts w:hint="eastAsia"/>
                <w:highlight w:val="none"/>
              </w:rPr>
              <w:t>评标方法</w:t>
            </w:r>
          </w:p>
        </w:tc>
        <w:tc>
          <w:tcPr>
            <w:tcW w:w="4265" w:type="dxa"/>
          </w:tcPr>
          <w:p>
            <w:pPr>
              <w:jc w:val="center"/>
              <w:rPr>
                <w:highlight w:val="none"/>
              </w:rPr>
            </w:pP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候选中标供应商家数</w:t>
            </w:r>
          </w:p>
        </w:tc>
        <w:tc>
          <w:tcPr>
            <w:tcW w:w="4265" w:type="dxa"/>
          </w:tcPr>
          <w:p>
            <w:pPr>
              <w:jc w:val="center"/>
              <w:rPr>
                <w:rFonts w:hint="eastAsia" w:eastAsiaTheme="minorEastAsia"/>
                <w:highlight w:val="none"/>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中标供应商家数</w:t>
            </w:r>
          </w:p>
        </w:tc>
        <w:tc>
          <w:tcPr>
            <w:tcW w:w="4265" w:type="dxa"/>
          </w:tcPr>
          <w:p>
            <w:pPr>
              <w:jc w:val="center"/>
              <w:rPr>
                <w:highlight w:val="none"/>
              </w:rPr>
            </w:pPr>
            <w:r>
              <w:rPr>
                <w:rFonts w:hint="eastAsia"/>
                <w:highlight w:val="none"/>
              </w:rPr>
              <w:t>1</w:t>
            </w:r>
          </w:p>
        </w:tc>
      </w:tr>
      <w:bookmarkEnd w:id="12"/>
    </w:tbl>
    <w:p>
      <w:pPr>
        <w:tabs>
          <w:tab w:val="left" w:pos="720"/>
        </w:tabs>
        <w:rPr>
          <w:rFonts w:hint="eastAsia" w:ascii="黑体" w:hAnsi="宋体" w:eastAsia="黑体"/>
          <w:bCs/>
          <w:sz w:val="24"/>
          <w:highlight w:val="none"/>
          <w:lang w:val="en-US" w:eastAsia="zh-CN"/>
        </w:rPr>
      </w:pPr>
    </w:p>
    <w:p>
      <w:pPr>
        <w:tabs>
          <w:tab w:val="left" w:pos="720"/>
        </w:tabs>
        <w:rPr>
          <w:rFonts w:hint="eastAsia" w:ascii="黑体" w:hAnsi="宋体" w:eastAsia="黑体"/>
          <w:bCs/>
          <w:sz w:val="24"/>
          <w:highlight w:val="none"/>
          <w:lang w:val="en-US" w:eastAsia="zh-CN"/>
        </w:rPr>
      </w:pPr>
    </w:p>
    <w:p>
      <w:pPr>
        <w:tabs>
          <w:tab w:val="left" w:pos="720"/>
        </w:tabs>
        <w:rPr>
          <w:rFonts w:ascii="黑体" w:hAnsi="宋体" w:eastAsia="黑体"/>
          <w:bCs/>
          <w:sz w:val="24"/>
          <w:highlight w:val="none"/>
        </w:rPr>
      </w:pPr>
      <w:r>
        <w:rPr>
          <w:rFonts w:hint="eastAsia" w:ascii="黑体" w:hAnsi="宋体" w:eastAsia="黑体"/>
          <w:bCs/>
          <w:sz w:val="24"/>
          <w:highlight w:val="none"/>
          <w:lang w:val="en-US" w:eastAsia="zh-CN"/>
        </w:rPr>
        <w:t>2</w:t>
      </w:r>
      <w:r>
        <w:rPr>
          <w:rFonts w:hint="eastAsia" w:ascii="黑体" w:hAnsi="宋体" w:eastAsia="黑体"/>
          <w:bCs/>
          <w:sz w:val="24"/>
          <w:highlight w:val="none"/>
        </w:rPr>
        <w:t>、关于包组的定义</w:t>
      </w:r>
    </w:p>
    <w:p>
      <w:pPr>
        <w:tabs>
          <w:tab w:val="left" w:pos="720"/>
        </w:tabs>
        <w:ind w:firstLine="420" w:firstLineChars="200"/>
        <w:rPr>
          <w:rFonts w:ascii="宋体" w:hAnsi="宋体"/>
          <w:highlight w:val="none"/>
        </w:rPr>
      </w:pPr>
      <w:r>
        <w:rPr>
          <w:rFonts w:hint="eastAsia" w:ascii="宋体" w:hAnsi="宋体"/>
          <w:highlight w:val="none"/>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highlight w:val="none"/>
        </w:rPr>
      </w:pPr>
      <w:r>
        <w:rPr>
          <w:rFonts w:hint="eastAsia" w:ascii="黑体" w:hAnsi="宋体" w:eastAsia="黑体"/>
          <w:sz w:val="24"/>
          <w:highlight w:val="none"/>
          <w:lang w:val="en-US" w:eastAsia="zh-CN"/>
        </w:rPr>
        <w:t>3</w:t>
      </w:r>
      <w:r>
        <w:rPr>
          <w:rFonts w:hint="eastAsia" w:ascii="黑体" w:hAnsi="宋体" w:eastAsia="黑体"/>
          <w:sz w:val="24"/>
          <w:highlight w:val="none"/>
        </w:rPr>
        <w:t>、关于涉及采取随机抽取方式确定中标候选人（候选中标供应商）的规则</w:t>
      </w:r>
    </w:p>
    <w:p>
      <w:pPr>
        <w:tabs>
          <w:tab w:val="left" w:pos="720"/>
        </w:tabs>
        <w:ind w:firstLine="420" w:firstLineChars="200"/>
        <w:rPr>
          <w:rFonts w:ascii="宋体" w:hAnsi="宋体"/>
          <w:highlight w:val="none"/>
        </w:rPr>
      </w:pPr>
      <w:r>
        <w:rPr>
          <w:rFonts w:hint="eastAsia" w:ascii="宋体" w:hAnsi="宋体"/>
          <w:highlight w:val="none"/>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highlight w:val="none"/>
        </w:rPr>
        <w:t>、小</w:t>
      </w:r>
      <w:r>
        <w:rPr>
          <w:rFonts w:hint="eastAsia" w:ascii="宋体" w:hAnsi="宋体"/>
          <w:highlight w:val="none"/>
        </w:rPr>
        <w:t>且同号的情况，则对同号的投标人重新摇签确定中签。抽签过程中遇抽签机器卡球的，被卡球方当轮重新抽签。</w:t>
      </w:r>
    </w:p>
    <w:p>
      <w:pPr>
        <w:ind w:firstLine="470" w:firstLineChars="196"/>
        <w:rPr>
          <w:rFonts w:ascii="宋体" w:hAnsi="宋体"/>
          <w:szCs w:val="21"/>
          <w:highlight w:val="none"/>
        </w:rPr>
      </w:pPr>
      <w:r>
        <w:rPr>
          <w:rFonts w:hint="eastAsia" w:ascii="黑体" w:hAnsi="宋体" w:eastAsia="黑体"/>
          <w:sz w:val="24"/>
          <w:highlight w:val="none"/>
        </w:rPr>
        <w:t>备注：</w:t>
      </w:r>
      <w:r>
        <w:rPr>
          <w:rFonts w:hint="eastAsia" w:ascii="宋体" w:hAnsi="宋体"/>
          <w:szCs w:val="21"/>
          <w:highlight w:val="none"/>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highlight w:val="none"/>
        </w:rPr>
      </w:pPr>
      <w:r>
        <w:rPr>
          <w:rFonts w:hint="eastAsia" w:ascii="宋体" w:hAnsi="宋体"/>
          <w:szCs w:val="21"/>
          <w:highlight w:val="none"/>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highlight w:val="none"/>
        </w:rPr>
      </w:pPr>
    </w:p>
    <w:p>
      <w:pPr>
        <w:tabs>
          <w:tab w:val="left" w:pos="720"/>
        </w:tabs>
        <w:rPr>
          <w:rFonts w:ascii="黑体" w:hAnsi="宋体" w:eastAsia="黑体"/>
          <w:sz w:val="24"/>
          <w:highlight w:val="none"/>
        </w:rPr>
      </w:pPr>
      <w:r>
        <w:rPr>
          <w:rFonts w:hint="eastAsia" w:ascii="黑体" w:hAnsi="宋体" w:eastAsia="黑体"/>
          <w:sz w:val="24"/>
          <w:highlight w:val="none"/>
        </w:rPr>
        <w:t>（二）其他事项</w:t>
      </w:r>
    </w:p>
    <w:p>
      <w:pPr>
        <w:tabs>
          <w:tab w:val="left" w:pos="720"/>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1、关于专门面向中小企业采购的说明：</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sz w:val="21"/>
          <w:szCs w:val="21"/>
          <w:highlight w:val="none"/>
          <w:lang w:eastAsia="zh-CN"/>
        </w:rPr>
        <w:t>（</w:t>
      </w:r>
      <w:r>
        <w:rPr>
          <w:rFonts w:hint="eastAsia" w:asciiTheme="minorEastAsia" w:hAnsiTheme="minorEastAsia" w:cstheme="minorEastAsia"/>
          <w:sz w:val="21"/>
          <w:szCs w:val="21"/>
          <w:highlight w:val="none"/>
          <w:lang w:val="en-US" w:eastAsia="zh-CN"/>
        </w:rPr>
        <w:t>1</w:t>
      </w:r>
      <w:r>
        <w:rPr>
          <w:rFonts w:hint="eastAsia" w:asciiTheme="minorEastAsia" w:hAnsi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本项目为专门面向中小企业采购的项目，不</w:t>
      </w:r>
      <w:r>
        <w:rPr>
          <w:rFonts w:hint="eastAsia" w:asciiTheme="minorEastAsia" w:hAnsiTheme="minorEastAsia" w:cstheme="minorEastAsia"/>
          <w:sz w:val="21"/>
          <w:szCs w:val="21"/>
          <w:highlight w:val="none"/>
          <w:lang w:val="en-US" w:eastAsia="zh-CN"/>
        </w:rPr>
        <w:t>再</w:t>
      </w:r>
      <w:r>
        <w:rPr>
          <w:rFonts w:hint="eastAsia" w:asciiTheme="minorEastAsia" w:hAnsiTheme="minorEastAsia" w:eastAsiaTheme="minorEastAsia" w:cstheme="minorEastAsia"/>
          <w:sz w:val="21"/>
          <w:szCs w:val="21"/>
          <w:highlight w:val="none"/>
        </w:rPr>
        <w:t>执行价格评审优惠的扶持政策。参与本项目的</w:t>
      </w:r>
      <w:r>
        <w:rPr>
          <w:rFonts w:hint="eastAsia" w:ascii="宋体" w:hAnsi="宋体"/>
          <w:sz w:val="21"/>
          <w:szCs w:val="21"/>
          <w:highlight w:val="none"/>
        </w:rPr>
        <w:t>投标人提供的货物（以招标文件用户需求书“货物</w:t>
      </w:r>
      <w:r>
        <w:rPr>
          <w:rFonts w:hint="eastAsia" w:ascii="宋体" w:hAnsi="宋体"/>
          <w:sz w:val="21"/>
          <w:szCs w:val="21"/>
          <w:highlight w:val="none"/>
          <w:lang w:val="en-US" w:eastAsia="zh-CN"/>
        </w:rPr>
        <w:t>需求</w:t>
      </w:r>
      <w:r>
        <w:rPr>
          <w:rFonts w:hint="eastAsia" w:ascii="宋体" w:hAnsi="宋体"/>
          <w:sz w:val="21"/>
          <w:szCs w:val="21"/>
          <w:highlight w:val="none"/>
        </w:rPr>
        <w:t>明细”的“货物名称”一栏为准）</w:t>
      </w:r>
      <w:r>
        <w:rPr>
          <w:rFonts w:hint="eastAsia" w:ascii="宋体" w:hAnsi="宋体"/>
          <w:sz w:val="21"/>
          <w:szCs w:val="21"/>
          <w:highlight w:val="none"/>
          <w:lang w:val="en-US" w:eastAsia="zh-CN"/>
        </w:rPr>
        <w:t>应当</w:t>
      </w:r>
      <w:r>
        <w:rPr>
          <w:rFonts w:hint="eastAsia" w:ascii="宋体" w:hAnsi="宋体"/>
          <w:sz w:val="21"/>
          <w:szCs w:val="21"/>
          <w:highlight w:val="none"/>
        </w:rPr>
        <w:t>全部由</w:t>
      </w:r>
      <w:r>
        <w:rPr>
          <w:rFonts w:hint="eastAsia" w:asciiTheme="minorEastAsia" w:hAnsiTheme="minorEastAsia" w:eastAsiaTheme="minorEastAsia" w:cstheme="minorEastAsia"/>
          <w:sz w:val="21"/>
          <w:szCs w:val="21"/>
          <w:highlight w:val="none"/>
        </w:rPr>
        <w:t>中小企业</w:t>
      </w:r>
      <w:r>
        <w:rPr>
          <w:rFonts w:hint="eastAsia" w:ascii="宋体" w:hAnsi="宋体"/>
          <w:sz w:val="21"/>
          <w:szCs w:val="21"/>
          <w:highlight w:val="none"/>
        </w:rPr>
        <w:t>制造</w:t>
      </w:r>
      <w:r>
        <w:rPr>
          <w:rFonts w:hint="eastAsia" w:asciiTheme="minorEastAsia" w:hAnsiTheme="minorEastAsia" w:eastAsiaTheme="minorEastAsia" w:cstheme="minorEastAsia"/>
          <w:sz w:val="21"/>
          <w:szCs w:val="21"/>
          <w:highlight w:val="none"/>
        </w:rPr>
        <w:t>，否则将导致投标无效。</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sz w:val="21"/>
          <w:szCs w:val="21"/>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《统计上大中小微型企业划分办法（2017）》（国统字〔2017〕213 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《金融业企业划型标准规定》</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银发〔2015〕309号</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或国务院批准的其他中小企业划分标准文件，本项目采购标的（货物）对应的中小企业划分标准所属行业为</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cstheme="minorEastAsia"/>
          <w:color w:val="FF0000"/>
          <w:sz w:val="21"/>
          <w:szCs w:val="21"/>
          <w:highlight w:val="none"/>
          <w:u w:val="single"/>
          <w:lang w:val="en-US" w:eastAsia="zh-CN"/>
        </w:rPr>
        <w:t>工业</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eastAsiaTheme="minorEastAsia" w:cstheme="minorEastAsia"/>
          <w:sz w:val="21"/>
          <w:szCs w:val="21"/>
          <w:highlight w:val="none"/>
        </w:rPr>
        <w:t>。</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cstheme="minorEastAsia"/>
          <w:sz w:val="21"/>
          <w:szCs w:val="21"/>
          <w:highlight w:val="none"/>
          <w:lang w:val="en-US" w:eastAsia="zh-CN"/>
        </w:rPr>
        <w:t>中型企业、</w:t>
      </w:r>
      <w:r>
        <w:rPr>
          <w:rFonts w:hint="eastAsia" w:asciiTheme="minorEastAsia" w:hAnsiTheme="minorEastAsia" w:eastAsiaTheme="minorEastAsia" w:cstheme="minorEastAsia"/>
          <w:sz w:val="21"/>
          <w:szCs w:val="21"/>
          <w:highlight w:val="none"/>
        </w:rPr>
        <w:t>小型企业、微型企业、残疾人福利性单位的认定资料为《中小企业声明函》、《残疾人福利性单位声明函》；监狱企业的认定资料为省级以上监狱管理局、戒毒管理局出具的监狱企业证明文件。</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（4）享受</w:t>
      </w:r>
      <w:r>
        <w:rPr>
          <w:rFonts w:hint="eastAsia" w:asciiTheme="minorEastAsia" w:hAnsiTheme="minorEastAsia" w:cstheme="minorEastAsia"/>
          <w:sz w:val="21"/>
          <w:szCs w:val="21"/>
          <w:highlight w:val="none"/>
          <w:lang w:val="en-US" w:eastAsia="zh-CN"/>
        </w:rPr>
        <w:t>优惠政策</w:t>
      </w:r>
      <w:r>
        <w:rPr>
          <w:rFonts w:hint="eastAsia" w:asciiTheme="minorEastAsia" w:hAnsiTheme="minorEastAsia" w:eastAsiaTheme="minorEastAsia" w:cstheme="minorEastAsia"/>
          <w:sz w:val="21"/>
          <w:szCs w:val="21"/>
          <w:highlight w:val="none"/>
        </w:rPr>
        <w:t>获得政府采购合同的，小微企业不得将合同分包给大中型企业</w:t>
      </w:r>
      <w:r>
        <w:rPr>
          <w:rFonts w:hint="eastAsia" w:asciiTheme="minorEastAsia" w:hAnsiTheme="minorEastAsia" w:cstheme="minorEastAsia"/>
          <w:sz w:val="21"/>
          <w:szCs w:val="21"/>
          <w:highlight w:val="none"/>
          <w:lang w:eastAsia="zh-CN"/>
        </w:rPr>
        <w:t>，中型企业不得将合同分包给大型企业</w:t>
      </w:r>
      <w:r>
        <w:rPr>
          <w:rFonts w:hint="eastAsia" w:asciiTheme="minorEastAsia" w:hAnsiTheme="minorEastAsia" w:eastAsiaTheme="minorEastAsia" w:cstheme="minorEastAsia"/>
          <w:sz w:val="21"/>
          <w:szCs w:val="21"/>
          <w:highlight w:val="none"/>
        </w:rPr>
        <w:t>。</w:t>
      </w:r>
    </w:p>
    <w:p>
      <w:pPr>
        <w:tabs>
          <w:tab w:val="left" w:pos="720"/>
        </w:tabs>
        <w:ind w:firstLine="420" w:firstLineChars="200"/>
        <w:rPr>
          <w:rFonts w:hint="eastAsia" w:asciiTheme="minorEastAsia" w:hAnsiTheme="minorEastAsia" w:eastAsiaTheme="minorEastAsia" w:cstheme="minorEastAsia"/>
          <w:sz w:val="21"/>
          <w:szCs w:val="21"/>
          <w:highlight w:val="none"/>
        </w:rPr>
      </w:pPr>
    </w:p>
    <w:p>
      <w:pPr>
        <w:tabs>
          <w:tab w:val="left" w:pos="720"/>
        </w:tabs>
        <w:ind w:firstLine="480" w:firstLineChars="200"/>
        <w:rPr>
          <w:rFonts w:ascii="黑体" w:hAnsi="宋体" w:eastAsia="黑体"/>
          <w:sz w:val="24"/>
          <w:highlight w:val="none"/>
        </w:rPr>
      </w:pPr>
    </w:p>
    <w:p>
      <w:pPr>
        <w:spacing w:line="360" w:lineRule="auto"/>
        <w:rPr>
          <w:rFonts w:ascii="宋体" w:hAnsi="宋体" w:eastAsia="宋体" w:cs="宋体"/>
          <w:b/>
          <w:bCs/>
          <w:szCs w:val="24"/>
          <w:highlight w:val="none"/>
        </w:rPr>
      </w:pPr>
      <w:r>
        <w:rPr>
          <w:rFonts w:hint="eastAsia" w:ascii="宋体" w:hAnsi="宋体" w:eastAsia="宋体" w:cs="宋体"/>
          <w:b/>
          <w:bCs/>
          <w:szCs w:val="24"/>
          <w:highlight w:val="none"/>
        </w:rPr>
        <w:t>2.关于政府采购订单融资政策</w:t>
      </w:r>
    </w:p>
    <w:p>
      <w:pPr>
        <w:ind w:firstLine="420" w:firstLineChars="200"/>
        <w:rPr>
          <w:rFonts w:ascii="宋体" w:hAnsi="宋体" w:eastAsia="宋体" w:cs="Times New Roman"/>
          <w:b/>
          <w:szCs w:val="24"/>
          <w:highlight w:val="none"/>
        </w:rPr>
      </w:pPr>
      <w:r>
        <w:rPr>
          <w:rFonts w:hint="eastAsia" w:ascii="Times New Roman" w:hAnsi="Times New Roman" w:eastAsia="宋体" w:cs="Times New Roman"/>
          <w:color w:val="FF0000"/>
          <w:szCs w:val="24"/>
          <w:highlight w:val="none"/>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highlight w:val="none"/>
        </w:rPr>
      </w:pPr>
    </w:p>
    <w:p>
      <w:pPr>
        <w:tabs>
          <w:tab w:val="left" w:pos="720"/>
        </w:tabs>
        <w:rPr>
          <w:rFonts w:hint="eastAsia" w:ascii="宋体" w:hAnsi="宋体"/>
          <w:b/>
          <w:bCs/>
          <w:color w:val="FF0000"/>
          <w:highlight w:val="none"/>
          <w:lang w:eastAsia="zh-CN"/>
        </w:rPr>
      </w:pPr>
      <w:r>
        <w:rPr>
          <w:rFonts w:hint="eastAsia" w:ascii="宋体" w:hAnsi="宋体"/>
          <w:b/>
          <w:bCs/>
          <w:color w:val="FF0000"/>
          <w:highlight w:val="none"/>
        </w:rPr>
        <w:t>3、</w:t>
      </w:r>
      <w:r>
        <w:rPr>
          <w:rFonts w:ascii="宋体" w:hAnsi="宋体"/>
          <w:b/>
          <w:bCs/>
          <w:color w:val="FF0000"/>
          <w:highlight w:val="none"/>
        </w:rPr>
        <w:t>本项目为代理服务项目，将向中标供应商收取代理服务费</w:t>
      </w:r>
      <w:r>
        <w:rPr>
          <w:rFonts w:hint="eastAsia" w:ascii="宋体" w:hAnsi="宋体"/>
          <w:b/>
          <w:bCs/>
          <w:color w:val="FF0000"/>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中标供应商在领取《中标通知书》之前须向深圳公共资源交易中心（深圳交易集团有限公司</w:t>
      </w:r>
      <w:r>
        <w:rPr>
          <w:rFonts w:hint="eastAsia" w:ascii="宋体" w:hAnsi="宋体"/>
          <w:color w:val="FF0000"/>
          <w:szCs w:val="21"/>
          <w:highlight w:val="none"/>
          <w:lang w:val="en-US" w:eastAsia="zh-CN"/>
        </w:rPr>
        <w:t>宝安</w:t>
      </w:r>
      <w:r>
        <w:rPr>
          <w:rFonts w:hint="eastAsia" w:ascii="宋体" w:hAnsi="宋体"/>
          <w:color w:val="FF0000"/>
          <w:szCs w:val="21"/>
          <w:highlight w:val="none"/>
        </w:rPr>
        <w:t>分公司）交纳代理服务费。若因中标供应商交纳代理服务费所产生的时间影响到合同签订的，由中标供应商自行承担责任。代理服务费标准参照</w:t>
      </w:r>
      <w:r>
        <w:rPr>
          <w:rFonts w:hint="eastAsia" w:ascii="宋体" w:hAnsi="宋体"/>
          <w:color w:val="FF0000"/>
          <w:szCs w:val="21"/>
          <w:highlight w:val="none"/>
          <w:lang w:val="en-US" w:eastAsia="zh-CN"/>
        </w:rPr>
        <w:t>下列</w:t>
      </w:r>
      <w:r>
        <w:rPr>
          <w:rFonts w:hint="eastAsia" w:ascii="宋体" w:hAnsi="宋体"/>
          <w:color w:val="FF0000"/>
          <w:szCs w:val="21"/>
          <w:highlight w:val="none"/>
        </w:rPr>
        <w:t>标准收取。本项目类型为</w:t>
      </w:r>
      <w:r>
        <w:rPr>
          <w:rFonts w:hint="eastAsia" w:ascii="宋体" w:hAnsi="宋体"/>
          <w:b/>
          <w:bCs/>
          <w:color w:val="FF0000"/>
          <w:szCs w:val="21"/>
          <w:highlight w:val="none"/>
          <w:u w:val="single"/>
        </w:rPr>
        <w:t>货物采购</w:t>
      </w:r>
      <w:r>
        <w:rPr>
          <w:rFonts w:hint="eastAsia" w:ascii="宋体" w:hAnsi="宋体"/>
          <w:color w:val="FF0000"/>
          <w:szCs w:val="21"/>
          <w:highlight w:val="none"/>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（一）代理服务费以《中标通知书》确定的成交金额作为计算基数，按差额定率累进法计算。</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（二）中标金额的各部分费率如下表：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成交金额</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货物采购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服务采购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100万元以下</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100万元（含）-500万元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500万元（含）-1000万元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0.45%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1000万元（含）-5000万元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5000万元（含）-1亿元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1亿元（含）-5亿元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5亿元（含）-10亿元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10亿元（含）-50亿元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50亿元（含）-100亿元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100亿元（含）以上</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r>
    </w:tbl>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 xml:space="preserve">备注：1.每宗交易代理服务费不低于 </w:t>
      </w:r>
      <w:r>
        <w:rPr>
          <w:rFonts w:hint="eastAsia" w:ascii="宋体" w:hAnsi="宋体"/>
          <w:color w:val="FF0000"/>
          <w:szCs w:val="21"/>
          <w:highlight w:val="none"/>
          <w:lang w:val="en-US" w:eastAsia="zh-CN"/>
        </w:rPr>
        <w:t>5</w:t>
      </w:r>
      <w:r>
        <w:rPr>
          <w:rFonts w:hint="eastAsia" w:ascii="宋体" w:hAnsi="宋体"/>
          <w:color w:val="FF0000"/>
          <w:szCs w:val="21"/>
          <w:highlight w:val="none"/>
        </w:rPr>
        <w:t>000 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如某货物采购项目，成交金额为600万元，总共交纳的代理服务费的具体计算过程如下：</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highlight w:val="none"/>
        </w:rPr>
      </w:pPr>
      <w:r>
        <w:rPr>
          <w:rFonts w:hint="eastAsia" w:ascii="宋体" w:hAnsi="宋体"/>
          <w:color w:val="FF0000"/>
          <w:szCs w:val="21"/>
          <w:highlight w:val="none"/>
        </w:rPr>
        <w:t>经营性账户信息如下：</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账户名：深圳交易集团有限公司</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账号：632765963</w:t>
      </w:r>
    </w:p>
    <w:p>
      <w:pPr>
        <w:widowControl/>
        <w:ind w:firstLine="420"/>
        <w:jc w:val="left"/>
        <w:rPr>
          <w:rFonts w:ascii="宋体" w:hAnsi="宋体"/>
          <w:color w:val="FF0000"/>
          <w:szCs w:val="21"/>
          <w:highlight w:val="none"/>
        </w:rPr>
      </w:pPr>
      <w:r>
        <w:rPr>
          <w:rFonts w:hint="eastAsia" w:ascii="宋体" w:hAnsi="宋体"/>
          <w:color w:val="FF0000"/>
          <w:szCs w:val="21"/>
          <w:highlight w:val="none"/>
        </w:rPr>
        <w:t>开户行：中国民生银行深圳五洲支行</w:t>
      </w:r>
    </w:p>
    <w:p>
      <w:pPr>
        <w:widowControl/>
        <w:ind w:firstLine="420"/>
        <w:jc w:val="left"/>
        <w:rPr>
          <w:rFonts w:ascii="宋体" w:hAnsi="宋体"/>
          <w:color w:val="FF0000"/>
          <w:szCs w:val="21"/>
          <w:highlight w:val="none"/>
        </w:rPr>
      </w:pPr>
      <w:r>
        <w:rPr>
          <w:rFonts w:hint="eastAsia" w:ascii="宋体" w:hAnsi="宋体"/>
          <w:color w:val="FF0000"/>
          <w:szCs w:val="21"/>
          <w:highlight w:val="none"/>
        </w:rPr>
        <w:t>转账备注：项目编号+项目名称</w:t>
      </w:r>
    </w:p>
    <w:p>
      <w:pPr>
        <w:widowControl/>
        <w:ind w:firstLine="420"/>
        <w:jc w:val="left"/>
        <w:rPr>
          <w:rFonts w:ascii="宋体" w:hAnsi="宋体" w:eastAsia="黑体" w:cs="Times New Roman"/>
          <w:bCs/>
          <w:kern w:val="44"/>
          <w:szCs w:val="21"/>
          <w:highlight w:val="none"/>
        </w:rPr>
      </w:pPr>
    </w:p>
    <w:p>
      <w:pPr>
        <w:widowControl/>
        <w:jc w:val="left"/>
        <w:rPr>
          <w:rFonts w:ascii="宋体" w:hAnsi="宋体" w:eastAsia="黑体" w:cs="Times New Roman"/>
          <w:bCs/>
          <w:kern w:val="44"/>
          <w:sz w:val="28"/>
          <w:szCs w:val="44"/>
          <w:highlight w:val="none"/>
        </w:rPr>
      </w:pPr>
      <w:r>
        <w:rPr>
          <w:rFonts w:ascii="宋体" w:hAnsi="宋体" w:eastAsia="黑体" w:cs="Times New Roman"/>
          <w:bCs/>
          <w:kern w:val="44"/>
          <w:sz w:val="28"/>
          <w:szCs w:val="44"/>
          <w:highlight w:val="none"/>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第三章 用户需求书</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一、项目基本信息</w:t>
      </w:r>
    </w:p>
    <w:tbl>
      <w:tblPr>
        <w:tblStyle w:val="17"/>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highlight w:val="none"/>
              </w:rPr>
            </w:pPr>
            <w:r>
              <w:rPr>
                <w:rFonts w:hint="eastAsia"/>
                <w:b w:val="0"/>
                <w:bCs w:val="0"/>
                <w:highlight w:val="none"/>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asciiTheme="minorEastAsia" w:hAnsiTheme="minorEastAsia"/>
                <w:b w:val="0"/>
                <w:bCs w:val="0"/>
                <w:sz w:val="24"/>
                <w:szCs w:val="24"/>
                <w:highlight w:val="none"/>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BAJYJ2024050605850A</w:t>
            </w:r>
          </w:p>
        </w:tc>
        <w:tc>
          <w:tcPr>
            <w:tcW w:w="2906" w:type="dxa"/>
            <w:tcBorders>
              <w:top w:val="single" w:color="000000" w:sz="4" w:space="0"/>
              <w:left w:val="single" w:color="000000" w:sz="4" w:space="0"/>
              <w:right w:val="single" w:color="000000" w:sz="4" w:space="0"/>
            </w:tcBorders>
            <w:vAlign w:val="center"/>
          </w:tcPr>
          <w:p>
            <w:pPr>
              <w:jc w:val="center"/>
              <w:rPr>
                <w:b w:val="0"/>
                <w:bCs w:val="0"/>
                <w:highlight w:val="none"/>
              </w:rPr>
            </w:pPr>
            <w:r>
              <w:rPr>
                <w:rFonts w:hint="eastAsia" w:asciiTheme="minorEastAsia" w:hAnsiTheme="minorEastAsia"/>
                <w:b w:val="0"/>
                <w:bCs w:val="0"/>
                <w:sz w:val="24"/>
                <w:szCs w:val="24"/>
                <w:highlight w:val="none"/>
                <w:lang w:eastAsia="zh-CN"/>
              </w:rPr>
              <w:t>新安中学(集团)外国语学校窗帘采购项目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400,000.00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400,000.00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400,000.00元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阻燃窗帘  </w:t>
      </w:r>
    </w:p>
    <w:tbl>
      <w:tblPr>
        <w:tblStyle w:val="17"/>
        <w:tblW w:w="4997" w:type="pct"/>
        <w:jc w:val="center"/>
        <w:tblLayout w:type="autofit"/>
        <w:tblCellMar>
          <w:top w:w="15" w:type="dxa"/>
          <w:left w:w="15" w:type="dxa"/>
          <w:bottom w:w="15" w:type="dxa"/>
          <w:right w:w="15" w:type="dxa"/>
        </w:tblCellMar>
      </w:tblPr>
      <w:tblGrid>
        <w:gridCol w:w="683"/>
        <w:gridCol w:w="3791"/>
        <w:gridCol w:w="757"/>
        <w:gridCol w:w="834"/>
        <w:gridCol w:w="1516"/>
        <w:gridCol w:w="1516"/>
      </w:tblGrid>
      <w:tr>
        <w:tblPrEx>
          <w:tblCellMar>
            <w:top w:w="15" w:type="dxa"/>
            <w:left w:w="15" w:type="dxa"/>
            <w:bottom w:w="15" w:type="dxa"/>
            <w:right w:w="15" w:type="dxa"/>
          </w:tblCellMar>
        </w:tblPrEx>
        <w:trPr>
          <w:trHeight w:val="552" w:hRule="atLeast"/>
          <w:jc w:val="center"/>
        </w:trPr>
        <w:tc>
          <w:tcPr>
            <w:tcW w:w="375" w:type="pct"/>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highlight w:val="none"/>
              </w:rPr>
            </w:pPr>
            <w:r>
              <w:rPr>
                <w:rFonts w:hint="eastAsia"/>
                <w:b w:val="0"/>
                <w:bCs w:val="0"/>
                <w:highlight w:val="none"/>
              </w:rPr>
              <w:t>序号</w:t>
            </w:r>
          </w:p>
        </w:tc>
        <w:tc>
          <w:tcPr>
            <w:tcW w:w="2083" w:type="pct"/>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lang w:val="en-US" w:eastAsia="zh-CN"/>
              </w:rPr>
              <w:t>货物</w:t>
            </w:r>
            <w:r>
              <w:rPr>
                <w:rFonts w:hint="eastAsia"/>
                <w:b w:val="0"/>
                <w:bCs w:val="0"/>
                <w:highlight w:val="none"/>
              </w:rPr>
              <w:t>名称（标的名称）</w:t>
            </w:r>
          </w:p>
        </w:tc>
        <w:tc>
          <w:tcPr>
            <w:tcW w:w="416" w:type="pct"/>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数量</w:t>
            </w:r>
          </w:p>
        </w:tc>
        <w:tc>
          <w:tcPr>
            <w:tcW w:w="458" w:type="pct"/>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单位</w:t>
            </w:r>
          </w:p>
        </w:tc>
        <w:tc>
          <w:tcPr>
            <w:tcW w:w="833" w:type="pct"/>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备注</w:t>
            </w:r>
          </w:p>
        </w:tc>
        <w:tc>
          <w:tcPr>
            <w:tcW w:w="833" w:type="pct"/>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所属行业</w:t>
            </w:r>
          </w:p>
        </w:tc>
      </w:tr>
      <w:tr>
        <w:tblPrEx>
          <w:tblCellMar>
            <w:top w:w="15" w:type="dxa"/>
            <w:left w:w="15" w:type="dxa"/>
            <w:bottom w:w="15" w:type="dxa"/>
            <w:right w:w="15" w:type="dxa"/>
          </w:tblCellMar>
        </w:tblPrEx>
        <w:trPr>
          <w:trHeight w:val="317" w:hRule="atLeast"/>
          <w:jc w:val="center"/>
        </w:trPr>
        <w:tc>
          <w:tcPr>
            <w:tcW w:w="375" w:type="pct"/>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cs="宋体"/>
                <w:b w:val="0"/>
                <w:bCs w:val="0"/>
                <w:highlight w:val="none"/>
                <w:lang w:val="en-US" w:eastAsia="zh-CN"/>
              </w:rPr>
            </w:pPr>
            <w:r>
              <w:rPr>
                <w:rFonts w:hint="eastAsia" w:ascii="宋体" w:hAnsi="宋体" w:eastAsia="宋体" w:cs="宋体"/>
                <w:i w:val="0"/>
                <w:iCs w:val="0"/>
                <w:color w:val="000000"/>
                <w:sz w:val="21"/>
                <w:szCs w:val="21"/>
                <w:highlight w:val="none"/>
                <w:u w:val="none"/>
                <w:lang w:val="en-US" w:eastAsia="zh-CN"/>
              </w:rPr>
              <w:t>1</w:t>
            </w:r>
          </w:p>
        </w:tc>
        <w:tc>
          <w:tcPr>
            <w:tcW w:w="2083" w:type="pct"/>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阻燃窗帘</w:t>
            </w:r>
          </w:p>
        </w:tc>
        <w:tc>
          <w:tcPr>
            <w:tcW w:w="41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2767</w:t>
            </w:r>
          </w:p>
        </w:tc>
        <w:tc>
          <w:tcPr>
            <w:tcW w:w="458"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米</w:t>
            </w:r>
          </w:p>
        </w:tc>
        <w:tc>
          <w:tcPr>
            <w:tcW w:w="833"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p>
        </w:tc>
        <w:tc>
          <w:tcPr>
            <w:tcW w:w="833" w:type="pct"/>
            <w:vMerge w:val="restart"/>
            <w:tcBorders>
              <w:top w:val="single" w:color="000000" w:sz="4" w:space="0"/>
              <w:left w:val="single" w:color="000000"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工业</w:t>
            </w:r>
          </w:p>
        </w:tc>
      </w:tr>
      <w:tr>
        <w:tblPrEx>
          <w:tblCellMar>
            <w:top w:w="15" w:type="dxa"/>
            <w:left w:w="15" w:type="dxa"/>
            <w:bottom w:w="15" w:type="dxa"/>
            <w:right w:w="15" w:type="dxa"/>
          </w:tblCellMar>
        </w:tblPrEx>
        <w:trPr>
          <w:trHeight w:val="172" w:hRule="atLeast"/>
          <w:jc w:val="center"/>
        </w:trPr>
        <w:tc>
          <w:tcPr>
            <w:tcW w:w="375" w:type="pct"/>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cs="宋体"/>
                <w:b w:val="0"/>
                <w:bCs w:val="0"/>
                <w:highlight w:val="none"/>
                <w:lang w:val="en-US" w:eastAsia="zh-CN"/>
              </w:rPr>
            </w:pPr>
            <w:r>
              <w:rPr>
                <w:rFonts w:hint="eastAsia" w:ascii="宋体" w:hAnsi="宋体" w:eastAsia="宋体" w:cs="宋体"/>
                <w:i w:val="0"/>
                <w:iCs w:val="0"/>
                <w:color w:val="000000"/>
                <w:sz w:val="21"/>
                <w:szCs w:val="21"/>
                <w:highlight w:val="none"/>
                <w:u w:val="none"/>
                <w:lang w:val="en-US" w:eastAsia="zh-CN"/>
              </w:rPr>
              <w:t>2</w:t>
            </w:r>
          </w:p>
        </w:tc>
        <w:tc>
          <w:tcPr>
            <w:tcW w:w="2083" w:type="pct"/>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阻燃布带</w:t>
            </w:r>
          </w:p>
        </w:tc>
        <w:tc>
          <w:tcPr>
            <w:tcW w:w="41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2528</w:t>
            </w:r>
          </w:p>
        </w:tc>
        <w:tc>
          <w:tcPr>
            <w:tcW w:w="45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米</w:t>
            </w:r>
          </w:p>
        </w:tc>
        <w:tc>
          <w:tcPr>
            <w:tcW w:w="833"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highlight w:val="none"/>
              </w:rPr>
            </w:pPr>
          </w:p>
        </w:tc>
        <w:tc>
          <w:tcPr>
            <w:tcW w:w="833" w:type="pct"/>
            <w:vMerge w:val="continue"/>
            <w:tcBorders>
              <w:left w:val="single" w:color="000000" w:sz="4" w:space="0"/>
              <w:right w:val="single" w:color="000000" w:sz="4" w:space="0"/>
            </w:tcBorders>
            <w:vAlign w:val="center"/>
          </w:tcPr>
          <w:p>
            <w:pPr>
              <w:jc w:val="center"/>
              <w:rPr>
                <w:b w:val="0"/>
                <w:bCs w:val="0"/>
                <w:highlight w:val="none"/>
              </w:rPr>
            </w:pPr>
          </w:p>
        </w:tc>
      </w:tr>
      <w:tr>
        <w:tblPrEx>
          <w:tblCellMar>
            <w:top w:w="15" w:type="dxa"/>
            <w:left w:w="15" w:type="dxa"/>
            <w:bottom w:w="15" w:type="dxa"/>
            <w:right w:w="15" w:type="dxa"/>
          </w:tblCellMar>
        </w:tblPrEx>
        <w:trPr>
          <w:trHeight w:val="172" w:hRule="atLeast"/>
          <w:jc w:val="center"/>
        </w:trPr>
        <w:tc>
          <w:tcPr>
            <w:tcW w:w="375" w:type="pct"/>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b w:val="0"/>
                <w:bCs w:val="0"/>
                <w:highlight w:val="none"/>
                <w:lang w:val="en-US" w:eastAsia="zh-CN"/>
              </w:rPr>
            </w:pPr>
            <w:r>
              <w:rPr>
                <w:rFonts w:hint="eastAsia" w:ascii="宋体" w:hAnsi="宋体" w:eastAsia="宋体" w:cs="宋体"/>
                <w:i w:val="0"/>
                <w:iCs w:val="0"/>
                <w:color w:val="000000"/>
                <w:sz w:val="21"/>
                <w:szCs w:val="21"/>
                <w:highlight w:val="none"/>
                <w:u w:val="none"/>
                <w:lang w:val="en-US" w:eastAsia="zh-CN"/>
              </w:rPr>
              <w:t>3</w:t>
            </w:r>
          </w:p>
        </w:tc>
        <w:tc>
          <w:tcPr>
            <w:tcW w:w="2083" w:type="pct"/>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b w:val="0"/>
                <w:bCs w:val="0"/>
                <w:highlight w:val="none"/>
                <w:lang w:eastAsia="zh-CN"/>
              </w:rPr>
            </w:pPr>
            <w:r>
              <w:rPr>
                <w:rFonts w:hint="eastAsia" w:ascii="宋体" w:hAnsi="宋体" w:eastAsia="宋体" w:cs="宋体"/>
                <w:i w:val="0"/>
                <w:iCs w:val="0"/>
                <w:color w:val="000000"/>
                <w:sz w:val="21"/>
                <w:szCs w:val="21"/>
                <w:highlight w:val="none"/>
                <w:u w:val="none"/>
                <w:lang w:val="en-US" w:eastAsia="zh-CN"/>
              </w:rPr>
              <w:t>窗帘轨道</w:t>
            </w:r>
          </w:p>
        </w:tc>
        <w:tc>
          <w:tcPr>
            <w:tcW w:w="416" w:type="pct"/>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1264</w:t>
            </w:r>
          </w:p>
        </w:tc>
        <w:tc>
          <w:tcPr>
            <w:tcW w:w="458" w:type="pct"/>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highlight w:val="none"/>
              </w:rPr>
            </w:pPr>
            <w:r>
              <w:rPr>
                <w:rFonts w:hint="eastAsia" w:ascii="宋体" w:hAnsi="宋体" w:eastAsia="宋体" w:cs="宋体"/>
                <w:i w:val="0"/>
                <w:iCs w:val="0"/>
                <w:color w:val="000000"/>
                <w:sz w:val="21"/>
                <w:szCs w:val="21"/>
                <w:highlight w:val="none"/>
                <w:u w:val="none"/>
                <w:lang w:val="en-US" w:eastAsia="zh-CN"/>
              </w:rPr>
              <w:t>米</w:t>
            </w:r>
          </w:p>
        </w:tc>
        <w:tc>
          <w:tcPr>
            <w:tcW w:w="833" w:type="pct"/>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val="0"/>
                <w:bCs w:val="0"/>
                <w:highlight w:val="none"/>
              </w:rPr>
            </w:pPr>
          </w:p>
        </w:tc>
        <w:tc>
          <w:tcPr>
            <w:tcW w:w="833" w:type="pct"/>
            <w:vMerge w:val="continue"/>
            <w:tcBorders>
              <w:left w:val="single" w:color="000000" w:sz="4" w:space="0"/>
              <w:bottom w:val="single" w:color="auto" w:sz="4" w:space="0"/>
              <w:right w:val="single" w:color="000000" w:sz="4" w:space="0"/>
            </w:tcBorders>
            <w:vAlign w:val="center"/>
          </w:tcPr>
          <w:p>
            <w:pPr>
              <w:jc w:val="center"/>
              <w:rPr>
                <w:b w:val="0"/>
                <w:bCs w:val="0"/>
                <w:highlight w:val="none"/>
              </w:rPr>
            </w:pPr>
          </w:p>
        </w:tc>
      </w:tr>
    </w:tbl>
    <w:p>
      <w:pPr>
        <w:rPr>
          <w:color w:val="FF0000"/>
          <w:highlight w:val="none"/>
        </w:rPr>
      </w:pPr>
      <w:r>
        <w:rPr>
          <w:rFonts w:hint="eastAsia"/>
          <w:color w:val="FF0000"/>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1、</w:t>
      </w:r>
      <w:r>
        <w:rPr>
          <w:rFonts w:hint="eastAsia"/>
          <w:color w:val="FF0000"/>
          <w:highlight w:val="none"/>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highlight w:val="none"/>
        </w:rPr>
      </w:pPr>
      <w:r>
        <w:rPr>
          <w:rFonts w:hint="eastAsia"/>
          <w:color w:val="FF0000"/>
          <w:highlight w:val="none"/>
          <w:lang w:val="en-US" w:eastAsia="zh-CN"/>
        </w:rPr>
        <w:t>2、</w:t>
      </w:r>
      <w:r>
        <w:rPr>
          <w:rFonts w:hint="eastAsia"/>
          <w:color w:val="FF0000"/>
          <w:highlight w:val="none"/>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3、</w:t>
      </w:r>
      <w:r>
        <w:rPr>
          <w:rFonts w:hint="eastAsia"/>
          <w:color w:val="FF0000"/>
          <w:highlight w:val="none"/>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4、</w:t>
      </w:r>
      <w:r>
        <w:rPr>
          <w:rFonts w:hint="eastAsia"/>
          <w:color w:val="FF0000"/>
          <w:highlight w:val="none"/>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highlight w:val="none"/>
        </w:rPr>
      </w:pPr>
    </w:p>
    <w:p>
      <w:pPr>
        <w:ind w:firstLine="420" w:firstLineChars="200"/>
        <w:rPr>
          <w:color w:val="FF0000"/>
          <w:highlight w:val="none"/>
        </w:rPr>
      </w:pPr>
    </w:p>
    <w:p>
      <w:pPr>
        <w:ind w:firstLine="420" w:firstLineChars="200"/>
        <w:rPr>
          <w:color w:val="FF0000"/>
          <w:highlight w:val="none"/>
        </w:rPr>
      </w:pPr>
    </w:p>
    <w:p>
      <w:pPr>
        <w:pStyle w:val="3"/>
        <w:jc w:val="center"/>
        <w:rPr>
          <w:highlight w:val="none"/>
        </w:rPr>
      </w:pPr>
      <w:bookmarkStart w:id="13" w:name="_Toc128884461"/>
      <w:r>
        <w:rPr>
          <w:rFonts w:hint="eastAsia"/>
          <w:highlight w:val="none"/>
        </w:rPr>
        <w:t>三、实质性条款</w:t>
      </w:r>
    </w:p>
    <w:tbl>
      <w:tblPr>
        <w:tblStyle w:val="17"/>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pPr>
              <w:rPr>
                <w:highlight w:val="none"/>
              </w:rPr>
            </w:pPr>
            <w:r>
              <w:rPr>
                <w:rFonts w:hint="eastAsia"/>
                <w:highlight w:val="none"/>
              </w:rPr>
              <w:t>序号</w:t>
            </w:r>
          </w:p>
        </w:tc>
        <w:tc>
          <w:tcPr>
            <w:tcW w:w="7483" w:type="dxa"/>
            <w:vAlign w:val="center"/>
          </w:tcPr>
          <w:p>
            <w:pPr>
              <w:jc w:val="center"/>
              <w:rPr>
                <w:highlight w:val="none"/>
              </w:rPr>
            </w:pPr>
            <w:r>
              <w:rPr>
                <w:rFonts w:hint="eastAsia"/>
                <w:highlight w:val="none"/>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rPr>
                <w:highlight w:val="none"/>
              </w:rPr>
            </w:pPr>
            <w:r>
              <w:rPr>
                <w:rFonts w:hint="eastAsia"/>
                <w:highlight w:val="none"/>
              </w:rPr>
              <w:t>1</w:t>
            </w:r>
          </w:p>
        </w:tc>
        <w:tc>
          <w:tcPr>
            <w:tcW w:w="7483" w:type="dxa"/>
          </w:tcPr>
          <w:p>
            <w:pPr>
              <w:jc w:val="center"/>
              <w:rPr>
                <w:rFonts w:hint="eastAsia" w:eastAsiaTheme="minorEastAsia"/>
                <w:highlight w:val="none"/>
                <w:lang w:eastAsia="zh-CN"/>
              </w:rPr>
            </w:pPr>
            <w:r>
              <w:rPr>
                <w:rFonts w:hint="eastAsia"/>
                <w:highlight w:val="none"/>
              </w:rPr>
              <w:t>本项目招标文件中所有带★号条款</w:t>
            </w:r>
            <w:r>
              <w:rPr>
                <w:rFonts w:hint="eastAsia"/>
                <w:highlight w:val="none"/>
                <w:lang w:val="en-US" w:eastAsia="zh-CN"/>
              </w:rPr>
              <w:t>内容</w:t>
            </w:r>
          </w:p>
        </w:tc>
      </w:tr>
      <w:bookmarkEnd w:id="13"/>
    </w:tbl>
    <w:p>
      <w:pPr>
        <w:rPr>
          <w:highlight w:val="none"/>
        </w:rPr>
      </w:pPr>
      <w:r>
        <w:rPr>
          <w:rFonts w:hint="eastAsia"/>
          <w:b/>
          <w:color w:val="FF0000"/>
          <w:highlight w:val="none"/>
        </w:rPr>
        <w:t>注</w:t>
      </w:r>
      <w:r>
        <w:rPr>
          <w:rFonts w:hint="eastAsia"/>
          <w:highlight w:val="none"/>
        </w:rPr>
        <w:t>：</w:t>
      </w:r>
      <w:r>
        <w:rPr>
          <w:rFonts w:hint="eastAsia"/>
          <w:b/>
          <w:color w:val="FF0000"/>
          <w:highlight w:val="none"/>
        </w:rPr>
        <w:t>上表所列内容为不可负偏离条款，负偏离将视为未实质性满足招标文件要求和条件作投标无效处理。投标人是否满足以上实质性条款要求，以《实质性条款响应情况表》相应为准。如投标人中标后被发现不能满足以上实质性条款要求的，采购单位有权拒绝签订合同，一切后果由投标人承担。</w:t>
      </w:r>
    </w:p>
    <w:p>
      <w:pPr>
        <w:ind w:firstLine="420" w:firstLineChars="200"/>
        <w:rPr>
          <w:color w:val="FF0000"/>
          <w:highlight w:val="none"/>
        </w:rPr>
      </w:pPr>
    </w:p>
    <w:p>
      <w:pPr>
        <w:rPr>
          <w:b/>
          <w:color w:val="FF0000"/>
          <w:highlight w:val="none"/>
        </w:rPr>
      </w:pPr>
    </w:p>
    <w:p>
      <w:pPr>
        <w:keepNext/>
        <w:keepLines/>
        <w:tabs>
          <w:tab w:val="left" w:pos="1680"/>
        </w:tabs>
        <w:spacing w:before="260" w:afterLines="25"/>
        <w:jc w:val="center"/>
        <w:outlineLvl w:val="2"/>
        <w:rPr>
          <w:rFonts w:ascii="Arial" w:hAnsi="Arial" w:eastAsia="宋体" w:cs="Times New Roman"/>
          <w:b/>
          <w:color w:val="FF0000"/>
          <w:szCs w:val="24"/>
          <w:highlight w:val="none"/>
        </w:rPr>
      </w:pPr>
      <w:r>
        <w:rPr>
          <w:rFonts w:hint="eastAsia"/>
          <w:b/>
          <w:color w:val="FF0000"/>
          <w:sz w:val="32"/>
          <w:szCs w:val="32"/>
          <w:highlight w:val="none"/>
        </w:rPr>
        <w:t>★</w:t>
      </w:r>
      <w:r>
        <w:rPr>
          <w:rFonts w:hint="eastAsia" w:ascii="Arial" w:hAnsi="Arial" w:eastAsia="宋体" w:cs="Times New Roman"/>
          <w:b/>
          <w:bCs/>
          <w:color w:val="FF0000"/>
          <w:sz w:val="32"/>
          <w:szCs w:val="32"/>
          <w:highlight w:val="none"/>
          <w:lang w:val="en-US" w:eastAsia="zh-CN"/>
        </w:rPr>
        <w:t>四</w:t>
      </w:r>
      <w:r>
        <w:rPr>
          <w:rFonts w:hint="eastAsia" w:ascii="Arial" w:hAnsi="Arial" w:eastAsia="宋体" w:cs="Times New Roman"/>
          <w:b/>
          <w:bCs/>
          <w:color w:val="FF0000"/>
          <w:sz w:val="32"/>
          <w:szCs w:val="32"/>
          <w:highlight w:val="none"/>
        </w:rPr>
        <w:t>、商务和服务条款部分</w:t>
      </w:r>
    </w:p>
    <w:tbl>
      <w:tblPr>
        <w:tblStyle w:val="1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color w:val="FF0000"/>
                <w:szCs w:val="21"/>
                <w:highlight w:val="none"/>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eastAsia="宋体" w:cs="宋体"/>
                <w:color w:val="FF0000"/>
                <w:szCs w:val="21"/>
                <w:highlight w:val="none"/>
              </w:rPr>
            </w:pPr>
            <w:r>
              <w:rPr>
                <w:rFonts w:hint="eastAsia" w:ascii="宋体" w:hAnsi="宋体" w:eastAsia="宋体" w:cs="宋体"/>
                <w:color w:val="FF0000"/>
                <w:szCs w:val="21"/>
                <w:highlight w:val="none"/>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szCs w:val="21"/>
                <w:highlight w:val="none"/>
              </w:rPr>
              <w:t>交货地点</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深圳市新安中学（集团）外国语学校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交货期或完工期</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本项目要求在进场施工日起 30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Arial" w:hAnsi="Arial" w:eastAsia="宋体" w:cs="Times New Roman"/>
                <w:b/>
                <w:szCs w:val="24"/>
                <w:highlight w:val="none"/>
              </w:rPr>
              <w:t>付款方式</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新宋体" w:hAnsi="新宋体" w:eastAsia="新宋体" w:cs="Times New Roman"/>
                <w:color w:val="FF0000"/>
                <w:kern w:val="0"/>
                <w:szCs w:val="21"/>
                <w:highlight w:val="none"/>
              </w:rPr>
            </w:pPr>
            <w:r>
              <w:rPr>
                <w:rFonts w:hint="eastAsia" w:ascii="新宋体" w:hAnsi="新宋体" w:eastAsia="新宋体" w:cs="Times New Roman"/>
                <w:color w:val="FF0000"/>
                <w:kern w:val="0"/>
                <w:szCs w:val="21"/>
                <w:highlight w:val="none"/>
              </w:rPr>
              <w:t>本项目完成并经验收合格后，对于满足合同约定支付条件的，采购人应当自收到发票后7日内将资金支付到合同约定的中标供应商账户。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szCs w:val="21"/>
                <w:highlight w:val="none"/>
              </w:rPr>
              <w:t>验收方式</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szCs w:val="21"/>
                <w:highlight w:val="none"/>
              </w:rPr>
            </w:pPr>
            <w:r>
              <w:rPr>
                <w:rFonts w:hint="eastAsia" w:ascii="宋体" w:hAnsi="宋体" w:eastAsia="宋体" w:cs="Times New Roman"/>
                <w:b/>
                <w:bCs/>
                <w:szCs w:val="21"/>
                <w:highlight w:val="none"/>
              </w:rPr>
              <w:t>包装及运输要求</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szCs w:val="21"/>
                <w:highlight w:val="none"/>
              </w:rPr>
            </w:pPr>
            <w:r>
              <w:rPr>
                <w:rFonts w:hint="eastAsia" w:ascii="宋体" w:hAnsi="宋体" w:eastAsia="宋体" w:cs="Times New Roman"/>
                <w:b/>
                <w:bCs/>
                <w:szCs w:val="21"/>
                <w:highlight w:val="none"/>
              </w:rPr>
              <w:t>售后服务要求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exact"/>
              <w:rPr>
                <w:rFonts w:hint="eastAsia" w:ascii="宋体" w:hAnsi="宋体" w:eastAsia="宋体" w:cs="Arial"/>
                <w:color w:val="FF0000"/>
                <w:szCs w:val="21"/>
                <w:highlight w:val="none"/>
              </w:rPr>
            </w:pPr>
            <w:r>
              <w:rPr>
                <w:rFonts w:hint="eastAsia" w:ascii="宋体" w:hAnsi="宋体" w:eastAsia="宋体" w:cs="Arial"/>
                <w:color w:val="FF0000"/>
                <w:szCs w:val="21"/>
                <w:highlight w:val="none"/>
              </w:rPr>
              <w:t>（1）要求中标方对本项目所采购的各项货物及货物集成提供3年的质保期。</w:t>
            </w:r>
          </w:p>
          <w:p>
            <w:pPr>
              <w:spacing w:afterLines="25" w:line="300" w:lineRule="exact"/>
              <w:rPr>
                <w:rFonts w:ascii="宋体" w:hAnsi="宋体" w:eastAsia="宋体" w:cs="Arial"/>
                <w:color w:val="FF0000"/>
                <w:szCs w:val="21"/>
                <w:highlight w:val="none"/>
              </w:rPr>
            </w:pPr>
            <w:r>
              <w:rPr>
                <w:rFonts w:hint="eastAsia" w:ascii="宋体" w:hAnsi="宋体" w:eastAsia="宋体" w:cs="Arial"/>
                <w:color w:val="FF0000"/>
                <w:szCs w:val="21"/>
                <w:highlight w:val="none"/>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其他要求</w:t>
            </w:r>
          </w:p>
        </w:tc>
        <w:tc>
          <w:tcPr>
            <w:tcW w:w="77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1</w:t>
            </w:r>
            <w:r>
              <w:rPr>
                <w:rFonts w:hint="eastAsia" w:ascii="宋体" w:hAnsi="宋体" w:eastAsia="宋体" w:cs="Times New Roman"/>
                <w:bCs/>
                <w:color w:val="FF0000"/>
                <w:szCs w:val="21"/>
                <w:highlight w:val="none"/>
              </w:rPr>
              <w:t>）中标供应商在签订合同时应提供投标文件打印稿贰份，并加盖公章（一份交给监理公司，一份交给学校），同时提供投标文件的OFFICE文档。</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2</w:t>
            </w:r>
            <w:r>
              <w:rPr>
                <w:rFonts w:hint="eastAsia" w:ascii="宋体" w:hAnsi="宋体" w:eastAsia="宋体" w:cs="Times New Roman"/>
                <w:bCs/>
                <w:color w:val="FF0000"/>
                <w:szCs w:val="21"/>
                <w:highlight w:val="none"/>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3</w:t>
            </w:r>
            <w:r>
              <w:rPr>
                <w:rFonts w:hint="eastAsia" w:ascii="宋体" w:hAnsi="宋体" w:eastAsia="宋体" w:cs="Times New Roman"/>
                <w:bCs/>
                <w:color w:val="FF0000"/>
                <w:szCs w:val="21"/>
                <w:highlight w:val="none"/>
              </w:rPr>
              <w:t>）上报验收报告时，除了表格中写明的材料外，还需要提交验收记录表、产品合格证、产品检测证明复印件（含第三方有资质检测机构出具的有效检测报告）、合同及附件；</w:t>
            </w:r>
          </w:p>
          <w:p>
            <w:pPr>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4</w:t>
            </w:r>
            <w:r>
              <w:rPr>
                <w:rFonts w:hint="eastAsia" w:ascii="宋体" w:hAnsi="宋体" w:eastAsia="宋体" w:cs="Times New Roman"/>
                <w:bCs/>
                <w:color w:val="FF0000"/>
                <w:szCs w:val="21"/>
                <w:highlight w:val="none"/>
              </w:rPr>
              <w:t>）投标商必须确保中标后提供的货物为正规渠道供货，不存在违反国家法律、法规的情况。</w:t>
            </w:r>
          </w:p>
        </w:tc>
      </w:tr>
    </w:tbl>
    <w:p>
      <w:pPr>
        <w:spacing w:afterLines="25" w:line="300" w:lineRule="auto"/>
        <w:rPr>
          <w:rFonts w:ascii="Arial" w:hAnsi="Arial" w:eastAsia="宋体" w:cs="Times New Roman"/>
          <w:szCs w:val="24"/>
          <w:highlight w:val="none"/>
        </w:rPr>
      </w:pPr>
    </w:p>
    <w:p>
      <w:pPr>
        <w:widowControl/>
        <w:jc w:val="left"/>
        <w:rPr>
          <w:rFonts w:ascii="Arial" w:hAnsi="Arial" w:eastAsia="宋体" w:cs="Times New Roman"/>
          <w:szCs w:val="24"/>
          <w:highlight w:val="none"/>
        </w:rPr>
      </w:pPr>
    </w:p>
    <w:p>
      <w:pPr>
        <w:keepNext/>
        <w:keepLines/>
        <w:tabs>
          <w:tab w:val="left" w:pos="1680"/>
        </w:tabs>
        <w:spacing w:before="260" w:afterLines="25"/>
        <w:jc w:val="center"/>
        <w:outlineLvl w:val="2"/>
        <w:rPr>
          <w:rFonts w:ascii="Arial" w:hAnsi="Arial" w:eastAsia="宋体" w:cs="Times New Roman"/>
          <w:b/>
          <w:bCs/>
          <w:sz w:val="32"/>
          <w:szCs w:val="32"/>
          <w:highlight w:val="none"/>
        </w:rPr>
      </w:pPr>
      <w:r>
        <w:rPr>
          <w:rFonts w:hint="eastAsia" w:ascii="Arial" w:hAnsi="Arial" w:eastAsia="宋体" w:cs="Times New Roman"/>
          <w:b/>
          <w:bCs/>
          <w:sz w:val="32"/>
          <w:szCs w:val="32"/>
          <w:highlight w:val="none"/>
          <w:lang w:val="en-US" w:eastAsia="zh-CN"/>
        </w:rPr>
        <w:t>五</w:t>
      </w:r>
      <w:r>
        <w:rPr>
          <w:rFonts w:hint="eastAsia" w:ascii="Arial" w:hAnsi="Arial" w:eastAsia="宋体" w:cs="Times New Roman"/>
          <w:b/>
          <w:bCs/>
          <w:sz w:val="32"/>
          <w:szCs w:val="32"/>
          <w:highlight w:val="none"/>
        </w:rPr>
        <w:t>、技术</w:t>
      </w:r>
      <w:r>
        <w:rPr>
          <w:rFonts w:hint="eastAsia" w:ascii="Arial" w:hAnsi="Arial" w:eastAsia="宋体" w:cs="Times New Roman"/>
          <w:b/>
          <w:bCs/>
          <w:sz w:val="32"/>
          <w:szCs w:val="32"/>
          <w:highlight w:val="none"/>
          <w:lang w:val="en-US" w:eastAsia="zh-CN"/>
        </w:rPr>
        <w:t>要求</w:t>
      </w:r>
      <w:r>
        <w:rPr>
          <w:rFonts w:hint="eastAsia" w:ascii="Arial" w:hAnsi="Arial" w:eastAsia="宋体" w:cs="Times New Roman"/>
          <w:b/>
          <w:bCs/>
          <w:sz w:val="32"/>
          <w:szCs w:val="32"/>
          <w:highlight w:val="none"/>
        </w:rPr>
        <w:t>部分</w:t>
      </w:r>
    </w:p>
    <w:p>
      <w:pPr>
        <w:rPr>
          <w:rFonts w:ascii="宋体" w:hAnsi="宋体" w:eastAsia="宋体" w:cs="Times New Roman"/>
          <w:b/>
          <w:color w:val="FF0000"/>
          <w:szCs w:val="21"/>
          <w:highlight w:val="none"/>
        </w:rPr>
      </w:pPr>
      <w:r>
        <w:rPr>
          <w:rFonts w:hint="eastAsia" w:ascii="宋体" w:hAnsi="宋体" w:eastAsia="宋体" w:cs="Times New Roman"/>
          <w:b/>
          <w:color w:val="FF0000"/>
          <w:szCs w:val="21"/>
          <w:highlight w:val="none"/>
        </w:rPr>
        <w:t>1、带</w:t>
      </w:r>
      <w:r>
        <w:rPr>
          <w:rFonts w:hint="eastAsia" w:ascii="宋体" w:hAnsi="宋体" w:eastAsia="宋体" w:cs="Times New Roman"/>
          <w:b/>
          <w:bCs/>
          <w:color w:val="FF0000"/>
          <w:szCs w:val="21"/>
          <w:highlight w:val="none"/>
        </w:rPr>
        <w:t>★</w:t>
      </w:r>
      <w:r>
        <w:rPr>
          <w:rFonts w:hint="eastAsia" w:ascii="宋体" w:hAnsi="宋体" w:eastAsia="宋体" w:cs="Times New Roman"/>
          <w:b/>
          <w:color w:val="FF0000"/>
          <w:szCs w:val="21"/>
          <w:highlight w:val="none"/>
        </w:rPr>
        <w:t>号要求为不可偏离要求，如出现负偏离，将导致投标无效。带▲号参数为重要参数，其他参数（非▲号参数）为普通参数，如出现负偏离，将按照评分准则做扣分处理。如注明要求提供相关佐证材料的，需以佐证材料作为是否偏离的依据。</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2、所列的技术</w:t>
      </w:r>
      <w:r>
        <w:rPr>
          <w:rFonts w:ascii="Calibri" w:hAnsi="Calibri" w:eastAsia="宋体" w:cs="Times New Roman"/>
          <w:color w:val="FF0000"/>
          <w:szCs w:val="21"/>
          <w:highlight w:val="none"/>
        </w:rPr>
        <w:t>参数</w:t>
      </w:r>
      <w:r>
        <w:rPr>
          <w:rFonts w:hint="eastAsia" w:ascii="Calibri" w:hAnsi="Calibri" w:eastAsia="宋体" w:cs="Times New Roman"/>
          <w:color w:val="FF0000"/>
          <w:szCs w:val="21"/>
          <w:highlight w:val="none"/>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3、如有</w:t>
      </w:r>
      <w:r>
        <w:rPr>
          <w:rFonts w:ascii="Calibri" w:hAnsi="Calibri" w:eastAsia="宋体" w:cs="Times New Roman"/>
          <w:color w:val="FF0000"/>
          <w:szCs w:val="21"/>
          <w:highlight w:val="none"/>
        </w:rPr>
        <w:t>方案表述中有出现类似可实现、</w:t>
      </w:r>
      <w:r>
        <w:rPr>
          <w:rFonts w:hint="eastAsia" w:ascii="Calibri" w:hAnsi="Calibri" w:eastAsia="宋体" w:cs="Times New Roman"/>
          <w:color w:val="FF0000"/>
          <w:szCs w:val="21"/>
          <w:highlight w:val="none"/>
        </w:rPr>
        <w:t>实现</w:t>
      </w:r>
      <w:r>
        <w:rPr>
          <w:rFonts w:ascii="Calibri" w:hAnsi="Calibri" w:eastAsia="宋体" w:cs="Times New Roman"/>
          <w:color w:val="FF0000"/>
          <w:szCs w:val="21"/>
          <w:highlight w:val="none"/>
        </w:rPr>
        <w:t>、</w:t>
      </w:r>
      <w:r>
        <w:rPr>
          <w:rFonts w:hint="eastAsia" w:ascii="Calibri" w:hAnsi="Calibri" w:eastAsia="宋体" w:cs="Times New Roman"/>
          <w:color w:val="FF0000"/>
          <w:szCs w:val="21"/>
          <w:highlight w:val="none"/>
        </w:rPr>
        <w:t>可</w:t>
      </w:r>
      <w:r>
        <w:rPr>
          <w:rFonts w:ascii="Calibri" w:hAnsi="Calibri" w:eastAsia="宋体" w:cs="Times New Roman"/>
          <w:color w:val="FF0000"/>
          <w:szCs w:val="21"/>
          <w:highlight w:val="none"/>
        </w:rPr>
        <w:t>支持、支持</w:t>
      </w:r>
      <w:r>
        <w:rPr>
          <w:rFonts w:hint="eastAsia" w:ascii="Calibri" w:hAnsi="Calibri" w:eastAsia="宋体" w:cs="Times New Roman"/>
          <w:color w:val="FF0000"/>
          <w:szCs w:val="21"/>
          <w:highlight w:val="none"/>
        </w:rPr>
        <w:t>等</w:t>
      </w:r>
      <w:r>
        <w:rPr>
          <w:rFonts w:ascii="Calibri" w:hAnsi="Calibri" w:eastAsia="宋体" w:cs="Times New Roman"/>
          <w:color w:val="FF0000"/>
          <w:szCs w:val="21"/>
          <w:highlight w:val="none"/>
        </w:rPr>
        <w:t>描述的，均表示方案需要实现的功能或</w:t>
      </w:r>
      <w:r>
        <w:rPr>
          <w:rFonts w:hint="eastAsia" w:ascii="Calibri" w:hAnsi="Calibri" w:eastAsia="宋体" w:cs="Times New Roman"/>
          <w:color w:val="FF0000"/>
          <w:szCs w:val="21"/>
          <w:highlight w:val="none"/>
        </w:rPr>
        <w:t>应满足的</w:t>
      </w:r>
      <w:r>
        <w:rPr>
          <w:rFonts w:ascii="Calibri" w:hAnsi="Calibri" w:eastAsia="宋体" w:cs="Times New Roman"/>
          <w:color w:val="FF0000"/>
          <w:szCs w:val="21"/>
          <w:highlight w:val="none"/>
        </w:rPr>
        <w:t>要求，即项目在验收时无须增加其他</w:t>
      </w:r>
      <w:r>
        <w:rPr>
          <w:rFonts w:hint="eastAsia" w:ascii="Calibri" w:hAnsi="Calibri" w:eastAsia="宋体" w:cs="Times New Roman"/>
          <w:color w:val="FF0000"/>
          <w:szCs w:val="21"/>
          <w:highlight w:val="none"/>
        </w:rPr>
        <w:t>额外</w:t>
      </w:r>
      <w:r>
        <w:rPr>
          <w:rFonts w:ascii="Calibri" w:hAnsi="Calibri" w:eastAsia="宋体" w:cs="Times New Roman"/>
          <w:color w:val="FF0000"/>
          <w:szCs w:val="21"/>
          <w:highlight w:val="none"/>
        </w:rPr>
        <w:t>设备</w:t>
      </w:r>
      <w:r>
        <w:rPr>
          <w:rFonts w:hint="eastAsia" w:ascii="Calibri" w:hAnsi="Calibri" w:eastAsia="宋体" w:cs="Times New Roman"/>
          <w:color w:val="FF0000"/>
          <w:szCs w:val="21"/>
          <w:highlight w:val="none"/>
        </w:rPr>
        <w:t>或</w:t>
      </w:r>
      <w:r>
        <w:rPr>
          <w:rFonts w:ascii="Calibri" w:hAnsi="Calibri" w:eastAsia="宋体" w:cs="Times New Roman"/>
          <w:color w:val="FF0000"/>
          <w:szCs w:val="21"/>
          <w:highlight w:val="none"/>
        </w:rPr>
        <w:t>系统</w:t>
      </w:r>
      <w:r>
        <w:rPr>
          <w:rFonts w:hint="eastAsia" w:ascii="Calibri" w:hAnsi="Calibri" w:eastAsia="宋体" w:cs="Times New Roman"/>
          <w:color w:val="FF0000"/>
          <w:szCs w:val="21"/>
          <w:highlight w:val="none"/>
        </w:rPr>
        <w:t>，</w:t>
      </w:r>
      <w:r>
        <w:rPr>
          <w:rFonts w:ascii="Calibri" w:hAnsi="Calibri" w:eastAsia="宋体" w:cs="Times New Roman"/>
          <w:color w:val="FF0000"/>
          <w:szCs w:val="21"/>
          <w:highlight w:val="none"/>
        </w:rPr>
        <w:t>使用本项目中的设备或</w:t>
      </w:r>
      <w:r>
        <w:rPr>
          <w:rFonts w:hint="eastAsia" w:ascii="Calibri" w:hAnsi="Calibri" w:eastAsia="宋体" w:cs="Times New Roman"/>
          <w:color w:val="FF0000"/>
          <w:szCs w:val="21"/>
          <w:highlight w:val="none"/>
        </w:rPr>
        <w:t>系统</w:t>
      </w:r>
      <w:r>
        <w:rPr>
          <w:rFonts w:ascii="Calibri" w:hAnsi="Calibri" w:eastAsia="宋体" w:cs="Times New Roman"/>
          <w:color w:val="FF0000"/>
          <w:szCs w:val="21"/>
          <w:highlight w:val="none"/>
        </w:rPr>
        <w:t>即能实现</w:t>
      </w:r>
      <w:r>
        <w:rPr>
          <w:rFonts w:hint="eastAsia" w:ascii="Calibri" w:hAnsi="Calibri" w:eastAsia="宋体" w:cs="Times New Roman"/>
          <w:color w:val="FF0000"/>
          <w:szCs w:val="21"/>
          <w:highlight w:val="none"/>
        </w:rPr>
        <w:t>相应功能</w:t>
      </w:r>
      <w:r>
        <w:rPr>
          <w:rFonts w:ascii="Calibri" w:hAnsi="Calibri" w:eastAsia="宋体" w:cs="Times New Roman"/>
          <w:color w:val="FF0000"/>
          <w:szCs w:val="21"/>
          <w:highlight w:val="none"/>
        </w:rPr>
        <w:t>或</w:t>
      </w:r>
      <w:r>
        <w:rPr>
          <w:rFonts w:hint="eastAsia" w:ascii="Calibri" w:hAnsi="Calibri" w:eastAsia="宋体" w:cs="Times New Roman"/>
          <w:color w:val="FF0000"/>
          <w:szCs w:val="21"/>
          <w:highlight w:val="none"/>
        </w:rPr>
        <w:t>满足相关</w:t>
      </w:r>
      <w:r>
        <w:rPr>
          <w:rFonts w:ascii="Calibri" w:hAnsi="Calibri" w:eastAsia="宋体" w:cs="Times New Roman"/>
          <w:color w:val="FF0000"/>
          <w:szCs w:val="21"/>
          <w:highlight w:val="none"/>
        </w:rPr>
        <w:t>要求。</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p>
      <w:pPr>
        <w:spacing w:after="78"/>
        <w:jc w:val="left"/>
        <w:rPr>
          <w:rFonts w:hint="default" w:ascii="Calibri" w:hAnsi="Calibri" w:eastAsia="宋体" w:cs="Times New Roman"/>
          <w:color w:val="FF0000"/>
          <w:szCs w:val="21"/>
          <w:highlight w:val="none"/>
          <w:lang w:val="en-US" w:eastAsia="zh-CN"/>
        </w:rPr>
      </w:pP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388"/>
        <w:gridCol w:w="573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pct"/>
            <w:noWrap w:val="0"/>
            <w:vAlign w:val="center"/>
          </w:tcPr>
          <w:p>
            <w:pPr>
              <w:widowControl/>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747" w:type="pct"/>
            <w:noWrap w:val="0"/>
            <w:vAlign w:val="center"/>
          </w:tcPr>
          <w:p>
            <w:pPr>
              <w:widowControl/>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设备名称</w:t>
            </w:r>
          </w:p>
        </w:tc>
        <w:tc>
          <w:tcPr>
            <w:tcW w:w="3087" w:type="pct"/>
            <w:noWrap w:val="0"/>
            <w:vAlign w:val="center"/>
          </w:tcPr>
          <w:p>
            <w:pPr>
              <w:widowControl/>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技术参数要求</w:t>
            </w:r>
          </w:p>
        </w:tc>
        <w:tc>
          <w:tcPr>
            <w:tcW w:w="634" w:type="pct"/>
            <w:noWrap w:val="0"/>
            <w:vAlign w:val="center"/>
          </w:tcPr>
          <w:p>
            <w:pPr>
              <w:widowControl/>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noWrap w:val="0"/>
            <w:vAlign w:val="center"/>
          </w:tcPr>
          <w:p>
            <w:pPr>
              <w:widowControl/>
              <w:spacing w:line="0" w:lineRule="atLeas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747" w:type="pct"/>
            <w:noWrap w:val="0"/>
            <w:vAlign w:val="center"/>
          </w:tcPr>
          <w:p>
            <w:pPr>
              <w:widowControl/>
              <w:jc w:val="center"/>
              <w:rPr>
                <w:rFonts w:hint="eastAsia" w:ascii="宋体" w:hAnsi="宋体" w:eastAsia="宋体" w:cs="宋体"/>
                <w:kern w:val="0"/>
                <w:sz w:val="21"/>
                <w:szCs w:val="21"/>
                <w:highlight w:val="none"/>
                <w:lang w:val="en-US" w:eastAsia="zh-CN"/>
              </w:rPr>
            </w:pPr>
            <w:r>
              <w:rPr>
                <w:rFonts w:hint="eastAsia" w:ascii="宋体" w:hAnsi="宋体" w:eastAsia="宋体" w:cs="宋体"/>
                <w:i w:val="0"/>
                <w:iCs w:val="0"/>
                <w:color w:val="000000"/>
                <w:sz w:val="21"/>
                <w:szCs w:val="21"/>
                <w:highlight w:val="none"/>
                <w:u w:val="none"/>
                <w:lang w:val="en-US" w:eastAsia="zh-CN"/>
              </w:rPr>
              <w:t>阻燃窗帘</w:t>
            </w:r>
          </w:p>
        </w:tc>
        <w:tc>
          <w:tcPr>
            <w:tcW w:w="3087" w:type="pct"/>
            <w:noWrap w:val="0"/>
            <w:vAlign w:val="top"/>
          </w:tcPr>
          <w:p>
            <w:pPr>
              <w:spacing w:line="288" w:lineRule="auto"/>
              <w:jc w:val="lef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阻燃窗帘（面料）：</w:t>
            </w:r>
          </w:p>
          <w:p>
            <w:pPr>
              <w:numPr>
                <w:ilvl w:val="0"/>
                <w:numId w:val="4"/>
              </w:numPr>
              <w:spacing w:line="288"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基本要求：100%聚酯纤维；</w:t>
            </w:r>
          </w:p>
          <w:p>
            <w:pPr>
              <w:numPr>
                <w:ilvl w:val="0"/>
                <w:numId w:val="0"/>
              </w:numPr>
              <w:spacing w:line="288"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2.物理性能：具有易去污性，耐磨性能；</w:t>
            </w:r>
          </w:p>
          <w:p>
            <w:pPr>
              <w:pStyle w:val="8"/>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▲3.功能性要求：阻燃标准：检测符合GB20286-2006阻燃1级或GB/T17591-2006 B1级阻燃；防螨性能：防螨驱避率≥70%，检测依据GB/T24253-2009；负离子发生量≥4500个/m³，检测依据GB/T30128-2013；具有抗菌性能：对金黄色葡萄球菌、大肠杆菌、白色念珠菌、肺炎杆菌（肺炎克雷白氏菌）、铜绿假单胞菌、耐甲氯西林金黄色葡萄球菌具有85%以上的抑菌效果，检测标准GB/T20944.3-2008或AATCC TM100-2019标准；</w:t>
            </w:r>
            <w:r>
              <w:rPr>
                <w:rFonts w:hint="eastAsia" w:ascii="宋体" w:hAnsi="宋体" w:eastAsia="宋体" w:cs="宋体"/>
                <w:b/>
                <w:bCs/>
                <w:color w:val="0000FF"/>
                <w:sz w:val="21"/>
                <w:szCs w:val="21"/>
                <w:highlight w:val="none"/>
                <w:lang w:val="en-US" w:eastAsia="zh-CN"/>
              </w:rPr>
              <w:t>（</w:t>
            </w:r>
            <w:r>
              <w:rPr>
                <w:rFonts w:hint="eastAsia" w:ascii="宋体" w:hAnsi="宋体" w:eastAsia="宋体" w:cs="宋体"/>
                <w:b/>
                <w:bCs/>
                <w:i w:val="0"/>
                <w:iCs w:val="0"/>
                <w:color w:val="0000FF"/>
                <w:kern w:val="0"/>
                <w:sz w:val="21"/>
                <w:szCs w:val="21"/>
                <w:highlight w:val="none"/>
                <w:u w:val="none"/>
                <w:lang w:val="en-US" w:eastAsia="zh-CN" w:bidi="ar"/>
              </w:rPr>
              <w:t>投标时提供：由第三方检验检测机构出具并加盖（或带有）CMA和CNAS标志的检验检测报告扫描件，原件备查。注：对应参数（检验检测项）在检验检测报告中进行标注。并提供</w:t>
            </w:r>
            <w:r>
              <w:rPr>
                <w:rFonts w:hint="eastAsia" w:ascii="宋体" w:hAnsi="宋体" w:eastAsia="宋体" w:cs="宋体"/>
                <w:b/>
                <w:bCs/>
                <w:color w:val="0000FF"/>
                <w:kern w:val="2"/>
                <w:sz w:val="21"/>
                <w:szCs w:val="21"/>
                <w:highlight w:val="none"/>
                <w:lang w:val="en-US" w:eastAsia="zh-CN" w:bidi="ar-SA"/>
              </w:rPr>
              <w:t>上述检验检测报告在全国认证认可信息公共服务平台（认e云）（http://cx.cnca.cn/）的信息查询记录截图。</w:t>
            </w:r>
            <w:r>
              <w:rPr>
                <w:rFonts w:hint="eastAsia" w:ascii="宋体" w:hAnsi="宋体" w:eastAsia="宋体" w:cs="宋体"/>
                <w:b/>
                <w:bCs/>
                <w:color w:val="0000FF"/>
                <w:sz w:val="21"/>
                <w:szCs w:val="21"/>
                <w:highlight w:val="none"/>
                <w:lang w:val="en-US" w:eastAsia="zh-CN"/>
              </w:rPr>
              <w:t>）</w:t>
            </w:r>
          </w:p>
          <w:p>
            <w:pPr>
              <w:pStyle w:val="8"/>
              <w:rPr>
                <w:rFonts w:hint="eastAsia" w:ascii="宋体" w:hAnsi="宋体" w:eastAsia="宋体" w:cs="宋体"/>
                <w:color w:val="0000FF"/>
                <w:sz w:val="21"/>
                <w:szCs w:val="21"/>
                <w:highlight w:val="none"/>
              </w:rPr>
            </w:pPr>
            <w:r>
              <w:rPr>
                <w:rFonts w:hint="eastAsia" w:ascii="宋体" w:hAnsi="宋体" w:eastAsia="宋体" w:cs="宋体"/>
                <w:sz w:val="21"/>
                <w:szCs w:val="21"/>
                <w:highlight w:val="none"/>
                <w:lang w:val="en-US" w:eastAsia="zh-CN"/>
              </w:rPr>
              <w:t>▲4.经检测柯萨奇病毒A21型，其抗病毒活性值≥1.0，抗病毒活性率（%）≥95（依据ISO18184：2019标准）；甲型流感病毒H1N1，其抗病毒活性值≥1.0，抗病毒活性率（%）≥95（依据ISO18184：2019标准）。</w:t>
            </w:r>
            <w:r>
              <w:rPr>
                <w:rFonts w:hint="eastAsia" w:ascii="宋体" w:hAnsi="宋体" w:eastAsia="宋体" w:cs="宋体"/>
                <w:color w:val="0000FF"/>
                <w:sz w:val="21"/>
                <w:szCs w:val="21"/>
                <w:highlight w:val="none"/>
                <w:lang w:val="en-US" w:eastAsia="zh-CN"/>
              </w:rPr>
              <w:t>（</w:t>
            </w:r>
            <w:r>
              <w:rPr>
                <w:rFonts w:hint="eastAsia" w:ascii="宋体" w:hAnsi="宋体" w:eastAsia="宋体" w:cs="宋体"/>
                <w:b/>
                <w:bCs/>
                <w:i w:val="0"/>
                <w:iCs w:val="0"/>
                <w:color w:val="0000FF"/>
                <w:kern w:val="0"/>
                <w:sz w:val="21"/>
                <w:szCs w:val="21"/>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p>
            <w:pPr>
              <w:pStyle w:val="8"/>
              <w:rPr>
                <w:rFonts w:hint="eastAsia" w:ascii="宋体" w:hAnsi="宋体" w:eastAsia="宋体" w:cs="宋体"/>
                <w:color w:val="0000FF"/>
                <w:sz w:val="21"/>
                <w:szCs w:val="21"/>
                <w:highlight w:val="none"/>
                <w:lang w:val="en-US" w:eastAsia="zh-CN"/>
              </w:rPr>
            </w:pPr>
            <w:r>
              <w:rPr>
                <w:rFonts w:hint="eastAsia" w:ascii="宋体" w:hAnsi="宋体" w:eastAsia="宋体" w:cs="宋体"/>
                <w:b/>
                <w:bCs/>
                <w:i w:val="0"/>
                <w:iCs w:val="0"/>
                <w:color w:val="0000FF"/>
                <w:kern w:val="0"/>
                <w:sz w:val="21"/>
                <w:szCs w:val="21"/>
                <w:highlight w:val="none"/>
                <w:u w:val="none"/>
                <w:lang w:val="en-US" w:eastAsia="zh-CN" w:bidi="ar"/>
              </w:rPr>
              <w:t>并提供</w:t>
            </w:r>
            <w:r>
              <w:rPr>
                <w:rFonts w:hint="eastAsia" w:ascii="宋体" w:hAnsi="宋体" w:eastAsia="宋体" w:cs="宋体"/>
                <w:b/>
                <w:bCs/>
                <w:color w:val="0000FF"/>
                <w:kern w:val="2"/>
                <w:sz w:val="21"/>
                <w:szCs w:val="21"/>
                <w:highlight w:val="none"/>
                <w:lang w:val="en-US" w:eastAsia="zh-CN" w:bidi="ar-SA"/>
              </w:rPr>
              <w:t>上述检验检测报告在全国认证认可信息公共服务平台（认e云）（http://cx.cnca.cn/）的信息查询记录截图。</w:t>
            </w:r>
          </w:p>
          <w:p>
            <w:pPr>
              <w:pStyle w:val="8"/>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w:t>
            </w:r>
          </w:p>
          <w:p>
            <w:pPr>
              <w:pStyle w:val="8"/>
              <w:rPr>
                <w:rFonts w:hint="eastAsia" w:ascii="宋体" w:hAnsi="宋体" w:eastAsia="宋体" w:cs="宋体"/>
                <w:color w:val="0000FF"/>
                <w:sz w:val="21"/>
                <w:szCs w:val="21"/>
                <w:highlight w:val="none"/>
              </w:rPr>
            </w:pPr>
            <w:r>
              <w:rPr>
                <w:rFonts w:hint="eastAsia" w:ascii="宋体" w:hAnsi="宋体" w:eastAsia="宋体" w:cs="宋体"/>
                <w:sz w:val="21"/>
                <w:szCs w:val="21"/>
                <w:highlight w:val="none"/>
                <w:lang w:val="en-US" w:eastAsia="zh-CN"/>
              </w:rPr>
              <w:t>▲5.经检测甲型流感病毒H3N2，其抗病毒活性值≥1.0，抗病毒活性率（%）≥95（依据ISO18184：2019标准）；经检测人冠状病毒HCoV-229E型，其抗病毒活性值≥1.0，抗病毒活性率（%）≥95（依据ISO18184：2019标准）。</w:t>
            </w:r>
            <w:r>
              <w:rPr>
                <w:rFonts w:hint="eastAsia" w:ascii="宋体" w:hAnsi="宋体" w:eastAsia="宋体" w:cs="宋体"/>
                <w:color w:val="0000FF"/>
                <w:sz w:val="21"/>
                <w:szCs w:val="21"/>
                <w:highlight w:val="none"/>
                <w:lang w:val="en-US" w:eastAsia="zh-CN"/>
              </w:rPr>
              <w:t>（</w:t>
            </w:r>
            <w:r>
              <w:rPr>
                <w:rFonts w:hint="eastAsia" w:ascii="宋体" w:hAnsi="宋体" w:eastAsia="宋体" w:cs="宋体"/>
                <w:b/>
                <w:bCs/>
                <w:i w:val="0"/>
                <w:iCs w:val="0"/>
                <w:color w:val="0000FF"/>
                <w:kern w:val="0"/>
                <w:sz w:val="21"/>
                <w:szCs w:val="21"/>
                <w:highlight w:val="none"/>
                <w:u w:val="none"/>
                <w:lang w:val="en-US" w:eastAsia="zh-CN" w:bidi="ar"/>
              </w:rPr>
              <w:t>投标时提供：由第三方检验检测机构出具并加盖（或带有）CMA和CNAS标志的检验检测报告扫描件，原件备查。注：对应参数（检验检测项）在检验检测报告中进行标注。</w:t>
            </w:r>
          </w:p>
          <w:p>
            <w:pPr>
              <w:pStyle w:val="8"/>
              <w:rPr>
                <w:rFonts w:hint="eastAsia" w:ascii="宋体" w:hAnsi="宋体" w:eastAsia="宋体" w:cs="宋体"/>
                <w:color w:val="0000FF"/>
                <w:sz w:val="21"/>
                <w:szCs w:val="21"/>
                <w:highlight w:val="none"/>
                <w:lang w:val="en-US" w:eastAsia="zh-CN"/>
              </w:rPr>
            </w:pPr>
            <w:r>
              <w:rPr>
                <w:rFonts w:hint="eastAsia" w:ascii="宋体" w:hAnsi="宋体" w:eastAsia="宋体" w:cs="宋体"/>
                <w:b/>
                <w:bCs/>
                <w:i w:val="0"/>
                <w:iCs w:val="0"/>
                <w:color w:val="0000FF"/>
                <w:kern w:val="0"/>
                <w:sz w:val="21"/>
                <w:szCs w:val="21"/>
                <w:highlight w:val="none"/>
                <w:u w:val="none"/>
                <w:lang w:val="en-US" w:eastAsia="zh-CN" w:bidi="ar"/>
              </w:rPr>
              <w:t>并提供</w:t>
            </w:r>
            <w:r>
              <w:rPr>
                <w:rFonts w:hint="eastAsia" w:ascii="宋体" w:hAnsi="宋体" w:eastAsia="宋体" w:cs="宋体"/>
                <w:b/>
                <w:bCs/>
                <w:color w:val="0000FF"/>
                <w:kern w:val="2"/>
                <w:sz w:val="21"/>
                <w:szCs w:val="21"/>
                <w:highlight w:val="none"/>
                <w:lang w:val="en-US" w:eastAsia="zh-CN" w:bidi="ar-SA"/>
              </w:rPr>
              <w:t>上述检验检测报告在全国认证认可信息公共服务平台（认e云）（http://cx.cnca.cn/）的信息查询记录截图。</w:t>
            </w:r>
          </w:p>
          <w:p>
            <w:pPr>
              <w:pStyle w:val="8"/>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w:t>
            </w:r>
          </w:p>
          <w:p>
            <w:pPr>
              <w:spacing w:line="288"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6.门幅280cm±5cm，含高温定型（具体颜色和花型中标后由采购方确认）。</w:t>
            </w:r>
          </w:p>
        </w:tc>
        <w:tc>
          <w:tcPr>
            <w:tcW w:w="634" w:type="pct"/>
            <w:noWrap w:val="0"/>
            <w:vAlign w:val="top"/>
          </w:tcPr>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1" w:type="pct"/>
            <w:noWrap w:val="0"/>
            <w:vAlign w:val="center"/>
          </w:tcPr>
          <w:p>
            <w:pPr>
              <w:widowControl/>
              <w:spacing w:line="0" w:lineRule="atLeas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w:t>
            </w:r>
          </w:p>
        </w:tc>
        <w:tc>
          <w:tcPr>
            <w:tcW w:w="747" w:type="pct"/>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i w:val="0"/>
                <w:iCs w:val="0"/>
                <w:color w:val="000000"/>
                <w:sz w:val="21"/>
                <w:szCs w:val="21"/>
                <w:highlight w:val="none"/>
                <w:u w:val="none"/>
                <w:lang w:val="en-US" w:eastAsia="zh-CN"/>
              </w:rPr>
              <w:t>阻燃布带</w:t>
            </w:r>
          </w:p>
        </w:tc>
        <w:tc>
          <w:tcPr>
            <w:tcW w:w="3087" w:type="pct"/>
            <w:noWrap w:val="0"/>
            <w:vAlign w:val="top"/>
          </w:tcPr>
          <w:p>
            <w:pPr>
              <w:spacing w:line="288" w:lineRule="auto"/>
              <w:jc w:val="lef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阻燃布带（面料）：</w:t>
            </w:r>
          </w:p>
          <w:p>
            <w:pPr>
              <w:spacing w:line="288"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7.成分：100%聚酯纤维；</w:t>
            </w:r>
          </w:p>
          <w:p>
            <w:pPr>
              <w:pStyle w:val="8"/>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▲8.功能性要求：阻燃标准：检测符合GB/T17591-2006 B1级阻燃；</w:t>
            </w:r>
            <w:r>
              <w:rPr>
                <w:rFonts w:hint="eastAsia" w:ascii="宋体" w:hAnsi="宋体" w:eastAsia="宋体" w:cs="宋体"/>
                <w:b/>
                <w:bCs/>
                <w:i w:val="0"/>
                <w:iCs w:val="0"/>
                <w:color w:val="0000FF"/>
                <w:kern w:val="0"/>
                <w:sz w:val="21"/>
                <w:szCs w:val="21"/>
                <w:highlight w:val="none"/>
                <w:u w:val="none"/>
                <w:lang w:val="en-US" w:eastAsia="zh-CN" w:bidi="ar"/>
              </w:rPr>
              <w:t>投标时提供：由第三方检验检测机构出具并加盖（或带有）CMA和CNAS标志的检验检测报告扫描件，原件备查。注：对应参数（检验检测项）在检验检测报告中进行标注。并提供</w:t>
            </w:r>
            <w:r>
              <w:rPr>
                <w:rFonts w:hint="eastAsia" w:ascii="宋体" w:hAnsi="宋体" w:eastAsia="宋体" w:cs="宋体"/>
                <w:b/>
                <w:bCs/>
                <w:color w:val="0000F4"/>
                <w:kern w:val="2"/>
                <w:sz w:val="21"/>
                <w:szCs w:val="21"/>
                <w:highlight w:val="none"/>
                <w:lang w:val="en-US" w:eastAsia="zh-CN" w:bidi="ar-SA"/>
              </w:rPr>
              <w:t>上述检验检测报告在全国认证认可信息公共服务平台（认e云）（http://cx.cnca.cn/）的信息查询记录截图。</w:t>
            </w:r>
          </w:p>
          <w:p>
            <w:pPr>
              <w:pStyle w:val="8"/>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▲9.具有抗菌性能：对金黄色葡萄球菌、大肠杆菌、白色念珠菌具有80%以上的抑菌效果，检测标准GB/T20944.3-2008或AATCC TM100-2019标准；</w:t>
            </w:r>
            <w:r>
              <w:rPr>
                <w:rFonts w:hint="eastAsia" w:ascii="宋体" w:hAnsi="宋体" w:eastAsia="宋体" w:cs="宋体"/>
                <w:b/>
                <w:bCs/>
                <w:i w:val="0"/>
                <w:iCs w:val="0"/>
                <w:color w:val="0000FF"/>
                <w:kern w:val="0"/>
                <w:sz w:val="21"/>
                <w:szCs w:val="21"/>
                <w:highlight w:val="none"/>
                <w:u w:val="none"/>
                <w:lang w:val="en-US" w:eastAsia="zh-CN" w:bidi="ar"/>
              </w:rPr>
              <w:t>投标时提供：由第三方检验检测机构出具并加盖（或带有）CMA和CNAS标志的检验检测报告扫描件，原件备查。注：对应参数（检验检测项）在检验检测报告中进行标注。并提供</w:t>
            </w:r>
            <w:r>
              <w:rPr>
                <w:rFonts w:hint="eastAsia" w:ascii="宋体" w:hAnsi="宋体" w:eastAsia="宋体" w:cs="宋体"/>
                <w:b/>
                <w:bCs/>
                <w:color w:val="0000F4"/>
                <w:kern w:val="2"/>
                <w:sz w:val="21"/>
                <w:szCs w:val="21"/>
                <w:highlight w:val="none"/>
                <w:lang w:val="en-US" w:eastAsia="zh-CN" w:bidi="ar-SA"/>
              </w:rPr>
              <w:t>上述检验检测报告在全国认证认可信息公共服务平台（认e云）（http://cx.cnca.cn/）的信息查询记录截图。</w:t>
            </w:r>
          </w:p>
        </w:tc>
        <w:tc>
          <w:tcPr>
            <w:tcW w:w="634" w:type="pct"/>
            <w:noWrap w:val="0"/>
            <w:vAlign w:val="top"/>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31" w:type="pct"/>
            <w:noWrap w:val="0"/>
            <w:vAlign w:val="center"/>
          </w:tcPr>
          <w:p>
            <w:pPr>
              <w:widowControl/>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w:t>
            </w:r>
          </w:p>
        </w:tc>
        <w:tc>
          <w:tcPr>
            <w:tcW w:w="747" w:type="pct"/>
            <w:noWrap w:val="0"/>
            <w:vAlign w:val="center"/>
          </w:tcPr>
          <w:p>
            <w:pPr>
              <w:widowControl/>
              <w:jc w:val="center"/>
              <w:rPr>
                <w:rFonts w:hint="eastAsia" w:ascii="宋体" w:hAnsi="宋体" w:eastAsia="宋体" w:cs="宋体"/>
                <w:kern w:val="0"/>
                <w:sz w:val="21"/>
                <w:szCs w:val="21"/>
                <w:highlight w:val="none"/>
              </w:rPr>
            </w:pPr>
            <w:r>
              <w:rPr>
                <w:rFonts w:hint="eastAsia" w:ascii="宋体" w:hAnsi="宋体" w:eastAsia="宋体" w:cs="宋体"/>
                <w:i w:val="0"/>
                <w:iCs w:val="0"/>
                <w:color w:val="000000"/>
                <w:sz w:val="21"/>
                <w:szCs w:val="21"/>
                <w:highlight w:val="none"/>
                <w:u w:val="none"/>
                <w:lang w:val="en-US" w:eastAsia="zh-CN"/>
              </w:rPr>
              <w:t>窗帘轨道</w:t>
            </w:r>
          </w:p>
        </w:tc>
        <w:tc>
          <w:tcPr>
            <w:tcW w:w="3087" w:type="pct"/>
            <w:noWrap w:val="0"/>
            <w:vAlign w:val="center"/>
          </w:tcPr>
          <w:p>
            <w:pPr>
              <w:numPr>
                <w:ilvl w:val="0"/>
                <w:numId w:val="0"/>
              </w:numPr>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10.铝合金6063-T5</w:t>
            </w:r>
          </w:p>
          <w:p>
            <w:pPr>
              <w:numPr>
                <w:ilvl w:val="0"/>
                <w:numId w:val="0"/>
              </w:numPr>
              <w:jc w:val="left"/>
              <w:rPr>
                <w:rFonts w:hint="eastAsia" w:ascii="宋体" w:hAnsi="宋体" w:eastAsia="宋体" w:cs="宋体"/>
                <w:b/>
                <w:bCs/>
                <w:sz w:val="21"/>
                <w:szCs w:val="21"/>
                <w:highlight w:val="none"/>
              </w:rPr>
            </w:pPr>
            <w:r>
              <w:rPr>
                <w:rFonts w:hint="eastAsia" w:ascii="宋体" w:hAnsi="宋体" w:eastAsia="宋体" w:cs="宋体"/>
                <w:b w:val="0"/>
                <w:bCs w:val="0"/>
                <w:sz w:val="21"/>
                <w:szCs w:val="21"/>
                <w:highlight w:val="none"/>
                <w:lang w:val="en-US" w:eastAsia="zh-CN"/>
              </w:rPr>
              <w:t>11.规定非比例延伸强度≥185N/mm2，抗拉强度≥200N/mm2，断后伸长率≥8%</w:t>
            </w:r>
          </w:p>
        </w:tc>
        <w:tc>
          <w:tcPr>
            <w:tcW w:w="634" w:type="pct"/>
            <w:noWrap w:val="0"/>
            <w:vAlign w:val="top"/>
          </w:tcPr>
          <w:p>
            <w:pPr>
              <w:jc w:val="center"/>
              <w:rPr>
                <w:rFonts w:hint="eastAsia" w:ascii="宋体" w:hAnsi="宋体" w:eastAsia="宋体" w:cs="宋体"/>
                <w:sz w:val="21"/>
                <w:szCs w:val="21"/>
                <w:highlight w:val="none"/>
              </w:rPr>
            </w:pPr>
          </w:p>
        </w:tc>
      </w:tr>
    </w:tbl>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highlight w:val="none"/>
        </w:rPr>
      </w:pPr>
      <w:r>
        <w:rPr>
          <w:rFonts w:ascii="宋体" w:hAnsi="宋体" w:eastAsia="黑体" w:cs="Times New Roman"/>
          <w:bCs/>
          <w:kern w:val="44"/>
          <w:sz w:val="28"/>
          <w:szCs w:val="44"/>
          <w:highlight w:val="none"/>
        </w:rPr>
        <w:br w:type="page"/>
      </w:r>
      <w:r>
        <w:rPr>
          <w:rFonts w:hint="eastAsia"/>
          <w:sz w:val="28"/>
          <w:szCs w:val="28"/>
          <w:highlight w:val="none"/>
          <w:lang w:val="en-US" w:eastAsia="zh-CN"/>
        </w:rPr>
        <w:t>六</w:t>
      </w:r>
      <w:r>
        <w:rPr>
          <w:rFonts w:hint="eastAsia"/>
          <w:sz w:val="28"/>
          <w:szCs w:val="28"/>
          <w:highlight w:val="none"/>
        </w:rPr>
        <w:t>、其他重要条款</w:t>
      </w:r>
    </w:p>
    <w:p>
      <w:pPr>
        <w:ind w:firstLine="420" w:firstLineChars="200"/>
        <w:rPr>
          <w:bCs/>
          <w:szCs w:val="21"/>
          <w:highlight w:val="none"/>
        </w:rPr>
      </w:pPr>
      <w:r>
        <w:rPr>
          <w:rFonts w:hint="eastAsia"/>
          <w:bCs/>
          <w:szCs w:val="21"/>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highlight w:val="none"/>
        </w:rPr>
      </w:pPr>
      <w:r>
        <w:rPr>
          <w:bCs/>
          <w:szCs w:val="21"/>
          <w:highlight w:val="none"/>
        </w:rPr>
        <w:t>2</w:t>
      </w:r>
      <w:r>
        <w:rPr>
          <w:rFonts w:hint="eastAsia"/>
          <w:bCs/>
          <w:szCs w:val="21"/>
          <w:highlight w:val="none"/>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highlight w:val="none"/>
        </w:rPr>
      </w:pPr>
      <w:r>
        <w:rPr>
          <w:bCs/>
          <w:szCs w:val="21"/>
          <w:highlight w:val="none"/>
        </w:rPr>
        <w:t>3</w:t>
      </w:r>
      <w:r>
        <w:rPr>
          <w:rFonts w:hint="eastAsia"/>
          <w:bCs/>
          <w:szCs w:val="21"/>
          <w:highlight w:val="none"/>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highlight w:val="none"/>
        </w:rPr>
      </w:pPr>
      <w:r>
        <w:rPr>
          <w:bCs/>
          <w:szCs w:val="21"/>
          <w:highlight w:val="none"/>
        </w:rPr>
        <w:t>4</w:t>
      </w:r>
      <w:r>
        <w:rPr>
          <w:rFonts w:hint="eastAsia"/>
          <w:bCs/>
          <w:szCs w:val="21"/>
          <w:highlight w:val="none"/>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highlight w:val="none"/>
        </w:rPr>
      </w:pPr>
      <w:r>
        <w:rPr>
          <w:bCs/>
          <w:szCs w:val="21"/>
          <w:highlight w:val="none"/>
        </w:rPr>
        <w:t>5</w:t>
      </w:r>
      <w:r>
        <w:rPr>
          <w:rFonts w:hint="eastAsia"/>
          <w:bCs/>
          <w:szCs w:val="21"/>
          <w:highlight w:val="none"/>
        </w:rPr>
        <w:t>、除政府采购合同继续履行将损害国家利益和社会公共利益外，双方当事人不得擅自变更、中止或者终止合同。</w:t>
      </w:r>
    </w:p>
    <w:p>
      <w:pPr>
        <w:ind w:firstLine="420" w:firstLineChars="200"/>
        <w:rPr>
          <w:rFonts w:hint="eastAsia"/>
          <w:bCs/>
          <w:szCs w:val="21"/>
          <w:highlight w:val="none"/>
        </w:rPr>
      </w:pPr>
      <w:r>
        <w:rPr>
          <w:bCs/>
          <w:szCs w:val="21"/>
          <w:highlight w:val="none"/>
        </w:rPr>
        <w:t>6</w:t>
      </w:r>
      <w:r>
        <w:rPr>
          <w:rFonts w:hint="eastAsia"/>
          <w:bCs/>
          <w:szCs w:val="21"/>
          <w:highlight w:val="none"/>
        </w:rPr>
        <w:t>、“信用中国”</w:t>
      </w:r>
      <w:r>
        <w:rPr>
          <w:rFonts w:ascii="宋体" w:hAnsi="宋体" w:eastAsia="宋体" w:cs="宋体"/>
          <w:sz w:val="21"/>
          <w:szCs w:val="21"/>
          <w:highlight w:val="none"/>
        </w:rPr>
        <w:t>中“信用服务”栏的“</w:t>
      </w:r>
      <w:r>
        <w:rPr>
          <w:rFonts w:hint="eastAsia" w:ascii="宋体" w:hAnsi="宋体" w:eastAsia="宋体" w:cs="宋体"/>
          <w:sz w:val="21"/>
          <w:szCs w:val="21"/>
          <w:highlight w:val="none"/>
        </w:rPr>
        <w:t>重大税收违法失信主体</w:t>
      </w:r>
      <w:r>
        <w:rPr>
          <w:rFonts w:ascii="宋体" w:hAnsi="宋体" w:eastAsia="宋体" w:cs="宋体"/>
          <w:sz w:val="21"/>
          <w:szCs w:val="21"/>
          <w:highlight w:val="none"/>
        </w:rPr>
        <w:t>”“失信被执行人”</w:t>
      </w:r>
      <w:r>
        <w:rPr>
          <w:rFonts w:hint="eastAsia" w:ascii="宋体" w:hAnsi="宋体" w:cs="宋体"/>
          <w:kern w:val="0"/>
          <w:szCs w:val="21"/>
          <w:highlight w:val="none"/>
          <w:lang w:eastAsia="zh-CN"/>
        </w:rPr>
        <w:t>，</w:t>
      </w:r>
      <w:r>
        <w:rPr>
          <w:rFonts w:hint="eastAsia"/>
          <w:bCs/>
          <w:szCs w:val="21"/>
          <w:highlight w:val="none"/>
        </w:rPr>
        <w:t>“中国政府采购网”</w:t>
      </w:r>
      <w:r>
        <w:rPr>
          <w:rFonts w:ascii="宋体" w:hAnsi="宋体" w:eastAsia="宋体" w:cs="宋体"/>
          <w:sz w:val="21"/>
          <w:szCs w:val="21"/>
          <w:highlight w:val="none"/>
        </w:rPr>
        <w:t>中的“政府采购严重违法失信行为记录名单”</w:t>
      </w:r>
      <w:r>
        <w:rPr>
          <w:rFonts w:hint="eastAsia" w:ascii="宋体" w:hAnsi="宋体" w:cs="宋体"/>
          <w:kern w:val="0"/>
          <w:szCs w:val="21"/>
          <w:highlight w:val="none"/>
          <w:lang w:eastAsia="zh-CN"/>
        </w:rPr>
        <w:t>，</w:t>
      </w:r>
      <w:r>
        <w:rPr>
          <w:rFonts w:hint="eastAsia"/>
          <w:bCs/>
          <w:szCs w:val="21"/>
          <w:highlight w:val="none"/>
        </w:rPr>
        <w:t>“深圳信用网”以及“深圳市政府采购监管网”为供应商信用信息的查询渠道，相关信息以开标当日的查询结果为准。</w:t>
      </w: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widowControl/>
        <w:jc w:val="left"/>
        <w:rPr>
          <w:rFonts w:ascii="宋体" w:hAnsi="宋体" w:eastAsia="黑体" w:cs="Times New Roman"/>
          <w:bCs/>
          <w:kern w:val="44"/>
          <w:sz w:val="28"/>
          <w:szCs w:val="44"/>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第四章</w:t>
      </w:r>
      <w:r>
        <w:rPr>
          <w:rFonts w:ascii="宋体" w:hAnsi="宋体" w:eastAsia="宋体" w:cs="Times New Roman"/>
          <w:b/>
          <w:bCs/>
          <w:kern w:val="0"/>
          <w:sz w:val="28"/>
          <w:szCs w:val="28"/>
          <w:highlight w:val="none"/>
        </w:rPr>
        <w:t xml:space="preserve"> </w:t>
      </w:r>
      <w:r>
        <w:rPr>
          <w:rFonts w:hint="eastAsia" w:ascii="宋体" w:hAnsi="宋体" w:eastAsia="宋体" w:cs="Times New Roman"/>
          <w:b/>
          <w:bCs/>
          <w:kern w:val="0"/>
          <w:sz w:val="28"/>
          <w:szCs w:val="28"/>
          <w:highlight w:val="none"/>
        </w:rPr>
        <w:t xml:space="preserve"> 投标文件组成要求及格式</w:t>
      </w:r>
    </w:p>
    <w:p>
      <w:pPr>
        <w:outlineLvl w:val="2"/>
        <w:rPr>
          <w:rFonts w:ascii="黑体" w:eastAsia="黑体"/>
          <w:b/>
          <w:bCs/>
          <w:color w:val="FF0000"/>
          <w:sz w:val="28"/>
          <w:highlight w:val="none"/>
        </w:rPr>
      </w:pPr>
      <w:r>
        <w:rPr>
          <w:rFonts w:hint="eastAsia" w:ascii="黑体" w:eastAsia="黑体"/>
          <w:b/>
          <w:bCs/>
          <w:color w:val="FF0000"/>
          <w:sz w:val="28"/>
          <w:highlight w:val="none"/>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r>
        <w:rPr>
          <w:rFonts w:hint="eastAsia" w:ascii="宋体" w:hAnsi="宋体" w:eastAsia="宋体" w:cs="Times New Roman"/>
          <w:b/>
          <w:color w:val="FF0000"/>
          <w:sz w:val="28"/>
          <w:szCs w:val="28"/>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r>
        <w:rPr>
          <w:rFonts w:hint="eastAsia" w:ascii="宋体" w:hAnsi="宋体" w:eastAsia="宋体" w:cs="Times New Roman"/>
          <w:b/>
          <w:color w:val="FF0000"/>
          <w:sz w:val="28"/>
          <w:szCs w:val="28"/>
          <w:highlight w:val="none"/>
        </w:rPr>
        <w:t>投标文件正文（信息公开部分）必须编制于“正文（公开部分）”部分，投标文件附件（非信息公开部分）必须编制于“附件（不公开部分）”部分，如下图所示。</w:t>
      </w:r>
    </w:p>
    <w:p>
      <w:pPr>
        <w:jc w:val="center"/>
        <w:rPr>
          <w:rFonts w:ascii="黑体" w:eastAsia="黑体"/>
          <w:b/>
          <w:bCs/>
          <w:color w:val="FF0000"/>
          <w:sz w:val="28"/>
          <w:highlight w:val="none"/>
        </w:rPr>
      </w:pPr>
      <w:r>
        <w:rPr>
          <w:highlight w:val="none"/>
        </w:rPr>
        <w:drawing>
          <wp:inline distT="0" distB="0" distL="114300" distR="114300">
            <wp:extent cx="5203190" cy="4043045"/>
            <wp:effectExtent l="0" t="0" r="16510" b="14605"/>
            <wp:docPr id="8"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6f322b8feee32c1a3f0d48f365c82"/>
                    <pic:cNvPicPr>
                      <a:picLocks noChangeAspect="1"/>
                    </pic:cNvPicPr>
                  </pic:nvPicPr>
                  <pic:blipFill>
                    <a:blip r:embed="rId10"/>
                    <a:stretch>
                      <a:fillRect/>
                    </a:stretch>
                  </pic:blipFill>
                  <pic:spPr>
                    <a:xfrm>
                      <a:off x="0" y="0"/>
                      <a:ext cx="5203190" cy="4043045"/>
                    </a:xfrm>
                    <a:prstGeom prst="rect">
                      <a:avLst/>
                    </a:prstGeom>
                  </pic:spPr>
                </pic:pic>
              </a:graphicData>
            </a:graphic>
          </wp:inline>
        </w:drawing>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r>
        <w:rPr>
          <w:rFonts w:hint="eastAsia" w:ascii="宋体" w:hAnsi="宋体" w:eastAsia="宋体" w:cs="Times New Roman"/>
          <w:b/>
          <w:color w:val="FF0000"/>
          <w:sz w:val="28"/>
          <w:szCs w:val="28"/>
          <w:highlight w:val="none"/>
        </w:rPr>
        <w:t>政府集中采购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2" w:firstLineChars="200"/>
        <w:textAlignment w:val="auto"/>
        <w:rPr>
          <w:rFonts w:hint="eastAsia" w:ascii="宋体" w:hAnsi="宋体" w:eastAsia="宋体" w:cs="Times New Roman"/>
          <w:b/>
          <w:color w:val="FF0000"/>
          <w:sz w:val="28"/>
          <w:szCs w:val="28"/>
          <w:highlight w:val="none"/>
        </w:rPr>
      </w:pPr>
    </w:p>
    <w:p>
      <w:pPr>
        <w:widowControl/>
        <w:jc w:val="left"/>
        <w:outlineLvl w:val="2"/>
        <w:rPr>
          <w:rFonts w:ascii="宋体" w:hAnsi="宋体" w:eastAsia="黑体" w:cs="Times New Roman"/>
          <w:bCs/>
          <w:kern w:val="44"/>
          <w:sz w:val="32"/>
          <w:szCs w:val="32"/>
          <w:highlight w:val="none"/>
        </w:rPr>
      </w:pPr>
      <w:r>
        <w:rPr>
          <w:rFonts w:hint="eastAsia" w:ascii="宋体" w:hAnsi="宋体" w:eastAsia="黑体" w:cs="Times New Roman"/>
          <w:bCs/>
          <w:kern w:val="44"/>
          <w:sz w:val="32"/>
          <w:szCs w:val="32"/>
          <w:highlight w:val="none"/>
        </w:rPr>
        <w:t>投标文件组成：</w:t>
      </w:r>
    </w:p>
    <w:p>
      <w:pPr>
        <w:snapToGrid w:val="0"/>
        <w:rPr>
          <w:rFonts w:ascii="Arial" w:hAnsi="Arial" w:eastAsia="宋体" w:cs="Arial"/>
          <w:b/>
          <w:color w:val="FF0000"/>
          <w:sz w:val="32"/>
          <w:szCs w:val="32"/>
          <w:highlight w:val="none"/>
        </w:rPr>
      </w:pPr>
      <w:r>
        <w:rPr>
          <w:rFonts w:hint="eastAsia" w:ascii="宋体" w:hAnsi="宋体" w:eastAsia="宋体" w:cs="宋体"/>
          <w:b/>
          <w:color w:val="FF0000"/>
          <w:kern w:val="0"/>
          <w:sz w:val="32"/>
          <w:szCs w:val="32"/>
          <w:highlight w:val="none"/>
        </w:rPr>
        <w:t>投标文件正文（信息公开部分）：</w:t>
      </w:r>
    </w:p>
    <w:p>
      <w:pPr>
        <w:numPr>
          <w:ilvl w:val="0"/>
          <w:numId w:val="5"/>
        </w:numPr>
        <w:snapToGrid w:val="0"/>
        <w:spacing w:afterLines="25"/>
        <w:jc w:val="left"/>
        <w:rPr>
          <w:rFonts w:ascii="宋体" w:hAnsi="宋体" w:eastAsia="宋体" w:cs="Times New Roman"/>
          <w:sz w:val="30"/>
          <w:szCs w:val="30"/>
          <w:highlight w:val="none"/>
        </w:rPr>
      </w:pPr>
      <w:r>
        <w:rPr>
          <w:rFonts w:hint="eastAsia" w:ascii="宋体" w:hAnsi="宋体" w:eastAsia="宋体" w:cs="Times New Roman"/>
          <w:sz w:val="30"/>
          <w:szCs w:val="30"/>
          <w:highlight w:val="none"/>
        </w:rPr>
        <w:t xml:space="preserve">投标函； </w:t>
      </w:r>
    </w:p>
    <w:p>
      <w:pPr>
        <w:numPr>
          <w:ilvl w:val="0"/>
          <w:numId w:val="5"/>
        </w:numPr>
        <w:snapToGrid w:val="0"/>
        <w:spacing w:afterLines="25"/>
        <w:jc w:val="left"/>
        <w:rPr>
          <w:rFonts w:ascii="宋体" w:hAnsi="宋体" w:eastAsia="宋体" w:cs="Times New Roman"/>
          <w:sz w:val="30"/>
          <w:szCs w:val="30"/>
          <w:highlight w:val="none"/>
        </w:rPr>
      </w:pPr>
      <w:bookmarkStart w:id="14" w:name="_Hlk72062521"/>
      <w:r>
        <w:rPr>
          <w:rFonts w:hint="eastAsia" w:ascii="宋体" w:hAnsi="宋体" w:eastAsia="宋体" w:cs="Times New Roman"/>
          <w:sz w:val="30"/>
          <w:szCs w:val="30"/>
          <w:highlight w:val="none"/>
        </w:rPr>
        <w:t>政府采购投标及履约承诺函</w:t>
      </w:r>
      <w:bookmarkEnd w:id="14"/>
      <w:r>
        <w:rPr>
          <w:rFonts w:hint="eastAsia" w:ascii="宋体" w:hAnsi="宋体" w:eastAsia="宋体" w:cs="Times New Roman"/>
          <w:sz w:val="30"/>
          <w:szCs w:val="30"/>
          <w:highlight w:val="none"/>
        </w:rPr>
        <w:t>；</w:t>
      </w:r>
    </w:p>
    <w:p>
      <w:pPr>
        <w:numPr>
          <w:ilvl w:val="0"/>
          <w:numId w:val="5"/>
        </w:numPr>
        <w:snapToGrid w:val="0"/>
        <w:spacing w:afterLines="25"/>
        <w:jc w:val="left"/>
        <w:rPr>
          <w:rFonts w:ascii="宋体" w:hAnsi="宋体" w:eastAsia="宋体" w:cs="Times New Roman"/>
          <w:sz w:val="30"/>
          <w:szCs w:val="30"/>
          <w:highlight w:val="none"/>
        </w:rPr>
      </w:pPr>
      <w:r>
        <w:rPr>
          <w:rFonts w:hint="eastAsia" w:ascii="宋体" w:hAnsi="宋体" w:eastAsia="宋体" w:cs="Times New Roman"/>
          <w:bCs/>
          <w:sz w:val="30"/>
          <w:szCs w:val="30"/>
          <w:highlight w:val="none"/>
        </w:rPr>
        <w:t>营业执照或事业单位法人证书等；</w:t>
      </w:r>
    </w:p>
    <w:p>
      <w:pPr>
        <w:numPr>
          <w:ilvl w:val="0"/>
          <w:numId w:val="5"/>
        </w:numPr>
        <w:snapToGrid w:val="0"/>
        <w:spacing w:afterLines="25"/>
        <w:ind w:left="1456"/>
        <w:jc w:val="left"/>
        <w:rPr>
          <w:rFonts w:ascii="宋体" w:hAnsi="宋体" w:eastAsia="宋体" w:cs="Times New Roman"/>
          <w:bCs/>
          <w:sz w:val="30"/>
          <w:szCs w:val="30"/>
          <w:highlight w:val="none"/>
        </w:rPr>
      </w:pPr>
      <w:r>
        <w:rPr>
          <w:rFonts w:hint="eastAsia" w:ascii="宋体" w:hAnsi="宋体" w:eastAsia="宋体" w:cs="Times New Roman"/>
          <w:sz w:val="30"/>
          <w:szCs w:val="30"/>
          <w:highlight w:val="none"/>
        </w:rPr>
        <w:t>中小企业相关声明函；</w:t>
      </w:r>
    </w:p>
    <w:p>
      <w:pPr>
        <w:numPr>
          <w:ilvl w:val="0"/>
          <w:numId w:val="5"/>
        </w:numPr>
        <w:snapToGrid w:val="0"/>
        <w:spacing w:afterLines="25"/>
        <w:ind w:left="1456"/>
        <w:rPr>
          <w:rFonts w:ascii="宋体" w:hAnsi="宋体" w:eastAsia="宋体" w:cs="Times New Roman"/>
          <w:sz w:val="30"/>
          <w:szCs w:val="30"/>
          <w:highlight w:val="none"/>
        </w:rPr>
      </w:pPr>
      <w:r>
        <w:rPr>
          <w:rFonts w:hint="eastAsia" w:ascii="宋体" w:hAnsi="宋体" w:eastAsia="宋体" w:cs="Times New Roman"/>
          <w:bCs/>
          <w:sz w:val="30"/>
          <w:szCs w:val="30"/>
          <w:highlight w:val="none"/>
        </w:rPr>
        <w:t>分项报价清单；</w:t>
      </w:r>
    </w:p>
    <w:p>
      <w:pPr>
        <w:numPr>
          <w:ilvl w:val="0"/>
          <w:numId w:val="5"/>
        </w:numPr>
        <w:snapToGrid w:val="0"/>
        <w:spacing w:afterLines="25"/>
        <w:ind w:left="1456"/>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经验评价；</w:t>
      </w:r>
    </w:p>
    <w:p>
      <w:pPr>
        <w:numPr>
          <w:ilvl w:val="0"/>
          <w:numId w:val="5"/>
        </w:numPr>
        <w:snapToGrid w:val="0"/>
        <w:spacing w:afterLines="25"/>
        <w:ind w:left="1456"/>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政府采购节能环保产品情况；</w:t>
      </w:r>
    </w:p>
    <w:p>
      <w:pPr>
        <w:numPr>
          <w:ilvl w:val="0"/>
          <w:numId w:val="5"/>
        </w:numPr>
        <w:snapToGrid w:val="0"/>
        <w:spacing w:afterLines="25"/>
        <w:ind w:left="1456"/>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绿色采购情况；</w:t>
      </w:r>
    </w:p>
    <w:p>
      <w:pPr>
        <w:numPr>
          <w:ilvl w:val="0"/>
          <w:numId w:val="5"/>
        </w:numPr>
        <w:snapToGrid w:val="0"/>
        <w:spacing w:afterLines="25"/>
        <w:ind w:left="1456"/>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产品质量保障；</w:t>
      </w:r>
    </w:p>
    <w:p>
      <w:pPr>
        <w:numPr>
          <w:ilvl w:val="0"/>
          <w:numId w:val="5"/>
        </w:numPr>
        <w:snapToGrid w:val="0"/>
        <w:spacing w:afterLines="25"/>
        <w:ind w:left="1456"/>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企业的综合实力评价；</w:t>
      </w:r>
    </w:p>
    <w:p>
      <w:pPr>
        <w:numPr>
          <w:ilvl w:val="0"/>
          <w:numId w:val="5"/>
        </w:numPr>
        <w:snapToGrid w:val="0"/>
        <w:spacing w:afterLines="25"/>
        <w:ind w:left="1456"/>
        <w:rPr>
          <w:rFonts w:ascii="宋体" w:hAnsi="宋体" w:eastAsia="宋体" w:cs="Times New Roman"/>
          <w:sz w:val="30"/>
          <w:szCs w:val="30"/>
          <w:highlight w:val="none"/>
        </w:rPr>
      </w:pPr>
      <w:r>
        <w:rPr>
          <w:rFonts w:hint="eastAsia" w:ascii="宋体" w:hAnsi="宋体" w:eastAsia="宋体" w:cs="Times New Roman"/>
          <w:sz w:val="30"/>
          <w:szCs w:val="30"/>
          <w:highlight w:val="none"/>
        </w:rPr>
        <w:t>其他招标文件要求或投标人认为需要补充的内容（公开）。</w:t>
      </w:r>
    </w:p>
    <w:p>
      <w:pPr>
        <w:snapToGrid w:val="0"/>
        <w:jc w:val="left"/>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投标文件附件（信息不公开部分）：</w:t>
      </w:r>
    </w:p>
    <w:p>
      <w:pPr>
        <w:numPr>
          <w:ilvl w:val="0"/>
          <w:numId w:val="6"/>
        </w:numPr>
        <w:snapToGrid w:val="0"/>
        <w:spacing w:afterLines="25"/>
        <w:rPr>
          <w:rFonts w:ascii="宋体" w:hAnsi="宋体" w:eastAsia="宋体" w:cs="Times New Roman"/>
          <w:sz w:val="30"/>
          <w:szCs w:val="30"/>
          <w:highlight w:val="none"/>
        </w:rPr>
      </w:pPr>
      <w:r>
        <w:rPr>
          <w:rFonts w:hint="eastAsia" w:ascii="宋体" w:hAnsi="宋体" w:eastAsia="宋体" w:cs="Times New Roman"/>
          <w:sz w:val="30"/>
          <w:szCs w:val="30"/>
          <w:highlight w:val="none"/>
        </w:rPr>
        <w:t>法定代表人（负责人）证明书</w:t>
      </w:r>
      <w:r>
        <w:rPr>
          <w:rFonts w:hint="eastAsia" w:ascii="Arial" w:hAnsi="Arial" w:eastAsia="宋体" w:cs="Arial"/>
          <w:sz w:val="30"/>
          <w:szCs w:val="30"/>
          <w:highlight w:val="none"/>
        </w:rPr>
        <w:t>；</w:t>
      </w:r>
    </w:p>
    <w:p>
      <w:pPr>
        <w:numPr>
          <w:ilvl w:val="0"/>
          <w:numId w:val="6"/>
        </w:numPr>
        <w:snapToGrid w:val="0"/>
        <w:spacing w:afterLines="25"/>
        <w:rPr>
          <w:rFonts w:ascii="宋体" w:hAnsi="宋体" w:eastAsia="宋体" w:cs="Times New Roman"/>
          <w:sz w:val="30"/>
          <w:szCs w:val="30"/>
          <w:highlight w:val="none"/>
        </w:rPr>
      </w:pPr>
      <w:r>
        <w:rPr>
          <w:rFonts w:hint="eastAsia" w:ascii="宋体" w:hAnsi="宋体" w:eastAsia="宋体" w:cs="Times New Roman"/>
          <w:sz w:val="30"/>
          <w:szCs w:val="30"/>
          <w:highlight w:val="none"/>
        </w:rPr>
        <w:t>投标文件签署授权委托书；</w:t>
      </w:r>
    </w:p>
    <w:p>
      <w:pPr>
        <w:numPr>
          <w:ilvl w:val="0"/>
          <w:numId w:val="6"/>
        </w:numPr>
        <w:snapToGrid w:val="0"/>
        <w:spacing w:afterLines="25"/>
        <w:rPr>
          <w:rFonts w:ascii="宋体" w:hAnsi="宋体" w:eastAsia="宋体" w:cs="Times New Roman"/>
          <w:sz w:val="30"/>
          <w:szCs w:val="30"/>
          <w:highlight w:val="none"/>
        </w:rPr>
      </w:pPr>
      <w:r>
        <w:rPr>
          <w:rFonts w:hint="eastAsia" w:ascii="宋体" w:hAnsi="宋体" w:eastAsia="宋体" w:cs="Times New Roman"/>
          <w:sz w:val="30"/>
          <w:szCs w:val="30"/>
          <w:highlight w:val="none"/>
        </w:rPr>
        <w:t>实质性条款响应情况表</w:t>
      </w:r>
      <w:r>
        <w:rPr>
          <w:rFonts w:hint="eastAsia" w:ascii="宋体" w:hAnsi="宋体" w:eastAsia="宋体" w:cs="Times New Roman"/>
          <w:sz w:val="30"/>
          <w:szCs w:val="30"/>
          <w:highlight w:val="none"/>
          <w:lang w:eastAsia="zh-CN"/>
        </w:rPr>
        <w:t>；</w:t>
      </w:r>
    </w:p>
    <w:p>
      <w:pPr>
        <w:numPr>
          <w:ilvl w:val="0"/>
          <w:numId w:val="6"/>
        </w:numPr>
        <w:snapToGrid w:val="0"/>
        <w:spacing w:afterLines="25"/>
        <w:rPr>
          <w:rFonts w:ascii="宋体" w:hAnsi="宋体" w:eastAsia="宋体" w:cs="Times New Roman"/>
          <w:sz w:val="30"/>
          <w:szCs w:val="30"/>
          <w:highlight w:val="none"/>
        </w:rPr>
      </w:pPr>
      <w:r>
        <w:rPr>
          <w:rFonts w:hint="eastAsia" w:ascii="宋体" w:hAnsi="宋体" w:eastAsia="宋体" w:cs="Times New Roman"/>
          <w:sz w:val="30"/>
          <w:szCs w:val="30"/>
          <w:highlight w:val="none"/>
        </w:rPr>
        <w:t>技术</w:t>
      </w:r>
      <w:r>
        <w:rPr>
          <w:rFonts w:hint="eastAsia" w:ascii="宋体" w:hAnsi="宋体" w:eastAsia="宋体" w:cs="Times New Roman"/>
          <w:sz w:val="30"/>
          <w:szCs w:val="30"/>
          <w:highlight w:val="none"/>
          <w:lang w:val="en-US" w:eastAsia="zh-CN"/>
        </w:rPr>
        <w:t>要求</w:t>
      </w:r>
      <w:r>
        <w:rPr>
          <w:rFonts w:hint="eastAsia" w:ascii="宋体" w:hAnsi="宋体" w:eastAsia="宋体" w:cs="Times New Roman"/>
          <w:sz w:val="30"/>
          <w:szCs w:val="30"/>
          <w:highlight w:val="none"/>
        </w:rPr>
        <w:t>偏离表；</w:t>
      </w:r>
    </w:p>
    <w:p>
      <w:pPr>
        <w:numPr>
          <w:ilvl w:val="0"/>
          <w:numId w:val="6"/>
        </w:numPr>
        <w:snapToGrid w:val="0"/>
        <w:spacing w:afterLines="25"/>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项目组织实施方案的评价；</w:t>
      </w:r>
    </w:p>
    <w:p>
      <w:pPr>
        <w:numPr>
          <w:ilvl w:val="0"/>
          <w:numId w:val="6"/>
        </w:numPr>
        <w:snapToGrid w:val="0"/>
        <w:spacing w:afterLines="25"/>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售后服务评价；</w:t>
      </w:r>
    </w:p>
    <w:p>
      <w:pPr>
        <w:numPr>
          <w:ilvl w:val="0"/>
          <w:numId w:val="6"/>
        </w:numPr>
        <w:snapToGrid w:val="0"/>
        <w:spacing w:afterLines="25"/>
        <w:rPr>
          <w:rFonts w:ascii="宋体" w:hAnsi="宋体" w:eastAsia="宋体" w:cs="Times New Roman"/>
          <w:sz w:val="32"/>
          <w:szCs w:val="32"/>
          <w:highlight w:val="none"/>
        </w:rPr>
      </w:pPr>
      <w:r>
        <w:rPr>
          <w:rFonts w:hint="eastAsia" w:ascii="宋体" w:hAnsi="宋体" w:eastAsia="宋体" w:cs="Times New Roman"/>
          <w:sz w:val="32"/>
          <w:szCs w:val="32"/>
          <w:highlight w:val="none"/>
          <w:lang w:eastAsia="zh-CN"/>
        </w:rPr>
        <w:t>阻燃窗帘</w:t>
      </w:r>
      <w:r>
        <w:rPr>
          <w:rFonts w:hint="eastAsia" w:ascii="宋体" w:hAnsi="宋体" w:eastAsia="宋体" w:cs="Times New Roman"/>
          <w:sz w:val="32"/>
          <w:szCs w:val="32"/>
          <w:highlight w:val="none"/>
          <w:lang w:val="en-US" w:eastAsia="zh-CN"/>
        </w:rPr>
        <w:t>的检测报告</w:t>
      </w:r>
      <w:r>
        <w:rPr>
          <w:rFonts w:hint="eastAsia" w:ascii="宋体" w:hAnsi="宋体" w:eastAsia="宋体" w:cs="Times New Roman"/>
          <w:sz w:val="32"/>
          <w:szCs w:val="32"/>
          <w:highlight w:val="none"/>
          <w:lang w:eastAsia="zh-CN"/>
        </w:rPr>
        <w:t>；</w:t>
      </w:r>
    </w:p>
    <w:p>
      <w:pPr>
        <w:numPr>
          <w:ilvl w:val="0"/>
          <w:numId w:val="6"/>
        </w:numPr>
        <w:snapToGrid w:val="0"/>
        <w:spacing w:afterLines="25"/>
        <w:rPr>
          <w:rFonts w:ascii="宋体" w:hAnsi="宋体" w:eastAsia="宋体" w:cs="Times New Roman"/>
          <w:sz w:val="32"/>
          <w:szCs w:val="32"/>
          <w:highlight w:val="none"/>
        </w:rPr>
      </w:pPr>
      <w:r>
        <w:rPr>
          <w:rFonts w:hint="eastAsia" w:ascii="宋体" w:hAnsi="宋体" w:eastAsia="宋体" w:cs="Times New Roman"/>
          <w:sz w:val="32"/>
          <w:szCs w:val="32"/>
          <w:highlight w:val="none"/>
          <w:lang w:val="en-US" w:eastAsia="zh-CN"/>
        </w:rPr>
        <w:t>阻燃布带的检测报告；</w:t>
      </w:r>
    </w:p>
    <w:p>
      <w:pPr>
        <w:numPr>
          <w:ilvl w:val="0"/>
          <w:numId w:val="6"/>
        </w:numPr>
        <w:snapToGrid w:val="0"/>
        <w:spacing w:afterLines="25"/>
        <w:rPr>
          <w:rFonts w:ascii="宋体" w:hAnsi="宋体" w:eastAsia="宋体" w:cs="Times New Roman"/>
          <w:sz w:val="30"/>
          <w:szCs w:val="30"/>
          <w:highlight w:val="none"/>
        </w:rPr>
      </w:pPr>
      <w:r>
        <w:rPr>
          <w:rFonts w:hint="eastAsia" w:ascii="宋体" w:hAnsi="宋体" w:eastAsia="宋体" w:cs="Times New Roman"/>
          <w:sz w:val="30"/>
          <w:szCs w:val="30"/>
          <w:highlight w:val="none"/>
        </w:rPr>
        <w:t>其他招标文件要求或投标人认为需要补充的内容（非公开）。</w:t>
      </w:r>
    </w:p>
    <w:p>
      <w:pPr>
        <w:rPr>
          <w:rFonts w:ascii="宋体" w:hAnsi="宋体"/>
          <w:b/>
          <w:sz w:val="24"/>
          <w:szCs w:val="28"/>
          <w:highlight w:val="none"/>
        </w:rPr>
      </w:pPr>
      <w:bookmarkStart w:id="15" w:name="_Hlk72257771"/>
      <w:r>
        <w:rPr>
          <w:rFonts w:hint="eastAsia" w:ascii="宋体" w:hAnsi="宋体"/>
          <w:b/>
          <w:sz w:val="24"/>
          <w:szCs w:val="28"/>
          <w:highlight w:val="none"/>
        </w:rPr>
        <w:t>备注：</w:t>
      </w:r>
    </w:p>
    <w:p>
      <w:pPr>
        <w:snapToGrid w:val="0"/>
        <w:spacing w:afterLines="25"/>
        <w:ind w:firstLine="482" w:firstLineChars="200"/>
        <w:rPr>
          <w:rFonts w:ascii="宋体" w:hAnsi="宋体"/>
          <w:b/>
          <w:sz w:val="24"/>
          <w:szCs w:val="28"/>
          <w:highlight w:val="none"/>
        </w:rPr>
      </w:pPr>
      <w:r>
        <w:rPr>
          <w:rFonts w:hint="eastAsia" w:ascii="宋体" w:hAnsi="宋体"/>
          <w:b/>
          <w:sz w:val="24"/>
          <w:szCs w:val="28"/>
          <w:highlight w:val="none"/>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highlight w:val="none"/>
        </w:rPr>
      </w:pPr>
      <w:bookmarkStart w:id="16" w:name="_Hlk72263559"/>
      <w:r>
        <w:rPr>
          <w:rFonts w:hint="eastAsia" w:ascii="宋体" w:hAnsi="宋体"/>
          <w:b/>
          <w:sz w:val="24"/>
          <w:szCs w:val="28"/>
          <w:highlight w:val="none"/>
        </w:rPr>
        <w:t>2.关于填写“开标一览表”的说明：“开标一览表”中除“投标总价”外，其他信息不作评审依据。</w:t>
      </w:r>
      <w:bookmarkEnd w:id="15"/>
      <w:bookmarkEnd w:id="16"/>
      <w:r>
        <w:rPr>
          <w:rFonts w:ascii="宋体" w:hAnsi="宋体" w:eastAsia="黑体" w:cs="Times New Roman"/>
          <w:bCs/>
          <w:kern w:val="44"/>
          <w:sz w:val="32"/>
          <w:szCs w:val="32"/>
          <w:highlight w:val="none"/>
        </w:rPr>
        <w:br w:type="page"/>
      </w:r>
    </w:p>
    <w:p>
      <w:pPr>
        <w:widowControl/>
        <w:jc w:val="left"/>
        <w:outlineLvl w:val="2"/>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1.投标</w:t>
      </w:r>
      <w:r>
        <w:rPr>
          <w:rFonts w:hint="eastAsia" w:ascii="宋体" w:hAnsi="宋体" w:eastAsia="宋体" w:cs="Times New Roman"/>
          <w:b/>
          <w:bCs/>
          <w:kern w:val="0"/>
          <w:sz w:val="24"/>
          <w:szCs w:val="20"/>
          <w:highlight w:val="none"/>
        </w:rPr>
        <w:t>函</w:t>
      </w:r>
    </w:p>
    <w:p>
      <w:pPr>
        <w:snapToGrid w:val="0"/>
        <w:spacing w:line="360" w:lineRule="auto"/>
        <w:rPr>
          <w:rFonts w:ascii="Arial" w:hAnsi="Arial" w:eastAsia="宋体" w:cs="Times New Roman"/>
          <w:szCs w:val="24"/>
          <w:highlight w:val="none"/>
        </w:rPr>
      </w:pPr>
    </w:p>
    <w:p>
      <w:pPr>
        <w:snapToGrid w:val="0"/>
        <w:spacing w:line="360" w:lineRule="auto"/>
        <w:rPr>
          <w:rFonts w:ascii="Arial" w:hAnsi="Arial" w:eastAsia="宋体" w:cs="Arial"/>
          <w:szCs w:val="21"/>
          <w:highlight w:val="none"/>
          <w:u w:val="single"/>
        </w:rPr>
      </w:pPr>
      <w:r>
        <w:rPr>
          <w:rFonts w:ascii="Arial" w:hAnsi="Arial" w:eastAsia="宋体" w:cs="Arial"/>
          <w:szCs w:val="21"/>
          <w:highlight w:val="none"/>
        </w:rPr>
        <w:t>致：</w:t>
      </w:r>
      <w:r>
        <w:rPr>
          <w:rFonts w:hint="eastAsia" w:ascii="Arial" w:hAnsi="Arial" w:eastAsia="宋体" w:cs="Arial"/>
          <w:szCs w:val="21"/>
          <w:highlight w:val="none"/>
          <w:u w:val="single"/>
        </w:rPr>
        <w:t>深圳公共资源交易中心</w:t>
      </w:r>
    </w:p>
    <w:p>
      <w:pPr>
        <w:snapToGrid w:val="0"/>
        <w:spacing w:line="360" w:lineRule="auto"/>
        <w:rPr>
          <w:rFonts w:ascii="Arial" w:hAnsi="Arial" w:eastAsia="宋体" w:cs="Arial"/>
          <w:szCs w:val="21"/>
          <w:highlight w:val="none"/>
        </w:rPr>
      </w:pPr>
      <w:bookmarkStart w:id="17" w:name="_Hlk73818812"/>
      <w:r>
        <w:rPr>
          <w:rFonts w:hint="eastAsia" w:ascii="Arial" w:hAnsi="Arial" w:eastAsia="宋体" w:cs="Arial"/>
          <w:szCs w:val="21"/>
          <w:highlight w:val="none"/>
        </w:rPr>
        <w:t>1、根据已收到贵单位的项目编号为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BAZXCG-2024-00169</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的</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新安中学(集团)外国语学校窗帘采购项目</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项目的招标文件，遵照《深圳经济特区政府采购条例》和《深圳网上政府采购管理暂行办法》等有关规定，我单位经研究上述招标文件的专用条款及通用条款后，</w:t>
      </w:r>
      <w:bookmarkStart w:id="18" w:name="_Hlk72263588"/>
      <w:r>
        <w:rPr>
          <w:rFonts w:hint="eastAsia" w:ascii="Arial" w:hAnsi="Arial" w:eastAsia="宋体" w:cs="Arial"/>
          <w:szCs w:val="21"/>
          <w:highlight w:val="none"/>
        </w:rPr>
        <w:t>愿意按照招标文件要求承包上述项目并修补其任何缺陷。</w:t>
      </w:r>
      <w:bookmarkEnd w:id="18"/>
    </w:p>
    <w:p>
      <w:pPr>
        <w:snapToGrid w:val="0"/>
        <w:spacing w:line="360" w:lineRule="auto"/>
        <w:rPr>
          <w:rFonts w:ascii="Arial" w:hAnsi="Arial" w:eastAsia="宋体" w:cs="Arial"/>
          <w:szCs w:val="21"/>
          <w:highlight w:val="none"/>
        </w:rPr>
      </w:pPr>
      <w:r>
        <w:rPr>
          <w:rFonts w:ascii="Arial" w:hAnsi="Arial" w:eastAsia="宋体" w:cs="Arial"/>
          <w:szCs w:val="21"/>
          <w:highlight w:val="none"/>
        </w:rPr>
        <w:t>2</w:t>
      </w:r>
      <w:r>
        <w:rPr>
          <w:rFonts w:hint="eastAsia" w:ascii="Arial" w:hAnsi="Arial" w:eastAsia="宋体" w:cs="Arial"/>
          <w:szCs w:val="21"/>
          <w:highlight w:val="none"/>
        </w:rPr>
        <w:t>、投标价格见投标书编制软件中《开标一览表》中填写的投标总价。</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3、如果我单位中标，我单位将按照招标文件的要求足额提交履约担保。</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5、除非另外达成协议并生效，贵单位的中标通知书和本投标文件将构成合同的重要内容。</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6、我单位理解贵单位将不受必须接受所收到的最低报价或其它任何投标文件的约束。</w:t>
      </w:r>
      <w:bookmarkEnd w:id="17"/>
    </w:p>
    <w:p>
      <w:pPr>
        <w:snapToGrid w:val="0"/>
        <w:spacing w:line="360" w:lineRule="auto"/>
        <w:rPr>
          <w:rFonts w:ascii="Arial" w:hAnsi="Arial" w:eastAsia="宋体" w:cs="Arial"/>
          <w:b/>
          <w:szCs w:val="21"/>
          <w:highlight w:val="none"/>
        </w:rPr>
      </w:pPr>
      <w:r>
        <w:rPr>
          <w:rFonts w:hint="eastAsia" w:ascii="Arial" w:hAnsi="Arial" w:eastAsia="宋体" w:cs="Arial"/>
          <w:b/>
          <w:szCs w:val="21"/>
          <w:highlight w:val="none"/>
        </w:rPr>
        <w:t>7</w:t>
      </w:r>
      <w:r>
        <w:rPr>
          <w:rFonts w:ascii="Arial" w:hAnsi="Arial" w:eastAsia="宋体" w:cs="Arial"/>
          <w:b/>
          <w:szCs w:val="21"/>
          <w:highlight w:val="none"/>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highlight w:val="none"/>
        </w:rPr>
      </w:pP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投标人：</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单位地址：</w:t>
      </w:r>
      <w:r>
        <w:rPr>
          <w:rFonts w:hint="eastAsia" w:ascii="Arial" w:hAnsi="Arial" w:eastAsia="宋体" w:cs="Arial"/>
          <w:szCs w:val="21"/>
          <w:highlight w:val="none"/>
          <w:u w:val="single"/>
        </w:rPr>
        <w:t xml:space="preserve">           </w:t>
      </w:r>
    </w:p>
    <w:p>
      <w:pPr>
        <w:snapToGrid w:val="0"/>
        <w:spacing w:line="360" w:lineRule="auto"/>
        <w:rPr>
          <w:rFonts w:hint="eastAsia" w:ascii="Arial" w:hAnsi="Arial" w:eastAsia="宋体" w:cs="Arial"/>
          <w:szCs w:val="21"/>
          <w:highlight w:val="none"/>
          <w:u w:val="single"/>
        </w:rPr>
      </w:pPr>
      <w:r>
        <w:rPr>
          <w:rFonts w:hint="eastAsia" w:ascii="Arial" w:hAnsi="Arial" w:eastAsia="宋体" w:cs="Arial"/>
          <w:szCs w:val="21"/>
          <w:highlight w:val="none"/>
        </w:rPr>
        <w:t>法定代表人（负责人）或其</w:t>
      </w:r>
      <w:r>
        <w:rPr>
          <w:rFonts w:hint="eastAsia" w:ascii="Arial" w:hAnsi="Arial" w:eastAsia="宋体" w:cs="Arial"/>
          <w:szCs w:val="21"/>
          <w:highlight w:val="none"/>
          <w:lang w:val="en-US" w:eastAsia="zh-CN"/>
        </w:rPr>
        <w:t>授权委托</w:t>
      </w:r>
      <w:r>
        <w:rPr>
          <w:rFonts w:hint="eastAsia" w:ascii="Arial" w:hAnsi="Arial" w:eastAsia="宋体" w:cs="Arial"/>
          <w:szCs w:val="21"/>
          <w:highlight w:val="none"/>
        </w:rPr>
        <w:t>代理人：</w:t>
      </w:r>
      <w:r>
        <w:rPr>
          <w:rFonts w:hint="eastAsia" w:ascii="Arial" w:hAnsi="Arial" w:eastAsia="宋体" w:cs="Arial"/>
          <w:szCs w:val="21"/>
          <w:highlight w:val="none"/>
          <w:u w:val="single"/>
        </w:rPr>
        <w:t xml:space="preserve">           </w:t>
      </w:r>
    </w:p>
    <w:p>
      <w:pPr>
        <w:pStyle w:val="9"/>
        <w:rPr>
          <w:rFonts w:hint="default" w:ascii="Arial" w:hAnsi="Arial" w:eastAsia="宋体" w:cs="Arial"/>
          <w:b w:val="0"/>
          <w:bCs w:val="0"/>
          <w:szCs w:val="21"/>
          <w:highlight w:val="none"/>
          <w:u w:val="single"/>
          <w:lang w:val="en-US" w:eastAsia="zh-CN"/>
        </w:rPr>
      </w:pPr>
      <w:r>
        <w:rPr>
          <w:rFonts w:hint="eastAsia" w:ascii="Arial" w:hAnsi="Arial" w:eastAsia="宋体" w:cs="Arial"/>
          <w:b w:val="0"/>
          <w:bCs w:val="0"/>
          <w:szCs w:val="21"/>
          <w:highlight w:val="none"/>
          <w:u w:val="none"/>
          <w:lang w:val="en-US" w:eastAsia="zh-CN"/>
        </w:rPr>
        <w:t>开户银行名称：</w:t>
      </w:r>
      <w:r>
        <w:rPr>
          <w:rFonts w:hint="eastAsia" w:ascii="Arial" w:hAnsi="Arial" w:eastAsia="宋体" w:cs="Arial"/>
          <w:szCs w:val="21"/>
          <w:highlight w:val="none"/>
          <w:u w:val="single"/>
        </w:rPr>
        <w:t xml:space="preserve">           </w:t>
      </w:r>
    </w:p>
    <w:p>
      <w:pPr>
        <w:pStyle w:val="10"/>
        <w:rPr>
          <w:rFonts w:hint="default"/>
          <w:b w:val="0"/>
          <w:bCs w:val="0"/>
          <w:highlight w:val="none"/>
          <w:u w:val="single"/>
          <w:lang w:val="en-US" w:eastAsia="zh-CN"/>
        </w:rPr>
      </w:pPr>
      <w:r>
        <w:rPr>
          <w:rFonts w:hint="eastAsia" w:ascii="Arial" w:hAnsi="Arial" w:eastAsia="宋体" w:cs="Arial"/>
          <w:b w:val="0"/>
          <w:bCs w:val="0"/>
          <w:szCs w:val="21"/>
          <w:highlight w:val="none"/>
          <w:u w:val="none"/>
          <w:lang w:val="en-US" w:eastAsia="zh-CN"/>
        </w:rPr>
        <w:t>开户银行账号：</w:t>
      </w:r>
      <w:r>
        <w:rPr>
          <w:rFonts w:hint="eastAsia" w:ascii="Arial" w:hAnsi="Arial" w:eastAsia="宋体" w:cs="Arial"/>
          <w:b w:val="0"/>
          <w:bCs w:val="0"/>
          <w:szCs w:val="21"/>
          <w:highlight w:val="none"/>
          <w:u w:val="single"/>
          <w:lang w:val="en-US" w:eastAsia="zh-CN"/>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邮政编码：</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电话：</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传真：</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邮箱：</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 xml:space="preserve"> </w:t>
      </w:r>
    </w:p>
    <w:p>
      <w:pPr>
        <w:snapToGrid w:val="0"/>
        <w:spacing w:line="360" w:lineRule="auto"/>
        <w:rPr>
          <w:rFonts w:ascii="Arial" w:hAnsi="Arial" w:eastAsia="宋体" w:cs="Arial"/>
          <w:szCs w:val="21"/>
          <w:highlight w:val="none"/>
        </w:rPr>
      </w:pP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日期： 年  月  日</w:t>
      </w:r>
    </w:p>
    <w:p>
      <w:pPr>
        <w:spacing w:afterLines="25" w:line="300" w:lineRule="auto"/>
        <w:ind w:firstLine="420" w:firstLineChars="200"/>
        <w:rPr>
          <w:rFonts w:ascii="Arial" w:hAnsi="Arial" w:eastAsia="宋体" w:cs="Times New Roman"/>
          <w:sz w:val="24"/>
          <w:szCs w:val="24"/>
          <w:highlight w:val="none"/>
        </w:rPr>
      </w:pPr>
      <w:r>
        <w:rPr>
          <w:rFonts w:hint="eastAsia" w:ascii="Arial" w:hAnsi="Arial" w:eastAsia="宋体" w:cs="Arial"/>
          <w:szCs w:val="24"/>
          <w:highlight w:val="none"/>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highlight w:val="none"/>
          <w:u w:val="single"/>
        </w:rPr>
        <w:t xml:space="preserve">                 </w:t>
      </w:r>
      <w:r>
        <w:rPr>
          <w:rFonts w:hint="eastAsia" w:ascii="Arial" w:hAnsi="Arial" w:eastAsia="宋体" w:cs="Arial"/>
          <w:szCs w:val="24"/>
          <w:highlight w:val="none"/>
        </w:rPr>
        <w:t>。</w:t>
      </w:r>
    </w:p>
    <w:p>
      <w:pPr>
        <w:widowControl/>
        <w:snapToGrid w:val="0"/>
        <w:spacing w:line="360" w:lineRule="auto"/>
        <w:jc w:val="left"/>
        <w:rPr>
          <w:rFonts w:ascii="Arial" w:hAnsi="Arial" w:eastAsia="宋体" w:cs="Times New Roman"/>
          <w:szCs w:val="24"/>
          <w:highlight w:val="none"/>
        </w:rPr>
      </w:pPr>
      <w:r>
        <w:rPr>
          <w:rFonts w:ascii="Arial" w:hAnsi="Arial" w:eastAsia="宋体" w:cs="Times New Roman"/>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2.政府采购投标及履约承诺函</w:t>
      </w:r>
    </w:p>
    <w:p>
      <w:pPr>
        <w:adjustRightInd w:val="0"/>
        <w:snapToGrid w:val="0"/>
        <w:rPr>
          <w:rFonts w:ascii="宋体" w:hAnsi="宋体" w:eastAsia="宋体" w:cs="Times New Roman"/>
          <w:sz w:val="24"/>
          <w:szCs w:val="24"/>
          <w:highlight w:val="none"/>
        </w:rPr>
      </w:pPr>
      <w:r>
        <w:rPr>
          <w:rFonts w:hint="eastAsia" w:ascii="宋体" w:hAnsi="宋体" w:eastAsia="宋体" w:cs="Times New Roman"/>
          <w:sz w:val="24"/>
          <w:szCs w:val="24"/>
          <w:highlight w:val="none"/>
        </w:rPr>
        <w:t>致：</w:t>
      </w:r>
      <w:r>
        <w:rPr>
          <w:rFonts w:hint="eastAsia" w:ascii="宋体" w:hAnsi="宋体" w:eastAsia="宋体" w:cs="Times New Roman"/>
          <w:sz w:val="24"/>
          <w:szCs w:val="24"/>
          <w:highlight w:val="none"/>
          <w:u w:val="single"/>
        </w:rPr>
        <w:t>深圳公共资源交易中心</w:t>
      </w:r>
    </w:p>
    <w:p>
      <w:pPr>
        <w:ind w:right="-815" w:firstLine="420" w:firstLineChars="200"/>
        <w:rPr>
          <w:rFonts w:ascii="宋体" w:hAnsi="宋体"/>
          <w:szCs w:val="21"/>
          <w:highlight w:val="none"/>
        </w:rPr>
      </w:pPr>
      <w:r>
        <w:rPr>
          <w:rFonts w:hint="eastAsia" w:ascii="宋体" w:hAnsi="宋体"/>
          <w:szCs w:val="21"/>
          <w:highlight w:val="none"/>
        </w:rPr>
        <w:t>我单位承诺：</w:t>
      </w:r>
    </w:p>
    <w:p>
      <w:pPr>
        <w:ind w:firstLine="420" w:firstLineChars="200"/>
        <w:rPr>
          <w:rFonts w:hint="eastAsia" w:ascii="宋体" w:hAnsi="宋体"/>
          <w:b/>
          <w:szCs w:val="21"/>
          <w:highlight w:val="none"/>
        </w:rPr>
      </w:pPr>
      <w:r>
        <w:rPr>
          <w:rFonts w:hint="eastAsia" w:ascii="宋体" w:hAnsi="宋体"/>
          <w:b w:val="0"/>
          <w:bCs/>
          <w:szCs w:val="21"/>
          <w:highlight w:val="none"/>
        </w:rPr>
        <w:t>1.我单位参与本项目所投标（响应）的货物、工程或服务，不存在侵犯知识产权的情况。</w:t>
      </w:r>
    </w:p>
    <w:p>
      <w:pPr>
        <w:ind w:firstLine="420" w:firstLineChars="200"/>
        <w:rPr>
          <w:rFonts w:ascii="宋体" w:hAnsi="宋体"/>
          <w:szCs w:val="21"/>
          <w:highlight w:val="none"/>
        </w:rPr>
      </w:pPr>
      <w:r>
        <w:rPr>
          <w:rFonts w:hint="eastAsia" w:ascii="宋体" w:hAnsi="宋体"/>
          <w:szCs w:val="21"/>
          <w:highlight w:val="none"/>
        </w:rPr>
        <w:t>2.我单位参与本项目</w:t>
      </w:r>
      <w:r>
        <w:rPr>
          <w:rFonts w:hint="eastAsia"/>
          <w:highlight w:val="none"/>
        </w:rPr>
        <w:t>政府采购活动时不存在被有关部门禁止参与政府采购活动且在有效期内的情况。</w:t>
      </w:r>
    </w:p>
    <w:p>
      <w:pPr>
        <w:ind w:firstLine="420" w:firstLineChars="200"/>
        <w:rPr>
          <w:rFonts w:ascii="宋体" w:hAnsi="宋体"/>
          <w:szCs w:val="21"/>
          <w:highlight w:val="none"/>
        </w:rPr>
      </w:pPr>
      <w:r>
        <w:rPr>
          <w:rFonts w:hint="eastAsia" w:ascii="宋体" w:hAnsi="宋体"/>
          <w:szCs w:val="21"/>
          <w:highlight w:val="none"/>
        </w:rPr>
        <w:t>3.我单位具备《中华人民共和国政府采购法》第二十二条第一款规定的六项条件。</w:t>
      </w:r>
    </w:p>
    <w:p>
      <w:pPr>
        <w:ind w:firstLine="420" w:firstLineChars="200"/>
        <w:rPr>
          <w:rFonts w:ascii="宋体" w:hAnsi="宋体"/>
          <w:szCs w:val="21"/>
          <w:highlight w:val="none"/>
        </w:rPr>
      </w:pPr>
      <w:r>
        <w:rPr>
          <w:rFonts w:hint="eastAsia" w:ascii="宋体" w:hAnsi="宋体"/>
          <w:szCs w:val="21"/>
          <w:highlight w:val="none"/>
        </w:rPr>
        <w:t>4.我单位</w:t>
      </w:r>
      <w:r>
        <w:rPr>
          <w:rFonts w:hint="eastAsia"/>
          <w:highlight w:val="none"/>
        </w:rPr>
        <w:t>未被列入失信被执行人、重大税收违法案件当事人名单、政府采购严重违法失信行为记录名单。</w:t>
      </w:r>
    </w:p>
    <w:p>
      <w:pPr>
        <w:ind w:firstLine="420" w:firstLineChars="200"/>
        <w:rPr>
          <w:rFonts w:ascii="宋体" w:hAnsi="宋体"/>
          <w:szCs w:val="21"/>
          <w:highlight w:val="none"/>
        </w:rPr>
      </w:pPr>
      <w:r>
        <w:rPr>
          <w:rFonts w:hint="eastAsia" w:ascii="宋体" w:hAnsi="宋体"/>
          <w:szCs w:val="21"/>
          <w:highlight w:val="none"/>
        </w:rPr>
        <w:t>5.</w:t>
      </w:r>
      <w:bookmarkStart w:id="19" w:name="_Hlk72587269"/>
      <w:bookmarkStart w:id="20" w:name="_Hlk72587299"/>
      <w:r>
        <w:rPr>
          <w:rFonts w:hint="eastAsia" w:ascii="宋体" w:hAnsi="宋体"/>
          <w:szCs w:val="21"/>
          <w:highlight w:val="none"/>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19"/>
      <w:r>
        <w:rPr>
          <w:rFonts w:hint="eastAsia" w:ascii="宋体" w:hAnsi="宋体"/>
          <w:szCs w:val="21"/>
          <w:highlight w:val="none"/>
        </w:rPr>
        <w:t>。</w:t>
      </w:r>
    </w:p>
    <w:bookmarkEnd w:id="20"/>
    <w:p>
      <w:pPr>
        <w:ind w:firstLine="420" w:firstLineChars="200"/>
        <w:rPr>
          <w:rFonts w:ascii="宋体" w:hAnsi="宋体"/>
          <w:szCs w:val="21"/>
          <w:highlight w:val="none"/>
        </w:rPr>
      </w:pPr>
      <w:r>
        <w:rPr>
          <w:rFonts w:hint="eastAsia" w:ascii="宋体" w:hAnsi="宋体"/>
          <w:szCs w:val="21"/>
          <w:highlight w:val="none"/>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highlight w:val="none"/>
        </w:rPr>
      </w:pPr>
      <w:r>
        <w:rPr>
          <w:rFonts w:hint="eastAsia" w:ascii="宋体" w:hAnsi="宋体"/>
          <w:szCs w:val="21"/>
          <w:highlight w:val="none"/>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highlight w:val="none"/>
        </w:rPr>
      </w:pPr>
      <w:r>
        <w:rPr>
          <w:rFonts w:hint="eastAsia" w:ascii="宋体" w:hAnsi="宋体"/>
          <w:szCs w:val="21"/>
          <w:highlight w:val="none"/>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highlight w:val="none"/>
        </w:rPr>
      </w:pPr>
      <w:r>
        <w:rPr>
          <w:rFonts w:hint="eastAsia" w:ascii="宋体" w:hAnsi="宋体"/>
          <w:szCs w:val="21"/>
          <w:highlight w:val="none"/>
        </w:rPr>
        <w:t>8.我单位承诺中标后项目不转包，未经采购人同意不进行分包。</w:t>
      </w:r>
    </w:p>
    <w:p>
      <w:pPr>
        <w:ind w:firstLine="420" w:firstLineChars="200"/>
        <w:rPr>
          <w:rFonts w:ascii="宋体" w:hAnsi="宋体"/>
          <w:highlight w:val="none"/>
        </w:rPr>
      </w:pPr>
      <w:r>
        <w:rPr>
          <w:rFonts w:hint="eastAsia" w:ascii="宋体" w:hAnsi="宋体"/>
          <w:szCs w:val="21"/>
          <w:highlight w:val="none"/>
        </w:rPr>
        <w:t>9</w:t>
      </w:r>
      <w:r>
        <w:rPr>
          <w:rFonts w:ascii="宋体" w:hAnsi="宋体"/>
          <w:szCs w:val="21"/>
          <w:highlight w:val="none"/>
        </w:rPr>
        <w:t>.</w:t>
      </w:r>
      <w:r>
        <w:rPr>
          <w:rFonts w:hint="eastAsia" w:ascii="宋体" w:hAnsi="宋体"/>
          <w:highlight w:val="none"/>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highlight w:val="none"/>
        </w:rPr>
      </w:pPr>
      <w:r>
        <w:rPr>
          <w:rFonts w:hint="eastAsia" w:ascii="宋体" w:hAnsi="宋体"/>
          <w:highlight w:val="none"/>
        </w:rPr>
        <w:t>10</w:t>
      </w:r>
      <w:r>
        <w:rPr>
          <w:rFonts w:ascii="宋体" w:hAnsi="宋体"/>
          <w:highlight w:val="none"/>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highlight w:val="none"/>
        </w:rPr>
        <w:t>（财办库〔2023〕7号）要求。</w:t>
      </w:r>
    </w:p>
    <w:p>
      <w:pPr>
        <w:ind w:firstLine="420" w:firstLineChars="200"/>
        <w:rPr>
          <w:rFonts w:hint="eastAsia" w:ascii="宋体" w:hAnsi="宋体"/>
          <w:b w:val="0"/>
          <w:bCs/>
          <w:highlight w:val="none"/>
        </w:rPr>
      </w:pPr>
      <w:r>
        <w:rPr>
          <w:rFonts w:hint="eastAsia" w:ascii="宋体" w:hAnsi="宋体" w:cs="宋体"/>
          <w:b w:val="0"/>
          <w:bCs/>
          <w:kern w:val="0"/>
          <w:szCs w:val="21"/>
          <w:highlight w:val="none"/>
        </w:rPr>
        <w:t>11.</w:t>
      </w:r>
      <w:r>
        <w:rPr>
          <w:rFonts w:hint="eastAsia" w:ascii="宋体" w:hAnsi="宋体"/>
          <w:b w:val="0"/>
          <w:bCs/>
          <w:highlight w:val="none"/>
        </w:rPr>
        <w:t xml:space="preserve"> 我单位已知悉并同意中标（成交）结果信息公示（公开）的内容。</w:t>
      </w:r>
    </w:p>
    <w:p>
      <w:pPr>
        <w:ind w:firstLine="420" w:firstLineChars="200"/>
        <w:rPr>
          <w:rFonts w:hint="eastAsia" w:ascii="宋体" w:hAnsi="宋体"/>
          <w:b w:val="0"/>
          <w:bCs/>
          <w:highlight w:val="none"/>
        </w:rPr>
      </w:pPr>
      <w:r>
        <w:rPr>
          <w:rFonts w:hint="eastAsia" w:ascii="宋体" w:hAnsi="宋体"/>
          <w:b w:val="0"/>
          <w:bCs/>
          <w:highlight w:val="none"/>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highlight w:val="none"/>
        </w:rPr>
      </w:pPr>
      <w:r>
        <w:rPr>
          <w:rFonts w:hint="eastAsia" w:ascii="宋体" w:hAnsi="宋体"/>
          <w:b/>
          <w:bCs w:val="0"/>
          <w:sz w:val="21"/>
          <w:highlight w:val="none"/>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以上承诺，如有违反，愿依照国家相关法律法规处理，并承担由此给采购人带来的损失。</w:t>
      </w:r>
    </w:p>
    <w:p>
      <w:pPr>
        <w:ind w:firstLine="480" w:firstLineChars="200"/>
        <w:rPr>
          <w:rFonts w:hint="eastAsia" w:ascii="宋体" w:hAnsi="宋体" w:eastAsia="宋体" w:cs="Times New Roman"/>
          <w:szCs w:val="21"/>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Cs w:val="21"/>
          <w:highlight w:val="none"/>
        </w:rPr>
        <w:t>投标单位（投标人）名称：</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 xml:space="preserve">                </w:t>
      </w:r>
    </w:p>
    <w:p>
      <w:pPr>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年</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月</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日</w:t>
      </w:r>
    </w:p>
    <w:p>
      <w:pPr>
        <w:widowControl/>
        <w:rPr>
          <w:rFonts w:ascii="宋体" w:hAnsi="宋体" w:eastAsia="宋体" w:cs="Times New Roman"/>
          <w:b/>
          <w:color w:val="FF0000"/>
          <w:kern w:val="0"/>
          <w:sz w:val="24"/>
          <w:szCs w:val="24"/>
          <w:highlight w:val="none"/>
        </w:rPr>
      </w:pPr>
      <w:r>
        <w:rPr>
          <w:rFonts w:hint="eastAsia" w:ascii="宋体" w:hAnsi="宋体" w:eastAsia="宋体" w:cs="Times New Roman"/>
          <w:b/>
          <w:color w:val="FF0000"/>
          <w:kern w:val="0"/>
          <w:szCs w:val="21"/>
          <w:highlight w:val="none"/>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分项报价清单</w:t>
      </w:r>
    </w:p>
    <w:p>
      <w:pPr>
        <w:spacing w:afterLines="25" w:line="300" w:lineRule="auto"/>
        <w:rPr>
          <w:rFonts w:ascii="Arial" w:hAnsi="Arial" w:eastAsia="宋体" w:cs="Arial"/>
          <w:szCs w:val="24"/>
          <w:highlight w:val="none"/>
        </w:rPr>
      </w:pPr>
      <w:r>
        <w:rPr>
          <w:rFonts w:hint="eastAsia" w:ascii="Arial" w:hAnsi="Arial" w:eastAsia="宋体" w:cs="Arial"/>
          <w:color w:val="000000"/>
          <w:szCs w:val="24"/>
          <w:highlight w:val="none"/>
        </w:rPr>
        <w:t>投标单位（投标人）名称：</w:t>
      </w:r>
      <w:r>
        <w:rPr>
          <w:rFonts w:ascii="Arial" w:hAnsi="Arial" w:eastAsia="宋体" w:cs="Arial"/>
          <w:color w:val="000000"/>
          <w:szCs w:val="24"/>
          <w:highlight w:val="none"/>
          <w:u w:val="single"/>
        </w:rPr>
        <w:t xml:space="preserve">                          </w:t>
      </w:r>
    </w:p>
    <w:p>
      <w:pPr>
        <w:tabs>
          <w:tab w:val="left" w:pos="720"/>
        </w:tabs>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（一）项目报价表</w:t>
      </w:r>
    </w:p>
    <w:tbl>
      <w:tblPr>
        <w:tblStyle w:val="17"/>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1</w:t>
            </w:r>
          </w:p>
        </w:tc>
        <w:tc>
          <w:tcPr>
            <w:tcW w:w="2263" w:type="dxa"/>
            <w:vAlign w:val="center"/>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2</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3</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w:t>
            </w:r>
          </w:p>
        </w:tc>
        <w:tc>
          <w:tcPr>
            <w:tcW w:w="2263" w:type="dxa"/>
          </w:tcPr>
          <w:p>
            <w:pPr>
              <w:spacing w:afterLines="25" w:line="300" w:lineRule="auto"/>
              <w:rPr>
                <w:rFonts w:ascii="Arial" w:hAnsi="Arial" w:eastAsia="宋体" w:cs="Times New Roman"/>
                <w:b/>
                <w:szCs w:val="24"/>
                <w:highlight w:val="none"/>
              </w:rPr>
            </w:pPr>
          </w:p>
        </w:tc>
        <w:tc>
          <w:tcPr>
            <w:tcW w:w="1281"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1" w:type="dxa"/>
            <w:gridSpan w:val="5"/>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b/>
                <w:szCs w:val="24"/>
                <w:highlight w:val="none"/>
              </w:rPr>
              <w:t>投标总价</w:t>
            </w:r>
            <w:r>
              <w:rPr>
                <w:rFonts w:hint="eastAsia" w:ascii="Arial" w:hAnsi="Arial" w:eastAsia="宋体" w:cs="Times New Roman"/>
                <w:szCs w:val="24"/>
                <w:highlight w:val="none"/>
              </w:rPr>
              <w:t>（</w:t>
            </w:r>
            <w:r>
              <w:rPr>
                <w:rFonts w:hint="eastAsia" w:ascii="Arial" w:hAnsi="Arial" w:eastAsia="宋体" w:cs="Times New Roman"/>
                <w:szCs w:val="24"/>
                <w:highlight w:val="none"/>
                <w:lang w:val="en-US" w:eastAsia="zh-CN"/>
              </w:rPr>
              <w:t>以上各项之和；</w:t>
            </w:r>
            <w:r>
              <w:rPr>
                <w:rFonts w:hint="eastAsia" w:ascii="Arial" w:hAnsi="Arial" w:eastAsia="宋体" w:cs="Times New Roman"/>
                <w:szCs w:val="24"/>
                <w:highlight w:val="none"/>
              </w:rPr>
              <w:t>币种：人民币；单位：元）</w:t>
            </w:r>
          </w:p>
        </w:tc>
        <w:tc>
          <w:tcPr>
            <w:tcW w:w="3732" w:type="dxa"/>
            <w:gridSpan w:val="4"/>
          </w:tcPr>
          <w:p>
            <w:pPr>
              <w:spacing w:afterLines="25" w:line="300" w:lineRule="auto"/>
              <w:rPr>
                <w:rFonts w:ascii="Arial" w:hAnsi="Arial" w:eastAsia="宋体" w:cs="Times New Roman"/>
                <w:szCs w:val="24"/>
                <w:highlight w:val="none"/>
              </w:rPr>
            </w:pPr>
          </w:p>
        </w:tc>
      </w:tr>
    </w:tbl>
    <w:p>
      <w:pPr>
        <w:snapToGrid w:val="0"/>
        <w:rPr>
          <w:rFonts w:cs="Times New Roman" w:asciiTheme="minorEastAsia" w:hAnsiTheme="minorEastAsia"/>
          <w:b/>
          <w:szCs w:val="24"/>
          <w:highlight w:val="none"/>
        </w:rPr>
      </w:pPr>
      <w:r>
        <w:rPr>
          <w:rFonts w:hint="eastAsia" w:cs="Times New Roman" w:asciiTheme="minorEastAsia" w:hAnsiTheme="minorEastAsia"/>
          <w:b/>
          <w:szCs w:val="24"/>
          <w:highlight w:val="none"/>
        </w:rPr>
        <w:t>填写说明：</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1.本表可按同样格式扩展。</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2. 如所投货物属于定制类的非量产货物或无具体品牌、型号的货物，可以在“规格/品牌/型号”一栏仅填写规格信息而不填写品牌、型号等信息（品牌、型号信息用“定制”描述即可）；</w:t>
      </w:r>
      <w:bookmarkStart w:id="21" w:name="_Hlk73646428"/>
      <w:r>
        <w:rPr>
          <w:rFonts w:hint="eastAsia" w:cs="Times New Roman" w:asciiTheme="minorEastAsia" w:hAnsiTheme="minorEastAsia"/>
          <w:b/>
          <w:szCs w:val="24"/>
          <w:highlight w:val="none"/>
        </w:rPr>
        <w:t>此类填写错误（所投货物为定制类的非量产货物但供应商却错误填报了品牌、型号）</w:t>
      </w:r>
      <w:r>
        <w:rPr>
          <w:rFonts w:hint="eastAsia" w:cs="Times New Roman" w:asciiTheme="minorEastAsia" w:hAnsiTheme="minorEastAsia"/>
          <w:b/>
          <w:szCs w:val="24"/>
          <w:highlight w:val="none"/>
          <w:lang w:val="en-US" w:eastAsia="zh-CN"/>
        </w:rPr>
        <w:t>可能</w:t>
      </w:r>
      <w:r>
        <w:rPr>
          <w:rFonts w:hint="eastAsia" w:cs="Times New Roman" w:asciiTheme="minorEastAsia" w:hAnsiTheme="minorEastAsia"/>
          <w:b/>
          <w:szCs w:val="24"/>
          <w:highlight w:val="none"/>
        </w:rPr>
        <w:t>的不利后果由供应商承担。</w:t>
      </w:r>
      <w:bookmarkEnd w:id="21"/>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3.</w:t>
      </w:r>
      <w:bookmarkStart w:id="22" w:name="_Hlk72074795"/>
      <w:r>
        <w:rPr>
          <w:rFonts w:hint="eastAsia" w:cs="Times New Roman" w:asciiTheme="minorEastAsia" w:hAnsiTheme="minorEastAsia"/>
          <w:b/>
          <w:szCs w:val="24"/>
          <w:highlight w:val="none"/>
        </w:rPr>
        <w:t>“原产地”是指该货物的实际生产加工地，而非品牌总公司所在地</w:t>
      </w:r>
      <w:bookmarkEnd w:id="22"/>
      <w:r>
        <w:rPr>
          <w:rFonts w:hint="eastAsia" w:cs="Times New Roman" w:asciiTheme="minorEastAsia" w:hAnsiTheme="minorEastAsia"/>
          <w:b/>
          <w:szCs w:val="24"/>
          <w:highlight w:val="none"/>
        </w:rPr>
        <w:t>。</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4.所投货物均应填写制造商名称。</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5.以上分项报价表的投标总价应当与开标一览表的投标总价一致。</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highlight w:val="none"/>
        </w:rPr>
      </w:pPr>
    </w:p>
    <w:p>
      <w:pPr>
        <w:snapToGrid w:val="0"/>
        <w:rPr>
          <w:rFonts w:cs="Times New Roman" w:asciiTheme="minorEastAsia" w:hAnsiTheme="minorEastAsia"/>
          <w:b/>
          <w:color w:val="FF0000"/>
          <w:szCs w:val="24"/>
          <w:highlight w:val="none"/>
        </w:rPr>
      </w:pPr>
      <w:r>
        <w:rPr>
          <w:rFonts w:hint="eastAsia" w:cs="Times New Roman" w:asciiTheme="minorEastAsia" w:hAnsiTheme="minorEastAsia"/>
          <w:bCs/>
          <w:color w:val="FF0000"/>
          <w:szCs w:val="24"/>
          <w:highlight w:val="none"/>
        </w:rPr>
        <w:t>★</w:t>
      </w:r>
      <w:r>
        <w:rPr>
          <w:rFonts w:hint="eastAsia" w:cs="Times New Roman" w:asciiTheme="minorEastAsia" w:hAnsiTheme="minorEastAsia"/>
          <w:b/>
          <w:color w:val="FF0000"/>
          <w:szCs w:val="24"/>
          <w:highlight w:val="none"/>
        </w:rPr>
        <w:t>填写</w:t>
      </w:r>
      <w:r>
        <w:rPr>
          <w:rFonts w:cs="Times New Roman" w:asciiTheme="minorEastAsia" w:hAnsiTheme="minorEastAsia"/>
          <w:b/>
          <w:color w:val="FF0000"/>
          <w:szCs w:val="24"/>
          <w:highlight w:val="none"/>
        </w:rPr>
        <w:t>要求：</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1.</w:t>
      </w:r>
      <w:r>
        <w:rPr>
          <w:rFonts w:hint="eastAsia" w:cs="Times New Roman" w:asciiTheme="minorEastAsia" w:hAnsiTheme="minorEastAsia"/>
          <w:b/>
          <w:color w:val="FF0000"/>
          <w:szCs w:val="24"/>
          <w:highlight w:val="none"/>
        </w:rPr>
        <w:t>《分项报价清单》</w:t>
      </w:r>
      <w:r>
        <w:rPr>
          <w:rFonts w:cs="Times New Roman" w:asciiTheme="minorEastAsia" w:hAnsiTheme="minorEastAsia"/>
          <w:b/>
          <w:color w:val="FF0000"/>
          <w:szCs w:val="24"/>
          <w:highlight w:val="none"/>
        </w:rPr>
        <w:t>所有价格应</w:t>
      </w:r>
      <w:r>
        <w:rPr>
          <w:rFonts w:hint="eastAsia" w:cs="Times New Roman" w:asciiTheme="minorEastAsia" w:hAnsiTheme="minorEastAsia"/>
          <w:b/>
          <w:color w:val="FF0000"/>
          <w:szCs w:val="24"/>
          <w:highlight w:val="none"/>
        </w:rPr>
        <w:t>以人民币为结算单位填写</w:t>
      </w:r>
      <w:r>
        <w:rPr>
          <w:rFonts w:cs="Times New Roman" w:asciiTheme="minorEastAsia" w:hAnsiTheme="minorEastAsia"/>
          <w:b/>
          <w:color w:val="FF0000"/>
          <w:szCs w:val="24"/>
          <w:highlight w:val="none"/>
        </w:rPr>
        <w:t>；</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2.</w:t>
      </w:r>
      <w:r>
        <w:rPr>
          <w:rFonts w:hint="eastAsia" w:cs="Times New Roman" w:asciiTheme="minorEastAsia" w:hAnsiTheme="minorEastAsia"/>
          <w:b/>
          <w:color w:val="FF0000"/>
          <w:szCs w:val="24"/>
          <w:highlight w:val="none"/>
        </w:rPr>
        <w:t>《（一）项目报价表》</w:t>
      </w:r>
      <w:r>
        <w:rPr>
          <w:rFonts w:cs="Times New Roman" w:asciiTheme="minorEastAsia" w:hAnsiTheme="minorEastAsia"/>
          <w:b/>
          <w:color w:val="FF0000"/>
          <w:szCs w:val="24"/>
          <w:highlight w:val="none"/>
        </w:rPr>
        <w:t>可根据</w:t>
      </w:r>
      <w:r>
        <w:rPr>
          <w:rFonts w:hint="eastAsia" w:cs="Times New Roman" w:asciiTheme="minorEastAsia" w:hAnsiTheme="minorEastAsia"/>
          <w:b/>
          <w:color w:val="FF0000"/>
          <w:szCs w:val="24"/>
          <w:highlight w:val="none"/>
        </w:rPr>
        <w:t>实际需要</w:t>
      </w:r>
      <w:r>
        <w:rPr>
          <w:rFonts w:cs="Times New Roman" w:asciiTheme="minorEastAsia" w:hAnsiTheme="minorEastAsia"/>
          <w:b/>
          <w:color w:val="FF0000"/>
          <w:szCs w:val="24"/>
          <w:highlight w:val="none"/>
        </w:rPr>
        <w:t>增加</w:t>
      </w:r>
      <w:r>
        <w:rPr>
          <w:rFonts w:hint="eastAsia" w:cs="Times New Roman" w:asciiTheme="minorEastAsia" w:hAnsiTheme="minorEastAsia"/>
          <w:b/>
          <w:color w:val="FF0000"/>
          <w:szCs w:val="24"/>
          <w:highlight w:val="none"/>
        </w:rPr>
        <w:t>相关</w:t>
      </w:r>
      <w:r>
        <w:rPr>
          <w:rFonts w:cs="Times New Roman" w:asciiTheme="minorEastAsia" w:hAnsiTheme="minorEastAsia"/>
          <w:b/>
          <w:color w:val="FF0000"/>
          <w:szCs w:val="24"/>
          <w:highlight w:val="none"/>
        </w:rPr>
        <w:t>内容，但原</w:t>
      </w:r>
      <w:r>
        <w:rPr>
          <w:rFonts w:hint="eastAsia" w:cs="Times New Roman" w:asciiTheme="minorEastAsia" w:hAnsiTheme="minorEastAsia"/>
          <w:b/>
          <w:color w:val="FF0000"/>
          <w:szCs w:val="24"/>
          <w:highlight w:val="none"/>
        </w:rPr>
        <w:t>有</w:t>
      </w:r>
      <w:r>
        <w:rPr>
          <w:rFonts w:cs="Times New Roman" w:asciiTheme="minorEastAsia" w:hAnsiTheme="minorEastAsia"/>
          <w:b/>
          <w:color w:val="FF0000"/>
          <w:szCs w:val="24"/>
          <w:highlight w:val="none"/>
        </w:rPr>
        <w:t>的格式</w:t>
      </w:r>
      <w:r>
        <w:rPr>
          <w:rFonts w:hint="eastAsia" w:cs="Times New Roman" w:asciiTheme="minorEastAsia" w:hAnsiTheme="minorEastAsia"/>
          <w:b/>
          <w:color w:val="FF0000"/>
          <w:szCs w:val="24"/>
          <w:highlight w:val="none"/>
        </w:rPr>
        <w:t>内容</w:t>
      </w:r>
      <w:r>
        <w:rPr>
          <w:rFonts w:cs="Times New Roman" w:asciiTheme="minorEastAsia" w:hAnsiTheme="minorEastAsia"/>
          <w:b/>
          <w:color w:val="FF0000"/>
          <w:szCs w:val="24"/>
          <w:highlight w:val="none"/>
        </w:rPr>
        <w:t>不得删减；</w:t>
      </w:r>
    </w:p>
    <w:p>
      <w:pPr>
        <w:snapToGrid w:val="0"/>
        <w:rPr>
          <w:rFonts w:cs="Times New Roman" w:asciiTheme="minorEastAsia" w:hAnsiTheme="minorEastAsia"/>
          <w:b/>
          <w:color w:val="FF0000"/>
          <w:szCs w:val="24"/>
          <w:highlight w:val="none"/>
        </w:rPr>
      </w:pPr>
      <w:r>
        <w:rPr>
          <w:rFonts w:hint="eastAsia" w:cs="Times New Roman" w:asciiTheme="minorEastAsia" w:hAnsiTheme="minorEastAsia"/>
          <w:b/>
          <w:color w:val="FF0000"/>
          <w:szCs w:val="24"/>
          <w:highlight w:val="none"/>
        </w:rPr>
        <w:t>3.</w:t>
      </w:r>
      <w:r>
        <w:rPr>
          <w:rFonts w:cs="Times New Roman" w:asciiTheme="minorEastAsia" w:hAnsiTheme="minorEastAsia"/>
          <w:b/>
          <w:color w:val="FF0000"/>
          <w:szCs w:val="24"/>
          <w:highlight w:val="none"/>
        </w:rPr>
        <w:t>如</w:t>
      </w:r>
      <w:r>
        <w:rPr>
          <w:rFonts w:hint="eastAsia" w:cs="Times New Roman" w:asciiTheme="minorEastAsia" w:hAnsiTheme="minorEastAsia"/>
          <w:b/>
          <w:color w:val="FF0000"/>
          <w:szCs w:val="24"/>
          <w:highlight w:val="none"/>
        </w:rPr>
        <w:t>未提供《（一）项目报价表》或者</w:t>
      </w:r>
      <w:r>
        <w:rPr>
          <w:rFonts w:cs="Times New Roman" w:asciiTheme="minorEastAsia" w:hAnsiTheme="minorEastAsia"/>
          <w:b/>
          <w:color w:val="FF0000"/>
          <w:szCs w:val="24"/>
          <w:highlight w:val="none"/>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highlight w:val="none"/>
        </w:rPr>
        <w:t>要求填报、漏报或错报</w:t>
      </w:r>
      <w:r>
        <w:rPr>
          <w:rFonts w:hint="eastAsia" w:cs="Times New Roman" w:asciiTheme="minorEastAsia" w:hAnsiTheme="minorEastAsia"/>
          <w:b/>
          <w:color w:val="FF0000"/>
          <w:szCs w:val="24"/>
          <w:highlight w:val="none"/>
        </w:rPr>
        <w:t>的将作</w:t>
      </w:r>
      <w:r>
        <w:rPr>
          <w:rFonts w:cs="Times New Roman" w:asciiTheme="minorEastAsia" w:hAnsiTheme="minorEastAsia"/>
          <w:b/>
          <w:color w:val="FF0000"/>
          <w:szCs w:val="24"/>
          <w:highlight w:val="none"/>
        </w:rPr>
        <w:t>投标无效处理。</w:t>
      </w:r>
    </w:p>
    <w:p>
      <w:pPr>
        <w:tabs>
          <w:tab w:val="left" w:pos="720"/>
        </w:tabs>
        <w:rPr>
          <w:rFonts w:ascii="Times New Roman" w:hAnsi="Times New Roman" w:eastAsia="宋体" w:cs="Times New Roman"/>
          <w:b/>
          <w:sz w:val="24"/>
          <w:szCs w:val="24"/>
          <w:highlight w:val="none"/>
        </w:rPr>
      </w:pPr>
    </w:p>
    <w:p>
      <w:pPr>
        <w:tabs>
          <w:tab w:val="left" w:pos="720"/>
        </w:tabs>
        <w:rPr>
          <w:rFonts w:ascii="Times New Roman" w:hAnsi="Times New Roman" w:eastAsia="宋体" w:cs="Times New Roman"/>
          <w:b/>
          <w:color w:val="FF0000"/>
          <w:sz w:val="24"/>
          <w:szCs w:val="24"/>
          <w:highlight w:val="none"/>
        </w:rPr>
      </w:pPr>
      <w:r>
        <w:rPr>
          <w:rFonts w:hint="eastAsia" w:ascii="Times New Roman" w:hAnsi="Times New Roman" w:eastAsia="宋体" w:cs="Times New Roman"/>
          <w:b/>
          <w:color w:val="FF0000"/>
          <w:sz w:val="24"/>
          <w:szCs w:val="24"/>
          <w:highlight w:val="none"/>
        </w:rPr>
        <w:t>（二）核心产品品牌</w:t>
      </w:r>
    </w:p>
    <w:p>
      <w:pPr>
        <w:rPr>
          <w:rFonts w:hint="eastAsia" w:ascii="Times New Roman" w:hAnsi="Times New Roman" w:eastAsia="宋体" w:cs="Times New Roman"/>
          <w:color w:val="FF0000"/>
          <w:sz w:val="24"/>
          <w:szCs w:val="24"/>
          <w:highlight w:val="none"/>
        </w:rPr>
      </w:pPr>
      <w:r>
        <w:rPr>
          <w:rFonts w:hint="eastAsia" w:ascii="Times New Roman" w:hAnsi="Times New Roman" w:eastAsia="宋体" w:cs="Times New Roman"/>
          <w:b/>
          <w:color w:val="FF0000"/>
          <w:sz w:val="24"/>
          <w:szCs w:val="24"/>
          <w:highlight w:val="none"/>
        </w:rPr>
        <w:t>我单位所投核心产品的品牌为：</w:t>
      </w:r>
      <w:r>
        <w:rPr>
          <w:rFonts w:hint="eastAsia" w:ascii="Times New Roman" w:hAnsi="Times New Roman" w:eastAsia="宋体" w:cs="Times New Roman"/>
          <w:color w:val="FF0000"/>
          <w:sz w:val="24"/>
          <w:szCs w:val="24"/>
          <w:highlight w:val="none"/>
          <w:u w:val="single"/>
        </w:rPr>
        <w:t xml:space="preserve">               </w:t>
      </w:r>
      <w:r>
        <w:rPr>
          <w:rFonts w:hint="eastAsia" w:ascii="Times New Roman" w:hAnsi="Times New Roman" w:eastAsia="宋体" w:cs="Times New Roman"/>
          <w:color w:val="FF0000"/>
          <w:sz w:val="24"/>
          <w:szCs w:val="24"/>
          <w:highlight w:val="none"/>
        </w:rPr>
        <w:t>。</w:t>
      </w:r>
    </w:p>
    <w:p>
      <w:pPr>
        <w:rPr>
          <w:rFonts w:ascii="Arial" w:hAnsi="Arial" w:eastAsia="宋体" w:cs="Times New Roman"/>
          <w:b/>
          <w:szCs w:val="24"/>
          <w:highlight w:val="none"/>
        </w:rPr>
      </w:pPr>
      <w:r>
        <w:rPr>
          <w:rFonts w:hint="eastAsia" w:ascii="宋体" w:hAnsi="宋体" w:eastAsia="宋体" w:cs="Times New Roman"/>
          <w:color w:val="FF0000"/>
          <w:sz w:val="24"/>
          <w:szCs w:val="24"/>
          <w:highlight w:val="none"/>
        </w:rPr>
        <w:t>备注：如招标文件未列明核心产品的，无需填写该项。</w:t>
      </w:r>
    </w:p>
    <w:p>
      <w:pPr>
        <w:spacing w:afterLines="25" w:line="300" w:lineRule="auto"/>
        <w:rPr>
          <w:rFonts w:ascii="Arial" w:hAnsi="Arial" w:eastAsia="宋体" w:cs="Times New Roman"/>
          <w:b/>
          <w:szCs w:val="24"/>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（三）可选配件报价清单（非项目需求要求的必备配件，此部分不包括在总报价内）</w:t>
      </w:r>
    </w:p>
    <w:p>
      <w:pPr>
        <w:ind w:firstLine="422" w:firstLineChars="200"/>
        <w:rPr>
          <w:rFonts w:hint="eastAsia" w:hAnsi="宋体"/>
          <w:b/>
          <w:bCs/>
          <w:szCs w:val="21"/>
          <w:highlight w:val="none"/>
        </w:rPr>
      </w:pPr>
      <w:r>
        <w:rPr>
          <w:rFonts w:hint="eastAsia" w:hAnsi="宋体"/>
          <w:b/>
          <w:bCs/>
          <w:szCs w:val="21"/>
          <w:highlight w:val="none"/>
        </w:rPr>
        <w:t>注：格式可以参照《（一）</w:t>
      </w:r>
      <w:r>
        <w:rPr>
          <w:rFonts w:hint="eastAsia" w:hAnsi="宋体"/>
          <w:b/>
          <w:bCs/>
          <w:szCs w:val="21"/>
          <w:highlight w:val="none"/>
          <w:lang w:val="en-US" w:eastAsia="zh-CN"/>
        </w:rPr>
        <w:t>项目</w:t>
      </w:r>
      <w:r>
        <w:rPr>
          <w:rFonts w:hint="eastAsia" w:hAnsi="宋体"/>
          <w:b/>
          <w:bCs/>
          <w:szCs w:val="21"/>
          <w:highlight w:val="none"/>
        </w:rPr>
        <w:t>报价表》表格，并提供相应的品牌/规格/型号、原产地、制造商信息（没有品牌、型号的，用“定制”描述即可）、单价等详细信息</w:t>
      </w:r>
    </w:p>
    <w:p>
      <w:pPr>
        <w:ind w:firstLine="422" w:firstLineChars="200"/>
        <w:rPr>
          <w:rFonts w:hint="eastAsia" w:hAnsi="宋体"/>
          <w:b/>
          <w:bCs/>
          <w:szCs w:val="21"/>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highlight w:val="none"/>
          <w:lang w:val="en-US"/>
        </w:rPr>
      </w:pPr>
      <w:r>
        <w:rPr>
          <w:rFonts w:hint="eastAsia" w:ascii="宋体" w:hAnsi="宋体" w:eastAsia="宋体" w:cs="Times New Roman"/>
          <w:b/>
          <w:bCs/>
          <w:kern w:val="0"/>
          <w:sz w:val="24"/>
          <w:szCs w:val="20"/>
          <w:highlight w:val="none"/>
        </w:rPr>
        <w:t>4.</w:t>
      </w:r>
      <w:r>
        <w:rPr>
          <w:rFonts w:hint="eastAsia" w:ascii="宋体" w:hAnsi="宋体" w:eastAsia="宋体" w:cs="Times New Roman"/>
          <w:b/>
          <w:bCs/>
          <w:kern w:val="0"/>
          <w:sz w:val="24"/>
          <w:szCs w:val="20"/>
          <w:highlight w:val="none"/>
          <w:lang w:val="en-US" w:eastAsia="zh-CN"/>
        </w:rPr>
        <w:t>中小企业相关声明函</w:t>
      </w:r>
    </w:p>
    <w:p>
      <w:pPr>
        <w:snapToGrid w:val="0"/>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lang w:eastAsia="zh-CN"/>
        </w:rPr>
      </w:pPr>
      <w:r>
        <w:rPr>
          <w:rFonts w:hint="eastAsia" w:ascii="黑体" w:hAnsi="黑体" w:eastAsia="黑体" w:cs="黑体"/>
          <w:b w:val="0"/>
          <w:bCs/>
          <w:color w:val="FF0000"/>
          <w:sz w:val="25"/>
          <w:szCs w:val="25"/>
          <w:highlight w:val="none"/>
        </w:rPr>
        <w:t>(3)《统计上大中小微型企业划分办法(2017)》（国统字〔2017〕213 号）</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lang w:eastAsia="zh-CN"/>
        </w:rPr>
      </w:pPr>
      <w:r>
        <w:rPr>
          <w:rFonts w:hint="eastAsia" w:ascii="黑体" w:hAnsi="黑体" w:eastAsia="黑体" w:cs="黑体"/>
          <w:b w:val="0"/>
          <w:bCs/>
          <w:color w:val="FF0000"/>
          <w:sz w:val="25"/>
          <w:szCs w:val="25"/>
          <w:highlight w:val="none"/>
        </w:rPr>
        <w:t>(4)《关于促进残疾人就业政府采购政策的通知》（财库〔2017〕141号）</w:t>
      </w:r>
      <w:r>
        <w:rPr>
          <w:rFonts w:hint="eastAsia" w:ascii="黑体" w:hAnsi="黑体" w:eastAsia="黑体" w:cs="黑体"/>
          <w:b w:val="0"/>
          <w:bCs/>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第三处，在“标的名称”下划线处填写所采购货物（标的）的具体名称</w:t>
      </w:r>
      <w:r>
        <w:rPr>
          <w:rFonts w:hint="eastAsia" w:ascii="黑体" w:hAnsi="黑体" w:eastAsia="黑体" w:cs="黑体"/>
          <w:b w:val="0"/>
          <w:bCs/>
          <w:color w:val="0000FF"/>
          <w:sz w:val="25"/>
          <w:szCs w:val="25"/>
          <w:highlight w:val="none"/>
        </w:rPr>
        <w:t>（以招标文件第一册第三章用户需求书“货物</w:t>
      </w:r>
      <w:r>
        <w:rPr>
          <w:rFonts w:hint="eastAsia" w:ascii="黑体" w:hAnsi="黑体" w:eastAsia="黑体" w:cs="黑体"/>
          <w:b w:val="0"/>
          <w:bCs/>
          <w:color w:val="0000FF"/>
          <w:sz w:val="25"/>
          <w:szCs w:val="25"/>
          <w:highlight w:val="none"/>
          <w:lang w:val="en-US" w:eastAsia="zh-CN"/>
        </w:rPr>
        <w:t>需求</w:t>
      </w:r>
      <w:r>
        <w:rPr>
          <w:rFonts w:hint="eastAsia" w:ascii="黑体" w:hAnsi="黑体" w:eastAsia="黑体" w:cs="黑体"/>
          <w:b w:val="0"/>
          <w:bCs/>
          <w:color w:val="0000FF"/>
          <w:sz w:val="25"/>
          <w:szCs w:val="25"/>
          <w:highlight w:val="none"/>
        </w:rPr>
        <w:t>明细”的“货物名称”一栏为准）</w:t>
      </w:r>
      <w:r>
        <w:rPr>
          <w:rFonts w:hint="eastAsia" w:ascii="黑体" w:hAnsi="黑体" w:eastAsia="黑体" w:cs="黑体"/>
          <w:b w:val="0"/>
          <w:bCs/>
          <w:color w:val="FF0000"/>
          <w:sz w:val="25"/>
          <w:szCs w:val="25"/>
          <w:highlight w:val="none"/>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highlight w:val="none"/>
        </w:rPr>
        <w:t>（所属行业</w:t>
      </w:r>
      <w:r>
        <w:rPr>
          <w:rFonts w:hint="eastAsia" w:ascii="黑体" w:hAnsi="黑体" w:eastAsia="黑体" w:cs="黑体"/>
          <w:b w:val="0"/>
          <w:bCs w:val="0"/>
          <w:color w:val="0000FF"/>
          <w:sz w:val="25"/>
          <w:szCs w:val="25"/>
          <w:highlight w:val="none"/>
          <w:lang w:val="en-US" w:eastAsia="zh-CN"/>
        </w:rPr>
        <w:t>详见</w:t>
      </w:r>
      <w:r>
        <w:rPr>
          <w:rFonts w:hint="eastAsia" w:ascii="黑体" w:hAnsi="黑体" w:eastAsia="黑体" w:cs="黑体"/>
          <w:b w:val="0"/>
          <w:bCs w:val="0"/>
          <w:color w:val="0000FF"/>
          <w:sz w:val="25"/>
          <w:szCs w:val="25"/>
          <w:highlight w:val="none"/>
        </w:rPr>
        <w:t>招标文件第一册第二章“对通用条款的补充内容及其他关键信息”章节</w:t>
      </w:r>
      <w:r>
        <w:rPr>
          <w:rFonts w:hint="eastAsia" w:ascii="黑体" w:hAnsi="黑体" w:eastAsia="黑体" w:cs="黑体"/>
          <w:b w:val="0"/>
          <w:bCs w:val="0"/>
          <w:color w:val="0000FF"/>
          <w:sz w:val="25"/>
          <w:szCs w:val="25"/>
          <w:highlight w:val="none"/>
          <w:lang w:val="en-US" w:eastAsia="zh-CN"/>
        </w:rPr>
        <w:t>或</w:t>
      </w:r>
      <w:r>
        <w:rPr>
          <w:rFonts w:hint="eastAsia" w:ascii="黑体" w:hAnsi="黑体" w:eastAsia="黑体" w:cs="黑体"/>
          <w:b w:val="0"/>
          <w:bCs w:val="0"/>
          <w:color w:val="0000FF"/>
          <w:sz w:val="25"/>
          <w:szCs w:val="25"/>
          <w:highlight w:val="none"/>
        </w:rPr>
        <w:t>第三章用户需求书“</w:t>
      </w:r>
      <w:r>
        <w:rPr>
          <w:rFonts w:hint="eastAsia" w:ascii="黑体" w:hAnsi="黑体" w:eastAsia="黑体" w:cs="黑体"/>
          <w:b w:val="0"/>
          <w:bCs w:val="0"/>
          <w:color w:val="0000FF"/>
          <w:sz w:val="25"/>
          <w:szCs w:val="25"/>
          <w:highlight w:val="none"/>
          <w:lang w:val="en-US" w:eastAsia="zh-CN"/>
        </w:rPr>
        <w:t>货物需求</w:t>
      </w:r>
      <w:r>
        <w:rPr>
          <w:rFonts w:hint="eastAsia" w:ascii="黑体" w:hAnsi="黑体" w:eastAsia="黑体" w:cs="黑体"/>
          <w:b w:val="0"/>
          <w:bCs w:val="0"/>
          <w:color w:val="0000FF"/>
          <w:sz w:val="25"/>
          <w:szCs w:val="25"/>
          <w:highlight w:val="none"/>
        </w:rPr>
        <w:t>明细”</w:t>
      </w:r>
      <w:r>
        <w:rPr>
          <w:rFonts w:hint="eastAsia" w:ascii="黑体" w:hAnsi="黑体" w:eastAsia="黑体" w:cs="黑体"/>
          <w:b w:val="0"/>
          <w:bCs w:val="0"/>
          <w:color w:val="0000FF"/>
          <w:sz w:val="25"/>
          <w:szCs w:val="25"/>
          <w:highlight w:val="none"/>
          <w:lang w:val="en-US" w:eastAsia="zh-CN"/>
        </w:rPr>
        <w:t>中的所属行业信息</w:t>
      </w:r>
      <w:r>
        <w:rPr>
          <w:rFonts w:hint="eastAsia" w:ascii="黑体" w:hAnsi="黑体" w:eastAsia="黑体" w:cs="黑体"/>
          <w:b w:val="0"/>
          <w:bCs w:val="0"/>
          <w:color w:val="0000FF"/>
          <w:sz w:val="25"/>
          <w:szCs w:val="25"/>
          <w:highlight w:val="none"/>
        </w:rPr>
        <w:t>）</w:t>
      </w:r>
      <w:r>
        <w:rPr>
          <w:rFonts w:hint="eastAsia" w:ascii="黑体" w:hAnsi="黑体" w:eastAsia="黑体" w:cs="黑体"/>
          <w:b w:val="0"/>
          <w:bCs/>
          <w:color w:val="FF0000"/>
          <w:sz w:val="25"/>
          <w:szCs w:val="25"/>
          <w:highlight w:val="none"/>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highlight w:val="none"/>
        </w:rPr>
      </w:pPr>
      <w:r>
        <w:rPr>
          <w:rFonts w:hint="eastAsia" w:ascii="黑体" w:hAnsi="黑体" w:eastAsia="黑体" w:cs="黑体"/>
          <w:b w:val="0"/>
          <w:bCs/>
          <w:color w:val="FF0000"/>
          <w:sz w:val="25"/>
          <w:szCs w:val="25"/>
          <w:highlight w:val="none"/>
        </w:rPr>
        <w:t>（3）声明是监狱企业须填写《监狱企业声明函》的三项内容（填写位置的字体已加粗），具体参照以上《中小企业声明函》填写要求执行。</w:t>
      </w:r>
    </w:p>
    <w:p>
      <w:pPr>
        <w:snapToGrid w:val="0"/>
        <w:rPr>
          <w:rFonts w:ascii="仿宋" w:hAnsi="仿宋" w:eastAsia="仿宋"/>
          <w:b/>
          <w:color w:val="FF0000"/>
          <w:sz w:val="25"/>
          <w:szCs w:val="25"/>
          <w:highlight w:val="none"/>
        </w:rPr>
      </w:pPr>
    </w:p>
    <w:p>
      <w:pPr>
        <w:snapToGrid w:val="0"/>
        <w:rPr>
          <w:rFonts w:ascii="仿宋" w:hAnsi="仿宋" w:eastAsia="仿宋"/>
          <w:b/>
          <w:color w:val="FF0000"/>
          <w:sz w:val="25"/>
          <w:szCs w:val="25"/>
          <w:highlight w:val="none"/>
        </w:rPr>
      </w:pPr>
    </w:p>
    <w:p>
      <w:pPr>
        <w:snapToGrid w:val="0"/>
        <w:rPr>
          <w:rFonts w:ascii="仿宋" w:hAnsi="仿宋" w:eastAsia="仿宋"/>
          <w:b/>
          <w:color w:val="FF0000"/>
          <w:sz w:val="25"/>
          <w:szCs w:val="25"/>
          <w:highlight w:val="none"/>
        </w:rPr>
      </w:pPr>
    </w:p>
    <w:p>
      <w:pPr>
        <w:widowControl/>
        <w:jc w:val="center"/>
        <w:outlineLvl w:val="4"/>
        <w:rPr>
          <w:rFonts w:ascii="Arial" w:hAnsi="Arial" w:eastAsia="宋体" w:cs="Times New Roman"/>
          <w:b/>
          <w:sz w:val="24"/>
          <w:szCs w:val="24"/>
          <w:highlight w:val="none"/>
        </w:rPr>
      </w:pPr>
      <w:r>
        <w:rPr>
          <w:rFonts w:ascii="宋体" w:hAnsi="宋体" w:eastAsia="宋体" w:cs="Times New Roman"/>
          <w:b/>
          <w:bCs/>
          <w:sz w:val="24"/>
          <w:szCs w:val="24"/>
          <w:highlight w:val="none"/>
        </w:rPr>
        <w:fldChar w:fldCharType="begin"/>
      </w:r>
      <w:r>
        <w:rPr>
          <w:rFonts w:ascii="宋体" w:hAnsi="宋体" w:eastAsia="宋体" w:cs="Times New Roman"/>
          <w:b/>
          <w:sz w:val="24"/>
          <w:szCs w:val="24"/>
          <w:highlight w:val="none"/>
        </w:rPr>
        <w:instrText xml:space="preserve"> </w:instrText>
      </w:r>
      <w:r>
        <w:rPr>
          <w:rFonts w:hint="eastAsia" w:ascii="宋体" w:hAnsi="宋体" w:eastAsia="宋体" w:cs="Times New Roman"/>
          <w:b/>
          <w:sz w:val="24"/>
          <w:szCs w:val="24"/>
          <w:highlight w:val="none"/>
        </w:rPr>
        <w:instrText xml:space="preserve">= 1 \* GB3</w:instrText>
      </w:r>
      <w:r>
        <w:rPr>
          <w:rFonts w:ascii="宋体" w:hAnsi="宋体" w:eastAsia="宋体" w:cs="Times New Roman"/>
          <w:b/>
          <w:sz w:val="24"/>
          <w:szCs w:val="24"/>
          <w:highlight w:val="none"/>
        </w:rPr>
        <w:instrText xml:space="preserve"> </w:instrText>
      </w:r>
      <w:r>
        <w:rPr>
          <w:rFonts w:ascii="宋体" w:hAnsi="宋体" w:eastAsia="宋体" w:cs="Times New Roman"/>
          <w:b/>
          <w:bCs/>
          <w:sz w:val="24"/>
          <w:szCs w:val="24"/>
          <w:highlight w:val="none"/>
        </w:rPr>
        <w:fldChar w:fldCharType="separate"/>
      </w:r>
      <w:r>
        <w:rPr>
          <w:rFonts w:hint="eastAsia" w:ascii="宋体" w:hAnsi="宋体" w:eastAsia="宋体" w:cs="Times New Roman"/>
          <w:b/>
          <w:sz w:val="24"/>
          <w:szCs w:val="24"/>
          <w:highlight w:val="none"/>
        </w:rPr>
        <w:t>①</w:t>
      </w:r>
      <w:r>
        <w:rPr>
          <w:rFonts w:ascii="宋体" w:hAnsi="宋体" w:eastAsia="宋体" w:cs="Times New Roman"/>
          <w:b/>
          <w:bCs/>
          <w:sz w:val="24"/>
          <w:szCs w:val="24"/>
          <w:highlight w:val="none"/>
        </w:rPr>
        <w:fldChar w:fldCharType="end"/>
      </w:r>
      <w:r>
        <w:rPr>
          <w:rFonts w:hint="eastAsia" w:ascii="Arial" w:hAnsi="Arial" w:eastAsia="宋体" w:cs="Times New Roman"/>
          <w:b/>
          <w:sz w:val="24"/>
          <w:szCs w:val="24"/>
          <w:highlight w:val="none"/>
        </w:rPr>
        <w:t>中小企业声明函（货物）</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郑重声明，根据《政府采购促进中小企业发展管理办法》（财库</w:t>
      </w:r>
      <w:r>
        <w:rPr>
          <w:rFonts w:hint="eastAsia" w:ascii="Arial" w:hAnsi="Arial" w:eastAsia="宋体" w:cs="Times New Roman"/>
          <w:szCs w:val="21"/>
          <w:highlight w:val="none"/>
        </w:rPr>
        <w:t>﹝</w:t>
      </w:r>
      <w:r>
        <w:rPr>
          <w:rFonts w:ascii="Arial" w:hAnsi="Arial" w:eastAsia="宋体" w:cs="Times New Roman"/>
          <w:szCs w:val="21"/>
          <w:highlight w:val="none"/>
        </w:rPr>
        <w:t>2020</w:t>
      </w:r>
      <w:r>
        <w:rPr>
          <w:rFonts w:hint="eastAsia" w:ascii="Arial" w:hAnsi="Arial" w:eastAsia="宋体" w:cs="Times New Roman"/>
          <w:szCs w:val="21"/>
          <w:highlight w:val="none"/>
        </w:rPr>
        <w:t>﹞</w:t>
      </w:r>
      <w:r>
        <w:rPr>
          <w:rFonts w:ascii="Arial" w:hAnsi="Arial" w:eastAsia="宋体" w:cs="Times New Roman"/>
          <w:szCs w:val="21"/>
          <w:highlight w:val="none"/>
        </w:rPr>
        <w:t>46 号）的规定，本</w:t>
      </w:r>
      <w:r>
        <w:rPr>
          <w:rFonts w:hint="eastAsia" w:ascii="Arial" w:hAnsi="Arial" w:eastAsia="宋体" w:cs="Times New Roman"/>
          <w:szCs w:val="21"/>
          <w:highlight w:val="none"/>
        </w:rPr>
        <w:t>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u w:val="singl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highlight w:val="none"/>
        </w:rPr>
      </w:pPr>
      <w:bookmarkStart w:id="23" w:name="_Hlk73562203"/>
      <w:r>
        <w:rPr>
          <w:rFonts w:hint="eastAsia" w:ascii="Arial" w:hAnsi="Arial" w:eastAsia="宋体" w:cs="Times New Roman"/>
          <w:szCs w:val="21"/>
          <w:highlight w:val="none"/>
        </w:rPr>
        <w:t>本</w:t>
      </w:r>
      <w:r>
        <w:rPr>
          <w:rFonts w:ascii="Arial" w:hAnsi="Arial" w:eastAsia="宋体" w:cs="Times New Roman"/>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highlight w:val="none"/>
        </w:rPr>
        <w:t>投标人</w:t>
      </w:r>
      <w:r>
        <w:rPr>
          <w:rFonts w:ascii="Arial" w:hAnsi="Arial" w:eastAsia="宋体" w:cs="Times New Roman"/>
          <w:szCs w:val="21"/>
          <w:highlight w:val="none"/>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highlight w:val="none"/>
        </w:rPr>
        <w:t>。</w:t>
      </w:r>
      <w:bookmarkEnd w:id="23"/>
    </w:p>
    <w:p>
      <w:pPr>
        <w:spacing w:afterLines="25" w:line="300" w:lineRule="auto"/>
        <w:ind w:firstLine="630" w:firstLineChars="300"/>
        <w:rPr>
          <w:rFonts w:ascii="Arial" w:hAnsi="Arial" w:eastAsia="宋体" w:cs="Times New Roman"/>
          <w:szCs w:val="21"/>
          <w:highlight w:val="none"/>
        </w:rPr>
      </w:pPr>
    </w:p>
    <w:p>
      <w:pPr>
        <w:spacing w:afterLines="25" w:line="300" w:lineRule="auto"/>
        <w:ind w:right="420" w:firstLine="4200" w:firstLineChars="2000"/>
        <w:rPr>
          <w:rFonts w:ascii="Arial" w:hAnsi="Arial" w:eastAsia="宋体" w:cs="Times New Roman"/>
          <w:szCs w:val="21"/>
          <w:highlight w:val="none"/>
        </w:rPr>
      </w:pPr>
      <w:r>
        <w:rPr>
          <w:rFonts w:hint="eastAsia" w:ascii="Arial" w:hAnsi="Arial" w:eastAsia="宋体" w:cs="Times New Roman"/>
          <w:szCs w:val="21"/>
          <w:highlight w:val="none"/>
        </w:rPr>
        <w:t>投标人（投标单位）：</w:t>
      </w:r>
    </w:p>
    <w:p>
      <w:pPr>
        <w:spacing w:afterLines="25" w:line="300" w:lineRule="auto"/>
        <w:ind w:right="420" w:firstLine="5565" w:firstLineChars="2650"/>
        <w:rPr>
          <w:rFonts w:ascii="Arial" w:hAnsi="Arial" w:eastAsia="宋体" w:cs="Times New Roman"/>
          <w:szCs w:val="21"/>
          <w:highlight w:val="none"/>
        </w:rPr>
      </w:pPr>
      <w:r>
        <w:rPr>
          <w:rFonts w:hint="eastAsia" w:ascii="Arial" w:hAnsi="Arial" w:eastAsia="宋体" w:cs="Times New Roman"/>
          <w:szCs w:val="21"/>
          <w:highlight w:val="none"/>
        </w:rPr>
        <w:t>日期：</w:t>
      </w:r>
    </w:p>
    <w:p>
      <w:pPr>
        <w:spacing w:afterLines="25" w:line="300" w:lineRule="auto"/>
        <w:ind w:right="420" w:firstLine="5587" w:firstLineChars="2650"/>
        <w:rPr>
          <w:rFonts w:ascii="Arial" w:hAnsi="Arial" w:eastAsia="宋体" w:cs="Times New Roman"/>
          <w:b/>
          <w:szCs w:val="21"/>
          <w:highlight w:val="none"/>
        </w:rPr>
      </w:pPr>
    </w:p>
    <w:p>
      <w:pPr>
        <w:spacing w:afterLines="25" w:line="300" w:lineRule="auto"/>
        <w:ind w:right="420" w:firstLine="5587" w:firstLineChars="2650"/>
        <w:rPr>
          <w:rFonts w:ascii="Arial" w:hAnsi="Arial" w:eastAsia="宋体" w:cs="Times New Roman"/>
          <w:b/>
          <w:szCs w:val="21"/>
          <w:highlight w:val="none"/>
        </w:rPr>
      </w:pPr>
    </w:p>
    <w:p>
      <w:pPr>
        <w:spacing w:afterLines="25" w:line="300" w:lineRule="auto"/>
        <w:ind w:firstLine="482" w:firstLineChars="200"/>
        <w:jc w:val="left"/>
        <w:rPr>
          <w:rFonts w:ascii="宋体" w:hAnsi="宋体" w:eastAsia="宋体" w:cs="Times New Roman"/>
          <w:sz w:val="24"/>
          <w:szCs w:val="24"/>
          <w:highlight w:val="none"/>
        </w:rPr>
      </w:pPr>
      <w:r>
        <w:rPr>
          <w:rFonts w:hint="eastAsia" w:ascii="宋体" w:hAnsi="宋体" w:eastAsia="宋体" w:cs="Times New Roman"/>
          <w:b/>
          <w:sz w:val="24"/>
          <w:szCs w:val="24"/>
          <w:highlight w:val="none"/>
        </w:rPr>
        <w:t>说明：</w:t>
      </w:r>
      <w:r>
        <w:rPr>
          <w:rFonts w:hint="eastAsia" w:ascii="宋体" w:hAnsi="宋体" w:eastAsia="宋体" w:cs="Times New Roman"/>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highlight w:val="none"/>
        </w:rPr>
      </w:pPr>
      <w:r>
        <w:rPr>
          <w:rFonts w:ascii="宋体" w:hAnsi="宋体" w:eastAsia="宋体" w:cs="Times New Roman"/>
          <w:b/>
          <w:sz w:val="24"/>
          <w:szCs w:val="24"/>
          <w:highlight w:val="none"/>
        </w:rPr>
        <w:br w:type="page"/>
      </w:r>
    </w:p>
    <w:p>
      <w:pPr>
        <w:spacing w:afterLines="25" w:line="300" w:lineRule="auto"/>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②</w:t>
      </w:r>
      <w:r>
        <w:rPr>
          <w:rFonts w:hint="eastAsia" w:ascii="Arial" w:hAnsi="Arial" w:eastAsia="宋体" w:cs="Times New Roman"/>
          <w:b/>
          <w:sz w:val="24"/>
          <w:szCs w:val="24"/>
          <w:highlight w:val="none"/>
        </w:rPr>
        <w:t>残疾人福利性单位声明函（货物）</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采购活动，提供的货物全部由符合政策要求的</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制造。相关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cs="Times New Roman" w:asciiTheme="minorEastAsia" w:hAnsiTheme="minorEastAsia"/>
          <w:szCs w:val="21"/>
          <w:highlight w:val="none"/>
        </w:rPr>
      </w:pPr>
      <w:bookmarkStart w:id="24" w:name="_Hlk73562331"/>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bookmarkEnd w:id="24"/>
    </w:p>
    <w:p>
      <w:pPr>
        <w:spacing w:afterLines="25" w:line="300" w:lineRule="auto"/>
        <w:jc w:val="right"/>
        <w:rPr>
          <w:rFonts w:cs="Times New Roman" w:asciiTheme="minorEastAsia" w:hAnsiTheme="minorEastAsia"/>
          <w:szCs w:val="21"/>
          <w:highlight w:val="none"/>
        </w:rPr>
      </w:pPr>
    </w:p>
    <w:p>
      <w:pPr>
        <w:spacing w:afterLines="25" w:line="300" w:lineRule="auto"/>
        <w:ind w:right="420" w:firstLine="4410" w:firstLineChars="2100"/>
        <w:rPr>
          <w:rFonts w:cs="Times New Roman" w:asciiTheme="minorEastAsia" w:hAnsiTheme="minorEastAsia"/>
          <w:szCs w:val="21"/>
          <w:highlight w:val="none"/>
        </w:rPr>
      </w:pPr>
      <w:r>
        <w:rPr>
          <w:rFonts w:hint="eastAsia" w:cs="Times New Roman" w:asciiTheme="minorEastAsia" w:hAnsiTheme="minorEastAsia"/>
          <w:szCs w:val="21"/>
          <w:highlight w:val="none"/>
        </w:rPr>
        <w:t>投标人（投标单位）：</w:t>
      </w:r>
    </w:p>
    <w:p>
      <w:pPr>
        <w:spacing w:afterLines="25" w:line="300" w:lineRule="auto"/>
        <w:ind w:right="420" w:firstLine="5775" w:firstLineChars="2750"/>
        <w:rPr>
          <w:rFonts w:cs="Times New Roman" w:asciiTheme="minorEastAsia" w:hAnsiTheme="minorEastAsia"/>
          <w:szCs w:val="21"/>
          <w:highlight w:val="none"/>
        </w:rPr>
      </w:pPr>
      <w:r>
        <w:rPr>
          <w:rFonts w:hint="eastAsia" w:cs="Times New Roman" w:asciiTheme="minorEastAsia" w:hAnsiTheme="minorEastAsia"/>
          <w:szCs w:val="21"/>
          <w:highlight w:val="none"/>
        </w:rPr>
        <w:t>日期：</w:t>
      </w:r>
    </w:p>
    <w:p>
      <w:pPr>
        <w:spacing w:afterLines="25" w:line="300" w:lineRule="auto"/>
        <w:jc w:val="right"/>
        <w:rPr>
          <w:rFonts w:cs="Times New Roman" w:asciiTheme="minorEastAsia" w:hAnsiTheme="minorEastAsia"/>
          <w:b/>
          <w:color w:val="FF0000"/>
          <w:sz w:val="28"/>
          <w:szCs w:val="28"/>
          <w:highlight w:val="none"/>
        </w:rPr>
      </w:pPr>
    </w:p>
    <w:p>
      <w:pPr>
        <w:spacing w:afterLines="25" w:line="300" w:lineRule="auto"/>
        <w:jc w:val="right"/>
        <w:rPr>
          <w:rFonts w:ascii="Arial" w:hAnsi="Arial" w:eastAsia="宋体" w:cs="Times New Roman"/>
          <w:b/>
          <w:color w:val="FF0000"/>
          <w:sz w:val="28"/>
          <w:szCs w:val="28"/>
          <w:highlight w:val="none"/>
        </w:rPr>
      </w:pP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highlight w:val="none"/>
        </w:rPr>
      </w:pPr>
      <w:r>
        <w:rPr>
          <w:rFonts w:ascii="宋体" w:hAnsi="宋体" w:eastAsia="宋体" w:cs="Times New Roman"/>
          <w:b/>
          <w:sz w:val="24"/>
          <w:szCs w:val="24"/>
          <w:highlight w:val="none"/>
        </w:rPr>
        <w:br w:type="page"/>
      </w: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监狱企业声明函（货物）</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本投标人郑重声明，根据《财政部司法部关于政府采购支持监狱企业发展有关问题的通知》（财库〔</w:t>
      </w:r>
      <w:r>
        <w:rPr>
          <w:rFonts w:ascii="Arial" w:hAnsi="Arial" w:eastAsia="宋体" w:cs="Times New Roman"/>
          <w:szCs w:val="21"/>
          <w:highlight w:val="none"/>
        </w:rPr>
        <w:t>2014</w:t>
      </w:r>
      <w:r>
        <w:rPr>
          <w:rFonts w:hint="eastAsia" w:ascii="Arial" w:hAnsi="Arial" w:eastAsia="宋体" w:cs="Times New Roman"/>
          <w:szCs w:val="21"/>
          <w:highlight w:val="none"/>
        </w:rPr>
        <w:t>〕</w:t>
      </w:r>
      <w:r>
        <w:rPr>
          <w:rFonts w:ascii="Arial" w:hAnsi="Arial" w:eastAsia="宋体" w:cs="Times New Roman"/>
          <w:szCs w:val="21"/>
          <w:highlight w:val="none"/>
        </w:rPr>
        <w:t>68</w:t>
      </w:r>
      <w:r>
        <w:rPr>
          <w:rFonts w:hint="eastAsia" w:ascii="Arial" w:hAnsi="Arial" w:eastAsia="宋体" w:cs="Times New Roman"/>
          <w:szCs w:val="21"/>
          <w:highlight w:val="none"/>
        </w:rPr>
        <w:t>号）的规定，本投标人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w:t>
      </w:r>
      <w:r>
        <w:rPr>
          <w:rFonts w:hint="eastAsia" w:ascii="Arial" w:hAnsi="Arial" w:eastAsia="宋体" w:cs="Times New Roman"/>
          <w:szCs w:val="21"/>
          <w:highlight w:val="none"/>
        </w:rPr>
        <w:t>监狱企业</w:t>
      </w:r>
      <w:r>
        <w:rPr>
          <w:rFonts w:ascii="Arial" w:hAnsi="Arial" w:eastAsia="宋体" w:cs="Times New Roman"/>
          <w:szCs w:val="21"/>
          <w:highlight w:val="none"/>
        </w:rPr>
        <w:t>制造。相关</w:t>
      </w:r>
      <w:r>
        <w:rPr>
          <w:rFonts w:hint="eastAsia" w:ascii="Arial" w:hAnsi="Arial" w:eastAsia="宋体" w:cs="Times New Roman"/>
          <w:szCs w:val="21"/>
          <w:highlight w:val="none"/>
        </w:rPr>
        <w:t>监狱企业</w:t>
      </w:r>
      <w:r>
        <w:rPr>
          <w:rFonts w:ascii="Arial" w:hAnsi="Arial" w:eastAsia="宋体" w:cs="Times New Roman"/>
          <w:szCs w:val="21"/>
          <w:highlight w:val="none"/>
        </w:rPr>
        <w:t>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r>
        <w:rPr>
          <w:rFonts w:hint="eastAsia" w:ascii="Arial" w:hAnsi="Arial" w:eastAsia="宋体" w:cs="Times New Roman"/>
          <w:b/>
          <w:color w:val="FF0000"/>
          <w:szCs w:val="21"/>
          <w:highlight w:val="none"/>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投标人（投标单位）：     </w:t>
      </w: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日期：     </w:t>
      </w:r>
    </w:p>
    <w:p>
      <w:pPr>
        <w:widowControl/>
        <w:jc w:val="left"/>
        <w:rPr>
          <w:rFonts w:ascii="Arial" w:hAnsi="Arial" w:eastAsia="宋体" w:cs="Arial"/>
          <w:color w:val="000000"/>
          <w:szCs w:val="24"/>
          <w:highlight w:val="none"/>
        </w:rPr>
      </w:pPr>
      <w:r>
        <w:rPr>
          <w:rFonts w:ascii="宋体" w:hAnsi="宋体" w:eastAsia="宋体" w:cs="Times New Roman"/>
          <w:b/>
          <w:sz w:val="24"/>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5.经验情况表</w:t>
      </w:r>
    </w:p>
    <w:tbl>
      <w:tblPr>
        <w:tblStyle w:val="17"/>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序号</w:t>
            </w:r>
          </w:p>
        </w:tc>
        <w:tc>
          <w:tcPr>
            <w:tcW w:w="1017"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tc>
        <w:tc>
          <w:tcPr>
            <w:tcW w:w="1255" w:type="pct"/>
            <w:vAlign w:val="center"/>
          </w:tcPr>
          <w:p>
            <w:pPr>
              <w:snapToGrid w:val="0"/>
              <w:jc w:val="center"/>
              <w:rPr>
                <w:rFonts w:ascii="宋体" w:hAnsi="宋体" w:eastAsia="宋体" w:cs="Times New Roman"/>
                <w:b/>
                <w:sz w:val="24"/>
                <w:szCs w:val="24"/>
                <w:highlight w:val="none"/>
              </w:rPr>
            </w:pPr>
            <w:r>
              <w:rPr>
                <w:rFonts w:hint="eastAsia" w:ascii="Arial" w:hAnsi="Arial" w:eastAsia="宋体" w:cs="Arial"/>
                <w:b/>
                <w:sz w:val="24"/>
                <w:szCs w:val="24"/>
                <w:highlight w:val="none"/>
              </w:rPr>
              <w:t>项目</w:t>
            </w:r>
            <w:r>
              <w:rPr>
                <w:rFonts w:hint="eastAsia" w:ascii="宋体" w:hAnsi="宋体" w:eastAsia="宋体" w:cs="Times New Roman"/>
                <w:b/>
                <w:sz w:val="24"/>
                <w:szCs w:val="24"/>
                <w:highlight w:val="none"/>
              </w:rPr>
              <w:t>名称</w:t>
            </w:r>
          </w:p>
        </w:tc>
        <w:tc>
          <w:tcPr>
            <w:tcW w:w="733"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时间</w:t>
            </w:r>
          </w:p>
        </w:tc>
        <w:tc>
          <w:tcPr>
            <w:tcW w:w="764"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联系人</w:t>
            </w:r>
          </w:p>
        </w:tc>
        <w:tc>
          <w:tcPr>
            <w:tcW w:w="790"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r>
              <w:rPr>
                <w:rFonts w:ascii="宋体" w:hAnsi="宋体" w:eastAsia="宋体" w:cs="Times New Roman"/>
                <w:b/>
                <w:sz w:val="24"/>
                <w:szCs w:val="24"/>
                <w:highlight w:val="none"/>
              </w:rPr>
              <w:br w:type="textWrapping"/>
            </w:r>
            <w:r>
              <w:rPr>
                <w:rFonts w:hint="eastAsia" w:ascii="宋体" w:hAnsi="宋体" w:eastAsia="宋体" w:cs="Times New Roman"/>
                <w:b/>
                <w:sz w:val="24"/>
                <w:szCs w:val="24"/>
                <w:highlight w:val="none"/>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bl>
    <w:p>
      <w:pPr>
        <w:spacing w:line="300" w:lineRule="auto"/>
        <w:rPr>
          <w:rFonts w:ascii="Arial" w:hAnsi="Arial" w:eastAsia="宋体" w:cs="Times New Roman"/>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jc w:val="center"/>
        <w:rPr>
          <w:rFonts w:hint="eastAsia" w:ascii="Arial" w:hAnsi="Arial" w:eastAsia="宋体" w:cs="Times New Roman"/>
          <w:b/>
          <w:sz w:val="24"/>
          <w:szCs w:val="24"/>
          <w:highlight w:val="none"/>
        </w:rPr>
      </w:pPr>
    </w:p>
    <w:p>
      <w:pPr>
        <w:ind w:firstLine="723" w:firstLineChars="300"/>
        <w:jc w:val="center"/>
        <w:rPr>
          <w:b/>
          <w:color w:val="FF0000"/>
          <w:sz w:val="24"/>
          <w:highlight w:val="none"/>
        </w:rPr>
      </w:pPr>
      <w:r>
        <w:rPr>
          <w:rFonts w:hint="eastAsia"/>
          <w:b/>
          <w:color w:val="FF0000"/>
          <w:sz w:val="24"/>
          <w:highlight w:val="none"/>
        </w:rPr>
        <w:t>（信息公开部分的内容到此为止！以下为信息不公开部分。）</w:t>
      </w:r>
    </w:p>
    <w:p>
      <w:pPr>
        <w:widowControl/>
        <w:jc w:val="left"/>
        <w:rPr>
          <w:rFonts w:ascii="Arial" w:hAnsi="Arial" w:eastAsia="宋体" w:cs="Times New Roman"/>
          <w:szCs w:val="24"/>
          <w:highlight w:val="none"/>
        </w:rPr>
      </w:pPr>
      <w:r>
        <w:rPr>
          <w:rFonts w:ascii="Arial" w:hAnsi="Arial" w:eastAsia="宋体" w:cs="Times New Roman"/>
          <w:szCs w:val="24"/>
          <w:highlight w:val="none"/>
        </w:rPr>
        <w:br w:type="page"/>
      </w:r>
    </w:p>
    <w:p>
      <w:pPr>
        <w:spacing w:afterLines="25" w:line="300" w:lineRule="auto"/>
        <w:outlineLvl w:val="2"/>
        <w:rPr>
          <w:rFonts w:ascii="Arial" w:hAnsi="Arial" w:eastAsia="宋体" w:cs="Times New Roman"/>
          <w:b/>
          <w:color w:val="FF0000"/>
          <w:sz w:val="32"/>
          <w:szCs w:val="32"/>
          <w:highlight w:val="none"/>
        </w:rPr>
      </w:pPr>
      <w:r>
        <w:rPr>
          <w:rFonts w:hint="eastAsia" w:ascii="Arial" w:hAnsi="Arial" w:eastAsia="宋体" w:cs="Times New Roman"/>
          <w:b/>
          <w:color w:val="FF0000"/>
          <w:sz w:val="32"/>
          <w:szCs w:val="32"/>
          <w:highlight w:val="none"/>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1.法定代表人（负责人）证明书</w:t>
      </w:r>
    </w:p>
    <w:p>
      <w:pPr>
        <w:spacing w:afterLines="25" w:line="300" w:lineRule="auto"/>
        <w:rPr>
          <w:rFonts w:ascii="Arial" w:hAnsi="Arial" w:eastAsia="宋体" w:cs="Times New Roman"/>
          <w:szCs w:val="24"/>
          <w:highlight w:val="none"/>
        </w:rPr>
      </w:pPr>
    </w:p>
    <w:p>
      <w:pPr>
        <w:spacing w:line="300" w:lineRule="auto"/>
        <w:ind w:left="140"/>
        <w:jc w:val="center"/>
        <w:rPr>
          <w:rFonts w:ascii="Arial" w:hAnsi="Arial" w:eastAsia="宋体" w:cs="Arial"/>
          <w:b/>
          <w:sz w:val="30"/>
          <w:szCs w:val="30"/>
          <w:highlight w:val="none"/>
        </w:rPr>
      </w:pPr>
    </w:p>
    <w:p>
      <w:pPr>
        <w:spacing w:line="300" w:lineRule="auto"/>
        <w:ind w:left="140"/>
        <w:jc w:val="center"/>
        <w:rPr>
          <w:rFonts w:ascii="Arial" w:hAnsi="Arial" w:eastAsia="宋体" w:cs="Arial"/>
          <w:b/>
          <w:sz w:val="24"/>
          <w:szCs w:val="24"/>
          <w:highlight w:val="none"/>
        </w:rPr>
      </w:pPr>
      <w:r>
        <w:rPr>
          <w:rFonts w:hint="eastAsia" w:ascii="Arial" w:hAnsi="Arial" w:eastAsia="宋体" w:cs="Arial"/>
          <w:b/>
          <w:sz w:val="24"/>
          <w:szCs w:val="24"/>
          <w:highlight w:val="none"/>
        </w:rPr>
        <w:t>法定代表人（负责人）证明书</w:t>
      </w:r>
    </w:p>
    <w:p>
      <w:pPr>
        <w:spacing w:line="300" w:lineRule="auto"/>
        <w:ind w:left="140"/>
        <w:jc w:val="center"/>
        <w:rPr>
          <w:rFonts w:ascii="Arial" w:hAnsi="Arial" w:eastAsia="宋体" w:cs="Arial"/>
          <w:b/>
          <w:sz w:val="24"/>
          <w:szCs w:val="24"/>
          <w:highlight w:val="none"/>
        </w:rPr>
      </w:pPr>
    </w:p>
    <w:p>
      <w:pPr>
        <w:spacing w:line="300" w:lineRule="auto"/>
        <w:ind w:left="140"/>
        <w:rPr>
          <w:rFonts w:asciiTheme="minorEastAsia" w:hAnsiTheme="minorEastAsia"/>
          <w:szCs w:val="21"/>
          <w:highlight w:val="none"/>
        </w:rPr>
      </w:pPr>
      <w:r>
        <w:rPr>
          <w:rFonts w:hint="eastAsia" w:cs="Arial" w:asciiTheme="minorEastAsia" w:hAnsiTheme="minorEastAsia"/>
          <w:sz w:val="24"/>
          <w:szCs w:val="24"/>
          <w:highlight w:val="none"/>
          <w:u w:val="single"/>
        </w:rPr>
        <w:t xml:space="preserve">  （姓名）  </w:t>
      </w:r>
      <w:r>
        <w:rPr>
          <w:rFonts w:hint="eastAsia" w:asciiTheme="minorEastAsia" w:hAnsiTheme="minorEastAsia"/>
          <w:szCs w:val="21"/>
          <w:highlight w:val="none"/>
        </w:rPr>
        <w:t>同志，现任我单位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职务，为我单位法定代表人（负责人）。</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身份证号： </w:t>
      </w:r>
      <w:r>
        <w:rPr>
          <w:rFonts w:hint="eastAsia" w:asciiTheme="minorEastAsia" w:hAnsiTheme="minorEastAsia"/>
          <w:szCs w:val="21"/>
          <w:highlight w:val="none"/>
          <w:u w:val="single"/>
        </w:rPr>
        <w:t xml:space="preserve">              </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联系电话：  </w:t>
      </w:r>
      <w:r>
        <w:rPr>
          <w:rFonts w:hint="eastAsia" w:asciiTheme="minorEastAsia" w:hAnsiTheme="minorEastAsia"/>
          <w:szCs w:val="21"/>
          <w:highlight w:val="none"/>
          <w:u w:val="single"/>
        </w:rPr>
        <w:t xml:space="preserve">             </w:t>
      </w:r>
    </w:p>
    <w:p>
      <w:pPr>
        <w:spacing w:line="300" w:lineRule="auto"/>
        <w:ind w:left="140"/>
        <w:rPr>
          <w:rFonts w:cs="Arial" w:asciiTheme="minorEastAsia" w:hAnsiTheme="minorEastAsia"/>
          <w:b/>
          <w:sz w:val="24"/>
          <w:szCs w:val="24"/>
          <w:highlight w:val="none"/>
        </w:rPr>
      </w:pPr>
      <w:r>
        <w:rPr>
          <w:rFonts w:hint="eastAsia" w:asciiTheme="minorEastAsia" w:hAnsiTheme="minorEastAsia"/>
          <w:szCs w:val="21"/>
          <w:highlight w:val="none"/>
        </w:rPr>
        <w:t>特此证明。</w:t>
      </w:r>
    </w:p>
    <w:p>
      <w:pPr>
        <w:spacing w:line="300" w:lineRule="auto"/>
        <w:rPr>
          <w:rFonts w:ascii="Arial" w:hAnsi="Arial" w:eastAsia="宋体" w:cs="Times New Roman"/>
          <w:szCs w:val="21"/>
          <w:highlight w:val="none"/>
        </w:rPr>
      </w:pP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日</w:t>
      </w:r>
      <w:r>
        <w:rPr>
          <w:rFonts w:ascii="Arial" w:hAnsi="Arial" w:eastAsia="宋体" w:cs="Times New Roman"/>
          <w:szCs w:val="21"/>
          <w:highlight w:val="none"/>
        </w:rPr>
        <w:t xml:space="preserve">  </w:t>
      </w:r>
      <w:r>
        <w:rPr>
          <w:rFonts w:hint="eastAsia" w:ascii="Arial" w:hAnsi="Arial" w:eastAsia="宋体" w:cs="Times New Roman"/>
          <w:szCs w:val="21"/>
          <w:highlight w:val="none"/>
        </w:rPr>
        <w:t>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rPr>
          <w:rFonts w:ascii="Arial" w:hAnsi="Arial" w:eastAsia="宋体" w:cs="Times New Roman"/>
          <w:szCs w:val="24"/>
          <w:highlight w:val="none"/>
        </w:rPr>
      </w:pPr>
    </w:p>
    <w:p>
      <w:pPr>
        <w:spacing w:line="500" w:lineRule="exact"/>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highlight w:val="none"/>
        </w:rPr>
      </w:pP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snapToGrid w:val="0"/>
        <w:rPr>
          <w:rFonts w:ascii="Arial" w:hAnsi="Arial" w:eastAsia="宋体" w:cs="Times New Roman"/>
          <w:sz w:val="28"/>
          <w:szCs w:val="28"/>
          <w:highlight w:val="none"/>
        </w:rPr>
      </w:pPr>
      <w:r>
        <w:rPr>
          <w:rFonts w:hint="eastAsia" w:ascii="宋体" w:hAnsi="宋体" w:eastAsia="宋体" w:cs="Times New Roman"/>
          <w:color w:val="FF0000"/>
          <w:sz w:val="28"/>
          <w:szCs w:val="28"/>
          <w:highlight w:val="none"/>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2、法定代表人为投标人（企业事业单位、国家机关、社会团体）的主要行政负责人。</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4、本项目投标授权代表为法定代表人（负责人）的，无需提供《投标文件签署授权委托书》。</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5、内容必须填写真实、清楚，涂改无效，不得转让、买卖。</w:t>
      </w:r>
    </w:p>
    <w:p>
      <w:pPr>
        <w:spacing w:line="500" w:lineRule="exact"/>
        <w:ind w:firstLine="420" w:firstLineChars="200"/>
        <w:rPr>
          <w:rFonts w:ascii="Arial" w:hAnsi="Arial" w:eastAsia="宋体" w:cs="Times New Roman"/>
          <w:szCs w:val="24"/>
          <w:highlight w:val="none"/>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2.投标文件签署授权委托书</w:t>
      </w:r>
    </w:p>
    <w:p>
      <w:pPr>
        <w:spacing w:line="300" w:lineRule="auto"/>
        <w:jc w:val="center"/>
        <w:rPr>
          <w:rFonts w:ascii="Arial" w:hAnsi="Arial" w:eastAsia="宋体" w:cs="Times New Roman"/>
          <w:b/>
          <w:sz w:val="28"/>
          <w:szCs w:val="28"/>
          <w:highlight w:val="none"/>
        </w:rPr>
      </w:pP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本授权委托书声明：我</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系</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（投标人名称）</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的法定代表人（负责人），现授权委托</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授权书有效期内被授权人签署的所有文件不因授权的撤销而失效。被授权人无转委托权。</w:t>
      </w:r>
    </w:p>
    <w:p>
      <w:pPr>
        <w:spacing w:line="300" w:lineRule="auto"/>
        <w:rPr>
          <w:rFonts w:ascii="Arial" w:hAnsi="Arial" w:eastAsia="宋体" w:cs="Times New Roman"/>
          <w:szCs w:val="21"/>
          <w:highlight w:val="none"/>
        </w:rPr>
      </w:pP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代理人：</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性别：</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联系电话：</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手机：</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身份证号码：</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职务：</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授权委托日期：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ind w:firstLine="420" w:firstLineChars="200"/>
        <w:rPr>
          <w:rFonts w:ascii="Arial" w:hAnsi="Arial" w:eastAsia="宋体" w:cs="Times New Roman"/>
          <w:szCs w:val="24"/>
          <w:highlight w:val="none"/>
        </w:rPr>
      </w:pPr>
    </w:p>
    <w:p>
      <w:pPr>
        <w:spacing w:afterLines="25" w:line="300" w:lineRule="auto"/>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highlight w:val="none"/>
        </w:rPr>
      </w:pPr>
    </w:p>
    <w:p>
      <w:pPr>
        <w:tabs>
          <w:tab w:val="left" w:pos="651"/>
        </w:tabs>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tabs>
          <w:tab w:val="left" w:pos="651"/>
        </w:tabs>
        <w:snapToGrid w:val="0"/>
        <w:rPr>
          <w:rFonts w:ascii="宋体" w:hAnsi="宋体" w:eastAsia="宋体" w:cs="Times New Roman"/>
          <w:color w:val="FF0000"/>
          <w:sz w:val="32"/>
          <w:szCs w:val="32"/>
          <w:highlight w:val="none"/>
        </w:rPr>
      </w:pPr>
      <w:r>
        <w:rPr>
          <w:rFonts w:hint="eastAsia" w:ascii="宋体" w:hAnsi="宋体" w:eastAsia="宋体" w:cs="Times New Roman"/>
          <w:color w:val="FF0000"/>
          <w:sz w:val="28"/>
          <w:szCs w:val="28"/>
          <w:highlight w:val="none"/>
        </w:rPr>
        <w:t>1、本项目投标授权代表为法定代表人（负责人）的，无需提供《投标文件签署授权委托书》。</w:t>
      </w:r>
    </w:p>
    <w:p>
      <w:pPr>
        <w:tabs>
          <w:tab w:val="left" w:pos="651"/>
        </w:tabs>
        <w:snapToGrid w:val="0"/>
        <w:ind w:firstLine="640" w:firstLineChars="200"/>
        <w:rPr>
          <w:rFonts w:ascii="宋体" w:hAnsi="宋体" w:eastAsia="宋体" w:cs="Times New Roman"/>
          <w:color w:val="FF0000"/>
          <w:sz w:val="28"/>
          <w:szCs w:val="28"/>
          <w:highlight w:val="none"/>
        </w:rPr>
      </w:pPr>
      <w:r>
        <w:rPr>
          <w:rFonts w:hint="eastAsia" w:ascii="宋体" w:hAnsi="宋体" w:eastAsia="宋体" w:cs="Times New Roman"/>
          <w:color w:val="FF0000"/>
          <w:sz w:val="32"/>
          <w:szCs w:val="32"/>
          <w:highlight w:val="none"/>
        </w:rPr>
        <w:t>2、</w:t>
      </w:r>
      <w:r>
        <w:rPr>
          <w:rFonts w:hint="eastAsia" w:ascii="宋体" w:hAnsi="宋体" w:eastAsia="宋体" w:cs="Times New Roman"/>
          <w:color w:val="FF0000"/>
          <w:sz w:val="28"/>
          <w:szCs w:val="28"/>
          <w:highlight w:val="none"/>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实质性条款响应情况表</w:t>
      </w:r>
    </w:p>
    <w:p>
      <w:pPr>
        <w:snapToGrid w:val="0"/>
        <w:rPr>
          <w:rFonts w:ascii="Arial" w:hAnsi="Arial" w:eastAsia="宋体" w:cs="Arial"/>
          <w:sz w:val="24"/>
          <w:szCs w:val="24"/>
          <w:highlight w:val="non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b/>
          <w:sz w:val="24"/>
          <w:szCs w:val="24"/>
          <w:highlight w:val="none"/>
        </w:rPr>
      </w:pPr>
    </w:p>
    <w:tbl>
      <w:tblPr>
        <w:tblStyle w:val="17"/>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3901"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实质性条款具体内容</w:t>
            </w:r>
          </w:p>
        </w:tc>
        <w:tc>
          <w:tcPr>
            <w:tcW w:w="2176"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投标文件响应</w:t>
            </w:r>
          </w:p>
        </w:tc>
        <w:tc>
          <w:tcPr>
            <w:tcW w:w="1732" w:type="dxa"/>
          </w:tcPr>
          <w:p>
            <w:pPr>
              <w:spacing w:beforeLines="50"/>
              <w:jc w:val="center"/>
              <w:rPr>
                <w:rFonts w:ascii="宋体" w:hAnsi="宋体" w:eastAsia="宋体" w:cs="Arial"/>
                <w:b/>
                <w:szCs w:val="21"/>
                <w:highlight w:val="none"/>
              </w:rPr>
            </w:pPr>
            <w:r>
              <w:rPr>
                <w:rFonts w:hint="eastAsia" w:ascii="宋体" w:hAnsi="宋体" w:eastAsia="宋体" w:cs="Arial"/>
                <w:b/>
                <w:szCs w:val="21"/>
                <w:highlight w:val="none"/>
              </w:rPr>
              <w:t>偏离情况</w:t>
            </w:r>
          </w:p>
        </w:tc>
        <w:tc>
          <w:tcPr>
            <w:tcW w:w="99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p>
        </w:tc>
      </w:tr>
    </w:tbl>
    <w:p>
      <w:pPr>
        <w:snapToGrid w:val="0"/>
        <w:rPr>
          <w:rFonts w:cs="Times New Roman" w:asciiTheme="minorEastAsia" w:hAnsiTheme="minorEastAsia"/>
          <w:sz w:val="24"/>
          <w:szCs w:val="24"/>
          <w:highlight w:val="none"/>
        </w:rPr>
      </w:pPr>
    </w:p>
    <w:p>
      <w:pPr>
        <w:snapToGrid w:val="0"/>
        <w:rPr>
          <w:rFonts w:cs="Times New Roman" w:asciiTheme="minorEastAsia" w:hAnsiTheme="minorEastAsia"/>
          <w:b/>
          <w:sz w:val="24"/>
          <w:szCs w:val="24"/>
          <w:highlight w:val="none"/>
        </w:rPr>
      </w:pPr>
      <w:r>
        <w:rPr>
          <w:rFonts w:hint="eastAsia" w:ascii="宋体" w:hAnsi="宋体" w:eastAsia="宋体" w:cs="Times New Roman"/>
          <w:b/>
          <w:sz w:val="24"/>
          <w:szCs w:val="24"/>
          <w:highlight w:val="none"/>
        </w:rPr>
        <w:t>填写说明：</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eastAsia="zh-CN"/>
        </w:rPr>
        <w:t>、</w:t>
      </w:r>
      <w:r>
        <w:rPr>
          <w:rFonts w:hint="eastAsia" w:ascii="宋体" w:hAnsi="宋体" w:cs="宋体"/>
          <w:bCs/>
          <w:sz w:val="24"/>
          <w:szCs w:val="24"/>
          <w:highlight w:val="none"/>
        </w:rPr>
        <w:t>上表所列各项均为不可负偏离条款。</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w:t>
      </w:r>
      <w:r>
        <w:rPr>
          <w:rFonts w:hint="eastAsia" w:ascii="宋体" w:hAnsi="宋体" w:cs="宋体"/>
          <w:bCs/>
          <w:sz w:val="24"/>
          <w:szCs w:val="24"/>
          <w:highlight w:val="none"/>
          <w:lang w:eastAsia="zh-CN"/>
        </w:rPr>
        <w:t>、</w:t>
      </w:r>
      <w:r>
        <w:rPr>
          <w:rFonts w:hint="eastAsia" w:ascii="宋体" w:hAnsi="宋体" w:cs="宋体"/>
          <w:bCs/>
          <w:sz w:val="24"/>
          <w:szCs w:val="24"/>
          <w:highlight w:val="none"/>
        </w:rPr>
        <w:t>“投标</w:t>
      </w:r>
      <w:r>
        <w:rPr>
          <w:rFonts w:hint="eastAsia" w:ascii="宋体" w:hAnsi="宋体" w:cs="宋体"/>
          <w:bCs/>
          <w:sz w:val="24"/>
          <w:szCs w:val="24"/>
          <w:highlight w:val="none"/>
          <w:lang w:val="en-US" w:eastAsia="zh-CN"/>
        </w:rPr>
        <w:t>文件</w:t>
      </w:r>
      <w:r>
        <w:rPr>
          <w:rFonts w:hint="eastAsia" w:ascii="宋体" w:hAnsi="宋体" w:cs="宋体"/>
          <w:bCs/>
          <w:sz w:val="24"/>
          <w:szCs w:val="24"/>
          <w:highlight w:val="none"/>
        </w:rPr>
        <w:t>响应”一栏应当详细填写投标人自身响应情况，而不能不合理照搬照抄招标文件实质性条款具体内容。</w:t>
      </w:r>
      <w:r>
        <w:rPr>
          <w:rFonts w:hint="eastAsia" w:ascii="宋体" w:hAnsi="宋体" w:cs="宋体"/>
          <w:b/>
          <w:bCs/>
          <w:color w:val="auto"/>
          <w:sz w:val="24"/>
          <w:szCs w:val="24"/>
          <w:highlight w:val="none"/>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lang w:eastAsia="zh-CN"/>
        </w:rPr>
        <w:t>、</w:t>
      </w:r>
      <w:r>
        <w:rPr>
          <w:rFonts w:hint="eastAsia" w:ascii="宋体" w:hAnsi="宋体" w:cs="宋体"/>
          <w:bCs/>
          <w:sz w:val="24"/>
          <w:szCs w:val="24"/>
          <w:highlight w:val="none"/>
        </w:rPr>
        <w:t>“偏离情况”一栏应填写</w:t>
      </w:r>
      <w:r>
        <w:rPr>
          <w:rFonts w:hint="eastAsia" w:ascii="宋体" w:hAnsi="宋体" w:cs="宋体"/>
          <w:b w:val="0"/>
          <w:bCs w:val="0"/>
          <w:sz w:val="24"/>
          <w:szCs w:val="24"/>
          <w:highlight w:val="none"/>
        </w:rPr>
        <w:t>“</w:t>
      </w:r>
      <w:r>
        <w:rPr>
          <w:rFonts w:hint="eastAsia" w:ascii="宋体" w:hAnsi="宋体" w:cs="宋体"/>
          <w:b/>
          <w:bCs/>
          <w:sz w:val="24"/>
          <w:szCs w:val="24"/>
          <w:highlight w:val="none"/>
        </w:rPr>
        <w:t>正偏离</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或</w:t>
      </w:r>
      <w:r>
        <w:rPr>
          <w:rFonts w:hint="eastAsia" w:ascii="宋体" w:hAnsi="宋体" w:cs="宋体"/>
          <w:b w:val="0"/>
          <w:bCs w:val="0"/>
          <w:sz w:val="24"/>
          <w:szCs w:val="24"/>
          <w:highlight w:val="none"/>
        </w:rPr>
        <w:t>“</w:t>
      </w:r>
      <w:r>
        <w:rPr>
          <w:rFonts w:hint="eastAsia" w:ascii="宋体" w:hAnsi="宋体" w:cs="宋体"/>
          <w:b/>
          <w:bCs/>
          <w:sz w:val="24"/>
          <w:szCs w:val="24"/>
          <w:highlight w:val="none"/>
        </w:rPr>
        <w:t>负偏离</w:t>
      </w:r>
      <w:r>
        <w:rPr>
          <w:rFonts w:hint="eastAsia" w:ascii="宋体" w:hAnsi="宋体" w:cs="宋体"/>
          <w:b w:val="0"/>
          <w:bCs w:val="0"/>
          <w:sz w:val="24"/>
          <w:szCs w:val="24"/>
          <w:highlight w:val="none"/>
        </w:rPr>
        <w:t>”或“</w:t>
      </w:r>
      <w:r>
        <w:rPr>
          <w:rFonts w:hint="eastAsia" w:ascii="宋体" w:hAnsi="宋体" w:cs="宋体"/>
          <w:b/>
          <w:bCs/>
          <w:sz w:val="24"/>
          <w:szCs w:val="24"/>
          <w:highlight w:val="none"/>
        </w:rPr>
        <w:t>无偏离</w:t>
      </w:r>
      <w:r>
        <w:rPr>
          <w:rFonts w:hint="eastAsia" w:ascii="宋体" w:hAnsi="宋体" w:cs="宋体"/>
          <w:b w:val="0"/>
          <w:bCs w:val="0"/>
          <w:sz w:val="24"/>
          <w:szCs w:val="24"/>
          <w:highlight w:val="none"/>
        </w:rPr>
        <w:t>”</w:t>
      </w:r>
      <w:r>
        <w:rPr>
          <w:rFonts w:hint="eastAsia" w:ascii="宋体" w:hAnsi="宋体" w:cs="宋体"/>
          <w:bCs/>
          <w:sz w:val="24"/>
          <w:szCs w:val="24"/>
          <w:highlight w:val="none"/>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w:t>
      </w:r>
      <w:r>
        <w:rPr>
          <w:rFonts w:hint="eastAsia" w:ascii="宋体" w:hAnsi="宋体" w:cs="宋体"/>
          <w:bCs/>
          <w:sz w:val="24"/>
          <w:szCs w:val="24"/>
          <w:highlight w:val="none"/>
          <w:lang w:eastAsia="zh-CN"/>
        </w:rPr>
        <w:t>、</w:t>
      </w:r>
      <w:r>
        <w:rPr>
          <w:rFonts w:hint="eastAsia" w:ascii="宋体" w:hAnsi="宋体" w:cs="宋体"/>
          <w:bCs/>
          <w:sz w:val="24"/>
          <w:szCs w:val="24"/>
          <w:highlight w:val="none"/>
        </w:rPr>
        <w:t>评审委员会有权对投标响应情况作出判断。</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w:t>
      </w:r>
      <w:r>
        <w:rPr>
          <w:rFonts w:hint="eastAsia" w:ascii="宋体" w:hAnsi="宋体" w:cs="宋体"/>
          <w:bCs/>
          <w:sz w:val="24"/>
          <w:szCs w:val="24"/>
          <w:highlight w:val="none"/>
          <w:lang w:eastAsia="zh-CN"/>
        </w:rPr>
        <w:t>、</w:t>
      </w:r>
      <w:r>
        <w:rPr>
          <w:rFonts w:hint="eastAsia" w:ascii="宋体" w:hAnsi="宋体" w:cs="宋体"/>
          <w:bCs/>
          <w:sz w:val="24"/>
          <w:szCs w:val="24"/>
          <w:highlight w:val="none"/>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w:t>
      </w:r>
      <w:r>
        <w:rPr>
          <w:rFonts w:hint="eastAsia" w:ascii="宋体" w:hAnsi="宋体" w:cs="宋体"/>
          <w:bCs/>
          <w:sz w:val="24"/>
          <w:szCs w:val="24"/>
          <w:highlight w:val="none"/>
          <w:lang w:eastAsia="zh-CN"/>
        </w:rPr>
        <w:t>、</w:t>
      </w:r>
      <w:r>
        <w:rPr>
          <w:rFonts w:hint="eastAsia" w:ascii="宋体" w:hAnsi="宋体" w:cs="宋体"/>
          <w:bCs/>
          <w:sz w:val="24"/>
          <w:szCs w:val="24"/>
          <w:highlight w:val="none"/>
        </w:rPr>
        <w:t>以上实质性条款中要求提供证明材料，需如实提供证明材料扫描件，在“说明”一栏中列明证明材料的位置，以便评审；未要求提供证明材料的，投标人可以不提供。</w:t>
      </w:r>
    </w:p>
    <w:p>
      <w:pPr>
        <w:numPr>
          <w:ilvl w:val="0"/>
          <w:numId w:val="0"/>
        </w:numPr>
        <w:snapToGrid w:val="0"/>
        <w:spacing w:afterLines="25" w:line="300" w:lineRule="auto"/>
        <w:ind w:leftChars="0"/>
        <w:rPr>
          <w:rFonts w:hint="eastAsia" w:cs="Times New Roman" w:asciiTheme="majorEastAsia" w:hAnsiTheme="majorEastAsia" w:eastAsiaTheme="majorEastAsia"/>
          <w:sz w:val="24"/>
          <w:szCs w:val="24"/>
          <w:highlight w:val="none"/>
        </w:rPr>
      </w:pPr>
    </w:p>
    <w:p>
      <w:pPr>
        <w:numPr>
          <w:ilvl w:val="0"/>
          <w:numId w:val="0"/>
        </w:numPr>
        <w:snapToGrid w:val="0"/>
        <w:spacing w:afterLines="25" w:line="300" w:lineRule="auto"/>
        <w:ind w:leftChars="0"/>
        <w:rPr>
          <w:rFonts w:cs="Times New Roman" w:asciiTheme="majorEastAsia" w:hAnsiTheme="majorEastAsia" w:eastAsiaTheme="majorEastAsia"/>
          <w:sz w:val="24"/>
          <w:szCs w:val="24"/>
          <w:highlight w:val="none"/>
        </w:rPr>
      </w:pPr>
      <w:r>
        <w:rPr>
          <w:rFonts w:ascii="宋体" w:hAnsi="宋体" w:eastAsia="宋体" w:cs="Times New Roman"/>
          <w:color w:val="FF0000"/>
          <w:sz w:val="32"/>
          <w:szCs w:val="32"/>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hint="eastAsia" w:ascii="宋体" w:hAnsi="宋体" w:eastAsia="宋体" w:cs="Times New Roman"/>
          <w:b/>
          <w:bCs/>
          <w:kern w:val="0"/>
          <w:sz w:val="24"/>
          <w:szCs w:val="20"/>
          <w:highlight w:val="none"/>
        </w:rPr>
        <w:t>.技术</w:t>
      </w:r>
      <w:r>
        <w:rPr>
          <w:rFonts w:hint="eastAsia" w:ascii="宋体" w:hAnsi="宋体" w:eastAsia="宋体" w:cs="Times New Roman"/>
          <w:b/>
          <w:bCs/>
          <w:kern w:val="0"/>
          <w:sz w:val="24"/>
          <w:szCs w:val="20"/>
          <w:highlight w:val="none"/>
          <w:lang w:val="en-US" w:eastAsia="zh-CN"/>
        </w:rPr>
        <w:t>要求</w:t>
      </w:r>
      <w:r>
        <w:rPr>
          <w:rFonts w:hint="eastAsia" w:ascii="宋体" w:hAnsi="宋体" w:eastAsia="宋体" w:cs="Times New Roman"/>
          <w:b/>
          <w:bCs/>
          <w:kern w:val="0"/>
          <w:sz w:val="24"/>
          <w:szCs w:val="20"/>
          <w:highlight w:val="none"/>
        </w:rPr>
        <w:t>偏离表</w:t>
      </w:r>
    </w:p>
    <w:p>
      <w:pPr>
        <w:snapToGrid w:val="0"/>
        <w:rPr>
          <w:rFonts w:ascii="Arial" w:hAnsi="Arial" w:eastAsia="宋体" w:cs="Arial"/>
          <w:color w:val="000000"/>
          <w:sz w:val="24"/>
          <w:szCs w:val="24"/>
          <w:highlight w:val="none"/>
          <w:u w:val="singl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sz w:val="24"/>
          <w:szCs w:val="24"/>
          <w:highlight w:val="none"/>
        </w:rPr>
      </w:pPr>
    </w:p>
    <w:tbl>
      <w:tblPr>
        <w:tblStyle w:val="1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cs="Times New Roman" w:asciiTheme="minorEastAsia" w:hAnsiTheme="minorEastAsia"/>
                <w:b/>
                <w:sz w:val="24"/>
                <w:szCs w:val="24"/>
                <w:highlight w:val="none"/>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偏离</w:t>
            </w:r>
          </w:p>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r>
              <w:rPr>
                <w:rFonts w:hint="eastAsia" w:cs="Times New Roman" w:asciiTheme="minorEastAsia" w:hAnsiTheme="minorEastAsia"/>
                <w:sz w:val="24"/>
                <w:szCs w:val="24"/>
                <w:highlight w:val="none"/>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val="en-US" w:eastAsia="zh-CN"/>
              </w:rPr>
            </w:pPr>
            <w:r>
              <w:rPr>
                <w:rFonts w:hint="eastAsia" w:cs="Times New Roman" w:asciiTheme="minorEastAsia" w:hAnsiTheme="minorEastAsia"/>
                <w:sz w:val="24"/>
                <w:szCs w:val="24"/>
                <w:highlight w:val="none"/>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eastAsia="zh-CN"/>
              </w:rPr>
            </w:pPr>
            <w:r>
              <w:rPr>
                <w:rFonts w:hint="eastAsia" w:cs="Times New Roman" w:asciiTheme="minorEastAsia" w:hAnsiTheme="minorEastAsia"/>
                <w:sz w:val="24"/>
                <w:szCs w:val="24"/>
                <w:highlight w:val="none"/>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bl>
    <w:p>
      <w:pPr>
        <w:snapToGrid w:val="0"/>
        <w:rPr>
          <w:rFonts w:cs="Times New Roman" w:asciiTheme="minorEastAsia" w:hAnsiTheme="minorEastAsia"/>
          <w:sz w:val="24"/>
          <w:szCs w:val="24"/>
          <w:highlight w:val="none"/>
        </w:rPr>
      </w:pPr>
    </w:p>
    <w:p>
      <w:pPr>
        <w:snapToGrid w:val="0"/>
        <w:rPr>
          <w:rFonts w:hint="eastAsia"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填写说明：</w:t>
      </w:r>
    </w:p>
    <w:p>
      <w:pPr>
        <w:ind w:firstLine="482" w:firstLineChars="200"/>
        <w:rPr>
          <w:b/>
          <w:sz w:val="24"/>
          <w:highlight w:val="none"/>
        </w:rPr>
      </w:pPr>
      <w:r>
        <w:rPr>
          <w:rFonts w:hint="eastAsia"/>
          <w:b/>
          <w:sz w:val="24"/>
          <w:highlight w:val="none"/>
        </w:rPr>
        <w:t>1、技术要求偏离表的序号、货物名称、招标技术要求等栏目</w:t>
      </w:r>
      <w:bookmarkStart w:id="25" w:name="_Hlk72094407"/>
      <w:r>
        <w:rPr>
          <w:rFonts w:hint="eastAsia"/>
          <w:b/>
          <w:sz w:val="24"/>
          <w:highlight w:val="none"/>
        </w:rPr>
        <w:t>对应“用户需求书”中的“技术要求</w:t>
      </w:r>
      <w:r>
        <w:rPr>
          <w:rFonts w:hint="eastAsia"/>
          <w:b/>
          <w:sz w:val="24"/>
          <w:highlight w:val="none"/>
          <w:lang w:val="en-US" w:eastAsia="zh-CN"/>
        </w:rPr>
        <w:t>部分</w:t>
      </w:r>
      <w:r>
        <w:rPr>
          <w:rFonts w:hint="eastAsia"/>
          <w:b/>
          <w:sz w:val="24"/>
          <w:highlight w:val="none"/>
        </w:rPr>
        <w:t>”章节</w:t>
      </w:r>
      <w:bookmarkEnd w:id="25"/>
      <w:r>
        <w:rPr>
          <w:rFonts w:hint="eastAsia"/>
          <w:b/>
          <w:sz w:val="24"/>
          <w:highlight w:val="none"/>
        </w:rPr>
        <w:t>相关内容。</w:t>
      </w:r>
    </w:p>
    <w:p>
      <w:pPr>
        <w:ind w:firstLine="482" w:firstLineChars="200"/>
        <w:rPr>
          <w:b/>
          <w:sz w:val="24"/>
          <w:highlight w:val="none"/>
        </w:rPr>
      </w:pPr>
      <w:r>
        <w:rPr>
          <w:b/>
          <w:sz w:val="24"/>
          <w:highlight w:val="none"/>
        </w:rPr>
        <w:t>2</w:t>
      </w:r>
      <w:r>
        <w:rPr>
          <w:rFonts w:hint="eastAsia"/>
          <w:b/>
          <w:sz w:val="24"/>
          <w:highlight w:val="none"/>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highlight w:val="none"/>
        </w:rPr>
      </w:pPr>
      <w:r>
        <w:rPr>
          <w:b/>
          <w:sz w:val="24"/>
          <w:highlight w:val="none"/>
        </w:rPr>
        <w:t>3</w:t>
      </w:r>
      <w:r>
        <w:rPr>
          <w:rFonts w:hint="eastAsia"/>
          <w:b/>
          <w:sz w:val="24"/>
          <w:highlight w:val="none"/>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highlight w:val="none"/>
        </w:rPr>
      </w:pPr>
      <w:r>
        <w:rPr>
          <w:b/>
          <w:sz w:val="24"/>
          <w:highlight w:val="none"/>
        </w:rPr>
        <w:t>4</w:t>
      </w:r>
      <w:r>
        <w:rPr>
          <w:rFonts w:hint="eastAsia"/>
          <w:b/>
          <w:sz w:val="24"/>
          <w:highlight w:val="none"/>
        </w:rPr>
        <w:t>、未要求提供证明资料的招标技术要求，可以不提供证明资料（如实响应即可）。</w:t>
      </w:r>
    </w:p>
    <w:p>
      <w:pPr>
        <w:ind w:firstLine="482" w:firstLineChars="200"/>
        <w:rPr>
          <w:b/>
          <w:sz w:val="24"/>
          <w:highlight w:val="none"/>
        </w:rPr>
      </w:pPr>
      <w:r>
        <w:rPr>
          <w:rFonts w:hint="eastAsia"/>
          <w:b/>
          <w:sz w:val="24"/>
          <w:highlight w:val="none"/>
        </w:rPr>
        <w:t>5、</w:t>
      </w:r>
      <w:bookmarkStart w:id="26" w:name="_Hlk72096106"/>
      <w:r>
        <w:rPr>
          <w:rFonts w:hint="eastAsia"/>
          <w:b/>
          <w:sz w:val="24"/>
          <w:highlight w:val="none"/>
        </w:rPr>
        <w:t>证明资料条款响应要求</w:t>
      </w:r>
      <w:bookmarkEnd w:id="26"/>
      <w:r>
        <w:rPr>
          <w:rFonts w:hint="eastAsia"/>
          <w:b/>
          <w:sz w:val="24"/>
          <w:highlight w:val="none"/>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highlight w:val="none"/>
          <w:lang w:eastAsia="zh-CN"/>
        </w:rPr>
        <w:t>，</w:t>
      </w:r>
      <w:r>
        <w:rPr>
          <w:rFonts w:hint="eastAsia"/>
          <w:b/>
          <w:sz w:val="24"/>
          <w:highlight w:val="none"/>
        </w:rPr>
        <w:t>以便评审；</w:t>
      </w:r>
      <w:bookmarkStart w:id="27" w:name="_Hlk73558782"/>
      <w:r>
        <w:rPr>
          <w:rFonts w:hint="eastAsia"/>
          <w:b/>
          <w:sz w:val="24"/>
          <w:highlight w:val="none"/>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highlight w:val="none"/>
        </w:rPr>
        <w:t>且投标人在“偏离情况”一栏响应为“正偏离”或“无偏离”的，经评审委员会认定，将判定为负偏离。</w:t>
      </w:r>
      <w:bookmarkEnd w:id="27"/>
      <w:bookmarkEnd w:id="28"/>
    </w:p>
    <w:p>
      <w:pPr>
        <w:ind w:firstLine="482" w:firstLineChars="200"/>
        <w:rPr>
          <w:rFonts w:hint="eastAsia"/>
          <w:b/>
          <w:sz w:val="24"/>
          <w:highlight w:val="none"/>
        </w:rPr>
      </w:pPr>
      <w:r>
        <w:rPr>
          <w:rFonts w:hint="eastAsia"/>
          <w:b/>
          <w:sz w:val="24"/>
          <w:highlight w:val="none"/>
          <w:lang w:val="en-US" w:eastAsia="zh-CN"/>
        </w:rPr>
        <w:t>6、</w:t>
      </w:r>
      <w:r>
        <w:rPr>
          <w:rFonts w:hint="eastAsia"/>
          <w:b/>
          <w:sz w:val="24"/>
          <w:highlight w:val="none"/>
        </w:rPr>
        <w:t>评审委员会有权对投标人是否存在虚假响应予以认定，并视情况经</w:t>
      </w:r>
      <w:r>
        <w:rPr>
          <w:rFonts w:hint="eastAsia"/>
          <w:b/>
          <w:sz w:val="24"/>
          <w:highlight w:val="none"/>
          <w:lang w:val="en-US" w:eastAsia="zh-CN"/>
        </w:rPr>
        <w:t>招标</w:t>
      </w:r>
      <w:r>
        <w:rPr>
          <w:rFonts w:hint="eastAsia"/>
          <w:b/>
          <w:sz w:val="24"/>
          <w:highlight w:val="none"/>
        </w:rPr>
        <w:t>机构报主管部门进行处理；</w:t>
      </w:r>
    </w:p>
    <w:p>
      <w:pPr>
        <w:ind w:firstLine="482" w:firstLineChars="200"/>
        <w:rPr>
          <w:rFonts w:hint="eastAsia"/>
          <w:b/>
          <w:sz w:val="24"/>
          <w:highlight w:val="none"/>
        </w:rPr>
      </w:pPr>
      <w:r>
        <w:rPr>
          <w:rFonts w:hint="eastAsia"/>
          <w:b/>
          <w:sz w:val="24"/>
          <w:highlight w:val="none"/>
          <w:lang w:val="en-US" w:eastAsia="zh-CN"/>
        </w:rPr>
        <w:t>7、</w:t>
      </w:r>
      <w:r>
        <w:rPr>
          <w:rFonts w:hint="eastAsia"/>
          <w:b/>
          <w:sz w:val="24"/>
          <w:highlight w:val="none"/>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highlight w:val="none"/>
        </w:rPr>
      </w:pPr>
      <w:r>
        <w:rPr>
          <w:rFonts w:ascii="宋体" w:hAnsi="宋体" w:eastAsia="宋体" w:cs="Times New Roman"/>
          <w:color w:val="FF0000"/>
          <w:sz w:val="32"/>
          <w:szCs w:val="32"/>
          <w:highlight w:val="none"/>
        </w:rPr>
        <w:br w:type="page"/>
      </w: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政府采购违法行为风险知悉确认书</w:t>
      </w:r>
    </w:p>
    <w:p>
      <w:pPr>
        <w:widowControl/>
        <w:jc w:val="center"/>
        <w:rPr>
          <w:rFonts w:ascii="黑体" w:hAnsi="宋体" w:eastAsia="黑体"/>
          <w:kern w:val="0"/>
          <w:sz w:val="24"/>
          <w:szCs w:val="20"/>
          <w:highlight w:val="none"/>
        </w:rPr>
      </w:pPr>
    </w:p>
    <w:p>
      <w:pPr>
        <w:ind w:firstLine="420" w:firstLineChars="200"/>
        <w:rPr>
          <w:highlight w:val="none"/>
        </w:rPr>
      </w:pPr>
      <w:r>
        <w:rPr>
          <w:rFonts w:hint="eastAsia"/>
          <w:highlight w:val="none"/>
        </w:rPr>
        <w:t>本公司在投标前已充分知悉以下情形为参与政府采购活动时的重大风险事项，并承诺已对下述风险提示事项重点排查，做到严谨、诚信、依法依规参与政府采购活动。</w:t>
      </w:r>
    </w:p>
    <w:p>
      <w:pPr>
        <w:ind w:firstLine="422" w:firstLineChars="200"/>
        <w:rPr>
          <w:b/>
          <w:highlight w:val="none"/>
        </w:rPr>
      </w:pPr>
      <w:r>
        <w:rPr>
          <w:rFonts w:hint="eastAsia"/>
          <w:b/>
          <w:highlight w:val="none"/>
        </w:rPr>
        <w:t>一、本公司已充分知悉“隐瞒真实情况，提供虚假资料”的法定情形，相关情形包括但不限于：</w:t>
      </w:r>
    </w:p>
    <w:p>
      <w:pPr>
        <w:ind w:firstLine="420" w:firstLineChars="200"/>
        <w:rPr>
          <w:highlight w:val="none"/>
        </w:rPr>
      </w:pPr>
      <w:r>
        <w:rPr>
          <w:rFonts w:hint="eastAsia"/>
          <w:highlight w:val="none"/>
        </w:rPr>
        <w:t>（一）通过转让或者租借等方式从其他单位获取资格或者资质证书投标的。</w:t>
      </w:r>
    </w:p>
    <w:p>
      <w:pPr>
        <w:ind w:firstLine="420" w:firstLineChars="200"/>
        <w:rPr>
          <w:highlight w:val="none"/>
        </w:rPr>
      </w:pPr>
      <w:r>
        <w:rPr>
          <w:rFonts w:hint="eastAsia"/>
          <w:highlight w:val="none"/>
        </w:rPr>
        <w:t>（二）由其他单位或者其他单位负责人在投标供应商编制的投标文件上加盖印章或者签字的。</w:t>
      </w:r>
    </w:p>
    <w:p>
      <w:pPr>
        <w:ind w:firstLine="420" w:firstLineChars="200"/>
        <w:rPr>
          <w:highlight w:val="none"/>
        </w:rPr>
      </w:pPr>
      <w:r>
        <w:rPr>
          <w:rFonts w:hint="eastAsia"/>
          <w:highlight w:val="none"/>
        </w:rPr>
        <w:t>（三）项目负责人或者主要技术人员不是本单位人员的。</w:t>
      </w:r>
    </w:p>
    <w:p>
      <w:pPr>
        <w:ind w:firstLine="420" w:firstLineChars="200"/>
        <w:rPr>
          <w:highlight w:val="none"/>
        </w:rPr>
      </w:pPr>
      <w:r>
        <w:rPr>
          <w:rFonts w:hint="eastAsia"/>
          <w:highlight w:val="none"/>
        </w:rPr>
        <w:t>（四）投标保证金不是从投标供应商基本账户转出的。</w:t>
      </w:r>
    </w:p>
    <w:p>
      <w:pPr>
        <w:ind w:firstLine="420" w:firstLineChars="200"/>
        <w:rPr>
          <w:highlight w:val="none"/>
        </w:rPr>
      </w:pPr>
      <w:r>
        <w:rPr>
          <w:rFonts w:hint="eastAsia"/>
          <w:highlight w:val="none"/>
        </w:rPr>
        <w:t>（五）其他隐瞒真实情况、提供虚假资料的行为。</w:t>
      </w:r>
    </w:p>
    <w:p>
      <w:pPr>
        <w:ind w:firstLine="422" w:firstLineChars="200"/>
        <w:rPr>
          <w:b/>
          <w:highlight w:val="none"/>
        </w:rPr>
      </w:pPr>
      <w:r>
        <w:rPr>
          <w:rFonts w:hint="eastAsia"/>
          <w:b/>
          <w:highlight w:val="none"/>
        </w:rPr>
        <w:t>二、本公司已充分知悉“与其他采购参加人串通投标”的法定情形，相关情形包括但不限于：</w:t>
      </w:r>
    </w:p>
    <w:p>
      <w:pPr>
        <w:ind w:firstLine="420" w:firstLineChars="200"/>
        <w:rPr>
          <w:highlight w:val="none"/>
        </w:rPr>
      </w:pPr>
      <w:r>
        <w:rPr>
          <w:rFonts w:hint="eastAsia"/>
          <w:highlight w:val="none"/>
        </w:rPr>
        <w:t>（一）投标供应商之间相互约定给予未中标的供应商利益补偿。</w:t>
      </w:r>
    </w:p>
    <w:p>
      <w:pPr>
        <w:ind w:firstLine="420" w:firstLineChars="200"/>
        <w:rPr>
          <w:highlight w:val="none"/>
        </w:rPr>
      </w:pPr>
      <w:r>
        <w:rPr>
          <w:rFonts w:hint="eastAsia"/>
          <w:highlight w:val="none"/>
        </w:rPr>
        <w:t>（二）不同投标供应商的法定代表人、主要经营负责人、项目投标授权代表人、项目负责人、主要技术人员为同一人、属同一单位或者在同一单位缴纳社会保险。</w:t>
      </w:r>
    </w:p>
    <w:p>
      <w:pPr>
        <w:ind w:firstLine="420" w:firstLineChars="200"/>
        <w:rPr>
          <w:highlight w:val="none"/>
        </w:rPr>
      </w:pPr>
      <w:r>
        <w:rPr>
          <w:rFonts w:hint="eastAsia"/>
          <w:highlight w:val="none"/>
        </w:rPr>
        <w:t>（三）不同投标供应商的投标文件由同一单位或者同一人编制，或者由同一人分阶段参与编制的。</w:t>
      </w:r>
    </w:p>
    <w:p>
      <w:pPr>
        <w:ind w:firstLine="420" w:firstLineChars="200"/>
        <w:rPr>
          <w:highlight w:val="none"/>
        </w:rPr>
      </w:pPr>
      <w:r>
        <w:rPr>
          <w:rFonts w:hint="eastAsia"/>
          <w:highlight w:val="none"/>
        </w:rPr>
        <w:t>（四）不同投标供应商的投标文件或部分投标文件相互混装。</w:t>
      </w:r>
    </w:p>
    <w:p>
      <w:pPr>
        <w:ind w:firstLine="420" w:firstLineChars="200"/>
        <w:rPr>
          <w:highlight w:val="none"/>
        </w:rPr>
      </w:pPr>
      <w:r>
        <w:rPr>
          <w:rFonts w:hint="eastAsia"/>
          <w:highlight w:val="none"/>
        </w:rPr>
        <w:t>（五）不同投标供应商的投标文件内容存在非正常一致。</w:t>
      </w:r>
    </w:p>
    <w:p>
      <w:pPr>
        <w:ind w:firstLine="420" w:firstLineChars="200"/>
        <w:rPr>
          <w:highlight w:val="none"/>
        </w:rPr>
      </w:pPr>
      <w:r>
        <w:rPr>
          <w:rFonts w:hint="eastAsia"/>
          <w:highlight w:val="none"/>
        </w:rPr>
        <w:t>（六）由同一单位工作人员为两家以上（含两家）供应商进行同一项投标活动的。</w:t>
      </w:r>
    </w:p>
    <w:p>
      <w:pPr>
        <w:ind w:firstLine="420" w:firstLineChars="200"/>
        <w:rPr>
          <w:highlight w:val="none"/>
        </w:rPr>
      </w:pPr>
      <w:r>
        <w:rPr>
          <w:rFonts w:hint="eastAsia"/>
          <w:highlight w:val="none"/>
        </w:rPr>
        <w:t>（七）不同投标人的投标报价呈规律性差异。</w:t>
      </w:r>
    </w:p>
    <w:p>
      <w:pPr>
        <w:ind w:firstLine="420" w:firstLineChars="200"/>
        <w:rPr>
          <w:highlight w:val="none"/>
        </w:rPr>
      </w:pPr>
      <w:r>
        <w:rPr>
          <w:rFonts w:hint="eastAsia"/>
          <w:highlight w:val="none"/>
        </w:rPr>
        <w:t>（八）不同投标人的投标保证金从同一单位或者个人的账户转出。</w:t>
      </w:r>
    </w:p>
    <w:p>
      <w:pPr>
        <w:ind w:firstLine="420" w:firstLineChars="200"/>
        <w:rPr>
          <w:highlight w:val="none"/>
        </w:rPr>
      </w:pPr>
      <w:r>
        <w:rPr>
          <w:rFonts w:hint="eastAsia"/>
          <w:highlight w:val="none"/>
        </w:rPr>
        <w:t>（九）主管部门依照法律、法规认定的其他情形。</w:t>
      </w:r>
    </w:p>
    <w:p>
      <w:pPr>
        <w:ind w:firstLine="422" w:firstLineChars="200"/>
        <w:rPr>
          <w:b/>
          <w:highlight w:val="none"/>
        </w:rPr>
      </w:pPr>
      <w:r>
        <w:rPr>
          <w:rFonts w:hint="eastAsia"/>
          <w:b/>
          <w:highlight w:val="none"/>
        </w:rPr>
        <w:t>三、本公司已充分知悉下列情形所对应的法律风险，并在投标前已对相关风险事项进行排查。</w:t>
      </w:r>
    </w:p>
    <w:p>
      <w:pPr>
        <w:ind w:firstLine="420" w:firstLineChars="200"/>
        <w:rPr>
          <w:b/>
          <w:highlight w:val="none"/>
        </w:rPr>
      </w:pPr>
      <w:r>
        <w:rPr>
          <w:rFonts w:hint="eastAsia"/>
          <w:highlight w:val="none"/>
        </w:rPr>
        <w:t>（一）对于从其他主体获取的投标资料，供应商应审慎核查，确保投标资料的真实性。</w:t>
      </w:r>
      <w:r>
        <w:rPr>
          <w:rFonts w:hint="eastAsia"/>
          <w:b/>
          <w:highlight w:val="none"/>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highlight w:val="none"/>
        </w:rPr>
      </w:pPr>
      <w:r>
        <w:rPr>
          <w:rFonts w:hint="eastAsia"/>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highlight w:val="none"/>
        </w:rPr>
      </w:pPr>
      <w:r>
        <w:rPr>
          <w:rFonts w:hint="eastAsia"/>
          <w:highlight w:val="none"/>
        </w:rPr>
        <w:t>（三）对于涉及安全生产、特种作业、抢险救灾、防疫等政府采购项目，供应商实施提供虚假资料、串通投标等违法行为的，主管部门将依法从严处理。</w:t>
      </w:r>
    </w:p>
    <w:p>
      <w:pPr>
        <w:ind w:firstLine="420" w:firstLineChars="200"/>
        <w:rPr>
          <w:highlight w:val="none"/>
        </w:rPr>
      </w:pPr>
      <w:r>
        <w:rPr>
          <w:rFonts w:hint="eastAsia"/>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highlight w:val="none"/>
        </w:rPr>
      </w:pPr>
      <w:r>
        <w:rPr>
          <w:rFonts w:hint="eastAsia"/>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highlight w:val="none"/>
        </w:rPr>
      </w:pPr>
      <w:r>
        <w:rPr>
          <w:rFonts w:hint="eastAsia"/>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highlight w:val="none"/>
        </w:rPr>
      </w:pPr>
      <w:r>
        <w:rPr>
          <w:rFonts w:hint="eastAsia"/>
          <w:b/>
          <w:highlight w:val="none"/>
        </w:rPr>
        <w:t>四、本公司已充分知悉政府采购违法、违规行为的法律后果。</w:t>
      </w:r>
    </w:p>
    <w:p>
      <w:pPr>
        <w:ind w:firstLine="420" w:firstLineChars="200"/>
        <w:rPr>
          <w:highlight w:val="none"/>
        </w:rPr>
      </w:pPr>
      <w:r>
        <w:rPr>
          <w:rFonts w:hint="eastAsia"/>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4"/>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highlight w:val="none"/>
        </w:rPr>
      </w:pPr>
      <w:r>
        <w:rPr>
          <w:rFonts w:hint="eastAsia" w:ascii="宋体" w:hAnsi="宋体" w:eastAsiaTheme="minorEastAsia"/>
          <w:b/>
          <w:bCs/>
          <w:color w:val="FF0000"/>
          <w:spacing w:val="-4"/>
          <w:kern w:val="0"/>
          <w:szCs w:val="21"/>
          <w:highlight w:val="none"/>
        </w:rPr>
        <w:t>2.投标供应商负责人或投标授权代表签字并加盖单位公章后，扫描上传至投标文件一并提交。</w:t>
      </w: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highlight w:val="none"/>
        </w:rPr>
      </w:pPr>
      <w:r>
        <w:rPr>
          <w:rFonts w:hint="eastAsia" w:ascii="宋体" w:hAnsi="宋体" w:eastAsia="宋体" w:cs="Times New Roman"/>
          <w:b/>
          <w:bCs/>
          <w:kern w:val="0"/>
          <w:sz w:val="24"/>
          <w:szCs w:val="20"/>
          <w:highlight w:val="none"/>
          <w:lang w:val="en-US" w:eastAsia="zh-CN"/>
        </w:rPr>
        <w:t>6</w:t>
      </w:r>
      <w:r>
        <w:rPr>
          <w:rFonts w:hint="eastAsia" w:ascii="宋体" w:hAnsi="宋体" w:eastAsia="宋体" w:cs="Times New Roman"/>
          <w:b/>
          <w:bCs/>
          <w:kern w:val="0"/>
          <w:sz w:val="24"/>
          <w:szCs w:val="20"/>
          <w:highlight w:val="none"/>
        </w:rPr>
        <w:t>.人员情况表</w:t>
      </w:r>
    </w:p>
    <w:tbl>
      <w:tblPr>
        <w:tblStyle w:val="17"/>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bl>
    <w:p>
      <w:pPr>
        <w:spacing w:afterLines="25" w:line="300" w:lineRule="auto"/>
        <w:rPr>
          <w:rFonts w:hint="eastAsia" w:ascii="Arial" w:hAnsi="Arial" w:eastAsia="宋体" w:cs="Times New Roman"/>
          <w:sz w:val="24"/>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第五章  合同条款及格式</w:t>
      </w:r>
    </w:p>
    <w:p>
      <w:pPr>
        <w:widowControl/>
        <w:jc w:val="center"/>
        <w:rPr>
          <w:rFonts w:ascii="宋体" w:hAnsi="宋体" w:eastAsia="黑体" w:cs="Times New Roman"/>
          <w:bCs/>
          <w:kern w:val="44"/>
          <w:sz w:val="28"/>
          <w:szCs w:val="44"/>
          <w:highlight w:val="none"/>
        </w:rPr>
      </w:pPr>
      <w:bookmarkStart w:id="29" w:name="_Hlk72574405"/>
      <w:r>
        <w:rPr>
          <w:rFonts w:hint="eastAsia"/>
          <w:b/>
          <w:sz w:val="24"/>
          <w:highlight w:val="none"/>
        </w:rPr>
        <w:t>（仅供参考，具体以项目需求及采购结果为准）</w:t>
      </w:r>
      <w:bookmarkEnd w:id="29"/>
    </w:p>
    <w:p>
      <w:pPr>
        <w:snapToGrid w:val="0"/>
        <w:spacing w:line="300" w:lineRule="auto"/>
        <w:jc w:val="center"/>
        <w:rPr>
          <w:rFonts w:ascii="仿宋" w:hAnsi="仿宋" w:eastAsia="仿宋"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b/>
          <w:bCs/>
          <w:szCs w:val="21"/>
          <w:highlight w:val="none"/>
        </w:rPr>
        <w:t>甲方：</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bookmarkStart w:id="30" w:name="_Hlk75014453"/>
      <w:r>
        <w:rPr>
          <w:rFonts w:hint="eastAsia" w:ascii="宋体" w:hAnsi="宋体"/>
          <w:szCs w:val="21"/>
          <w:highlight w:val="none"/>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联系人：</w:t>
      </w:r>
      <w:r>
        <w:rPr>
          <w:rFonts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szCs w:val="21"/>
          <w:highlight w:val="none"/>
        </w:rPr>
        <w:t>联系电话：</w:t>
      </w:r>
      <w:bookmarkEnd w:id="30"/>
      <w:r>
        <w:rPr>
          <w:rFonts w:hint="eastAsia" w:ascii="宋体" w:hAnsi="宋体"/>
          <w:b/>
          <w:bCs/>
          <w:szCs w:val="21"/>
          <w:highlight w:val="none"/>
        </w:rPr>
        <w:t xml:space="preserve">      </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highlight w:val="none"/>
        </w:rPr>
      </w:pPr>
      <w:r>
        <w:rPr>
          <w:rFonts w:hint="eastAsia" w:ascii="宋体" w:hAnsi="宋体"/>
          <w:b/>
          <w:bCs/>
          <w:szCs w:val="21"/>
          <w:highlight w:val="none"/>
        </w:rPr>
        <w:t>乙方：</w:t>
      </w:r>
      <w:r>
        <w:rPr>
          <w:rFonts w:ascii="宋体" w:hAnsi="宋体"/>
          <w:b/>
          <w:bCs/>
          <w:szCs w:val="21"/>
          <w:highlight w:val="none"/>
        </w:rPr>
        <w:t xml:space="preserve">            </w:t>
      </w:r>
      <w:r>
        <w:rPr>
          <w:rFonts w:hint="eastAsia" w:ascii="宋体" w:hAnsi="宋体"/>
          <w:b/>
          <w:bCs/>
          <w:szCs w:val="21"/>
          <w:highlight w:val="none"/>
        </w:rPr>
        <w:t xml:space="preserve">                            </w:t>
      </w:r>
      <w:r>
        <w:rPr>
          <w:rFonts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联系人：</w:t>
      </w:r>
      <w:r>
        <w:rPr>
          <w:rFonts w:ascii="宋体" w:hAnsi="宋体"/>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r>
        <w:rPr>
          <w:rFonts w:hint="eastAsia" w:ascii="宋体" w:hAnsi="宋体"/>
          <w:szCs w:val="21"/>
          <w:highlight w:val="none"/>
        </w:rPr>
        <w:t>联系电话：</w:t>
      </w:r>
      <w:r>
        <w:rPr>
          <w:rFonts w:hint="eastAsia" w:ascii="宋体" w:hAnsi="宋体"/>
          <w:b/>
          <w:bCs/>
          <w:szCs w:val="21"/>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bookmarkStart w:id="31" w:name="_Hlk72574434"/>
      <w:r>
        <w:rPr>
          <w:rFonts w:hint="eastAsia"/>
          <w:szCs w:val="21"/>
          <w:highlight w:val="none"/>
        </w:rPr>
        <w:t>根据深圳公共资源交易中心（深圳交易集团有限公司*</w:t>
      </w:r>
      <w:r>
        <w:rPr>
          <w:szCs w:val="21"/>
          <w:highlight w:val="none"/>
        </w:rPr>
        <w:t>**</w:t>
      </w:r>
      <w:r>
        <w:rPr>
          <w:rFonts w:hint="eastAsia"/>
          <w:szCs w:val="21"/>
          <w:highlight w:val="none"/>
        </w:rPr>
        <w:t>分公司）</w:t>
      </w:r>
      <w:r>
        <w:rPr>
          <w:rFonts w:hint="eastAsia"/>
          <w:szCs w:val="21"/>
          <w:highlight w:val="none"/>
          <w:u w:val="single"/>
        </w:rPr>
        <w:t xml:space="preserve">        </w:t>
      </w:r>
      <w:r>
        <w:rPr>
          <w:rFonts w:hint="eastAsia"/>
          <w:szCs w:val="21"/>
          <w:highlight w:val="none"/>
        </w:rPr>
        <w:t>号项目结果，</w:t>
      </w:r>
      <w:r>
        <w:rPr>
          <w:rFonts w:hint="eastAsia" w:ascii="宋体" w:hAnsi="宋体"/>
          <w:szCs w:val="21"/>
          <w:highlight w:val="none"/>
        </w:rPr>
        <w:t>*</w:t>
      </w:r>
      <w:r>
        <w:rPr>
          <w:rFonts w:ascii="宋体" w:hAnsi="宋体"/>
          <w:szCs w:val="21"/>
          <w:highlight w:val="none"/>
        </w:rPr>
        <w:t>**</w:t>
      </w:r>
      <w:r>
        <w:rPr>
          <w:rFonts w:hint="eastAsia" w:ascii="宋体" w:hAnsi="宋体"/>
          <w:szCs w:val="21"/>
          <w:highlight w:val="none"/>
        </w:rPr>
        <w:t>单位为中标人</w:t>
      </w:r>
      <w:r>
        <w:rPr>
          <w:rFonts w:hint="eastAsia"/>
          <w:szCs w:val="21"/>
          <w:highlight w:val="none"/>
        </w:rPr>
        <w:t>。</w:t>
      </w:r>
      <w:bookmarkEnd w:id="31"/>
      <w:r>
        <w:rPr>
          <w:rFonts w:hint="eastAsia"/>
          <w:szCs w:val="21"/>
          <w:highlight w:val="none"/>
        </w:rPr>
        <w:t>按照《中华人民共和国民法典》（第三编 合同）和《深圳经济特区政府采购条例》，经深圳市</w:t>
      </w:r>
      <w:r>
        <w:rPr>
          <w:rFonts w:hint="eastAsia"/>
          <w:szCs w:val="21"/>
          <w:highlight w:val="none"/>
          <w:u w:val="single"/>
        </w:rPr>
        <w:t xml:space="preserve">           </w:t>
      </w:r>
      <w:r>
        <w:rPr>
          <w:rFonts w:hint="eastAsia"/>
          <w:szCs w:val="21"/>
          <w:highlight w:val="none"/>
        </w:rPr>
        <w:t>（以下简称甲方）和</w:t>
      </w:r>
      <w:r>
        <w:rPr>
          <w:rFonts w:hint="eastAsia"/>
          <w:szCs w:val="21"/>
          <w:highlight w:val="none"/>
          <w:u w:val="single"/>
        </w:rPr>
        <w:t xml:space="preserve">           </w:t>
      </w:r>
      <w:r>
        <w:rPr>
          <w:rFonts w:hint="eastAsia"/>
          <w:szCs w:val="21"/>
          <w:highlight w:val="none"/>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货物名称、规格及数量详见</w:t>
      </w:r>
      <w:r>
        <w:rPr>
          <w:rFonts w:hint="eastAsia"/>
          <w:b/>
          <w:szCs w:val="21"/>
          <w:highlight w:val="none"/>
          <w:u w:val="single"/>
        </w:rPr>
        <w:t xml:space="preserve">                  </w:t>
      </w:r>
      <w:r>
        <w:rPr>
          <w:rFonts w:hint="eastAsia"/>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r>
        <w:rPr>
          <w:rFonts w:hint="eastAsia"/>
          <w:szCs w:val="21"/>
          <w:highlight w:val="none"/>
        </w:rPr>
        <w:t>本合同项下总价款为</w:t>
      </w:r>
      <w:r>
        <w:rPr>
          <w:rFonts w:hint="eastAsia"/>
          <w:szCs w:val="21"/>
          <w:highlight w:val="none"/>
          <w:u w:val="single"/>
        </w:rPr>
        <w:t xml:space="preserve">              </w:t>
      </w:r>
      <w:r>
        <w:rPr>
          <w:rFonts w:hint="eastAsia"/>
          <w:szCs w:val="21"/>
          <w:highlight w:val="none"/>
        </w:rPr>
        <w:t>（大写）人民币，分项价款详见</w:t>
      </w:r>
      <w:r>
        <w:rPr>
          <w:rFonts w:hint="eastAsia"/>
          <w:b/>
          <w:szCs w:val="21"/>
          <w:highlight w:val="none"/>
          <w:u w:val="single"/>
        </w:rPr>
        <w:t xml:space="preserve">          </w:t>
      </w:r>
      <w:r>
        <w:rPr>
          <w:rFonts w:hint="eastAsia"/>
          <w:szCs w:val="21"/>
          <w:highlight w:val="none"/>
        </w:rPr>
        <w:t>。本合同总价款已包括乙方为履行本合同义务所发生的一切费用，系固定不变价格，且不随通货膨胀的影响而波动。</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highlight w:val="none"/>
        </w:rPr>
      </w:pPr>
      <w:r>
        <w:rPr>
          <w:rFonts w:hint="eastAsia" w:ascii="宋体" w:hAnsi="宋体"/>
          <w:szCs w:val="21"/>
          <w:highlight w:val="none"/>
        </w:rPr>
        <w:t>乙方应于本合同签订之日其</w:t>
      </w:r>
      <w:r>
        <w:rPr>
          <w:rFonts w:hint="eastAsia"/>
          <w:szCs w:val="21"/>
          <w:highlight w:val="none"/>
          <w:u w:val="single"/>
        </w:rPr>
        <w:t xml:space="preserve">             </w:t>
      </w:r>
      <w:r>
        <w:rPr>
          <w:rFonts w:hint="eastAsia" w:ascii="宋体" w:hAnsi="宋体"/>
          <w:szCs w:val="21"/>
          <w:highlight w:val="none"/>
        </w:rPr>
        <w:t>日内将符合要求的产品向甲方交付（含安装调试），但乙方交付前应向书面通知甲方并征得甲方同意。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w:t>
      </w:r>
      <w:r>
        <w:rPr>
          <w:rFonts w:ascii="宋体" w:hAnsi="宋体"/>
          <w:szCs w:val="21"/>
          <w:highlight w:val="none"/>
        </w:rPr>
        <w:t>保修期内，乙方负责对其提供的货物进行维修和系统维护，不再收取任何费用。</w:t>
      </w:r>
      <w:r>
        <w:rPr>
          <w:rFonts w:hint="eastAsia" w:ascii="宋体" w:hAnsi="宋体"/>
          <w:szCs w:val="21"/>
          <w:highlight w:val="none"/>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highlight w:val="none"/>
        </w:rPr>
      </w:pPr>
      <w:r>
        <w:rPr>
          <w:highlight w:val="none"/>
        </w:rPr>
        <w:t>1</w:t>
      </w:r>
      <w:r>
        <w:rPr>
          <w:rFonts w:hint="eastAsia"/>
          <w:highlight w:val="none"/>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highlight w:val="none"/>
        </w:rPr>
      </w:pPr>
      <w:r>
        <w:rPr>
          <w:highlight w:val="none"/>
        </w:rPr>
        <w:t>2</w:t>
      </w:r>
      <w:r>
        <w:rPr>
          <w:rFonts w:hint="eastAsia"/>
          <w:highlight w:val="none"/>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highlight w:val="none"/>
        </w:rPr>
      </w:pPr>
      <w:r>
        <w:rPr>
          <w:highlight w:val="none"/>
        </w:rPr>
        <w:t>3</w:t>
      </w:r>
      <w:r>
        <w:rPr>
          <w:rFonts w:hint="eastAsia"/>
          <w:highlight w:val="none"/>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highlight w:val="none"/>
        </w:rPr>
      </w:pPr>
      <w:r>
        <w:rPr>
          <w:rFonts w:hint="eastAsia"/>
          <w:b/>
          <w:szCs w:val="21"/>
          <w:highlight w:val="none"/>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highlight w:val="none"/>
        </w:rPr>
      </w:pPr>
      <w:r>
        <w:rPr>
          <w:rFonts w:hint="eastAsia"/>
          <w:highlight w:val="none"/>
        </w:rPr>
        <w:t xml:space="preserve">   </w:t>
      </w:r>
      <w:r>
        <w:rPr>
          <w:b/>
          <w:szCs w:val="21"/>
          <w:highlight w:val="none"/>
          <w:u w:val="single"/>
        </w:rPr>
        <w:t xml:space="preserve">   </w:t>
      </w:r>
      <w:r>
        <w:rPr>
          <w:rFonts w:hint="eastAsia"/>
          <w:b/>
          <w:szCs w:val="21"/>
          <w:highlight w:val="none"/>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highlight w:val="none"/>
        </w:rPr>
      </w:pPr>
      <w:r>
        <w:rPr>
          <w:rFonts w:hint="eastAsia"/>
          <w:b/>
          <w:szCs w:val="21"/>
          <w:highlight w:val="none"/>
        </w:rPr>
        <w:t>第十一条 违约责任</w:t>
      </w:r>
      <w:r>
        <w:rPr>
          <w:rFonts w:hint="eastAsia"/>
          <w:b/>
          <w:szCs w:val="21"/>
          <w:highlight w:val="none"/>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３、</w:t>
      </w:r>
      <w:r>
        <w:rPr>
          <w:rFonts w:ascii="宋体" w:hAnsi="宋体"/>
          <w:szCs w:val="21"/>
          <w:highlight w:val="none"/>
        </w:rPr>
        <w:t>乙方逾期交付货物的，每逾期1天，乙方向甲方偿付逾期交货部分货款总额的</w:t>
      </w:r>
      <w:r>
        <w:rPr>
          <w:rFonts w:hint="eastAsia" w:ascii="宋体" w:hAnsi="宋体"/>
          <w:szCs w:val="21"/>
          <w:highlight w:val="none"/>
        </w:rPr>
        <w:t>【】</w:t>
      </w:r>
      <w:r>
        <w:rPr>
          <w:rFonts w:ascii="宋体" w:hAnsi="宋体"/>
          <w:szCs w:val="21"/>
          <w:highlight w:val="none"/>
        </w:rPr>
        <w:t>‰的滞纳金</w:t>
      </w:r>
      <w:r>
        <w:rPr>
          <w:rFonts w:hint="eastAsia" w:ascii="宋体" w:hAnsi="宋体"/>
          <w:szCs w:val="21"/>
          <w:highlight w:val="none"/>
        </w:rPr>
        <w:t>。如乙方逾期交货达</w:t>
      </w:r>
      <w:r>
        <w:rPr>
          <w:rFonts w:hint="eastAsia" w:ascii="宋体" w:hAnsi="宋体"/>
          <w:szCs w:val="21"/>
          <w:highlight w:val="none"/>
          <w:u w:val="single"/>
        </w:rPr>
        <w:t xml:space="preserve">    </w:t>
      </w:r>
      <w:r>
        <w:rPr>
          <w:rFonts w:hint="eastAsia" w:ascii="宋体" w:hAnsi="宋体"/>
          <w:szCs w:val="21"/>
          <w:highlight w:val="none"/>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highlight w:val="none"/>
        </w:rPr>
        <w:t>如经乙方两次维修</w:t>
      </w:r>
      <w:r>
        <w:rPr>
          <w:rFonts w:hint="eastAsia" w:ascii="宋体" w:hAnsi="宋体"/>
          <w:szCs w:val="21"/>
          <w:highlight w:val="none"/>
        </w:rPr>
        <w:t>或更换</w:t>
      </w:r>
      <w:r>
        <w:rPr>
          <w:rFonts w:ascii="宋体" w:hAnsi="宋体"/>
          <w:szCs w:val="21"/>
          <w:highlight w:val="none"/>
        </w:rPr>
        <w:t>，货物仍不能达到合同约定</w:t>
      </w:r>
      <w:r>
        <w:rPr>
          <w:rFonts w:hint="eastAsia" w:ascii="宋体" w:hAnsi="宋体"/>
          <w:szCs w:val="21"/>
          <w:highlight w:val="none"/>
        </w:rPr>
        <w:t>的</w:t>
      </w:r>
      <w:r>
        <w:rPr>
          <w:rFonts w:ascii="宋体" w:hAnsi="宋体"/>
          <w:szCs w:val="21"/>
          <w:highlight w:val="none"/>
        </w:rPr>
        <w:t>质量标准，甲方有权退货，乙方</w:t>
      </w:r>
      <w:r>
        <w:rPr>
          <w:rFonts w:hint="eastAsia" w:ascii="宋体" w:hAnsi="宋体"/>
          <w:szCs w:val="21"/>
          <w:highlight w:val="none"/>
        </w:rPr>
        <w:t>应</w:t>
      </w:r>
      <w:r>
        <w:rPr>
          <w:rFonts w:ascii="宋体" w:hAnsi="宋体"/>
          <w:szCs w:val="21"/>
          <w:highlight w:val="none"/>
        </w:rPr>
        <w:t>退回全部货款</w:t>
      </w:r>
      <w:r>
        <w:rPr>
          <w:rFonts w:hint="eastAsia" w:ascii="宋体" w:hAnsi="宋体"/>
          <w:szCs w:val="21"/>
          <w:highlight w:val="none"/>
        </w:rPr>
        <w:t>并</w:t>
      </w:r>
      <w:r>
        <w:rPr>
          <w:rFonts w:ascii="宋体" w:hAnsi="宋体"/>
          <w:szCs w:val="21"/>
          <w:highlight w:val="none"/>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6.</w:t>
      </w:r>
      <w:bookmarkStart w:id="32" w:name="_Hlk75014743"/>
      <w:r>
        <w:rPr>
          <w:rFonts w:hint="eastAsia" w:ascii="宋体" w:hAnsi="宋体"/>
          <w:szCs w:val="21"/>
          <w:highlight w:val="none"/>
        </w:rPr>
        <w:t>乙方违反本合同约定的保密义务，甲方有权要求乙方按合同总额【】%支付违约金；造成不良影响或对甲方造成损失的，甲方有权要求乙方消除影响，承担赔偿责任，并有权解除合同。</w:t>
      </w:r>
      <w:bookmarkEnd w:id="32"/>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7、</w:t>
      </w:r>
      <w:bookmarkStart w:id="33" w:name="_Hlk75015079"/>
      <w:r>
        <w:rPr>
          <w:rFonts w:hint="eastAsia" w:ascii="宋体" w:hAnsi="宋体"/>
          <w:szCs w:val="21"/>
          <w:highlight w:val="none"/>
        </w:rPr>
        <w:t>因乙方提供的产品受到侵权指控或者引发法律纠纷，影响甲方正常使用或者导致合同目的不能实现的，甲方有权要求乙方按合同总额【】%支付违约金，并有权解除合同。</w:t>
      </w:r>
      <w:bookmarkEnd w:id="33"/>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二</w:t>
      </w:r>
      <w:r>
        <w:rPr>
          <w:rFonts w:hint="eastAsia"/>
          <w:b/>
          <w:szCs w:val="21"/>
          <w:highlight w:val="none"/>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除</w:t>
      </w:r>
      <w:bookmarkStart w:id="34" w:name="_Hlk75015119"/>
      <w:r>
        <w:rPr>
          <w:rFonts w:hint="eastAsia" w:ascii="宋体" w:hAnsi="宋体"/>
          <w:szCs w:val="21"/>
          <w:highlight w:val="none"/>
        </w:rPr>
        <w:t>《深圳经济特区政府采购条例》第40条、</w:t>
      </w:r>
      <w:bookmarkEnd w:id="34"/>
      <w:r>
        <w:rPr>
          <w:rFonts w:hint="eastAsia" w:ascii="宋体" w:hAnsi="宋体"/>
          <w:szCs w:val="21"/>
          <w:highlight w:val="none"/>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三</w:t>
      </w:r>
      <w:r>
        <w:rPr>
          <w:rFonts w:hint="eastAsia"/>
          <w:b/>
          <w:szCs w:val="21"/>
          <w:highlight w:val="none"/>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highlight w:val="none"/>
        </w:rPr>
      </w:pPr>
      <w:r>
        <w:rPr>
          <w:rFonts w:hint="eastAsia"/>
          <w:b/>
          <w:szCs w:val="21"/>
          <w:highlight w:val="none"/>
        </w:rPr>
        <w:t>第十</w:t>
      </w:r>
      <w:r>
        <w:rPr>
          <w:rFonts w:hint="eastAsia"/>
          <w:b/>
          <w:szCs w:val="21"/>
          <w:highlight w:val="none"/>
          <w:lang w:val="en-US" w:eastAsia="zh-CN"/>
        </w:rPr>
        <w:t>四</w:t>
      </w:r>
      <w:r>
        <w:rPr>
          <w:rFonts w:hint="eastAsia"/>
          <w:b/>
          <w:szCs w:val="21"/>
          <w:highlight w:val="none"/>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w:t>
      </w:r>
      <w:r>
        <w:rPr>
          <w:rFonts w:hint="eastAsia" w:ascii="宋体" w:hAnsi="宋体"/>
          <w:szCs w:val="21"/>
          <w:highlight w:val="none"/>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2、本合同一式</w:t>
      </w:r>
      <w:r>
        <w:rPr>
          <w:rFonts w:hint="eastAsia" w:ascii="宋体" w:hAnsi="宋体"/>
          <w:szCs w:val="21"/>
          <w:highlight w:val="none"/>
          <w:u w:val="single"/>
        </w:rPr>
        <w:t xml:space="preserve">     </w:t>
      </w:r>
      <w:r>
        <w:rPr>
          <w:rFonts w:hint="eastAsia" w:ascii="宋体" w:hAnsi="宋体"/>
          <w:szCs w:val="21"/>
          <w:highlight w:val="none"/>
        </w:rPr>
        <w:t>份，甲、乙方双方各执</w:t>
      </w:r>
      <w:r>
        <w:rPr>
          <w:rFonts w:hint="eastAsia" w:ascii="宋体" w:hAnsi="宋体"/>
          <w:szCs w:val="21"/>
          <w:highlight w:val="none"/>
          <w:u w:val="single"/>
        </w:rPr>
        <w:t xml:space="preserve">     </w:t>
      </w:r>
      <w:r>
        <w:rPr>
          <w:rFonts w:hint="eastAsia" w:ascii="宋体" w:hAnsi="宋体"/>
          <w:szCs w:val="21"/>
          <w:highlight w:val="none"/>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highlight w:val="none"/>
        </w:rPr>
      </w:pPr>
      <w:r>
        <w:rPr>
          <w:rFonts w:hint="eastAsia" w:ascii="宋体" w:hAnsi="宋体"/>
          <w:szCs w:val="21"/>
          <w:highlight w:val="none"/>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highlight w:val="none"/>
        </w:rPr>
      </w:pPr>
      <w:r>
        <w:rPr>
          <w:rFonts w:hint="eastAsia" w:ascii="宋体" w:hAnsi="宋体"/>
          <w:szCs w:val="21"/>
          <w:highlight w:val="none"/>
        </w:rPr>
        <w:t>日期：   年     月    日         日期：   年     月    日</w:t>
      </w:r>
    </w:p>
    <w:p>
      <w:pPr>
        <w:widowControl/>
        <w:jc w:val="left"/>
        <w:rPr>
          <w:rFonts w:ascii="Arial" w:hAnsi="Arial" w:eastAsia="宋体" w:cs="Times New Roman"/>
          <w:color w:val="FF0000"/>
          <w:szCs w:val="24"/>
          <w:highlight w:val="none"/>
        </w:rPr>
      </w:pPr>
    </w:p>
    <w:p>
      <w:pPr>
        <w:widowControl/>
        <w:jc w:val="left"/>
        <w:rPr>
          <w:rFonts w:ascii="宋体" w:hAnsi="宋体" w:eastAsia="黑体" w:cs="Times New Roman"/>
          <w:b/>
          <w:bCs/>
          <w:color w:val="0000FF"/>
          <w:kern w:val="44"/>
          <w:sz w:val="36"/>
          <w:szCs w:val="44"/>
          <w:highlight w:val="none"/>
        </w:rPr>
      </w:pPr>
      <w:r>
        <w:rPr>
          <w:rFonts w:ascii="宋体" w:hAnsi="宋体" w:eastAsia="黑体" w:cs="Times New Roman"/>
          <w:b/>
          <w:bCs/>
          <w:color w:val="0000FF"/>
          <w:kern w:val="44"/>
          <w:sz w:val="36"/>
          <w:szCs w:val="44"/>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第二册  通用条款（公开招标）</w:t>
      </w:r>
    </w:p>
    <w:p>
      <w:pPr>
        <w:keepNext/>
        <w:keepLines/>
        <w:numPr>
          <w:ilvl w:val="0"/>
          <w:numId w:val="8"/>
        </w:numPr>
        <w:adjustRightInd w:val="0"/>
        <w:spacing w:beforeLines="50" w:afterLines="50"/>
        <w:ind w:left="562" w:hanging="562"/>
        <w:jc w:val="center"/>
        <w:textAlignment w:val="baseline"/>
        <w:outlineLvl w:val="1"/>
        <w:rPr>
          <w:rFonts w:asciiTheme="majorHAnsi" w:hAnsiTheme="majorHAnsi" w:eastAsiaTheme="majorEastAsia" w:cstheme="majorBidi"/>
          <w:b/>
          <w:bCs/>
          <w:sz w:val="28"/>
          <w:szCs w:val="28"/>
          <w:highlight w:val="none"/>
        </w:rPr>
      </w:pPr>
      <w:bookmarkStart w:id="35" w:name="_Hlk72399513"/>
      <w:r>
        <w:rPr>
          <w:rFonts w:hint="eastAsia" w:asciiTheme="majorHAnsi" w:hAnsiTheme="majorHAnsi" w:eastAsiaTheme="majorEastAsia" w:cstheme="majorBidi"/>
          <w:b/>
          <w:bCs/>
          <w:sz w:val="28"/>
          <w:szCs w:val="28"/>
          <w:highlight w:val="none"/>
        </w:rPr>
        <w:t>总则</w:t>
      </w:r>
    </w:p>
    <w:bookmarkEnd w:id="35"/>
    <w:p>
      <w:pPr>
        <w:rPr>
          <w:rFonts w:ascii="黑体" w:hAnsi="宋体" w:eastAsia="黑体"/>
          <w:sz w:val="24"/>
          <w:highlight w:val="none"/>
        </w:rPr>
      </w:pPr>
      <w:bookmarkStart w:id="36" w:name="_Hlk72439706"/>
      <w:r>
        <w:rPr>
          <w:rFonts w:hint="eastAsia" w:ascii="黑体" w:hAnsi="宋体" w:eastAsia="黑体"/>
          <w:sz w:val="24"/>
          <w:highlight w:val="none"/>
        </w:rPr>
        <w:t>1. 通用条款说明</w:t>
      </w:r>
    </w:p>
    <w:p>
      <w:pPr>
        <w:ind w:firstLine="411" w:firstLineChars="196"/>
        <w:rPr>
          <w:rFonts w:ascii="宋体" w:hAnsi="宋体"/>
          <w:szCs w:val="21"/>
          <w:highlight w:val="none"/>
        </w:rPr>
      </w:pPr>
      <w:r>
        <w:rPr>
          <w:rFonts w:hint="eastAsia" w:ascii="宋体" w:hAnsi="宋体"/>
          <w:szCs w:val="21"/>
          <w:highlight w:val="none"/>
        </w:rPr>
        <w:t>1.1政府集中采购机构发出招标文件通用条款版本，列出深圳市政府采购项目进行招标采购所适用的通用条款内容。</w:t>
      </w:r>
      <w:bookmarkStart w:id="37" w:name="_Hlk72399729"/>
      <w:r>
        <w:rPr>
          <w:rFonts w:hint="eastAsia" w:ascii="宋体" w:hAnsi="宋体"/>
          <w:szCs w:val="21"/>
          <w:highlight w:val="none"/>
        </w:rPr>
        <w:t>如有需要，政府集中采购机构可以对通用条款的内容进行补充。</w:t>
      </w:r>
      <w:bookmarkEnd w:id="37"/>
    </w:p>
    <w:p>
      <w:pPr>
        <w:ind w:firstLine="411" w:firstLineChars="196"/>
        <w:rPr>
          <w:rFonts w:ascii="宋体" w:hAnsi="宋体"/>
          <w:szCs w:val="21"/>
          <w:highlight w:val="none"/>
        </w:rPr>
      </w:pPr>
      <w:r>
        <w:rPr>
          <w:rFonts w:hint="eastAsia" w:ascii="宋体" w:hAnsi="宋体"/>
          <w:szCs w:val="21"/>
          <w:highlight w:val="none"/>
        </w:rPr>
        <w:t>1.2招标文件分为第一册“专用条款”和第二册“通用条款”。</w:t>
      </w:r>
    </w:p>
    <w:p>
      <w:pPr>
        <w:ind w:firstLine="411" w:firstLineChars="196"/>
        <w:rPr>
          <w:rFonts w:ascii="宋体" w:hAnsi="宋体"/>
          <w:szCs w:val="21"/>
          <w:highlight w:val="none"/>
        </w:rPr>
      </w:pPr>
      <w:r>
        <w:rPr>
          <w:rFonts w:hint="eastAsia" w:ascii="宋体" w:hAnsi="宋体"/>
          <w:szCs w:val="21"/>
          <w:highlight w:val="none"/>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highlight w:val="none"/>
        </w:rPr>
      </w:pPr>
      <w:r>
        <w:rPr>
          <w:rFonts w:hint="eastAsia" w:ascii="宋体" w:hAnsi="宋体"/>
          <w:szCs w:val="21"/>
          <w:highlight w:val="none"/>
        </w:rPr>
        <w:t>1.4“通用条款”是适用于政府采购公开招标项目的基础性条款，具有普遍性和通用性。</w:t>
      </w:r>
    </w:p>
    <w:p>
      <w:pPr>
        <w:ind w:firstLine="411" w:firstLineChars="196"/>
        <w:rPr>
          <w:rFonts w:ascii="宋体" w:hAnsi="宋体"/>
          <w:szCs w:val="21"/>
          <w:highlight w:val="none"/>
        </w:rPr>
      </w:pPr>
      <w:r>
        <w:rPr>
          <w:rFonts w:hint="eastAsia" w:ascii="宋体" w:hAnsi="宋体"/>
          <w:szCs w:val="21"/>
          <w:highlight w:val="none"/>
        </w:rPr>
        <w:t>1.5 “专用条款”和“通用条款”表述不一致或有冲突时，以“专用条款”为准。</w:t>
      </w:r>
    </w:p>
    <w:p>
      <w:pPr>
        <w:rPr>
          <w:rFonts w:ascii="黑体" w:hAnsi="宋体" w:eastAsia="黑体"/>
          <w:sz w:val="24"/>
          <w:highlight w:val="none"/>
        </w:rPr>
      </w:pPr>
      <w:r>
        <w:rPr>
          <w:rFonts w:hint="eastAsia" w:ascii="黑体" w:hAnsi="宋体" w:eastAsia="黑体"/>
          <w:sz w:val="24"/>
          <w:highlight w:val="none"/>
        </w:rPr>
        <w:t>2</w:t>
      </w:r>
      <w:r>
        <w:rPr>
          <w:rFonts w:ascii="黑体" w:hAnsi="宋体" w:eastAsia="黑体"/>
          <w:sz w:val="24"/>
          <w:highlight w:val="none"/>
        </w:rPr>
        <w:t>．</w:t>
      </w:r>
      <w:r>
        <w:rPr>
          <w:rFonts w:hint="eastAsia" w:ascii="黑体" w:hAnsi="宋体" w:eastAsia="黑体"/>
          <w:sz w:val="24"/>
          <w:highlight w:val="none"/>
        </w:rPr>
        <w:t>招标说明</w:t>
      </w:r>
    </w:p>
    <w:p>
      <w:pPr>
        <w:ind w:firstLine="411" w:firstLineChars="196"/>
        <w:rPr>
          <w:rFonts w:ascii="宋体" w:hAnsi="宋体"/>
          <w:szCs w:val="21"/>
          <w:highlight w:val="none"/>
        </w:rPr>
      </w:pPr>
      <w:r>
        <w:rPr>
          <w:rFonts w:hint="eastAsia" w:ascii="宋体" w:hAnsi="宋体"/>
          <w:szCs w:val="21"/>
          <w:highlight w:val="none"/>
        </w:rPr>
        <w:t>本项目按照《深圳经济特区政府采购条例》、《深圳经济特区政府采购条例实施细则》及政府采购其他法律法规，通过公开招标方式确定中标供应商。</w:t>
      </w:r>
    </w:p>
    <w:p>
      <w:pPr>
        <w:rPr>
          <w:rFonts w:ascii="黑体" w:hAnsi="宋体" w:eastAsia="黑体"/>
          <w:sz w:val="24"/>
          <w:highlight w:val="none"/>
        </w:rPr>
      </w:pPr>
      <w:r>
        <w:rPr>
          <w:rFonts w:hint="eastAsia" w:ascii="黑体" w:hAnsi="宋体" w:eastAsia="黑体"/>
          <w:sz w:val="24"/>
          <w:highlight w:val="none"/>
        </w:rPr>
        <w:t>3．定义</w:t>
      </w:r>
    </w:p>
    <w:p>
      <w:pPr>
        <w:ind w:firstLine="420" w:firstLineChars="200"/>
        <w:rPr>
          <w:rFonts w:ascii="宋体" w:hAnsi="宋体"/>
          <w:szCs w:val="21"/>
          <w:highlight w:val="none"/>
        </w:rPr>
      </w:pPr>
      <w:r>
        <w:rPr>
          <w:rFonts w:ascii="宋体" w:hAnsi="宋体"/>
          <w:szCs w:val="21"/>
          <w:highlight w:val="none"/>
        </w:rPr>
        <w:t>招标文件中下列术语应解释为：</w:t>
      </w:r>
    </w:p>
    <w:p>
      <w:pPr>
        <w:ind w:firstLine="411" w:firstLineChars="196"/>
        <w:rPr>
          <w:rFonts w:ascii="宋体" w:hAnsi="宋体"/>
          <w:szCs w:val="21"/>
          <w:highlight w:val="none"/>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rPr>
        <w:t>“采购人”：指利用财政性资金依法进行政府采购的国家机关、事业单位、团体组织；</w:t>
      </w:r>
      <w:r>
        <w:rPr>
          <w:rFonts w:ascii="宋体" w:hAnsi="宋体"/>
          <w:szCs w:val="21"/>
          <w:highlight w:val="none"/>
        </w:rPr>
        <w:t xml:space="preserve"> </w:t>
      </w:r>
    </w:p>
    <w:p>
      <w:pPr>
        <w:ind w:firstLine="411" w:firstLineChars="196"/>
        <w:rPr>
          <w:rFonts w:ascii="宋体" w:hAnsi="宋体"/>
          <w:szCs w:val="21"/>
          <w:highlight w:val="none"/>
        </w:rPr>
      </w:pPr>
      <w:r>
        <w:rPr>
          <w:rFonts w:hint="eastAsia" w:ascii="宋体" w:hAnsi="宋体"/>
          <w:szCs w:val="21"/>
          <w:highlight w:val="none"/>
        </w:rPr>
        <w:t>3.2 “政府集中采购机构”</w:t>
      </w:r>
      <w:r>
        <w:rPr>
          <w:rFonts w:hint="eastAsia" w:ascii="Arial" w:hAnsi="Arial" w:cs="Arial"/>
          <w:szCs w:val="21"/>
          <w:highlight w:val="none"/>
          <w:shd w:val="clear" w:color="auto" w:fill="FFFFFF"/>
        </w:rPr>
        <w:t>是指市政府设立的，组织实施政府采购项目，并对政府采购活动提供服务的专门机构；</w:t>
      </w:r>
      <w:r>
        <w:rPr>
          <w:rFonts w:hint="eastAsia" w:ascii="宋体" w:hAnsi="宋体"/>
          <w:szCs w:val="21"/>
          <w:highlight w:val="none"/>
        </w:rPr>
        <w:t>本文件所述的“政府集中采购机构”</w:t>
      </w:r>
      <w:r>
        <w:rPr>
          <w:rFonts w:ascii="宋体" w:hAnsi="宋体"/>
          <w:szCs w:val="21"/>
          <w:highlight w:val="none"/>
        </w:rPr>
        <w:t>指</w:t>
      </w:r>
      <w:r>
        <w:rPr>
          <w:rFonts w:hint="eastAsia" w:ascii="宋体" w:hAnsi="宋体"/>
          <w:b/>
          <w:bCs/>
          <w:szCs w:val="21"/>
          <w:highlight w:val="none"/>
        </w:rPr>
        <w:t>深圳公共资源交易中心</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highlight w:val="none"/>
        </w:rPr>
      </w:pPr>
      <w:r>
        <w:rPr>
          <w:rFonts w:hint="eastAsia" w:ascii="宋体" w:hAnsi="宋体"/>
          <w:szCs w:val="21"/>
          <w:highlight w:val="none"/>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highlight w:val="none"/>
        </w:rPr>
      </w:pPr>
      <w:r>
        <w:rPr>
          <w:rFonts w:hint="eastAsia" w:ascii="宋体" w:hAnsi="宋体"/>
          <w:szCs w:val="21"/>
          <w:highlight w:val="none"/>
        </w:rPr>
        <w:t>3.5“日期”</w:t>
      </w:r>
      <w:r>
        <w:rPr>
          <w:rFonts w:ascii="宋体" w:hAnsi="宋体"/>
          <w:szCs w:val="21"/>
          <w:highlight w:val="none"/>
        </w:rPr>
        <w:t>指</w:t>
      </w:r>
      <w:r>
        <w:rPr>
          <w:rFonts w:hint="eastAsia" w:ascii="宋体" w:hAnsi="宋体"/>
          <w:szCs w:val="21"/>
          <w:highlight w:val="none"/>
        </w:rPr>
        <w:t>公历日；</w:t>
      </w:r>
    </w:p>
    <w:p>
      <w:pPr>
        <w:ind w:firstLine="411" w:firstLineChars="196"/>
        <w:rPr>
          <w:rFonts w:ascii="宋体" w:hAnsi="宋体"/>
          <w:szCs w:val="21"/>
          <w:highlight w:val="none"/>
        </w:rPr>
      </w:pPr>
      <w:r>
        <w:rPr>
          <w:rFonts w:hint="eastAsia" w:ascii="宋体" w:hAnsi="宋体"/>
          <w:szCs w:val="21"/>
          <w:highlight w:val="none"/>
        </w:rPr>
        <w:t>3.6“合同”指由本次招标所产生的合同或合约文件；</w:t>
      </w:r>
    </w:p>
    <w:p>
      <w:pPr>
        <w:ind w:firstLine="411" w:firstLineChars="196"/>
        <w:rPr>
          <w:rFonts w:ascii="宋体" w:hAnsi="宋体"/>
          <w:szCs w:val="21"/>
          <w:highlight w:val="none"/>
        </w:rPr>
      </w:pPr>
      <w:r>
        <w:rPr>
          <w:rFonts w:hint="eastAsia" w:ascii="宋体" w:hAnsi="宋体"/>
          <w:szCs w:val="21"/>
          <w:highlight w:val="none"/>
        </w:rPr>
        <w:t>3.7“电子投标文件”指利用</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提供的深圳智慧采购平台投标文件制作专用软件（以下简称：投标文件制作软件）制作并加密的投标文件,适用于网上投标；（投标文件制作软件可从“下载地址：http://zfcg.szggzy.com:8081/cgxy/013002/20210923/173e0b2c-7a4c-4246-a0c7-e0ea75d84dd6.html深圳智慧采购平台投标文件制作专用软件.zip”下载）</w:t>
      </w:r>
    </w:p>
    <w:p>
      <w:pPr>
        <w:ind w:firstLine="411" w:firstLineChars="196"/>
        <w:rPr>
          <w:rFonts w:ascii="宋体" w:hAnsi="宋体"/>
          <w:szCs w:val="21"/>
          <w:highlight w:val="none"/>
        </w:rPr>
      </w:pPr>
      <w:r>
        <w:rPr>
          <w:rFonts w:hint="eastAsia" w:ascii="宋体" w:hAnsi="宋体"/>
          <w:szCs w:val="21"/>
          <w:highlight w:val="none"/>
        </w:rPr>
        <w:t>3.8“网上投标”指通过</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网站上传电子投标文件；</w:t>
      </w:r>
    </w:p>
    <w:p>
      <w:pPr>
        <w:ind w:firstLine="411" w:firstLineChars="196"/>
        <w:rPr>
          <w:rFonts w:ascii="宋体" w:hAnsi="宋体"/>
          <w:szCs w:val="21"/>
          <w:highlight w:val="none"/>
        </w:rPr>
      </w:pPr>
      <w:r>
        <w:rPr>
          <w:rFonts w:hint="eastAsia" w:ascii="宋体" w:hAnsi="宋体"/>
          <w:szCs w:val="21"/>
          <w:highlight w:val="none"/>
        </w:rPr>
        <w:t>3.9招标文件中的标题或题名仅起引导作用，而不应视为对招标文件内容的理解和解释。</w:t>
      </w:r>
    </w:p>
    <w:p>
      <w:pPr>
        <w:rPr>
          <w:rFonts w:ascii="黑体" w:hAnsi="宋体" w:eastAsia="黑体"/>
          <w:sz w:val="24"/>
          <w:highlight w:val="none"/>
        </w:rPr>
      </w:pPr>
      <w:r>
        <w:rPr>
          <w:rFonts w:hint="eastAsia" w:ascii="黑体" w:hAnsi="宋体" w:eastAsia="黑体"/>
          <w:sz w:val="24"/>
          <w:highlight w:val="none"/>
        </w:rPr>
        <w:t xml:space="preserve">4. </w:t>
      </w:r>
      <w:bookmarkStart w:id="38" w:name="_Hlk72398643"/>
      <w:r>
        <w:rPr>
          <w:rFonts w:hint="eastAsia" w:ascii="黑体" w:hAnsi="宋体" w:eastAsia="黑体"/>
          <w:sz w:val="24"/>
          <w:highlight w:val="none"/>
        </w:rPr>
        <w:t>政府采购供应商责任</w:t>
      </w:r>
    </w:p>
    <w:p>
      <w:pPr>
        <w:ind w:firstLine="411" w:firstLineChars="196"/>
        <w:rPr>
          <w:rFonts w:ascii="宋体" w:hAnsi="宋体"/>
          <w:szCs w:val="21"/>
          <w:highlight w:val="none"/>
        </w:rPr>
      </w:pPr>
      <w:r>
        <w:rPr>
          <w:rFonts w:hint="eastAsia" w:ascii="宋体" w:hAnsi="宋体"/>
          <w:szCs w:val="21"/>
          <w:highlight w:val="none"/>
        </w:rPr>
        <w:t>4.1欢迎诚信、有实力和有社会责任心的供应商参与政府采购事业。</w:t>
      </w:r>
    </w:p>
    <w:p>
      <w:pPr>
        <w:ind w:firstLine="411" w:firstLineChars="196"/>
        <w:rPr>
          <w:rFonts w:ascii="宋体" w:hAnsi="宋体"/>
          <w:szCs w:val="21"/>
          <w:highlight w:val="none"/>
        </w:rPr>
      </w:pPr>
      <w:r>
        <w:rPr>
          <w:rFonts w:hint="eastAsia" w:ascii="宋体" w:hAnsi="宋体"/>
          <w:szCs w:val="21"/>
          <w:highlight w:val="none"/>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highlight w:val="none"/>
        </w:rPr>
      </w:pPr>
      <w:r>
        <w:rPr>
          <w:rFonts w:hint="eastAsia" w:ascii="黑体" w:hAnsi="宋体" w:eastAsia="黑体"/>
          <w:sz w:val="24"/>
          <w:highlight w:val="none"/>
        </w:rPr>
        <w:t>5．投标人参加政府采购的条件</w:t>
      </w:r>
    </w:p>
    <w:p>
      <w:pPr>
        <w:ind w:firstLine="411" w:firstLineChars="196"/>
        <w:jc w:val="left"/>
        <w:rPr>
          <w:rFonts w:ascii="宋体" w:hAnsi="宋体"/>
          <w:szCs w:val="21"/>
          <w:highlight w:val="none"/>
        </w:rPr>
      </w:pPr>
      <w:r>
        <w:rPr>
          <w:rFonts w:hint="eastAsia" w:ascii="宋体" w:hAnsi="宋体"/>
          <w:szCs w:val="21"/>
          <w:highlight w:val="none"/>
        </w:rPr>
        <w:t>5.1投标人应在投标前到</w:t>
      </w:r>
      <w:r>
        <w:rPr>
          <w:rFonts w:hint="eastAsia" w:ascii="宋体" w:hAnsi="宋体"/>
          <w:b/>
          <w:bCs/>
          <w:szCs w:val="21"/>
          <w:highlight w:val="none"/>
        </w:rPr>
        <w:t>深圳公共资源交易中心（具体在深圳交易集团有限公司政府采购业务分公司进行办理）</w:t>
      </w:r>
      <w:r>
        <w:rPr>
          <w:rFonts w:hint="eastAsia" w:ascii="宋体" w:hAnsi="宋体"/>
          <w:szCs w:val="21"/>
          <w:highlight w:val="none"/>
        </w:rPr>
        <w:t>进行注册并办理电子密钥。《供应商注册及信息变更指引》详见www.szggzy.com网站“交易服务指南-政府采购”</w:t>
      </w:r>
      <w:r>
        <w:rPr>
          <w:rFonts w:hint="eastAsia" w:ascii="宋体" w:hAnsi="宋体"/>
          <w:szCs w:val="21"/>
          <w:highlight w:val="none"/>
          <w:lang w:val="en-US" w:eastAsia="zh-CN"/>
        </w:rPr>
        <w:t>。</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5.2投标人资格要求</w:t>
      </w:r>
    </w:p>
    <w:p>
      <w:pPr>
        <w:ind w:firstLine="411" w:firstLineChars="196"/>
        <w:rPr>
          <w:rFonts w:ascii="宋体" w:hAnsi="宋体"/>
          <w:szCs w:val="21"/>
          <w:highlight w:val="none"/>
        </w:rPr>
      </w:pPr>
      <w:r>
        <w:rPr>
          <w:rFonts w:hint="eastAsia" w:ascii="宋体" w:hAnsi="宋体"/>
          <w:szCs w:val="21"/>
          <w:highlight w:val="none"/>
        </w:rPr>
        <w:t>参加本项目的投标人应具备的资格条件详见本项目招标公告中 “投标人资格要求”（即申请人的资格要求）的内容。</w:t>
      </w:r>
    </w:p>
    <w:p>
      <w:pPr>
        <w:ind w:firstLine="411" w:firstLineChars="196"/>
        <w:rPr>
          <w:rFonts w:ascii="宋体" w:hAnsi="宋体"/>
          <w:szCs w:val="21"/>
          <w:highlight w:val="none"/>
        </w:rPr>
      </w:pPr>
      <w:r>
        <w:rPr>
          <w:rFonts w:hint="eastAsia" w:ascii="宋体" w:hAnsi="宋体"/>
          <w:szCs w:val="21"/>
          <w:highlight w:val="none"/>
        </w:rPr>
        <w:t>5.3联合体投标</w:t>
      </w:r>
    </w:p>
    <w:p>
      <w:pPr>
        <w:ind w:firstLine="411" w:firstLineChars="196"/>
        <w:rPr>
          <w:rFonts w:ascii="宋体" w:hAnsi="宋体"/>
          <w:szCs w:val="21"/>
          <w:highlight w:val="none"/>
        </w:rPr>
      </w:pPr>
      <w:r>
        <w:rPr>
          <w:rFonts w:hint="eastAsia" w:ascii="宋体" w:hAnsi="宋体"/>
          <w:szCs w:val="21"/>
          <w:highlight w:val="none"/>
        </w:rPr>
        <w:t>5.3.1　以下有关联合体投标的条款仅适用于允许投标人组成联合体投标的项目。</w:t>
      </w:r>
    </w:p>
    <w:p>
      <w:pPr>
        <w:ind w:firstLine="411" w:firstLineChars="196"/>
        <w:rPr>
          <w:rFonts w:ascii="宋体" w:hAnsi="宋体"/>
          <w:szCs w:val="21"/>
          <w:highlight w:val="none"/>
        </w:rPr>
      </w:pPr>
      <w:r>
        <w:rPr>
          <w:rFonts w:hint="eastAsia" w:ascii="宋体" w:hAnsi="宋体"/>
          <w:szCs w:val="21"/>
          <w:highlight w:val="none"/>
        </w:rPr>
        <w:t>5.3.2  由两个或两个以上的自然人、法人或者其他组织可以组成一个联合体，以一个供应商的身份共同投标时，应符合以下原则：</w:t>
      </w:r>
    </w:p>
    <w:p>
      <w:pPr>
        <w:ind w:firstLine="411" w:firstLineChars="196"/>
        <w:rPr>
          <w:rFonts w:ascii="宋体" w:hAnsi="宋体"/>
          <w:highlight w:val="none"/>
        </w:rPr>
      </w:pPr>
      <w:r>
        <w:rPr>
          <w:rFonts w:hint="eastAsia" w:ascii="宋体" w:hAnsi="宋体"/>
          <w:highlight w:val="none"/>
        </w:rPr>
        <w:t>（1）投标联合体各方参加政府采购活动应当具备下列条件：</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1、具有独立承担民事责任的能力；</w:t>
      </w:r>
      <w:r>
        <w:rPr>
          <w:rFonts w:ascii="宋体" w:hAnsi="宋体"/>
          <w:highlight w:val="none"/>
        </w:rPr>
        <w:t xml:space="preserve"> </w:t>
      </w:r>
    </w:p>
    <w:p>
      <w:pPr>
        <w:ind w:left="420" w:firstLine="411" w:firstLineChars="196"/>
        <w:rPr>
          <w:rFonts w:ascii="宋体" w:hAnsi="宋体"/>
          <w:highlight w:val="none"/>
        </w:rPr>
      </w:pPr>
      <w:r>
        <w:rPr>
          <w:rFonts w:hint="eastAsia" w:ascii="宋体" w:hAnsi="宋体"/>
          <w:highlight w:val="none"/>
        </w:rPr>
        <w:t>2、有良好的商业信誉和健全的财务会计制度；</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3、具有履行合同所必需的设备和专业技术能力；</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4、有依法缴纳税收和社会保障资金的良好记录；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5、参加政府采购活动前三年内，在经营活动中没有重大违法记录；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6、法律、行政法规规定的其他条件。</w:t>
      </w:r>
      <w:r>
        <w:rPr>
          <w:rFonts w:ascii="宋体" w:hAnsi="宋体"/>
          <w:highlight w:val="none"/>
        </w:rPr>
        <w:t xml:space="preserve"> </w:t>
      </w:r>
    </w:p>
    <w:p>
      <w:pPr>
        <w:ind w:firstLine="411" w:firstLineChars="196"/>
        <w:rPr>
          <w:rFonts w:ascii="宋体" w:hAnsi="宋体"/>
          <w:highlight w:val="none"/>
        </w:rPr>
      </w:pPr>
      <w:r>
        <w:rPr>
          <w:rFonts w:hint="eastAsia" w:ascii="宋体" w:hAnsi="宋体"/>
          <w:highlight w:val="none"/>
        </w:rPr>
        <w:t>（2）在投标截止前，投标联合体各方均应注册成政府集中采购机构供应商；</w:t>
      </w:r>
    </w:p>
    <w:p>
      <w:pPr>
        <w:ind w:firstLine="411" w:firstLineChars="196"/>
        <w:rPr>
          <w:rFonts w:ascii="宋体" w:hAnsi="宋体"/>
          <w:highlight w:val="none"/>
        </w:rPr>
      </w:pPr>
      <w:r>
        <w:rPr>
          <w:rFonts w:hint="eastAsia" w:ascii="宋体" w:hAnsi="宋体"/>
          <w:highlight w:val="none"/>
        </w:rPr>
        <w:t>（3）联合体中有同类资质的供应商按照联合体分工承担相同工作的，应当按照资质等级较低的供应商确定资质等级；</w:t>
      </w:r>
    </w:p>
    <w:p>
      <w:pPr>
        <w:ind w:firstLine="411" w:firstLineChars="196"/>
        <w:rPr>
          <w:highlight w:val="none"/>
        </w:rPr>
      </w:pPr>
      <w:r>
        <w:rPr>
          <w:rFonts w:hint="eastAsia"/>
          <w:highlight w:val="none"/>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highlight w:val="none"/>
        </w:rPr>
      </w:pPr>
      <w:r>
        <w:rPr>
          <w:rFonts w:hint="eastAsia" w:ascii="宋体" w:hAnsi="宋体"/>
          <w:highlight w:val="none"/>
        </w:rPr>
        <w:t>（5）投标人的投标文件及中标后签署的合同协议对联合体各方均具法律约束力；</w:t>
      </w:r>
    </w:p>
    <w:p>
      <w:pPr>
        <w:ind w:firstLine="411" w:firstLineChars="196"/>
        <w:rPr>
          <w:rFonts w:ascii="宋体" w:hAnsi="宋体"/>
          <w:highlight w:val="none"/>
        </w:rPr>
      </w:pPr>
      <w:r>
        <w:rPr>
          <w:rFonts w:hint="eastAsia" w:ascii="宋体" w:hAnsi="宋体"/>
          <w:highlight w:val="none"/>
        </w:rPr>
        <w:t>（6）联合体各方应当签订联合体投标协议，明确约定各方拟承担的工作和责任，并将该协议随投标文件一并递交给政府集中采购机构；</w:t>
      </w:r>
    </w:p>
    <w:p>
      <w:pPr>
        <w:ind w:firstLine="411" w:firstLineChars="196"/>
        <w:rPr>
          <w:rFonts w:ascii="宋体" w:hAnsi="宋体"/>
          <w:highlight w:val="none"/>
        </w:rPr>
      </w:pPr>
      <w:r>
        <w:rPr>
          <w:rFonts w:hint="eastAsia" w:ascii="宋体" w:hAnsi="宋体"/>
          <w:highlight w:val="none"/>
        </w:rPr>
        <w:t>（7）联合体中标后，联合体各方应当共同与采购人签订合同，就中标项目向采购人承担连带责任；</w:t>
      </w:r>
    </w:p>
    <w:p>
      <w:pPr>
        <w:ind w:firstLine="411" w:firstLineChars="196"/>
        <w:rPr>
          <w:rFonts w:ascii="宋体" w:hAnsi="宋体"/>
          <w:highlight w:val="none"/>
        </w:rPr>
      </w:pPr>
      <w:r>
        <w:rPr>
          <w:rFonts w:hint="eastAsia" w:ascii="宋体" w:hAnsi="宋体"/>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highlight w:val="none"/>
        </w:rPr>
      </w:pPr>
      <w:r>
        <w:rPr>
          <w:rFonts w:hint="eastAsia" w:ascii="宋体" w:hAnsi="宋体"/>
          <w:highlight w:val="none"/>
        </w:rPr>
        <w:t>（9）本通用条款中“投标人”一词亦指联合体各方，专用条款另有规定或说明的除外。</w:t>
      </w:r>
    </w:p>
    <w:p>
      <w:pPr>
        <w:rPr>
          <w:rFonts w:ascii="黑体" w:hAnsi="宋体" w:eastAsia="黑体"/>
          <w:sz w:val="24"/>
          <w:highlight w:val="none"/>
        </w:rPr>
      </w:pPr>
      <w:r>
        <w:rPr>
          <w:rFonts w:hint="eastAsia" w:ascii="黑体" w:hAnsi="宋体" w:eastAsia="黑体"/>
          <w:sz w:val="24"/>
          <w:highlight w:val="none"/>
        </w:rPr>
        <w:t>6．政策导向</w:t>
      </w:r>
    </w:p>
    <w:p>
      <w:pPr>
        <w:ind w:firstLine="411" w:firstLineChars="196"/>
        <w:rPr>
          <w:rFonts w:ascii="宋体" w:hAnsi="宋体"/>
          <w:highlight w:val="none"/>
        </w:rPr>
      </w:pPr>
      <w:r>
        <w:rPr>
          <w:rFonts w:hint="eastAsia" w:ascii="宋体" w:hAnsi="宋体"/>
          <w:highlight w:val="none"/>
        </w:rPr>
        <w:t>6.1</w:t>
      </w:r>
      <w:r>
        <w:rPr>
          <w:rFonts w:ascii="宋体" w:hAnsi="宋体"/>
          <w:highlight w:val="none"/>
        </w:rPr>
        <w:t xml:space="preserve">  </w:t>
      </w:r>
      <w:r>
        <w:rPr>
          <w:rFonts w:hint="eastAsia" w:ascii="宋体" w:hAnsi="宋体"/>
          <w:highlight w:val="none"/>
        </w:rPr>
        <w:t>政府采购扶持贫困地区、中小企业、监狱企业和残疾人福利性单位发展，支持节能减排、环境保护、绿色采购。</w:t>
      </w:r>
    </w:p>
    <w:p>
      <w:pPr>
        <w:ind w:firstLine="405"/>
        <w:rPr>
          <w:highlight w:val="none"/>
          <w:shd w:val="clear" w:color="auto" w:fill="FFFFFF"/>
        </w:rPr>
      </w:pPr>
      <w:r>
        <w:rPr>
          <w:rFonts w:hint="eastAsia" w:ascii="宋体" w:hAnsi="宋体"/>
          <w:highlight w:val="none"/>
        </w:rPr>
        <w:t>6.2</w:t>
      </w:r>
      <w:r>
        <w:rPr>
          <w:rFonts w:ascii="宋体" w:hAnsi="宋体"/>
          <w:highlight w:val="none"/>
        </w:rPr>
        <w:t xml:space="preserve">  </w:t>
      </w:r>
      <w:r>
        <w:rPr>
          <w:rFonts w:hint="eastAsia" w:ascii="宋体" w:hAnsi="宋体"/>
          <w:highlight w:val="none"/>
        </w:rPr>
        <w:t>本项目落实深圳市政府采购供应商诚信管理政策要求。</w:t>
      </w:r>
    </w:p>
    <w:p>
      <w:pPr>
        <w:rPr>
          <w:rFonts w:ascii="黑体" w:hAnsi="宋体" w:eastAsia="黑体"/>
          <w:sz w:val="24"/>
          <w:highlight w:val="none"/>
        </w:rPr>
      </w:pPr>
      <w:r>
        <w:rPr>
          <w:rFonts w:hint="eastAsia" w:ascii="黑体" w:hAnsi="宋体" w:eastAsia="黑体"/>
          <w:sz w:val="24"/>
          <w:highlight w:val="none"/>
        </w:rPr>
        <w:t>7. 本项目若涉及采购货物，则合格的货物及相应服务应满足以下要求：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 xml:space="preserve">.1  </w:t>
      </w:r>
      <w:r>
        <w:rPr>
          <w:rFonts w:hint="eastAsia" w:ascii="宋体" w:hAnsi="宋体"/>
          <w:highlight w:val="none"/>
        </w:rPr>
        <w:t>必须是全新、未使用过的原装合格正品（包括零部件），如安装或配置了软件的，须为正版软件。</w:t>
      </w:r>
    </w:p>
    <w:p>
      <w:pPr>
        <w:ind w:firstLine="411" w:firstLineChars="196"/>
        <w:rPr>
          <w:rFonts w:ascii="宋体" w:hAnsi="宋体"/>
          <w:highlight w:val="none"/>
        </w:rPr>
      </w:pPr>
      <w:r>
        <w:rPr>
          <w:rFonts w:hint="eastAsia" w:ascii="宋体" w:hAnsi="宋体"/>
          <w:highlight w:val="none"/>
        </w:rPr>
        <w:t>7.2  国产的货物及其有关服务必须符合中华人民共和国的设计、制造生产标准及行业标准。招标公告有其他要求的，亦应符合其要求。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3</w:t>
      </w:r>
      <w:r>
        <w:rPr>
          <w:rFonts w:ascii="宋体" w:hAnsi="宋体"/>
          <w:highlight w:val="none"/>
        </w:rPr>
        <w:t xml:space="preserve">  </w:t>
      </w:r>
      <w:r>
        <w:rPr>
          <w:rFonts w:hint="eastAsia" w:ascii="宋体" w:hAnsi="宋体"/>
          <w:highlight w:val="none"/>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4</w:t>
      </w:r>
      <w:r>
        <w:rPr>
          <w:rFonts w:ascii="宋体" w:hAnsi="宋体"/>
          <w:highlight w:val="none"/>
        </w:rPr>
        <w:t xml:space="preserve">  </w:t>
      </w:r>
      <w:r>
        <w:rPr>
          <w:rFonts w:hint="eastAsia" w:ascii="宋体" w:hAnsi="宋体"/>
          <w:highlight w:val="none"/>
        </w:rPr>
        <w:t>投标人</w:t>
      </w:r>
      <w:bookmarkStart w:id="39" w:name="_Hlk72152753"/>
      <w:r>
        <w:rPr>
          <w:rFonts w:hint="eastAsia" w:ascii="宋体" w:hAnsi="宋体"/>
          <w:highlight w:val="none"/>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9"/>
    </w:p>
    <w:p>
      <w:pPr>
        <w:ind w:firstLine="411" w:firstLineChars="196"/>
        <w:rPr>
          <w:rFonts w:ascii="宋体" w:hAnsi="宋体"/>
          <w:highlight w:val="none"/>
        </w:rPr>
      </w:pPr>
      <w:r>
        <w:rPr>
          <w:rFonts w:hint="eastAsia" w:ascii="宋体" w:hAnsi="宋体"/>
          <w:highlight w:val="none"/>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highlight w:val="none"/>
        </w:rPr>
      </w:pPr>
      <w:r>
        <w:rPr>
          <w:rFonts w:hint="eastAsia" w:ascii="宋体" w:hAnsi="宋体"/>
          <w:highlight w:val="none"/>
        </w:rPr>
        <w:t>7.6  工期要求：投标人在投标时对其所投项目应提交交货进度、交货计划等，在合同规定的时间内完成项目实施工作。</w:t>
      </w:r>
    </w:p>
    <w:p>
      <w:pPr>
        <w:ind w:firstLine="411" w:firstLineChars="196"/>
        <w:rPr>
          <w:rFonts w:ascii="宋体" w:hAnsi="宋体"/>
          <w:highlight w:val="none"/>
        </w:rPr>
      </w:pPr>
      <w:r>
        <w:rPr>
          <w:rFonts w:hint="eastAsia" w:ascii="宋体" w:hAnsi="宋体"/>
          <w:highlight w:val="none"/>
        </w:rPr>
        <w:t>7.7  投标人必须承担的设备运输、安装调试、验收检测和提供设备操作说明书、图纸等其他相关及类似的义务。</w:t>
      </w:r>
    </w:p>
    <w:p>
      <w:pPr>
        <w:rPr>
          <w:rFonts w:ascii="黑体" w:hAnsi="宋体" w:eastAsia="黑体"/>
          <w:sz w:val="24"/>
          <w:highlight w:val="none"/>
        </w:rPr>
      </w:pPr>
      <w:r>
        <w:rPr>
          <w:rFonts w:hint="eastAsia" w:ascii="黑体" w:hAnsi="宋体" w:eastAsia="黑体"/>
          <w:sz w:val="24"/>
          <w:highlight w:val="none"/>
        </w:rPr>
        <w:t>8．投标费用</w:t>
      </w:r>
    </w:p>
    <w:p>
      <w:pPr>
        <w:ind w:firstLine="411" w:firstLineChars="196"/>
        <w:rPr>
          <w:rFonts w:ascii="宋体" w:hAnsi="宋体"/>
          <w:szCs w:val="21"/>
          <w:highlight w:val="none"/>
        </w:rPr>
      </w:pPr>
      <w:r>
        <w:rPr>
          <w:rFonts w:hint="eastAsia" w:ascii="宋体" w:hAnsi="宋体"/>
          <w:szCs w:val="21"/>
          <w:highlight w:val="none"/>
        </w:rPr>
        <w:t>不论投标结果如何，投标人应承担其编制投标文件与递交投标文件所涉及的一切费用。</w:t>
      </w:r>
    </w:p>
    <w:p>
      <w:pPr>
        <w:rPr>
          <w:rFonts w:ascii="黑体" w:hAnsi="宋体" w:eastAsia="黑体"/>
          <w:sz w:val="24"/>
          <w:highlight w:val="none"/>
        </w:rPr>
      </w:pPr>
      <w:r>
        <w:rPr>
          <w:rFonts w:hint="eastAsia" w:ascii="黑体" w:hAnsi="宋体" w:eastAsia="黑体"/>
          <w:sz w:val="24"/>
          <w:highlight w:val="none"/>
        </w:rPr>
        <w:t>9．踏勘现场</w:t>
      </w:r>
    </w:p>
    <w:p>
      <w:pPr>
        <w:ind w:firstLine="411" w:firstLineChars="196"/>
        <w:rPr>
          <w:rFonts w:ascii="宋体" w:hAnsi="宋体"/>
          <w:szCs w:val="21"/>
          <w:highlight w:val="none"/>
        </w:rPr>
      </w:pPr>
      <w:r>
        <w:rPr>
          <w:rFonts w:hint="eastAsia" w:ascii="宋体" w:hAnsi="宋体"/>
          <w:szCs w:val="21"/>
          <w:highlight w:val="none"/>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highlight w:val="none"/>
        </w:rPr>
      </w:pPr>
      <w:r>
        <w:rPr>
          <w:rFonts w:hint="eastAsia" w:ascii="宋体" w:hAnsi="宋体"/>
          <w:highlight w:val="none"/>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highlight w:val="none"/>
        </w:rPr>
      </w:pPr>
      <w:r>
        <w:rPr>
          <w:rFonts w:hint="eastAsia" w:ascii="宋体" w:hAnsi="宋体"/>
          <w:highlight w:val="none"/>
        </w:rPr>
        <w:t>9.3采购人应当通过政府集中采购机构向投标人提供有关现场的书面资料和数据。</w:t>
      </w:r>
    </w:p>
    <w:p>
      <w:pPr>
        <w:ind w:firstLine="411" w:firstLineChars="196"/>
        <w:rPr>
          <w:rFonts w:ascii="宋体" w:hAnsi="宋体"/>
          <w:highlight w:val="none"/>
        </w:rPr>
      </w:pPr>
      <w:r>
        <w:rPr>
          <w:rFonts w:hint="eastAsia" w:ascii="宋体" w:hAnsi="宋体"/>
          <w:highlight w:val="none"/>
        </w:rPr>
        <w:t>9.4任何人或任何组织在踏勘现场时向投标人提供的任何书面资料或口头承诺，未经政府集中采购机构在网上发布或书面通知，均作无效处理。</w:t>
      </w:r>
    </w:p>
    <w:p>
      <w:pPr>
        <w:ind w:firstLine="411" w:firstLineChars="196"/>
        <w:rPr>
          <w:rFonts w:ascii="宋体" w:hAnsi="宋体"/>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未参与踏勘现场不作为否定投标人资格的理由。</w:t>
      </w:r>
    </w:p>
    <w:p>
      <w:pPr>
        <w:rPr>
          <w:rFonts w:ascii="宋体" w:hAnsi="宋体"/>
          <w:szCs w:val="21"/>
          <w:highlight w:val="none"/>
        </w:rPr>
      </w:pPr>
      <w:r>
        <w:rPr>
          <w:rFonts w:hint="eastAsia" w:ascii="黑体" w:hAnsi="宋体" w:eastAsia="黑体"/>
          <w:sz w:val="24"/>
          <w:highlight w:val="none"/>
        </w:rPr>
        <w:t>1</w:t>
      </w:r>
      <w:r>
        <w:rPr>
          <w:rFonts w:ascii="黑体" w:hAnsi="宋体" w:eastAsia="黑体"/>
          <w:sz w:val="24"/>
          <w:highlight w:val="none"/>
        </w:rPr>
        <w:t>0</w:t>
      </w:r>
      <w:r>
        <w:rPr>
          <w:rFonts w:hint="eastAsia" w:ascii="黑体" w:hAnsi="宋体" w:eastAsia="黑体"/>
          <w:sz w:val="24"/>
          <w:highlight w:val="none"/>
        </w:rPr>
        <w:t>．标前会议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highlight w:val="none"/>
        </w:rPr>
      </w:pPr>
      <w:r>
        <w:rPr>
          <w:rFonts w:ascii="宋体" w:hAnsi="宋体"/>
          <w:highlight w:val="none"/>
        </w:rPr>
        <w:t>10</w:t>
      </w:r>
      <w:r>
        <w:rPr>
          <w:rFonts w:hint="eastAsia" w:ascii="宋体" w:hAnsi="宋体"/>
          <w:highlight w:val="none"/>
        </w:rPr>
        <w:t>.</w:t>
      </w:r>
      <w:r>
        <w:rPr>
          <w:rFonts w:ascii="宋体" w:hAnsi="宋体"/>
          <w:highlight w:val="none"/>
        </w:rPr>
        <w:t>2</w:t>
      </w:r>
      <w:r>
        <w:rPr>
          <w:rFonts w:hint="eastAsia" w:ascii="宋体" w:hAnsi="宋体"/>
          <w:highlight w:val="none"/>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未参与标前会议不作为否定投标人资格的理由。</w:t>
      </w:r>
    </w:p>
    <w:bookmarkEnd w:id="38"/>
    <w:p>
      <w:pPr>
        <w:ind w:firstLine="411" w:firstLineChars="196"/>
        <w:rPr>
          <w:rFonts w:ascii="宋体" w:hAnsi="宋体"/>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招标文件</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1</w:t>
      </w:r>
      <w:r>
        <w:rPr>
          <w:rFonts w:hint="eastAsia" w:ascii="黑体" w:hAnsi="宋体" w:eastAsia="黑体"/>
          <w:sz w:val="24"/>
          <w:highlight w:val="none"/>
        </w:rPr>
        <w:t>．</w:t>
      </w:r>
      <w:bookmarkStart w:id="40" w:name="_Hlk72399819"/>
      <w:r>
        <w:rPr>
          <w:rFonts w:hint="eastAsia" w:ascii="黑体" w:hAnsi="宋体" w:eastAsia="黑体"/>
          <w:sz w:val="24"/>
          <w:highlight w:val="none"/>
        </w:rPr>
        <w:t>招标文件的编制与组成</w:t>
      </w:r>
    </w:p>
    <w:p>
      <w:pPr>
        <w:snapToGrid w:val="0"/>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highlight w:val="none"/>
        </w:rPr>
      </w:pPr>
      <w:r>
        <w:rPr>
          <w:rFonts w:hint="eastAsia" w:ascii="宋体" w:hAnsi="宋体"/>
          <w:szCs w:val="21"/>
          <w:highlight w:val="none"/>
        </w:rPr>
        <w:t>招标文件包括下列内容：</w:t>
      </w:r>
    </w:p>
    <w:p>
      <w:pPr>
        <w:ind w:left="420" w:leftChars="200" w:firstLine="413" w:firstLineChars="196"/>
        <w:rPr>
          <w:rFonts w:ascii="宋体" w:hAnsi="宋体"/>
          <w:b/>
          <w:szCs w:val="21"/>
          <w:highlight w:val="none"/>
        </w:rPr>
      </w:pPr>
      <w:r>
        <w:rPr>
          <w:rFonts w:hint="eastAsia" w:ascii="宋体" w:hAnsi="宋体"/>
          <w:b/>
          <w:szCs w:val="21"/>
          <w:highlight w:val="none"/>
        </w:rPr>
        <w:t>第一册  专用条款</w:t>
      </w:r>
    </w:p>
    <w:p>
      <w:pPr>
        <w:ind w:left="1079" w:leftChars="514"/>
        <w:rPr>
          <w:rFonts w:ascii="宋体" w:hAnsi="宋体"/>
          <w:b/>
          <w:szCs w:val="21"/>
          <w:highlight w:val="none"/>
        </w:rPr>
      </w:pPr>
      <w:r>
        <w:rPr>
          <w:rFonts w:hint="eastAsia" w:ascii="宋体" w:hAnsi="宋体"/>
          <w:b/>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第三章  用户需求书</w:t>
      </w:r>
    </w:p>
    <w:p>
      <w:pPr>
        <w:ind w:left="630" w:leftChars="300" w:firstLine="411" w:firstLineChars="196"/>
        <w:rPr>
          <w:rFonts w:ascii="宋体" w:hAnsi="宋体"/>
          <w:szCs w:val="21"/>
          <w:highlight w:val="none"/>
        </w:rPr>
      </w:pPr>
      <w:r>
        <w:rPr>
          <w:rFonts w:hint="eastAsia"/>
          <w:highlight w:val="none"/>
        </w:rPr>
        <w:t xml:space="preserve">第四章 </w:t>
      </w:r>
      <w:r>
        <w:rPr>
          <w:highlight w:val="none"/>
        </w:rPr>
        <w:t xml:space="preserve"> </w:t>
      </w:r>
      <w:r>
        <w:rPr>
          <w:rFonts w:hint="eastAsia"/>
          <w:highlight w:val="none"/>
        </w:rPr>
        <w:t>投标文件格式及附件</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ind w:left="420" w:leftChars="200" w:firstLine="413" w:firstLineChars="196"/>
        <w:rPr>
          <w:rFonts w:ascii="宋体" w:hAnsi="宋体"/>
          <w:b/>
          <w:szCs w:val="21"/>
          <w:highlight w:val="none"/>
        </w:rPr>
      </w:pPr>
      <w:r>
        <w:rPr>
          <w:rFonts w:hint="eastAsia" w:ascii="宋体" w:hAnsi="宋体"/>
          <w:b/>
          <w:szCs w:val="21"/>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ind w:left="630" w:leftChars="300" w:firstLine="411" w:firstLineChars="196"/>
        <w:rPr>
          <w:rFonts w:ascii="宋体" w:hAnsi="宋体"/>
          <w:szCs w:val="21"/>
          <w:highlight w:val="none"/>
        </w:rPr>
      </w:pPr>
      <w:r>
        <w:rPr>
          <w:rFonts w:hint="eastAsia" w:ascii="宋体" w:hAnsi="宋体"/>
          <w:szCs w:val="21"/>
          <w:highlight w:val="none"/>
        </w:rPr>
        <w:t>第十一章  质疑处理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.3</w:t>
      </w:r>
      <w:r>
        <w:rPr>
          <w:rFonts w:hint="eastAsia" w:ascii="宋体" w:hAnsi="宋体"/>
          <w:highlight w:val="none"/>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2</w:t>
      </w:r>
      <w:r>
        <w:rPr>
          <w:rFonts w:hint="eastAsia" w:ascii="黑体" w:hAnsi="宋体" w:eastAsia="黑体"/>
          <w:sz w:val="24"/>
          <w:highlight w:val="none"/>
        </w:rPr>
        <w:t>．招标文件的澄清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.1招标文件澄清的目的是澄清、解答投标人在查阅招标文件后或现场踏勘中可能提出的与投标有关的疑问或询问。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highlight w:val="none"/>
        </w:rPr>
        <w:t>3.3</w:t>
      </w:r>
      <w:r>
        <w:rPr>
          <w:rFonts w:hint="eastAsia" w:ascii="宋体" w:hAnsi="宋体"/>
          <w:szCs w:val="21"/>
          <w:highlight w:val="none"/>
        </w:rPr>
        <w:t>、1</w:t>
      </w:r>
      <w:r>
        <w:rPr>
          <w:rFonts w:ascii="宋体" w:hAnsi="宋体"/>
          <w:szCs w:val="21"/>
          <w:highlight w:val="none"/>
        </w:rPr>
        <w:t>3.4</w:t>
      </w:r>
      <w:r>
        <w:rPr>
          <w:rFonts w:hint="eastAsia" w:ascii="宋体" w:hAnsi="宋体"/>
          <w:szCs w:val="21"/>
          <w:highlight w:val="none"/>
        </w:rPr>
        <w:t>款规定执行。</w:t>
      </w:r>
    </w:p>
    <w:p>
      <w:pPr>
        <w:rPr>
          <w:rFonts w:ascii="黑体" w:hAnsi="宋体" w:eastAsia="黑体"/>
          <w:sz w:val="24"/>
          <w:highlight w:val="none"/>
        </w:rPr>
      </w:pPr>
      <w:r>
        <w:rPr>
          <w:rFonts w:ascii="黑体" w:hAnsi="宋体" w:eastAsia="黑体"/>
          <w:sz w:val="24"/>
          <w:highlight w:val="none"/>
        </w:rPr>
        <w:t>1</w:t>
      </w:r>
      <w:r>
        <w:rPr>
          <w:rFonts w:hint="eastAsia" w:ascii="黑体" w:hAnsi="宋体" w:eastAsia="黑体"/>
          <w:sz w:val="24"/>
          <w:highlight w:val="none"/>
        </w:rPr>
        <w:t>3．招标文件的修改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0"/>
    </w:p>
    <w:p>
      <w:pPr>
        <w:rPr>
          <w:rFonts w:ascii="宋体" w:hAnsi="宋体"/>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投标文件的编制</w:t>
      </w:r>
    </w:p>
    <w:p>
      <w:pPr>
        <w:rPr>
          <w:rFonts w:ascii="黑体" w:hAnsi="宋体" w:eastAsia="黑体"/>
          <w:sz w:val="24"/>
          <w:highlight w:val="none"/>
        </w:rPr>
      </w:pPr>
      <w:r>
        <w:rPr>
          <w:rFonts w:hint="eastAsia" w:ascii="黑体" w:hAnsi="宋体" w:eastAsia="黑体"/>
          <w:sz w:val="24"/>
          <w:highlight w:val="none"/>
        </w:rPr>
        <w:t>14．</w:t>
      </w:r>
      <w:bookmarkStart w:id="41" w:name="_Hlk72400236"/>
      <w:r>
        <w:rPr>
          <w:rFonts w:hint="eastAsia" w:ascii="黑体" w:hAnsi="宋体" w:eastAsia="黑体"/>
          <w:sz w:val="24"/>
          <w:highlight w:val="none"/>
        </w:rPr>
        <w:t>投标文件的语言及度量单位</w:t>
      </w:r>
    </w:p>
    <w:p>
      <w:pPr>
        <w:ind w:firstLine="411" w:firstLineChars="196"/>
        <w:rPr>
          <w:rFonts w:ascii="宋体" w:hAnsi="宋体"/>
          <w:szCs w:val="21"/>
          <w:highlight w:val="none"/>
        </w:rPr>
      </w:pPr>
      <w:r>
        <w:rPr>
          <w:rFonts w:hint="eastAsia" w:ascii="宋体" w:hAnsi="宋体"/>
          <w:szCs w:val="21"/>
          <w:highlight w:val="none"/>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highlight w:val="none"/>
        </w:rPr>
      </w:pPr>
      <w:r>
        <w:rPr>
          <w:rFonts w:hint="eastAsia" w:ascii="宋体" w:hAnsi="宋体"/>
          <w:szCs w:val="21"/>
          <w:highlight w:val="none"/>
        </w:rPr>
        <w:t>14.2 除技术规范另有规定外，投标文件使用的度量单位，均采用中华人民共和国法定计量单位。</w:t>
      </w:r>
    </w:p>
    <w:bookmarkEnd w:id="41"/>
    <w:p>
      <w:pPr>
        <w:rPr>
          <w:rFonts w:ascii="黑体" w:hAnsi="宋体" w:eastAsia="黑体"/>
          <w:sz w:val="24"/>
          <w:highlight w:val="none"/>
        </w:rPr>
      </w:pPr>
      <w:r>
        <w:rPr>
          <w:rFonts w:hint="eastAsia" w:ascii="黑体" w:hAnsi="宋体" w:eastAsia="黑体"/>
          <w:sz w:val="24"/>
          <w:highlight w:val="none"/>
        </w:rPr>
        <w:t>15．</w:t>
      </w:r>
      <w:bookmarkStart w:id="42" w:name="_Hlk72401567"/>
      <w:r>
        <w:rPr>
          <w:rFonts w:hint="eastAsia" w:ascii="黑体" w:hAnsi="宋体" w:eastAsia="黑体"/>
          <w:sz w:val="24"/>
          <w:highlight w:val="none"/>
        </w:rPr>
        <w:t>投标文件的组成</w:t>
      </w:r>
    </w:p>
    <w:p>
      <w:pPr>
        <w:ind w:firstLine="411" w:firstLineChars="196"/>
        <w:rPr>
          <w:rFonts w:ascii="宋体" w:hAnsi="宋体"/>
          <w:szCs w:val="21"/>
          <w:highlight w:val="none"/>
        </w:rPr>
      </w:pPr>
      <w:r>
        <w:rPr>
          <w:rFonts w:hint="eastAsia" w:ascii="宋体" w:hAnsi="宋体"/>
          <w:szCs w:val="21"/>
          <w:highlight w:val="none"/>
        </w:rPr>
        <w:t>具体内容在招标文件专用条款中进行规定。</w:t>
      </w:r>
    </w:p>
    <w:p>
      <w:pPr>
        <w:rPr>
          <w:rFonts w:ascii="黑体" w:hAnsi="宋体" w:eastAsia="黑体"/>
          <w:sz w:val="24"/>
          <w:highlight w:val="none"/>
        </w:rPr>
      </w:pPr>
      <w:r>
        <w:rPr>
          <w:rFonts w:ascii="黑体" w:hAnsi="宋体" w:eastAsia="黑体"/>
          <w:sz w:val="24"/>
          <w:highlight w:val="none"/>
        </w:rPr>
        <w:t>16．投标文件格式</w:t>
      </w:r>
    </w:p>
    <w:p>
      <w:pPr>
        <w:ind w:firstLine="411" w:firstLineChars="196"/>
        <w:rPr>
          <w:rFonts w:ascii="宋体" w:hAnsi="宋体"/>
          <w:szCs w:val="21"/>
          <w:highlight w:val="none"/>
        </w:rPr>
      </w:pPr>
      <w:r>
        <w:rPr>
          <w:rFonts w:hint="eastAsia" w:ascii="宋体" w:hAnsi="宋体"/>
          <w:szCs w:val="21"/>
          <w:highlight w:val="none"/>
        </w:rPr>
        <w:t>投标文件包括本通用条款第</w:t>
      </w:r>
      <w:r>
        <w:rPr>
          <w:rFonts w:ascii="宋体" w:hAnsi="宋体"/>
          <w:szCs w:val="21"/>
          <w:highlight w:val="none"/>
        </w:rPr>
        <w:t>15条中规定的内容。如招标文件提供了投标文件格式，则</w:t>
      </w:r>
      <w:r>
        <w:rPr>
          <w:rFonts w:hint="eastAsia" w:ascii="宋体" w:hAnsi="宋体"/>
          <w:b/>
          <w:bCs/>
          <w:szCs w:val="21"/>
          <w:highlight w:val="none"/>
        </w:rPr>
        <w:t>投标人提交的投标文件应毫无例外地使用招标文件所提供的相应格式</w:t>
      </w:r>
      <w:r>
        <w:rPr>
          <w:rFonts w:hint="eastAsia" w:ascii="宋体" w:hAnsi="宋体"/>
          <w:szCs w:val="21"/>
          <w:highlight w:val="none"/>
        </w:rPr>
        <w:t>（表格均可按同样格式扩展）。</w:t>
      </w:r>
    </w:p>
    <w:p>
      <w:pPr>
        <w:rPr>
          <w:rFonts w:ascii="黑体" w:hAnsi="宋体" w:eastAsia="黑体"/>
          <w:sz w:val="24"/>
          <w:highlight w:val="none"/>
        </w:rPr>
      </w:pPr>
      <w:r>
        <w:rPr>
          <w:rFonts w:hint="eastAsia" w:ascii="黑体" w:hAnsi="宋体" w:eastAsia="黑体"/>
          <w:sz w:val="24"/>
          <w:highlight w:val="none"/>
        </w:rPr>
        <w:t>17．投标货币</w:t>
      </w:r>
    </w:p>
    <w:p>
      <w:pPr>
        <w:ind w:firstLine="411" w:firstLineChars="196"/>
        <w:rPr>
          <w:rFonts w:ascii="宋体" w:hAnsi="宋体"/>
          <w:szCs w:val="21"/>
          <w:highlight w:val="none"/>
        </w:rPr>
      </w:pPr>
      <w:r>
        <w:rPr>
          <w:rFonts w:hint="eastAsia" w:ascii="宋体" w:hAnsi="宋体"/>
          <w:szCs w:val="21"/>
          <w:highlight w:val="none"/>
        </w:rPr>
        <w:t>本项目的投标报价应以人民币计。</w:t>
      </w:r>
    </w:p>
    <w:bookmarkEnd w:id="42"/>
    <w:p>
      <w:pPr>
        <w:rPr>
          <w:rFonts w:ascii="黑体" w:hAnsi="宋体" w:eastAsia="黑体"/>
          <w:sz w:val="24"/>
          <w:highlight w:val="none"/>
        </w:rPr>
      </w:pPr>
      <w:r>
        <w:rPr>
          <w:rFonts w:hint="eastAsia" w:ascii="黑体" w:hAnsi="宋体" w:eastAsia="黑体"/>
          <w:sz w:val="24"/>
          <w:highlight w:val="none"/>
        </w:rPr>
        <w:t>18．</w:t>
      </w:r>
      <w:bookmarkStart w:id="43" w:name="_Hlk72401735"/>
      <w:r>
        <w:rPr>
          <w:rFonts w:hint="eastAsia" w:ascii="黑体" w:hAnsi="宋体" w:eastAsia="黑体"/>
          <w:sz w:val="24"/>
          <w:highlight w:val="none"/>
        </w:rPr>
        <w:t>证明投标文件投标技术方案的合格性和符合招标文件规定的文件要求</w:t>
      </w:r>
    </w:p>
    <w:p>
      <w:pPr>
        <w:ind w:firstLine="411" w:firstLineChars="196"/>
        <w:rPr>
          <w:rFonts w:ascii="宋体" w:hAnsi="宋体"/>
          <w:szCs w:val="21"/>
          <w:highlight w:val="none"/>
        </w:rPr>
      </w:pPr>
      <w:r>
        <w:rPr>
          <w:rFonts w:hint="eastAsia" w:ascii="宋体" w:hAnsi="宋体"/>
          <w:szCs w:val="21"/>
          <w:highlight w:val="none"/>
        </w:rPr>
        <w:t>18</w:t>
      </w:r>
      <w:r>
        <w:rPr>
          <w:rFonts w:ascii="宋体" w:hAnsi="宋体"/>
          <w:szCs w:val="21"/>
          <w:highlight w:val="none"/>
        </w:rPr>
        <w:t xml:space="preserve">.1 </w:t>
      </w:r>
      <w:r>
        <w:rPr>
          <w:rFonts w:hint="eastAsia" w:ascii="宋体" w:hAnsi="宋体"/>
          <w:szCs w:val="21"/>
          <w:highlight w:val="none"/>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 xml:space="preserve">.2 </w:t>
      </w:r>
      <w:r>
        <w:rPr>
          <w:rFonts w:hint="eastAsia" w:ascii="宋体" w:hAnsi="宋体"/>
          <w:szCs w:val="21"/>
          <w:highlight w:val="none"/>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highlight w:val="none"/>
        </w:rPr>
      </w:pPr>
      <w:r>
        <w:rPr>
          <w:rFonts w:hint="eastAsia" w:ascii="宋体" w:hAnsi="宋体"/>
          <w:szCs w:val="21"/>
          <w:highlight w:val="none"/>
        </w:rPr>
        <w:t>18.2.1主要技术指标和性能的详细说明。</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2</w:t>
      </w:r>
      <w:r>
        <w:rPr>
          <w:rFonts w:hint="eastAsia" w:ascii="宋体" w:hAnsi="宋体"/>
          <w:szCs w:val="21"/>
          <w:highlight w:val="none"/>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3</w:t>
      </w:r>
      <w:r>
        <w:rPr>
          <w:rFonts w:hint="eastAsia" w:ascii="宋体" w:hAnsi="宋体"/>
          <w:szCs w:val="21"/>
          <w:highlight w:val="none"/>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highlight w:val="none"/>
        </w:rPr>
      </w:pPr>
      <w:r>
        <w:rPr>
          <w:rFonts w:hint="eastAsia" w:ascii="宋体" w:hAnsi="宋体"/>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highlight w:val="none"/>
        </w:rPr>
        <w:t>清晰度要求能够使用电脑阅读、识别和判断</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highlight w:val="none"/>
        </w:rPr>
      </w:pPr>
      <w:r>
        <w:rPr>
          <w:rFonts w:hint="eastAsia" w:ascii="宋体" w:hAnsi="宋体"/>
          <w:szCs w:val="21"/>
          <w:highlight w:val="none"/>
        </w:rPr>
        <w:t>18.3相关资料不符合18.2款要求的，评审委员会有权认定为投标技术方案不合格响应，其相关分数予以扣减或作投标无效处理。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highlight w:val="none"/>
        </w:rPr>
        <w:t>满足要求</w:t>
      </w:r>
      <w:r>
        <w:rPr>
          <w:rFonts w:hint="eastAsia" w:ascii="宋体" w:hAnsi="宋体"/>
          <w:szCs w:val="21"/>
          <w:highlight w:val="none"/>
        </w:rPr>
        <w:t>，由评审委员会来评判。</w:t>
      </w:r>
    </w:p>
    <w:p>
      <w:pPr>
        <w:ind w:firstLine="411" w:firstLineChars="196"/>
        <w:rPr>
          <w:rFonts w:ascii="宋体" w:hAnsi="宋体"/>
          <w:szCs w:val="21"/>
          <w:highlight w:val="none"/>
        </w:rPr>
      </w:pPr>
      <w:r>
        <w:rPr>
          <w:rFonts w:hint="eastAsia" w:ascii="宋体" w:hAnsi="宋体"/>
          <w:szCs w:val="21"/>
          <w:highlight w:val="none"/>
        </w:rPr>
        <w:t>18.5除非另有规定或说明，投标人对同一项目投标时，不得同时提供两套或两套以上的投标方案。</w:t>
      </w:r>
    </w:p>
    <w:bookmarkEnd w:id="43"/>
    <w:p>
      <w:pPr>
        <w:rPr>
          <w:rFonts w:ascii="黑体" w:hAnsi="宋体" w:eastAsia="黑体"/>
          <w:sz w:val="24"/>
          <w:highlight w:val="none"/>
        </w:rPr>
      </w:pPr>
      <w:r>
        <w:rPr>
          <w:rFonts w:hint="eastAsia" w:ascii="黑体" w:hAnsi="宋体" w:eastAsia="黑体"/>
          <w:sz w:val="24"/>
          <w:highlight w:val="none"/>
        </w:rPr>
        <w:t>19．</w:t>
      </w:r>
      <w:bookmarkStart w:id="44" w:name="_Hlk72402034"/>
      <w:r>
        <w:rPr>
          <w:rFonts w:hint="eastAsia" w:ascii="黑体" w:hAnsi="宋体" w:eastAsia="黑体"/>
          <w:sz w:val="24"/>
          <w:highlight w:val="none"/>
        </w:rPr>
        <w:t>投标文件其他证明文件的要求</w:t>
      </w:r>
    </w:p>
    <w:p>
      <w:pPr>
        <w:rPr>
          <w:rFonts w:ascii="宋体" w:hAnsi="宋体"/>
          <w:color w:val="FF0000"/>
          <w:szCs w:val="21"/>
          <w:highlight w:val="none"/>
        </w:rPr>
      </w:pPr>
      <w:r>
        <w:rPr>
          <w:rFonts w:hint="eastAsia" w:ascii="黑体" w:hAnsi="宋体" w:eastAsia="黑体"/>
          <w:sz w:val="24"/>
          <w:highlight w:val="none"/>
        </w:rPr>
        <w:t xml:space="preserve">    </w:t>
      </w:r>
      <w:r>
        <w:rPr>
          <w:rFonts w:hint="eastAsia" w:ascii="宋体" w:hAnsi="宋体"/>
          <w:szCs w:val="21"/>
          <w:highlight w:val="none"/>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5" w:name="_Hlk71407299"/>
    </w:p>
    <w:bookmarkEnd w:id="45"/>
    <w:p>
      <w:pPr>
        <w:ind w:firstLine="411" w:firstLineChars="196"/>
        <w:rPr>
          <w:rFonts w:ascii="宋体" w:hAnsi="宋体"/>
          <w:szCs w:val="21"/>
          <w:highlight w:val="none"/>
        </w:rPr>
      </w:pPr>
      <w:r>
        <w:rPr>
          <w:rFonts w:hint="eastAsia" w:ascii="宋体" w:hAnsi="宋体"/>
          <w:szCs w:val="21"/>
          <w:highlight w:val="none"/>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highlight w:val="none"/>
        </w:rPr>
      </w:pPr>
      <w:r>
        <w:rPr>
          <w:rFonts w:hint="eastAsia" w:ascii="黑体" w:hAnsi="宋体" w:eastAsia="黑体"/>
          <w:sz w:val="24"/>
          <w:highlight w:val="none"/>
        </w:rPr>
        <w:t>20．投标有效期</w:t>
      </w:r>
    </w:p>
    <w:bookmarkEnd w:id="44"/>
    <w:p>
      <w:pPr>
        <w:ind w:firstLine="411" w:firstLineChars="196"/>
        <w:rPr>
          <w:rFonts w:ascii="宋体" w:hAnsi="宋体"/>
          <w:szCs w:val="21"/>
          <w:highlight w:val="none"/>
        </w:rPr>
      </w:pPr>
      <w:bookmarkStart w:id="46" w:name="_Hlk72402214"/>
      <w:r>
        <w:rPr>
          <w:rFonts w:hint="eastAsia" w:ascii="宋体" w:hAnsi="宋体"/>
          <w:szCs w:val="21"/>
          <w:highlight w:val="none"/>
        </w:rPr>
        <w:t>20.1 投标有效期为</w:t>
      </w:r>
      <w:r>
        <w:rPr>
          <w:rFonts w:hint="eastAsia" w:ascii="Arial" w:hAnsi="Arial" w:cs="Arial"/>
          <w:szCs w:val="21"/>
          <w:highlight w:val="none"/>
        </w:rPr>
        <w:t>从投标截止之日算起的日历天数。</w:t>
      </w:r>
      <w:r>
        <w:rPr>
          <w:rFonts w:hint="eastAsia" w:ascii="宋体" w:hAnsi="宋体"/>
          <w:szCs w:val="21"/>
          <w:highlight w:val="none"/>
        </w:rPr>
        <w:t>在此期限内，所有投标文件均保持有效。</w:t>
      </w:r>
    </w:p>
    <w:p>
      <w:pPr>
        <w:ind w:firstLine="411" w:firstLineChars="196"/>
        <w:rPr>
          <w:rFonts w:ascii="宋体" w:hAnsi="宋体"/>
          <w:szCs w:val="21"/>
          <w:highlight w:val="none"/>
        </w:rPr>
      </w:pPr>
      <w:r>
        <w:rPr>
          <w:rFonts w:hint="eastAsia" w:ascii="宋体" w:hAnsi="宋体"/>
          <w:szCs w:val="21"/>
          <w:highlight w:val="none"/>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highlight w:val="none"/>
        </w:rPr>
      </w:pPr>
      <w:r>
        <w:rPr>
          <w:rFonts w:hint="eastAsia" w:ascii="宋体" w:hAnsi="宋体"/>
          <w:szCs w:val="21"/>
          <w:highlight w:val="none"/>
        </w:rPr>
        <w:t>20</w:t>
      </w:r>
      <w:r>
        <w:rPr>
          <w:rFonts w:ascii="宋体" w:hAnsi="宋体"/>
          <w:szCs w:val="21"/>
          <w:highlight w:val="none"/>
        </w:rPr>
        <w:t>.3</w:t>
      </w:r>
      <w:r>
        <w:rPr>
          <w:rFonts w:hint="eastAsia" w:ascii="宋体" w:hAnsi="宋体"/>
          <w:szCs w:val="21"/>
          <w:highlight w:val="none"/>
        </w:rPr>
        <w:t xml:space="preserve"> 中标供应商的投标文件有效期，截止于完成本招标文件规定的全部项目内容，并通过竣工验收及保修期结束。</w:t>
      </w:r>
    </w:p>
    <w:bookmarkEnd w:id="46"/>
    <w:p>
      <w:pPr>
        <w:rPr>
          <w:rFonts w:ascii="黑体" w:hAnsi="宋体" w:eastAsia="黑体"/>
          <w:sz w:val="24"/>
          <w:highlight w:val="none"/>
        </w:rPr>
      </w:pPr>
      <w:r>
        <w:rPr>
          <w:rFonts w:hint="eastAsia" w:ascii="黑体" w:hAnsi="宋体" w:eastAsia="黑体"/>
          <w:sz w:val="24"/>
          <w:highlight w:val="none"/>
        </w:rPr>
        <w:t>21．</w:t>
      </w:r>
      <w:bookmarkStart w:id="47" w:name="_Hlk72402325"/>
      <w:r>
        <w:rPr>
          <w:rFonts w:hint="eastAsia" w:ascii="黑体" w:hAnsi="宋体" w:eastAsia="黑体"/>
          <w:sz w:val="24"/>
          <w:highlight w:val="none"/>
        </w:rPr>
        <w:t xml:space="preserve">关于投标保证金 </w:t>
      </w:r>
    </w:p>
    <w:p>
      <w:pPr>
        <w:rPr>
          <w:rFonts w:ascii="宋体" w:hAnsi="宋体"/>
          <w:szCs w:val="21"/>
          <w:highlight w:val="none"/>
        </w:rPr>
      </w:pPr>
      <w:r>
        <w:rPr>
          <w:rFonts w:hint="eastAsia" w:ascii="宋体" w:hAnsi="宋体"/>
          <w:szCs w:val="21"/>
          <w:highlight w:val="none"/>
        </w:rPr>
        <w:t xml:space="preserve">    21.1</w:t>
      </w:r>
      <w:r>
        <w:rPr>
          <w:rFonts w:hint="eastAsia"/>
          <w:highlight w:val="none"/>
        </w:rPr>
        <w:t>根据《深圳市财政局关于调整政府采购投标（响应）保证金管理政策的通知》（深财购〔2021〕51号）文的规定，本项目不收取投标保证金。</w:t>
      </w:r>
    </w:p>
    <w:p>
      <w:pPr>
        <w:rPr>
          <w:rFonts w:ascii="黑体" w:hAnsi="宋体" w:eastAsia="黑体"/>
          <w:sz w:val="24"/>
          <w:highlight w:val="none"/>
        </w:rPr>
      </w:pPr>
      <w:r>
        <w:rPr>
          <w:rFonts w:hint="eastAsia" w:ascii="黑体" w:hAnsi="宋体" w:eastAsia="黑体"/>
          <w:sz w:val="24"/>
          <w:highlight w:val="none"/>
        </w:rPr>
        <w:t>22．投标人的替代方案</w:t>
      </w:r>
    </w:p>
    <w:p>
      <w:pPr>
        <w:ind w:firstLine="411" w:firstLineChars="196"/>
        <w:rPr>
          <w:rFonts w:ascii="宋体" w:hAnsi="宋体"/>
          <w:szCs w:val="21"/>
          <w:highlight w:val="none"/>
        </w:rPr>
      </w:pPr>
      <w:r>
        <w:rPr>
          <w:rFonts w:hint="eastAsia" w:ascii="宋体" w:hAnsi="宋体"/>
          <w:szCs w:val="21"/>
          <w:highlight w:val="none"/>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highlight w:val="none"/>
        </w:rPr>
      </w:pPr>
      <w:r>
        <w:rPr>
          <w:rFonts w:hint="eastAsia" w:ascii="宋体" w:hAnsi="宋体"/>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7"/>
    <w:p>
      <w:pPr>
        <w:rPr>
          <w:rFonts w:ascii="黑体" w:hAnsi="宋体" w:eastAsia="黑体"/>
          <w:sz w:val="24"/>
          <w:highlight w:val="none"/>
        </w:rPr>
      </w:pPr>
      <w:r>
        <w:rPr>
          <w:rFonts w:hint="eastAsia" w:ascii="黑体" w:hAnsi="宋体" w:eastAsia="黑体"/>
          <w:sz w:val="24"/>
          <w:highlight w:val="none"/>
        </w:rPr>
        <w:t>23．</w:t>
      </w:r>
      <w:bookmarkStart w:id="48" w:name="_Hlk72402860"/>
      <w:r>
        <w:rPr>
          <w:rFonts w:ascii="黑体" w:hAnsi="宋体" w:eastAsia="黑体"/>
          <w:sz w:val="24"/>
          <w:highlight w:val="none"/>
        </w:rPr>
        <w:t>投标文件的</w:t>
      </w:r>
      <w:r>
        <w:rPr>
          <w:rFonts w:hint="eastAsia" w:ascii="黑体" w:hAnsi="宋体" w:eastAsia="黑体"/>
          <w:sz w:val="24"/>
          <w:highlight w:val="none"/>
        </w:rPr>
        <w:t>制作</w:t>
      </w:r>
      <w:r>
        <w:rPr>
          <w:rFonts w:ascii="黑体" w:hAnsi="宋体" w:eastAsia="黑体"/>
          <w:sz w:val="24"/>
          <w:highlight w:val="none"/>
        </w:rPr>
        <w:t>要求</w:t>
      </w:r>
    </w:p>
    <w:p>
      <w:pPr>
        <w:ind w:firstLine="411" w:firstLineChars="196"/>
        <w:rPr>
          <w:rFonts w:ascii="宋体" w:hAnsi="宋体"/>
          <w:highlight w:val="none"/>
        </w:rPr>
      </w:pPr>
      <w:r>
        <w:rPr>
          <w:rFonts w:hint="eastAsia" w:ascii="宋体" w:hAnsi="宋体"/>
          <w:highlight w:val="none"/>
        </w:rPr>
        <w:t>23.1投标人应准备所投项目的电子投标文件一份。此电子投标文件须由投标人根据政府集中采购机构提供的后缀名为.</w:t>
      </w:r>
      <w:r>
        <w:rPr>
          <w:highlight w:val="none"/>
        </w:rPr>
        <w:t xml:space="preserve"> </w:t>
      </w:r>
      <w:r>
        <w:rPr>
          <w:rFonts w:ascii="宋体" w:hAnsi="宋体"/>
          <w:highlight w:val="none"/>
        </w:rPr>
        <w:t>szczf</w:t>
      </w:r>
      <w:r>
        <w:rPr>
          <w:rFonts w:hint="eastAsia" w:ascii="宋体" w:hAnsi="宋体"/>
          <w:highlight w:val="none"/>
        </w:rPr>
        <w:t>的电子招标文件，下载并使用相应的深圳智慧采购平台投标文件制作专用软件打开招标文件（.szczf格式）【下载地址：</w:t>
      </w:r>
      <w:r>
        <w:rPr>
          <w:rFonts w:ascii="宋体" w:hAnsi="宋体"/>
          <w:highlight w:val="none"/>
        </w:rPr>
        <w:t>http://zfcg.szggzy.com:8081/cgxy/013002/list.html</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23.2投标人在使用《投标书编制软件》编制投标书时须注意：</w:t>
      </w:r>
    </w:p>
    <w:p>
      <w:pPr>
        <w:ind w:firstLine="411" w:firstLineChars="196"/>
        <w:rPr>
          <w:rFonts w:ascii="宋体" w:hAnsi="宋体"/>
          <w:highlight w:val="none"/>
        </w:rPr>
      </w:pPr>
      <w:r>
        <w:rPr>
          <w:rFonts w:hint="eastAsia" w:ascii="宋体" w:hAnsi="宋体"/>
          <w:highlight w:val="none"/>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highlight w:val="none"/>
        </w:rPr>
      </w:pPr>
      <w:r>
        <w:rPr>
          <w:rFonts w:hint="eastAsia" w:ascii="宋体" w:hAnsi="宋体"/>
          <w:highlight w:val="none"/>
        </w:rPr>
        <w:t>23.2.2不能用非本公司的电子密钥加密本公司的投标文件，或者用其它公司的登录用户上传本公司的投标文件。</w:t>
      </w:r>
    </w:p>
    <w:p>
      <w:pPr>
        <w:ind w:firstLine="411" w:firstLineChars="196"/>
        <w:rPr>
          <w:rFonts w:ascii="宋体" w:hAnsi="宋体"/>
          <w:highlight w:val="none"/>
        </w:rPr>
      </w:pPr>
      <w:r>
        <w:rPr>
          <w:rFonts w:hint="eastAsia" w:ascii="宋体" w:hAnsi="宋体"/>
          <w:highlight w:val="none"/>
        </w:rPr>
        <w:t>23.2.3要求用《投标书编制软件》编制投标书的包，不能用其它方式编制投标书。编制投标文件时，电脑须连通互联网。</w:t>
      </w:r>
    </w:p>
    <w:p>
      <w:pPr>
        <w:ind w:firstLine="411" w:firstLineChars="196"/>
        <w:rPr>
          <w:rFonts w:ascii="宋体" w:hAnsi="宋体"/>
          <w:highlight w:val="none"/>
        </w:rPr>
      </w:pPr>
      <w:r>
        <w:rPr>
          <w:rFonts w:hint="eastAsia" w:ascii="宋体" w:hAnsi="宋体"/>
          <w:highlight w:val="none"/>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highlight w:val="none"/>
        </w:rPr>
      </w:pPr>
      <w:r>
        <w:rPr>
          <w:rFonts w:hint="eastAsia" w:ascii="宋体" w:hAnsi="宋体"/>
          <w:highlight w:val="none"/>
        </w:rPr>
        <w:t>23.2.5完整填写“投标关键信息”，如下图所示：</w:t>
      </w:r>
    </w:p>
    <w:p>
      <w:pPr>
        <w:ind w:firstLine="411" w:firstLineChars="196"/>
        <w:rPr>
          <w:rFonts w:ascii="宋体" w:hAnsi="宋体"/>
          <w:highlight w:val="none"/>
        </w:rPr>
      </w:pPr>
      <w:r>
        <w:rPr>
          <w:rFonts w:ascii="宋体" w:hAnsi="宋体"/>
          <w:highlight w:val="none"/>
        </w:rPr>
        <w:drawing>
          <wp:inline distT="0" distB="0" distL="0" distR="0">
            <wp:extent cx="5278755" cy="2721610"/>
            <wp:effectExtent l="0" t="0" r="17145" b="254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13" w:firstLineChars="196"/>
        <w:rPr>
          <w:rFonts w:ascii="宋体" w:hAnsi="宋体"/>
          <w:b/>
          <w:highlight w:val="none"/>
        </w:rPr>
      </w:pPr>
    </w:p>
    <w:p>
      <w:pPr>
        <w:ind w:firstLine="411" w:firstLineChars="196"/>
        <w:rPr>
          <w:rFonts w:ascii="宋体" w:hAnsi="宋体"/>
          <w:highlight w:val="none"/>
        </w:rPr>
      </w:pPr>
    </w:p>
    <w:p>
      <w:pPr>
        <w:rPr>
          <w:rFonts w:ascii="宋体" w:hAnsi="宋体"/>
          <w:highlight w:val="none"/>
        </w:rPr>
      </w:pPr>
    </w:p>
    <w:p>
      <w:pPr>
        <w:widowControl/>
        <w:jc w:val="left"/>
        <w:rPr>
          <w:rFonts w:ascii="宋体" w:hAnsi="宋体" w:cs="宋体"/>
          <w:kern w:val="0"/>
          <w:sz w:val="24"/>
          <w:highlight w:val="none"/>
        </w:rPr>
      </w:pPr>
    </w:p>
    <w:p>
      <w:pPr>
        <w:ind w:firstLine="413" w:firstLineChars="196"/>
        <w:rPr>
          <w:rFonts w:ascii="宋体" w:hAnsi="宋体"/>
          <w:b/>
          <w:highlight w:val="none"/>
        </w:rPr>
      </w:pPr>
      <w:r>
        <w:rPr>
          <w:rFonts w:hint="eastAsia" w:ascii="宋体" w:hAnsi="宋体"/>
          <w:b/>
          <w:highlight w:val="none"/>
        </w:rPr>
        <w:t>备注：上述“开标一览表”中的“投标报价”将作为价格分计算依据；其它信息仅是对投标文件相关内容的概括性表述，不作为评审依据。</w:t>
      </w:r>
    </w:p>
    <w:p>
      <w:pPr>
        <w:ind w:firstLine="411" w:firstLineChars="196"/>
        <w:rPr>
          <w:rFonts w:ascii="宋体" w:hAnsi="宋体"/>
          <w:highlight w:val="none"/>
        </w:rPr>
      </w:pPr>
      <w:r>
        <w:rPr>
          <w:rFonts w:hint="eastAsia" w:ascii="宋体" w:hAnsi="宋体"/>
          <w:highlight w:val="none"/>
        </w:rPr>
        <w:t>23.2.6投标人在编辑投标文件时，</w:t>
      </w:r>
      <w:r>
        <w:rPr>
          <w:rFonts w:hint="eastAsia" w:ascii="宋体" w:hAnsi="宋体"/>
          <w:b/>
          <w:highlight w:val="none"/>
        </w:rPr>
        <w:t>在投标文件目录中属于本节点内容的必须在本节点中填写，填写到其他节点或附件，</w:t>
      </w:r>
      <w:r>
        <w:rPr>
          <w:rFonts w:hint="eastAsia" w:ascii="宋体" w:hAnsi="宋体"/>
          <w:highlight w:val="none"/>
        </w:rPr>
        <w:t>一切后果由供应商自行承担。</w:t>
      </w:r>
    </w:p>
    <w:p>
      <w:pPr>
        <w:ind w:firstLine="411" w:firstLineChars="196"/>
        <w:rPr>
          <w:rFonts w:ascii="宋体" w:hAnsi="宋体"/>
          <w:highlight w:val="none"/>
        </w:rPr>
      </w:pPr>
      <w:r>
        <w:rPr>
          <w:rFonts w:hint="eastAsia" w:ascii="宋体" w:hAnsi="宋体"/>
          <w:highlight w:val="none"/>
        </w:rPr>
        <w:t>23.2.7投标文件编写完成后，</w:t>
      </w:r>
      <w:r>
        <w:rPr>
          <w:rFonts w:hint="eastAsia" w:ascii="宋体" w:hAnsi="宋体"/>
          <w:b/>
          <w:highlight w:val="none"/>
        </w:rPr>
        <w:t>必须用属于投标人的电子密钥</w:t>
      </w:r>
      <w:r>
        <w:rPr>
          <w:rFonts w:hint="eastAsia" w:ascii="宋体" w:hAnsi="宋体"/>
          <w:b/>
          <w:highlight w:val="none"/>
          <w:lang w:val="en-US" w:eastAsia="zh-CN"/>
        </w:rPr>
        <w:t>或电子营业执照</w:t>
      </w:r>
      <w:r>
        <w:rPr>
          <w:rFonts w:hint="eastAsia" w:ascii="宋体" w:hAnsi="宋体"/>
          <w:b/>
          <w:highlight w:val="none"/>
        </w:rPr>
        <w:t>进行加密，否则视同未盖公章，将导致投标文件无效。</w:t>
      </w:r>
    </w:p>
    <w:p>
      <w:pPr>
        <w:ind w:firstLine="411" w:firstLineChars="196"/>
        <w:rPr>
          <w:rFonts w:ascii="宋体" w:hAnsi="宋体"/>
          <w:highlight w:val="none"/>
        </w:rPr>
      </w:pPr>
      <w:r>
        <w:rPr>
          <w:rFonts w:hint="eastAsia" w:ascii="宋体" w:hAnsi="宋体"/>
          <w:highlight w:val="none"/>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highlight w:val="none"/>
        </w:rPr>
      </w:pPr>
      <w:r>
        <w:rPr>
          <w:rFonts w:hint="eastAsia" w:ascii="宋体" w:hAnsi="宋体"/>
          <w:highlight w:val="none"/>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highlight w:val="none"/>
        </w:rPr>
      </w:pPr>
      <w:r>
        <w:rPr>
          <w:rFonts w:hint="eastAsia" w:ascii="宋体" w:hAnsi="宋体"/>
          <w:highlight w:val="none"/>
        </w:rPr>
        <w:t>23.3电报、电话、传真形式的投标概不接受。</w:t>
      </w:r>
    </w:p>
    <w:p>
      <w:pPr>
        <w:ind w:firstLine="413" w:firstLineChars="196"/>
        <w:rPr>
          <w:rFonts w:ascii="宋体" w:hAnsi="宋体"/>
          <w:b/>
          <w:highlight w:val="none"/>
        </w:rPr>
      </w:pPr>
      <w:r>
        <w:rPr>
          <w:rFonts w:hint="eastAsia" w:ascii="宋体" w:hAnsi="宋体"/>
          <w:b/>
          <w:highlight w:val="none"/>
        </w:rPr>
        <w:t>23.4经投标人电子密钥</w:t>
      </w:r>
      <w:r>
        <w:rPr>
          <w:rFonts w:hint="eastAsia" w:ascii="宋体" w:hAnsi="宋体"/>
          <w:b/>
          <w:highlight w:val="none"/>
          <w:lang w:val="en-US" w:eastAsia="zh-CN"/>
        </w:rPr>
        <w:t>或电子营业执照</w:t>
      </w:r>
      <w:r>
        <w:rPr>
          <w:rFonts w:hint="eastAsia" w:ascii="宋体" w:hAnsi="宋体"/>
          <w:b/>
          <w:highlight w:val="none"/>
        </w:rPr>
        <w:t>加密的投标文件无须盖章或签字，</w:t>
      </w:r>
      <w:r>
        <w:rPr>
          <w:rFonts w:hint="eastAsia" w:ascii="宋体" w:hAnsi="宋体"/>
          <w:highlight w:val="none"/>
        </w:rPr>
        <w:t>专用条款另有要求的除外。</w:t>
      </w:r>
    </w:p>
    <w:p>
      <w:pPr>
        <w:ind w:firstLine="413" w:firstLineChars="196"/>
        <w:rPr>
          <w:rFonts w:ascii="宋体" w:hAnsi="宋体"/>
          <w:highlight w:val="none"/>
        </w:rPr>
      </w:pPr>
      <w:r>
        <w:rPr>
          <w:rFonts w:hint="eastAsia" w:ascii="宋体" w:hAnsi="宋体"/>
          <w:b/>
          <w:highlight w:val="none"/>
        </w:rPr>
        <w:t>23.5</w:t>
      </w:r>
      <w:r>
        <w:rPr>
          <w:rFonts w:hint="eastAsia" w:ascii="宋体" w:hAnsi="宋体"/>
          <w:highlight w:val="none"/>
        </w:rPr>
        <w:t xml:space="preserve"> 各类资格（资质）文件提供扫描件，专用条款另有要求的除外。</w:t>
      </w:r>
      <w:bookmarkEnd w:id="48"/>
    </w:p>
    <w:p>
      <w:pPr>
        <w:ind w:firstLine="411" w:firstLineChars="196"/>
        <w:rPr>
          <w:rFonts w:ascii="宋体" w:hAnsi="宋体"/>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投标文件的递交</w:t>
      </w:r>
    </w:p>
    <w:p>
      <w:pPr>
        <w:rPr>
          <w:rFonts w:ascii="黑体" w:hAnsi="宋体" w:eastAsia="黑体"/>
          <w:sz w:val="24"/>
          <w:highlight w:val="none"/>
        </w:rPr>
      </w:pPr>
      <w:bookmarkStart w:id="49" w:name="_Hlk72405459"/>
      <w:r>
        <w:rPr>
          <w:rFonts w:hint="eastAsia" w:ascii="黑体" w:hAnsi="宋体" w:eastAsia="黑体"/>
          <w:sz w:val="24"/>
          <w:highlight w:val="none"/>
        </w:rPr>
        <w:t>24．投标文件的保密</w:t>
      </w:r>
    </w:p>
    <w:p>
      <w:pPr>
        <w:ind w:firstLine="411" w:firstLineChars="196"/>
        <w:rPr>
          <w:rFonts w:ascii="宋体" w:hAnsi="宋体"/>
          <w:highlight w:val="none"/>
        </w:rPr>
      </w:pPr>
      <w:r>
        <w:rPr>
          <w:rFonts w:hint="eastAsia" w:ascii="宋体" w:hAnsi="宋体"/>
          <w:highlight w:val="none"/>
        </w:rPr>
        <w:t>24.1在投标文件制作完成后，在投标书编制软件点击【生成标书】按钮进入【填写开标一览表界面】界面，在该界面填写完开标一览表信息后点击【确定】，进入投标文件生成环节。投标文件制作软件会在投标文件生成过程中，提示用户输入密码，输入密码后对</w:t>
      </w:r>
      <w:r>
        <w:rPr>
          <w:rFonts w:hint="eastAsia" w:ascii="宋体" w:hAnsi="宋体"/>
          <w:highlight w:val="none"/>
          <w:lang w:val="en-US" w:eastAsia="zh-CN"/>
        </w:rPr>
        <w:t>投</w:t>
      </w:r>
      <w:r>
        <w:rPr>
          <w:rFonts w:hint="eastAsia" w:ascii="宋体" w:hAnsi="宋体"/>
          <w:highlight w:val="none"/>
        </w:rPr>
        <w:t>标文件自动进行加密，此加密程序确保投标文件在到达投标截止时间后才能解密查看。在加密过程中，请按照软件提示进行操作。加密界面如下图所示：</w:t>
      </w:r>
    </w:p>
    <w:p>
      <w:pPr>
        <w:widowControl/>
        <w:jc w:val="left"/>
        <w:rPr>
          <w:rFonts w:ascii="宋体" w:hAnsi="宋体" w:cs="宋体"/>
          <w:kern w:val="0"/>
          <w:sz w:val="24"/>
          <w:highlight w:val="none"/>
        </w:rPr>
      </w:pPr>
      <w:r>
        <w:rPr>
          <w:rFonts w:ascii="宋体" w:hAnsi="宋体"/>
          <w:highlight w:val="none"/>
        </w:rPr>
        <w:drawing>
          <wp:inline distT="0" distB="0" distL="0" distR="0">
            <wp:extent cx="5278755" cy="2721610"/>
            <wp:effectExtent l="0" t="0" r="17145" b="254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80" w:firstLineChars="200"/>
        <w:rPr>
          <w:sz w:val="24"/>
          <w:highlight w:val="none"/>
        </w:rPr>
      </w:pPr>
    </w:p>
    <w:p>
      <w:pPr>
        <w:rPr>
          <w:sz w:val="24"/>
          <w:highlight w:val="none"/>
        </w:rPr>
      </w:pPr>
      <w:r>
        <w:rPr>
          <w:rFonts w:ascii="宋体" w:hAnsi="宋体"/>
          <w:highlight w:val="none"/>
        </w:rPr>
        <w:drawing>
          <wp:inline distT="0" distB="0" distL="0" distR="0">
            <wp:extent cx="5278755" cy="2732405"/>
            <wp:effectExtent l="0" t="0" r="17145" b="10795"/>
            <wp:docPr id="9" name="图片 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ind w:firstLine="411" w:firstLineChars="196"/>
        <w:rPr>
          <w:rFonts w:ascii="宋体" w:hAnsi="宋体"/>
          <w:b w:val="0"/>
          <w:highlight w:val="none"/>
        </w:rPr>
      </w:pPr>
    </w:p>
    <w:p>
      <w:pPr>
        <w:rPr>
          <w:rFonts w:ascii="宋体" w:hAnsi="宋体"/>
          <w:b/>
          <w:highlight w:val="none"/>
        </w:rPr>
      </w:pPr>
      <w:r>
        <w:rPr>
          <w:rFonts w:hint="eastAsia" w:ascii="宋体" w:hAnsi="宋体"/>
          <w:b/>
          <w:highlight w:val="none"/>
        </w:rPr>
        <w:t>24.2若采购项目出现延期情况：</w:t>
      </w:r>
    </w:p>
    <w:p>
      <w:pPr>
        <w:ind w:firstLine="422" w:firstLineChars="200"/>
        <w:rPr>
          <w:rFonts w:ascii="黑体" w:hAnsi="宋体" w:eastAsia="黑体"/>
          <w:b/>
          <w:sz w:val="24"/>
          <w:highlight w:val="none"/>
        </w:rPr>
      </w:pPr>
      <w:r>
        <w:rPr>
          <w:rFonts w:hint="eastAsia" w:ascii="宋体" w:hAnsi="宋体"/>
          <w:b/>
          <w:highlight w:val="none"/>
        </w:rPr>
        <w:t>如果供下载的招标文件（后缀名为.</w:t>
      </w:r>
      <w:r>
        <w:rPr>
          <w:highlight w:val="none"/>
        </w:rPr>
        <w:t xml:space="preserve"> </w:t>
      </w:r>
      <w:r>
        <w:rPr>
          <w:rFonts w:ascii="宋体" w:hAnsi="宋体"/>
          <w:b/>
          <w:highlight w:val="none"/>
        </w:rPr>
        <w:t>szczf</w:t>
      </w:r>
      <w:r>
        <w:rPr>
          <w:rFonts w:hint="eastAsia" w:ascii="宋体" w:hAnsi="宋体"/>
          <w:b/>
          <w:highlight w:val="none"/>
        </w:rPr>
        <w:t>）有更新，投标人必须重新下载招标文件、重新制作投标文件、重新加密投标文件、重新上传投标文件；如果供下载的招标文件（后缀名为.</w:t>
      </w:r>
      <w:r>
        <w:rPr>
          <w:highlight w:val="none"/>
        </w:rPr>
        <w:t xml:space="preserve"> </w:t>
      </w:r>
      <w:r>
        <w:rPr>
          <w:rFonts w:ascii="宋体" w:hAnsi="宋体"/>
          <w:b/>
          <w:highlight w:val="none"/>
        </w:rPr>
        <w:t>szczf</w:t>
      </w:r>
      <w:r>
        <w:rPr>
          <w:rFonts w:hint="eastAsia" w:ascii="宋体" w:hAnsi="宋体"/>
          <w:b/>
          <w:highlight w:val="none"/>
        </w:rPr>
        <w:t>）没有更新，投标人必须重新加密投标文件、重新上传投标文件（是否重新制作投标文件根据项目实际情况定）。否则，投标人自行承担投标文件无法解密导致投标无效的后果。</w:t>
      </w:r>
    </w:p>
    <w:p>
      <w:pPr>
        <w:rPr>
          <w:rFonts w:ascii="黑体" w:hAnsi="宋体" w:eastAsia="黑体"/>
          <w:sz w:val="24"/>
          <w:highlight w:val="none"/>
        </w:rPr>
      </w:pPr>
      <w:r>
        <w:rPr>
          <w:rFonts w:hint="eastAsia" w:ascii="黑体" w:hAnsi="宋体" w:eastAsia="黑体"/>
          <w:sz w:val="24"/>
          <w:highlight w:val="none"/>
        </w:rPr>
        <w:t>25．上传投标文件及投标截止日期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1实行网上投标，</w:t>
      </w:r>
      <w:r>
        <w:rPr>
          <w:rFonts w:ascii="宋体" w:hAnsi="宋体"/>
          <w:highlight w:val="none"/>
        </w:rPr>
        <w:t>投标人必须</w:t>
      </w:r>
      <w:r>
        <w:rPr>
          <w:rFonts w:hint="eastAsia" w:ascii="宋体" w:hAnsi="宋体"/>
          <w:highlight w:val="none"/>
        </w:rPr>
        <w:t>在招标</w:t>
      </w:r>
      <w:r>
        <w:rPr>
          <w:rFonts w:ascii="宋体" w:hAnsi="宋体"/>
          <w:highlight w:val="none"/>
        </w:rPr>
        <w:t>文件规定的投标截止时间前</w:t>
      </w:r>
      <w:r>
        <w:rPr>
          <w:rFonts w:hint="eastAsia" w:ascii="宋体" w:hAnsi="宋体"/>
          <w:highlight w:val="none"/>
        </w:rPr>
        <w:t>用电子密钥登录“深圳政府采购智慧平台用户网上办事子系统（http://zfcg.szggzy.com/TPBidder/memberLogin）”，用“【我的项目】→【项目流程】→【递交投标(应答)文件】”功能点上传投标文件。如上传过程中遇到问题，可拨打</w:t>
      </w:r>
      <w:r>
        <w:rPr>
          <w:rFonts w:hint="eastAsia" w:ascii="宋体" w:hAnsi="宋体"/>
          <w:highlight w:val="none"/>
          <w:lang w:val="en-US" w:eastAsia="zh-CN"/>
        </w:rPr>
        <w:t>采购公告中的技术支持电话</w:t>
      </w:r>
      <w:r>
        <w:rPr>
          <w:rFonts w:hint="eastAsia" w:ascii="宋体" w:hAnsi="宋体"/>
          <w:highlight w:val="none"/>
        </w:rPr>
        <w:t>。如多次上传均告失败，请在投标截止时间之前携带加密后的电子投标文件送达至</w:t>
      </w:r>
      <w:r>
        <w:rPr>
          <w:rFonts w:hint="eastAsia" w:ascii="宋体" w:hAnsi="宋体"/>
          <w:b/>
          <w:bCs/>
          <w:szCs w:val="21"/>
          <w:highlight w:val="none"/>
        </w:rPr>
        <w:t>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highlight w:val="none"/>
          <w:lang w:val="en-US" w:eastAsia="zh-CN"/>
        </w:rPr>
        <w:t>一</w:t>
      </w:r>
      <w:r>
        <w:rPr>
          <w:rFonts w:hint="eastAsia" w:ascii="宋体" w:hAnsi="宋体"/>
          <w:b/>
          <w:bCs/>
          <w:highlight w:val="none"/>
        </w:rPr>
        <w:t>楼</w:t>
      </w:r>
      <w:r>
        <w:rPr>
          <w:rFonts w:hint="eastAsia" w:ascii="宋体" w:hAnsi="宋体"/>
          <w:b/>
          <w:bCs/>
          <w:highlight w:val="none"/>
          <w:lang w:val="en-US" w:eastAsia="zh-CN"/>
        </w:rPr>
        <w:t>服务大厅</w:t>
      </w:r>
      <w:r>
        <w:rPr>
          <w:rFonts w:hint="eastAsia" w:ascii="宋体" w:hAnsi="宋体"/>
          <w:b/>
          <w:bCs/>
          <w:highlight w:val="none"/>
        </w:rPr>
        <w:t>（地址：</w:t>
      </w:r>
      <w:r>
        <w:rPr>
          <w:rFonts w:hint="eastAsia" w:ascii="宋体" w:hAnsi="宋体"/>
          <w:b/>
          <w:bCs/>
          <w:highlight w:val="none"/>
          <w:lang w:val="en-US" w:eastAsia="zh-CN"/>
        </w:rPr>
        <w:t>深圳市宝安区湖滨东路40号</w:t>
      </w:r>
      <w:r>
        <w:rPr>
          <w:rFonts w:hint="eastAsia" w:ascii="宋体" w:hAnsi="宋体"/>
          <w:b/>
          <w:bCs/>
          <w:highlight w:val="none"/>
        </w:rPr>
        <w:t>）</w:t>
      </w:r>
      <w:r>
        <w:rPr>
          <w:rFonts w:ascii="宋体" w:hAnsi="宋体"/>
          <w:b/>
          <w:bCs/>
          <w:highlight w:val="none"/>
        </w:rPr>
        <w:t>协助上传</w:t>
      </w:r>
      <w:r>
        <w:rPr>
          <w:rFonts w:hint="eastAsia" w:ascii="宋体" w:hAnsi="宋体"/>
          <w:b/>
          <w:bCs/>
          <w:highlight w:val="none"/>
        </w:rPr>
        <w:t>，</w:t>
      </w:r>
      <w:r>
        <w:rPr>
          <w:rFonts w:ascii="宋体" w:hAnsi="宋体"/>
          <w:b/>
          <w:bCs/>
          <w:highlight w:val="none"/>
        </w:rPr>
        <w:t>但上传过程</w:t>
      </w:r>
      <w:r>
        <w:rPr>
          <w:rFonts w:hint="eastAsia" w:ascii="宋体" w:hAnsi="宋体"/>
          <w:b/>
          <w:bCs/>
          <w:highlight w:val="none"/>
        </w:rPr>
        <w:t>中</w:t>
      </w:r>
      <w:r>
        <w:rPr>
          <w:rFonts w:ascii="宋体" w:hAnsi="宋体"/>
          <w:b/>
          <w:bCs/>
          <w:highlight w:val="none"/>
        </w:rPr>
        <w:t>投标截止时间到达仍无法上传成功的，由投标人自行负责</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3投标截止时间以后不得上传投标文件。</w:t>
      </w:r>
    </w:p>
    <w:p>
      <w:pPr>
        <w:ind w:firstLine="411" w:firstLineChars="196"/>
        <w:rPr>
          <w:rFonts w:ascii="宋体" w:hAnsi="宋体"/>
          <w:highlight w:val="none"/>
        </w:rPr>
      </w:pPr>
    </w:p>
    <w:p>
      <w:pPr>
        <w:ind w:firstLine="411" w:firstLineChars="196"/>
        <w:rPr>
          <w:rFonts w:ascii="宋体" w:hAnsi="宋体"/>
          <w:highlight w:val="none"/>
        </w:rPr>
      </w:pPr>
    </w:p>
    <w:bookmarkEnd w:id="49"/>
    <w:p>
      <w:pPr>
        <w:rPr>
          <w:rFonts w:ascii="黑体" w:hAnsi="宋体" w:eastAsia="黑体"/>
          <w:sz w:val="24"/>
          <w:highlight w:val="none"/>
        </w:rPr>
      </w:pPr>
      <w:r>
        <w:rPr>
          <w:rFonts w:hint="eastAsia" w:ascii="黑体" w:hAnsi="宋体" w:eastAsia="黑体"/>
          <w:sz w:val="24"/>
          <w:highlight w:val="none"/>
        </w:rPr>
        <w:t>26. 样品、现场演示、方案讲解</w:t>
      </w:r>
    </w:p>
    <w:p>
      <w:pPr>
        <w:ind w:firstLine="411" w:firstLineChars="196"/>
        <w:rPr>
          <w:rFonts w:ascii="宋体" w:hAnsi="宋体"/>
          <w:szCs w:val="21"/>
          <w:highlight w:val="none"/>
        </w:rPr>
      </w:pPr>
      <w:r>
        <w:rPr>
          <w:rFonts w:hint="eastAsia" w:ascii="宋体" w:hAnsi="宋体"/>
          <w:szCs w:val="21"/>
          <w:highlight w:val="none"/>
        </w:rPr>
        <w:t>26.1 样品、现场演示、方案讲解等事项在招标文件专用条款中进行规定。</w:t>
      </w:r>
    </w:p>
    <w:p>
      <w:pPr>
        <w:rPr>
          <w:rFonts w:ascii="黑体" w:hAnsi="宋体" w:eastAsia="黑体"/>
          <w:sz w:val="24"/>
          <w:highlight w:val="none"/>
        </w:rPr>
      </w:pPr>
      <w:bookmarkStart w:id="50" w:name="_Hlk72428346"/>
      <w:r>
        <w:rPr>
          <w:rFonts w:ascii="黑体" w:hAnsi="宋体" w:eastAsia="黑体"/>
          <w:sz w:val="24"/>
          <w:highlight w:val="none"/>
        </w:rPr>
        <w:t>2</w:t>
      </w:r>
      <w:r>
        <w:rPr>
          <w:rFonts w:hint="eastAsia" w:ascii="黑体" w:hAnsi="宋体" w:eastAsia="黑体"/>
          <w:sz w:val="24"/>
          <w:highlight w:val="none"/>
        </w:rPr>
        <w:t>7．</w:t>
      </w:r>
      <w:r>
        <w:rPr>
          <w:rFonts w:ascii="黑体" w:hAnsi="宋体" w:eastAsia="黑体"/>
          <w:sz w:val="24"/>
          <w:highlight w:val="none"/>
        </w:rPr>
        <w:t>投标文件的修改和撤销</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1</w:t>
      </w:r>
      <w:r>
        <w:rPr>
          <w:rFonts w:ascii="宋体" w:hAnsi="宋体"/>
          <w:highlight w:val="none"/>
        </w:rPr>
        <w:t>投标方在提交投标文件后可对其投标文件进行修改</w:t>
      </w:r>
      <w:r>
        <w:rPr>
          <w:rFonts w:hint="eastAsia" w:ascii="宋体" w:hAnsi="宋体"/>
          <w:highlight w:val="none"/>
        </w:rPr>
        <w:t>并重新上传投标文件</w:t>
      </w:r>
      <w:r>
        <w:rPr>
          <w:rFonts w:ascii="宋体" w:hAnsi="宋体"/>
          <w:highlight w:val="none"/>
        </w:rPr>
        <w:t>或</w:t>
      </w:r>
      <w:r>
        <w:rPr>
          <w:rFonts w:hint="eastAsia" w:ascii="宋体" w:hAnsi="宋体"/>
          <w:highlight w:val="none"/>
        </w:rPr>
        <w:t>在网上进行</w:t>
      </w:r>
      <w:r>
        <w:rPr>
          <w:rFonts w:ascii="宋体" w:hAnsi="宋体"/>
          <w:highlight w:val="none"/>
        </w:rPr>
        <w:t>撤销</w:t>
      </w:r>
      <w:r>
        <w:rPr>
          <w:rFonts w:hint="eastAsia" w:ascii="宋体" w:hAnsi="宋体"/>
          <w:highlight w:val="none"/>
        </w:rPr>
        <w:t>投标的操作</w:t>
      </w:r>
      <w:r>
        <w:rPr>
          <w:rFonts w:ascii="宋体" w:hAnsi="宋体"/>
          <w:highlight w:val="none"/>
        </w:rPr>
        <w:t>。</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2</w:t>
      </w:r>
      <w:r>
        <w:rPr>
          <w:rFonts w:ascii="宋体" w:hAnsi="宋体"/>
          <w:highlight w:val="none"/>
        </w:rPr>
        <w:t>投标截止时间以后不得修改投标文件。</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3从投标截止期至投标人在投标文件中确定的投标有效期之间的这段时间内，投标人不得撤回其投标。</w:t>
      </w:r>
    </w:p>
    <w:p>
      <w:pPr>
        <w:ind w:firstLine="411" w:firstLineChars="196"/>
        <w:rPr>
          <w:rFonts w:ascii="宋体" w:hAnsi="宋体"/>
          <w:szCs w:val="21"/>
          <w:highlight w:val="none"/>
        </w:rPr>
      </w:pPr>
      <w:r>
        <w:rPr>
          <w:rFonts w:hint="eastAsia" w:ascii="宋体" w:hAnsi="宋体"/>
          <w:szCs w:val="21"/>
          <w:highlight w:val="none"/>
        </w:rPr>
        <w:t>27.4政府集中采购机构不退还投标文件，专用条款另有规定的除外。</w:t>
      </w:r>
    </w:p>
    <w:bookmarkEnd w:id="50"/>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开标</w:t>
      </w:r>
    </w:p>
    <w:p>
      <w:pPr>
        <w:rPr>
          <w:rFonts w:ascii="黑体" w:hAnsi="宋体" w:eastAsia="黑体"/>
          <w:sz w:val="24"/>
          <w:highlight w:val="none"/>
        </w:rPr>
      </w:pPr>
      <w:r>
        <w:rPr>
          <w:rFonts w:hint="eastAsia" w:ascii="黑体" w:hAnsi="宋体" w:eastAsia="黑体"/>
          <w:sz w:val="24"/>
          <w:highlight w:val="none"/>
        </w:rPr>
        <w:t>28．开标</w:t>
      </w:r>
    </w:p>
    <w:p>
      <w:pPr>
        <w:ind w:firstLine="359" w:firstLineChars="171"/>
        <w:rPr>
          <w:rFonts w:ascii="宋体" w:hAnsi="宋体"/>
          <w:szCs w:val="21"/>
          <w:highlight w:val="none"/>
        </w:rPr>
      </w:pPr>
      <w:r>
        <w:rPr>
          <w:rFonts w:ascii="宋体" w:hAnsi="宋体"/>
          <w:szCs w:val="21"/>
          <w:highlight w:val="none"/>
        </w:rPr>
        <w:t>2</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ind w:firstLine="315" w:firstLineChars="150"/>
        <w:rPr>
          <w:rFonts w:ascii="宋体" w:hAnsi="宋体"/>
          <w:szCs w:val="21"/>
          <w:highlight w:val="none"/>
        </w:rPr>
      </w:pPr>
      <w:r>
        <w:rPr>
          <w:rFonts w:hint="eastAsia" w:ascii="宋体" w:hAnsi="宋体"/>
          <w:szCs w:val="21"/>
          <w:highlight w:val="none"/>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评审要求</w:t>
      </w:r>
    </w:p>
    <w:p>
      <w:pPr>
        <w:rPr>
          <w:rFonts w:ascii="黑体" w:hAnsi="宋体" w:eastAsia="黑体"/>
          <w:sz w:val="24"/>
          <w:highlight w:val="none"/>
        </w:rPr>
      </w:pPr>
      <w:r>
        <w:rPr>
          <w:rFonts w:hint="eastAsia" w:ascii="黑体" w:hAnsi="宋体" w:eastAsia="黑体"/>
          <w:sz w:val="24"/>
          <w:highlight w:val="none"/>
        </w:rPr>
        <w:t>29．评审委员会组成</w:t>
      </w:r>
    </w:p>
    <w:p>
      <w:pPr>
        <w:ind w:firstLine="411" w:firstLineChars="196"/>
        <w:rPr>
          <w:rFonts w:ascii="宋体" w:hAnsi="宋体"/>
          <w:highlight w:val="none"/>
        </w:rPr>
      </w:pPr>
      <w:r>
        <w:rPr>
          <w:rFonts w:hint="eastAsia" w:ascii="宋体" w:hAnsi="宋体"/>
          <w:highlight w:val="none"/>
        </w:rPr>
        <w:t>29.1网上开标结束后召开评审会议，</w:t>
      </w:r>
      <w:r>
        <w:rPr>
          <w:rFonts w:hint="eastAsia" w:ascii="宋体" w:hAnsi="宋体"/>
          <w:szCs w:val="21"/>
          <w:highlight w:val="none"/>
        </w:rPr>
        <w:t>评审委员会</w:t>
      </w:r>
      <w:r>
        <w:rPr>
          <w:rFonts w:hint="eastAsia" w:ascii="宋体" w:hAnsi="宋体"/>
          <w:highlight w:val="none"/>
        </w:rPr>
        <w:t>由政府集中采购机构依法组建，负责评审活动。</w:t>
      </w:r>
    </w:p>
    <w:p>
      <w:pPr>
        <w:ind w:firstLine="411" w:firstLineChars="196"/>
        <w:rPr>
          <w:rFonts w:ascii="宋体" w:hAnsi="宋体"/>
          <w:highlight w:val="none"/>
        </w:rPr>
      </w:pPr>
      <w:bookmarkStart w:id="51" w:name="_Hlk72436580"/>
      <w:r>
        <w:rPr>
          <w:rFonts w:hint="eastAsia" w:ascii="宋体" w:hAnsi="宋体"/>
          <w:highlight w:val="none"/>
        </w:rPr>
        <w:t>评审委员会由采购人代表和评审专家组成，成员人数应当为5人以上单数（部分条件下为7人以上单数），其中评审专家不得少于成员总数的三分之二。</w:t>
      </w:r>
      <w:bookmarkEnd w:id="51"/>
      <w:r>
        <w:rPr>
          <w:rFonts w:hint="eastAsia" w:ascii="宋体" w:hAnsi="宋体"/>
          <w:highlight w:val="none"/>
        </w:rPr>
        <w:t>评定</w:t>
      </w:r>
      <w:r>
        <w:rPr>
          <w:rFonts w:hint="eastAsia"/>
          <w:highlight w:val="none"/>
        </w:rPr>
        <w:t>分离项目</w:t>
      </w:r>
      <w:r>
        <w:rPr>
          <w:highlight w:val="none"/>
        </w:rPr>
        <w:t>评审专家</w:t>
      </w:r>
      <w:r>
        <w:rPr>
          <w:rFonts w:hint="eastAsia"/>
          <w:highlight w:val="none"/>
        </w:rPr>
        <w:t>均</w:t>
      </w:r>
      <w:r>
        <w:rPr>
          <w:highlight w:val="none"/>
        </w:rPr>
        <w:t>由</w:t>
      </w:r>
      <w:r>
        <w:rPr>
          <w:rFonts w:hint="eastAsia"/>
          <w:highlight w:val="none"/>
        </w:rPr>
        <w:t>评审专家组成。</w:t>
      </w:r>
      <w:r>
        <w:rPr>
          <w:rFonts w:hint="eastAsia" w:ascii="宋体" w:hAnsi="宋体"/>
          <w:szCs w:val="21"/>
          <w:highlight w:val="none"/>
        </w:rPr>
        <w:t>评审专家一般是</w:t>
      </w:r>
      <w:r>
        <w:rPr>
          <w:rFonts w:hint="eastAsia" w:ascii="宋体" w:hAnsi="宋体"/>
          <w:highlight w:val="none"/>
        </w:rPr>
        <w:t>从深圳市政府采购评审专家库中随机抽取。采购人代表须持本单位签发的《评审授权书》参加评审。</w:t>
      </w:r>
    </w:p>
    <w:p>
      <w:pPr>
        <w:ind w:firstLine="411" w:firstLineChars="196"/>
        <w:rPr>
          <w:rFonts w:ascii="宋体" w:hAnsi="宋体"/>
          <w:highlight w:val="none"/>
        </w:rPr>
      </w:pPr>
      <w:r>
        <w:rPr>
          <w:rFonts w:hint="eastAsia" w:ascii="宋体" w:hAnsi="宋体"/>
          <w:highlight w:val="none"/>
        </w:rPr>
        <w:t>29.2评审定标应当遵循公平、公正、科学、择优的原则。</w:t>
      </w:r>
    </w:p>
    <w:p>
      <w:pPr>
        <w:ind w:firstLine="411" w:firstLineChars="196"/>
        <w:rPr>
          <w:rFonts w:ascii="宋体" w:hAnsi="宋体"/>
          <w:highlight w:val="none"/>
        </w:rPr>
      </w:pPr>
      <w:r>
        <w:rPr>
          <w:rFonts w:hint="eastAsia" w:ascii="宋体" w:hAnsi="宋体"/>
          <w:highlight w:val="none"/>
        </w:rPr>
        <w:t>29.3评审活动依法进行，任何单位和个人不得非法干预评标过程和结果。</w:t>
      </w:r>
    </w:p>
    <w:p>
      <w:pPr>
        <w:ind w:firstLine="411" w:firstLineChars="196"/>
        <w:rPr>
          <w:rFonts w:ascii="宋体" w:hAnsi="宋体"/>
          <w:highlight w:val="none"/>
        </w:rPr>
      </w:pPr>
      <w:r>
        <w:rPr>
          <w:rFonts w:hint="eastAsia" w:ascii="宋体" w:hAnsi="宋体"/>
          <w:highlight w:val="none"/>
        </w:rPr>
        <w:t>29.4评审过程中不允许违背评标程序或采用招标文件未载明的评标方法或评标因素进行评标。</w:t>
      </w:r>
    </w:p>
    <w:p>
      <w:pPr>
        <w:ind w:firstLine="411" w:firstLineChars="196"/>
        <w:rPr>
          <w:rFonts w:ascii="宋体" w:hAnsi="宋体"/>
          <w:bCs/>
          <w:highlight w:val="none"/>
        </w:rPr>
      </w:pPr>
      <w:r>
        <w:rPr>
          <w:rFonts w:hint="eastAsia" w:ascii="宋体" w:hAnsi="宋体"/>
          <w:bCs/>
          <w:highlight w:val="none"/>
        </w:rPr>
        <w:t>29.5 开标后，直到签订合同为止，凡属于对投标文件的审查、澄清、评价和比较的有关资料以及中标候选人的推荐情况、与评审有关的其他任何情况均严格保密（</w:t>
      </w:r>
      <w:r>
        <w:rPr>
          <w:rFonts w:hint="eastAsia"/>
          <w:highlight w:val="none"/>
        </w:rPr>
        <w:t>信息公开的内容除外</w:t>
      </w:r>
      <w:r>
        <w:rPr>
          <w:rFonts w:hint="eastAsia" w:ascii="宋体" w:hAnsi="宋体"/>
          <w:bCs/>
          <w:highlight w:val="none"/>
        </w:rPr>
        <w:t>）。</w:t>
      </w:r>
    </w:p>
    <w:p>
      <w:pPr>
        <w:rPr>
          <w:rFonts w:ascii="黑体" w:hAnsi="宋体" w:eastAsia="黑体"/>
          <w:sz w:val="24"/>
          <w:highlight w:val="none"/>
        </w:rPr>
      </w:pPr>
      <w:r>
        <w:rPr>
          <w:rFonts w:hint="eastAsia" w:ascii="黑体" w:hAnsi="宋体" w:eastAsia="黑体"/>
          <w:sz w:val="24"/>
          <w:highlight w:val="none"/>
        </w:rPr>
        <w:t>30．向评审委员会提供的资料</w:t>
      </w:r>
    </w:p>
    <w:p>
      <w:pPr>
        <w:ind w:firstLine="411" w:firstLineChars="196"/>
        <w:rPr>
          <w:rFonts w:ascii="宋体" w:hAnsi="宋体"/>
          <w:highlight w:val="none"/>
        </w:rPr>
      </w:pPr>
      <w:r>
        <w:rPr>
          <w:rFonts w:hint="eastAsia" w:ascii="宋体" w:hAnsi="宋体"/>
          <w:highlight w:val="none"/>
        </w:rPr>
        <w:t>30.1公开发布的招标文件，包括图纸、服务清单、答疑文件等；</w:t>
      </w:r>
    </w:p>
    <w:p>
      <w:pPr>
        <w:ind w:firstLine="411" w:firstLineChars="196"/>
        <w:rPr>
          <w:rFonts w:ascii="宋体" w:hAnsi="宋体"/>
          <w:highlight w:val="none"/>
        </w:rPr>
      </w:pPr>
      <w:r>
        <w:rPr>
          <w:rFonts w:hint="eastAsia" w:ascii="宋体" w:hAnsi="宋体"/>
          <w:highlight w:val="none"/>
        </w:rPr>
        <w:t>30.2其他评标必须的资料。</w:t>
      </w:r>
    </w:p>
    <w:p>
      <w:pPr>
        <w:ind w:firstLine="411" w:firstLineChars="196"/>
        <w:rPr>
          <w:rFonts w:ascii="宋体" w:hAnsi="宋体"/>
          <w:highlight w:val="none"/>
        </w:rPr>
      </w:pPr>
      <w:r>
        <w:rPr>
          <w:rFonts w:hint="eastAsia" w:ascii="宋体" w:hAnsi="宋体"/>
          <w:highlight w:val="none"/>
        </w:rPr>
        <w:t>30.3</w:t>
      </w:r>
      <w:r>
        <w:rPr>
          <w:rFonts w:hint="eastAsia" w:ascii="宋体" w:hAnsi="宋体"/>
          <w:szCs w:val="21"/>
          <w:highlight w:val="none"/>
        </w:rPr>
        <w:t>评审委员会</w:t>
      </w:r>
      <w:r>
        <w:rPr>
          <w:rFonts w:hint="eastAsia" w:ascii="宋体" w:hAnsi="宋体"/>
          <w:highlight w:val="none"/>
        </w:rPr>
        <w:t>应当认真研究招标文件，至少应了解熟悉以下内容：</w:t>
      </w:r>
    </w:p>
    <w:p>
      <w:pPr>
        <w:ind w:firstLine="411" w:firstLineChars="196"/>
        <w:rPr>
          <w:rFonts w:ascii="宋体" w:hAnsi="宋体"/>
          <w:highlight w:val="none"/>
        </w:rPr>
      </w:pPr>
      <w:r>
        <w:rPr>
          <w:rFonts w:hint="eastAsia" w:ascii="宋体" w:hAnsi="宋体"/>
          <w:highlight w:val="none"/>
        </w:rPr>
        <w:t>（1）招标的目的；</w:t>
      </w:r>
    </w:p>
    <w:p>
      <w:pPr>
        <w:ind w:firstLine="411" w:firstLineChars="196"/>
        <w:rPr>
          <w:rFonts w:ascii="宋体" w:hAnsi="宋体"/>
          <w:highlight w:val="none"/>
        </w:rPr>
      </w:pPr>
      <w:r>
        <w:rPr>
          <w:rFonts w:hint="eastAsia" w:ascii="宋体" w:hAnsi="宋体"/>
          <w:highlight w:val="none"/>
        </w:rPr>
        <w:t>（2）招标项目需求的范围和性质；</w:t>
      </w:r>
    </w:p>
    <w:p>
      <w:pPr>
        <w:ind w:firstLine="411" w:firstLineChars="196"/>
        <w:rPr>
          <w:rFonts w:ascii="宋体" w:hAnsi="宋体"/>
          <w:highlight w:val="none"/>
        </w:rPr>
      </w:pPr>
      <w:r>
        <w:rPr>
          <w:rFonts w:hint="eastAsia" w:ascii="宋体" w:hAnsi="宋体"/>
          <w:highlight w:val="none"/>
        </w:rPr>
        <w:t>（3）招标文件规定的投标人的资格、财政预算限额、商务条款；</w:t>
      </w:r>
    </w:p>
    <w:p>
      <w:pPr>
        <w:ind w:firstLine="411" w:firstLineChars="196"/>
        <w:rPr>
          <w:rFonts w:ascii="宋体" w:hAnsi="宋体"/>
          <w:highlight w:val="none"/>
        </w:rPr>
      </w:pPr>
      <w:r>
        <w:rPr>
          <w:rFonts w:hint="eastAsia" w:ascii="宋体" w:hAnsi="宋体"/>
          <w:highlight w:val="none"/>
        </w:rPr>
        <w:t>（4）招标文件规定的评标程序、评标方法和评标因素；</w:t>
      </w:r>
    </w:p>
    <w:p>
      <w:pPr>
        <w:ind w:firstLine="411" w:firstLineChars="196"/>
        <w:rPr>
          <w:rFonts w:ascii="宋体" w:hAnsi="宋体"/>
          <w:highlight w:val="none"/>
        </w:rPr>
      </w:pPr>
      <w:r>
        <w:rPr>
          <w:rFonts w:hint="eastAsia" w:ascii="宋体" w:hAnsi="宋体"/>
          <w:highlight w:val="none"/>
        </w:rPr>
        <w:t>（5）招标文件所列示的资格性审查表及符合性审查表。</w:t>
      </w:r>
    </w:p>
    <w:p>
      <w:pPr>
        <w:rPr>
          <w:rFonts w:ascii="黑体" w:hAnsi="宋体" w:eastAsia="黑体"/>
          <w:sz w:val="24"/>
          <w:highlight w:val="none"/>
        </w:rPr>
      </w:pPr>
      <w:r>
        <w:rPr>
          <w:rFonts w:hint="eastAsia" w:ascii="黑体" w:hAnsi="宋体" w:eastAsia="黑体"/>
          <w:sz w:val="24"/>
          <w:highlight w:val="none"/>
        </w:rPr>
        <w:t>31．独立评审</w:t>
      </w:r>
    </w:p>
    <w:p>
      <w:pPr>
        <w:ind w:firstLine="411" w:firstLineChars="196"/>
        <w:rPr>
          <w:rFonts w:ascii="宋体" w:hAnsi="宋体"/>
          <w:bCs/>
          <w:highlight w:val="none"/>
        </w:rPr>
      </w:pPr>
      <w:r>
        <w:rPr>
          <w:rFonts w:hint="eastAsia" w:ascii="宋体" w:hAnsi="宋体"/>
          <w:bCs/>
          <w:highlight w:val="none"/>
        </w:rPr>
        <w:t>3</w:t>
      </w:r>
      <w:r>
        <w:rPr>
          <w:rFonts w:ascii="宋体" w:hAnsi="宋体"/>
          <w:bCs/>
          <w:highlight w:val="none"/>
        </w:rPr>
        <w:t>1</w:t>
      </w:r>
      <w:r>
        <w:rPr>
          <w:rFonts w:hint="eastAsia" w:ascii="宋体" w:hAnsi="宋体"/>
          <w:bCs/>
          <w:highlight w:val="none"/>
        </w:rPr>
        <w:t>.1</w:t>
      </w:r>
      <w:r>
        <w:rPr>
          <w:rFonts w:hint="eastAsia" w:ascii="宋体" w:hAnsi="宋体"/>
          <w:szCs w:val="21"/>
          <w:highlight w:val="none"/>
        </w:rPr>
        <w:t>评审委员会</w:t>
      </w:r>
      <w:r>
        <w:rPr>
          <w:rFonts w:hint="eastAsia" w:ascii="宋体" w:hAnsi="宋体"/>
          <w:bCs/>
          <w:highlight w:val="none"/>
        </w:rPr>
        <w:t>成员的评标活动应当独立进行，并应遵循投标文件初审、澄清有关问题、比较与评价、确定中标供应商、编写评审报告的工作程序。</w:t>
      </w:r>
    </w:p>
    <w:p>
      <w:pPr>
        <w:ind w:firstLine="411" w:firstLineChars="196"/>
        <w:rPr>
          <w:rFonts w:ascii="宋体" w:hAnsi="宋体"/>
          <w:bCs/>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评审程序及评审方法</w:t>
      </w:r>
    </w:p>
    <w:p>
      <w:pPr>
        <w:rPr>
          <w:rFonts w:ascii="黑体" w:hAnsi="宋体" w:eastAsia="黑体"/>
          <w:sz w:val="24"/>
          <w:highlight w:val="none"/>
        </w:rPr>
      </w:pPr>
      <w:r>
        <w:rPr>
          <w:rFonts w:hint="eastAsia" w:ascii="黑体" w:hAnsi="宋体" w:eastAsia="黑体"/>
          <w:sz w:val="24"/>
          <w:highlight w:val="none"/>
        </w:rPr>
        <w:t>32．投标文件初审</w:t>
      </w:r>
    </w:p>
    <w:p>
      <w:pPr>
        <w:ind w:firstLine="411" w:firstLineChars="196"/>
        <w:rPr>
          <w:rFonts w:ascii="宋体" w:hAnsi="宋体"/>
          <w:highlight w:val="none"/>
        </w:rPr>
      </w:pPr>
      <w:r>
        <w:rPr>
          <w:rFonts w:hint="eastAsia" w:ascii="宋体" w:hAnsi="宋体"/>
          <w:highlight w:val="none"/>
        </w:rPr>
        <w:t>32.1投标文件初审包括资格性审查和符合性审查。</w:t>
      </w:r>
    </w:p>
    <w:p>
      <w:pPr>
        <w:ind w:firstLine="411" w:firstLineChars="196"/>
        <w:rPr>
          <w:rFonts w:ascii="宋体" w:hAnsi="宋体"/>
          <w:highlight w:val="none"/>
        </w:rPr>
      </w:pPr>
      <w:r>
        <w:rPr>
          <w:rFonts w:hint="eastAsia" w:ascii="宋体" w:hAnsi="宋体"/>
          <w:highlight w:val="none"/>
        </w:rPr>
        <w:t>资格性审查：依据法律法规和招标文件的规定，对投标文件中的资格证明等进行审查，以确定投标供应商是否具备投标资格。</w:t>
      </w:r>
    </w:p>
    <w:p>
      <w:pPr>
        <w:ind w:firstLine="411" w:firstLineChars="196"/>
        <w:rPr>
          <w:rFonts w:ascii="宋体" w:hAnsi="宋体"/>
          <w:highlight w:val="none"/>
        </w:rPr>
      </w:pPr>
      <w:r>
        <w:rPr>
          <w:rFonts w:hint="eastAsia" w:ascii="宋体" w:hAnsi="宋体"/>
          <w:highlight w:val="none"/>
        </w:rPr>
        <w:t>符合性审查：依据招标文件的规定，对投标文件的有效性、完整性和对招标文件的响应程度进行审查，以确定是否满足符合性审查的要求。</w:t>
      </w:r>
    </w:p>
    <w:p>
      <w:pPr>
        <w:ind w:firstLine="411" w:firstLineChars="196"/>
        <w:rPr>
          <w:rFonts w:ascii="宋体" w:hAnsi="宋体"/>
          <w:highlight w:val="none"/>
        </w:rPr>
      </w:pPr>
      <w:r>
        <w:rPr>
          <w:rFonts w:hint="eastAsia" w:ascii="宋体" w:hAnsi="宋体"/>
          <w:highlight w:val="none"/>
        </w:rPr>
        <w:t>32.2 投标文件初审内容请详见《资格性审查表》和《符合性审查表》部分。投标人若有一条审查不通过则按投标无效处理。</w:t>
      </w:r>
    </w:p>
    <w:p>
      <w:pPr>
        <w:ind w:firstLine="411" w:firstLineChars="196"/>
        <w:rPr>
          <w:rFonts w:ascii="宋体" w:hAnsi="宋体"/>
          <w:bCs/>
          <w:highlight w:val="none"/>
        </w:rPr>
      </w:pPr>
      <w:r>
        <w:rPr>
          <w:rFonts w:hint="eastAsia" w:ascii="宋体" w:hAnsi="宋体"/>
          <w:bCs/>
          <w:highlight w:val="none"/>
        </w:rPr>
        <w:t>32.3 投标文件初审中关于供应商家数的计算:</w:t>
      </w:r>
    </w:p>
    <w:p>
      <w:pPr>
        <w:ind w:firstLine="411" w:firstLineChars="196"/>
        <w:rPr>
          <w:rFonts w:ascii="宋体" w:hAnsi="宋体"/>
          <w:bCs/>
          <w:highlight w:val="none"/>
        </w:rPr>
      </w:pPr>
      <w:r>
        <w:rPr>
          <w:rFonts w:hint="eastAsia" w:ascii="宋体" w:hAnsi="宋体"/>
          <w:bCs/>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highlight w:val="none"/>
        </w:rPr>
      </w:pPr>
      <w:r>
        <w:rPr>
          <w:rFonts w:hint="eastAsia" w:ascii="宋体" w:hAnsi="宋体"/>
          <w:bCs/>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highlight w:val="none"/>
        </w:rPr>
        <w:t>评审委员会</w:t>
      </w:r>
      <w:r>
        <w:rPr>
          <w:rFonts w:hint="eastAsia" w:ascii="宋体" w:hAnsi="宋体"/>
          <w:bCs/>
          <w:highlight w:val="none"/>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highlight w:val="none"/>
        </w:rPr>
      </w:pPr>
      <w:r>
        <w:rPr>
          <w:rFonts w:hint="eastAsia" w:ascii="宋体" w:hAnsi="宋体"/>
          <w:bCs/>
          <w:highlight w:val="none"/>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highlight w:val="none"/>
        </w:rPr>
      </w:pPr>
      <w:r>
        <w:rPr>
          <w:rFonts w:hint="eastAsia" w:ascii="宋体" w:hAnsi="宋体"/>
          <w:highlight w:val="none"/>
        </w:rPr>
        <w:t>32.4投标人投标文件作无效处理的情形，具体包括但不限于以下：</w:t>
      </w:r>
    </w:p>
    <w:p>
      <w:pPr>
        <w:ind w:firstLine="411" w:firstLineChars="196"/>
        <w:rPr>
          <w:highlight w:val="none"/>
        </w:rPr>
      </w:pPr>
      <w:r>
        <w:rPr>
          <w:rFonts w:hint="eastAsia" w:ascii="宋体" w:hAnsi="宋体"/>
          <w:highlight w:val="none"/>
        </w:rPr>
        <w:t>32.4.1</w:t>
      </w:r>
      <w:r>
        <w:rPr>
          <w:rFonts w:hint="eastAsia"/>
          <w:highlight w:val="none"/>
        </w:rPr>
        <w:t>不同投标人的投标文件由同一单位或者同一个人编制，或者由同一个人分阶段参与编制；</w:t>
      </w:r>
    </w:p>
    <w:p>
      <w:pPr>
        <w:ind w:firstLine="411" w:firstLineChars="196"/>
        <w:rPr>
          <w:highlight w:val="none"/>
        </w:rPr>
      </w:pPr>
      <w:r>
        <w:rPr>
          <w:rFonts w:ascii="宋体" w:hAnsi="宋体"/>
          <w:highlight w:val="none"/>
        </w:rPr>
        <w:t>32.4.</w:t>
      </w:r>
      <w:r>
        <w:rPr>
          <w:rFonts w:hint="eastAsia" w:ascii="宋体" w:hAnsi="宋体"/>
          <w:highlight w:val="none"/>
        </w:rPr>
        <w:t>2</w:t>
      </w:r>
      <w:r>
        <w:rPr>
          <w:rFonts w:hint="eastAsia"/>
          <w:highlight w:val="none"/>
        </w:rPr>
        <w:t>不同投标人委托同一单位或者个人办理投标事宜；</w:t>
      </w:r>
    </w:p>
    <w:p>
      <w:pPr>
        <w:ind w:firstLine="411" w:firstLineChars="196"/>
        <w:rPr>
          <w:rFonts w:ascii="宋体" w:hAnsi="宋体"/>
          <w:highlight w:val="none"/>
        </w:rPr>
      </w:pPr>
      <w:r>
        <w:rPr>
          <w:rFonts w:hint="eastAsia" w:ascii="宋体" w:hAnsi="宋体"/>
          <w:highlight w:val="none"/>
        </w:rPr>
        <w:t>32.4.3不同投标人的投标文件载明的项目管理成员或者联系人员为同一人；</w:t>
      </w:r>
    </w:p>
    <w:p>
      <w:pPr>
        <w:ind w:firstLine="411" w:firstLineChars="196"/>
        <w:rPr>
          <w:rFonts w:ascii="宋体" w:hAnsi="宋体"/>
          <w:highlight w:val="none"/>
        </w:rPr>
      </w:pPr>
      <w:r>
        <w:rPr>
          <w:rFonts w:hint="eastAsia" w:ascii="宋体" w:hAnsi="宋体"/>
          <w:highlight w:val="none"/>
        </w:rPr>
        <w:t>32.4.4不同投标人的投标文件异常一致或者投标报价呈规律性差异；</w:t>
      </w:r>
    </w:p>
    <w:p>
      <w:pPr>
        <w:ind w:firstLine="411" w:firstLineChars="196"/>
        <w:rPr>
          <w:rFonts w:ascii="宋体" w:hAnsi="宋体"/>
          <w:highlight w:val="none"/>
        </w:rPr>
      </w:pPr>
      <w:r>
        <w:rPr>
          <w:rFonts w:hint="eastAsia" w:ascii="宋体" w:hAnsi="宋体"/>
          <w:highlight w:val="none"/>
        </w:rPr>
        <w:t>32.4.5</w:t>
      </w:r>
      <w:r>
        <w:rPr>
          <w:rFonts w:ascii="宋体" w:hAnsi="宋体"/>
          <w:highlight w:val="none"/>
        </w:rPr>
        <w:t>不同投标供应商的投标文件或部分投标文件相互混装</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32.4.6投标供应商之间相互约定给予未中标的供应商利益补偿；</w:t>
      </w:r>
    </w:p>
    <w:p>
      <w:pPr>
        <w:ind w:firstLine="411" w:firstLineChars="196"/>
        <w:rPr>
          <w:rFonts w:ascii="宋体" w:hAnsi="宋体"/>
          <w:highlight w:val="none"/>
        </w:rPr>
      </w:pPr>
      <w:r>
        <w:rPr>
          <w:rFonts w:hint="eastAsia" w:ascii="宋体" w:hAnsi="宋体"/>
          <w:highlight w:val="none"/>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highlight w:val="none"/>
        </w:rPr>
      </w:pPr>
      <w:r>
        <w:rPr>
          <w:rFonts w:hint="eastAsia" w:ascii="宋体" w:hAnsi="宋体"/>
          <w:highlight w:val="none"/>
        </w:rPr>
        <w:t>32.4.8不同投标供应商的投标文件内容存在非正常一致；</w:t>
      </w:r>
    </w:p>
    <w:p>
      <w:pPr>
        <w:ind w:firstLine="411" w:firstLineChars="196"/>
        <w:rPr>
          <w:rFonts w:ascii="宋体" w:hAnsi="宋体"/>
          <w:highlight w:val="none"/>
        </w:rPr>
      </w:pPr>
      <w:r>
        <w:rPr>
          <w:rFonts w:hint="eastAsia" w:ascii="宋体" w:hAnsi="宋体"/>
          <w:highlight w:val="none"/>
        </w:rPr>
        <w:t>32.4.9在同一单位工作人员为两家以上（含两家）供应商进行同一项投标活动；</w:t>
      </w:r>
    </w:p>
    <w:p>
      <w:pPr>
        <w:ind w:firstLine="411" w:firstLineChars="196"/>
        <w:rPr>
          <w:rFonts w:ascii="宋体" w:hAnsi="宋体"/>
          <w:highlight w:val="none"/>
        </w:rPr>
      </w:pPr>
      <w:r>
        <w:rPr>
          <w:rFonts w:hint="eastAsia" w:ascii="宋体" w:hAnsi="宋体"/>
          <w:highlight w:val="none"/>
        </w:rPr>
        <w:t>32.4.10主管部门依照法律、法规认定的其他情形。</w:t>
      </w:r>
    </w:p>
    <w:p>
      <w:pPr>
        <w:rPr>
          <w:rFonts w:hint="eastAsia" w:ascii="宋体" w:hAnsi="宋体"/>
          <w:highlight w:val="none"/>
        </w:rPr>
      </w:pPr>
      <w:r>
        <w:rPr>
          <w:rFonts w:hint="eastAsia" w:ascii="宋体" w:hAnsi="宋体"/>
          <w:highlight w:val="none"/>
        </w:rPr>
        <w:t>32.5对不属于《资格性审查表》和《符合性审查表》所列的其他情形，除专用条款另有规定和32.4条款所列情形外，不得作为投标无效的理由。</w:t>
      </w:r>
    </w:p>
    <w:p>
      <w:pPr>
        <w:rPr>
          <w:rFonts w:ascii="黑体" w:hAnsi="宋体" w:eastAsia="黑体"/>
          <w:sz w:val="24"/>
          <w:highlight w:val="none"/>
        </w:rPr>
      </w:pPr>
      <w:r>
        <w:rPr>
          <w:rFonts w:hint="eastAsia" w:ascii="黑体" w:hAnsi="宋体" w:eastAsia="黑体"/>
          <w:sz w:val="24"/>
          <w:highlight w:val="none"/>
        </w:rPr>
        <w:t>33．澄清有关问题</w:t>
      </w:r>
    </w:p>
    <w:p>
      <w:pPr>
        <w:ind w:firstLine="411" w:firstLineChars="196"/>
        <w:rPr>
          <w:rFonts w:ascii="宋体" w:hAnsi="宋体"/>
          <w:highlight w:val="none"/>
        </w:rPr>
      </w:pPr>
      <w:bookmarkStart w:id="52" w:name="_Hlk71407321"/>
      <w:r>
        <w:rPr>
          <w:rFonts w:hint="eastAsia" w:ascii="宋体" w:hAnsi="宋体"/>
          <w:highlight w:val="none"/>
        </w:rPr>
        <w:t>3</w:t>
      </w:r>
      <w:r>
        <w:rPr>
          <w:rFonts w:ascii="宋体" w:hAnsi="宋体"/>
          <w:highlight w:val="none"/>
        </w:rPr>
        <w:t>3.1</w:t>
      </w:r>
      <w:r>
        <w:rPr>
          <w:rFonts w:hint="eastAsia" w:ascii="宋体" w:hAnsi="宋体"/>
          <w:highlight w:val="none"/>
        </w:rPr>
        <w:t>对招标文件中描述有歧义或前后不一致的地方（不含</w:t>
      </w:r>
      <w:r>
        <w:rPr>
          <w:szCs w:val="21"/>
          <w:highlight w:val="none"/>
        </w:rPr>
        <w:t>招标文件存在歧义、重大缺陷导致评</w:t>
      </w:r>
      <w:r>
        <w:rPr>
          <w:rFonts w:hint="eastAsia"/>
          <w:szCs w:val="21"/>
          <w:highlight w:val="none"/>
        </w:rPr>
        <w:t>审</w:t>
      </w:r>
      <w:r>
        <w:rPr>
          <w:szCs w:val="21"/>
          <w:highlight w:val="none"/>
        </w:rPr>
        <w:t>工作无法进行</w:t>
      </w:r>
      <w:r>
        <w:rPr>
          <w:rFonts w:hint="eastAsia"/>
          <w:szCs w:val="21"/>
          <w:highlight w:val="none"/>
        </w:rPr>
        <w:t>的情况）</w:t>
      </w:r>
      <w:r>
        <w:rPr>
          <w:rFonts w:hint="eastAsia" w:ascii="宋体" w:hAnsi="宋体"/>
          <w:highlight w:val="none"/>
        </w:rPr>
        <w:t>，评审委员会有权进行评判，但对同一条款的评判应适用于每个投标人。</w:t>
      </w:r>
      <w:bookmarkEnd w:id="52"/>
    </w:p>
    <w:p>
      <w:pPr>
        <w:ind w:firstLine="411" w:firstLineChars="196"/>
        <w:rPr>
          <w:rFonts w:ascii="宋体" w:hAnsi="宋体"/>
          <w:highlight w:val="none"/>
        </w:rPr>
      </w:pPr>
      <w:r>
        <w:rPr>
          <w:rFonts w:hint="eastAsia" w:ascii="宋体" w:hAnsi="宋体"/>
          <w:highlight w:val="none"/>
        </w:rPr>
        <w:t>3</w:t>
      </w:r>
      <w:r>
        <w:rPr>
          <w:rFonts w:ascii="宋体" w:hAnsi="宋体"/>
          <w:highlight w:val="none"/>
        </w:rPr>
        <w:t>3.2</w:t>
      </w:r>
      <w:r>
        <w:rPr>
          <w:szCs w:val="21"/>
          <w:highlight w:val="none"/>
        </w:rPr>
        <w:t>评</w:t>
      </w:r>
      <w:r>
        <w:rPr>
          <w:rFonts w:hint="eastAsia"/>
          <w:szCs w:val="21"/>
          <w:highlight w:val="none"/>
        </w:rPr>
        <w:t>审</w:t>
      </w:r>
      <w:r>
        <w:rPr>
          <w:szCs w:val="21"/>
          <w:highlight w:val="none"/>
        </w:rPr>
        <w:t>委员会发现招标文件存在歧义、重大缺陷导致评</w:t>
      </w:r>
      <w:r>
        <w:rPr>
          <w:rFonts w:hint="eastAsia"/>
          <w:szCs w:val="21"/>
          <w:highlight w:val="none"/>
        </w:rPr>
        <w:t>审</w:t>
      </w:r>
      <w:r>
        <w:rPr>
          <w:szCs w:val="21"/>
          <w:highlight w:val="none"/>
        </w:rPr>
        <w:t>工作无法进行，或者招标文件内容违反国家有关强制性规定的，应当停止评</w:t>
      </w:r>
      <w:r>
        <w:rPr>
          <w:rFonts w:hint="eastAsia"/>
          <w:szCs w:val="21"/>
          <w:highlight w:val="none"/>
        </w:rPr>
        <w:t>审</w:t>
      </w:r>
      <w:r>
        <w:rPr>
          <w:szCs w:val="21"/>
          <w:highlight w:val="none"/>
        </w:rPr>
        <w:t>工作，与</w:t>
      </w:r>
      <w:r>
        <w:rPr>
          <w:rFonts w:hint="eastAsia"/>
          <w:szCs w:val="21"/>
          <w:highlight w:val="none"/>
        </w:rPr>
        <w:t>政府集中采购机构</w:t>
      </w:r>
      <w:r>
        <w:rPr>
          <w:szCs w:val="21"/>
          <w:highlight w:val="none"/>
        </w:rPr>
        <w:t>沟通并作书面记录。</w:t>
      </w:r>
      <w:r>
        <w:rPr>
          <w:rFonts w:hint="eastAsia"/>
          <w:szCs w:val="21"/>
          <w:highlight w:val="none"/>
        </w:rPr>
        <w:t>经</w:t>
      </w:r>
      <w:r>
        <w:rPr>
          <w:szCs w:val="21"/>
          <w:highlight w:val="none"/>
        </w:rPr>
        <w:t>确认后，</w:t>
      </w:r>
      <w:r>
        <w:rPr>
          <w:rFonts w:hint="eastAsia"/>
          <w:szCs w:val="21"/>
          <w:highlight w:val="none"/>
        </w:rPr>
        <w:t>项目</w:t>
      </w:r>
      <w:r>
        <w:rPr>
          <w:szCs w:val="21"/>
          <w:highlight w:val="none"/>
        </w:rPr>
        <w:t>应当修改招标文件，重新组织采购活动。</w:t>
      </w:r>
    </w:p>
    <w:p>
      <w:pPr>
        <w:ind w:firstLine="411" w:firstLineChars="196"/>
        <w:rPr>
          <w:rFonts w:ascii="宋体" w:hAnsi="宋体"/>
          <w:highlight w:val="none"/>
        </w:rPr>
      </w:pPr>
      <w:r>
        <w:rPr>
          <w:rFonts w:ascii="宋体" w:hAnsi="宋体"/>
          <w:highlight w:val="none"/>
        </w:rPr>
        <w:t>33.3</w:t>
      </w:r>
      <w:r>
        <w:rPr>
          <w:rFonts w:hint="eastAsia" w:ascii="宋体" w:hAnsi="宋体"/>
          <w:highlight w:val="none"/>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highlight w:val="none"/>
        </w:rPr>
      </w:pPr>
      <w:r>
        <w:rPr>
          <w:rFonts w:hint="eastAsia" w:ascii="宋体" w:hAnsi="宋体"/>
          <w:highlight w:val="none"/>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highlight w:val="none"/>
        </w:rPr>
      </w:pPr>
      <w:r>
        <w:rPr>
          <w:rFonts w:hint="eastAsia" w:ascii="宋体" w:hAnsi="宋体"/>
          <w:szCs w:val="21"/>
          <w:highlight w:val="none"/>
        </w:rPr>
        <w:t>根据本通用条款第34条，凡属于评审委员会在评审中发现的算术错误进行核实的修改不在此列。</w:t>
      </w:r>
    </w:p>
    <w:p>
      <w:pPr>
        <w:rPr>
          <w:rFonts w:ascii="黑体" w:hAnsi="宋体" w:eastAsia="黑体"/>
          <w:sz w:val="24"/>
          <w:highlight w:val="none"/>
        </w:rPr>
      </w:pPr>
      <w:bookmarkStart w:id="53" w:name="_Toc73521581"/>
      <w:bookmarkStart w:id="54" w:name="_Toc73518151"/>
      <w:bookmarkStart w:id="55" w:name="_Toc73521669"/>
      <w:bookmarkStart w:id="56" w:name="_Toc73517673"/>
      <w:bookmarkStart w:id="57" w:name="_Toc100052400"/>
      <w:r>
        <w:rPr>
          <w:rFonts w:hint="eastAsia" w:ascii="黑体" w:hAnsi="宋体" w:eastAsia="黑体"/>
          <w:sz w:val="24"/>
          <w:highlight w:val="none"/>
        </w:rPr>
        <w:t>34．错误的修正</w:t>
      </w:r>
      <w:bookmarkEnd w:id="53"/>
      <w:bookmarkEnd w:id="54"/>
      <w:bookmarkEnd w:id="55"/>
      <w:bookmarkEnd w:id="56"/>
      <w:bookmarkEnd w:id="57"/>
    </w:p>
    <w:p>
      <w:pPr>
        <w:ind w:firstLine="411" w:firstLineChars="196"/>
        <w:rPr>
          <w:rFonts w:ascii="宋体" w:hAnsi="宋体"/>
          <w:szCs w:val="21"/>
          <w:highlight w:val="none"/>
        </w:rPr>
      </w:pPr>
      <w:r>
        <w:rPr>
          <w:rFonts w:hint="eastAsia" w:ascii="宋体" w:hAnsi="宋体"/>
          <w:szCs w:val="21"/>
          <w:highlight w:val="none"/>
        </w:rPr>
        <w:t>投标文件报价出现前后不一致的，除专用条款另有规定外，按照下列规定修正：</w:t>
      </w:r>
    </w:p>
    <w:p>
      <w:pPr>
        <w:ind w:firstLine="411" w:firstLineChars="196"/>
        <w:rPr>
          <w:rFonts w:ascii="宋体" w:hAnsi="宋体"/>
          <w:szCs w:val="21"/>
          <w:highlight w:val="none"/>
        </w:rPr>
      </w:pPr>
      <w:r>
        <w:rPr>
          <w:rFonts w:hint="eastAsia" w:ascii="宋体" w:hAnsi="宋体"/>
          <w:szCs w:val="21"/>
          <w:highlight w:val="none"/>
        </w:rPr>
        <w:t>34.1投标文件中开标一览表投标报价内容与投标文件中投标报价相应内容不一致的，以开标一览表为准；</w:t>
      </w:r>
    </w:p>
    <w:p>
      <w:pPr>
        <w:ind w:firstLine="411" w:firstLineChars="196"/>
        <w:rPr>
          <w:rFonts w:ascii="宋体" w:hAnsi="宋体"/>
          <w:szCs w:val="21"/>
          <w:highlight w:val="none"/>
        </w:rPr>
      </w:pPr>
      <w:r>
        <w:rPr>
          <w:rFonts w:hint="eastAsia" w:ascii="宋体" w:hAnsi="宋体"/>
          <w:szCs w:val="21"/>
          <w:highlight w:val="none"/>
        </w:rPr>
        <w:t>34.2大写金额和小写金额不一致的，以大写金额为准；</w:t>
      </w:r>
    </w:p>
    <w:p>
      <w:pPr>
        <w:ind w:firstLine="411" w:firstLineChars="196"/>
        <w:rPr>
          <w:rFonts w:ascii="宋体" w:hAnsi="宋体"/>
          <w:szCs w:val="21"/>
          <w:highlight w:val="none"/>
        </w:rPr>
      </w:pPr>
      <w:r>
        <w:rPr>
          <w:rFonts w:hint="eastAsia" w:ascii="宋体" w:hAnsi="宋体"/>
          <w:szCs w:val="21"/>
          <w:highlight w:val="none"/>
        </w:rPr>
        <w:t>34.3单价金额小数点或者百分比有明显错位，以开标一览表的总价为准，并修改单价；</w:t>
      </w:r>
    </w:p>
    <w:p>
      <w:pPr>
        <w:ind w:firstLine="411" w:firstLineChars="196"/>
        <w:rPr>
          <w:rFonts w:ascii="宋体" w:hAnsi="宋体"/>
          <w:szCs w:val="21"/>
          <w:highlight w:val="none"/>
        </w:rPr>
      </w:pPr>
      <w:r>
        <w:rPr>
          <w:rFonts w:hint="eastAsia" w:ascii="宋体" w:hAnsi="宋体"/>
          <w:szCs w:val="21"/>
          <w:highlight w:val="none"/>
        </w:rPr>
        <w:t>34.4总价金额与按单价汇总金额不一致的，以单价金额计算结果为准。</w:t>
      </w:r>
    </w:p>
    <w:p>
      <w:pPr>
        <w:ind w:firstLine="411" w:firstLineChars="196"/>
        <w:rPr>
          <w:rFonts w:ascii="宋体" w:hAnsi="宋体"/>
          <w:szCs w:val="21"/>
          <w:highlight w:val="none"/>
        </w:rPr>
      </w:pPr>
      <w:r>
        <w:rPr>
          <w:rFonts w:hint="eastAsia" w:ascii="宋体" w:hAnsi="宋体"/>
          <w:szCs w:val="21"/>
          <w:highlight w:val="none"/>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highlight w:val="none"/>
        </w:rPr>
      </w:pPr>
      <w:r>
        <w:rPr>
          <w:rFonts w:hint="eastAsia" w:ascii="黑体" w:hAnsi="宋体" w:eastAsia="黑体"/>
          <w:sz w:val="24"/>
          <w:highlight w:val="none"/>
        </w:rPr>
        <w:t>35．投标文件的比较与评价</w:t>
      </w:r>
    </w:p>
    <w:p>
      <w:pPr>
        <w:ind w:firstLine="411" w:firstLineChars="196"/>
        <w:rPr>
          <w:rFonts w:ascii="宋体" w:hAnsi="宋体"/>
          <w:szCs w:val="21"/>
          <w:highlight w:val="none"/>
        </w:rPr>
      </w:pPr>
      <w:r>
        <w:rPr>
          <w:rFonts w:hint="eastAsia" w:ascii="宋体" w:hAnsi="宋体"/>
          <w:szCs w:val="21"/>
          <w:highlight w:val="none"/>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highlight w:val="none"/>
        </w:rPr>
      </w:pPr>
      <w:r>
        <w:rPr>
          <w:rFonts w:hint="eastAsia" w:ascii="宋体" w:hAnsi="宋体"/>
          <w:szCs w:val="21"/>
          <w:highlight w:val="none"/>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highlight w:val="none"/>
        </w:rPr>
      </w:pPr>
      <w:r>
        <w:rPr>
          <w:rFonts w:hint="eastAsia" w:ascii="黑体" w:hAnsi="宋体" w:eastAsia="黑体"/>
          <w:sz w:val="24"/>
          <w:highlight w:val="none"/>
        </w:rPr>
        <w:t>36. 实地考察或资料查验</w:t>
      </w:r>
    </w:p>
    <w:p>
      <w:pPr>
        <w:ind w:firstLine="411" w:firstLineChars="196"/>
        <w:rPr>
          <w:rFonts w:ascii="宋体" w:hAnsi="宋体"/>
          <w:szCs w:val="21"/>
          <w:highlight w:val="none"/>
        </w:rPr>
      </w:pPr>
      <w:r>
        <w:rPr>
          <w:rFonts w:hint="eastAsia" w:ascii="宋体" w:hAnsi="宋体"/>
          <w:szCs w:val="21"/>
          <w:highlight w:val="none"/>
        </w:rPr>
        <w:t>36.1在评审过程中，评审委员会有权决定是否对本项目投标人进行实地考察或资料查验（原件）。投标人应随时做好接受实地考察或资料查验的准备。</w:t>
      </w:r>
    </w:p>
    <w:p>
      <w:pPr>
        <w:rPr>
          <w:rFonts w:ascii="黑体" w:hAnsi="宋体" w:eastAsia="黑体"/>
          <w:sz w:val="24"/>
          <w:highlight w:val="none"/>
        </w:rPr>
      </w:pPr>
      <w:r>
        <w:rPr>
          <w:rFonts w:hint="eastAsia" w:ascii="黑体" w:hAnsi="宋体" w:eastAsia="黑体"/>
          <w:sz w:val="24"/>
          <w:highlight w:val="none"/>
        </w:rPr>
        <w:t>37．评审方法</w:t>
      </w:r>
    </w:p>
    <w:p>
      <w:pPr>
        <w:ind w:firstLine="413" w:firstLineChars="196"/>
        <w:rPr>
          <w:rFonts w:ascii="宋体" w:hAnsi="宋体"/>
          <w:b/>
          <w:bCs/>
          <w:szCs w:val="21"/>
          <w:highlight w:val="none"/>
        </w:rPr>
      </w:pPr>
      <w:r>
        <w:rPr>
          <w:rFonts w:hint="eastAsia" w:ascii="宋体" w:hAnsi="宋体"/>
          <w:b/>
          <w:bCs/>
          <w:szCs w:val="21"/>
          <w:highlight w:val="none"/>
        </w:rPr>
        <w:t>37.1.1最低价法</w:t>
      </w:r>
    </w:p>
    <w:p>
      <w:pPr>
        <w:ind w:firstLine="411" w:firstLineChars="196"/>
        <w:rPr>
          <w:rFonts w:ascii="ˎ̥" w:hAnsi="ˎ̥"/>
          <w:highlight w:val="none"/>
        </w:rPr>
      </w:pPr>
      <w:bookmarkStart w:id="58" w:name="_Hlk72438142"/>
      <w:r>
        <w:rPr>
          <w:rFonts w:ascii="ˎ̥" w:hAnsi="ˎ̥"/>
          <w:highlight w:val="none"/>
        </w:rPr>
        <w:t>最低价法，是指</w:t>
      </w:r>
      <w:r>
        <w:rPr>
          <w:rFonts w:hint="eastAsia" w:ascii="ˎ̥" w:hAnsi="ˎ̥"/>
          <w:highlight w:val="none"/>
        </w:rPr>
        <w:t>完全</w:t>
      </w:r>
      <w:r>
        <w:rPr>
          <w:rFonts w:ascii="ˎ̥" w:hAnsi="ˎ̥"/>
          <w:highlight w:val="none"/>
        </w:rPr>
        <w:t>满足招标文件实质性要求，</w:t>
      </w:r>
      <w:r>
        <w:rPr>
          <w:rFonts w:hint="eastAsia" w:ascii="ˎ̥" w:hAnsi="ˎ̥"/>
          <w:highlight w:val="none"/>
        </w:rPr>
        <w:t>按照报价由低到高的顺序，依据招标文件中规定的数量或者比例推荐候选中标供应商。</w:t>
      </w:r>
    </w:p>
    <w:p>
      <w:pPr>
        <w:ind w:firstLine="413" w:firstLineChars="196"/>
        <w:rPr>
          <w:rFonts w:ascii="宋体" w:hAnsi="宋体"/>
          <w:b/>
          <w:bCs/>
          <w:szCs w:val="21"/>
          <w:highlight w:val="none"/>
        </w:rPr>
      </w:pPr>
      <w:r>
        <w:rPr>
          <w:rFonts w:hint="eastAsia" w:ascii="宋体" w:hAnsi="宋体"/>
          <w:b/>
          <w:bCs/>
          <w:szCs w:val="21"/>
          <w:highlight w:val="none"/>
        </w:rPr>
        <w:t>37.1.2综合评分法</w:t>
      </w:r>
    </w:p>
    <w:p>
      <w:pPr>
        <w:ind w:firstLine="411" w:firstLineChars="196"/>
        <w:rPr>
          <w:rFonts w:ascii="ˎ̥" w:hAnsi="ˎ̥"/>
          <w:highlight w:val="none"/>
        </w:rPr>
      </w:pPr>
      <w:r>
        <w:rPr>
          <w:rFonts w:ascii="ˎ̥" w:hAnsi="ˎ̥"/>
          <w:highlight w:val="none"/>
        </w:rPr>
        <w:t>综合评分法，是指</w:t>
      </w:r>
      <w:r>
        <w:rPr>
          <w:rFonts w:hint="eastAsia" w:ascii="ˎ̥" w:hAnsi="ˎ̥"/>
          <w:highlight w:val="none"/>
        </w:rPr>
        <w:t>在</w:t>
      </w:r>
      <w:r>
        <w:rPr>
          <w:rFonts w:ascii="ˎ̥" w:hAnsi="ˎ̥"/>
          <w:highlight w:val="none"/>
        </w:rPr>
        <w:t>满足招标文件全部实质性要求</w:t>
      </w:r>
      <w:r>
        <w:rPr>
          <w:rFonts w:hint="eastAsia" w:ascii="ˎ̥" w:hAnsi="ˎ̥"/>
          <w:highlight w:val="none"/>
        </w:rPr>
        <w:t>的前提下</w:t>
      </w:r>
      <w:r>
        <w:rPr>
          <w:rFonts w:ascii="ˎ̥" w:hAnsi="ˎ̥"/>
          <w:highlight w:val="none"/>
        </w:rPr>
        <w:t>，</w:t>
      </w:r>
      <w:r>
        <w:rPr>
          <w:rFonts w:hint="eastAsia" w:ascii="ˎ̥" w:hAnsi="ˎ̥"/>
          <w:highlight w:val="none"/>
        </w:rPr>
        <w:t>按照招标文件中规定的各项因素进行综合评审，评审总得分排名前列的投标人，作为推荐的候选中标供应商。</w:t>
      </w:r>
      <w:bookmarkEnd w:id="58"/>
      <w:r>
        <w:rPr>
          <w:rFonts w:hint="eastAsia" w:ascii="宋体" w:hAnsi="宋体"/>
          <w:bCs/>
          <w:color w:val="FF0000"/>
          <w:szCs w:val="21"/>
          <w:highlight w:val="none"/>
        </w:rPr>
        <w:t xml:space="preserve">  </w:t>
      </w:r>
      <w:r>
        <w:rPr>
          <w:rFonts w:hint="eastAsia" w:ascii="宋体" w:hAnsi="宋体"/>
          <w:bCs/>
          <w:szCs w:val="21"/>
          <w:highlight w:val="none"/>
        </w:rPr>
        <w:t xml:space="preserve">                                                                                                                                                                                                                                                                                                                                                                                                                                                                                                                                                                                                                                                                                                                                                                                                                                                                                                                                                                                                                                                                                                                                                                                                                                                                                                                                                                                                                                                                                                                                                                                                                                                                                                                                                                                                                                                                                                                                                                                                                                                                                                                                                                                                                                                                                                                                                                                                                                                                                                                                                                                                                                                                                                                                                                                                                                                                                                                                                                                                                           </w:t>
      </w:r>
    </w:p>
    <w:p>
      <w:pPr>
        <w:ind w:firstLine="413" w:firstLineChars="196"/>
        <w:rPr>
          <w:rFonts w:ascii="宋体" w:hAnsi="宋体"/>
          <w:b/>
          <w:bCs/>
          <w:szCs w:val="21"/>
          <w:highlight w:val="none"/>
        </w:rPr>
      </w:pPr>
      <w:r>
        <w:rPr>
          <w:rFonts w:hint="eastAsia" w:ascii="宋体" w:hAnsi="宋体"/>
          <w:b/>
          <w:bCs/>
          <w:szCs w:val="21"/>
          <w:highlight w:val="none"/>
        </w:rPr>
        <w:t>37.2 本项目采用的评审方法见本项目招标文件第一册“专用条款”的相关内容。</w:t>
      </w:r>
    </w:p>
    <w:p>
      <w:pPr>
        <w:ind w:firstLine="413" w:firstLineChars="196"/>
        <w:rPr>
          <w:rFonts w:ascii="宋体" w:hAnsi="宋体"/>
          <w:b/>
          <w:bCs/>
          <w:szCs w:val="21"/>
          <w:highlight w:val="none"/>
        </w:rPr>
      </w:pPr>
      <w:r>
        <w:rPr>
          <w:rFonts w:hint="eastAsia" w:ascii="宋体" w:hAnsi="宋体"/>
          <w:b/>
          <w:bCs/>
          <w:szCs w:val="21"/>
          <w:highlight w:val="none"/>
        </w:rPr>
        <w:t>37.3重新评审的情形</w:t>
      </w:r>
    </w:p>
    <w:p>
      <w:pPr>
        <w:ind w:firstLine="411" w:firstLineChars="196"/>
        <w:rPr>
          <w:rFonts w:ascii="宋体" w:hAnsi="宋体"/>
          <w:b/>
          <w:bCs/>
          <w:szCs w:val="21"/>
          <w:highlight w:val="none"/>
        </w:rPr>
      </w:pPr>
      <w:r>
        <w:rPr>
          <w:rFonts w:hint="eastAsia" w:ascii="宋体" w:hAnsi="宋体" w:cs="宋体"/>
          <w:kern w:val="0"/>
          <w:szCs w:val="21"/>
          <w:highlight w:val="none"/>
        </w:rPr>
        <w:t>评审结果汇总完成后，除下列情形外，任何人不得修改评审结果：</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37.3.1分值汇总计算错误的；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37.3.2分项评分超出评分标准范围的；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37.3.3评审委员会成员对客观评审因素评分不一致的；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37.3.4经评审委员会认定评分畸高、畸低的。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highlight w:val="none"/>
        </w:rPr>
      </w:pPr>
      <w:r>
        <w:rPr>
          <w:rFonts w:hint="eastAsia" w:ascii="宋体" w:hAnsi="宋体"/>
          <w:b/>
          <w:bCs/>
          <w:szCs w:val="21"/>
          <w:highlight w:val="none"/>
        </w:rPr>
        <w:t xml:space="preserve"> 37.4重新组建评审委员会的情形</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37.4.1评审委员会组成不符合《政府采购货物和服务招标投标管理办法》规定的；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37.4.2有《政府采购货物和服务招标投标管理办法》第六十二条第一至五项情形的；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37.4.3评审委员会及其成员独立评标受到非法干预的；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37.4.4有政府采购法实施条例第七十五条规定的违法行为的。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有违法违规行为的原评审委员会成员不得参加重新组建的评审委员会。</w:t>
      </w:r>
    </w:p>
    <w:p>
      <w:pPr>
        <w:ind w:firstLine="411" w:firstLineChars="196"/>
        <w:rPr>
          <w:rFonts w:ascii="宋体" w:hAnsi="宋体"/>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定标及公示</w:t>
      </w:r>
    </w:p>
    <w:p>
      <w:pPr>
        <w:rPr>
          <w:rFonts w:ascii="黑体" w:hAnsi="宋体" w:eastAsia="黑体"/>
          <w:sz w:val="24"/>
          <w:highlight w:val="none"/>
        </w:rPr>
      </w:pPr>
      <w:r>
        <w:rPr>
          <w:rFonts w:hint="eastAsia" w:ascii="黑体" w:hAnsi="宋体" w:eastAsia="黑体"/>
          <w:sz w:val="24"/>
          <w:highlight w:val="none"/>
        </w:rPr>
        <w:t>38．定标方法</w:t>
      </w:r>
    </w:p>
    <w:p>
      <w:pPr>
        <w:ind w:firstLine="411" w:firstLineChars="196"/>
        <w:rPr>
          <w:rFonts w:ascii="宋体" w:hAnsi="宋体"/>
          <w:szCs w:val="21"/>
          <w:highlight w:val="none"/>
        </w:rPr>
      </w:pPr>
      <w:bookmarkStart w:id="59" w:name="_Hlk73782795"/>
      <w:r>
        <w:rPr>
          <w:rFonts w:hint="eastAsia" w:ascii="宋体" w:hAnsi="宋体"/>
          <w:szCs w:val="21"/>
          <w:highlight w:val="none"/>
        </w:rPr>
        <w:t>38.1非评定分离项目定标方法</w:t>
      </w:r>
    </w:p>
    <w:p>
      <w:pPr>
        <w:ind w:firstLine="411" w:firstLineChars="196"/>
        <w:rPr>
          <w:rFonts w:ascii="宋体" w:hAnsi="宋体"/>
          <w:szCs w:val="21"/>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1.2</w:t>
      </w:r>
      <w:r>
        <w:rPr>
          <w:rFonts w:ascii="ˎ̥" w:hAnsi="ˎ̥"/>
          <w:highlight w:val="none"/>
        </w:rPr>
        <w:t>采用最低价法的，评</w:t>
      </w:r>
      <w:r>
        <w:rPr>
          <w:rFonts w:hint="eastAsia" w:ascii="ˎ̥" w:hAnsi="ˎ̥"/>
          <w:highlight w:val="none"/>
        </w:rPr>
        <w:t>审</w:t>
      </w:r>
      <w:r>
        <w:rPr>
          <w:rFonts w:ascii="ˎ̥" w:hAnsi="ˎ̥"/>
          <w:highlight w:val="none"/>
        </w:rPr>
        <w:t>结果按投标报价由低到高顺序排列。投标报价相同的并列。投标文件满足招标文件全部实质性要求且投标报价最低的</w:t>
      </w:r>
      <w:r>
        <w:rPr>
          <w:rFonts w:hint="eastAsia" w:ascii="ˎ̥" w:hAnsi="ˎ̥"/>
          <w:highlight w:val="none"/>
        </w:rPr>
        <w:t>投标人为</w:t>
      </w:r>
      <w:bookmarkStart w:id="60" w:name="_Hlk73821177"/>
      <w:r>
        <w:rPr>
          <w:rFonts w:hint="eastAsia" w:ascii="ˎ̥" w:hAnsi="ˎ̥"/>
          <w:highlight w:val="none"/>
          <w:lang w:val="en-US" w:eastAsia="zh-CN"/>
        </w:rPr>
        <w:t>唯一候选</w:t>
      </w:r>
      <w:r>
        <w:rPr>
          <w:rFonts w:hint="eastAsia" w:ascii="ˎ̥" w:hAnsi="ˎ̥"/>
          <w:highlight w:val="none"/>
        </w:rPr>
        <w:t>中标供应商</w:t>
      </w:r>
      <w:bookmarkEnd w:id="60"/>
      <w:r>
        <w:rPr>
          <w:rFonts w:ascii="ˎ̥" w:hAnsi="ˎ̥"/>
          <w:highlight w:val="none"/>
        </w:rPr>
        <w:t>。</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1.3</w:t>
      </w:r>
      <w:r>
        <w:rPr>
          <w:rFonts w:ascii="宋体" w:hAnsi="宋体"/>
          <w:szCs w:val="21"/>
          <w:highlight w:val="none"/>
        </w:rPr>
        <w:t>采</w:t>
      </w:r>
      <w:r>
        <w:rPr>
          <w:rFonts w:ascii="ˎ̥" w:hAnsi="ˎ̥"/>
          <w:highlight w:val="none"/>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highlight w:val="none"/>
        </w:rPr>
        <w:t>为唯一</w:t>
      </w:r>
      <w:r>
        <w:rPr>
          <w:rFonts w:hint="eastAsia" w:ascii="ˎ̥" w:hAnsi="ˎ̥"/>
          <w:highlight w:val="none"/>
          <w:lang w:val="en-US" w:eastAsia="zh-CN"/>
        </w:rPr>
        <w:t>候选</w:t>
      </w:r>
      <w:r>
        <w:rPr>
          <w:rFonts w:hint="eastAsia" w:ascii="ˎ̥" w:hAnsi="ˎ̥"/>
          <w:highlight w:val="none"/>
        </w:rPr>
        <w:t>中标供应商</w:t>
      </w:r>
      <w:r>
        <w:rPr>
          <w:rFonts w:ascii="ˎ̥" w:hAnsi="ˎ̥"/>
          <w:highlight w:val="none"/>
        </w:rPr>
        <w:t>。</w:t>
      </w:r>
      <w:r>
        <w:rPr>
          <w:rFonts w:hint="eastAsia" w:ascii="ˎ̥" w:hAnsi="ˎ̥"/>
          <w:highlight w:val="none"/>
        </w:rPr>
        <w:t>出现</w:t>
      </w:r>
      <w:r>
        <w:rPr>
          <w:rFonts w:ascii="ˎ̥" w:hAnsi="ˎ̥"/>
          <w:highlight w:val="none"/>
        </w:rPr>
        <w:t>得分且投标报价相同的并列</w:t>
      </w:r>
      <w:r>
        <w:rPr>
          <w:rFonts w:hint="eastAsia" w:ascii="ˎ̥" w:hAnsi="ˎ̥"/>
          <w:highlight w:val="none"/>
        </w:rPr>
        <w:t>情况时，采取随机抽取的方式确定，具体操作办法及流程由评审委员会确定</w:t>
      </w:r>
      <w:r>
        <w:rPr>
          <w:rFonts w:hint="eastAsia" w:ascii="ˎ̥" w:hAnsi="ˎ̥"/>
          <w:highlight w:val="none"/>
          <w:lang w:eastAsia="zh-CN"/>
        </w:rPr>
        <w:t>（</w:t>
      </w:r>
      <w:r>
        <w:rPr>
          <w:rFonts w:hint="eastAsia" w:ascii="ˎ̥" w:hAnsi="ˎ̥"/>
          <w:highlight w:val="none"/>
          <w:lang w:val="en-US" w:eastAsia="zh-CN"/>
        </w:rPr>
        <w:t>如“专用条款”中另有规定的以“专用条款”相关规定内容为准</w:t>
      </w:r>
      <w:r>
        <w:rPr>
          <w:rFonts w:hint="eastAsia" w:ascii="ˎ̥" w:hAnsi="ˎ̥"/>
          <w:highlight w:val="none"/>
          <w:lang w:eastAsia="zh-CN"/>
        </w:rPr>
        <w:t>）</w:t>
      </w:r>
      <w:r>
        <w:rPr>
          <w:rFonts w:hint="eastAsia" w:ascii="ˎ̥" w:hAnsi="ˎ̥"/>
          <w:highlight w:val="none"/>
        </w:rPr>
        <w:t>。如唯一候选中标供应商被认定投标或中标无效，采购人应当重新开展采购活动</w:t>
      </w:r>
      <w:r>
        <w:rPr>
          <w:rFonts w:hint="eastAsia" w:ascii="ˎ̥" w:hAnsi="ˎ̥"/>
          <w:highlight w:val="none"/>
          <w:lang w:eastAsia="zh-CN"/>
        </w:rPr>
        <w:t>。</w:t>
      </w:r>
    </w:p>
    <w:p>
      <w:pPr>
        <w:ind w:firstLine="411" w:firstLineChars="196"/>
        <w:rPr>
          <w:rFonts w:ascii="宋体" w:hAnsi="宋体"/>
          <w:szCs w:val="21"/>
          <w:highlight w:val="none"/>
        </w:rPr>
      </w:pPr>
      <w:r>
        <w:rPr>
          <w:rFonts w:hint="eastAsia" w:ascii="宋体" w:hAnsi="宋体"/>
          <w:szCs w:val="21"/>
          <w:highlight w:val="none"/>
        </w:rPr>
        <w:t>38.2评定分离项目定标方法</w:t>
      </w:r>
    </w:p>
    <w:p>
      <w:pPr>
        <w:ind w:firstLine="411" w:firstLineChars="196"/>
        <w:rPr>
          <w:rFonts w:ascii="宋体" w:hAnsi="宋体"/>
          <w:szCs w:val="21"/>
          <w:highlight w:val="none"/>
        </w:rPr>
      </w:pPr>
      <w:r>
        <w:rPr>
          <w:rFonts w:hint="eastAsia" w:ascii="宋体" w:hAnsi="宋体"/>
          <w:szCs w:val="21"/>
          <w:highlight w:val="none"/>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rPr>
          <w:highlight w:val="none"/>
        </w:rPr>
      </w:pPr>
      <w:r>
        <w:rPr>
          <w:rFonts w:ascii="宋体" w:hAnsi="宋体"/>
          <w:szCs w:val="21"/>
          <w:highlight w:val="none"/>
        </w:rPr>
        <w:t xml:space="preserve">38.2.2 </w:t>
      </w:r>
      <w:bookmarkStart w:id="61" w:name="_Hlk71469733"/>
      <w:r>
        <w:rPr>
          <w:highlight w:val="none"/>
        </w:rPr>
        <w:t>适用评定分离的政府采购项目，采用综合评分法评</w:t>
      </w:r>
      <w:r>
        <w:rPr>
          <w:rFonts w:hint="eastAsia"/>
          <w:highlight w:val="none"/>
        </w:rPr>
        <w:t>审。</w:t>
      </w:r>
      <w:r>
        <w:rPr>
          <w:rFonts w:hint="eastAsia" w:ascii="宋体" w:hAnsi="宋体"/>
          <w:szCs w:val="21"/>
          <w:highlight w:val="none"/>
        </w:rPr>
        <w:t>评审委员会按照评审结果，推荐</w:t>
      </w:r>
      <w:r>
        <w:rPr>
          <w:highlight w:val="none"/>
        </w:rPr>
        <w:t>三个合格的候选中标供应商。</w:t>
      </w:r>
    </w:p>
    <w:p>
      <w:pPr>
        <w:ind w:firstLine="411" w:firstLineChars="196"/>
        <w:rPr>
          <w:rFonts w:ascii="宋体" w:hAnsi="宋体"/>
          <w:szCs w:val="21"/>
          <w:highlight w:val="none"/>
        </w:rPr>
      </w:pPr>
      <w:r>
        <w:rPr>
          <w:rFonts w:hint="eastAsia" w:ascii="宋体" w:hAnsi="宋体"/>
          <w:szCs w:val="21"/>
          <w:highlight w:val="none"/>
        </w:rPr>
        <w:t>38.2.3</w:t>
      </w:r>
      <w:bookmarkStart w:id="62" w:name="_Hlk71469688"/>
      <w:r>
        <w:rPr>
          <w:highlight w:val="none"/>
        </w:rPr>
        <w:t>适用评定分离的政府采购项目，</w:t>
      </w:r>
      <w:r>
        <w:rPr>
          <w:rFonts w:hint="eastAsia" w:ascii="宋体" w:hAnsi="宋体"/>
          <w:szCs w:val="21"/>
          <w:highlight w:val="none"/>
        </w:rPr>
        <w:t>按照自定法确定中标供应商：自定法是指采购人组织定标委员会，由定标委员会在三家候选中标供应商中确定中标供应商。</w:t>
      </w:r>
      <w:bookmarkEnd w:id="61"/>
      <w:bookmarkEnd w:id="62"/>
    </w:p>
    <w:p>
      <w:pPr>
        <w:ind w:firstLine="411" w:firstLineChars="196"/>
        <w:rPr>
          <w:rFonts w:ascii="宋体" w:hAnsi="宋体"/>
          <w:szCs w:val="21"/>
          <w:highlight w:val="none"/>
        </w:rPr>
      </w:pPr>
      <w:r>
        <w:rPr>
          <w:rFonts w:ascii="宋体" w:hAnsi="宋体"/>
          <w:szCs w:val="21"/>
          <w:highlight w:val="none"/>
        </w:rPr>
        <w:t>38.2.4</w:t>
      </w:r>
      <w:r>
        <w:rPr>
          <w:rFonts w:hint="eastAsia" w:ascii="宋体" w:hAnsi="宋体"/>
          <w:szCs w:val="21"/>
          <w:highlight w:val="none"/>
        </w:rPr>
        <w:t>政府集中采购机构</w:t>
      </w:r>
      <w:r>
        <w:rPr>
          <w:highlight w:val="none"/>
        </w:rPr>
        <w:t>应当自评审结束之日起两个工作日内将候选中标供应商名单及其投标文件、评审报告送交采购人</w:t>
      </w:r>
      <w:r>
        <w:rPr>
          <w:rFonts w:hint="eastAsia" w:ascii="宋体" w:hAnsi="宋体"/>
          <w:szCs w:val="21"/>
          <w:highlight w:val="none"/>
        </w:rPr>
        <w:t>。</w:t>
      </w:r>
      <w:r>
        <w:rPr>
          <w:highlight w:val="none"/>
        </w:rPr>
        <w:t>采购人应当安排专人对定标过程进行书面记录，形成定标报告，作为采购文件的组成部分存档，并及时将定标结果反馈</w:t>
      </w:r>
      <w:r>
        <w:rPr>
          <w:rFonts w:hint="eastAsia"/>
          <w:highlight w:val="none"/>
        </w:rPr>
        <w:t>政府集中采购机构。具体定标程序及相关要求以按照《</w:t>
      </w:r>
      <w:r>
        <w:rPr>
          <w:highlight w:val="none"/>
        </w:rPr>
        <w:t>深圳市财政局关于印发</w:t>
      </w:r>
      <w:r>
        <w:rPr>
          <w:rFonts w:hint="eastAsia" w:ascii="宋体" w:hAnsi="宋体"/>
          <w:highlight w:val="none"/>
        </w:rPr>
        <w:t>〈</w:t>
      </w:r>
      <w:r>
        <w:rPr>
          <w:highlight w:val="none"/>
        </w:rPr>
        <w:t>深圳市政府采购评标定标分离管理办法</w:t>
      </w:r>
      <w:r>
        <w:rPr>
          <w:rFonts w:hint="eastAsia" w:ascii="宋体" w:hAnsi="宋体"/>
          <w:highlight w:val="none"/>
        </w:rPr>
        <w:t>〉</w:t>
      </w:r>
      <w:r>
        <w:rPr>
          <w:highlight w:val="none"/>
        </w:rPr>
        <w:t>的通知</w:t>
      </w:r>
      <w:r>
        <w:rPr>
          <w:rFonts w:hint="eastAsia"/>
          <w:highlight w:val="none"/>
        </w:rPr>
        <w:t>》（深财规【2</w:t>
      </w:r>
      <w:r>
        <w:rPr>
          <w:highlight w:val="none"/>
        </w:rPr>
        <w:t>020</w:t>
      </w:r>
      <w:r>
        <w:rPr>
          <w:rFonts w:hint="eastAsia"/>
          <w:highlight w:val="none"/>
        </w:rPr>
        <w:t>】1号）执行。</w:t>
      </w:r>
    </w:p>
    <w:p>
      <w:pPr>
        <w:ind w:firstLine="411" w:firstLineChars="196"/>
        <w:rPr>
          <w:rFonts w:ascii="宋体" w:hAnsi="宋体"/>
          <w:szCs w:val="21"/>
          <w:highlight w:val="none"/>
        </w:rPr>
      </w:pPr>
      <w:r>
        <w:rPr>
          <w:rFonts w:hint="eastAsia" w:ascii="宋体" w:hAnsi="宋体"/>
          <w:szCs w:val="21"/>
          <w:highlight w:val="none"/>
        </w:rPr>
        <w:t>说明：采购人及投标供应商应按照上述方法提前做好相关准备。</w:t>
      </w:r>
    </w:p>
    <w:p>
      <w:pPr>
        <w:ind w:firstLine="411" w:firstLineChars="196"/>
        <w:rPr>
          <w:rFonts w:ascii="宋体" w:hAnsi="宋体"/>
          <w:szCs w:val="21"/>
          <w:highlight w:val="none"/>
        </w:rPr>
      </w:pPr>
      <w:r>
        <w:rPr>
          <w:rFonts w:hint="eastAsia" w:ascii="宋体" w:hAnsi="宋体"/>
          <w:szCs w:val="21"/>
          <w:highlight w:val="none"/>
        </w:rPr>
        <w:t>38.3专用条款另有规定的，按专用条款相关要求定标。</w:t>
      </w:r>
      <w:bookmarkEnd w:id="59"/>
    </w:p>
    <w:p>
      <w:pPr>
        <w:rPr>
          <w:rFonts w:ascii="黑体" w:hAnsi="宋体" w:eastAsia="黑体"/>
          <w:sz w:val="24"/>
          <w:highlight w:val="none"/>
        </w:rPr>
      </w:pPr>
      <w:r>
        <w:rPr>
          <w:rFonts w:hint="eastAsia" w:ascii="黑体" w:hAnsi="宋体" w:eastAsia="黑体"/>
          <w:sz w:val="24"/>
          <w:highlight w:val="none"/>
        </w:rPr>
        <w:t>39．编写评审报告</w:t>
      </w:r>
    </w:p>
    <w:p>
      <w:pPr>
        <w:ind w:firstLine="411" w:firstLineChars="196"/>
        <w:rPr>
          <w:rFonts w:ascii="宋体" w:hAnsi="宋体"/>
          <w:szCs w:val="21"/>
          <w:highlight w:val="none"/>
        </w:rPr>
      </w:pPr>
      <w:r>
        <w:rPr>
          <w:rFonts w:hint="eastAsia" w:ascii="宋体" w:hAnsi="宋体"/>
          <w:szCs w:val="21"/>
          <w:highlight w:val="none"/>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highlight w:val="none"/>
        </w:rPr>
      </w:pPr>
      <w:r>
        <w:rPr>
          <w:rFonts w:hint="eastAsia" w:ascii="黑体" w:hAnsi="宋体" w:eastAsia="黑体"/>
          <w:sz w:val="24"/>
          <w:highlight w:val="none"/>
        </w:rPr>
        <w:t>40．中标公告</w:t>
      </w:r>
    </w:p>
    <w:p>
      <w:pPr>
        <w:ind w:firstLine="411" w:firstLineChars="196"/>
        <w:rPr>
          <w:rFonts w:ascii="宋体" w:hAnsi="宋体"/>
          <w:szCs w:val="21"/>
          <w:highlight w:val="none"/>
        </w:rPr>
      </w:pPr>
      <w:r>
        <w:rPr>
          <w:rFonts w:hint="eastAsia" w:ascii="宋体" w:hAnsi="宋体"/>
          <w:szCs w:val="21"/>
          <w:highlight w:val="none"/>
        </w:rPr>
        <w:t>40.1</w:t>
      </w:r>
      <w:bookmarkStart w:id="63" w:name="_Hlk72438709"/>
      <w:r>
        <w:rPr>
          <w:rFonts w:hint="eastAsia" w:ascii="宋体" w:hAnsi="宋体"/>
          <w:szCs w:val="21"/>
          <w:highlight w:val="none"/>
        </w:rPr>
        <w:t>为体现“公开、公平、公正”的原则，评审结束后经采购人确认（确定）评审结果，政府集中采购机构将在</w:t>
      </w:r>
      <w:r>
        <w:rPr>
          <w:rFonts w:hint="eastAsia" w:ascii="宋体" w:hAnsi="宋体"/>
          <w:b/>
          <w:bCs/>
          <w:szCs w:val="21"/>
          <w:highlight w:val="none"/>
        </w:rPr>
        <w:t>深圳公共资源交易网（https://szggzy.com/）</w:t>
      </w:r>
      <w:r>
        <w:rPr>
          <w:rFonts w:hint="eastAsia" w:ascii="宋体" w:hAnsi="宋体"/>
          <w:szCs w:val="21"/>
          <w:highlight w:val="none"/>
        </w:rPr>
        <w:t>上发布中标结果公告。</w:t>
      </w:r>
      <w:bookmarkEnd w:id="63"/>
      <w:bookmarkStart w:id="64" w:name="_Hlk72438751"/>
      <w:r>
        <w:rPr>
          <w:rFonts w:hint="eastAsia" w:ascii="宋体" w:hAnsi="宋体"/>
          <w:szCs w:val="21"/>
          <w:highlight w:val="none"/>
        </w:rPr>
        <w:t>供应商如对评审结果有异议，</w:t>
      </w:r>
      <w:r>
        <w:rPr>
          <w:rFonts w:ascii="宋体" w:hAnsi="宋体"/>
          <w:szCs w:val="21"/>
          <w:highlight w:val="none"/>
        </w:rPr>
        <w:t>可在发布公示日期起</w:t>
      </w:r>
      <w:r>
        <w:rPr>
          <w:rFonts w:hint="eastAsia" w:ascii="宋体" w:hAnsi="宋体"/>
          <w:szCs w:val="21"/>
          <w:highlight w:val="none"/>
        </w:rPr>
        <w:t>七</w:t>
      </w:r>
      <w:r>
        <w:rPr>
          <w:rFonts w:ascii="宋体" w:hAnsi="宋体"/>
          <w:szCs w:val="21"/>
          <w:highlight w:val="none"/>
        </w:rPr>
        <w:t>个工作日内向</w:t>
      </w:r>
      <w:r>
        <w:rPr>
          <w:rFonts w:hint="eastAsia" w:ascii="宋体" w:hAnsi="宋体"/>
          <w:szCs w:val="21"/>
          <w:highlight w:val="none"/>
        </w:rPr>
        <w:t>政府集中采购机构</w:t>
      </w:r>
      <w:r>
        <w:rPr>
          <w:rFonts w:ascii="宋体" w:hAnsi="宋体"/>
          <w:szCs w:val="21"/>
          <w:highlight w:val="none"/>
        </w:rPr>
        <w:t>提出。 监督电话：0755-83948143。</w:t>
      </w:r>
      <w:r>
        <w:rPr>
          <w:rFonts w:hint="eastAsia" w:ascii="宋体" w:hAnsi="宋体"/>
          <w:szCs w:val="21"/>
          <w:highlight w:val="none"/>
        </w:rPr>
        <w:t>若在公示期内未提出质疑，则视为认同该评审结果。</w:t>
      </w:r>
    </w:p>
    <w:bookmarkEnd w:id="64"/>
    <w:p>
      <w:pPr>
        <w:ind w:firstLine="411" w:firstLineChars="196"/>
        <w:rPr>
          <w:rFonts w:ascii="宋体" w:hAnsi="宋体"/>
          <w:szCs w:val="21"/>
          <w:highlight w:val="none"/>
        </w:rPr>
      </w:pPr>
      <w:r>
        <w:rPr>
          <w:rFonts w:hint="eastAsia" w:ascii="宋体" w:hAnsi="宋体"/>
          <w:szCs w:val="21"/>
          <w:highlight w:val="none"/>
        </w:rPr>
        <w:t>40.2质疑、投诉供应商应保证质疑、投诉内容的真实性和可靠性，并承担相应的法律责任。</w:t>
      </w:r>
    </w:p>
    <w:p>
      <w:pPr>
        <w:rPr>
          <w:rFonts w:ascii="黑体" w:hAnsi="宋体" w:eastAsia="黑体"/>
          <w:sz w:val="24"/>
          <w:highlight w:val="none"/>
        </w:rPr>
      </w:pPr>
      <w:r>
        <w:rPr>
          <w:rFonts w:hint="eastAsia" w:ascii="黑体" w:hAnsi="宋体" w:eastAsia="黑体"/>
          <w:sz w:val="24"/>
          <w:highlight w:val="none"/>
        </w:rPr>
        <w:t>41．中标通知书</w:t>
      </w:r>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w:t>
      </w:r>
      <w:r>
        <w:rPr>
          <w:rFonts w:hint="eastAsia" w:ascii="宋体" w:hAnsi="宋体"/>
          <w:szCs w:val="21"/>
          <w:highlight w:val="none"/>
        </w:rPr>
        <w:t>1</w:t>
      </w:r>
      <w:bookmarkStart w:id="65" w:name="_Hlk72438863"/>
      <w:r>
        <w:rPr>
          <w:rFonts w:hint="eastAsia" w:ascii="宋体" w:hAnsi="宋体"/>
          <w:szCs w:val="21"/>
          <w:highlight w:val="none"/>
        </w:rPr>
        <w:t>中标公告公布以后无异常的情况下,中标供应商和采购人可自行在</w:t>
      </w:r>
      <w:r>
        <w:rPr>
          <w:rFonts w:hint="eastAsia" w:ascii="宋体" w:hAnsi="宋体"/>
          <w:b/>
          <w:bCs/>
          <w:szCs w:val="21"/>
          <w:highlight w:val="none"/>
        </w:rPr>
        <w:t>“深圳政府采购智慧平台（http://zfcg.szggzy.com/）”</w:t>
      </w:r>
      <w:r>
        <w:rPr>
          <w:rFonts w:hint="eastAsia" w:ascii="宋体" w:hAnsi="宋体"/>
          <w:szCs w:val="21"/>
          <w:highlight w:val="none"/>
        </w:rPr>
        <w:t>上打印</w:t>
      </w:r>
      <w:r>
        <w:rPr>
          <w:rFonts w:hint="eastAsia" w:ascii="宋体" w:hAnsi="宋体"/>
          <w:b/>
          <w:szCs w:val="21"/>
          <w:highlight w:val="none"/>
        </w:rPr>
        <w:t>《数字中标通知书》</w:t>
      </w:r>
      <w:r>
        <w:rPr>
          <w:rFonts w:hint="eastAsia" w:ascii="宋体" w:hAnsi="宋体"/>
          <w:szCs w:val="21"/>
          <w:highlight w:val="none"/>
        </w:rPr>
        <w:t>。</w:t>
      </w:r>
      <w:bookmarkEnd w:id="65"/>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.2</w:t>
      </w:r>
      <w:r>
        <w:rPr>
          <w:rFonts w:hint="eastAsia" w:ascii="宋体" w:hAnsi="宋体"/>
          <w:szCs w:val="21"/>
          <w:highlight w:val="none"/>
        </w:rPr>
        <w:t>中标通知书是合同的重要组成部分。</w:t>
      </w:r>
    </w:p>
    <w:p>
      <w:pPr>
        <w:ind w:firstLine="411" w:firstLineChars="196"/>
        <w:rPr>
          <w:rFonts w:ascii="宋体" w:hAnsi="宋体"/>
          <w:szCs w:val="21"/>
          <w:highlight w:val="none"/>
        </w:rPr>
      </w:pPr>
      <w:bookmarkStart w:id="66" w:name="_Hlk71407340"/>
      <w:r>
        <w:rPr>
          <w:rFonts w:hint="eastAsia" w:ascii="宋体" w:hAnsi="宋体"/>
          <w:szCs w:val="21"/>
          <w:highlight w:val="none"/>
        </w:rPr>
        <w:t>41.3因质疑投诉或其它原因导致项目结果变更或采购终止的，政府集中采购机构有权吊销中标通知书。</w:t>
      </w:r>
    </w:p>
    <w:bookmarkEnd w:id="66"/>
    <w:p>
      <w:pPr>
        <w:ind w:firstLine="411" w:firstLineChars="196"/>
        <w:rPr>
          <w:rFonts w:ascii="宋体" w:hAnsi="宋体"/>
          <w:szCs w:val="21"/>
          <w:highlight w:val="none"/>
        </w:rPr>
      </w:pPr>
    </w:p>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公开招标失败的后续处理</w:t>
      </w:r>
    </w:p>
    <w:p>
      <w:pPr>
        <w:rPr>
          <w:rFonts w:ascii="黑体" w:hAnsi="宋体" w:eastAsia="黑体"/>
          <w:sz w:val="24"/>
          <w:highlight w:val="none"/>
        </w:rPr>
      </w:pPr>
      <w:r>
        <w:rPr>
          <w:rFonts w:hint="eastAsia" w:ascii="黑体" w:hAnsi="宋体" w:eastAsia="黑体"/>
          <w:sz w:val="24"/>
          <w:highlight w:val="none"/>
        </w:rPr>
        <w:t>42．公开招标失败的处理</w:t>
      </w:r>
    </w:p>
    <w:p>
      <w:pPr>
        <w:ind w:firstLine="411" w:firstLineChars="196"/>
        <w:rPr>
          <w:rFonts w:ascii="宋体" w:hAnsi="宋体"/>
          <w:highlight w:val="none"/>
        </w:rPr>
      </w:pPr>
      <w:r>
        <w:rPr>
          <w:rFonts w:hint="eastAsia" w:ascii="宋体" w:hAnsi="宋体"/>
          <w:szCs w:val="21"/>
          <w:highlight w:val="none"/>
        </w:rPr>
        <w:t>42.1本项目公开招标过程中若由于投标截止后</w:t>
      </w:r>
      <w:r>
        <w:rPr>
          <w:rFonts w:hint="eastAsia" w:ascii="宋体" w:hAnsi="宋体"/>
          <w:highlight w:val="none"/>
        </w:rPr>
        <w:t>实际递交</w:t>
      </w:r>
      <w:r>
        <w:rPr>
          <w:rFonts w:ascii="宋体" w:hAnsi="宋体"/>
          <w:highlight w:val="none"/>
        </w:rPr>
        <w:t>投标</w:t>
      </w:r>
      <w:r>
        <w:rPr>
          <w:rFonts w:hint="eastAsia" w:ascii="宋体" w:hAnsi="宋体"/>
          <w:highlight w:val="none"/>
        </w:rPr>
        <w:t>文件的供应商数量不足、经</w:t>
      </w:r>
      <w:r>
        <w:rPr>
          <w:rFonts w:hint="eastAsia" w:ascii="宋体" w:hAnsi="宋体"/>
          <w:szCs w:val="21"/>
          <w:highlight w:val="none"/>
        </w:rPr>
        <w:t>评审委员会</w:t>
      </w:r>
      <w:r>
        <w:rPr>
          <w:rFonts w:hint="eastAsia" w:ascii="宋体" w:hAnsi="宋体"/>
          <w:highlight w:val="none"/>
        </w:rPr>
        <w:t>评审对招标文件作实质响应的供应商不足等原因造成公开招标失败，可由</w:t>
      </w:r>
      <w:r>
        <w:rPr>
          <w:rFonts w:hint="eastAsia" w:ascii="宋体" w:hAnsi="宋体" w:cs="宋体"/>
          <w:highlight w:val="none"/>
        </w:rPr>
        <w:t>政府集中采购机构</w:t>
      </w:r>
      <w:r>
        <w:rPr>
          <w:rFonts w:hint="eastAsia" w:ascii="宋体" w:hAnsi="宋体"/>
          <w:highlight w:val="none"/>
        </w:rPr>
        <w:t>重新组织采购。</w:t>
      </w:r>
    </w:p>
    <w:p>
      <w:pPr>
        <w:ind w:firstLine="411" w:firstLineChars="196"/>
        <w:rPr>
          <w:rFonts w:ascii="宋体" w:hAnsi="宋体"/>
          <w:szCs w:val="21"/>
          <w:highlight w:val="none"/>
        </w:rPr>
      </w:pPr>
      <w:r>
        <w:rPr>
          <w:rFonts w:hint="eastAsia" w:ascii="宋体" w:hAnsi="宋体"/>
          <w:szCs w:val="21"/>
          <w:highlight w:val="none"/>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highlight w:val="none"/>
        </w:rPr>
      </w:pPr>
      <w:r>
        <w:rPr>
          <w:rFonts w:hint="eastAsia" w:ascii="宋体" w:hAnsi="宋体"/>
          <w:szCs w:val="21"/>
          <w:highlight w:val="none"/>
        </w:rPr>
        <w:t>42.3重新组织采购有以下两种组织形式：</w:t>
      </w:r>
    </w:p>
    <w:p>
      <w:pPr>
        <w:ind w:firstLine="411" w:firstLineChars="196"/>
        <w:rPr>
          <w:rFonts w:ascii="宋体" w:hAnsi="宋体"/>
          <w:highlight w:val="none"/>
        </w:rPr>
      </w:pPr>
      <w:r>
        <w:rPr>
          <w:rFonts w:hint="eastAsia" w:ascii="宋体" w:hAnsi="宋体"/>
          <w:highlight w:val="none"/>
        </w:rPr>
        <w:t>（1）由政府集中采购机构重新组织公开招标；</w:t>
      </w:r>
    </w:p>
    <w:p>
      <w:pPr>
        <w:ind w:firstLine="411" w:firstLineChars="196"/>
        <w:rPr>
          <w:rFonts w:ascii="宋体" w:hAnsi="宋体"/>
          <w:highlight w:val="none"/>
        </w:rPr>
      </w:pPr>
      <w:r>
        <w:rPr>
          <w:rFonts w:hint="eastAsia" w:ascii="宋体" w:hAnsi="宋体"/>
          <w:highlight w:val="none"/>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highlight w:val="none"/>
        </w:rPr>
      </w:pPr>
      <w:r>
        <w:rPr>
          <w:rFonts w:hint="eastAsia" w:ascii="宋体" w:hAnsi="宋体"/>
          <w:highlight w:val="none"/>
        </w:rPr>
        <w:t>42.4公开招标失败的采购项目重新组织公开招标，由政府集中采购机构重新按公开招标流程组织采购活动。</w:t>
      </w:r>
    </w:p>
    <w:p>
      <w:pPr>
        <w:rPr>
          <w:rFonts w:ascii="宋体" w:hAnsi="宋体"/>
          <w:highlight w:val="none"/>
        </w:rPr>
      </w:pPr>
      <w:r>
        <w:rPr>
          <w:rFonts w:hint="eastAsia" w:ascii="黑体" w:hAnsi="宋体" w:eastAsia="黑体"/>
          <w:sz w:val="24"/>
          <w:highlight w:val="none"/>
        </w:rPr>
        <w:t xml:space="preserve">    </w:t>
      </w:r>
      <w:r>
        <w:rPr>
          <w:rFonts w:hint="eastAsia" w:ascii="宋体" w:hAnsi="宋体"/>
          <w:highlight w:val="none"/>
        </w:rPr>
        <w:t>42.5公开招标失败的采购项目经同级财政部门批准转为竞争性谈判或单一来源谈判方式采购的，按规定要求组织政府采购工作。</w:t>
      </w:r>
    </w:p>
    <w:p>
      <w:pPr>
        <w:rPr>
          <w:rFonts w:ascii="黑体" w:hAnsi="宋体" w:eastAsia="黑体"/>
          <w:sz w:val="24"/>
          <w:highlight w:val="none"/>
        </w:rPr>
      </w:pPr>
    </w:p>
    <w:p>
      <w:pPr>
        <w:pStyle w:val="3"/>
        <w:numPr>
          <w:ilvl w:val="0"/>
          <w:numId w:val="8"/>
        </w:numPr>
        <w:spacing w:before="120" w:beforeLines="50" w:after="120" w:afterLines="50"/>
        <w:ind w:left="562" w:hanging="562"/>
        <w:rPr>
          <w:sz w:val="28"/>
          <w:szCs w:val="28"/>
          <w:highlight w:val="none"/>
        </w:rPr>
      </w:pPr>
      <w:bookmarkStart w:id="67" w:name="_Hlk72439043"/>
      <w:r>
        <w:rPr>
          <w:rFonts w:hint="eastAsia"/>
          <w:sz w:val="28"/>
          <w:szCs w:val="28"/>
          <w:highlight w:val="none"/>
        </w:rPr>
        <w:t>合同的授予与备案</w:t>
      </w:r>
      <w:bookmarkEnd w:id="67"/>
    </w:p>
    <w:p>
      <w:pPr>
        <w:rPr>
          <w:rFonts w:ascii="黑体" w:hAnsi="宋体" w:eastAsia="黑体"/>
          <w:sz w:val="24"/>
          <w:highlight w:val="none"/>
        </w:rPr>
      </w:pPr>
      <w:bookmarkStart w:id="68" w:name="_Toc100052408"/>
      <w:bookmarkStart w:id="69" w:name="_Toc73517679"/>
      <w:bookmarkStart w:id="70" w:name="_Toc73521586"/>
      <w:bookmarkStart w:id="71" w:name="_Toc73521674"/>
      <w:bookmarkStart w:id="72" w:name="_Toc73518157"/>
      <w:bookmarkStart w:id="73" w:name="_Hlk72439088"/>
      <w:r>
        <w:rPr>
          <w:rFonts w:hint="eastAsia" w:ascii="黑体" w:hAnsi="宋体" w:eastAsia="黑体"/>
          <w:sz w:val="24"/>
          <w:highlight w:val="none"/>
        </w:rPr>
        <w:t>43．合同授予标准</w:t>
      </w:r>
      <w:bookmarkEnd w:id="68"/>
      <w:bookmarkEnd w:id="69"/>
      <w:bookmarkEnd w:id="70"/>
      <w:bookmarkEnd w:id="71"/>
      <w:bookmarkEnd w:id="72"/>
    </w:p>
    <w:p>
      <w:pPr>
        <w:ind w:firstLine="411" w:firstLineChars="196"/>
        <w:rPr>
          <w:rFonts w:ascii="宋体" w:hAnsi="宋体"/>
          <w:szCs w:val="21"/>
          <w:highlight w:val="none"/>
        </w:rPr>
      </w:pPr>
      <w:r>
        <w:rPr>
          <w:rFonts w:hint="eastAsia" w:ascii="宋体" w:hAnsi="宋体"/>
          <w:szCs w:val="21"/>
          <w:highlight w:val="none"/>
        </w:rPr>
        <w:t>本项目的合同将授予经本招标文件规定评审确定的中标供应商。</w:t>
      </w:r>
    </w:p>
    <w:p>
      <w:pPr>
        <w:rPr>
          <w:rFonts w:ascii="黑体" w:hAnsi="宋体" w:eastAsia="黑体"/>
          <w:sz w:val="24"/>
          <w:highlight w:val="none"/>
        </w:rPr>
      </w:pPr>
      <w:bookmarkStart w:id="74" w:name="_Toc73521587"/>
      <w:bookmarkStart w:id="75" w:name="_Toc73517680"/>
      <w:bookmarkStart w:id="76" w:name="_Toc73518158"/>
      <w:bookmarkStart w:id="77" w:name="_Toc100052409"/>
      <w:bookmarkStart w:id="78" w:name="_Toc73521675"/>
      <w:r>
        <w:rPr>
          <w:rFonts w:hint="eastAsia" w:ascii="黑体" w:hAnsi="宋体" w:eastAsia="黑体"/>
          <w:sz w:val="24"/>
          <w:highlight w:val="none"/>
        </w:rPr>
        <w:t>44．</w:t>
      </w:r>
      <w:bookmarkEnd w:id="74"/>
      <w:bookmarkEnd w:id="75"/>
      <w:bookmarkEnd w:id="76"/>
      <w:bookmarkEnd w:id="77"/>
      <w:bookmarkEnd w:id="78"/>
      <w:r>
        <w:rPr>
          <w:rFonts w:hint="eastAsia" w:ascii="黑体" w:hAnsi="宋体" w:eastAsia="黑体"/>
          <w:sz w:val="24"/>
          <w:highlight w:val="none"/>
        </w:rPr>
        <w:t>接受和拒绝任何或所有投标的权力</w:t>
      </w:r>
    </w:p>
    <w:p>
      <w:pPr>
        <w:ind w:firstLine="411" w:firstLineChars="196"/>
        <w:rPr>
          <w:rFonts w:ascii="宋体" w:hAnsi="宋体"/>
          <w:szCs w:val="21"/>
          <w:highlight w:val="none"/>
        </w:rPr>
      </w:pPr>
      <w:r>
        <w:rPr>
          <w:rFonts w:hint="eastAsia" w:ascii="宋体" w:hAnsi="宋体"/>
          <w:szCs w:val="21"/>
          <w:highlight w:val="none"/>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highlight w:val="none"/>
        </w:rPr>
      </w:pPr>
      <w:bookmarkStart w:id="79" w:name="_Toc73517682"/>
      <w:bookmarkStart w:id="80" w:name="_Toc73521589"/>
      <w:bookmarkStart w:id="81" w:name="_Toc73521677"/>
      <w:bookmarkStart w:id="82" w:name="_Toc73518160"/>
      <w:bookmarkStart w:id="83" w:name="_Toc100052410"/>
      <w:r>
        <w:rPr>
          <w:rFonts w:hint="eastAsia" w:ascii="黑体" w:hAnsi="宋体" w:eastAsia="黑体"/>
          <w:sz w:val="24"/>
          <w:highlight w:val="none"/>
        </w:rPr>
        <w:t>45．合同的签订</w:t>
      </w:r>
      <w:bookmarkEnd w:id="79"/>
      <w:bookmarkEnd w:id="80"/>
      <w:bookmarkEnd w:id="81"/>
      <w:bookmarkEnd w:id="82"/>
      <w:bookmarkEnd w:id="83"/>
    </w:p>
    <w:p>
      <w:pPr>
        <w:ind w:firstLine="411" w:firstLineChars="196"/>
        <w:rPr>
          <w:rFonts w:ascii="宋体" w:hAnsi="宋体"/>
          <w:szCs w:val="21"/>
          <w:highlight w:val="none"/>
        </w:rPr>
      </w:pPr>
      <w:r>
        <w:rPr>
          <w:rFonts w:hint="eastAsia" w:ascii="宋体" w:hAnsi="宋体"/>
          <w:szCs w:val="21"/>
          <w:highlight w:val="none"/>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highlight w:val="none"/>
        </w:rPr>
      </w:pPr>
      <w:r>
        <w:rPr>
          <w:rFonts w:hint="eastAsia" w:ascii="宋体" w:hAnsi="宋体"/>
          <w:szCs w:val="21"/>
          <w:highlight w:val="none"/>
        </w:rPr>
        <w:t>45.2中标人如不按本通用条款第45</w:t>
      </w:r>
      <w:r>
        <w:rPr>
          <w:rFonts w:ascii="宋体" w:hAnsi="宋体"/>
          <w:szCs w:val="21"/>
          <w:highlight w:val="none"/>
        </w:rPr>
        <w:t>.1</w:t>
      </w:r>
      <w:r>
        <w:rPr>
          <w:rFonts w:hint="eastAsia" w:ascii="宋体" w:hAnsi="宋体"/>
          <w:szCs w:val="21"/>
          <w:highlight w:val="none"/>
        </w:rPr>
        <w:t>款的规定与采购人签订合同，</w:t>
      </w:r>
      <w:r>
        <w:rPr>
          <w:rFonts w:ascii="宋体" w:hAnsi="宋体" w:cs="宋体"/>
          <w:kern w:val="0"/>
          <w:szCs w:val="21"/>
          <w:highlight w:val="none"/>
        </w:rPr>
        <w:t>情节严重的，由</w:t>
      </w:r>
      <w:r>
        <w:rPr>
          <w:rFonts w:hint="eastAsia" w:ascii="宋体" w:hAnsi="宋体" w:cs="宋体"/>
          <w:kern w:val="0"/>
          <w:szCs w:val="21"/>
          <w:highlight w:val="none"/>
        </w:rPr>
        <w:t>同级财政</w:t>
      </w:r>
      <w:r>
        <w:rPr>
          <w:rFonts w:ascii="宋体" w:hAnsi="宋体" w:cs="宋体"/>
          <w:kern w:val="0"/>
          <w:szCs w:val="21"/>
          <w:highlight w:val="none"/>
        </w:rPr>
        <w:t>部门记入供应商诚信档案，予以通报</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45.3中标人应当按照合同约定履行义务，完成中标项目，不得将中标项目转让（转包）给他人。</w:t>
      </w:r>
    </w:p>
    <w:p>
      <w:pPr>
        <w:rPr>
          <w:rFonts w:ascii="黑体" w:hAnsi="宋体" w:eastAsia="黑体"/>
          <w:sz w:val="24"/>
          <w:highlight w:val="none"/>
        </w:rPr>
      </w:pPr>
      <w:bookmarkStart w:id="84" w:name="_Toc73517683"/>
      <w:bookmarkStart w:id="85" w:name="_Toc73518161"/>
      <w:bookmarkStart w:id="86" w:name="_Toc73521590"/>
      <w:bookmarkStart w:id="87" w:name="_Toc100052411"/>
      <w:bookmarkStart w:id="88" w:name="_Toc73521678"/>
      <w:r>
        <w:rPr>
          <w:rFonts w:hint="eastAsia" w:ascii="黑体" w:hAnsi="宋体" w:eastAsia="黑体"/>
          <w:sz w:val="24"/>
          <w:highlight w:val="none"/>
        </w:rPr>
        <w:t>46．履约担保</w:t>
      </w:r>
      <w:bookmarkEnd w:id="84"/>
      <w:bookmarkEnd w:id="85"/>
      <w:bookmarkEnd w:id="86"/>
      <w:bookmarkEnd w:id="87"/>
      <w:bookmarkEnd w:id="88"/>
    </w:p>
    <w:p>
      <w:pPr>
        <w:ind w:firstLine="411" w:firstLineChars="196"/>
        <w:rPr>
          <w:rFonts w:ascii="宋体" w:hAnsi="宋体"/>
          <w:szCs w:val="21"/>
          <w:highlight w:val="none"/>
        </w:rPr>
      </w:pPr>
      <w:r>
        <w:rPr>
          <w:rFonts w:hint="eastAsia" w:ascii="宋体" w:hAnsi="宋体"/>
          <w:szCs w:val="21"/>
          <w:highlight w:val="none"/>
        </w:rPr>
        <w:t>46.1在签订项目合同的同时，中标人应按“对通用条款的补充内容”中规定的金额向采购人提交履约担保；</w:t>
      </w:r>
    </w:p>
    <w:p>
      <w:pPr>
        <w:ind w:firstLine="411" w:firstLineChars="196"/>
        <w:rPr>
          <w:rFonts w:ascii="宋体" w:hAnsi="宋体"/>
          <w:szCs w:val="21"/>
          <w:highlight w:val="none"/>
        </w:rPr>
      </w:pPr>
      <w:r>
        <w:rPr>
          <w:rFonts w:hint="eastAsia" w:ascii="宋体" w:hAnsi="宋体"/>
          <w:szCs w:val="21"/>
          <w:highlight w:val="none"/>
        </w:rPr>
        <w:t>46.2，允许供应商自主选择以支票、汇票、本票、保函等非现金方式提交履约担保；</w:t>
      </w:r>
      <w:r>
        <w:rPr>
          <w:highlight w:val="none"/>
        </w:rPr>
        <w:t>中标</w:t>
      </w:r>
      <w:r>
        <w:rPr>
          <w:rFonts w:hint="eastAsia"/>
          <w:highlight w:val="none"/>
        </w:rPr>
        <w:t>人</w:t>
      </w:r>
      <w:r>
        <w:rPr>
          <w:highlight w:val="none"/>
        </w:rPr>
        <w:t>提交履约</w:t>
      </w:r>
      <w:r>
        <w:rPr>
          <w:rFonts w:hint="eastAsia"/>
          <w:highlight w:val="none"/>
        </w:rPr>
        <w:t>担保不是</w:t>
      </w:r>
      <w:r>
        <w:rPr>
          <w:highlight w:val="none"/>
        </w:rPr>
        <w:t>合同签订的</w:t>
      </w:r>
      <w:r>
        <w:rPr>
          <w:rFonts w:hint="eastAsia"/>
          <w:highlight w:val="none"/>
        </w:rPr>
        <w:t>前提</w:t>
      </w:r>
      <w:r>
        <w:rPr>
          <w:highlight w:val="none"/>
        </w:rPr>
        <w:t>条件，不要求中标</w:t>
      </w:r>
      <w:r>
        <w:rPr>
          <w:rFonts w:hint="eastAsia"/>
          <w:highlight w:val="none"/>
        </w:rPr>
        <w:t>人</w:t>
      </w:r>
      <w:r>
        <w:rPr>
          <w:highlight w:val="none"/>
        </w:rPr>
        <w:t>提供除法律、法规明确规定外的其他担保</w:t>
      </w:r>
      <w:r>
        <w:rPr>
          <w:rFonts w:hint="eastAsia"/>
          <w:highlight w:val="none"/>
        </w:rPr>
        <w:t>。</w:t>
      </w:r>
    </w:p>
    <w:p>
      <w:pPr>
        <w:rPr>
          <w:rFonts w:ascii="黑体" w:hAnsi="宋体" w:eastAsia="黑体"/>
          <w:sz w:val="24"/>
          <w:highlight w:val="none"/>
        </w:rPr>
      </w:pPr>
      <w:r>
        <w:rPr>
          <w:rFonts w:hint="eastAsia" w:ascii="黑体" w:hAnsi="宋体" w:eastAsia="黑体"/>
          <w:sz w:val="24"/>
          <w:highlight w:val="none"/>
        </w:rPr>
        <w:t>47. 合同备案</w:t>
      </w:r>
    </w:p>
    <w:p>
      <w:pPr>
        <w:rPr>
          <w:rFonts w:ascii="黑体" w:hAnsi="宋体" w:eastAsia="黑体"/>
          <w:sz w:val="24"/>
          <w:highlight w:val="none"/>
        </w:rPr>
      </w:pPr>
      <w:r>
        <w:rPr>
          <w:rFonts w:hint="eastAsia" w:ascii="宋体" w:hAnsi="宋体" w:eastAsia="宋体" w:cs="Times New Roman"/>
          <w:kern w:val="2"/>
          <w:sz w:val="21"/>
          <w:szCs w:val="21"/>
          <w:highlight w:val="none"/>
          <w:lang w:eastAsia="zh-Hans"/>
        </w:rPr>
        <w:t>采购人与中标供应商自中标通知书发出之日起10个工作日内签订政府采购合同，</w:t>
      </w:r>
      <w:r>
        <w:rPr>
          <w:rFonts w:hint="eastAsia" w:ascii="宋体" w:hAnsi="宋体" w:eastAsia="宋体" w:cs="Times New Roman"/>
          <w:kern w:val="2"/>
          <w:sz w:val="21"/>
          <w:szCs w:val="21"/>
          <w:highlight w:val="none"/>
          <w:lang w:val="en-US" w:eastAsia="zh-CN"/>
        </w:rPr>
        <w:t>并按财政部门规定提交备案。</w:t>
      </w:r>
      <w:r>
        <w:rPr>
          <w:rFonts w:hint="eastAsia" w:ascii="黑体" w:hAnsi="宋体" w:eastAsia="黑体"/>
          <w:sz w:val="24"/>
          <w:highlight w:val="none"/>
        </w:rPr>
        <w:t>48. 合同变更</w:t>
      </w:r>
    </w:p>
    <w:p>
      <w:pPr>
        <w:ind w:firstLine="411" w:firstLineChars="196"/>
        <w:rPr>
          <w:rFonts w:ascii="宋体" w:hAnsi="宋体"/>
          <w:szCs w:val="21"/>
          <w:highlight w:val="none"/>
        </w:rPr>
      </w:pPr>
      <w:r>
        <w:rPr>
          <w:rFonts w:hint="eastAsia" w:ascii="宋体" w:hAnsi="宋体"/>
          <w:szCs w:val="21"/>
          <w:highlight w:val="none"/>
        </w:rPr>
        <w:t>合同变更事宜按《深圳市财政局关于优化政府采购合同备案的通知》（深财发保〔2022〕2号）相关规定执行。</w:t>
      </w:r>
    </w:p>
    <w:p>
      <w:pPr>
        <w:rPr>
          <w:rFonts w:ascii="黑体" w:hAnsi="宋体" w:eastAsia="黑体"/>
          <w:sz w:val="24"/>
          <w:highlight w:val="none"/>
        </w:rPr>
      </w:pPr>
      <w:r>
        <w:rPr>
          <w:rFonts w:hint="eastAsia" w:ascii="黑体" w:hAnsi="宋体" w:eastAsia="黑体"/>
          <w:sz w:val="24"/>
          <w:highlight w:val="none"/>
        </w:rPr>
        <w:t>49. 项目验收</w:t>
      </w:r>
    </w:p>
    <w:p>
      <w:pPr>
        <w:widowControl/>
        <w:ind w:right="176" w:firstLine="420"/>
        <w:jc w:val="left"/>
        <w:rPr>
          <w:rFonts w:ascii="宋体" w:hAnsi="宋体"/>
          <w:highlight w:val="none"/>
        </w:rPr>
      </w:pPr>
      <w:r>
        <w:rPr>
          <w:rFonts w:hint="eastAsia" w:ascii="宋体" w:hAnsi="宋体"/>
          <w:highlight w:val="none"/>
        </w:rPr>
        <w:t>49.1采购人应当按照招标文件和合同规定的标准和方法，及时组织验收。</w:t>
      </w:r>
      <w:r>
        <w:rPr>
          <w:rFonts w:ascii="宋体" w:hAnsi="宋体"/>
          <w:highlight w:val="none"/>
        </w:rPr>
        <w:t xml:space="preserve"> </w:t>
      </w:r>
    </w:p>
    <w:p>
      <w:pPr>
        <w:rPr>
          <w:rFonts w:ascii="黑体" w:hAnsi="宋体" w:eastAsia="黑体"/>
          <w:sz w:val="24"/>
          <w:highlight w:val="none"/>
        </w:rPr>
      </w:pPr>
      <w:r>
        <w:rPr>
          <w:rFonts w:hint="eastAsia" w:ascii="黑体" w:hAnsi="宋体" w:eastAsia="黑体"/>
          <w:sz w:val="24"/>
          <w:highlight w:val="none"/>
        </w:rPr>
        <w:t>50. 宣传</w:t>
      </w:r>
    </w:p>
    <w:p>
      <w:pPr>
        <w:ind w:left="210" w:leftChars="100" w:firstLine="411" w:firstLineChars="196"/>
        <w:rPr>
          <w:rFonts w:ascii="宋体" w:hAnsi="宋体"/>
          <w:highlight w:val="none"/>
        </w:rPr>
      </w:pPr>
      <w:r>
        <w:rPr>
          <w:rFonts w:hint="eastAsia" w:ascii="宋体" w:hAnsi="宋体"/>
          <w:highlight w:val="none"/>
        </w:rPr>
        <w:t>凡与政府采购活动有关的宣传或广告，若当中提及政府采购，</w:t>
      </w:r>
      <w:r>
        <w:rPr>
          <w:rFonts w:ascii="宋体" w:hAnsi="宋体"/>
          <w:highlight w:val="none"/>
        </w:rPr>
        <w:t>必须事先将具体对外宣传方案报</w:t>
      </w:r>
      <w:r>
        <w:rPr>
          <w:rFonts w:hint="eastAsia" w:ascii="宋体" w:hAnsi="宋体"/>
          <w:highlight w:val="none"/>
        </w:rPr>
        <w:t>同级财政部门</w:t>
      </w:r>
      <w:r>
        <w:rPr>
          <w:rFonts w:ascii="宋体" w:hAnsi="宋体"/>
          <w:highlight w:val="none"/>
        </w:rPr>
        <w:t>和</w:t>
      </w:r>
      <w:r>
        <w:rPr>
          <w:rFonts w:hint="eastAsia" w:ascii="宋体" w:hAnsi="宋体"/>
          <w:highlight w:val="none"/>
        </w:rPr>
        <w:t>政府集中采购机构</w:t>
      </w:r>
      <w:r>
        <w:rPr>
          <w:rFonts w:ascii="宋体" w:hAnsi="宋体"/>
          <w:highlight w:val="none"/>
        </w:rPr>
        <w:t>，并征得其同意。对外市场宣传包括但不限于以下形式：</w:t>
      </w:r>
    </w:p>
    <w:p>
      <w:pPr>
        <w:ind w:left="210" w:leftChars="100" w:firstLine="411" w:firstLineChars="196"/>
        <w:rPr>
          <w:rFonts w:ascii="宋体" w:hAnsi="宋体"/>
          <w:highlight w:val="none"/>
        </w:rPr>
      </w:pPr>
      <w:r>
        <w:rPr>
          <w:rFonts w:ascii="宋体" w:hAnsi="宋体"/>
          <w:highlight w:val="none"/>
        </w:rPr>
        <w:t>a.名片、宣传册、广告标语等；</w:t>
      </w:r>
    </w:p>
    <w:p>
      <w:pPr>
        <w:ind w:left="210" w:leftChars="100" w:firstLine="411" w:firstLineChars="196"/>
        <w:rPr>
          <w:rFonts w:ascii="宋体" w:hAnsi="宋体"/>
          <w:highlight w:val="none"/>
        </w:rPr>
      </w:pPr>
      <w:r>
        <w:rPr>
          <w:rFonts w:ascii="宋体" w:hAnsi="宋体"/>
          <w:highlight w:val="none"/>
        </w:rPr>
        <w:t>b.案例介绍、推广等；</w:t>
      </w:r>
    </w:p>
    <w:p>
      <w:pPr>
        <w:ind w:left="210" w:leftChars="100" w:firstLine="411" w:firstLineChars="196"/>
        <w:rPr>
          <w:rFonts w:ascii="宋体" w:hAnsi="宋体"/>
          <w:highlight w:val="none"/>
        </w:rPr>
      </w:pPr>
      <w:r>
        <w:rPr>
          <w:rFonts w:hint="eastAsia" w:ascii="宋体" w:hAnsi="宋体"/>
          <w:highlight w:val="none"/>
        </w:rPr>
        <w:t>c.工作</w:t>
      </w:r>
      <w:r>
        <w:rPr>
          <w:rFonts w:ascii="宋体" w:hAnsi="宋体"/>
          <w:highlight w:val="none"/>
        </w:rPr>
        <w:t>人员向其他消费群体宣传。</w:t>
      </w:r>
    </w:p>
    <w:p>
      <w:pPr>
        <w:rPr>
          <w:rFonts w:ascii="黑体" w:hAnsi="宋体" w:eastAsia="黑体"/>
          <w:sz w:val="24"/>
          <w:highlight w:val="none"/>
        </w:rPr>
      </w:pPr>
      <w:r>
        <w:rPr>
          <w:rFonts w:hint="eastAsia" w:ascii="黑体" w:hAnsi="宋体" w:eastAsia="黑体"/>
          <w:sz w:val="24"/>
          <w:highlight w:val="none"/>
        </w:rPr>
        <w:t>51. 供应商违法责任</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1.1</w:t>
      </w:r>
      <w:r>
        <w:rPr>
          <w:rFonts w:hint="eastAsia" w:ascii="宋体" w:hAnsi="宋体"/>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highlight w:val="none"/>
        </w:rPr>
      </w:pPr>
      <w:r>
        <w:rPr>
          <w:rFonts w:hint="eastAsia" w:ascii="宋体" w:hAnsi="宋体"/>
          <w:szCs w:val="21"/>
          <w:highlight w:val="none"/>
        </w:rPr>
        <w:t>（1）在采购活动中应当回避而未回避的；</w:t>
      </w:r>
    </w:p>
    <w:p>
      <w:pPr>
        <w:ind w:firstLine="411" w:firstLineChars="196"/>
        <w:rPr>
          <w:rFonts w:ascii="宋体" w:hAnsi="宋体"/>
          <w:szCs w:val="21"/>
          <w:highlight w:val="none"/>
        </w:rPr>
      </w:pPr>
      <w:r>
        <w:rPr>
          <w:rFonts w:hint="eastAsia" w:ascii="宋体" w:hAnsi="宋体"/>
          <w:szCs w:val="21"/>
          <w:highlight w:val="none"/>
        </w:rPr>
        <w:t>（2）未按本条例规定签订、履行采购合同，造成严重后果的；</w:t>
      </w:r>
    </w:p>
    <w:p>
      <w:pPr>
        <w:ind w:firstLine="411" w:firstLineChars="196"/>
        <w:rPr>
          <w:rFonts w:ascii="宋体" w:hAnsi="宋体"/>
          <w:szCs w:val="21"/>
          <w:highlight w:val="none"/>
        </w:rPr>
      </w:pPr>
      <w:r>
        <w:rPr>
          <w:rFonts w:hint="eastAsia" w:ascii="宋体" w:hAnsi="宋体"/>
          <w:szCs w:val="21"/>
          <w:highlight w:val="none"/>
        </w:rPr>
        <w:t>（3）隐瞒真实情况，提供虚假资料的；</w:t>
      </w:r>
    </w:p>
    <w:p>
      <w:pPr>
        <w:ind w:firstLine="411" w:firstLineChars="196"/>
        <w:rPr>
          <w:rFonts w:ascii="宋体" w:hAnsi="宋体"/>
          <w:szCs w:val="21"/>
          <w:highlight w:val="none"/>
        </w:rPr>
      </w:pPr>
      <w:r>
        <w:rPr>
          <w:rFonts w:hint="eastAsia" w:ascii="宋体" w:hAnsi="宋体"/>
          <w:szCs w:val="21"/>
          <w:highlight w:val="none"/>
        </w:rPr>
        <w:t>（4）以非法手段排斥其他供应商参与竞争的；</w:t>
      </w:r>
    </w:p>
    <w:p>
      <w:pPr>
        <w:ind w:firstLine="411" w:firstLineChars="196"/>
        <w:rPr>
          <w:rFonts w:ascii="宋体" w:hAnsi="宋体"/>
          <w:szCs w:val="21"/>
          <w:highlight w:val="none"/>
        </w:rPr>
      </w:pPr>
      <w:r>
        <w:rPr>
          <w:rFonts w:hint="eastAsia" w:ascii="宋体" w:hAnsi="宋体"/>
          <w:szCs w:val="21"/>
          <w:highlight w:val="none"/>
        </w:rPr>
        <w:t>（5）与其他采购参加人串通投标的；</w:t>
      </w:r>
    </w:p>
    <w:p>
      <w:pPr>
        <w:ind w:firstLine="411" w:firstLineChars="196"/>
        <w:rPr>
          <w:rFonts w:ascii="宋体" w:hAnsi="宋体"/>
          <w:szCs w:val="21"/>
          <w:highlight w:val="none"/>
        </w:rPr>
      </w:pPr>
      <w:r>
        <w:rPr>
          <w:rFonts w:hint="eastAsia" w:ascii="宋体" w:hAnsi="宋体"/>
          <w:szCs w:val="21"/>
          <w:highlight w:val="none"/>
        </w:rPr>
        <w:t>（6）恶意投诉的；</w:t>
      </w:r>
    </w:p>
    <w:p>
      <w:pPr>
        <w:ind w:firstLine="411" w:firstLineChars="196"/>
        <w:rPr>
          <w:rFonts w:ascii="宋体" w:hAnsi="宋体"/>
          <w:szCs w:val="21"/>
          <w:highlight w:val="none"/>
        </w:rPr>
      </w:pPr>
      <w:r>
        <w:rPr>
          <w:rFonts w:hint="eastAsia" w:ascii="宋体" w:hAnsi="宋体"/>
          <w:szCs w:val="21"/>
          <w:highlight w:val="none"/>
        </w:rPr>
        <w:t>（7）向采购项目相关人行贿或者提供其他不当利益的；</w:t>
      </w:r>
    </w:p>
    <w:p>
      <w:pPr>
        <w:ind w:firstLine="411" w:firstLineChars="196"/>
        <w:rPr>
          <w:rFonts w:ascii="宋体" w:hAnsi="宋体"/>
          <w:szCs w:val="21"/>
          <w:highlight w:val="none"/>
        </w:rPr>
      </w:pPr>
      <w:r>
        <w:rPr>
          <w:rFonts w:hint="eastAsia" w:ascii="宋体" w:hAnsi="宋体"/>
          <w:szCs w:val="21"/>
          <w:highlight w:val="none"/>
        </w:rPr>
        <w:t>（8）阻碍、抗拒主管部门监督检查的；</w:t>
      </w:r>
    </w:p>
    <w:p>
      <w:pPr>
        <w:ind w:firstLine="411" w:firstLineChars="196"/>
        <w:rPr>
          <w:rFonts w:ascii="宋体" w:hAnsi="宋体"/>
          <w:szCs w:val="21"/>
          <w:highlight w:val="none"/>
        </w:rPr>
      </w:pPr>
      <w:r>
        <w:rPr>
          <w:rFonts w:hint="eastAsia" w:ascii="宋体" w:hAnsi="宋体"/>
          <w:szCs w:val="21"/>
          <w:highlight w:val="none"/>
        </w:rPr>
        <w:t>（9）其他违反本条例规定的行为。</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1.2 </w:t>
      </w:r>
      <w:r>
        <w:rPr>
          <w:rFonts w:hint="eastAsia" w:ascii="宋体" w:hAnsi="宋体"/>
          <w:szCs w:val="21"/>
          <w:highlight w:val="none"/>
        </w:rPr>
        <w:t>根据《深圳市财政局关于调整政府采购投标（响应）保证金管理政策的通知 》（深财购〔2021〕51 号）的要求，供应商在政府采购活动中出现《深圳经济特区政府采购条例实施细则》第八十条所列情形的，</w:t>
      </w:r>
      <w:bookmarkStart w:id="89" w:name="_Hlk72440769"/>
      <w:r>
        <w:rPr>
          <w:rFonts w:hint="eastAsia" w:ascii="宋体" w:hAnsi="宋体"/>
          <w:szCs w:val="21"/>
          <w:highlight w:val="none"/>
        </w:rPr>
        <w:t>政府集中采购机构或采购人不予退还其交纳的谈判保证金，情节严重的，并由主管部门</w:t>
      </w:r>
      <w:bookmarkEnd w:id="89"/>
      <w:r>
        <w:rPr>
          <w:rFonts w:hint="eastAsia" w:ascii="宋体" w:hAnsi="宋体"/>
          <w:szCs w:val="21"/>
          <w:highlight w:val="none"/>
        </w:rPr>
        <w:t>记入供应商诚信档案，予以通报：</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）投标截止后，撤销投标的；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）中标后无正当理由未在规定期限内签订合同的；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）将中标项目转让给他人、或者在投标文件中未说明且未经采购人、采购招标机构同意，将中标项目分包给他人的；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）拒绝履行合同义务的</w:t>
      </w:r>
      <w:r>
        <w:rPr>
          <w:rFonts w:hint="eastAsia" w:ascii="宋体" w:hAnsi="宋体"/>
          <w:szCs w:val="21"/>
          <w:highlight w:val="none"/>
        </w:rPr>
        <w:t>。</w:t>
      </w:r>
    </w:p>
    <w:bookmarkEnd w:id="73"/>
    <w:p>
      <w:pPr>
        <w:pStyle w:val="3"/>
        <w:numPr>
          <w:ilvl w:val="0"/>
          <w:numId w:val="8"/>
        </w:numPr>
        <w:spacing w:before="120" w:beforeLines="50" w:after="120" w:afterLines="50"/>
        <w:ind w:left="562" w:hanging="562"/>
        <w:rPr>
          <w:sz w:val="28"/>
          <w:szCs w:val="28"/>
          <w:highlight w:val="none"/>
        </w:rPr>
      </w:pPr>
      <w:r>
        <w:rPr>
          <w:rFonts w:hint="eastAsia"/>
          <w:sz w:val="28"/>
          <w:szCs w:val="28"/>
          <w:highlight w:val="none"/>
        </w:rPr>
        <w:t>质疑处理</w:t>
      </w:r>
    </w:p>
    <w:p>
      <w:pPr>
        <w:rPr>
          <w:rFonts w:ascii="黑体" w:hAnsi="宋体" w:eastAsia="黑体"/>
          <w:sz w:val="24"/>
          <w:highlight w:val="none"/>
        </w:rPr>
      </w:pPr>
      <w:r>
        <w:rPr>
          <w:rFonts w:hint="eastAsia" w:ascii="黑体" w:hAnsi="宋体" w:eastAsia="黑体"/>
          <w:sz w:val="24"/>
          <w:highlight w:val="none"/>
        </w:rPr>
        <w:t>52.质疑提出与答复</w:t>
      </w:r>
    </w:p>
    <w:p>
      <w:pPr>
        <w:rPr>
          <w:rFonts w:ascii="宋体" w:hAnsi="宋体"/>
          <w:szCs w:val="21"/>
          <w:highlight w:val="none"/>
        </w:rPr>
      </w:pPr>
      <w:r>
        <w:rPr>
          <w:rFonts w:hint="eastAsia" w:ascii="宋体" w:hAnsi="宋体"/>
          <w:szCs w:val="21"/>
          <w:highlight w:val="none"/>
        </w:rPr>
        <w:t xml:space="preserve">    52.1提出质疑</w:t>
      </w:r>
    </w:p>
    <w:p>
      <w:pPr>
        <w:rPr>
          <w:rFonts w:ascii="宋体" w:hAnsi="宋体"/>
          <w:szCs w:val="21"/>
          <w:highlight w:val="none"/>
        </w:rPr>
      </w:pPr>
      <w:r>
        <w:rPr>
          <w:rFonts w:hint="eastAsia" w:ascii="宋体" w:hAnsi="宋体"/>
          <w:szCs w:val="21"/>
          <w:highlight w:val="none"/>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highlight w:val="none"/>
        </w:rPr>
      </w:pPr>
      <w:r>
        <w:rPr>
          <w:rFonts w:hint="eastAsia" w:ascii="宋体" w:hAnsi="宋体"/>
          <w:szCs w:val="21"/>
          <w:highlight w:val="none"/>
        </w:rPr>
        <w:t xml:space="preserve">    52.2</w:t>
      </w:r>
      <w:r>
        <w:rPr>
          <w:rFonts w:ascii="宋体" w:hAnsi="宋体"/>
          <w:szCs w:val="21"/>
          <w:highlight w:val="none"/>
        </w:rPr>
        <w:t>法律依据</w:t>
      </w:r>
    </w:p>
    <w:p>
      <w:pPr>
        <w:rPr>
          <w:rFonts w:ascii="宋体" w:hAnsi="宋体"/>
          <w:szCs w:val="21"/>
          <w:highlight w:val="none"/>
        </w:rPr>
      </w:pPr>
      <w:r>
        <w:rPr>
          <w:rFonts w:hint="eastAsia" w:ascii="宋体" w:hAnsi="宋体"/>
          <w:szCs w:val="21"/>
          <w:highlight w:val="none"/>
        </w:rPr>
        <w:t xml:space="preserve">    《中华人民共和国政府采购法》、《中华人民共和国政府采购法实施条例》、</w:t>
      </w:r>
      <w:r>
        <w:rPr>
          <w:rFonts w:ascii="宋体" w:hAnsi="宋体"/>
          <w:szCs w:val="21"/>
          <w:highlight w:val="none"/>
        </w:rPr>
        <w:t>《</w:t>
      </w:r>
      <w:r>
        <w:rPr>
          <w:rFonts w:hint="eastAsia" w:ascii="宋体" w:hAnsi="宋体"/>
          <w:szCs w:val="21"/>
          <w:highlight w:val="none"/>
        </w:rPr>
        <w:t>深圳经济特区政府采购</w:t>
      </w:r>
      <w:r>
        <w:rPr>
          <w:rFonts w:ascii="宋体" w:hAnsi="宋体"/>
          <w:szCs w:val="21"/>
          <w:highlight w:val="none"/>
        </w:rPr>
        <w:t>条例</w:t>
      </w:r>
      <w:r>
        <w:rPr>
          <w:rFonts w:hint="eastAsia" w:ascii="宋体" w:hAnsi="宋体"/>
          <w:szCs w:val="21"/>
          <w:highlight w:val="none"/>
        </w:rPr>
        <w:t>》、《深圳经济特区政府采购条例实施细则》、《政府采购质疑和投诉办法》（财政部令第94号）和其他有关法律法规规定。</w:t>
      </w:r>
    </w:p>
    <w:p>
      <w:pPr>
        <w:rPr>
          <w:rFonts w:ascii="宋体" w:hAnsi="宋体"/>
          <w:szCs w:val="21"/>
          <w:highlight w:val="none"/>
        </w:rPr>
      </w:pPr>
      <w:r>
        <w:rPr>
          <w:rFonts w:hint="eastAsia" w:ascii="宋体" w:hAnsi="宋体"/>
          <w:szCs w:val="21"/>
          <w:highlight w:val="none"/>
        </w:rPr>
        <w:t xml:space="preserve">  </w:t>
      </w:r>
      <w:r>
        <w:rPr>
          <w:rFonts w:hint="eastAsia" w:ascii="宋体" w:hAnsi="宋体"/>
          <w:color w:val="FF0000"/>
          <w:szCs w:val="21"/>
          <w:highlight w:val="none"/>
        </w:rPr>
        <w:t xml:space="preserve">  </w:t>
      </w:r>
      <w:r>
        <w:rPr>
          <w:rFonts w:hint="eastAsia" w:ascii="宋体" w:hAnsi="宋体"/>
          <w:szCs w:val="21"/>
          <w:highlight w:val="none"/>
        </w:rPr>
        <w:t>52.3质疑条件</w:t>
      </w:r>
    </w:p>
    <w:p>
      <w:pPr>
        <w:rPr>
          <w:rFonts w:ascii="宋体" w:hAnsi="宋体"/>
          <w:szCs w:val="21"/>
          <w:highlight w:val="none"/>
        </w:rPr>
      </w:pPr>
      <w:r>
        <w:rPr>
          <w:rFonts w:hint="eastAsia" w:ascii="宋体" w:hAnsi="宋体"/>
          <w:szCs w:val="21"/>
          <w:highlight w:val="none"/>
        </w:rPr>
        <w:t xml:space="preserve">    52.3.1提出质疑的供应商应当是参与所质疑项目采购活动的供应商；</w:t>
      </w:r>
      <w:bookmarkStart w:id="90" w:name="_Hlk75374941"/>
      <w:r>
        <w:rPr>
          <w:rFonts w:hint="eastAsia" w:ascii="宋体" w:hAnsi="宋体"/>
          <w:szCs w:val="21"/>
          <w:highlight w:val="none"/>
        </w:rPr>
        <w:t>以联合体形式参与的，质疑应当由组成联合体的所有成员共同提出</w:t>
      </w:r>
      <w:bookmarkEnd w:id="90"/>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highlight w:val="none"/>
        </w:rPr>
      </w:pPr>
      <w:r>
        <w:rPr>
          <w:rFonts w:hint="eastAsia" w:ascii="宋体" w:hAnsi="宋体"/>
          <w:szCs w:val="21"/>
          <w:highlight w:val="none"/>
        </w:rPr>
        <w:t>52.3.3应提交书面质疑函，质疑函应当包括以下内容：</w:t>
      </w:r>
      <w:r>
        <w:rPr>
          <w:rFonts w:ascii="宋体" w:hAnsi="宋体"/>
          <w:szCs w:val="21"/>
          <w:highlight w:val="none"/>
        </w:rPr>
        <w:t xml:space="preserve"> </w:t>
      </w:r>
    </w:p>
    <w:p>
      <w:pPr>
        <w:ind w:firstLine="420"/>
        <w:rPr>
          <w:rFonts w:ascii="宋体" w:hAnsi="宋体"/>
          <w:szCs w:val="21"/>
          <w:highlight w:val="none"/>
        </w:rPr>
      </w:pPr>
      <w:r>
        <w:rPr>
          <w:rFonts w:hint="eastAsia" w:ascii="宋体" w:hAnsi="宋体"/>
          <w:szCs w:val="21"/>
          <w:highlight w:val="none"/>
        </w:rPr>
        <w:t>（1）供应商的名称（或者姓名）、地址、邮编、邮箱、联系人及联系电话；</w:t>
      </w:r>
    </w:p>
    <w:p>
      <w:pPr>
        <w:ind w:firstLine="420" w:firstLineChars="200"/>
        <w:rPr>
          <w:rFonts w:ascii="宋体" w:hAnsi="宋体"/>
          <w:szCs w:val="21"/>
          <w:highlight w:val="none"/>
        </w:rPr>
      </w:pPr>
      <w:r>
        <w:rPr>
          <w:rFonts w:hint="eastAsia" w:ascii="宋体" w:hAnsi="宋体"/>
          <w:szCs w:val="21"/>
          <w:highlight w:val="none"/>
        </w:rPr>
        <w:t>（2）质疑项目的名称、编号；</w:t>
      </w:r>
    </w:p>
    <w:p>
      <w:pPr>
        <w:ind w:firstLine="420" w:firstLineChars="200"/>
        <w:rPr>
          <w:rFonts w:ascii="宋体" w:hAnsi="宋体"/>
          <w:szCs w:val="21"/>
          <w:highlight w:val="none"/>
        </w:rPr>
      </w:pPr>
      <w:r>
        <w:rPr>
          <w:rFonts w:hint="eastAsia" w:ascii="宋体" w:hAnsi="宋体"/>
          <w:szCs w:val="21"/>
          <w:highlight w:val="none"/>
        </w:rPr>
        <w:t>（3）具体、明确的质疑对象、质疑事项和质疑请求；</w:t>
      </w:r>
    </w:p>
    <w:p>
      <w:pPr>
        <w:ind w:firstLine="420" w:firstLineChars="200"/>
        <w:rPr>
          <w:rFonts w:ascii="宋体" w:hAnsi="宋体"/>
          <w:szCs w:val="21"/>
          <w:highlight w:val="none"/>
        </w:rPr>
      </w:pPr>
      <w:r>
        <w:rPr>
          <w:rFonts w:hint="eastAsia" w:ascii="宋体" w:hAnsi="宋体"/>
          <w:szCs w:val="21"/>
          <w:highlight w:val="none"/>
        </w:rPr>
        <w:t>（4）因质疑事项而受损害的权益；</w:t>
      </w:r>
    </w:p>
    <w:p>
      <w:pPr>
        <w:ind w:firstLine="420" w:firstLineChars="200"/>
        <w:rPr>
          <w:rFonts w:ascii="宋体" w:hAnsi="宋体"/>
          <w:szCs w:val="21"/>
          <w:highlight w:val="none"/>
        </w:rPr>
      </w:pPr>
      <w:r>
        <w:rPr>
          <w:rFonts w:hint="eastAsia" w:ascii="宋体" w:hAnsi="宋体"/>
          <w:szCs w:val="21"/>
          <w:highlight w:val="none"/>
        </w:rPr>
        <w:t>（5）事实依据；</w:t>
      </w:r>
    </w:p>
    <w:p>
      <w:pPr>
        <w:ind w:firstLine="420" w:firstLineChars="200"/>
        <w:rPr>
          <w:rFonts w:ascii="宋体" w:hAnsi="宋体"/>
          <w:szCs w:val="21"/>
          <w:highlight w:val="none"/>
        </w:rPr>
      </w:pPr>
      <w:r>
        <w:rPr>
          <w:rFonts w:hint="eastAsia" w:ascii="宋体" w:hAnsi="宋体"/>
          <w:szCs w:val="21"/>
          <w:highlight w:val="none"/>
        </w:rPr>
        <w:t>（6）必要的法律依据；</w:t>
      </w:r>
    </w:p>
    <w:p>
      <w:pPr>
        <w:ind w:firstLine="420" w:firstLineChars="200"/>
        <w:rPr>
          <w:rFonts w:ascii="宋体" w:hAnsi="宋体"/>
          <w:szCs w:val="21"/>
          <w:highlight w:val="none"/>
        </w:rPr>
      </w:pPr>
      <w:r>
        <w:rPr>
          <w:rFonts w:hint="eastAsia" w:ascii="宋体" w:hAnsi="宋体"/>
          <w:szCs w:val="21"/>
          <w:highlight w:val="none"/>
        </w:rPr>
        <w:t>（7）提出质疑的日期。</w:t>
      </w:r>
    </w:p>
    <w:p>
      <w:pPr>
        <w:ind w:firstLine="420" w:firstLineChars="200"/>
        <w:rPr>
          <w:rFonts w:ascii="宋体" w:hAnsi="宋体"/>
          <w:szCs w:val="21"/>
          <w:highlight w:val="none"/>
        </w:rPr>
      </w:pPr>
      <w:r>
        <w:rPr>
          <w:rFonts w:hint="eastAsia" w:ascii="宋体" w:hAnsi="宋体"/>
          <w:szCs w:val="21"/>
          <w:highlight w:val="none"/>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highlight w:val="none"/>
        </w:rPr>
      </w:pPr>
      <w:r>
        <w:rPr>
          <w:rFonts w:hint="eastAsia" w:ascii="宋体" w:hAnsi="宋体"/>
          <w:szCs w:val="21"/>
          <w:highlight w:val="none"/>
        </w:rPr>
        <w:t>52.4提交</w:t>
      </w:r>
      <w:r>
        <w:rPr>
          <w:rFonts w:ascii="宋体" w:hAnsi="宋体"/>
          <w:szCs w:val="21"/>
          <w:highlight w:val="none"/>
        </w:rPr>
        <w:t>材料</w:t>
      </w:r>
    </w:p>
    <w:p>
      <w:pPr>
        <w:ind w:firstLine="420" w:firstLineChars="200"/>
        <w:rPr>
          <w:rFonts w:ascii="宋体" w:hAnsi="宋体"/>
          <w:szCs w:val="21"/>
          <w:highlight w:val="none"/>
        </w:rPr>
      </w:pPr>
      <w:r>
        <w:rPr>
          <w:rFonts w:hint="eastAsia" w:ascii="宋体" w:hAnsi="宋体"/>
          <w:szCs w:val="21"/>
          <w:highlight w:val="none"/>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highlight w:val="none"/>
        </w:rPr>
      </w:pPr>
      <w:r>
        <w:rPr>
          <w:rFonts w:hint="eastAsia" w:ascii="宋体" w:hAnsi="宋体"/>
          <w:szCs w:val="21"/>
          <w:highlight w:val="none"/>
        </w:rPr>
        <w:t>供应商可以委托代理人进行质疑。</w:t>
      </w:r>
      <w:r>
        <w:rPr>
          <w:rFonts w:ascii="宋体" w:hAnsi="宋体"/>
          <w:szCs w:val="21"/>
          <w:highlight w:val="none"/>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highlight w:val="none"/>
        </w:rPr>
      </w:pPr>
      <w:r>
        <w:rPr>
          <w:rFonts w:hint="eastAsia" w:ascii="宋体" w:hAnsi="宋体"/>
          <w:szCs w:val="21"/>
          <w:highlight w:val="none"/>
        </w:rPr>
        <w:t>52.5收文地点</w:t>
      </w:r>
    </w:p>
    <w:p>
      <w:pPr>
        <w:ind w:firstLine="422" w:firstLineChars="200"/>
        <w:rPr>
          <w:rFonts w:ascii="宋体" w:hAnsi="宋体"/>
          <w:b/>
          <w:bCs/>
          <w:szCs w:val="21"/>
          <w:highlight w:val="none"/>
        </w:rPr>
      </w:pPr>
      <w:r>
        <w:rPr>
          <w:rFonts w:hint="eastAsia" w:ascii="宋体" w:hAnsi="宋体"/>
          <w:b/>
          <w:bCs/>
          <w:szCs w:val="21"/>
          <w:highlight w:val="none"/>
        </w:rPr>
        <w:t>地址：深圳公共资源交易中心（深圳交易集团有限公司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szCs w:val="21"/>
          <w:highlight w:val="none"/>
          <w:lang w:val="en-US" w:eastAsia="zh-CN"/>
        </w:rPr>
        <w:t>一</w:t>
      </w:r>
      <w:r>
        <w:rPr>
          <w:rFonts w:hint="eastAsia" w:ascii="宋体" w:hAnsi="宋体"/>
          <w:b/>
          <w:bCs/>
          <w:szCs w:val="21"/>
          <w:highlight w:val="none"/>
        </w:rPr>
        <w:t>楼</w:t>
      </w:r>
      <w:r>
        <w:rPr>
          <w:rFonts w:hint="eastAsia" w:ascii="宋体" w:hAnsi="宋体"/>
          <w:b/>
          <w:bCs/>
          <w:szCs w:val="21"/>
          <w:highlight w:val="none"/>
          <w:lang w:val="en-US" w:eastAsia="zh-CN"/>
        </w:rPr>
        <w:t>服务大厅</w:t>
      </w:r>
      <w:r>
        <w:rPr>
          <w:rFonts w:hint="eastAsia" w:ascii="宋体" w:hAnsi="宋体"/>
          <w:b/>
          <w:bCs/>
          <w:szCs w:val="21"/>
          <w:highlight w:val="none"/>
        </w:rPr>
        <w:t>，质疑咨询电话：0755-</w:t>
      </w:r>
      <w:r>
        <w:rPr>
          <w:rFonts w:hint="eastAsia" w:ascii="宋体" w:hAnsi="宋体"/>
          <w:b/>
          <w:bCs/>
          <w:szCs w:val="21"/>
          <w:highlight w:val="none"/>
          <w:lang w:val="en-US" w:eastAsia="zh-CN"/>
        </w:rPr>
        <w:t>27758331</w:t>
      </w:r>
      <w:r>
        <w:rPr>
          <w:rFonts w:hint="eastAsia" w:ascii="宋体" w:hAnsi="宋体"/>
          <w:b/>
          <w:bCs/>
          <w:szCs w:val="21"/>
          <w:highlight w:val="none"/>
        </w:rPr>
        <w:t>。</w:t>
      </w:r>
    </w:p>
    <w:p>
      <w:pPr>
        <w:ind w:firstLine="420" w:firstLineChars="200"/>
        <w:rPr>
          <w:rFonts w:ascii="宋体" w:hAnsi="宋体"/>
          <w:szCs w:val="21"/>
          <w:highlight w:val="none"/>
        </w:rPr>
      </w:pPr>
      <w:r>
        <w:rPr>
          <w:rFonts w:hint="eastAsia" w:ascii="宋体" w:hAnsi="宋体"/>
          <w:szCs w:val="21"/>
          <w:highlight w:val="none"/>
        </w:rPr>
        <w:t>52.6收文办理</w:t>
      </w:r>
      <w:r>
        <w:rPr>
          <w:rFonts w:ascii="宋体" w:hAnsi="宋体"/>
          <w:szCs w:val="21"/>
          <w:highlight w:val="none"/>
        </w:rPr>
        <w:t>程序</w:t>
      </w:r>
    </w:p>
    <w:p>
      <w:pPr>
        <w:ind w:firstLine="420" w:firstLineChars="200"/>
        <w:rPr>
          <w:rFonts w:ascii="宋体" w:hAnsi="宋体"/>
          <w:szCs w:val="21"/>
          <w:highlight w:val="none"/>
        </w:rPr>
      </w:pPr>
      <w:r>
        <w:rPr>
          <w:rFonts w:hint="eastAsia" w:ascii="宋体" w:hAnsi="宋体"/>
          <w:szCs w:val="21"/>
          <w:highlight w:val="none"/>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highlight w:val="none"/>
        </w:rPr>
      </w:pPr>
      <w:r>
        <w:rPr>
          <w:rFonts w:hint="eastAsia" w:ascii="宋体" w:hAnsi="宋体"/>
          <w:szCs w:val="21"/>
          <w:highlight w:val="none"/>
        </w:rPr>
        <w:t>52.6.2供应商提交的质疑材料不符合质疑条件的，视情况处理：</w:t>
      </w:r>
    </w:p>
    <w:p>
      <w:pPr>
        <w:ind w:firstLine="420" w:firstLineChars="200"/>
        <w:rPr>
          <w:rFonts w:ascii="宋体" w:hAnsi="宋体"/>
          <w:szCs w:val="21"/>
          <w:highlight w:val="none"/>
        </w:rPr>
      </w:pPr>
      <w:r>
        <w:rPr>
          <w:rFonts w:hint="eastAsia" w:ascii="宋体" w:hAnsi="宋体"/>
          <w:szCs w:val="21"/>
          <w:highlight w:val="none"/>
        </w:rPr>
        <w:t>供应商提交的质疑材料不全或者未按要求签字或者盖章的，政府集中采购机构应当一次性告知供应商需补正的内容和补正期限。</w:t>
      </w:r>
    </w:p>
    <w:p>
      <w:pPr>
        <w:ind w:firstLine="420" w:firstLineChars="200"/>
        <w:rPr>
          <w:rFonts w:ascii="宋体" w:hAnsi="宋体"/>
          <w:szCs w:val="21"/>
          <w:highlight w:val="none"/>
        </w:rPr>
      </w:pPr>
      <w:r>
        <w:rPr>
          <w:rFonts w:hint="eastAsia" w:ascii="宋体" w:hAnsi="宋体"/>
          <w:szCs w:val="21"/>
          <w:highlight w:val="none"/>
        </w:rPr>
        <w:t>供应商提交的质疑存在下列情形之一的，不予受理：</w:t>
      </w:r>
    </w:p>
    <w:p>
      <w:pPr>
        <w:ind w:firstLine="420" w:firstLineChars="200"/>
        <w:rPr>
          <w:rFonts w:ascii="宋体" w:hAnsi="宋体"/>
          <w:szCs w:val="21"/>
          <w:highlight w:val="none"/>
        </w:rPr>
      </w:pPr>
      <w:r>
        <w:rPr>
          <w:rFonts w:hint="eastAsia" w:ascii="宋体" w:hAnsi="宋体"/>
          <w:szCs w:val="21"/>
          <w:highlight w:val="none"/>
        </w:rPr>
        <w:t>（1）质疑主体不满足要求的；</w:t>
      </w:r>
    </w:p>
    <w:p>
      <w:pPr>
        <w:ind w:firstLine="420" w:firstLineChars="200"/>
        <w:rPr>
          <w:rFonts w:ascii="宋体" w:hAnsi="宋体"/>
          <w:szCs w:val="21"/>
          <w:highlight w:val="none"/>
        </w:rPr>
      </w:pPr>
      <w:r>
        <w:rPr>
          <w:rFonts w:hint="eastAsia" w:ascii="宋体" w:hAnsi="宋体"/>
          <w:szCs w:val="21"/>
          <w:highlight w:val="none"/>
        </w:rPr>
        <w:t>（2）供应商自身权益未受到损害的；</w:t>
      </w:r>
    </w:p>
    <w:p>
      <w:pPr>
        <w:ind w:firstLine="420" w:firstLineChars="200"/>
        <w:rPr>
          <w:rFonts w:ascii="宋体" w:hAnsi="宋体"/>
          <w:szCs w:val="21"/>
          <w:highlight w:val="none"/>
        </w:rPr>
      </w:pPr>
      <w:r>
        <w:rPr>
          <w:rFonts w:hint="eastAsia" w:ascii="宋体" w:hAnsi="宋体"/>
          <w:szCs w:val="21"/>
          <w:highlight w:val="none"/>
        </w:rPr>
        <w:t>（3）供应商未在法定质疑期限内提出质疑的；</w:t>
      </w:r>
    </w:p>
    <w:p>
      <w:pPr>
        <w:ind w:firstLine="420" w:firstLineChars="200"/>
        <w:rPr>
          <w:rFonts w:ascii="宋体" w:hAnsi="宋体"/>
          <w:szCs w:val="21"/>
          <w:highlight w:val="none"/>
        </w:rPr>
      </w:pPr>
      <w:r>
        <w:rPr>
          <w:rFonts w:hint="eastAsia" w:ascii="宋体" w:hAnsi="宋体"/>
          <w:szCs w:val="21"/>
          <w:highlight w:val="none"/>
        </w:rPr>
        <w:t>（4）质疑材料不全或者未按要求签字或者盖章的情况下，要求补正后，逾期未补正或者补正后仍不符合规定的；</w:t>
      </w:r>
    </w:p>
    <w:p>
      <w:pPr>
        <w:ind w:firstLine="420" w:firstLineChars="200"/>
        <w:rPr>
          <w:rFonts w:ascii="宋体" w:hAnsi="宋体"/>
          <w:szCs w:val="21"/>
          <w:highlight w:val="none"/>
        </w:rPr>
      </w:pPr>
      <w:r>
        <w:rPr>
          <w:rFonts w:hint="eastAsia" w:ascii="宋体" w:hAnsi="宋体"/>
          <w:szCs w:val="21"/>
          <w:highlight w:val="none"/>
        </w:rPr>
        <w:t>（5）其他不符合受理条件情形的。</w:t>
      </w:r>
    </w:p>
    <w:p>
      <w:pPr>
        <w:ind w:firstLine="420" w:firstLineChars="200"/>
        <w:rPr>
          <w:rFonts w:ascii="宋体" w:hAnsi="宋体"/>
          <w:szCs w:val="21"/>
          <w:highlight w:val="none"/>
        </w:rPr>
      </w:pPr>
      <w:r>
        <w:rPr>
          <w:rFonts w:hint="eastAsia" w:ascii="宋体" w:hAnsi="宋体"/>
          <w:szCs w:val="21"/>
          <w:highlight w:val="none"/>
        </w:rPr>
        <w:t>质疑事项不予受理的，政府集中采购机构应当向供应商出具不符合质疑条件告知书。</w:t>
      </w:r>
    </w:p>
    <w:p>
      <w:pPr>
        <w:rPr>
          <w:rFonts w:ascii="宋体" w:hAnsi="宋体"/>
          <w:szCs w:val="21"/>
          <w:highlight w:val="none"/>
        </w:rPr>
      </w:pPr>
      <w:r>
        <w:rPr>
          <w:rFonts w:hint="eastAsia" w:ascii="宋体" w:hAnsi="宋体"/>
          <w:color w:val="FF0000"/>
          <w:szCs w:val="21"/>
          <w:highlight w:val="none"/>
        </w:rPr>
        <w:t xml:space="preserve">  </w:t>
      </w:r>
      <w:r>
        <w:rPr>
          <w:rFonts w:hint="eastAsia" w:ascii="宋体" w:hAnsi="宋体"/>
          <w:szCs w:val="21"/>
          <w:highlight w:val="none"/>
        </w:rPr>
        <w:t xml:space="preserve">  52.7质疑答复时限</w:t>
      </w:r>
    </w:p>
    <w:p>
      <w:pPr>
        <w:rPr>
          <w:rFonts w:ascii="宋体" w:hAnsi="宋体"/>
          <w:szCs w:val="21"/>
          <w:highlight w:val="none"/>
        </w:rPr>
      </w:pPr>
      <w:r>
        <w:rPr>
          <w:rFonts w:hint="eastAsia" w:ascii="宋体" w:hAnsi="宋体"/>
          <w:szCs w:val="21"/>
          <w:highlight w:val="none"/>
        </w:rPr>
        <w:t xml:space="preserve">    自收文之日起七个工作日内。</w:t>
      </w:r>
    </w:p>
    <w:p>
      <w:pPr>
        <w:rPr>
          <w:rFonts w:ascii="宋体" w:hAnsi="宋体"/>
          <w:szCs w:val="21"/>
          <w:highlight w:val="none"/>
        </w:rPr>
      </w:pPr>
      <w:r>
        <w:rPr>
          <w:rFonts w:hint="eastAsia" w:ascii="宋体" w:hAnsi="宋体"/>
          <w:szCs w:val="21"/>
          <w:highlight w:val="none"/>
        </w:rPr>
        <w:t xml:space="preserve">    52.8投诉</w:t>
      </w:r>
    </w:p>
    <w:p>
      <w:pPr>
        <w:rPr>
          <w:rFonts w:ascii="宋体" w:hAnsi="宋体"/>
          <w:szCs w:val="21"/>
          <w:highlight w:val="none"/>
        </w:rPr>
      </w:pPr>
      <w:r>
        <w:rPr>
          <w:rFonts w:hint="eastAsia" w:ascii="宋体" w:hAnsi="宋体"/>
          <w:szCs w:val="21"/>
          <w:highlight w:val="none"/>
        </w:rPr>
        <w:t xml:space="preserve">    对质疑答复不满意或者未在规定时间内答复的，提出质疑的供应商可以在答复期满后15个工作日内向本项目预算主管单位投诉。</w:t>
      </w:r>
    </w:p>
    <w:p>
      <w:pPr>
        <w:rPr>
          <w:rFonts w:ascii="黑体" w:hAnsi="宋体" w:eastAsia="黑体"/>
          <w:sz w:val="24"/>
          <w:highlight w:val="none"/>
        </w:rPr>
      </w:pPr>
      <w:r>
        <w:rPr>
          <w:rFonts w:hint="eastAsia" w:ascii="黑体" w:hAnsi="宋体" w:eastAsia="黑体"/>
          <w:sz w:val="24"/>
          <w:highlight w:val="none"/>
        </w:rPr>
        <w:t>53. 质疑后续处理</w:t>
      </w:r>
    </w:p>
    <w:p>
      <w:pPr>
        <w:rPr>
          <w:rFonts w:ascii="宋体" w:hAnsi="宋体"/>
          <w:szCs w:val="21"/>
          <w:highlight w:val="none"/>
        </w:rPr>
      </w:pPr>
      <w:r>
        <w:rPr>
          <w:rFonts w:hint="eastAsia" w:ascii="宋体" w:hAnsi="宋体"/>
          <w:szCs w:val="21"/>
          <w:highlight w:val="none"/>
        </w:rPr>
        <w:t xml:space="preserve">    53.1供应商质疑不成立，或者成立但未对中标、成交结果构成影响的，继续开展采购活动。</w:t>
      </w:r>
    </w:p>
    <w:p>
      <w:pPr>
        <w:jc w:val="center"/>
        <w:rPr>
          <w:highlight w:val="none"/>
        </w:rPr>
      </w:pPr>
      <w:r>
        <w:rPr>
          <w:rFonts w:hint="eastAsia" w:ascii="宋体" w:hAnsi="宋体"/>
          <w:szCs w:val="21"/>
          <w:highlight w:val="none"/>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highlight w:val="none"/>
        </w:rPr>
        <w:t>---- END ----</w:t>
      </w:r>
    </w:p>
    <w:p>
      <w:pPr>
        <w:jc w:val="center"/>
        <w:rPr>
          <w:rFonts w:ascii="Times New Roman" w:hAnsi="Times New Roman" w:eastAsia="宋体" w:cs="Times New Roman"/>
          <w:szCs w:val="24"/>
          <w:highlight w:val="none"/>
        </w:rPr>
      </w:pPr>
      <w:r>
        <w:rPr>
          <w:rFonts w:ascii="Times New Roman" w:hAnsi="Times New Roman" w:eastAsia="宋体" w:cs="Times New Roman"/>
          <w:szCs w:val="24"/>
          <w:highlight w:val="none"/>
        </w:rPr>
        <w:t>---- END ----</w:t>
      </w:r>
      <w:bookmarkEnd w:id="36"/>
    </w:p>
    <w:p>
      <w:pPr>
        <w:rPr>
          <w:b/>
          <w:color w:val="FF0000"/>
          <w:sz w:val="52"/>
          <w:szCs w:val="52"/>
          <w:highlight w:val="none"/>
        </w:rPr>
      </w:pPr>
    </w:p>
    <w:p>
      <w:pPr>
        <w:rPr>
          <w:rFonts w:ascii="宋体" w:hAnsi="宋体" w:eastAsia="黑体" w:cs="Times New Roman"/>
          <w:b/>
          <w:bCs/>
          <w:color w:val="0000FF"/>
          <w:kern w:val="44"/>
          <w:sz w:val="36"/>
          <w:szCs w:val="44"/>
          <w:highlight w:val="none"/>
        </w:rPr>
      </w:pPr>
    </w:p>
    <w:bookmarkEnd w:id="91"/>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9CA0"/>
    <w:multiLevelType w:val="singleLevel"/>
    <w:tmpl w:val="04E29CA0"/>
    <w:lvl w:ilvl="0" w:tentative="0">
      <w:start w:val="1"/>
      <w:numFmt w:val="chineseCounting"/>
      <w:suff w:val="nothing"/>
      <w:lvlText w:val="（%1）"/>
      <w:lvlJc w:val="left"/>
      <w:rPr>
        <w:rFonts w:hint="eastAsia"/>
      </w:rPr>
    </w:lvl>
  </w:abstractNum>
  <w:abstractNum w:abstractNumId="1">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DDFD9E"/>
    <w:multiLevelType w:val="singleLevel"/>
    <w:tmpl w:val="11DDFD9E"/>
    <w:lvl w:ilvl="0" w:tentative="0">
      <w:start w:val="1"/>
      <w:numFmt w:val="decimal"/>
      <w:lvlText w:val="%1."/>
      <w:lvlJc w:val="left"/>
      <w:pPr>
        <w:tabs>
          <w:tab w:val="left" w:pos="312"/>
        </w:tabs>
      </w:pPr>
    </w:lvl>
  </w:abstractNum>
  <w:abstractNum w:abstractNumId="4">
    <w:nsid w:val="4D034486"/>
    <w:multiLevelType w:val="singleLevel"/>
    <w:tmpl w:val="4D034486"/>
    <w:lvl w:ilvl="0" w:tentative="0">
      <w:start w:val="3"/>
      <w:numFmt w:val="chineseCounting"/>
      <w:suff w:val="space"/>
      <w:lvlText w:val="第%1条"/>
      <w:lvlJc w:val="left"/>
      <w:rPr>
        <w:rFonts w:hint="eastAsia"/>
      </w:rPr>
    </w:lvl>
  </w:abstractNum>
  <w:abstractNum w:abstractNumId="5">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225BEBB"/>
    <w:multiLevelType w:val="singleLevel"/>
    <w:tmpl w:val="6225BEBB"/>
    <w:lvl w:ilvl="0" w:tentative="0">
      <w:start w:val="1"/>
      <w:numFmt w:val="decimal"/>
      <w:suff w:val="nothing"/>
      <w:lvlText w:val="%1、"/>
      <w:lvlJc w:val="left"/>
    </w:lvl>
  </w:abstractNum>
  <w:abstractNum w:abstractNumId="7">
    <w:nsid w:val="7DA165D4"/>
    <w:multiLevelType w:val="singleLevel"/>
    <w:tmpl w:val="7DA165D4"/>
    <w:lvl w:ilvl="0" w:tentative="0">
      <w:start w:val="1"/>
      <w:numFmt w:val="decimal"/>
      <w:lvlText w:val="%1."/>
      <w:lvlJc w:val="left"/>
      <w:pPr>
        <w:tabs>
          <w:tab w:val="left" w:pos="312"/>
        </w:tabs>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yNDI3NWQ3ZGQxYjEwZWVjZWM2ZjViYzE1YWY0ZDA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7E4AAB"/>
    <w:rsid w:val="048C54B6"/>
    <w:rsid w:val="049A4077"/>
    <w:rsid w:val="05130EC4"/>
    <w:rsid w:val="05452235"/>
    <w:rsid w:val="05A21435"/>
    <w:rsid w:val="060774EA"/>
    <w:rsid w:val="06127C3D"/>
    <w:rsid w:val="06215480"/>
    <w:rsid w:val="062E1176"/>
    <w:rsid w:val="063E255E"/>
    <w:rsid w:val="065D710A"/>
    <w:rsid w:val="069468A4"/>
    <w:rsid w:val="06E710CA"/>
    <w:rsid w:val="07101435"/>
    <w:rsid w:val="072B0FB7"/>
    <w:rsid w:val="07724E37"/>
    <w:rsid w:val="07B37245"/>
    <w:rsid w:val="07EC1177"/>
    <w:rsid w:val="08E33B14"/>
    <w:rsid w:val="09B4074E"/>
    <w:rsid w:val="09B47989"/>
    <w:rsid w:val="09CB6A81"/>
    <w:rsid w:val="0A0106F5"/>
    <w:rsid w:val="0A522CFE"/>
    <w:rsid w:val="0A537E82"/>
    <w:rsid w:val="0A670558"/>
    <w:rsid w:val="0B260413"/>
    <w:rsid w:val="0B5C3158"/>
    <w:rsid w:val="0B845139"/>
    <w:rsid w:val="0B913B41"/>
    <w:rsid w:val="0BB023D2"/>
    <w:rsid w:val="0BC027C4"/>
    <w:rsid w:val="0BC750CE"/>
    <w:rsid w:val="0BE16F32"/>
    <w:rsid w:val="0C204376"/>
    <w:rsid w:val="0C6875C2"/>
    <w:rsid w:val="0CA77331"/>
    <w:rsid w:val="0CB16402"/>
    <w:rsid w:val="0CEC0DE7"/>
    <w:rsid w:val="0D0227BA"/>
    <w:rsid w:val="0D605732"/>
    <w:rsid w:val="0D844388"/>
    <w:rsid w:val="0DEE34CD"/>
    <w:rsid w:val="0E0B7D94"/>
    <w:rsid w:val="0E230C39"/>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485D96"/>
    <w:rsid w:val="12635AA8"/>
    <w:rsid w:val="127840D2"/>
    <w:rsid w:val="12900868"/>
    <w:rsid w:val="134F24D1"/>
    <w:rsid w:val="13AA7707"/>
    <w:rsid w:val="13FF3EF7"/>
    <w:rsid w:val="144E2788"/>
    <w:rsid w:val="149C1746"/>
    <w:rsid w:val="14E4477F"/>
    <w:rsid w:val="15BD1BCA"/>
    <w:rsid w:val="16730284"/>
    <w:rsid w:val="16753FFC"/>
    <w:rsid w:val="16B965DF"/>
    <w:rsid w:val="1741793A"/>
    <w:rsid w:val="1743234C"/>
    <w:rsid w:val="17933E49"/>
    <w:rsid w:val="17966F3F"/>
    <w:rsid w:val="179901BE"/>
    <w:rsid w:val="17C27715"/>
    <w:rsid w:val="17C57205"/>
    <w:rsid w:val="17E4768B"/>
    <w:rsid w:val="182513C0"/>
    <w:rsid w:val="18397E11"/>
    <w:rsid w:val="18E83581"/>
    <w:rsid w:val="194505FE"/>
    <w:rsid w:val="19687E48"/>
    <w:rsid w:val="196B1CEA"/>
    <w:rsid w:val="198E1EAE"/>
    <w:rsid w:val="19D05BA1"/>
    <w:rsid w:val="1A24288D"/>
    <w:rsid w:val="1B1B5294"/>
    <w:rsid w:val="1B356450"/>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1FFE7623"/>
    <w:rsid w:val="201E5705"/>
    <w:rsid w:val="204333BD"/>
    <w:rsid w:val="20457135"/>
    <w:rsid w:val="20631369"/>
    <w:rsid w:val="20755F4B"/>
    <w:rsid w:val="20AF152F"/>
    <w:rsid w:val="20BD55D8"/>
    <w:rsid w:val="21431371"/>
    <w:rsid w:val="2149055F"/>
    <w:rsid w:val="21513626"/>
    <w:rsid w:val="215C64E4"/>
    <w:rsid w:val="219537A4"/>
    <w:rsid w:val="21C36564"/>
    <w:rsid w:val="21DF0EC4"/>
    <w:rsid w:val="228D0920"/>
    <w:rsid w:val="23290736"/>
    <w:rsid w:val="23362D65"/>
    <w:rsid w:val="236E5E5F"/>
    <w:rsid w:val="2378337E"/>
    <w:rsid w:val="239A32F4"/>
    <w:rsid w:val="23A61C99"/>
    <w:rsid w:val="23C5440E"/>
    <w:rsid w:val="23F30C56"/>
    <w:rsid w:val="244A2F6C"/>
    <w:rsid w:val="246A64EC"/>
    <w:rsid w:val="24AB04CD"/>
    <w:rsid w:val="24B85FE4"/>
    <w:rsid w:val="24D67678"/>
    <w:rsid w:val="252E63EA"/>
    <w:rsid w:val="25493224"/>
    <w:rsid w:val="256533FF"/>
    <w:rsid w:val="25E847EB"/>
    <w:rsid w:val="267047E0"/>
    <w:rsid w:val="26C2225A"/>
    <w:rsid w:val="270F7B55"/>
    <w:rsid w:val="273B6B9C"/>
    <w:rsid w:val="27427F2B"/>
    <w:rsid w:val="27857F9B"/>
    <w:rsid w:val="2795721C"/>
    <w:rsid w:val="27A641C3"/>
    <w:rsid w:val="27A6670B"/>
    <w:rsid w:val="27C546B8"/>
    <w:rsid w:val="282633A8"/>
    <w:rsid w:val="284461F5"/>
    <w:rsid w:val="286F1880"/>
    <w:rsid w:val="28A10C81"/>
    <w:rsid w:val="28EC2844"/>
    <w:rsid w:val="29114058"/>
    <w:rsid w:val="29895F6F"/>
    <w:rsid w:val="29995DFC"/>
    <w:rsid w:val="29AC6F9B"/>
    <w:rsid w:val="29E821D3"/>
    <w:rsid w:val="29F75268"/>
    <w:rsid w:val="2A930A9D"/>
    <w:rsid w:val="2A967EB2"/>
    <w:rsid w:val="2AD417E1"/>
    <w:rsid w:val="2B065713"/>
    <w:rsid w:val="2B2871E7"/>
    <w:rsid w:val="2BA9299F"/>
    <w:rsid w:val="2BF832AE"/>
    <w:rsid w:val="2BFE65C2"/>
    <w:rsid w:val="2C02412C"/>
    <w:rsid w:val="2C295297"/>
    <w:rsid w:val="2C6E17C2"/>
    <w:rsid w:val="2D7F69DE"/>
    <w:rsid w:val="2DB16F26"/>
    <w:rsid w:val="2DB3388B"/>
    <w:rsid w:val="2DCA6ECC"/>
    <w:rsid w:val="2E2D0C64"/>
    <w:rsid w:val="2E815E80"/>
    <w:rsid w:val="2E954277"/>
    <w:rsid w:val="2EDF69A7"/>
    <w:rsid w:val="2F1A79DF"/>
    <w:rsid w:val="2F2A413F"/>
    <w:rsid w:val="2F363171"/>
    <w:rsid w:val="30311375"/>
    <w:rsid w:val="306058C5"/>
    <w:rsid w:val="30B023A9"/>
    <w:rsid w:val="30C714A1"/>
    <w:rsid w:val="311772A4"/>
    <w:rsid w:val="31B92B8B"/>
    <w:rsid w:val="3257574A"/>
    <w:rsid w:val="32FB3683"/>
    <w:rsid w:val="32FD564D"/>
    <w:rsid w:val="3328091C"/>
    <w:rsid w:val="338F3097"/>
    <w:rsid w:val="33A51F6D"/>
    <w:rsid w:val="33C06DA7"/>
    <w:rsid w:val="342509B8"/>
    <w:rsid w:val="34297F29"/>
    <w:rsid w:val="34AE6BFF"/>
    <w:rsid w:val="34CA3E45"/>
    <w:rsid w:val="34D34153"/>
    <w:rsid w:val="350634F3"/>
    <w:rsid w:val="359758E5"/>
    <w:rsid w:val="359D5EEA"/>
    <w:rsid w:val="35BA1D81"/>
    <w:rsid w:val="35D02BA5"/>
    <w:rsid w:val="35E825E5"/>
    <w:rsid w:val="35E8637E"/>
    <w:rsid w:val="35FC7E3E"/>
    <w:rsid w:val="363C3B17"/>
    <w:rsid w:val="36474247"/>
    <w:rsid w:val="365612FD"/>
    <w:rsid w:val="3677309A"/>
    <w:rsid w:val="36C95F72"/>
    <w:rsid w:val="36F40B16"/>
    <w:rsid w:val="370C52DF"/>
    <w:rsid w:val="370C5E5F"/>
    <w:rsid w:val="374B6987"/>
    <w:rsid w:val="374D6BA3"/>
    <w:rsid w:val="375A306E"/>
    <w:rsid w:val="37CE1367"/>
    <w:rsid w:val="37D746BF"/>
    <w:rsid w:val="38B33C24"/>
    <w:rsid w:val="38C84008"/>
    <w:rsid w:val="38CA5FD2"/>
    <w:rsid w:val="38EB0F04"/>
    <w:rsid w:val="39411452"/>
    <w:rsid w:val="397B72CC"/>
    <w:rsid w:val="39B22FFA"/>
    <w:rsid w:val="39C15930"/>
    <w:rsid w:val="3A064B06"/>
    <w:rsid w:val="3A173499"/>
    <w:rsid w:val="3A30022F"/>
    <w:rsid w:val="3A371445"/>
    <w:rsid w:val="3A547797"/>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C90AAE"/>
    <w:rsid w:val="40E165AE"/>
    <w:rsid w:val="411C75E7"/>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762C36"/>
    <w:rsid w:val="477C0DDF"/>
    <w:rsid w:val="480212E4"/>
    <w:rsid w:val="482B73A4"/>
    <w:rsid w:val="484216E1"/>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3E18F6"/>
    <w:rsid w:val="546B1FBF"/>
    <w:rsid w:val="54996B2C"/>
    <w:rsid w:val="550A7A2A"/>
    <w:rsid w:val="554A7E27"/>
    <w:rsid w:val="555E1B24"/>
    <w:rsid w:val="556A04C9"/>
    <w:rsid w:val="559E5653"/>
    <w:rsid w:val="55AB3C2F"/>
    <w:rsid w:val="55EC35D4"/>
    <w:rsid w:val="55F2582E"/>
    <w:rsid w:val="56455CD4"/>
    <w:rsid w:val="565C42B5"/>
    <w:rsid w:val="56777341"/>
    <w:rsid w:val="56AE76A6"/>
    <w:rsid w:val="56D4209E"/>
    <w:rsid w:val="56DB2C2D"/>
    <w:rsid w:val="56E4418B"/>
    <w:rsid w:val="57064221"/>
    <w:rsid w:val="5773022F"/>
    <w:rsid w:val="580A1AEF"/>
    <w:rsid w:val="583540C2"/>
    <w:rsid w:val="58776655"/>
    <w:rsid w:val="58B74216"/>
    <w:rsid w:val="58C16652"/>
    <w:rsid w:val="590752B6"/>
    <w:rsid w:val="591F15CA"/>
    <w:rsid w:val="59760D08"/>
    <w:rsid w:val="599E6993"/>
    <w:rsid w:val="59AC5554"/>
    <w:rsid w:val="59CD2A43"/>
    <w:rsid w:val="5A564466"/>
    <w:rsid w:val="5A902780"/>
    <w:rsid w:val="5A9F4737"/>
    <w:rsid w:val="5AAE2C06"/>
    <w:rsid w:val="5AE8436A"/>
    <w:rsid w:val="5AF80325"/>
    <w:rsid w:val="5B6339F0"/>
    <w:rsid w:val="5BED5F70"/>
    <w:rsid w:val="5BFA4C14"/>
    <w:rsid w:val="5C2A6C04"/>
    <w:rsid w:val="5C3543D2"/>
    <w:rsid w:val="5CE36031"/>
    <w:rsid w:val="5DB26EB1"/>
    <w:rsid w:val="5DFE3EA4"/>
    <w:rsid w:val="5E465887"/>
    <w:rsid w:val="5E473A9D"/>
    <w:rsid w:val="5E8425FB"/>
    <w:rsid w:val="5EE50BC0"/>
    <w:rsid w:val="5F181B76"/>
    <w:rsid w:val="5F463D55"/>
    <w:rsid w:val="5FD4389C"/>
    <w:rsid w:val="6013374F"/>
    <w:rsid w:val="60B116A2"/>
    <w:rsid w:val="60B42F40"/>
    <w:rsid w:val="60B7767B"/>
    <w:rsid w:val="60CB59B4"/>
    <w:rsid w:val="61D672CA"/>
    <w:rsid w:val="626A2DAC"/>
    <w:rsid w:val="63293771"/>
    <w:rsid w:val="637C7D45"/>
    <w:rsid w:val="639808F7"/>
    <w:rsid w:val="645F2960"/>
    <w:rsid w:val="64654C7D"/>
    <w:rsid w:val="64BD496D"/>
    <w:rsid w:val="64BE25DF"/>
    <w:rsid w:val="64F93617"/>
    <w:rsid w:val="655D3BA6"/>
    <w:rsid w:val="65655387"/>
    <w:rsid w:val="659375C8"/>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4E4597"/>
    <w:rsid w:val="70A15EF2"/>
    <w:rsid w:val="70CB230C"/>
    <w:rsid w:val="72271FEC"/>
    <w:rsid w:val="72655E48"/>
    <w:rsid w:val="72824C4C"/>
    <w:rsid w:val="728A3B01"/>
    <w:rsid w:val="72D93738"/>
    <w:rsid w:val="73426EDA"/>
    <w:rsid w:val="73434202"/>
    <w:rsid w:val="734819F2"/>
    <w:rsid w:val="735B7378"/>
    <w:rsid w:val="737A608E"/>
    <w:rsid w:val="73A806E2"/>
    <w:rsid w:val="73BC418E"/>
    <w:rsid w:val="741D2E7E"/>
    <w:rsid w:val="74A16CBA"/>
    <w:rsid w:val="74CB28DA"/>
    <w:rsid w:val="74D53759"/>
    <w:rsid w:val="74E41BEE"/>
    <w:rsid w:val="74F33BDF"/>
    <w:rsid w:val="752B5D11"/>
    <w:rsid w:val="752C70F1"/>
    <w:rsid w:val="75387844"/>
    <w:rsid w:val="753903C8"/>
    <w:rsid w:val="757E794D"/>
    <w:rsid w:val="75CC2E8E"/>
    <w:rsid w:val="75DC4AB5"/>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61AEA"/>
    <w:rsid w:val="7956473D"/>
    <w:rsid w:val="798661F3"/>
    <w:rsid w:val="7991329B"/>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8835EA"/>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30"/>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9"/>
    <w:semiHidden/>
    <w:unhideWhenUsed/>
    <w:qFormat/>
    <w:uiPriority w:val="99"/>
    <w:rPr>
      <w:rFonts w:ascii="宋体" w:eastAsia="宋体"/>
      <w:sz w:val="18"/>
      <w:szCs w:val="18"/>
    </w:rPr>
  </w:style>
  <w:style w:type="paragraph" w:styleId="8">
    <w:name w:val="annotation text"/>
    <w:basedOn w:val="1"/>
    <w:link w:val="31"/>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Plain Text"/>
    <w:basedOn w:val="1"/>
    <w:qFormat/>
    <w:uiPriority w:val="0"/>
    <w:rPr>
      <w:rFonts w:ascii="宋体" w:hAnsi="Courier New" w:eastAsia="宋体" w:cs="Times New Roman"/>
      <w:szCs w:val="20"/>
    </w:rPr>
  </w:style>
  <w:style w:type="paragraph" w:styleId="12">
    <w:name w:val="Balloon Text"/>
    <w:basedOn w:val="1"/>
    <w:link w:val="25"/>
    <w:semiHidden/>
    <w:unhideWhenUsed/>
    <w:qFormat/>
    <w:uiPriority w:val="99"/>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link w:val="26"/>
    <w:qFormat/>
    <w:uiPriority w:val="99"/>
    <w:pPr>
      <w:widowControl/>
      <w:spacing w:before="100" w:beforeAutospacing="1" w:afterAutospacing="1"/>
      <w:jc w:val="left"/>
    </w:pPr>
    <w:rPr>
      <w:rFonts w:ascii="宋体" w:hAnsi="宋体"/>
      <w:sz w:val="24"/>
      <w:szCs w:val="24"/>
    </w:rPr>
  </w:style>
  <w:style w:type="paragraph" w:styleId="16">
    <w:name w:val="annotation subject"/>
    <w:basedOn w:val="8"/>
    <w:next w:val="8"/>
    <w:link w:val="33"/>
    <w:semiHidden/>
    <w:unhideWhenUsed/>
    <w:qFormat/>
    <w:uiPriority w:val="99"/>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themeColor="followedHyperlink"/>
      <w:u w:val="single"/>
    </w:rPr>
  </w:style>
  <w:style w:type="character" w:styleId="21">
    <w:name w:val="Hyperlink"/>
    <w:basedOn w:val="19"/>
    <w:unhideWhenUsed/>
    <w:qFormat/>
    <w:uiPriority w:val="99"/>
    <w:rPr>
      <w:color w:val="0000FF" w:themeColor="hyperlink"/>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4"/>
    <w:semiHidden/>
    <w:qFormat/>
    <w:uiPriority w:val="99"/>
    <w:rPr>
      <w:sz w:val="18"/>
      <w:szCs w:val="18"/>
    </w:rPr>
  </w:style>
  <w:style w:type="character" w:customStyle="1" w:styleId="24">
    <w:name w:val="页脚 Char"/>
    <w:basedOn w:val="19"/>
    <w:link w:val="13"/>
    <w:qFormat/>
    <w:uiPriority w:val="99"/>
    <w:rPr>
      <w:sz w:val="18"/>
      <w:szCs w:val="18"/>
    </w:rPr>
  </w:style>
  <w:style w:type="character" w:customStyle="1" w:styleId="25">
    <w:name w:val="批注框文本 Char"/>
    <w:basedOn w:val="19"/>
    <w:link w:val="12"/>
    <w:semiHidden/>
    <w:qFormat/>
    <w:uiPriority w:val="99"/>
    <w:rPr>
      <w:sz w:val="18"/>
      <w:szCs w:val="18"/>
    </w:rPr>
  </w:style>
  <w:style w:type="character" w:customStyle="1" w:styleId="26">
    <w:name w:val="普通(网站) Char"/>
    <w:link w:val="15"/>
    <w:qFormat/>
    <w:uiPriority w:val="99"/>
    <w:rPr>
      <w:rFonts w:ascii="宋体" w:hAnsi="宋体"/>
      <w:sz w:val="24"/>
      <w:szCs w:val="24"/>
    </w:rPr>
  </w:style>
  <w:style w:type="character" w:customStyle="1" w:styleId="27">
    <w:name w:val="标题 1 Char"/>
    <w:basedOn w:val="19"/>
    <w:link w:val="2"/>
    <w:qFormat/>
    <w:uiPriority w:val="0"/>
    <w:rPr>
      <w:rFonts w:ascii="Arial" w:hAnsi="Arial" w:eastAsia="宋体" w:cs="Times New Roman"/>
      <w:b/>
      <w:bCs/>
      <w:kern w:val="44"/>
      <w:sz w:val="44"/>
      <w:szCs w:val="44"/>
    </w:rPr>
  </w:style>
  <w:style w:type="paragraph" w:styleId="28">
    <w:name w:val="List Paragraph"/>
    <w:basedOn w:val="1"/>
    <w:qFormat/>
    <w:uiPriority w:val="34"/>
    <w:pPr>
      <w:ind w:firstLine="420" w:firstLineChars="200"/>
    </w:pPr>
  </w:style>
  <w:style w:type="character" w:customStyle="1" w:styleId="29">
    <w:name w:val="文档结构图 Char"/>
    <w:basedOn w:val="19"/>
    <w:link w:val="7"/>
    <w:semiHidden/>
    <w:qFormat/>
    <w:uiPriority w:val="99"/>
    <w:rPr>
      <w:rFonts w:ascii="宋体" w:eastAsia="宋体"/>
      <w:sz w:val="18"/>
      <w:szCs w:val="18"/>
    </w:rPr>
  </w:style>
  <w:style w:type="character" w:customStyle="1" w:styleId="30">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31">
    <w:name w:val="批注文字 Char"/>
    <w:basedOn w:val="19"/>
    <w:link w:val="8"/>
    <w:qFormat/>
    <w:uiPriority w:val="99"/>
  </w:style>
  <w:style w:type="character" w:customStyle="1" w:styleId="32">
    <w:name w:val="标题 3 Char"/>
    <w:qFormat/>
    <w:uiPriority w:val="0"/>
    <w:rPr>
      <w:rFonts w:ascii="黑体" w:eastAsia="黑体"/>
      <w:bCs/>
      <w:sz w:val="30"/>
    </w:rPr>
  </w:style>
  <w:style w:type="character" w:customStyle="1" w:styleId="33">
    <w:name w:val="批注主题 Char"/>
    <w:basedOn w:val="31"/>
    <w:link w:val="16"/>
    <w:semiHidden/>
    <w:qFormat/>
    <w:uiPriority w:val="99"/>
    <w:rPr>
      <w:b/>
      <w:bCs/>
    </w:rPr>
  </w:style>
  <w:style w:type="table" w:customStyle="1" w:styleId="34">
    <w:name w:val="网格型1"/>
    <w:basedOn w:val="17"/>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Default"/>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55</Pages>
  <Words>6654</Words>
  <Characters>37933</Characters>
  <Lines>316</Lines>
  <Paragraphs>88</Paragraphs>
  <TotalTime>12</TotalTime>
  <ScaleCrop>false</ScaleCrop>
  <LinksUpToDate>false</LinksUpToDate>
  <CharactersWithSpaces>44499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wjx</cp:lastModifiedBy>
  <cp:lastPrinted>2021-01-15T01:17:00Z</cp:lastPrinted>
  <dcterms:modified xsi:type="dcterms:W3CDTF">2024-05-22T05:52:56Z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1D35441E0ED44CDAA276D758760C3890_12</vt:lpwstr>
  </property>
</Properties>
</file>