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3.10.0 -->
  <w:body>
    <w:p>
      <w:pPr>
        <w:keepNext w:val="0"/>
        <w:keepLines w:val="0"/>
        <w:pageBreakBefore w:val="0"/>
        <w:widowControl/>
        <w:kinsoku/>
        <w:wordWrap/>
        <w:overflowPunct/>
        <w:topLinePunct w:val="0"/>
        <w:autoSpaceDE/>
        <w:autoSpaceDN/>
        <w:bidi w:val="0"/>
        <w:adjustRightInd/>
        <w:snapToGrid/>
        <w:spacing w:before="0" w:beforeAutospacing="1" w:after="0" w:afterAutospacing="1"/>
        <w:jc w:val="center"/>
        <w:textAlignment w:val="auto"/>
        <w:outlineLvl w:val="0"/>
        <w:rPr>
          <w:rFonts w:eastAsia="宋体" w:hint="eastAsia"/>
          <w:b/>
          <w:bCs/>
          <w:sz w:val="40"/>
          <w:szCs w:val="40"/>
          <w:lang w:eastAsia="zh-CN"/>
        </w:rPr>
      </w:pPr>
      <w:bookmarkStart w:id="0" w:name="_GoBack"/>
      <w:bookmarkEnd w:id="0"/>
      <w:r>
        <w:rPr>
          <w:rFonts w:eastAsia="宋体" w:hint="eastAsia"/>
          <w:b/>
          <w:bCs/>
          <w:sz w:val="40"/>
          <w:szCs w:val="40"/>
          <w:lang w:eastAsia="zh-CN"/>
        </w:rPr>
        <w:t>和一学校化学实验室、准备室和仪器室设备采购项目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eastAsia="黑体" w:hAnsi="宋体" w:cs="黑体"/>
          <w:sz w:val="40"/>
          <w:szCs w:val="40"/>
          <w:lang w:eastAsia="zh-CN"/>
        </w:rPr>
      </w:pPr>
      <w:r>
        <w:rPr>
          <w:rFonts w:ascii="黑体" w:eastAsia="黑体" w:hAnsi="宋体" w:cs="黑体" w:hint="eastAsia"/>
          <w:sz w:val="40"/>
          <w:szCs w:val="40"/>
          <w:lang w:eastAsia="zh-CN"/>
        </w:rPr>
        <w:t>招标文件信息</w:t>
      </w:r>
    </w:p>
    <w:tbl>
      <w:tblPr>
        <w:tblStyle w:val="TableNormal"/>
        <w:tblW w:w="5000" w:type="pct"/>
        <w:jc w:val="center"/>
        <w:tblCellSpacing w:w="0" w:type="dxa"/>
        <w:tblLayout w:type="fixed"/>
        <w:tblCellMar>
          <w:top w:w="36" w:type="dxa"/>
          <w:left w:w="36" w:type="dxa"/>
          <w:bottom w:w="36" w:type="dxa"/>
          <w:right w:w="36" w:type="dxa"/>
        </w:tblCellMar>
      </w:tblPr>
      <w:tblGrid>
        <w:gridCol w:w="2489"/>
        <w:gridCol w:w="6655"/>
      </w:tblGrid>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1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项目编号：</w:t>
            </w:r>
          </w:p>
        </w:tc>
        <w:tc>
          <w:tcPr>
            <w:tcW w:w="5127" w:type="dxa"/>
            <w:vAlign w:val="center"/>
          </w:tcPr>
          <w:p>
            <w:pPr>
              <w:widowControl w:val="0"/>
              <w:jc w:val="both"/>
              <w:rPr>
                <w:rFonts w:ascii="Calibri" w:eastAsia="宋体" w:hAnsi="Calibri"/>
                <w:kern w:val="2"/>
                <w:sz w:val="30"/>
                <w:szCs w:val="30"/>
                <w:lang w:eastAsia="zh-CN"/>
              </w:rPr>
            </w:pPr>
            <w:r>
              <w:rPr>
                <w:rFonts w:ascii="宋体" w:eastAsia="宋体" w:hAnsi="宋体" w:cstheme="minorBidi" w:hint="eastAsia"/>
                <w:kern w:val="2"/>
                <w:sz w:val="30"/>
                <w:szCs w:val="30"/>
                <w:lang w:eastAsia="zh-CN"/>
              </w:rPr>
              <w:t>BAZXCG-2024-00315</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1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项目名称：</w:t>
            </w:r>
          </w:p>
        </w:tc>
        <w:tc>
          <w:tcPr>
            <w:tcW w:w="5127" w:type="dxa"/>
            <w:vAlign w:val="center"/>
          </w:tcPr>
          <w:p>
            <w:pPr>
              <w:widowControl w:val="0"/>
              <w:jc w:val="both"/>
              <w:rPr>
                <w:rFonts w:ascii="Calibri" w:eastAsia="宋体" w:hAnsi="Calibri"/>
                <w:kern w:val="2"/>
                <w:sz w:val="30"/>
                <w:szCs w:val="30"/>
                <w:lang w:eastAsia="zh-CN"/>
              </w:rPr>
            </w:pPr>
            <w:r>
              <w:rPr>
                <w:rFonts w:ascii="宋体" w:eastAsia="宋体" w:hAnsi="宋体" w:cstheme="minorBidi" w:hint="eastAsia"/>
                <w:kern w:val="2"/>
                <w:sz w:val="30"/>
                <w:szCs w:val="30"/>
                <w:lang w:eastAsia="zh-CN"/>
              </w:rPr>
              <w:t>和一学校化学实验室、准备室和仪器室设备采购项目</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1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包</w:t>
            </w:r>
            <w:r>
              <w:rPr>
                <w:rFonts w:ascii="Calibri" w:eastAsia="宋体" w:hAnsi="Calibri" w:cstheme="minorBidi" w:hint="eastAsia"/>
                <w:kern w:val="2"/>
                <w:sz w:val="30"/>
                <w:szCs w:val="30"/>
                <w:lang w:eastAsia="zh-CN"/>
              </w:rPr>
              <w:t xml:space="preserve">    </w:t>
            </w:r>
            <w:r>
              <w:rPr>
                <w:rFonts w:ascii="Calibri" w:eastAsia="宋体" w:hAnsi="Calibri" w:cstheme="minorBidi"/>
                <w:kern w:val="2"/>
                <w:sz w:val="30"/>
                <w:szCs w:val="30"/>
                <w:lang w:eastAsia="zh-CN"/>
              </w:rPr>
              <w:t>号：</w:t>
            </w:r>
          </w:p>
        </w:tc>
        <w:tc>
          <w:tcPr>
            <w:tcW w:w="5127"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A</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1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项目类型：</w:t>
            </w:r>
          </w:p>
        </w:tc>
        <w:tc>
          <w:tcPr>
            <w:tcW w:w="5127" w:type="dxa"/>
            <w:vAlign w:val="center"/>
          </w:tcPr>
          <w:p>
            <w:pPr>
              <w:widowControl w:val="0"/>
              <w:jc w:val="both"/>
              <w:rPr>
                <w:rFonts w:ascii="Calibri" w:eastAsia="宋体" w:hAnsi="Calibri"/>
                <w:kern w:val="2"/>
                <w:sz w:val="30"/>
                <w:szCs w:val="30"/>
                <w:lang w:eastAsia="zh-CN"/>
              </w:rPr>
            </w:pPr>
            <w:r>
              <w:rPr>
                <w:rFonts w:ascii="Calibri" w:eastAsia="宋体" w:hAnsi="Calibri" w:cstheme="minorBidi" w:hint="eastAsia"/>
                <w:kern w:val="2"/>
                <w:sz w:val="30"/>
                <w:szCs w:val="30"/>
                <w:lang w:eastAsia="zh-CN"/>
              </w:rPr>
              <w:t>货物</w:t>
            </w:r>
            <w:r>
              <w:rPr>
                <w:rFonts w:ascii="Calibri" w:eastAsia="宋体" w:hAnsi="Calibri" w:cstheme="minorBidi"/>
                <w:kern w:val="2"/>
                <w:sz w:val="30"/>
                <w:szCs w:val="30"/>
                <w:lang w:eastAsia="zh-CN"/>
              </w:rPr>
              <w:t>类</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1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采购方式：</w:t>
            </w:r>
          </w:p>
        </w:tc>
        <w:tc>
          <w:tcPr>
            <w:tcW w:w="5127"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公开招标</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1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货币类型：</w:t>
            </w:r>
          </w:p>
        </w:tc>
        <w:tc>
          <w:tcPr>
            <w:tcW w:w="5127"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人民币</w:t>
            </w:r>
          </w:p>
        </w:tc>
      </w:tr>
      <w:tr>
        <w:tblPrEx>
          <w:tblW w:w="5000" w:type="pct"/>
          <w:jc w:val="center"/>
          <w:tblCellSpacing w:w="0" w:type="dxa"/>
          <w:tblLayout w:type="fixed"/>
          <w:tblCellMar>
            <w:top w:w="36" w:type="dxa"/>
            <w:left w:w="36" w:type="dxa"/>
            <w:bottom w:w="36" w:type="dxa"/>
            <w:right w:w="36" w:type="dxa"/>
          </w:tblCellMar>
        </w:tblPrEx>
        <w:trPr>
          <w:trHeight w:val="737"/>
          <w:tblCellSpacing w:w="0" w:type="dxa"/>
          <w:jc w:val="center"/>
        </w:trPr>
        <w:tc>
          <w:tcPr>
            <w:tcW w:w="1917" w:type="dxa"/>
            <w:vAlign w:val="center"/>
          </w:tcPr>
          <w:p>
            <w:pPr>
              <w:widowControl w:val="0"/>
              <w:jc w:val="right"/>
              <w:rPr>
                <w:rFonts w:ascii="Calibri" w:eastAsia="宋体" w:hAnsi="Calibri"/>
                <w:kern w:val="2"/>
                <w:sz w:val="30"/>
                <w:szCs w:val="30"/>
                <w:lang w:eastAsia="zh-CN"/>
              </w:rPr>
            </w:pPr>
            <w:r>
              <w:rPr>
                <w:rFonts w:ascii="Calibri" w:eastAsia="宋体" w:hAnsi="Calibri" w:cstheme="minorBidi"/>
                <w:kern w:val="2"/>
                <w:sz w:val="30"/>
                <w:szCs w:val="30"/>
                <w:lang w:eastAsia="zh-CN"/>
              </w:rPr>
              <w:t>评标方法：</w:t>
            </w:r>
          </w:p>
        </w:tc>
        <w:tc>
          <w:tcPr>
            <w:tcW w:w="5127" w:type="dxa"/>
            <w:vAlign w:val="center"/>
          </w:tcPr>
          <w:p>
            <w:pPr>
              <w:widowControl w:val="0"/>
              <w:jc w:val="both"/>
              <w:rPr>
                <w:rFonts w:ascii="Calibri" w:eastAsia="宋体" w:hAnsi="Calibri"/>
                <w:kern w:val="2"/>
                <w:sz w:val="30"/>
                <w:szCs w:val="30"/>
                <w:lang w:eastAsia="zh-CN"/>
              </w:rPr>
            </w:pPr>
            <w:r>
              <w:rPr>
                <w:rFonts w:ascii="Calibri" w:eastAsia="宋体" w:hAnsi="Calibri" w:cstheme="minorBidi"/>
                <w:kern w:val="2"/>
                <w:sz w:val="30"/>
                <w:szCs w:val="30"/>
                <w:lang w:eastAsia="zh-CN"/>
              </w:rPr>
              <w:t>综合评分法（新价格分算法）</w:t>
            </w:r>
          </w:p>
        </w:tc>
      </w:tr>
    </w:tbl>
    <w:p>
      <w:pPr>
        <w:widowControl w:val="0"/>
        <w:tabs>
          <w:tab w:val="left" w:pos="2790"/>
        </w:tabs>
        <w:snapToGrid w:val="0"/>
        <w:spacing w:line="440" w:lineRule="exact"/>
        <w:jc w:val="left"/>
        <w:rPr>
          <w:rFonts w:ascii="宋体" w:eastAsia="宋体" w:hAnsi="宋体"/>
          <w:kern w:val="2"/>
          <w:sz w:val="30"/>
          <w:szCs w:val="3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hint="eastAsia"/>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kern w:val="2"/>
          <w:sz w:val="40"/>
          <w:szCs w:val="40"/>
          <w:lang w:eastAsia="zh-CN"/>
        </w:rPr>
      </w:pPr>
      <w:r>
        <w:rPr>
          <w:rFonts w:ascii="黑体" w:eastAsia="黑体" w:hAnsi="黑体" w:hint="eastAsia"/>
          <w:kern w:val="2"/>
          <w:sz w:val="40"/>
          <w:szCs w:val="40"/>
          <w:lang w:eastAsia="zh-CN"/>
        </w:rPr>
        <w:t>资格性审查表</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83"/>
        <w:gridCol w:w="8505"/>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序号</w:t>
            </w:r>
          </w:p>
        </w:tc>
        <w:tc>
          <w:tcPr>
            <w:tcW w:w="8669"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内容</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1</w:t>
            </w:r>
          </w:p>
        </w:tc>
        <w:tc>
          <w:tcPr>
            <w:tcW w:w="8669"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宋体" w:eastAsia="宋体" w:hAnsi="宋体" w:cs="宋体"/>
                <w:kern w:val="2"/>
                <w:sz w:val="21"/>
                <w:szCs w:val="21"/>
                <w:lang w:eastAsia="zh-CN"/>
              </w:rPr>
            </w:pPr>
            <w:r>
              <w:rPr>
                <w:rFonts w:ascii="宋体" w:eastAsia="宋体" w:hAnsi="宋体" w:cs="宋体"/>
                <w:sz w:val="21"/>
                <w:szCs w:val="21"/>
                <w:lang w:eastAsia="zh-CN"/>
              </w:rPr>
              <w:t>投标人不</w:t>
            </w:r>
            <w:r>
              <w:rPr>
                <w:rFonts w:ascii="宋体" w:eastAsia="宋体" w:hAnsi="宋体" w:cs="宋体" w:hint="eastAsia"/>
                <w:sz w:val="21"/>
                <w:szCs w:val="21"/>
                <w:lang w:eastAsia="zh-CN"/>
              </w:rPr>
              <w:t>符合</w:t>
            </w:r>
            <w:r>
              <w:rPr>
                <w:rFonts w:ascii="宋体" w:eastAsia="宋体" w:hAnsi="宋体" w:cs="宋体"/>
                <w:sz w:val="21"/>
                <w:szCs w:val="21"/>
                <w:lang w:eastAsia="zh-CN"/>
              </w:rPr>
              <w:t>资格要求，或未提交相应的资格证明资料（详见招标公告</w:t>
            </w:r>
            <w:r>
              <w:rPr>
                <w:rFonts w:ascii="宋体" w:eastAsia="宋体" w:hAnsi="宋体" w:hint="eastAsia"/>
                <w:kern w:val="2"/>
                <w:sz w:val="21"/>
                <w:szCs w:val="21"/>
                <w:lang w:eastAsia="zh-CN"/>
              </w:rPr>
              <w:t>投标人资格要求，即申请人的资格要求</w:t>
            </w:r>
            <w:r>
              <w:rPr>
                <w:rFonts w:ascii="宋体" w:eastAsia="宋体" w:hAnsi="宋体" w:cs="宋体"/>
                <w:sz w:val="21"/>
                <w:szCs w:val="21"/>
                <w:lang w:eastAsia="zh-CN"/>
              </w:rPr>
              <w:t>）。</w:t>
            </w:r>
          </w:p>
        </w:tc>
      </w:tr>
    </w:tbl>
    <w:p>
      <w:pPr>
        <w:widowControl w:val="0"/>
        <w:tabs>
          <w:tab w:val="left" w:pos="2790"/>
        </w:tabs>
        <w:snapToGrid w:val="0"/>
        <w:jc w:val="center"/>
        <w:rPr>
          <w:rFonts w:ascii="黑体" w:eastAsia="黑体" w:hAnsi="黑体"/>
          <w:kern w:val="2"/>
          <w:sz w:val="40"/>
          <w:szCs w:val="40"/>
          <w:lang w:eastAsia="zh-CN"/>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eastAsia="黑体" w:hAnsi="黑体"/>
          <w:kern w:val="2"/>
          <w:sz w:val="40"/>
          <w:szCs w:val="40"/>
          <w:lang w:eastAsia="zh-CN"/>
        </w:rPr>
      </w:pPr>
      <w:r>
        <w:rPr>
          <w:rFonts w:ascii="黑体" w:eastAsia="黑体" w:hAnsi="黑体" w:hint="eastAsia"/>
          <w:kern w:val="2"/>
          <w:sz w:val="40"/>
          <w:szCs w:val="40"/>
          <w:lang w:eastAsia="zh-CN"/>
        </w:rPr>
        <w:t>符合性审查表</w:t>
      </w: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81"/>
        <w:gridCol w:w="8507"/>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序号</w:t>
            </w:r>
          </w:p>
        </w:tc>
        <w:tc>
          <w:tcPr>
            <w:tcW w:w="870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val="0"/>
              <w:spacing w:line="290" w:lineRule="exact"/>
              <w:jc w:val="center"/>
              <w:rPr>
                <w:rFonts w:ascii="宋体" w:eastAsia="宋体" w:hAnsi="宋体" w:cs="宋体"/>
                <w:kern w:val="2"/>
                <w:sz w:val="21"/>
                <w:szCs w:val="21"/>
                <w:lang w:eastAsia="zh-CN"/>
              </w:rPr>
            </w:pPr>
            <w:r>
              <w:rPr>
                <w:rFonts w:ascii="宋体" w:eastAsia="宋体" w:hAnsi="宋体"/>
                <w:kern w:val="2"/>
                <w:sz w:val="21"/>
                <w:szCs w:val="21"/>
                <w:lang w:eastAsia="zh-CN"/>
              </w:rPr>
              <w:t>内容</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1</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b/>
                <w:kern w:val="2"/>
                <w:sz w:val="21"/>
                <w:szCs w:val="22"/>
                <w:highlight w:val="yellow"/>
                <w:lang w:eastAsia="zh-CN"/>
              </w:rPr>
            </w:pPr>
            <w:r>
              <w:rPr>
                <w:rFonts w:ascii="Calibri" w:eastAsia="宋体" w:hAnsi="Calibri" w:cstheme="minorBidi" w:hint="eastAsia"/>
                <w:kern w:val="2"/>
                <w:sz w:val="21"/>
                <w:szCs w:val="22"/>
                <w:lang w:eastAsia="zh-CN"/>
              </w:rPr>
              <w:t>不得将一个包的内容拆开投标；</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2</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对同一项目投标时，不得提供两套以上的投标方案（招标文件另有规定的除外）；</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3</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分项报价或投标总价不得高于</w:t>
            </w:r>
            <w:bookmarkStart w:id="1" w:name="_Hlk71832186"/>
            <w:r>
              <w:rPr>
                <w:rFonts w:ascii="Calibri" w:eastAsia="宋体" w:hAnsi="Calibri" w:cstheme="minorBidi" w:hint="eastAsia"/>
                <w:kern w:val="2"/>
                <w:sz w:val="21"/>
                <w:szCs w:val="22"/>
                <w:lang w:eastAsia="zh-CN"/>
              </w:rPr>
              <w:t>相应预算金额（或设定的预算金额下的最高限价）</w:t>
            </w:r>
            <w:bookmarkEnd w:id="1"/>
            <w:r>
              <w:rPr>
                <w:rFonts w:ascii="Calibri" w:eastAsia="宋体" w:hAnsi="Calibri" w:hint="eastAsia"/>
                <w:kern w:val="2"/>
                <w:sz w:val="21"/>
                <w:szCs w:val="22"/>
                <w:lang w:eastAsia="zh-CN"/>
              </w:rPr>
              <w:t>；</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4</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hint="eastAsia"/>
                <w:kern w:val="2"/>
                <w:sz w:val="21"/>
                <w:szCs w:val="22"/>
                <w:lang w:eastAsia="zh-C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5</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所投货物、服务在技术、商务等方面没有实质性满足招标文件要求</w:t>
            </w:r>
            <w:r>
              <w:rPr>
                <w:rFonts w:ascii="Calibri" w:eastAsia="宋体" w:hAnsi="Calibri" w:hint="eastAsia"/>
                <w:kern w:val="2"/>
                <w:sz w:val="21"/>
                <w:szCs w:val="22"/>
                <w:lang w:eastAsia="zh-CN"/>
              </w:rPr>
              <w:t>（或未响应招标文件中带★号条款或响应有负偏离）的</w:t>
            </w:r>
            <w:r>
              <w:rPr>
                <w:rFonts w:ascii="Calibri" w:eastAsia="宋体" w:hAnsi="Calibri" w:cstheme="minorBidi" w:hint="eastAsia"/>
                <w:kern w:val="2"/>
                <w:sz w:val="21"/>
                <w:szCs w:val="22"/>
                <w:lang w:eastAsia="zh-CN"/>
              </w:rPr>
              <w:t>（是否实质性满足招标文件要求，由评审委员会根据实质性条款响应情况做出评判）；</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6</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未按招标文件所提供的样式填写《投标函》；未按招标文件所提供的《政府采购投标及履约承诺函》进行承诺；未按招标文件对投标文件组成的要求提供投标文件；</w:t>
            </w:r>
            <w:r>
              <w:rPr>
                <w:rFonts w:ascii="Calibri" w:eastAsia="宋体" w:hAnsi="Calibri"/>
                <w:kern w:val="2"/>
                <w:sz w:val="21"/>
                <w:szCs w:val="22"/>
                <w:lang w:eastAsia="zh-CN"/>
              </w:rPr>
              <w:t xml:space="preserve"> </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7</w:t>
            </w:r>
          </w:p>
        </w:tc>
        <w:tc>
          <w:tcPr>
            <w:tcW w:w="870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投标报价有缺漏项目，或者对招标文件规定的项目需求内容或者需求数量进行修改，评审委员会判定投标响应不满足采购需求；</w:t>
            </w:r>
            <w:r>
              <w:rPr>
                <w:rFonts w:ascii="Calibri" w:eastAsia="宋体" w:hAnsi="Calibri"/>
                <w:kern w:val="2"/>
                <w:sz w:val="21"/>
                <w:szCs w:val="22"/>
                <w:lang w:eastAsia="zh-CN"/>
              </w:rPr>
              <w:t xml:space="preserve"> </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8</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投标文件存在列放位置错误，导致属于信息公开情形的没有被公开；</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9</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投标文件电子文档带病毒；</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kern w:val="2"/>
                <w:sz w:val="21"/>
                <w:szCs w:val="22"/>
                <w:lang w:eastAsia="zh-CN"/>
              </w:rPr>
            </w:pPr>
            <w:r>
              <w:rPr>
                <w:rFonts w:ascii="Calibri" w:eastAsia="宋体" w:hAnsi="Calibri"/>
                <w:kern w:val="2"/>
                <w:sz w:val="21"/>
                <w:szCs w:val="22"/>
                <w:lang w:eastAsia="zh-CN"/>
              </w:rPr>
              <w:t>10</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宋体" w:eastAsia="宋体" w:hAnsi="宋体"/>
                <w:kern w:val="2"/>
                <w:sz w:val="21"/>
                <w:szCs w:val="21"/>
                <w:lang w:eastAsia="zh-CN"/>
              </w:rPr>
            </w:pPr>
            <w:r>
              <w:rPr>
                <w:rFonts w:ascii="宋体" w:eastAsia="宋体" w:hAnsi="宋体" w:cstheme="minorBidi" w:hint="eastAsia"/>
                <w:kern w:val="2"/>
                <w:sz w:val="21"/>
                <w:szCs w:val="22"/>
                <w:lang w:eastAsia="zh-CN"/>
              </w:rPr>
              <w:t>投标文件用不属于本公司的电子密钥或电子营业执照进行加密的；</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hint="eastAsia"/>
                <w:kern w:val="2"/>
                <w:sz w:val="21"/>
                <w:szCs w:val="22"/>
                <w:lang w:eastAsia="zh-CN"/>
              </w:rPr>
            </w:pPr>
            <w:r>
              <w:rPr>
                <w:rFonts w:ascii="Calibri" w:eastAsia="宋体" w:hAnsi="Calibri" w:hint="eastAsia"/>
                <w:kern w:val="2"/>
                <w:sz w:val="21"/>
                <w:szCs w:val="22"/>
                <w:lang w:eastAsia="zh-CN"/>
              </w:rPr>
              <w:t>1</w:t>
            </w:r>
            <w:r>
              <w:rPr>
                <w:rFonts w:ascii="Calibri" w:eastAsia="宋体" w:hAnsi="Calibri" w:hint="eastAsia"/>
                <w:kern w:val="2"/>
                <w:sz w:val="21"/>
                <w:szCs w:val="22"/>
                <w:lang w:eastAsia="zh-CN"/>
              </w:rPr>
              <w:t>1</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宋体" w:eastAsia="宋体" w:hAnsi="宋体"/>
                <w:kern w:val="2"/>
                <w:sz w:val="21"/>
                <w:szCs w:val="22"/>
                <w:lang w:eastAsia="zh-CN"/>
              </w:rPr>
            </w:pPr>
            <w:r>
              <w:rPr>
                <w:rFonts w:ascii="Calibri" w:eastAsia="宋体" w:hAnsi="Calibri" w:hint="eastAsia"/>
                <w:kern w:val="2"/>
                <w:sz w:val="21"/>
                <w:szCs w:val="22"/>
                <w:lang w:eastAsia="zh-CN"/>
              </w:rPr>
              <w:t>如投标供应商存在“不同供应商的董事、股东或其他高级管理人员为同一人的”情形的，应承诺不存在串通投标、恶意串通或者视为串通投标的情形</w:t>
            </w:r>
            <w:r>
              <w:rPr>
                <w:rFonts w:ascii="Calibri" w:eastAsia="宋体" w:hAnsi="Calibri" w:hint="eastAsia"/>
                <w:bCs/>
                <w:kern w:val="2"/>
                <w:sz w:val="21"/>
                <w:szCs w:val="22"/>
                <w:lang w:eastAsia="zh-CN"/>
              </w:rPr>
              <w:t>（</w:t>
            </w:r>
            <w:r>
              <w:rPr>
                <w:rFonts w:ascii="Calibri" w:eastAsia="宋体" w:hAnsi="Calibri"/>
                <w:bCs/>
                <w:kern w:val="2"/>
                <w:sz w:val="21"/>
                <w:szCs w:val="22"/>
                <w:lang w:eastAsia="zh-CN"/>
              </w:rPr>
              <w:t>在《</w:t>
            </w:r>
            <w:r>
              <w:rPr>
                <w:rFonts w:ascii="Calibri" w:eastAsia="宋体" w:hAnsi="Calibri" w:hint="eastAsia"/>
                <w:bCs/>
                <w:kern w:val="2"/>
                <w:sz w:val="21"/>
                <w:szCs w:val="22"/>
                <w:lang w:eastAsia="zh-CN"/>
              </w:rPr>
              <w:t>政府采购投标及履约承诺函</w:t>
            </w:r>
            <w:r>
              <w:rPr>
                <w:rFonts w:ascii="Calibri" w:eastAsia="宋体" w:hAnsi="Calibri"/>
                <w:bCs/>
                <w:kern w:val="2"/>
                <w:sz w:val="21"/>
                <w:szCs w:val="22"/>
                <w:lang w:eastAsia="zh-CN"/>
              </w:rPr>
              <w:t>》中作出声明</w:t>
            </w:r>
            <w:r>
              <w:rPr>
                <w:rFonts w:ascii="Calibri" w:eastAsia="宋体" w:hAnsi="Calibri" w:hint="eastAsia"/>
                <w:bCs/>
                <w:kern w:val="2"/>
                <w:sz w:val="21"/>
                <w:szCs w:val="22"/>
                <w:lang w:eastAsia="zh-CN"/>
              </w:rPr>
              <w:t>）</w:t>
            </w:r>
            <w:r>
              <w:rPr>
                <w:rFonts w:ascii="Calibri" w:eastAsia="宋体" w:hAnsi="Calibri" w:hint="eastAsia"/>
                <w:kern w:val="2"/>
                <w:sz w:val="21"/>
                <w:szCs w:val="22"/>
                <w:lang w:eastAsia="zh-CN"/>
              </w:rPr>
              <w:t>；</w:t>
            </w:r>
            <w:r>
              <w:rPr>
                <w:rFonts w:ascii="宋体" w:eastAsia="宋体" w:hAnsi="宋体" w:cstheme="minorBidi" w:hint="eastAsia"/>
                <w:kern w:val="2"/>
                <w:sz w:val="21"/>
                <w:szCs w:val="22"/>
                <w:lang w:eastAsia="zh-CN"/>
              </w:rPr>
              <w:t>经核实，不同投标供应商的投标文件由同一电子设备编制、加密或者上传的；</w:t>
            </w:r>
          </w:p>
        </w:tc>
      </w:tr>
      <w:tr>
        <w:tblPrEx>
          <w:tblW w:w="5000" w:type="pct"/>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widowControl w:val="0"/>
              <w:spacing w:line="290" w:lineRule="exact"/>
              <w:jc w:val="center"/>
              <w:rPr>
                <w:rFonts w:ascii="Calibri" w:eastAsia="宋体" w:hAnsi="Calibri" w:hint="eastAsia"/>
                <w:kern w:val="2"/>
                <w:sz w:val="21"/>
                <w:szCs w:val="22"/>
                <w:lang w:eastAsia="zh-CN"/>
              </w:rPr>
            </w:pPr>
            <w:r>
              <w:rPr>
                <w:rFonts w:ascii="Calibri" w:eastAsia="宋体" w:hAnsi="Calibri" w:hint="eastAsia"/>
                <w:kern w:val="2"/>
                <w:sz w:val="21"/>
                <w:szCs w:val="22"/>
                <w:lang w:eastAsia="zh-CN"/>
              </w:rPr>
              <w:t>1</w:t>
            </w:r>
            <w:r>
              <w:rPr>
                <w:rFonts w:ascii="Calibri" w:eastAsia="宋体" w:hAnsi="Calibri" w:hint="eastAsia"/>
                <w:kern w:val="2"/>
                <w:sz w:val="21"/>
                <w:szCs w:val="22"/>
                <w:lang w:eastAsia="zh-CN"/>
              </w:rPr>
              <w:t>2</w:t>
            </w:r>
          </w:p>
        </w:tc>
        <w:tc>
          <w:tcPr>
            <w:tcW w:w="8704" w:type="dxa"/>
            <w:tcBorders>
              <w:top w:val="single" w:sz="8" w:space="0" w:color="000000"/>
              <w:left w:val="single" w:sz="8" w:space="0" w:color="000000"/>
              <w:bottom w:val="single" w:sz="8" w:space="0" w:color="000000"/>
              <w:right w:val="single" w:sz="8" w:space="0" w:color="000000"/>
            </w:tcBorders>
          </w:tcPr>
          <w:p>
            <w:pPr>
              <w:widowControl/>
              <w:spacing w:line="290" w:lineRule="exact"/>
              <w:jc w:val="left"/>
              <w:textAlignment w:val="top"/>
              <w:rPr>
                <w:rFonts w:ascii="Calibri" w:eastAsia="宋体" w:hAnsi="Calibri"/>
                <w:kern w:val="2"/>
                <w:sz w:val="21"/>
                <w:szCs w:val="21"/>
                <w:lang w:eastAsia="zh-CN"/>
              </w:rPr>
            </w:pPr>
            <w:r>
              <w:rPr>
                <w:rFonts w:ascii="Calibri" w:eastAsia="宋体" w:hAnsi="Calibri" w:cstheme="minorBidi" w:hint="eastAsia"/>
                <w:kern w:val="2"/>
                <w:sz w:val="21"/>
                <w:szCs w:val="22"/>
                <w:lang w:eastAsia="zh-CN"/>
              </w:rPr>
              <w:t>法律、法规、规章、规范性文件规定的其他情形。</w:t>
            </w:r>
          </w:p>
        </w:tc>
      </w:tr>
    </w:tbl>
    <w:p>
      <w:pPr>
        <w:widowControl w:val="0"/>
        <w:tabs>
          <w:tab w:val="left" w:pos="2790"/>
        </w:tabs>
        <w:snapToGrid w:val="0"/>
        <w:jc w:val="left"/>
        <w:rPr>
          <w:rFonts w:ascii="Calibri" w:eastAsia="宋体" w:hAnsi="Calibri" w:hint="eastAsia"/>
          <w:kern w:val="2"/>
          <w:lang w:eastAsia="zh-CN"/>
        </w:rPr>
      </w:pPr>
    </w:p>
    <w:p>
      <w:pPr>
        <w:widowControl w:val="0"/>
        <w:tabs>
          <w:tab w:val="left" w:pos="2790"/>
        </w:tabs>
        <w:snapToGrid w:val="0"/>
        <w:jc w:val="left"/>
        <w:rPr>
          <w:rFonts w:ascii="Calibri" w:eastAsia="宋体" w:hAnsi="Calibri" w:hint="eastAsia"/>
          <w:kern w:val="2"/>
          <w:lang w:eastAsia="zh-CN"/>
        </w:rPr>
      </w:pPr>
    </w:p>
    <w:p>
      <w:pPr>
        <w:widowControl w:val="0"/>
        <w:tabs>
          <w:tab w:val="left" w:pos="2790"/>
        </w:tabs>
        <w:snapToGrid w:val="0"/>
        <w:jc w:val="left"/>
        <w:rPr>
          <w:rFonts w:ascii="Calibri" w:eastAsia="宋体" w:hAnsi="Calibri" w:hint="eastAsia"/>
          <w:kern w:val="2"/>
          <w:lang w:eastAsia="zh-CN"/>
        </w:rPr>
      </w:pPr>
    </w:p>
    <w:p>
      <w:pPr>
        <w:widowControl w:val="0"/>
        <w:tabs>
          <w:tab w:val="left" w:pos="2790"/>
        </w:tabs>
        <w:snapToGrid w:val="0"/>
        <w:jc w:val="left"/>
        <w:rPr>
          <w:rFonts w:ascii="Calibri" w:eastAsia="宋体" w:hAnsi="Calibri" w:hint="eastAsia"/>
          <w:kern w:val="2"/>
          <w:lang w:eastAsia="zh-CN"/>
        </w:rPr>
      </w:pPr>
    </w:p>
    <w:p>
      <w:pPr>
        <w:widowControl w:val="0"/>
        <w:spacing w:line="360" w:lineRule="auto"/>
        <w:jc w:val="both"/>
        <w:rPr>
          <w:rFonts w:ascii="Calibri" w:eastAsia="宋体" w:hAnsi="Calibri" w:hint="eastAsia"/>
          <w:b/>
          <w:bCs/>
          <w:kern w:val="2"/>
          <w:lang w:eastAsia="zh-CN"/>
        </w:rPr>
      </w:pPr>
    </w:p>
    <w:p>
      <w:pPr>
        <w:widowControl w:val="0"/>
        <w:spacing w:line="360" w:lineRule="auto"/>
        <w:jc w:val="both"/>
        <w:rPr>
          <w:rFonts w:ascii="Calibri" w:eastAsia="宋体" w:hAnsi="Calibri" w:hint="eastAsia"/>
          <w:kern w:val="2"/>
          <w:lang w:eastAsia="zh-CN"/>
        </w:rPr>
      </w:pPr>
    </w:p>
    <w:p>
      <w:pPr>
        <w:widowControl w:val="0"/>
        <w:spacing w:line="360" w:lineRule="auto"/>
        <w:jc w:val="both"/>
        <w:rPr>
          <w:rFonts w:ascii="Calibri" w:eastAsia="宋体" w:hAnsi="Calibri" w:hint="eastAsia"/>
          <w:kern w:val="2"/>
          <w:lang w:eastAsia="zh-CN"/>
        </w:rPr>
      </w:pPr>
    </w:p>
    <w:p>
      <w:pPr>
        <w:widowControl w:val="0"/>
        <w:spacing w:line="360" w:lineRule="auto"/>
        <w:jc w:val="both"/>
        <w:rPr>
          <w:rFonts w:ascii="Calibri" w:eastAsia="宋体" w:hAnsi="Calibri" w:hint="eastAsia"/>
          <w:kern w:val="2"/>
          <w:lang w:eastAsia="zh-CN"/>
        </w:rPr>
      </w:pPr>
    </w:p>
    <w:p>
      <w:pPr>
        <w:widowControl w:val="0"/>
        <w:spacing w:line="360" w:lineRule="auto"/>
        <w:jc w:val="both"/>
        <w:rPr>
          <w:rFonts w:ascii="Calibri" w:eastAsia="宋体" w:hAnsi="Calibri" w:hint="eastAsia"/>
          <w:kern w:val="2"/>
          <w:lang w:eastAsia="zh-CN"/>
        </w:rPr>
      </w:pPr>
    </w:p>
    <w:p>
      <w:pPr>
        <w:keepNext w:val="0"/>
        <w:keepLines w:val="0"/>
        <w:pageBreakBefore w:val="0"/>
        <w:widowControl/>
        <w:kinsoku/>
        <w:wordWrap/>
        <w:overflowPunct/>
        <w:topLinePunct w:val="0"/>
        <w:autoSpaceDE/>
        <w:autoSpaceDN/>
        <w:bidi w:val="0"/>
        <w:adjustRightInd/>
        <w:snapToGrid/>
        <w:spacing w:before="100" w:beforeAutospacing="1" w:afterAutospacing="1"/>
        <w:jc w:val="center"/>
        <w:textAlignment w:val="auto"/>
        <w:outlineLvl w:val="0"/>
        <w:rPr>
          <w:rFonts w:ascii="黑体" w:eastAsia="黑体" w:hAnsi="宋体"/>
          <w:kern w:val="2"/>
          <w:sz w:val="40"/>
          <w:szCs w:val="40"/>
          <w:lang w:eastAsia="zh-CN"/>
        </w:rPr>
      </w:pPr>
      <w:r>
        <w:rPr>
          <w:rFonts w:ascii="黑体" w:eastAsia="黑体" w:hAnsi="黑体" w:cstheme="minorBidi" w:hint="eastAsia"/>
          <w:kern w:val="2"/>
          <w:sz w:val="40"/>
          <w:szCs w:val="40"/>
          <w:lang w:eastAsia="zh-CN"/>
        </w:rPr>
        <w:t>评标信息</w:t>
      </w:r>
    </w:p>
    <w:p>
      <w:pPr>
        <w:widowControl w:val="0"/>
        <w:jc w:val="both"/>
        <w:rPr>
          <w:rFonts w:ascii="Calibri" w:eastAsia="宋体" w:hAnsi="Calibri"/>
          <w:kern w:val="2"/>
          <w:sz w:val="21"/>
          <w:szCs w:val="22"/>
          <w:lang w:eastAsia="zh-CN"/>
        </w:rPr>
      </w:pPr>
      <w:r>
        <w:rPr>
          <w:rFonts w:ascii="宋体" w:eastAsia="宋体" w:hAnsi="宋体" w:cstheme="minorBidi"/>
          <w:b/>
          <w:bCs/>
          <w:kern w:val="2"/>
          <w:sz w:val="21"/>
          <w:szCs w:val="22"/>
          <w:lang w:eastAsia="zh-CN"/>
        </w:rPr>
        <w:t>评标方法：综合评分法（新价格分算法）</w:t>
      </w:r>
    </w:p>
    <w:p>
      <w:pPr>
        <w:widowControl w:val="0"/>
        <w:ind w:firstLine="420" w:firstLineChars="200"/>
        <w:jc w:val="both"/>
        <w:rPr>
          <w:rFonts w:ascii="宋体" w:eastAsia="宋体" w:hAnsi="宋体"/>
          <w:kern w:val="2"/>
          <w:sz w:val="21"/>
          <w:szCs w:val="22"/>
          <w:lang w:eastAsia="zh-CN"/>
        </w:rPr>
      </w:pPr>
      <w:r>
        <w:rPr>
          <w:rFonts w:ascii="宋体" w:eastAsia="宋体" w:hAnsi="宋体" w:cstheme="minorBidi"/>
          <w:kern w:val="2"/>
          <w:sz w:val="21"/>
          <w:szCs w:val="22"/>
          <w:lang w:eastAsia="zh-CN"/>
        </w:rPr>
        <w:t xml:space="preserve">综合评分法，是指投标文件满足招标文件全部实质性要求，且按照评审因素的量化指标评审得分最高的投标人为中标候选人的评标方法。 </w:t>
      </w:r>
    </w:p>
    <w:p>
      <w:pPr>
        <w:widowControl w:val="0"/>
        <w:ind w:firstLine="420" w:firstLineChars="200"/>
        <w:jc w:val="both"/>
        <w:rPr>
          <w:rFonts w:ascii="宋体" w:eastAsia="宋体" w:hAnsi="宋体"/>
          <w:kern w:val="2"/>
          <w:sz w:val="21"/>
          <w:szCs w:val="22"/>
          <w:lang w:eastAsia="zh-CN"/>
        </w:rPr>
      </w:pPr>
      <w:r>
        <w:rPr>
          <w:rFonts w:ascii="宋体" w:eastAsia="宋体" w:hAnsi="宋体" w:cstheme="minorBidi"/>
          <w:kern w:val="2"/>
          <w:sz w:val="21"/>
          <w:szCs w:val="22"/>
          <w:lang w:eastAsia="zh-CN"/>
        </w:rPr>
        <w:t>价格分计算方法：</w:t>
      </w:r>
    </w:p>
    <w:p>
      <w:pPr>
        <w:widowControl w:val="0"/>
        <w:jc w:val="both"/>
        <w:rPr>
          <w:rFonts w:ascii="Calibri" w:eastAsia="宋体" w:hAnsi="Calibri" w:hint="eastAsia"/>
          <w:kern w:val="2"/>
          <w:sz w:val="21"/>
          <w:szCs w:val="22"/>
          <w:lang w:eastAsia="zh-CN"/>
        </w:rPr>
      </w:pPr>
      <w:r>
        <w:rPr>
          <w:rFonts w:ascii="宋体" w:eastAsia="宋体" w:hAnsi="宋体" w:cstheme="minorBidi"/>
          <w:kern w:val="2"/>
          <w:sz w:val="21"/>
          <w:szCs w:val="22"/>
          <w:lang w:eastAsia="zh-CN"/>
        </w:rPr>
        <w:t>采用低价优先法计算，即满足招标文件要求且投标价格最低的投标报价为评标基准价，其价格分为满分。其他投标人的价格分统一按照下列公式计算：</w:t>
      </w:r>
      <w:r>
        <w:rPr>
          <w:rFonts w:ascii="Calibri" w:eastAsia="宋体" w:hAnsi="Calibri" w:cstheme="minorBidi"/>
          <w:kern w:val="2"/>
          <w:sz w:val="21"/>
          <w:szCs w:val="22"/>
          <w:lang w:eastAsia="zh-CN"/>
        </w:rPr>
        <w:t xml:space="preserve"> </w:t>
      </w:r>
    </w:p>
    <w:p>
      <w:pPr>
        <w:widowControl w:val="0"/>
        <w:jc w:val="both"/>
        <w:rPr>
          <w:rFonts w:ascii="Calibri" w:eastAsia="宋体" w:hAnsi="Calibri" w:hint="eastAsia"/>
          <w:kern w:val="2"/>
          <w:sz w:val="21"/>
          <w:szCs w:val="22"/>
          <w:lang w:eastAsia="zh-CN"/>
        </w:rPr>
      </w:pPr>
      <w:r>
        <w:rPr>
          <w:rFonts w:ascii="宋体" w:eastAsia="宋体" w:hAnsi="宋体" w:cstheme="minorBidi"/>
          <w:kern w:val="2"/>
          <w:sz w:val="21"/>
          <w:szCs w:val="22"/>
          <w:lang w:eastAsia="zh-CN"/>
        </w:rPr>
        <w:t>投标报价得分</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评标基准价／投标报价</w:t>
      </w:r>
      <w:r>
        <w:rPr>
          <w:rFonts w:ascii="Calibri" w:eastAsia="宋体" w:hAnsi="Calibri" w:cstheme="minorBidi"/>
          <w:kern w:val="2"/>
          <w:sz w:val="21"/>
          <w:szCs w:val="22"/>
          <w:lang w:eastAsia="zh-CN"/>
        </w:rPr>
        <w:t xml:space="preserve">)×100 </w:t>
      </w:r>
    </w:p>
    <w:p>
      <w:pPr>
        <w:widowControl w:val="0"/>
        <w:jc w:val="both"/>
        <w:rPr>
          <w:rFonts w:ascii="Calibri" w:eastAsia="宋体" w:hAnsi="Calibri" w:hint="eastAsia"/>
          <w:kern w:val="2"/>
          <w:sz w:val="21"/>
          <w:szCs w:val="22"/>
          <w:lang w:eastAsia="zh-CN"/>
        </w:rPr>
      </w:pPr>
      <w:r>
        <w:rPr>
          <w:rFonts w:ascii="宋体" w:eastAsia="宋体" w:hAnsi="宋体" w:cstheme="minorBidi"/>
          <w:kern w:val="2"/>
          <w:sz w:val="21"/>
          <w:szCs w:val="22"/>
          <w:lang w:eastAsia="zh-CN"/>
        </w:rPr>
        <w:t>评标总得分＝</w:t>
      </w:r>
      <w:r>
        <w:rPr>
          <w:rFonts w:ascii="Calibri" w:eastAsia="宋体" w:hAnsi="Calibri" w:cstheme="minorBidi"/>
          <w:kern w:val="2"/>
          <w:sz w:val="21"/>
          <w:szCs w:val="22"/>
          <w:lang w:eastAsia="zh-CN"/>
        </w:rPr>
        <w:t>F1×A1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F2×A2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 xml:space="preserve">Fn×An </w:t>
      </w:r>
    </w:p>
    <w:p>
      <w:pPr>
        <w:widowControl w:val="0"/>
        <w:jc w:val="both"/>
        <w:rPr>
          <w:rFonts w:ascii="宋体" w:eastAsia="宋体" w:hAnsi="宋体" w:hint="eastAsia"/>
          <w:kern w:val="2"/>
          <w:sz w:val="21"/>
          <w:szCs w:val="22"/>
          <w:lang w:eastAsia="zh-CN"/>
        </w:rPr>
      </w:pPr>
      <w:r>
        <w:rPr>
          <w:rFonts w:ascii="Calibri" w:eastAsia="宋体" w:hAnsi="Calibri" w:cstheme="minorBidi"/>
          <w:kern w:val="2"/>
          <w:sz w:val="21"/>
          <w:szCs w:val="22"/>
          <w:lang w:eastAsia="zh-CN"/>
        </w:rPr>
        <w:t>F1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F2……Fn</w:t>
      </w:r>
      <w:r>
        <w:rPr>
          <w:rFonts w:ascii="宋体" w:eastAsia="宋体" w:hAnsi="宋体" w:cstheme="minorBidi"/>
          <w:kern w:val="2"/>
          <w:sz w:val="21"/>
          <w:szCs w:val="22"/>
          <w:lang w:eastAsia="zh-CN"/>
        </w:rPr>
        <w:t xml:space="preserve">分别为各项评审因素的得分； </w:t>
      </w:r>
    </w:p>
    <w:p>
      <w:pPr>
        <w:widowControl w:val="0"/>
        <w:jc w:val="both"/>
        <w:rPr>
          <w:rFonts w:ascii="宋体" w:eastAsia="宋体" w:hAnsi="宋体" w:hint="eastAsia"/>
          <w:kern w:val="2"/>
          <w:sz w:val="21"/>
          <w:szCs w:val="22"/>
          <w:lang w:eastAsia="zh-CN"/>
        </w:rPr>
      </w:pPr>
      <w:r>
        <w:rPr>
          <w:rFonts w:ascii="Calibri" w:eastAsia="宋体" w:hAnsi="Calibri" w:cstheme="minorBidi"/>
          <w:kern w:val="2"/>
          <w:sz w:val="21"/>
          <w:szCs w:val="22"/>
          <w:lang w:eastAsia="zh-CN"/>
        </w:rPr>
        <w:t>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 xml:space="preserve">……An </w:t>
      </w:r>
      <w:r>
        <w:rPr>
          <w:rFonts w:ascii="宋体" w:eastAsia="宋体" w:hAnsi="宋体" w:cstheme="minorBidi"/>
          <w:kern w:val="2"/>
          <w:sz w:val="21"/>
          <w:szCs w:val="22"/>
          <w:lang w:eastAsia="zh-CN"/>
        </w:rPr>
        <w:t>分别为各项评审因素所占的权重</w:t>
      </w:r>
      <w:r>
        <w:rPr>
          <w:rFonts w:ascii="Calibri" w:eastAsia="宋体" w:hAnsi="Calibri" w:cstheme="minorBidi"/>
          <w:kern w:val="2"/>
          <w:sz w:val="21"/>
          <w:szCs w:val="22"/>
          <w:lang w:eastAsia="zh-CN"/>
        </w:rPr>
        <w:t>(A1</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A2</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An</w:t>
      </w:r>
      <w:r>
        <w:rPr>
          <w:rFonts w:ascii="宋体" w:eastAsia="宋体" w:hAnsi="宋体" w:cstheme="minorBidi"/>
          <w:kern w:val="2"/>
          <w:sz w:val="21"/>
          <w:szCs w:val="22"/>
          <w:lang w:eastAsia="zh-CN"/>
        </w:rPr>
        <w:t>＝</w:t>
      </w:r>
      <w:r>
        <w:rPr>
          <w:rFonts w:ascii="Calibri" w:eastAsia="宋体" w:hAnsi="Calibri" w:cstheme="minorBidi"/>
          <w:kern w:val="2"/>
          <w:sz w:val="21"/>
          <w:szCs w:val="22"/>
          <w:lang w:eastAsia="zh-CN"/>
        </w:rPr>
        <w:t>1)</w:t>
      </w:r>
      <w:r>
        <w:rPr>
          <w:rFonts w:ascii="宋体" w:eastAsia="宋体" w:hAnsi="宋体" w:cstheme="minorBidi"/>
          <w:kern w:val="2"/>
          <w:sz w:val="21"/>
          <w:szCs w:val="22"/>
          <w:lang w:eastAsia="zh-CN"/>
        </w:rPr>
        <w:t xml:space="preserve">。 </w:t>
      </w:r>
    </w:p>
    <w:p>
      <w:pPr>
        <w:widowControl w:val="0"/>
        <w:jc w:val="both"/>
        <w:rPr>
          <w:rFonts w:ascii="Calibri" w:eastAsia="宋体" w:hAnsi="Calibri" w:hint="eastAsia"/>
          <w:kern w:val="2"/>
          <w:sz w:val="21"/>
          <w:szCs w:val="22"/>
          <w:lang w:eastAsia="zh-CN"/>
        </w:rPr>
      </w:pPr>
      <w:r>
        <w:rPr>
          <w:rFonts w:ascii="宋体" w:eastAsia="宋体" w:hAnsi="宋体" w:cstheme="minorBidi"/>
          <w:kern w:val="2"/>
          <w:sz w:val="21"/>
          <w:szCs w:val="22"/>
          <w:lang w:eastAsia="zh-CN"/>
        </w:rPr>
        <w:t>评标过程中，不得去掉报价中的最高报价和最低报价。</w:t>
      </w:r>
      <w:r>
        <w:rPr>
          <w:rFonts w:ascii="Calibri" w:eastAsia="宋体" w:hAnsi="Calibri" w:cstheme="minorBidi"/>
          <w:kern w:val="2"/>
          <w:sz w:val="21"/>
          <w:szCs w:val="22"/>
          <w:lang w:eastAsia="zh-CN"/>
        </w:rPr>
        <w:t xml:space="preserve"> </w:t>
      </w:r>
    </w:p>
    <w:p>
      <w:pPr>
        <w:widowControl w:val="0"/>
        <w:jc w:val="both"/>
        <w:rPr>
          <w:rFonts w:ascii="Calibri" w:eastAsia="宋体" w:hAnsi="Calibri"/>
          <w:kern w:val="2"/>
          <w:sz w:val="21"/>
          <w:szCs w:val="22"/>
          <w:lang w:eastAsia="zh-CN"/>
        </w:rPr>
      </w:pPr>
      <w:r>
        <w:rPr>
          <w:rFonts w:ascii="宋体" w:eastAsia="宋体" w:hAnsi="宋体" w:cstheme="minorBidi"/>
          <w:kern w:val="2"/>
          <w:sz w:val="21"/>
          <w:szCs w:val="22"/>
          <w:lang w:eastAsia="zh-CN"/>
        </w:rPr>
        <w:t>此方法适用于货物类、服务类、工程类项目。</w:t>
      </w:r>
    </w:p>
    <w:p>
      <w:pPr>
        <w:widowControl w:val="0"/>
        <w:snapToGrid w:val="0"/>
        <w:jc w:val="both"/>
        <w:rPr>
          <w:rFonts w:ascii="Calibri" w:eastAsia="宋体" w:hAnsi="Calibri"/>
          <w:kern w:val="2"/>
          <w:sz w:val="21"/>
          <w:szCs w:val="22"/>
          <w:lang w:eastAsia="zh-CN"/>
        </w:rPr>
      </w:pPr>
    </w:p>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20" w:type="dxa"/>
          <w:left w:w="108" w:type="dxa"/>
          <w:bottom w:w="20" w:type="dxa"/>
          <w:right w:w="108" w:type="dxa"/>
        </w:tblCellMar>
      </w:tblPr>
      <w:tblGrid>
        <w:gridCol w:w="716"/>
        <w:gridCol w:w="676"/>
        <w:gridCol w:w="1836"/>
        <w:gridCol w:w="1126"/>
        <w:gridCol w:w="4934"/>
      </w:tblGrid>
      <w:tr>
        <w:tblPrEx>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20" w:type="dxa"/>
            <w:left w:w="108" w:type="dxa"/>
            <w:bottom w:w="20" w:type="dxa"/>
            <w:right w:w="108" w:type="dxa"/>
          </w:tblCellMar>
        </w:tblPrEx>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序号</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评分项</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权重（%）</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1</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价格</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30</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2</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技术部分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b/>
                <w:bCs/>
                <w:kern w:val="2"/>
                <w:sz w:val="21"/>
                <w:szCs w:val="21"/>
                <w:lang w:eastAsia="zh-CN"/>
              </w:rPr>
            </w:pPr>
            <w:r>
              <w:rPr>
                <w:rFonts w:ascii="宋体" w:eastAsia="宋体" w:hAnsi="宋体" w:cs="宋体" w:hint="eastAsia"/>
                <w:b/>
                <w:bCs/>
                <w:kern w:val="2"/>
                <w:sz w:val="21"/>
                <w:szCs w:val="21"/>
                <w:lang w:eastAsia="zh-CN"/>
              </w:rPr>
              <w:t>60</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权重</w:t>
            </w:r>
            <w:r>
              <w:rPr>
                <w:rFonts w:ascii="宋体" w:eastAsia="宋体" w:hAnsi="宋体" w:cs="宋体" w:hint="eastAsia"/>
                <w:bCs/>
                <w:kern w:val="2"/>
                <w:sz w:val="21"/>
                <w:szCs w:val="21"/>
                <w:lang w:eastAsia="zh-CN"/>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val="0"/>
              <w:suppressLineNumbers w:val="0"/>
              <w:snapToGrid w:val="0"/>
              <w:spacing w:before="0" w:beforeAutospacing="0" w:after="0" w:afterAutospacing="0"/>
              <w:ind w:left="0" w:right="0" w:leftChars="0" w:rightChars="0"/>
              <w:jc w:val="center"/>
              <w:rPr>
                <w:rFonts w:ascii="宋体" w:eastAsia="宋体" w:hAnsi="宋体" w:cs="宋体" w:hint="eastAsia"/>
                <w:b/>
                <w:kern w:val="2"/>
                <w:sz w:val="21"/>
                <w:szCs w:val="21"/>
                <w:lang w:eastAsia="zh-CN"/>
              </w:rPr>
            </w:pPr>
            <w:r>
              <w:rPr>
                <w:rFonts w:ascii="宋体" w:eastAsia="宋体" w:hAnsi="宋体" w:cs="宋体" w:hint="eastAsia"/>
                <w:kern w:val="2"/>
                <w:sz w:val="21"/>
                <w:szCs w:val="21"/>
                <w:lang w:eastAsia="zh-CN"/>
              </w:rPr>
              <w:t>“▲”号技术参数响应程度评价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val="0"/>
              <w:suppressLineNumbers w:val="0"/>
              <w:snapToGrid w:val="0"/>
              <w:spacing w:before="0" w:beforeAutospacing="0" w:after="0" w:afterAutospacing="0"/>
              <w:ind w:left="0" w:right="0" w:leftChars="0" w:rightChars="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35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top"/>
          </w:tcPr>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hint="eastAsia"/>
                <w:color w:val="000000"/>
                <w:kern w:val="2"/>
                <w:sz w:val="21"/>
                <w:szCs w:val="21"/>
                <w:lang w:eastAsia="zh-CN"/>
              </w:rPr>
            </w:pPr>
            <w:r>
              <w:rPr>
                <w:rFonts w:ascii="宋体" w:eastAsia="宋体" w:hAnsi="宋体" w:cstheme="minorBidi" w:hint="eastAsia"/>
                <w:color w:val="000000"/>
                <w:kern w:val="2"/>
                <w:sz w:val="21"/>
                <w:szCs w:val="21"/>
                <w:lang w:eastAsia="zh-CN"/>
              </w:rPr>
              <w:t>（一）评审内容：</w:t>
            </w:r>
          </w:p>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hint="eastAsia"/>
                <w:color w:val="000000"/>
                <w:kern w:val="2"/>
                <w:sz w:val="21"/>
                <w:szCs w:val="21"/>
                <w:lang w:eastAsia="zh-CN"/>
              </w:rPr>
            </w:pPr>
            <w:r>
              <w:rPr>
                <w:rFonts w:ascii="宋体" w:eastAsia="宋体" w:hAnsi="宋体" w:cstheme="minorBidi" w:hint="eastAsia"/>
                <w:color w:val="000000"/>
                <w:kern w:val="2"/>
                <w:sz w:val="21"/>
                <w:szCs w:val="21"/>
                <w:lang w:eastAsia="zh-CN"/>
              </w:rPr>
              <w:t>考察投标人对招标文件《第一册 专用条款 第三章 用户需求书：</w:t>
            </w:r>
            <w:r>
              <w:rPr>
                <w:rFonts w:ascii="宋体" w:eastAsia="宋体" w:hAnsi="宋体" w:cstheme="minorBidi" w:hint="eastAsia"/>
                <w:color w:val="000000"/>
                <w:kern w:val="2"/>
                <w:sz w:val="21"/>
                <w:szCs w:val="21"/>
                <w:lang w:eastAsia="zh-CN"/>
              </w:rPr>
              <w:t>五</w:t>
            </w:r>
            <w:r>
              <w:rPr>
                <w:rFonts w:ascii="宋体" w:eastAsia="宋体" w:hAnsi="宋体" w:cstheme="minorBidi" w:hint="eastAsia"/>
                <w:color w:val="000000"/>
                <w:kern w:val="2"/>
                <w:sz w:val="21"/>
                <w:szCs w:val="21"/>
                <w:lang w:eastAsia="zh-CN"/>
              </w:rPr>
              <w:t>、技术要求部分》内容中的“▲”参数响应情况。</w:t>
            </w:r>
          </w:p>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hint="eastAsia"/>
                <w:color w:val="000000"/>
                <w:kern w:val="2"/>
                <w:sz w:val="21"/>
                <w:szCs w:val="21"/>
                <w:lang w:eastAsia="zh-CN"/>
              </w:rPr>
            </w:pPr>
            <w:r>
              <w:rPr>
                <w:rFonts w:ascii="宋体" w:eastAsia="宋体" w:hAnsi="宋体" w:cstheme="minorBidi" w:hint="eastAsia"/>
                <w:color w:val="000000"/>
                <w:kern w:val="2"/>
                <w:sz w:val="21"/>
                <w:szCs w:val="21"/>
                <w:lang w:eastAsia="zh-CN"/>
              </w:rPr>
              <w:t>（二）评审依据：</w:t>
            </w:r>
          </w:p>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cs="宋体" w:hint="eastAsia"/>
                <w:kern w:val="2"/>
                <w:sz w:val="21"/>
                <w:szCs w:val="21"/>
                <w:lang w:eastAsia="zh-CN"/>
              </w:rPr>
            </w:pPr>
            <w:r>
              <w:rPr>
                <w:rFonts w:ascii="宋体" w:eastAsia="宋体" w:hAnsi="宋体" w:cstheme="minorBidi" w:hint="eastAsia"/>
                <w:color w:val="000000"/>
                <w:kern w:val="2"/>
                <w:sz w:val="21"/>
                <w:szCs w:val="21"/>
                <w:lang w:eastAsia="zh-CN"/>
              </w:rPr>
              <w:t>以投标文件《技术要求偏离表》为评审依据，完全符合招标要求的，得100分。有1项“▲”参数不符合招标要求（或缺漏）的扣</w:t>
            </w:r>
            <w:r>
              <w:rPr>
                <w:rFonts w:ascii="宋体" w:eastAsia="宋体" w:hAnsi="宋体" w:cstheme="minorBidi" w:hint="eastAsia"/>
                <w:color w:val="000000"/>
                <w:kern w:val="2"/>
                <w:sz w:val="21"/>
                <w:szCs w:val="21"/>
                <w:lang w:eastAsia="zh-CN"/>
              </w:rPr>
              <w:t>8.4</w:t>
            </w:r>
            <w:r>
              <w:rPr>
                <w:rFonts w:ascii="宋体" w:eastAsia="宋体" w:hAnsi="宋体" w:cstheme="minorBidi" w:hint="eastAsia"/>
                <w:color w:val="000000"/>
                <w:kern w:val="2"/>
                <w:sz w:val="21"/>
                <w:szCs w:val="21"/>
                <w:lang w:eastAsia="zh-CN"/>
              </w:rPr>
              <w:t>分，最低得0分。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val="0"/>
              <w:suppressLineNumbers w:val="0"/>
              <w:snapToGrid w:val="0"/>
              <w:spacing w:before="0" w:beforeAutospacing="0" w:after="0" w:afterAutospacing="0"/>
              <w:ind w:left="0" w:right="0" w:leftChars="0" w:rightChars="0"/>
              <w:jc w:val="center"/>
              <w:rPr>
                <w:rFonts w:ascii="宋体" w:eastAsia="宋体" w:hAnsi="宋体" w:cs="宋体" w:hint="eastAsia"/>
                <w:b/>
                <w:kern w:val="2"/>
                <w:sz w:val="21"/>
                <w:szCs w:val="21"/>
                <w:lang w:eastAsia="zh-CN"/>
              </w:rPr>
            </w:pPr>
            <w:r>
              <w:rPr>
                <w:rFonts w:ascii="宋体" w:eastAsia="宋体" w:hAnsi="宋体" w:cs="宋体" w:hint="eastAsia"/>
                <w:kern w:val="2"/>
                <w:sz w:val="21"/>
                <w:szCs w:val="21"/>
                <w:lang w:eastAsia="zh-CN"/>
              </w:rPr>
              <w:t>非“▲”号技术参数响应程度评价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val="0"/>
              <w:suppressLineNumbers w:val="0"/>
              <w:snapToGrid w:val="0"/>
              <w:spacing w:before="0" w:beforeAutospacing="0" w:after="0" w:afterAutospacing="0"/>
              <w:ind w:left="0" w:right="0" w:leftChars="0" w:rightChars="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13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top"/>
          </w:tcPr>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hint="eastAsia"/>
                <w:color w:val="000000"/>
                <w:kern w:val="2"/>
                <w:sz w:val="21"/>
                <w:szCs w:val="21"/>
                <w:lang w:eastAsia="zh-CN"/>
              </w:rPr>
            </w:pPr>
            <w:r>
              <w:rPr>
                <w:rFonts w:ascii="宋体" w:eastAsia="宋体" w:hAnsi="宋体" w:cstheme="minorBidi" w:hint="eastAsia"/>
                <w:color w:val="000000"/>
                <w:kern w:val="2"/>
                <w:sz w:val="21"/>
                <w:szCs w:val="21"/>
                <w:lang w:eastAsia="zh-CN"/>
              </w:rPr>
              <w:t>（一）评审内容：</w:t>
            </w:r>
          </w:p>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hint="eastAsia"/>
                <w:color w:val="000000"/>
                <w:kern w:val="2"/>
                <w:sz w:val="21"/>
                <w:szCs w:val="21"/>
                <w:lang w:eastAsia="zh-CN"/>
              </w:rPr>
            </w:pPr>
            <w:r>
              <w:rPr>
                <w:rFonts w:ascii="宋体" w:eastAsia="宋体" w:hAnsi="宋体" w:cstheme="minorBidi" w:hint="eastAsia"/>
                <w:color w:val="000000"/>
                <w:kern w:val="2"/>
                <w:sz w:val="21"/>
                <w:szCs w:val="21"/>
                <w:lang w:eastAsia="zh-CN"/>
              </w:rPr>
              <w:t>考察投标人对招标文件《第一册 专用条款 第三章 用户需求书：</w:t>
            </w:r>
            <w:r>
              <w:rPr>
                <w:rFonts w:ascii="宋体" w:eastAsia="宋体" w:hAnsi="宋体" w:cstheme="minorBidi" w:hint="eastAsia"/>
                <w:color w:val="000000"/>
                <w:kern w:val="2"/>
                <w:sz w:val="21"/>
                <w:szCs w:val="21"/>
                <w:lang w:eastAsia="zh-CN"/>
              </w:rPr>
              <w:t>五</w:t>
            </w:r>
            <w:r>
              <w:rPr>
                <w:rFonts w:ascii="宋体" w:eastAsia="宋体" w:hAnsi="宋体" w:cstheme="minorBidi" w:hint="eastAsia"/>
                <w:color w:val="000000"/>
                <w:kern w:val="2"/>
                <w:sz w:val="21"/>
                <w:szCs w:val="21"/>
                <w:lang w:eastAsia="zh-CN"/>
              </w:rPr>
              <w:t>、技术要求部分》内容中的非“▲”参数响应情况。</w:t>
            </w:r>
          </w:p>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hint="eastAsia"/>
                <w:color w:val="000000"/>
                <w:kern w:val="2"/>
                <w:sz w:val="21"/>
                <w:szCs w:val="21"/>
                <w:lang w:eastAsia="zh-CN"/>
              </w:rPr>
            </w:pPr>
            <w:r>
              <w:rPr>
                <w:rFonts w:ascii="宋体" w:eastAsia="宋体" w:hAnsi="宋体" w:cstheme="minorBidi" w:hint="eastAsia"/>
                <w:color w:val="000000"/>
                <w:kern w:val="2"/>
                <w:sz w:val="21"/>
                <w:szCs w:val="21"/>
                <w:lang w:eastAsia="zh-CN"/>
              </w:rPr>
              <w:t>（二）评审依据：</w:t>
            </w:r>
          </w:p>
          <w:p>
            <w:pPr>
              <w:keepNext w:val="0"/>
              <w:keepLines w:val="0"/>
              <w:widowControl w:val="0"/>
              <w:suppressLineNumbers w:val="0"/>
              <w:snapToGrid w:val="0"/>
              <w:spacing w:before="0" w:beforeAutospacing="0" w:after="0" w:afterAutospacing="0"/>
              <w:ind w:left="0" w:right="0" w:leftChars="0" w:rightChars="0"/>
              <w:jc w:val="both"/>
              <w:rPr>
                <w:rFonts w:ascii="宋体" w:eastAsia="宋体" w:hAnsi="宋体" w:cs="宋体" w:hint="eastAsia"/>
                <w:kern w:val="2"/>
                <w:sz w:val="21"/>
                <w:szCs w:val="21"/>
                <w:lang w:eastAsia="zh-CN"/>
              </w:rPr>
            </w:pPr>
            <w:r>
              <w:rPr>
                <w:rFonts w:ascii="宋体" w:eastAsia="宋体" w:hAnsi="宋体" w:cstheme="minorBidi" w:hint="eastAsia"/>
                <w:color w:val="000000"/>
                <w:kern w:val="2"/>
                <w:sz w:val="21"/>
                <w:szCs w:val="21"/>
                <w:lang w:eastAsia="zh-CN"/>
              </w:rPr>
              <w:t>以投标文件《技术要求偏离表》为评审依据，完全符合招标要求的，得100分。有1项非“▲”参数不符合招标要求（或缺漏）的扣</w:t>
            </w:r>
            <w:r>
              <w:rPr>
                <w:rFonts w:ascii="宋体" w:eastAsia="宋体" w:hAnsi="宋体" w:cstheme="minorBidi" w:hint="eastAsia"/>
                <w:color w:val="000000"/>
                <w:kern w:val="2"/>
                <w:sz w:val="21"/>
                <w:szCs w:val="21"/>
                <w:lang w:eastAsia="zh-CN"/>
              </w:rPr>
              <w:t>0.35</w:t>
            </w:r>
            <w:r>
              <w:rPr>
                <w:rFonts w:ascii="宋体" w:eastAsia="宋体" w:hAnsi="宋体" w:cstheme="minorBidi" w:hint="eastAsia"/>
                <w:color w:val="000000"/>
                <w:kern w:val="2"/>
                <w:sz w:val="21"/>
                <w:szCs w:val="21"/>
                <w:lang w:eastAsia="zh-CN"/>
              </w:rPr>
              <w:t>分，最低得0分。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left"/>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3</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val="0"/>
              <w:suppressLineNumbers w:val="0"/>
              <w:snapToGrid w:val="0"/>
              <w:spacing w:before="0" w:beforeAutospacing="0" w:after="0" w:afterAutospacing="0"/>
              <w:ind w:left="0" w:right="0" w:leftChars="0" w:rightChars="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项目组织实施方案的评价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val="0"/>
              <w:suppressLineNumbers w:val="0"/>
              <w:snapToGrid w:val="0"/>
              <w:spacing w:before="0" w:beforeAutospacing="0" w:after="0" w:afterAutospacing="0"/>
              <w:ind w:left="0" w:right="0" w:leftChars="0" w:rightChars="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val="0"/>
              <w:numPr>
                <w:ilvl w:val="0"/>
                <w:numId w:val="0"/>
              </w:numPr>
              <w:suppressLineNumbers w:val="0"/>
              <w:snapToGrid w:val="0"/>
              <w:spacing w:before="0" w:beforeAutospacing="0" w:after="0" w:afterAutospacing="0"/>
              <w:ind w:left="0" w:right="0" w:firstLine="0" w:leftChars="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（一）</w:t>
            </w:r>
            <w:r>
              <w:rPr>
                <w:rFonts w:ascii="宋体" w:eastAsia="宋体" w:hAnsi="宋体" w:cs="宋体" w:hint="eastAsia"/>
                <w:kern w:val="2"/>
                <w:sz w:val="21"/>
                <w:szCs w:val="21"/>
                <w:lang w:eastAsia="zh-CN"/>
              </w:rPr>
              <w:t>评审内容：</w:t>
            </w:r>
          </w:p>
          <w:p>
            <w:pPr>
              <w:keepNext w:val="0"/>
              <w:keepLines w:val="0"/>
              <w:widowControl w:val="0"/>
              <w:numPr>
                <w:ilvl w:val="0"/>
                <w:numId w:val="0"/>
              </w:numPr>
              <w:suppressLineNumbers w:val="0"/>
              <w:snapToGrid w:val="0"/>
              <w:spacing w:before="0" w:beforeAutospacing="0" w:after="0" w:afterAutospacing="0"/>
              <w:ind w:left="0" w:right="0" w:firstLine="0" w:leftChars="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投标人提供本项目的组织实施方案，方案中应包含：</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1.项目进度计划安排； </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2.施工组织计划； </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3.验收组织计划； </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 xml:space="preserve">4.产品培训方案。 </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（二）评审标准：</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方案中含有上述一个内容得15分，最高得60分。在此基础上，对方案的合理性、可行性进行打分： 1.方案清晰周密、合理可行、表述完整、方法得当、技术先进、符合相关规范要求得40分；</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2.方案基本可行表述基本完整得20分；</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3.未提供或方案计划不切合本项目的实际情况、合理完善性差、可行性差的对应项不得分；</w:t>
            </w:r>
          </w:p>
          <w:p>
            <w:pPr>
              <w:keepNext w:val="0"/>
              <w:keepLines w:val="0"/>
              <w:widowControl w:val="0"/>
              <w:numPr>
                <w:ilvl w:val="0"/>
                <w:numId w:val="0"/>
              </w:numPr>
              <w:suppressLineNumbers w:val="0"/>
              <w:snapToGrid w:val="0"/>
              <w:spacing w:before="0" w:beforeAutospacing="0" w:after="0" w:afterAutospacing="0"/>
              <w:ind w:left="0" w:right="0" w:firstLine="0" w:rightChars="0"/>
              <w:jc w:val="left"/>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4.产品培训方案。</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4</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kern w:val="2"/>
                <w:sz w:val="21"/>
                <w:szCs w:val="21"/>
                <w:lang w:eastAsia="zh-CN"/>
              </w:rPr>
            </w:pPr>
            <w:r>
              <w:rPr>
                <w:rFonts w:ascii="宋体" w:eastAsia="宋体" w:hAnsi="宋体" w:cs="宋体" w:hint="eastAsia"/>
                <w:sz w:val="21"/>
                <w:szCs w:val="21"/>
                <w:lang w:eastAsia="zh-CN" w:bidi="ar"/>
              </w:rPr>
              <w:t>设计评价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kern w:val="2"/>
                <w:sz w:val="21"/>
                <w:szCs w:val="21"/>
                <w:lang w:eastAsia="zh-CN"/>
              </w:rPr>
            </w:pPr>
            <w:r>
              <w:rPr>
                <w:rFonts w:ascii="宋体" w:eastAsia="宋体" w:hAnsi="宋体" w:cs="宋体" w:hint="eastAsia"/>
                <w:sz w:val="21"/>
                <w:szCs w:val="21"/>
                <w:lang w:eastAsia="zh-CN" w:bidi="ar"/>
              </w:rPr>
              <w:t>6</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suppressLineNumbers w:val="0"/>
              <w:jc w:val="left"/>
              <w:rPr>
                <w:rFonts w:ascii="宋体" w:eastAsia="宋体" w:hAnsi="宋体" w:cs="宋体" w:hint="eastAsia"/>
                <w:b/>
                <w:bCs/>
                <w:color w:val="000000"/>
                <w:kern w:val="2"/>
                <w:sz w:val="21"/>
                <w:szCs w:val="21"/>
                <w:lang w:eastAsia="zh-CN" w:bidi="ar"/>
              </w:rPr>
            </w:pPr>
            <w:r>
              <w:rPr>
                <w:rFonts w:ascii="宋体" w:eastAsia="宋体" w:hAnsi="宋体" w:cs="宋体" w:hint="eastAsia"/>
                <w:color w:val="000000"/>
                <w:kern w:val="2"/>
                <w:sz w:val="21"/>
                <w:szCs w:val="21"/>
                <w:lang w:eastAsia="zh-CN" w:bidi="ar"/>
              </w:rPr>
              <w:t>（一）评审内容：</w:t>
            </w:r>
            <w:r>
              <w:rPr>
                <w:rFonts w:ascii="宋体" w:eastAsia="宋体" w:hAnsi="宋体" w:cs="宋体" w:hint="eastAsia"/>
                <w:b/>
                <w:bCs/>
                <w:color w:val="000000"/>
                <w:kern w:val="2"/>
                <w:sz w:val="21"/>
                <w:szCs w:val="21"/>
                <w:lang w:eastAsia="zh-CN" w:bidi="ar"/>
              </w:rPr>
              <w:t xml:space="preserve"> </w:t>
            </w:r>
          </w:p>
          <w:p>
            <w:pPr>
              <w:keepNext w:val="0"/>
              <w:keepLines w:val="0"/>
              <w:widowControl/>
              <w:suppressLineNumbers w:val="0"/>
              <w:jc w:val="left"/>
              <w:rPr>
                <w:rFonts w:ascii="宋体" w:eastAsia="宋体" w:hAnsi="宋体" w:cs="宋体" w:hint="eastAsia"/>
                <w:color w:val="000000"/>
                <w:kern w:val="2"/>
                <w:sz w:val="21"/>
                <w:szCs w:val="21"/>
                <w:lang w:eastAsia="zh-CN" w:bidi="ar"/>
              </w:rPr>
            </w:pPr>
            <w:r>
              <w:rPr>
                <w:rFonts w:ascii="宋体" w:eastAsia="宋体" w:hAnsi="宋体" w:cs="宋体" w:hint="eastAsia"/>
                <w:color w:val="000000"/>
                <w:kern w:val="2"/>
                <w:sz w:val="21"/>
                <w:szCs w:val="21"/>
                <w:lang w:eastAsia="zh-CN" w:bidi="ar"/>
              </w:rPr>
              <w:t>投标人根据</w:t>
            </w:r>
            <w:r>
              <w:rPr>
                <w:rFonts w:ascii="宋体" w:eastAsia="宋体" w:hAnsi="宋体" w:cs="宋体" w:hint="eastAsia"/>
                <w:color w:val="000000"/>
                <w:kern w:val="2"/>
                <w:sz w:val="21"/>
                <w:szCs w:val="21"/>
                <w:lang w:eastAsia="zh-CN" w:bidi="ar"/>
              </w:rPr>
              <w:t>化学实验室</w:t>
            </w:r>
            <w:r>
              <w:rPr>
                <w:rFonts w:ascii="宋体" w:eastAsia="宋体" w:hAnsi="宋体" w:cs="宋体" w:hint="eastAsia"/>
                <w:color w:val="000000"/>
                <w:kern w:val="2"/>
                <w:sz w:val="21"/>
                <w:szCs w:val="21"/>
                <w:lang w:eastAsia="zh-CN" w:bidi="ar"/>
              </w:rPr>
              <w:t>平面图纸和货物清单明细中要求的货物对空间进行设计和布局，具体要求如下：</w:t>
            </w:r>
          </w:p>
          <w:p>
            <w:pPr>
              <w:widowControl/>
              <w:jc w:val="left"/>
              <w:rPr>
                <w:rFonts w:ascii="宋体" w:eastAsia="宋体" w:hAnsi="宋体" w:cs="宋体"/>
                <w:color w:val="000000"/>
                <w:kern w:val="2"/>
                <w:sz w:val="21"/>
                <w:szCs w:val="21"/>
                <w:lang w:eastAsia="zh-CN" w:bidi="ar"/>
              </w:rPr>
            </w:pPr>
            <w:r>
              <w:rPr>
                <w:rFonts w:ascii="宋体" w:eastAsia="宋体" w:hAnsi="宋体" w:cs="宋体" w:hint="eastAsia"/>
                <w:color w:val="000000"/>
                <w:kern w:val="2"/>
                <w:sz w:val="21"/>
                <w:szCs w:val="21"/>
                <w:lang w:eastAsia="zh-CN" w:bidi="ar"/>
              </w:rPr>
              <w:t>1.需体现主体框架（长）、主体框架（短）、教师演示台、化学学生实验台、功能柱、实验圆凳、水柜、万向吸风罩、</w:t>
            </w:r>
            <w:r>
              <w:rPr>
                <w:rFonts w:ascii="宋体" w:eastAsia="宋体" w:hAnsi="宋体" w:cs="宋体" w:hint="eastAsia"/>
                <w:color w:val="000000"/>
                <w:kern w:val="2"/>
                <w:sz w:val="21"/>
                <w:szCs w:val="21"/>
                <w:lang w:eastAsia="zh-CN" w:bidi="ar"/>
              </w:rPr>
              <w:t>LED教室灯、</w:t>
            </w:r>
            <w:r>
              <w:rPr>
                <w:rFonts w:ascii="宋体" w:eastAsia="宋体" w:hAnsi="宋体" w:cs="宋体" w:hint="eastAsia"/>
                <w:color w:val="000000"/>
                <w:kern w:val="2"/>
                <w:sz w:val="21"/>
                <w:szCs w:val="21"/>
                <w:lang w:eastAsia="zh-CN" w:bidi="ar"/>
              </w:rPr>
              <w:t>扣板、窗帘、化学元素标语；</w:t>
            </w:r>
          </w:p>
          <w:p>
            <w:pPr>
              <w:widowControl/>
              <w:jc w:val="left"/>
              <w:rPr>
                <w:rFonts w:ascii="宋体" w:eastAsia="宋体" w:hAnsi="宋体" w:cs="宋体"/>
                <w:color w:val="000000"/>
                <w:kern w:val="2"/>
                <w:sz w:val="21"/>
                <w:szCs w:val="21"/>
                <w:lang w:eastAsia="zh-CN" w:bidi="ar"/>
              </w:rPr>
            </w:pPr>
            <w:r>
              <w:rPr>
                <w:rFonts w:ascii="宋体" w:eastAsia="宋体" w:hAnsi="宋体" w:cs="宋体" w:hint="eastAsia"/>
                <w:color w:val="000000"/>
                <w:kern w:val="2"/>
                <w:sz w:val="21"/>
                <w:szCs w:val="21"/>
                <w:lang w:eastAsia="zh-CN" w:bidi="ar"/>
              </w:rPr>
              <w:t xml:space="preserve">以上货物所在的空间进行设计布局，提供平面布局图（1 张）、俯视图（1 张）及效果图 （4张、不同角度展示）的得15分；其他不得分。 </w:t>
            </w:r>
          </w:p>
          <w:p>
            <w:pPr>
              <w:keepNext w:val="0"/>
              <w:keepLines w:val="0"/>
              <w:widowControl/>
              <w:suppressLineNumbers w:val="0"/>
              <w:jc w:val="left"/>
              <w:rPr>
                <w:rFonts w:ascii="宋体" w:eastAsia="宋体" w:hAnsi="宋体" w:cs="宋体" w:hint="eastAsia"/>
                <w:color w:val="000000"/>
                <w:kern w:val="2"/>
                <w:sz w:val="21"/>
                <w:szCs w:val="21"/>
                <w:lang w:eastAsia="zh-CN" w:bidi="ar"/>
              </w:rPr>
            </w:pPr>
            <w:r>
              <w:rPr>
                <w:rFonts w:ascii="宋体" w:eastAsia="宋体" w:hAnsi="宋体" w:cs="宋体" w:hint="eastAsia"/>
                <w:color w:val="000000"/>
                <w:kern w:val="2"/>
                <w:sz w:val="21"/>
                <w:szCs w:val="21"/>
                <w:lang w:eastAsia="zh-CN" w:bidi="ar"/>
              </w:rPr>
              <w:t xml:space="preserve">（二）评审标准： </w:t>
            </w:r>
          </w:p>
          <w:p>
            <w:pPr>
              <w:keepNext w:val="0"/>
              <w:keepLines w:val="0"/>
              <w:widowControl/>
              <w:suppressLineNumbers w:val="0"/>
              <w:jc w:val="left"/>
              <w:rPr>
                <w:rFonts w:ascii="宋体" w:eastAsia="宋体" w:hAnsi="宋体" w:cs="宋体" w:hint="eastAsia"/>
                <w:color w:val="000000"/>
                <w:kern w:val="2"/>
                <w:sz w:val="21"/>
                <w:szCs w:val="21"/>
                <w:lang w:eastAsia="zh-CN" w:bidi="ar"/>
              </w:rPr>
            </w:pPr>
            <w:r>
              <w:rPr>
                <w:rFonts w:ascii="宋体" w:eastAsia="宋体" w:hAnsi="宋体" w:cs="宋体" w:hint="eastAsia"/>
                <w:color w:val="000000"/>
                <w:kern w:val="2"/>
                <w:sz w:val="21"/>
                <w:szCs w:val="21"/>
                <w:lang w:eastAsia="zh-CN" w:bidi="ar"/>
              </w:rPr>
              <w:t>在此基础上，专家根据具体响应内容进一步评审:</w:t>
            </w:r>
          </w:p>
          <w:p>
            <w:pPr>
              <w:keepNext w:val="0"/>
              <w:keepLines w:val="0"/>
              <w:widowControl/>
              <w:suppressLineNumbers w:val="0"/>
              <w:jc w:val="left"/>
              <w:rPr>
                <w:rFonts w:ascii="宋体" w:eastAsia="宋体" w:hAnsi="宋体" w:cs="宋体" w:hint="eastAsia"/>
                <w:color w:val="000000"/>
                <w:kern w:val="2"/>
                <w:sz w:val="21"/>
                <w:szCs w:val="21"/>
                <w:lang w:eastAsia="zh-CN" w:bidi="ar"/>
              </w:rPr>
            </w:pPr>
            <w:r>
              <w:rPr>
                <w:rFonts w:ascii="宋体" w:eastAsia="宋体" w:hAnsi="宋体" w:cs="宋体" w:hint="eastAsia"/>
                <w:color w:val="000000"/>
                <w:kern w:val="2"/>
                <w:sz w:val="21"/>
                <w:szCs w:val="21"/>
                <w:lang w:eastAsia="zh-CN" w:bidi="ar"/>
              </w:rPr>
              <w:t>1.</w:t>
            </w:r>
            <w:r>
              <w:rPr>
                <w:rFonts w:ascii="宋体" w:eastAsia="宋体" w:hAnsi="宋体" w:cs="宋体" w:hint="eastAsia"/>
                <w:color w:val="000000"/>
                <w:kern w:val="2"/>
                <w:sz w:val="21"/>
                <w:szCs w:val="21"/>
                <w:lang w:eastAsia="zh-CN" w:bidi="ar"/>
              </w:rPr>
              <w:t>内容完整，设计合理、实用性强，图片清晰、整体布置效果完全符合场地实际需求的评价为优，得8</w:t>
            </w:r>
            <w:r>
              <w:rPr>
                <w:rFonts w:ascii="宋体" w:eastAsia="宋体" w:hAnsi="宋体" w:cs="宋体" w:hint="eastAsia"/>
                <w:color w:val="000000"/>
                <w:kern w:val="2"/>
                <w:sz w:val="21"/>
                <w:szCs w:val="21"/>
                <w:lang w:eastAsia="zh-CN" w:bidi="ar"/>
              </w:rPr>
              <w:t>5</w:t>
            </w:r>
            <w:r>
              <w:rPr>
                <w:rFonts w:ascii="宋体" w:eastAsia="宋体" w:hAnsi="宋体" w:cs="宋体" w:hint="eastAsia"/>
                <w:color w:val="000000"/>
                <w:kern w:val="2"/>
                <w:sz w:val="21"/>
                <w:szCs w:val="21"/>
                <w:lang w:eastAsia="zh-CN" w:bidi="ar"/>
              </w:rPr>
              <w:t xml:space="preserve">分； </w:t>
            </w:r>
          </w:p>
          <w:p>
            <w:pPr>
              <w:keepNext w:val="0"/>
              <w:keepLines w:val="0"/>
              <w:widowControl/>
              <w:suppressLineNumbers w:val="0"/>
              <w:jc w:val="left"/>
              <w:rPr>
                <w:rFonts w:ascii="宋体" w:eastAsia="宋体" w:hAnsi="宋体" w:cs="宋体" w:hint="eastAsia"/>
                <w:color w:val="000000"/>
                <w:kern w:val="2"/>
                <w:sz w:val="21"/>
                <w:szCs w:val="21"/>
                <w:lang w:eastAsia="zh-CN" w:bidi="ar"/>
              </w:rPr>
            </w:pPr>
            <w:r>
              <w:rPr>
                <w:rFonts w:ascii="宋体" w:eastAsia="宋体" w:hAnsi="宋体" w:cs="宋体" w:hint="eastAsia"/>
                <w:color w:val="000000"/>
                <w:kern w:val="2"/>
                <w:sz w:val="21"/>
                <w:szCs w:val="21"/>
                <w:lang w:eastAsia="zh-CN" w:bidi="ar"/>
              </w:rPr>
              <w:t>2.</w:t>
            </w:r>
            <w:r>
              <w:rPr>
                <w:rFonts w:ascii="宋体" w:eastAsia="宋体" w:hAnsi="宋体" w:cs="宋体" w:hint="eastAsia"/>
                <w:color w:val="000000"/>
                <w:kern w:val="2"/>
                <w:sz w:val="21"/>
                <w:szCs w:val="21"/>
                <w:lang w:eastAsia="zh-CN" w:bidi="ar"/>
              </w:rPr>
              <w:t>内容完整，设计较为合理、实用性一般，图片清晰、 整体效果基本符合场地实际需求的评价为良，得</w:t>
            </w:r>
            <w:r>
              <w:rPr>
                <w:rFonts w:ascii="宋体" w:eastAsia="宋体" w:hAnsi="宋体" w:cs="宋体" w:hint="eastAsia"/>
                <w:color w:val="000000"/>
                <w:kern w:val="2"/>
                <w:sz w:val="21"/>
                <w:szCs w:val="21"/>
                <w:lang w:eastAsia="zh-CN" w:bidi="ar"/>
              </w:rPr>
              <w:t>35</w:t>
            </w:r>
            <w:r>
              <w:rPr>
                <w:rFonts w:ascii="宋体" w:eastAsia="宋体" w:hAnsi="宋体" w:cs="宋体" w:hint="eastAsia"/>
                <w:color w:val="000000"/>
                <w:kern w:val="2"/>
                <w:sz w:val="21"/>
                <w:szCs w:val="21"/>
                <w:lang w:eastAsia="zh-CN" w:bidi="ar"/>
              </w:rPr>
              <w:t xml:space="preserve">分； </w:t>
            </w:r>
          </w:p>
          <w:p>
            <w:pPr>
              <w:keepNext w:val="0"/>
              <w:keepLines w:val="0"/>
              <w:widowControl/>
              <w:suppressLineNumbers w:val="0"/>
              <w:jc w:val="left"/>
              <w:rPr>
                <w:rFonts w:ascii="宋体" w:eastAsia="宋体" w:hAnsi="宋体" w:cs="宋体" w:hint="eastAsia"/>
                <w:color w:val="000000"/>
                <w:kern w:val="2"/>
                <w:sz w:val="21"/>
                <w:szCs w:val="21"/>
                <w:lang w:eastAsia="zh-CN" w:bidi="ar"/>
              </w:rPr>
            </w:pPr>
            <w:r>
              <w:rPr>
                <w:rFonts w:ascii="宋体" w:eastAsia="宋体" w:hAnsi="宋体" w:cs="宋体" w:hint="eastAsia"/>
                <w:color w:val="000000"/>
                <w:kern w:val="2"/>
                <w:sz w:val="21"/>
                <w:szCs w:val="21"/>
                <w:lang w:eastAsia="zh-CN" w:bidi="ar"/>
              </w:rPr>
              <w:t>3.</w:t>
            </w:r>
            <w:r>
              <w:rPr>
                <w:rFonts w:ascii="宋体" w:eastAsia="宋体" w:hAnsi="宋体" w:cs="宋体" w:hint="eastAsia"/>
                <w:color w:val="000000"/>
                <w:kern w:val="2"/>
                <w:sz w:val="21"/>
                <w:szCs w:val="21"/>
                <w:lang w:eastAsia="zh-CN" w:bidi="ar"/>
              </w:rPr>
              <w:t>内容基本完整，设计合理性较差、实用性较差，图片 清晰、整体效果不符合场地实际需求的评价为中，得</w:t>
            </w:r>
            <w:r>
              <w:rPr>
                <w:rFonts w:ascii="宋体" w:eastAsia="宋体" w:hAnsi="宋体" w:cs="宋体" w:hint="eastAsia"/>
                <w:color w:val="000000"/>
                <w:kern w:val="2"/>
                <w:sz w:val="21"/>
                <w:szCs w:val="21"/>
                <w:lang w:eastAsia="zh-CN" w:bidi="ar"/>
              </w:rPr>
              <w:t>25</w:t>
            </w:r>
            <w:r>
              <w:rPr>
                <w:rFonts w:ascii="宋体" w:eastAsia="宋体" w:hAnsi="宋体" w:cs="宋体" w:hint="eastAsia"/>
                <w:color w:val="000000"/>
                <w:kern w:val="2"/>
                <w:sz w:val="21"/>
                <w:szCs w:val="21"/>
                <w:lang w:eastAsia="zh-CN" w:bidi="ar"/>
              </w:rPr>
              <w:t xml:space="preserve">分； </w:t>
            </w:r>
          </w:p>
          <w:p>
            <w:pPr>
              <w:keepNext w:val="0"/>
              <w:keepLines w:val="0"/>
              <w:widowControl/>
              <w:suppressLineNumbers w:val="0"/>
              <w:jc w:val="left"/>
              <w:textAlignment w:val="center"/>
              <w:rPr>
                <w:rFonts w:ascii="宋体" w:eastAsia="宋体" w:hAnsi="宋体" w:cs="宋体" w:hint="eastAsia"/>
                <w:kern w:val="2"/>
                <w:sz w:val="21"/>
                <w:szCs w:val="21"/>
                <w:lang w:eastAsia="zh-CN"/>
              </w:rPr>
            </w:pPr>
            <w:r>
              <w:rPr>
                <w:rFonts w:ascii="宋体" w:eastAsia="宋体" w:hAnsi="宋体" w:cs="宋体" w:hint="eastAsia"/>
                <w:color w:val="000000"/>
                <w:kern w:val="2"/>
                <w:sz w:val="21"/>
                <w:szCs w:val="21"/>
                <w:lang w:eastAsia="zh-CN" w:bidi="ar"/>
              </w:rPr>
              <w:t>4.</w:t>
            </w:r>
            <w:r>
              <w:rPr>
                <w:rFonts w:ascii="宋体" w:eastAsia="宋体" w:hAnsi="宋体" w:cs="宋体" w:hint="eastAsia"/>
                <w:color w:val="000000"/>
                <w:kern w:val="2"/>
                <w:sz w:val="21"/>
                <w:szCs w:val="21"/>
                <w:lang w:eastAsia="zh-CN" w:bidi="ar"/>
              </w:rPr>
              <w:t xml:space="preserve">未按要求提供或提供图片模糊不清晰导致专家无法判断的不得分。 </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5</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sz w:val="21"/>
                <w:szCs w:val="21"/>
                <w:lang w:eastAsia="zh-CN" w:bidi="ar"/>
              </w:rPr>
            </w:pPr>
            <w:r>
              <w:rPr>
                <w:rFonts w:ascii="宋体" w:eastAsia="宋体" w:hAnsi="宋体" w:cs="宋体" w:hint="eastAsia"/>
                <w:color w:val="030405"/>
                <w:sz w:val="21"/>
                <w:szCs w:val="21"/>
                <w:lang w:eastAsia="zh-CN" w:bidi="ar"/>
              </w:rPr>
              <w:t>售后服务评价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sz w:val="21"/>
                <w:szCs w:val="21"/>
                <w:lang w:eastAsia="zh-CN" w:bidi="ar"/>
              </w:rPr>
            </w:pPr>
            <w:r>
              <w:rPr>
                <w:rFonts w:ascii="宋体" w:eastAsia="宋体" w:hAnsi="宋体" w:cs="宋体" w:hint="eastAsia"/>
                <w:color w:val="030405"/>
                <w:kern w:val="2"/>
                <w:sz w:val="21"/>
                <w:szCs w:val="21"/>
                <w:lang w:eastAsia="zh-CN"/>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（一）评审内容：</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 xml:space="preserve">投标人提供本项目的售后服务方案，方案中应包含： </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 xml:space="preserve">1.服务内容； </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 xml:space="preserve">2.维修应急方案； </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 xml:space="preserve">3.培训计划； </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 xml:space="preserve">4.其他特色服务等。 </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（二）评审标准：</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方案中含有上述一个内容得15分，最高得60分。在此基础上，对方案的合理性、可行性进行打分：1.售后服务方案非常详细，保障措施完善可行，得40分；</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 xml:space="preserve">2.售后服务方案比较具体，保障措施比较完善可行，能够满足招标文件要求的得20分； </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00000"/>
                <w:kern w:val="2"/>
                <w:sz w:val="21"/>
                <w:szCs w:val="21"/>
                <w:lang w:eastAsia="zh-CN" w:bidi="ar"/>
              </w:rPr>
            </w:pPr>
            <w:r>
              <w:rPr>
                <w:rFonts w:ascii="宋体" w:eastAsia="宋体" w:hAnsi="宋体" w:cs="宋体" w:hint="eastAsia"/>
                <w:color w:val="030405"/>
                <w:sz w:val="21"/>
                <w:szCs w:val="21"/>
                <w:lang w:eastAsia="zh-CN" w:bidi="ar"/>
              </w:rPr>
              <w:t>3.未提供售后服务方案和措施或方案不详细、可行性较差，无法满足招标文件要求的得0分。</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val="restart"/>
            <w:tcBorders>
              <w:top w:val="single" w:sz="8" w:space="0" w:color="000000"/>
              <w:left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3</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theme="minorBidi" w:hint="eastAsia"/>
                <w:b/>
                <w:bCs/>
                <w:kern w:val="2"/>
                <w:sz w:val="21"/>
                <w:szCs w:val="21"/>
                <w:lang w:eastAsia="zh-CN"/>
              </w:rPr>
              <w:t>商务</w:t>
            </w:r>
            <w:r>
              <w:rPr>
                <w:rFonts w:ascii="宋体" w:eastAsia="宋体" w:hAnsi="宋体" w:cs="宋体" w:hint="eastAsia"/>
                <w:b/>
                <w:bCs/>
                <w:kern w:val="2"/>
                <w:sz w:val="21"/>
                <w:szCs w:val="21"/>
                <w:lang w:eastAsia="zh-CN"/>
              </w:rPr>
              <w:t>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kern w:val="2"/>
                <w:sz w:val="21"/>
                <w:szCs w:val="21"/>
                <w:lang w:eastAsia="zh-CN"/>
              </w:rPr>
              <w:t>5</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权重</w:t>
            </w:r>
            <w:r>
              <w:rPr>
                <w:rFonts w:ascii="宋体" w:eastAsia="宋体" w:hAnsi="宋体" w:cs="宋体" w:hint="eastAsia"/>
                <w:bCs/>
                <w:kern w:val="2"/>
                <w:sz w:val="21"/>
                <w:szCs w:val="21"/>
                <w:lang w:eastAsia="zh-CN"/>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hint="eastAsia"/>
                <w:bCs/>
                <w:kern w:val="2"/>
                <w:sz w:val="21"/>
                <w:szCs w:val="21"/>
                <w:lang w:eastAsia="zh-CN"/>
              </w:rPr>
              <w:t>经验评价</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hint="eastAsia"/>
                <w:bCs/>
                <w:kern w:val="2"/>
                <w:sz w:val="21"/>
                <w:szCs w:val="21"/>
                <w:lang w:eastAsia="zh-CN"/>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numPr>
                <w:ilvl w:val="0"/>
                <w:numId w:val="0"/>
              </w:numPr>
              <w:suppressLineNumbers w:val="0"/>
              <w:ind w:left="0" w:firstLine="0"/>
              <w:jc w:val="left"/>
              <w:textAlignment w:val="center"/>
              <w:rPr>
                <w:rFonts w:ascii="宋体" w:eastAsia="宋体" w:hAnsi="宋体" w:hint="eastAsia"/>
                <w:bCs/>
                <w:kern w:val="2"/>
                <w:sz w:val="21"/>
                <w:szCs w:val="21"/>
                <w:lang w:eastAsia="zh-CN"/>
              </w:rPr>
            </w:pPr>
            <w:r>
              <w:rPr>
                <w:rFonts w:ascii="宋体" w:eastAsia="宋体" w:hAnsi="宋体" w:cs="宋体" w:hint="eastAsia"/>
                <w:color w:val="030405"/>
                <w:sz w:val="21"/>
                <w:szCs w:val="21"/>
                <w:lang w:eastAsia="zh-CN" w:bidi="ar"/>
              </w:rPr>
              <w:t>（一）评审内容：</w:t>
            </w:r>
          </w:p>
          <w:p>
            <w:pPr>
              <w:widowControl w:val="0"/>
              <w:snapToGrid w:val="0"/>
              <w:jc w:val="left"/>
              <w:rPr>
                <w:rFonts w:ascii="宋体" w:eastAsia="宋体" w:hAnsi="宋体"/>
                <w:bCs/>
                <w:kern w:val="2"/>
                <w:sz w:val="21"/>
                <w:szCs w:val="21"/>
                <w:lang w:eastAsia="zh-CN"/>
              </w:rPr>
            </w:pPr>
            <w:r>
              <w:rPr>
                <w:rFonts w:ascii="宋体" w:eastAsia="宋体" w:hAnsi="宋体" w:hint="eastAsia"/>
                <w:bCs/>
                <w:kern w:val="2"/>
                <w:sz w:val="21"/>
                <w:szCs w:val="21"/>
                <w:lang w:eastAsia="zh-CN"/>
              </w:rPr>
              <w:t>202</w:t>
            </w:r>
            <w:r>
              <w:rPr>
                <w:rFonts w:ascii="宋体" w:eastAsia="宋体" w:hAnsi="宋体" w:hint="eastAsia"/>
                <w:bCs/>
                <w:kern w:val="2"/>
                <w:sz w:val="21"/>
                <w:szCs w:val="21"/>
                <w:lang w:eastAsia="zh-CN"/>
              </w:rPr>
              <w:t>3</w:t>
            </w:r>
            <w:r>
              <w:rPr>
                <w:rFonts w:ascii="宋体" w:eastAsia="宋体" w:hAnsi="宋体" w:hint="eastAsia"/>
                <w:bCs/>
                <w:kern w:val="2"/>
                <w:sz w:val="21"/>
                <w:szCs w:val="21"/>
                <w:lang w:eastAsia="zh-CN"/>
              </w:rPr>
              <w:t>年1月1日（以合同签订日期为准）</w:t>
            </w:r>
            <w:r>
              <w:rPr>
                <w:rFonts w:ascii="宋体" w:eastAsia="宋体" w:hAnsi="宋体" w:hint="eastAsia"/>
                <w:bCs/>
                <w:kern w:val="2"/>
                <w:sz w:val="21"/>
                <w:szCs w:val="21"/>
                <w:lang w:eastAsia="zh-CN"/>
              </w:rPr>
              <w:t>以后，投标人具理化生实验室项目类采购经验的，且履约评价为优或满意（或同等评价），每提供一个得 50 分，最高得100分。</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（二）评审标准：</w:t>
            </w:r>
          </w:p>
          <w:p>
            <w:pPr>
              <w:widowControl w:val="0"/>
              <w:snapToGrid w:val="0"/>
              <w:jc w:val="left"/>
              <w:rPr>
                <w:rFonts w:ascii="宋体" w:eastAsia="宋体" w:hAnsi="宋体" w:cs="宋体" w:hint="eastAsia"/>
                <w:kern w:val="2"/>
                <w:sz w:val="21"/>
                <w:szCs w:val="21"/>
                <w:lang w:eastAsia="zh-CN"/>
              </w:rPr>
            </w:pPr>
            <w:r>
              <w:rPr>
                <w:rFonts w:ascii="宋体" w:eastAsia="宋体" w:hAnsi="宋体" w:hint="eastAsia"/>
                <w:bCs/>
                <w:kern w:val="2"/>
                <w:sz w:val="21"/>
                <w:szCs w:val="21"/>
                <w:lang w:eastAsia="zh-CN"/>
              </w:rPr>
              <w:t>同时提供以下：（1）合同关键页扫描件；（2）设备配置清单扫描件；（3）验收报告[加盖合同甲方公章（或甲方业务章）]；（4）履约评价证明[加盖合同甲方公章（或甲方业务章）]。</w:t>
            </w:r>
            <w:r>
              <w:rPr>
                <w:rFonts w:ascii="宋体" w:eastAsia="宋体" w:hAnsi="宋体" w:cs="宋体" w:hint="eastAsia"/>
                <w:kern w:val="2"/>
                <w:sz w:val="21"/>
                <w:szCs w:val="21"/>
                <w:lang w:eastAsia="zh-CN"/>
              </w:rPr>
              <w:t>未按要求提供证明材料（或证明材料无法判断是否符合评分要求）的不得分，原件备查。</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kern w:val="2"/>
                <w:sz w:val="21"/>
                <w:szCs w:val="21"/>
                <w:lang w:eastAsia="zh-CN"/>
              </w:rPr>
            </w:pPr>
            <w:r>
              <w:rPr>
                <w:rFonts w:ascii="宋体" w:eastAsia="宋体" w:hAnsi="宋体" w:cs="宋体" w:hint="eastAsia"/>
                <w:sz w:val="21"/>
                <w:szCs w:val="21"/>
                <w:lang w:eastAsia="zh-CN" w:bidi="ar"/>
              </w:rPr>
              <w:t>政府采购节能环保产品</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suppressLineNumbers w:val="0"/>
              <w:jc w:val="center"/>
              <w:textAlignment w:val="center"/>
              <w:rPr>
                <w:rFonts w:ascii="宋体" w:eastAsia="宋体" w:hAnsi="宋体" w:cs="宋体" w:hint="eastAsia"/>
                <w:kern w:val="2"/>
                <w:sz w:val="21"/>
                <w:szCs w:val="21"/>
                <w:lang w:eastAsia="zh-CN"/>
              </w:rPr>
            </w:pPr>
            <w:r>
              <w:rPr>
                <w:rFonts w:ascii="宋体" w:eastAsia="宋体" w:hAnsi="宋体" w:cs="宋体" w:hint="eastAsia"/>
                <w:sz w:val="21"/>
                <w:szCs w:val="21"/>
                <w:lang w:eastAsia="zh-CN" w:bidi="ar"/>
              </w:rPr>
              <w:t>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center"/>
          </w:tcPr>
          <w:p>
            <w:pPr>
              <w:keepNext w:val="0"/>
              <w:keepLines w:val="0"/>
              <w:widowControl/>
              <w:numPr>
                <w:ilvl w:val="0"/>
                <w:numId w:val="0"/>
              </w:numPr>
              <w:suppressLineNumbers w:val="0"/>
              <w:ind w:left="0" w:firstLine="0"/>
              <w:jc w:val="left"/>
              <w:textAlignment w:val="center"/>
              <w:rPr>
                <w:rFonts w:ascii="宋体" w:eastAsia="宋体" w:hAnsi="宋体" w:hint="eastAsia"/>
                <w:bCs/>
                <w:kern w:val="2"/>
                <w:sz w:val="21"/>
                <w:szCs w:val="21"/>
                <w:lang w:eastAsia="zh-CN"/>
              </w:rPr>
            </w:pPr>
            <w:r>
              <w:rPr>
                <w:rFonts w:ascii="宋体" w:eastAsia="宋体" w:hAnsi="宋体" w:cs="宋体" w:hint="eastAsia"/>
                <w:color w:val="030405"/>
                <w:sz w:val="21"/>
                <w:szCs w:val="21"/>
                <w:lang w:eastAsia="zh-CN" w:bidi="ar"/>
              </w:rPr>
              <w:t>（一）评审内容：</w:t>
            </w:r>
          </w:p>
          <w:p>
            <w:pPr>
              <w:keepNext w:val="0"/>
              <w:keepLines w:val="0"/>
              <w:widowControl/>
              <w:suppressLineNumbers w:val="0"/>
              <w:jc w:val="left"/>
              <w:textAlignment w:val="center"/>
              <w:rPr>
                <w:rFonts w:ascii="宋体" w:eastAsia="宋体" w:hAnsi="宋体" w:cs="宋体" w:hint="eastAsia"/>
                <w:sz w:val="21"/>
                <w:szCs w:val="21"/>
                <w:lang w:eastAsia="zh-CN" w:bidi="ar"/>
              </w:rPr>
            </w:pPr>
            <w:r>
              <w:rPr>
                <w:rFonts w:ascii="宋体" w:eastAsia="宋体" w:hAnsi="宋体" w:cs="宋体" w:hint="eastAsia"/>
                <w:sz w:val="21"/>
                <w:szCs w:val="21"/>
                <w:lang w:eastAsia="zh-CN" w:bidi="ar"/>
              </w:rPr>
              <w:t>根据《关于印发节能产品政府采购品目清单的通知》（财库〔2019〕19号）以及《关于印发环境标志产品政府采购品目清单的通知》（财库〔2019〕18号）的要求，投标人所投任一产品（以招标文件第三章 用户需求书 二、货物需求明细中“货物名称”为准）被列入节能产品政府采购品目清单（已标注“★”号属政府强制采购产品需具有节能产品认证证书的除外）或环境标志产品政府采购品目清单，且具有有效期内的节能产品或环境标志产品认证证书的，每提供1项得100分，最高得100分。</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（二）评审标准：</w:t>
            </w:r>
          </w:p>
          <w:p>
            <w:pPr>
              <w:keepNext w:val="0"/>
              <w:keepLines w:val="0"/>
              <w:widowControl/>
              <w:suppressLineNumbers w:val="0"/>
              <w:jc w:val="left"/>
              <w:textAlignment w:val="center"/>
              <w:rPr>
                <w:rFonts w:ascii="宋体" w:eastAsia="宋体" w:hAnsi="宋体" w:cs="宋体" w:hint="eastAsia"/>
                <w:sz w:val="21"/>
                <w:szCs w:val="21"/>
                <w:lang w:eastAsia="zh-CN" w:bidi="ar"/>
              </w:rPr>
            </w:pPr>
            <w:r>
              <w:rPr>
                <w:rFonts w:ascii="宋体" w:eastAsia="宋体" w:hAnsi="宋体" w:cs="宋体" w:hint="eastAsia"/>
                <w:sz w:val="21"/>
                <w:szCs w:val="21"/>
                <w:lang w:eastAsia="zh-CN" w:bidi="ar"/>
              </w:rPr>
              <w:t>1.提供《市场监管总局关于发布参与实施政府采购节能产品、环境标志产品认证机构名录的公告》（2019年第16号）确定的认证机构出具的且处于有效期内的节能产品或环境标志产品认证证书扫描件；</w:t>
            </w:r>
          </w:p>
          <w:p>
            <w:pPr>
              <w:keepNext w:val="0"/>
              <w:keepLines w:val="0"/>
              <w:widowControl/>
              <w:suppressLineNumbers w:val="0"/>
              <w:jc w:val="left"/>
              <w:textAlignment w:val="center"/>
              <w:rPr>
                <w:rFonts w:ascii="宋体" w:eastAsia="宋体" w:hAnsi="宋体" w:cs="宋体" w:hint="eastAsia"/>
                <w:kern w:val="2"/>
                <w:sz w:val="21"/>
                <w:szCs w:val="21"/>
                <w:lang w:eastAsia="zh-CN"/>
              </w:rPr>
            </w:pPr>
            <w:r>
              <w:rPr>
                <w:rFonts w:ascii="宋体" w:eastAsia="宋体" w:hAnsi="宋体" w:cs="宋体" w:hint="eastAsia"/>
                <w:sz w:val="21"/>
                <w:szCs w:val="21"/>
                <w:lang w:eastAsia="zh-CN" w:bidi="ar"/>
              </w:rPr>
              <w:t>2.未按要求提供证明材料（或证明材料无法判断是否符合评分要求）的不得分，原件备查。</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3</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绿色采购</w:t>
            </w:r>
            <w:r>
              <w:rPr>
                <w:rFonts w:ascii="宋体" w:eastAsia="宋体" w:hAnsi="宋体" w:cs="宋体" w:hint="eastAsia"/>
                <w:kern w:val="2"/>
                <w:sz w:val="21"/>
                <w:szCs w:val="21"/>
                <w:lang w:eastAsia="zh-CN"/>
              </w:rPr>
              <w:t>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b/>
                <w:kern w:val="2"/>
                <w:sz w:val="21"/>
                <w:szCs w:val="21"/>
                <w:lang w:eastAsia="zh-CN"/>
              </w:rPr>
            </w:pPr>
            <w:r>
              <w:rPr>
                <w:rFonts w:ascii="宋体" w:eastAsia="宋体" w:hAnsi="宋体" w:cs="宋体" w:hint="eastAsia"/>
                <w:bCs/>
                <w:kern w:val="2"/>
                <w:sz w:val="21"/>
                <w:szCs w:val="21"/>
                <w:lang w:eastAsia="zh-CN"/>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FFFFFF"/>
            <w:vAlign w:val="top"/>
          </w:tcPr>
          <w:p>
            <w:pPr>
              <w:keepNext w:val="0"/>
              <w:keepLines w:val="0"/>
              <w:widowControl/>
              <w:numPr>
                <w:ilvl w:val="0"/>
                <w:numId w:val="0"/>
              </w:numPr>
              <w:suppressLineNumbers w:val="0"/>
              <w:ind w:left="0" w:firstLine="0"/>
              <w:jc w:val="left"/>
              <w:textAlignment w:val="center"/>
              <w:rPr>
                <w:rFonts w:ascii="宋体" w:eastAsia="宋体" w:hAnsi="宋体" w:hint="eastAsia"/>
                <w:bCs/>
                <w:kern w:val="2"/>
                <w:sz w:val="21"/>
                <w:szCs w:val="21"/>
                <w:lang w:eastAsia="zh-CN"/>
              </w:rPr>
            </w:pPr>
            <w:r>
              <w:rPr>
                <w:rFonts w:ascii="宋体" w:eastAsia="宋体" w:hAnsi="宋体" w:cs="宋体" w:hint="eastAsia"/>
                <w:color w:val="030405"/>
                <w:sz w:val="21"/>
                <w:szCs w:val="21"/>
                <w:lang w:eastAsia="zh-CN" w:bidi="ar"/>
              </w:rPr>
              <w:t>（一）评审内容：</w:t>
            </w:r>
          </w:p>
          <w:p>
            <w:pPr>
              <w:widowControl w:val="0"/>
              <w:autoSpaceDE w:val="0"/>
              <w:autoSpaceDN w:val="0"/>
              <w:adjustRightInd w:val="0"/>
              <w:spacing w:line="300" w:lineRule="exact"/>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本</w:t>
            </w:r>
            <w:r>
              <w:rPr>
                <w:rFonts w:ascii="宋体" w:eastAsia="宋体" w:hAnsi="宋体" w:cs="宋体" w:hint="eastAsia"/>
                <w:kern w:val="2"/>
                <w:sz w:val="21"/>
                <w:szCs w:val="21"/>
                <w:lang w:eastAsia="zh-CN"/>
              </w:rPr>
              <w:t>项目采购内容中需要对相关产品进行商品包装和快递包装，投标人承诺</w:t>
            </w:r>
            <w:r>
              <w:rPr>
                <w:rFonts w:ascii="宋体" w:eastAsia="宋体" w:hAnsi="宋体" w:cs="宋体" w:hint="eastAsia"/>
                <w:kern w:val="2"/>
                <w:sz w:val="21"/>
                <w:szCs w:val="21"/>
                <w:lang w:eastAsia="zh-CN"/>
              </w:rPr>
              <w:t>以下内容的得100分：</w:t>
            </w:r>
          </w:p>
          <w:p>
            <w:pPr>
              <w:widowControl w:val="0"/>
              <w:autoSpaceDE w:val="0"/>
              <w:autoSpaceDN w:val="0"/>
              <w:adjustRightInd w:val="0"/>
              <w:spacing w:line="300" w:lineRule="exact"/>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所进行的商品包装和快递包装满足财政部《商品包装政府采购需求标准（试行）》《快递包装政府采购需求标准（试行）》（财办库〔2020〕123号）的要求，采用环保材料进行包装。</w:t>
            </w:r>
          </w:p>
          <w:p>
            <w:pPr>
              <w:keepNext w:val="0"/>
              <w:keepLines w:val="0"/>
              <w:widowControl/>
              <w:numPr>
                <w:ilvl w:val="0"/>
                <w:numId w:val="0"/>
              </w:numPr>
              <w:suppressLineNumbers w:val="0"/>
              <w:ind w:left="0" w:firstLine="0"/>
              <w:jc w:val="left"/>
              <w:textAlignment w:val="center"/>
              <w:rPr>
                <w:rFonts w:ascii="宋体" w:eastAsia="宋体" w:hAnsi="宋体" w:cs="宋体" w:hint="eastAsia"/>
                <w:color w:val="030405"/>
                <w:sz w:val="21"/>
                <w:szCs w:val="21"/>
                <w:lang w:eastAsia="zh-CN" w:bidi="ar"/>
              </w:rPr>
            </w:pPr>
            <w:r>
              <w:rPr>
                <w:rFonts w:ascii="宋体" w:eastAsia="宋体" w:hAnsi="宋体" w:cs="宋体" w:hint="eastAsia"/>
                <w:color w:val="030405"/>
                <w:sz w:val="21"/>
                <w:szCs w:val="21"/>
                <w:lang w:eastAsia="zh-CN" w:bidi="ar"/>
              </w:rPr>
              <w:t>（二）评审标准：</w:t>
            </w:r>
          </w:p>
          <w:p>
            <w:pPr>
              <w:widowControl w:val="0"/>
              <w:snapToGrid w:val="0"/>
              <w:jc w:val="both"/>
              <w:rPr>
                <w:rFonts w:ascii="宋体" w:eastAsia="宋体" w:hAnsi="宋体" w:cs="宋体" w:hint="eastAsia"/>
                <w:color w:val="0000FF"/>
                <w:kern w:val="2"/>
                <w:sz w:val="21"/>
                <w:szCs w:val="21"/>
                <w:lang w:eastAsia="zh-CN"/>
              </w:rPr>
            </w:pPr>
            <w:r>
              <w:rPr>
                <w:rFonts w:ascii="宋体" w:eastAsia="宋体" w:hAnsi="宋体" w:cs="宋体" w:hint="eastAsia"/>
                <w:color w:val="000000"/>
                <w:kern w:val="2"/>
                <w:sz w:val="21"/>
                <w:szCs w:val="21"/>
                <w:lang w:eastAsia="zh-CN"/>
              </w:rPr>
              <w:t>提供相关承诺函（格式自定），未按要求提供证明材料（或证明材料无法判断是否符合评分要求）的不得分，原件备查。</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4</w:t>
            </w:r>
          </w:p>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b/>
                <w:bCs/>
                <w:kern w:val="2"/>
                <w:sz w:val="21"/>
                <w:szCs w:val="21"/>
                <w:lang w:eastAsia="zh-CN"/>
              </w:rPr>
              <w:t>其他部分</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center"/>
              <w:rPr>
                <w:rFonts w:ascii="宋体" w:eastAsia="宋体" w:hAnsi="宋体" w:cs="宋体" w:hint="eastAsia"/>
                <w:b/>
                <w:bCs/>
                <w:kern w:val="2"/>
                <w:sz w:val="21"/>
                <w:szCs w:val="21"/>
                <w:lang w:eastAsia="zh-CN"/>
              </w:rPr>
            </w:pPr>
            <w:r>
              <w:rPr>
                <w:rFonts w:ascii="宋体" w:eastAsia="宋体" w:hAnsi="宋体" w:cs="宋体" w:hint="eastAsia"/>
                <w:kern w:val="2"/>
                <w:sz w:val="21"/>
                <w:szCs w:val="21"/>
                <w:lang w:eastAsia="zh-CN"/>
              </w:rPr>
              <w:t>5</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序号</w:t>
            </w:r>
          </w:p>
        </w:tc>
        <w:tc>
          <w:tcPr>
            <w:tcW w:w="1793"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评分因素</w:t>
            </w:r>
          </w:p>
        </w:tc>
        <w:tc>
          <w:tcPr>
            <w:tcW w:w="110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权重</w:t>
            </w:r>
            <w:r>
              <w:rPr>
                <w:rFonts w:ascii="宋体" w:eastAsia="宋体" w:hAnsi="宋体" w:cs="宋体" w:hint="eastAsia"/>
                <w:bCs/>
                <w:kern w:val="2"/>
                <w:sz w:val="21"/>
                <w:szCs w:val="21"/>
                <w:lang w:eastAsia="zh-CN"/>
              </w:rPr>
              <w:t>（%）</w:t>
            </w:r>
          </w:p>
        </w:tc>
        <w:tc>
          <w:tcPr>
            <w:tcW w:w="4819"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评分准则</w:t>
            </w:r>
          </w:p>
        </w:tc>
      </w:tr>
      <w:tr>
        <w:tblPrEx>
          <w:tblW w:w="5000" w:type="pct"/>
          <w:jc w:val="center"/>
          <w:shd w:val="clear" w:color="auto" w:fill="FFFFFF"/>
          <w:tblLayout w:type="fixed"/>
          <w:tblCellMar>
            <w:top w:w="20" w:type="dxa"/>
            <w:left w:w="108" w:type="dxa"/>
            <w:bottom w:w="20" w:type="dxa"/>
            <w:right w:w="108" w:type="dxa"/>
          </w:tblCellMar>
        </w:tblPrEx>
        <w:trPr>
          <w:jc w:val="center"/>
        </w:trPr>
        <w:tc>
          <w:tcPr>
            <w:tcW w:w="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both"/>
              <w:rPr>
                <w:rFonts w:ascii="宋体" w:eastAsia="宋体" w:hAnsi="宋体" w:cs="宋体" w:hint="eastAsia"/>
                <w:b/>
                <w:bCs/>
                <w:kern w:val="2"/>
                <w:sz w:val="21"/>
                <w:szCs w:val="21"/>
                <w:lang w:eastAsia="zh-CN"/>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1</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诚信情况</w:t>
            </w:r>
          </w:p>
        </w:tc>
        <w:tc>
          <w:tcPr>
            <w:tcW w:w="1100" w:type="dxa"/>
            <w:tcBorders>
              <w:top w:val="single" w:sz="8" w:space="0" w:color="000000"/>
              <w:left w:val="single" w:sz="8" w:space="0" w:color="000000"/>
              <w:bottom w:val="single" w:sz="8" w:space="0" w:color="000000"/>
              <w:right w:val="single" w:sz="8" w:space="0" w:color="000000"/>
            </w:tcBorders>
            <w:shd w:val="clear" w:color="auto" w:fill="FFFFFF"/>
            <w:vAlign w:val="center"/>
          </w:tcPr>
          <w:p>
            <w:pPr>
              <w:widowControl w:val="0"/>
              <w:snapToGrid w:val="0"/>
              <w:jc w:val="center"/>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Pr>
          <w:p>
            <w:pPr>
              <w:widowControl w:val="0"/>
              <w:snapToGrid w:val="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widowControl w:val="0"/>
        <w:jc w:val="both"/>
        <w:rPr>
          <w:rFonts w:ascii="Calibri" w:eastAsia="宋体" w:hAnsi="Calibri"/>
          <w:kern w:val="2"/>
          <w:sz w:val="21"/>
          <w:szCs w:val="22"/>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b/>
          <w:kern w:val="2"/>
          <w:sz w:val="84"/>
          <w:szCs w:val="84"/>
          <w:lang w:eastAsia="zh-CN"/>
        </w:rPr>
      </w:pPr>
    </w:p>
    <w:p>
      <w:pPr>
        <w:widowControl w:val="0"/>
        <w:jc w:val="center"/>
        <w:rPr>
          <w:rFonts w:ascii="Calibri" w:eastAsia="宋体" w:hAnsi="Calibri" w:hint="eastAsia"/>
          <w:b/>
          <w:kern w:val="2"/>
          <w:sz w:val="120"/>
          <w:szCs w:val="120"/>
          <w:lang w:eastAsia="zh-CN"/>
        </w:rPr>
      </w:pPr>
    </w:p>
    <w:p>
      <w:pPr>
        <w:widowControl w:val="0"/>
        <w:jc w:val="center"/>
        <w:rPr>
          <w:rFonts w:ascii="Calibri" w:eastAsia="宋体" w:hAnsi="Calibri"/>
          <w:b/>
          <w:kern w:val="2"/>
          <w:sz w:val="120"/>
          <w:szCs w:val="120"/>
          <w:lang w:eastAsia="zh-CN"/>
        </w:rPr>
      </w:pPr>
      <w:r>
        <w:rPr>
          <w:rFonts w:ascii="Calibri" w:eastAsia="宋体" w:hAnsi="Calibri" w:cstheme="minorBidi" w:hint="eastAsia"/>
          <w:b/>
          <w:kern w:val="2"/>
          <w:sz w:val="120"/>
          <w:szCs w:val="120"/>
          <w:lang w:eastAsia="zh-CN"/>
        </w:rPr>
        <w:t>政府采购</w:t>
      </w:r>
    </w:p>
    <w:p>
      <w:pPr>
        <w:widowControl w:val="0"/>
        <w:jc w:val="center"/>
        <w:rPr>
          <w:rFonts w:ascii="Calibri" w:eastAsia="宋体" w:hAnsi="Calibri"/>
          <w:b/>
          <w:kern w:val="2"/>
          <w:sz w:val="120"/>
          <w:szCs w:val="120"/>
          <w:lang w:eastAsia="zh-CN"/>
        </w:rPr>
      </w:pPr>
      <w:r>
        <w:rPr>
          <w:rFonts w:ascii="Calibri" w:eastAsia="宋体" w:hAnsi="Calibri" w:cstheme="minorBidi" w:hint="eastAsia"/>
          <w:b/>
          <w:kern w:val="2"/>
          <w:sz w:val="120"/>
          <w:szCs w:val="120"/>
          <w:lang w:eastAsia="zh-CN"/>
        </w:rPr>
        <w:t>招标文件</w:t>
      </w:r>
    </w:p>
    <w:p>
      <w:pPr>
        <w:widowControl w:val="0"/>
        <w:jc w:val="center"/>
        <w:rPr>
          <w:rFonts w:ascii="Calibri" w:eastAsia="宋体" w:hAnsi="Calibri"/>
          <w:b/>
          <w:kern w:val="2"/>
          <w:sz w:val="52"/>
          <w:szCs w:val="52"/>
          <w:lang w:eastAsia="zh-CN"/>
        </w:rPr>
      </w:pPr>
      <w:r>
        <w:rPr>
          <w:rFonts w:ascii="Calibri" w:eastAsia="宋体" w:hAnsi="Calibri" w:cstheme="minorBidi" w:hint="eastAsia"/>
          <w:b/>
          <w:kern w:val="2"/>
          <w:sz w:val="52"/>
          <w:szCs w:val="52"/>
          <w:lang w:eastAsia="zh-CN"/>
        </w:rPr>
        <w:t>（货物类）</w:t>
      </w: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val="0"/>
        <w:jc w:val="center"/>
        <w:rPr>
          <w:rFonts w:ascii="Calibri" w:eastAsia="宋体" w:hAnsi="Calibri"/>
          <w:b/>
          <w:kern w:val="2"/>
          <w:sz w:val="44"/>
          <w:szCs w:val="44"/>
          <w:lang w:eastAsia="zh-CN"/>
        </w:rPr>
      </w:pPr>
      <w:r>
        <w:rPr>
          <w:rFonts w:ascii="宋体" w:eastAsia="宋体" w:hAnsi="宋体" w:cstheme="minorBidi" w:hint="eastAsia"/>
          <w:b/>
          <w:kern w:val="2"/>
          <w:sz w:val="44"/>
          <w:szCs w:val="44"/>
          <w:lang w:eastAsia="zh-CN"/>
        </w:rPr>
        <w:t>深圳公共资源交易中心</w:t>
      </w:r>
    </w:p>
    <w:p>
      <w:pPr>
        <w:widowControl w:val="0"/>
        <w:jc w:val="center"/>
        <w:rPr>
          <w:rFonts w:ascii="Calibri" w:eastAsia="宋体" w:hAnsi="Calibri"/>
          <w:b/>
          <w:kern w:val="2"/>
          <w:sz w:val="44"/>
          <w:szCs w:val="44"/>
          <w:lang w:eastAsia="zh-CN"/>
        </w:rPr>
      </w:pPr>
      <w:r>
        <w:rPr>
          <w:rFonts w:ascii="宋体" w:eastAsia="宋体" w:hAnsi="宋体" w:cstheme="minorBidi" w:hint="eastAsia"/>
          <w:b/>
          <w:kern w:val="2"/>
          <w:sz w:val="44"/>
          <w:szCs w:val="44"/>
          <w:lang w:eastAsia="zh-CN"/>
        </w:rPr>
        <w:t>（</w:t>
      </w:r>
      <w:r>
        <w:rPr>
          <w:rFonts w:ascii="Calibri" w:eastAsia="宋体" w:hAnsi="Calibri" w:cstheme="minorBidi"/>
          <w:b/>
          <w:kern w:val="2"/>
          <w:sz w:val="44"/>
          <w:szCs w:val="44"/>
          <w:lang w:eastAsia="zh-CN"/>
        </w:rPr>
        <w:t>20</w:t>
      </w:r>
      <w:r>
        <w:rPr>
          <w:rFonts w:ascii="Calibri" w:eastAsia="宋体" w:hAnsi="Calibri" w:cstheme="minorBidi" w:hint="eastAsia"/>
          <w:b/>
          <w:kern w:val="2"/>
          <w:sz w:val="44"/>
          <w:szCs w:val="44"/>
          <w:lang w:eastAsia="zh-CN"/>
        </w:rPr>
        <w:t>2</w:t>
      </w:r>
      <w:r>
        <w:rPr>
          <w:rFonts w:ascii="Calibri" w:eastAsia="宋体" w:hAnsi="Calibri" w:cstheme="minorBidi" w:hint="eastAsia"/>
          <w:b/>
          <w:kern w:val="2"/>
          <w:sz w:val="44"/>
          <w:szCs w:val="44"/>
          <w:lang w:eastAsia="zh-CN"/>
        </w:rPr>
        <w:t>4</w:t>
      </w:r>
      <w:r>
        <w:rPr>
          <w:rFonts w:ascii="宋体" w:eastAsia="宋体" w:hAnsi="宋体" w:cstheme="minorBidi" w:hint="eastAsia"/>
          <w:b/>
          <w:kern w:val="2"/>
          <w:sz w:val="44"/>
          <w:szCs w:val="44"/>
          <w:lang w:eastAsia="zh-CN"/>
        </w:rPr>
        <w:t>）</w:t>
      </w:r>
    </w:p>
    <w:p>
      <w:pPr>
        <w:widowControl w:val="0"/>
        <w:ind w:firstLine="6760" w:firstLineChars="1300"/>
        <w:jc w:val="center"/>
        <w:rPr>
          <w:rFonts w:ascii="Calibri" w:eastAsia="宋体" w:hAnsi="Calibri"/>
          <w:bCs/>
          <w:color w:val="FF0000"/>
          <w:kern w:val="2"/>
          <w:sz w:val="21"/>
          <w:szCs w:val="22"/>
          <w:lang w:eastAsia="zh-CN"/>
        </w:rPr>
      </w:pPr>
      <w:r>
        <w:rPr>
          <w:rFonts w:ascii="Calibri" w:eastAsia="宋体" w:hAnsi="Calibri" w:cstheme="minorBidi" w:hint="eastAsia"/>
          <w:b/>
          <w:color w:val="FF0000"/>
          <w:kern w:val="2"/>
          <w:sz w:val="52"/>
          <w:szCs w:val="52"/>
          <w:lang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eastAsia="宋体" w:hAnsi="宋体"/>
          <w:color w:val="FF0000"/>
          <w:kern w:val="2"/>
          <w:sz w:val="21"/>
          <w:szCs w:val="21"/>
          <w:lang w:eastAsia="zh-CN"/>
        </w:rPr>
      </w:pPr>
      <w:bookmarkStart w:id="2" w:name="_Hlk73564573"/>
      <w:r>
        <w:rPr>
          <w:rFonts w:ascii="宋体" w:eastAsia="黑体" w:hAnsi="宋体" w:cstheme="minorBidi" w:hint="eastAsia"/>
          <w:b/>
          <w:bCs/>
          <w:color w:val="FF0000"/>
          <w:kern w:val="44"/>
          <w:sz w:val="28"/>
          <w:szCs w:val="44"/>
          <w:lang w:eastAsia="zh-CN"/>
        </w:rPr>
        <w:t>警示条款</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一、</w:t>
      </w:r>
      <w:r>
        <w:rPr>
          <w:rFonts w:ascii="宋体" w:eastAsia="宋体" w:hAnsi="宋体" w:cs="宋体" w:hint="eastAsia"/>
          <w:b/>
          <w:bCs/>
          <w:color w:val="FF0000"/>
          <w:kern w:val="2"/>
          <w:sz w:val="21"/>
          <w:szCs w:val="21"/>
          <w:lang w:eastAsia="zh-CN"/>
        </w:rPr>
        <w:t>《深圳经济特区政府采购条例》第五十七条</w:t>
      </w:r>
      <w:r>
        <w:rPr>
          <w:rFonts w:ascii="宋体" w:eastAsia="宋体" w:hAnsi="宋体" w:cs="宋体" w:hint="eastAsia"/>
          <w:color w:val="FF0000"/>
          <w:kern w:val="2"/>
          <w:sz w:val="21"/>
          <w:szCs w:val="21"/>
          <w:lang w:eastAsia="zh-CN"/>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（三）隐瞒真实情况，提供虚假资料的；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（五）与其他采购参加人串通投标的；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（六）恶意投诉的；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（八）阻碍、抗拒主管部门监督检查的；</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（九）其他违反本条例规定的行为。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b/>
          <w:bCs/>
          <w:color w:val="FF0000"/>
          <w:kern w:val="2"/>
          <w:sz w:val="21"/>
          <w:szCs w:val="21"/>
          <w:lang w:eastAsia="zh-CN"/>
        </w:rPr>
        <w:t>二、《深圳经济特区政府采购条例实施细则》第七十五条 </w:t>
      </w:r>
      <w:r>
        <w:rPr>
          <w:rFonts w:ascii="宋体" w:eastAsia="宋体" w:hAnsi="宋体" w:cs="宋体" w:hint="eastAsia"/>
          <w:color w:val="FF0000"/>
          <w:kern w:val="2"/>
          <w:sz w:val="21"/>
          <w:szCs w:val="21"/>
          <w:lang w:eastAsia="zh-CN"/>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b/>
          <w:bCs/>
          <w:color w:val="FF0000"/>
          <w:kern w:val="2"/>
          <w:sz w:val="21"/>
          <w:szCs w:val="21"/>
          <w:lang w:eastAsia="zh-CN"/>
        </w:rPr>
        <w:t>三、《深圳经济特区政府采购条例实施细则》第七十七条 </w:t>
      </w:r>
      <w:r>
        <w:rPr>
          <w:rFonts w:ascii="宋体" w:eastAsia="宋体" w:hAnsi="宋体" w:cs="宋体" w:hint="eastAsia"/>
          <w:color w:val="FF0000"/>
          <w:kern w:val="2"/>
          <w:sz w:val="21"/>
          <w:szCs w:val="21"/>
          <w:lang w:eastAsia="zh-CN"/>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投标供应商不能提供项目负责人或者主要技术人员的劳动合同、社会保险等劳动关系证明材料的，视为存在前款第（三）项规定的情形。</w:t>
      </w:r>
    </w:p>
    <w:bookmarkEnd w:id="2"/>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
          <w:color w:val="FF0000"/>
          <w:kern w:val="2"/>
          <w:sz w:val="21"/>
          <w:szCs w:val="21"/>
          <w:lang w:eastAsia="zh-CN"/>
        </w:rPr>
      </w:pPr>
      <w:r>
        <w:rPr>
          <w:rFonts w:ascii="宋体" w:eastAsia="宋体" w:hAnsi="宋体" w:cs="宋体" w:hint="eastAsia"/>
          <w:b/>
          <w:color w:val="FF0000"/>
          <w:kern w:val="2"/>
          <w:sz w:val="21"/>
          <w:szCs w:val="21"/>
          <w:lang w:eastAsia="zh-CN"/>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Cs/>
          <w:color w:val="FF0000"/>
          <w:kern w:val="2"/>
          <w:sz w:val="21"/>
          <w:szCs w:val="21"/>
          <w:lang w:eastAsia="zh-CN"/>
        </w:rPr>
      </w:pPr>
      <w:r>
        <w:rPr>
          <w:rFonts w:ascii="宋体" w:eastAsia="宋体" w:hAnsi="宋体" w:cs="宋体" w:hint="eastAsia"/>
          <w:bCs/>
          <w:color w:val="FF0000"/>
          <w:kern w:val="2"/>
          <w:sz w:val="21"/>
          <w:szCs w:val="21"/>
          <w:lang w:eastAsia="zh-CN"/>
        </w:rPr>
        <w:t>五、供应商在使用深圳政府采购智慧平台的投标文件制作工具创建投标文件时，该工具将自动在投标文件中记录文件创建标识码，同时提取投标文件制作电脑的网卡MAC地址、硬盘序列号、CPU 序列号、主板序列号和工具标识号，经加密生成文件制作机器码并在投标文件中记录。文件制作机器码一致表明不同供应商使用了同一设备编制投标文件，文件创建标识码一致表明不同供应商的投标文件为同一份文件，IP 地址一致表明上传投标文件时使用了相同的网络。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Cs/>
          <w:color w:val="FF0000"/>
          <w:kern w:val="2"/>
          <w:sz w:val="21"/>
          <w:szCs w:val="21"/>
          <w:lang w:eastAsia="zh-CN"/>
        </w:rPr>
      </w:pPr>
      <w:r>
        <w:rPr>
          <w:rFonts w:ascii="宋体" w:eastAsia="宋体" w:hAnsi="宋体" w:cs="宋体" w:hint="eastAsia"/>
          <w:bCs/>
          <w:color w:val="FF0000"/>
          <w:kern w:val="2"/>
          <w:sz w:val="21"/>
          <w:szCs w:val="21"/>
          <w:lang w:eastAsia="zh-CN"/>
        </w:rPr>
        <w:t>为避免出现不同供应商投标文件的文件制作机器码、文件创建标识码、IP 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ascii="宋体" w:eastAsia="宋体" w:hAnsi="宋体" w:cs="宋体" w:hint="eastAsia"/>
          <w:bCs/>
          <w:color w:val="FF0000"/>
          <w:kern w:val="2"/>
          <w:sz w:val="21"/>
          <w:szCs w:val="21"/>
          <w:lang w:eastAsia="zh-CN"/>
        </w:rPr>
      </w:pPr>
      <w:r>
        <w:rPr>
          <w:rFonts w:ascii="宋体" w:eastAsia="宋体" w:hAnsi="宋体" w:cs="宋体" w:hint="eastAsia"/>
          <w:bCs/>
          <w:color w:val="FF0000"/>
          <w:kern w:val="2"/>
          <w:sz w:val="21"/>
          <w:szCs w:val="21"/>
          <w:lang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的行政处罚，请各供应商独立编制、上传投标文件，妥善保管和使用电子秘钥。</w:t>
      </w:r>
    </w:p>
    <w:p>
      <w:pPr>
        <w:widowControl w:val="0"/>
        <w:snapToGrid w:val="0"/>
        <w:spacing w:line="360" w:lineRule="exact"/>
        <w:jc w:val="left"/>
        <w:rPr>
          <w:rFonts w:ascii="宋体" w:eastAsia="宋体" w:hAnsi="宋体" w:cs="宋体"/>
          <w:color w:val="000000"/>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目   录</w:t>
      </w:r>
    </w:p>
    <w:p>
      <w:pPr>
        <w:widowControl w:val="0"/>
        <w:jc w:val="both"/>
        <w:rPr>
          <w:rFonts w:ascii="Calibri" w:eastAsia="宋体" w:hAnsi="Calibri"/>
          <w:b/>
          <w:kern w:val="2"/>
          <w:lang w:eastAsia="zh-CN"/>
        </w:rPr>
      </w:pPr>
      <w:r>
        <w:rPr>
          <w:rFonts w:ascii="Calibri" w:eastAsia="宋体" w:hAnsi="Calibri" w:cstheme="minorBidi" w:hint="eastAsia"/>
          <w:b/>
          <w:kern w:val="2"/>
          <w:lang w:eastAsia="zh-CN"/>
        </w:rPr>
        <w:t>第一册  专用条款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ab/>
      </w:r>
      <w:r>
        <w:rPr>
          <w:rFonts w:ascii="宋体" w:eastAsia="宋体" w:hAnsi="宋体" w:cstheme="minorBidi" w:hint="eastAsia"/>
          <w:kern w:val="2"/>
          <w:sz w:val="21"/>
          <w:szCs w:val="21"/>
          <w:lang w:eastAsia="zh-CN"/>
        </w:rPr>
        <w:t>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招标公告</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对通用条款的补充内容及其他关键信息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第三章 </w:t>
      </w:r>
      <w:r>
        <w:rPr>
          <w:rFonts w:ascii="宋体" w:eastAsia="宋体" w:hAnsi="宋体" w:cstheme="minorBidi"/>
          <w:kern w:val="2"/>
          <w:sz w:val="21"/>
          <w:szCs w:val="21"/>
          <w:lang w:eastAsia="zh-CN"/>
        </w:rPr>
        <w:t xml:space="preserve"> </w:t>
      </w:r>
      <w:r>
        <w:rPr>
          <w:rFonts w:ascii="宋体" w:eastAsia="宋体" w:hAnsi="宋体" w:cstheme="minorBidi" w:hint="eastAsia"/>
          <w:kern w:val="2"/>
          <w:sz w:val="21"/>
          <w:szCs w:val="21"/>
          <w:lang w:eastAsia="zh-CN"/>
        </w:rPr>
        <w:t>用户需求书</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第四章 </w:t>
      </w:r>
      <w:r>
        <w:rPr>
          <w:rFonts w:ascii="宋体" w:eastAsia="宋体" w:hAnsi="宋体" w:cstheme="minorBidi"/>
          <w:kern w:val="2"/>
          <w:sz w:val="21"/>
          <w:szCs w:val="21"/>
          <w:lang w:eastAsia="zh-CN"/>
        </w:rPr>
        <w:t xml:space="preserve"> </w:t>
      </w:r>
      <w:r>
        <w:rPr>
          <w:rFonts w:ascii="宋体" w:eastAsia="宋体" w:hAnsi="宋体" w:cstheme="minorBidi" w:hint="eastAsia"/>
          <w:kern w:val="2"/>
          <w:sz w:val="21"/>
          <w:szCs w:val="21"/>
          <w:lang w:eastAsia="zh-CN"/>
        </w:rPr>
        <w:t>投标文件组成要求及格式</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合同条款及格式</w:t>
      </w:r>
    </w:p>
    <w:p>
      <w:pPr>
        <w:widowControl w:val="0"/>
        <w:jc w:val="both"/>
        <w:rPr>
          <w:rFonts w:ascii="Calibri" w:eastAsia="宋体" w:hAnsi="Calibri"/>
          <w:b/>
          <w:kern w:val="2"/>
          <w:szCs w:val="22"/>
          <w:lang w:eastAsia="zh-CN"/>
        </w:rPr>
      </w:pPr>
    </w:p>
    <w:p>
      <w:pPr>
        <w:widowControl w:val="0"/>
        <w:jc w:val="both"/>
        <w:rPr>
          <w:rFonts w:ascii="Calibri" w:eastAsia="宋体" w:hAnsi="Calibri"/>
          <w:b/>
          <w:kern w:val="2"/>
          <w:lang w:eastAsia="zh-CN"/>
        </w:rPr>
      </w:pPr>
      <w:r>
        <w:rPr>
          <w:rFonts w:ascii="Calibri" w:eastAsia="宋体" w:hAnsi="Calibri" w:cstheme="minorBidi" w:hint="eastAsia"/>
          <w:b/>
          <w:kern w:val="2"/>
          <w:lang w:eastAsia="zh-CN"/>
        </w:rPr>
        <w:t>第二册  通用条款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总则</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招标文件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投标文件的编制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第四章  投标文件的递交</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开标</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第六章  评审要求</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第七章  评审程序及评审方法</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第八章  定标及公示</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第九章  公开招标失败的后续处理</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第十章  合同的授予与备案</w:t>
      </w:r>
    </w:p>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 xml:space="preserve">          第十一章  质疑处理</w:t>
      </w:r>
    </w:p>
    <w:p>
      <w:pPr>
        <w:widowControl w:val="0"/>
        <w:jc w:val="both"/>
        <w:rPr>
          <w:rFonts w:ascii="Calibri" w:eastAsia="宋体" w:hAnsi="Calibri"/>
          <w:kern w:val="2"/>
          <w:sz w:val="21"/>
          <w:szCs w:val="22"/>
          <w:lang w:eastAsia="zh-CN"/>
        </w:rPr>
      </w:pPr>
    </w:p>
    <w:p>
      <w:pPr>
        <w:widowControl w:val="0"/>
        <w:jc w:val="both"/>
        <w:rPr>
          <w:rFonts w:ascii="Calibri" w:eastAsia="宋体" w:hAnsi="Calibri"/>
          <w:kern w:val="2"/>
          <w:sz w:val="21"/>
          <w:szCs w:val="22"/>
          <w:lang w:eastAsia="zh-CN"/>
        </w:rPr>
      </w:pPr>
    </w:p>
    <w:p>
      <w:pPr>
        <w:widowControl/>
        <w:jc w:val="left"/>
        <w:rPr>
          <w:rFonts w:ascii="Calibri" w:eastAsia="宋体" w:hAnsi="Calibri"/>
          <w:kern w:val="2"/>
          <w:sz w:val="21"/>
          <w:szCs w:val="22"/>
          <w:lang w:eastAsia="zh-CN"/>
        </w:rPr>
      </w:pPr>
      <w:r>
        <w:rPr>
          <w:rFonts w:ascii="Calibri" w:eastAsia="宋体" w:hAnsi="Calibri" w:cstheme="minorBidi"/>
          <w:kern w:val="2"/>
          <w:sz w:val="21"/>
          <w:szCs w:val="22"/>
          <w:lang w:eastAsia="zh-CN"/>
        </w:rPr>
        <w:br w:type="page"/>
      </w:r>
    </w:p>
    <w:p>
      <w:pPr>
        <w:keepNext/>
        <w:keepLines/>
        <w:widowControl w:val="0"/>
        <w:spacing w:before="340" w:after="78" w:afterLines="25" w:line="578" w:lineRule="auto"/>
        <w:jc w:val="center"/>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第一册  专用条款</w:t>
      </w: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第一章  招标公告</w:t>
      </w:r>
    </w:p>
    <w:p>
      <w:pPr>
        <w:widowControl w:val="0"/>
        <w:snapToGrid w:val="0"/>
        <w:spacing w:line="300" w:lineRule="exact"/>
        <w:jc w:val="both"/>
        <w:rPr>
          <w:rFonts w:ascii="Arial" w:eastAsia="宋体" w:hAnsi="Arial"/>
          <w:kern w:val="2"/>
          <w:sz w:val="21"/>
          <w:szCs w:val="21"/>
          <w:lang w:eastAsia="zh-CN"/>
        </w:rPr>
      </w:pPr>
      <w:r>
        <w:rPr>
          <w:rFonts w:ascii="Arial" w:eastAsia="宋体" w:hAnsi="Arial" w:hint="eastAsia"/>
          <w:b/>
          <w:bCs/>
          <w:kern w:val="2"/>
          <w:sz w:val="21"/>
          <w:szCs w:val="21"/>
          <w:lang w:eastAsia="zh-CN"/>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2）本项目不接受联合体投标</w:t>
      </w:r>
      <w:r>
        <w:rPr>
          <w:rFonts w:ascii="宋体" w:eastAsia="宋体" w:hAnsi="宋体" w:cs="宋体" w:hint="eastAsia"/>
          <w:bCs/>
          <w:kern w:val="2"/>
          <w:lang w:eastAsia="zh-CN"/>
        </w:rPr>
        <w:t>，</w:t>
      </w:r>
      <w:r>
        <w:rPr>
          <w:rFonts w:ascii="宋体" w:eastAsia="宋体" w:hAnsi="宋体" w:cs="宋体" w:hint="eastAsia"/>
          <w:bCs/>
          <w:kern w:val="2"/>
          <w:lang w:eastAsia="zh-CN"/>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3</w:t>
      </w:r>
      <w:r>
        <w:rPr>
          <w:rFonts w:ascii="宋体" w:eastAsia="宋体" w:hAnsi="宋体" w:cs="宋体" w:hint="eastAsia"/>
          <w:bCs/>
          <w:kern w:val="2"/>
          <w:lang w:eastAsia="zh-CN"/>
        </w:rPr>
        <w:t>）</w:t>
      </w:r>
      <w:r>
        <w:rPr>
          <w:rFonts w:ascii="宋体" w:eastAsia="宋体" w:hAnsi="宋体" w:cs="宋体" w:hint="eastAsia"/>
          <w:bCs/>
          <w:kern w:val="2"/>
          <w:lang w:eastAsia="zh-CN"/>
        </w:rPr>
        <w:t>参与本项目政府采购活动时不存在被有关部门禁止参与政府采购活动且在有效期内的情况（由供应商在《政府采购投标及履约承诺函》中作出声明）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4</w:t>
      </w:r>
      <w:r>
        <w:rPr>
          <w:rFonts w:ascii="宋体" w:eastAsia="宋体" w:hAnsi="宋体" w:cs="宋体" w:hint="eastAsia"/>
          <w:bCs/>
          <w:kern w:val="2"/>
          <w:lang w:eastAsia="zh-CN"/>
        </w:rPr>
        <w:t>）</w:t>
      </w:r>
      <w:r>
        <w:rPr>
          <w:rFonts w:ascii="宋体" w:eastAsia="宋体" w:hAnsi="宋体" w:cs="宋体" w:hint="eastAsia"/>
          <w:bCs/>
          <w:kern w:val="2"/>
          <w:lang w:eastAsia="zh-CN"/>
        </w:rPr>
        <w:t>具备《中华人民共和国政府采购法》第二十二条第一款的条件（由供应商在《政府采购投标及履约承诺函》中作出声明）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5</w:t>
      </w:r>
      <w:r>
        <w:rPr>
          <w:rFonts w:ascii="宋体" w:eastAsia="宋体" w:hAnsi="宋体" w:cs="宋体" w:hint="eastAsia"/>
          <w:bCs/>
          <w:kern w:val="2"/>
          <w:lang w:eastAsia="zh-CN"/>
        </w:rPr>
        <w:t>）</w:t>
      </w:r>
      <w:r>
        <w:rPr>
          <w:rFonts w:ascii="宋体" w:eastAsia="宋体" w:hAnsi="宋体" w:cs="宋体" w:hint="eastAsia"/>
          <w:bCs/>
          <w:kern w:val="2"/>
          <w:lang w:eastAsia="zh-CN"/>
        </w:rPr>
        <w:t>未被列入失信被执行人、重大税收违法案件当事人名单、政府采购严重违法失信行为记录名单（由供应商在《政府采购投标及履约承诺函》中作出声明）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r>
        <w:rPr>
          <w:rFonts w:ascii="宋体" w:eastAsia="宋体" w:hAnsi="宋体" w:cs="宋体" w:hint="eastAsia"/>
          <w:bCs/>
          <w:kern w:val="2"/>
          <w:lang w:eastAsia="zh-CN"/>
        </w:rPr>
        <w:t>7</w:t>
      </w:r>
      <w:r>
        <w:rPr>
          <w:rFonts w:ascii="宋体" w:eastAsia="宋体" w:hAnsi="宋体" w:cs="宋体" w:hint="eastAsia"/>
          <w:bCs/>
          <w:kern w:val="2"/>
          <w:lang w:eastAsia="zh-CN"/>
        </w:rPr>
        <w:t>）本项目是（否）专门面向中小企业采购：</w:t>
      </w:r>
      <w:r>
        <w:rPr>
          <w:rFonts w:ascii="宋体" w:eastAsia="宋体" w:hAnsi="宋体" w:cs="宋体" w:hint="eastAsia"/>
          <w:bCs/>
          <w:kern w:val="2"/>
          <w:lang w:eastAsia="zh-CN"/>
        </w:rPr>
        <w:t>否</w:t>
      </w:r>
      <w:r>
        <w:rPr>
          <w:rFonts w:ascii="宋体" w:eastAsia="宋体" w:hAnsi="宋体" w:cs="宋体" w:hint="eastAsia"/>
          <w:bCs/>
          <w:kern w:val="2"/>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bCs/>
          <w:kern w:val="2"/>
          <w:lang w:eastAsia="zh-CN"/>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（1）“信用中国”中“信用服务”栏的“重大税收违法失信主体”“失信被执行人”</w:t>
      </w:r>
      <w:r>
        <w:rPr>
          <w:rFonts w:ascii="宋体" w:eastAsia="宋体" w:hAnsi="宋体" w:cs="宋体" w:hint="eastAsia"/>
          <w:kern w:val="2"/>
          <w:lang w:eastAsia="zh-CN"/>
        </w:rPr>
        <w:t>，</w:t>
      </w:r>
      <w:r>
        <w:rPr>
          <w:rFonts w:ascii="宋体" w:eastAsia="宋体" w:hAnsi="宋体" w:cs="宋体" w:hint="eastAsia"/>
          <w:kern w:val="2"/>
          <w:lang w:eastAsia="zh-CN"/>
        </w:rPr>
        <w:t>“中国政府采购网”中的“政府采购严重违法失信行为记录名单”</w:t>
      </w:r>
      <w:r>
        <w:rPr>
          <w:rFonts w:ascii="宋体" w:eastAsia="宋体" w:hAnsi="宋体" w:cs="宋体" w:hint="eastAsia"/>
          <w:kern w:val="2"/>
          <w:lang w:eastAsia="zh-CN"/>
        </w:rPr>
        <w:t>，</w:t>
      </w:r>
      <w:r>
        <w:rPr>
          <w:rFonts w:ascii="宋体" w:eastAsia="宋体" w:hAnsi="宋体" w:cs="宋体" w:hint="eastAsia"/>
          <w:kern w:val="2"/>
          <w:lang w:eastAsia="zh-CN"/>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both"/>
        <w:textAlignment w:val="auto"/>
        <w:rPr>
          <w:rFonts w:ascii="宋体" w:eastAsia="宋体" w:hAnsi="宋体" w:cs="宋体" w:hint="eastAsia"/>
          <w:kern w:val="2"/>
          <w:lang w:eastAsia="zh-CN"/>
        </w:rPr>
      </w:pPr>
      <w:r>
        <w:rPr>
          <w:rFonts w:ascii="宋体" w:eastAsia="宋体" w:hAnsi="宋体" w:cs="宋体" w:hint="eastAsia"/>
          <w:kern w:val="2"/>
          <w:lang w:eastAsia="zh-CN"/>
        </w:rPr>
        <w:t>（2）供应商投标（上传投标文件）必须先行办理注册手续，具体请按照本公告“六、其他补充事宜”相关内容指引办理。</w:t>
      </w:r>
    </w:p>
    <w:p>
      <w:pPr>
        <w:widowControl w:val="0"/>
        <w:snapToGrid w:val="0"/>
        <w:spacing w:line="300" w:lineRule="auto"/>
        <w:ind w:firstLine="480" w:firstLineChars="200"/>
        <w:jc w:val="both"/>
        <w:rPr>
          <w:rFonts w:ascii="Arial" w:eastAsia="宋体" w:hAnsi="Arial"/>
          <w:kern w:val="2"/>
          <w:lang w:eastAsia="zh-CN"/>
        </w:rPr>
      </w:pPr>
    </w:p>
    <w:p>
      <w:pPr>
        <w:widowControl w:val="0"/>
        <w:spacing w:after="78" w:afterLines="25"/>
        <w:jc w:val="center"/>
        <w:rPr>
          <w:rFonts w:ascii="Calibri" w:eastAsia="宋体" w:hAnsi="Calibri"/>
          <w:b/>
          <w:color w:val="FF0000"/>
          <w:kern w:val="2"/>
          <w:sz w:val="30"/>
          <w:szCs w:val="30"/>
          <w:lang w:eastAsia="zh-CN"/>
        </w:rPr>
      </w:pPr>
      <w:r>
        <w:rPr>
          <w:rFonts w:ascii="Arial" w:eastAsia="宋体" w:hAnsi="Arial" w:hint="eastAsia"/>
          <w:b/>
          <w:color w:val="FF0000"/>
          <w:kern w:val="2"/>
          <w:sz w:val="30"/>
          <w:szCs w:val="30"/>
          <w:lang w:eastAsia="zh-CN"/>
        </w:rPr>
        <w:t>完整公告内容以网站公布信息为准，详见：</w:t>
      </w:r>
      <w:r>
        <w:rPr>
          <w:rFonts w:ascii="Calibri" w:eastAsia="宋体" w:hAnsi="Calibri" w:cstheme="minorBidi" w:hint="eastAsia"/>
          <w:b/>
          <w:color w:val="FF0000"/>
          <w:kern w:val="2"/>
          <w:sz w:val="30"/>
          <w:szCs w:val="30"/>
          <w:lang w:eastAsia="zh-CN"/>
        </w:rPr>
        <w:t>深圳公共资源交易网（</w:t>
      </w:r>
      <w:hyperlink r:id="rId4" w:history="1">
        <w:r>
          <w:rPr>
            <w:rFonts w:ascii="Calibri" w:eastAsia="宋体" w:hAnsi="Calibri" w:cstheme="minorBidi"/>
            <w:b/>
            <w:color w:val="0000FF"/>
            <w:kern w:val="2"/>
            <w:sz w:val="30"/>
            <w:szCs w:val="30"/>
            <w:u w:val="single"/>
            <w:lang w:eastAsia="zh-CN"/>
          </w:rPr>
          <w:t>https://www.szggzy.com</w:t>
        </w:r>
      </w:hyperlink>
      <w:r>
        <w:rPr>
          <w:rFonts w:ascii="Calibri" w:eastAsia="宋体" w:hAnsi="Calibri" w:cstheme="minorBidi" w:hint="eastAsia"/>
          <w:b/>
          <w:color w:val="FF0000"/>
          <w:kern w:val="2"/>
          <w:sz w:val="30"/>
          <w:szCs w:val="30"/>
          <w:lang w:eastAsia="zh-CN"/>
        </w:rPr>
        <w:t>）</w:t>
      </w:r>
    </w:p>
    <w:p>
      <w:pPr>
        <w:widowControl w:val="0"/>
        <w:spacing w:after="78" w:afterLines="25"/>
        <w:jc w:val="both"/>
        <w:rPr>
          <w:rFonts w:ascii="Arial" w:eastAsia="宋体" w:hAnsi="Arial"/>
          <w:b/>
          <w:color w:val="FF0000"/>
          <w:kern w:val="2"/>
          <w:sz w:val="30"/>
          <w:szCs w:val="30"/>
          <w:lang w:eastAsia="zh-CN"/>
        </w:rPr>
      </w:pPr>
    </w:p>
    <w:p>
      <w:pPr>
        <w:keepNext/>
        <w:keepLines/>
        <w:widowControl w:val="0"/>
        <w:spacing w:before="260" w:after="260" w:line="416" w:lineRule="auto"/>
        <w:jc w:val="center"/>
        <w:outlineLvl w:val="1"/>
        <w:rPr>
          <w:rFonts w:ascii="宋体" w:eastAsia="宋体" w:hAnsi="宋体"/>
          <w:b/>
          <w:bCs/>
          <w:sz w:val="28"/>
          <w:szCs w:val="28"/>
          <w:lang w:eastAsia="zh-CN"/>
        </w:rPr>
      </w:pPr>
      <w:r>
        <w:rPr>
          <w:rFonts w:ascii="宋体" w:eastAsia="宋体" w:hAnsi="宋体" w:hint="eastAsia"/>
          <w:b/>
          <w:bCs/>
          <w:sz w:val="28"/>
          <w:szCs w:val="28"/>
          <w:lang w:eastAsia="zh-CN"/>
        </w:rPr>
        <w:t xml:space="preserve">第二章 </w:t>
      </w:r>
      <w:bookmarkStart w:id="3" w:name="_Hlk71926094"/>
      <w:r>
        <w:rPr>
          <w:rFonts w:ascii="宋体" w:eastAsia="宋体" w:hAnsi="宋体" w:hint="eastAsia"/>
          <w:b/>
          <w:bCs/>
          <w:sz w:val="28"/>
          <w:szCs w:val="28"/>
          <w:lang w:eastAsia="zh-CN"/>
        </w:rPr>
        <w:t>对通用条款的补充内容及其他关键信息</w:t>
      </w:r>
      <w:bookmarkEnd w:id="3"/>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bookmarkStart w:id="4" w:name="_Toc60631620"/>
      <w:bookmarkStart w:id="5" w:name="_Toc73521635"/>
      <w:bookmarkStart w:id="6" w:name="_Toc100052364"/>
      <w:bookmarkStart w:id="7" w:name="_Toc73517639"/>
      <w:bookmarkStart w:id="8" w:name="_Toc101074876"/>
      <w:bookmarkStart w:id="9" w:name="_Toc60560625"/>
      <w:bookmarkStart w:id="10" w:name="_Toc73521547"/>
      <w:bookmarkStart w:id="11" w:name="_Toc73518117"/>
      <w:r>
        <w:rPr>
          <w:rFonts w:ascii="宋体" w:eastAsia="宋体" w:hAnsi="宋体" w:hint="eastAsia"/>
          <w:b/>
          <w:bCs/>
          <w:lang w:eastAsia="zh-CN"/>
        </w:rPr>
        <w:t>一、对通用条款的补充内容</w:t>
      </w:r>
    </w:p>
    <w:tbl>
      <w:tblPr>
        <w:tblStyle w:val="TableNormal"/>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957"/>
        <w:gridCol w:w="1714"/>
        <w:gridCol w:w="6617"/>
      </w:tblGrid>
      <w:tr>
        <w:tblPrEx>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通用条款序号</w:t>
            </w:r>
          </w:p>
        </w:tc>
        <w:tc>
          <w:tcPr>
            <w:tcW w:w="1755"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涉及事项</w:t>
            </w:r>
          </w:p>
        </w:tc>
        <w:tc>
          <w:tcPr>
            <w:tcW w:w="6795" w:type="dxa"/>
            <w:vAlign w:val="center"/>
          </w:tcPr>
          <w:p>
            <w:pPr>
              <w:widowControl w:val="0"/>
              <w:jc w:val="center"/>
              <w:rPr>
                <w:rFonts w:ascii="宋体" w:eastAsia="宋体" w:hAnsi="宋体"/>
                <w:b/>
                <w:bCs/>
                <w:kern w:val="2"/>
                <w:sz w:val="21"/>
                <w:szCs w:val="22"/>
                <w:lang w:eastAsia="zh-CN"/>
              </w:rPr>
            </w:pPr>
            <w:r>
              <w:rPr>
                <w:rFonts w:ascii="宋体" w:eastAsia="宋体" w:hAnsi="宋体" w:cstheme="minorBidi" w:hint="eastAsia"/>
                <w:b/>
                <w:bCs/>
                <w:kern w:val="2"/>
                <w:sz w:val="21"/>
                <w:szCs w:val="22"/>
                <w:lang w:eastAsia="zh-CN"/>
              </w:rPr>
              <w:t xml:space="preserve">具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体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补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充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 xml:space="preserve">内 </w:t>
            </w:r>
            <w:r>
              <w:rPr>
                <w:rFonts w:ascii="宋体" w:eastAsia="宋体" w:hAnsi="宋体" w:cstheme="minorBidi"/>
                <w:b/>
                <w:bCs/>
                <w:kern w:val="2"/>
                <w:sz w:val="21"/>
                <w:szCs w:val="22"/>
                <w:lang w:eastAsia="zh-CN"/>
              </w:rPr>
              <w:t xml:space="preserve"> </w:t>
            </w:r>
            <w:r>
              <w:rPr>
                <w:rFonts w:ascii="宋体" w:eastAsia="宋体" w:hAnsi="宋体" w:cstheme="minorBidi" w:hint="eastAsia"/>
                <w:b/>
                <w:bCs/>
                <w:kern w:val="2"/>
                <w:sz w:val="21"/>
                <w:szCs w:val="22"/>
                <w:lang w:eastAsia="zh-CN"/>
              </w:rPr>
              <w:t>容</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.1</w:t>
            </w:r>
          </w:p>
        </w:tc>
        <w:tc>
          <w:tcPr>
            <w:tcW w:w="1755" w:type="dxa"/>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采购人</w:t>
            </w:r>
          </w:p>
        </w:tc>
        <w:tc>
          <w:tcPr>
            <w:tcW w:w="6795" w:type="dxa"/>
            <w:vAlign w:val="center"/>
          </w:tcPr>
          <w:p>
            <w:pPr>
              <w:widowControl w:val="0"/>
              <w:jc w:val="left"/>
              <w:rPr>
                <w:rFonts w:ascii="宋体" w:eastAsia="宋体" w:hAnsi="宋体"/>
                <w:kern w:val="2"/>
                <w:sz w:val="21"/>
                <w:szCs w:val="22"/>
                <w:lang w:eastAsia="zh-CN"/>
              </w:rPr>
            </w:pPr>
            <w:r>
              <w:rPr>
                <w:rFonts w:ascii="Calibri" w:eastAsia="宋体" w:hAnsi="Calibri" w:cstheme="minorBidi" w:hint="eastAsia"/>
                <w:kern w:val="2"/>
                <w:sz w:val="21"/>
                <w:szCs w:val="22"/>
                <w:lang w:eastAsia="zh-CN"/>
              </w:rPr>
              <w:t>深圳市宝安区和一学校</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.2</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政府集中采购机构</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本文件所述的“政府集中采购机构”</w:t>
            </w:r>
            <w:r>
              <w:rPr>
                <w:rFonts w:ascii="宋体" w:eastAsia="宋体" w:hAnsi="宋体" w:cs="Arial"/>
                <w:kern w:val="2"/>
                <w:sz w:val="21"/>
                <w:szCs w:val="21"/>
                <w:lang w:eastAsia="zh-CN"/>
              </w:rPr>
              <w:t>指</w:t>
            </w:r>
            <w:r>
              <w:rPr>
                <w:rFonts w:ascii="宋体" w:eastAsia="宋体" w:hAnsi="宋体" w:cs="Arial" w:hint="eastAsia"/>
                <w:b/>
                <w:bCs/>
                <w:kern w:val="2"/>
                <w:sz w:val="21"/>
                <w:szCs w:val="21"/>
                <w:lang w:eastAsia="zh-CN"/>
              </w:rPr>
              <w:t>深圳公共资源交易中心</w:t>
            </w:r>
            <w:r>
              <w:rPr>
                <w:rFonts w:ascii="Arial" w:eastAsia="宋体" w:hAnsi="Arial" w:hint="eastAsia"/>
                <w:kern w:val="2"/>
                <w:sz w:val="21"/>
                <w:lang w:eastAsia="zh-CN"/>
              </w:rPr>
              <w:t>。本项目具体由深圳公共资源交易中心（深圳交易集团有限公司宝安分公司）执行</w:t>
            </w:r>
            <w:r>
              <w:rPr>
                <w:rFonts w:ascii="Arial" w:eastAsia="宋体" w:hAnsi="Arial" w:hint="eastAsia"/>
                <w:bCs/>
                <w:kern w:val="2"/>
                <w:sz w:val="21"/>
                <w:lang w:eastAsia="zh-CN"/>
              </w:rPr>
              <w:t>。</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5</w:t>
            </w:r>
            <w:r>
              <w:rPr>
                <w:rFonts w:ascii="宋体" w:eastAsia="宋体" w:hAnsi="宋体" w:cstheme="minorBidi"/>
                <w:kern w:val="2"/>
                <w:sz w:val="21"/>
                <w:szCs w:val="22"/>
                <w:lang w:eastAsia="zh-CN"/>
              </w:rPr>
              <w:t>.3</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联合体投标</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详见本项目招标公告申请人的资格要求</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9</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踏勘现场</w:t>
            </w:r>
          </w:p>
        </w:tc>
        <w:tc>
          <w:tcPr>
            <w:tcW w:w="6795" w:type="dxa"/>
            <w:vAlign w:val="center"/>
          </w:tcPr>
          <w:p>
            <w:pPr>
              <w:widowControl w:val="0"/>
              <w:jc w:val="left"/>
              <w:rPr>
                <w:rFonts w:ascii="Calibri" w:eastAsia="宋体" w:hAnsi="Calibri"/>
                <w:kern w:val="2"/>
                <w:sz w:val="21"/>
                <w:szCs w:val="22"/>
                <w:lang w:eastAsia="zh-CN"/>
              </w:rPr>
            </w:pPr>
            <w:r>
              <w:rPr>
                <w:rFonts w:ascii="Calibri" w:eastAsia="宋体" w:hAnsi="Calibri" w:cstheme="minorBidi"/>
                <w:kern w:val="2"/>
                <w:sz w:val="21"/>
                <w:szCs w:val="22"/>
                <w:lang w:eastAsia="zh-CN"/>
              </w:rPr>
              <w:t>除主要设备外，清单中各类设备安装及配套所需的配件与辅材数量为参考数据，招标完成后采购人不因固有工程量增加而承担任何费用，费用将以中标价结算，请投标人充分考虑风险性。建议投标人到采购人单位进行现场勘察，以明确施工场地情况并准确了解相关工程量等。</w:t>
            </w:r>
          </w:p>
          <w:p>
            <w:pPr>
              <w:widowControl w:val="0"/>
              <w:jc w:val="left"/>
              <w:rPr>
                <w:rFonts w:ascii="宋体" w:eastAsia="宋体" w:hAnsi="宋体"/>
                <w:kern w:val="2"/>
                <w:sz w:val="21"/>
                <w:szCs w:val="22"/>
                <w:lang w:eastAsia="zh-CN"/>
              </w:rPr>
            </w:pPr>
            <w:r>
              <w:rPr>
                <w:rFonts w:ascii="Calibri" w:eastAsia="宋体" w:hAnsi="Calibri" w:cstheme="minorBidi"/>
                <w:kern w:val="2"/>
                <w:sz w:val="21"/>
                <w:szCs w:val="22"/>
                <w:lang w:eastAsia="zh-CN"/>
              </w:rPr>
              <w:t>有应标意向的投标人可自行踏勘或联系采购人（联系人：陈</w:t>
            </w:r>
            <w:r>
              <w:rPr>
                <w:rFonts w:ascii="Calibri" w:eastAsia="宋体" w:hAnsi="Calibri" w:cstheme="minorBidi" w:hint="eastAsia"/>
                <w:kern w:val="2"/>
                <w:sz w:val="21"/>
                <w:szCs w:val="22"/>
                <w:lang w:eastAsia="zh-CN"/>
              </w:rPr>
              <w:t>老师</w:t>
            </w:r>
            <w:r>
              <w:rPr>
                <w:rFonts w:ascii="Calibri" w:eastAsia="宋体" w:hAnsi="Calibri" w:cstheme="minorBidi"/>
                <w:kern w:val="2"/>
                <w:sz w:val="21"/>
                <w:szCs w:val="22"/>
                <w:lang w:eastAsia="zh-CN"/>
              </w:rPr>
              <w:t xml:space="preserve"> 电话：15013736351），按采购人规定的集合时间和地点进行踏勘。</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0</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标前会议</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不组织</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3</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招标文件的澄清和修改</w:t>
            </w:r>
          </w:p>
        </w:tc>
        <w:tc>
          <w:tcPr>
            <w:tcW w:w="6795" w:type="dxa"/>
            <w:vAlign w:val="center"/>
          </w:tcPr>
          <w:p>
            <w:pPr>
              <w:widowControl w:val="0"/>
              <w:jc w:val="left"/>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对招标文件澄清/修改时间不晚于投标截止日三日前，投标人有义务在招标期间在政府集中采购机构网站浏览与本项目有关的澄清和修改信息</w:t>
            </w:r>
            <w:r>
              <w:rPr>
                <w:rFonts w:ascii="宋体" w:eastAsia="宋体" w:hAnsi="宋体" w:cstheme="minorBidi" w:hint="eastAsia"/>
                <w:kern w:val="2"/>
                <w:sz w:val="21"/>
                <w:szCs w:val="22"/>
                <w:lang w:eastAsia="zh-CN"/>
              </w:rPr>
              <w:t>。</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0</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投标有效期</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投标有效期：从投标截止之日起</w:t>
            </w:r>
            <w:r>
              <w:rPr>
                <w:rFonts w:ascii="宋体" w:eastAsia="宋体" w:hAnsi="宋体" w:hint="eastAsia"/>
                <w:b/>
                <w:color w:val="0000FF"/>
                <w:kern w:val="2"/>
                <w:u w:val="single"/>
                <w:lang w:eastAsia="zh-CN"/>
              </w:rPr>
              <w:t xml:space="preserve"> 120 </w:t>
            </w:r>
            <w:r>
              <w:rPr>
                <w:rFonts w:ascii="宋体" w:eastAsia="宋体" w:hAnsi="宋体" w:cs="Arial" w:hint="eastAsia"/>
                <w:kern w:val="2"/>
                <w:sz w:val="21"/>
                <w:szCs w:val="21"/>
                <w:lang w:eastAsia="zh-CN"/>
              </w:rPr>
              <w:t>个日历日。</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2</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投标人的替代方案</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不接受</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5</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投标文件的大小</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Arial" w:hint="eastAsia"/>
                <w:kern w:val="2"/>
                <w:sz w:val="21"/>
                <w:szCs w:val="21"/>
                <w:lang w:eastAsia="zh-CN"/>
              </w:rPr>
              <w:t>投标文件大小不得超过 100MB</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6</w:t>
            </w:r>
          </w:p>
        </w:tc>
        <w:tc>
          <w:tcPr>
            <w:tcW w:w="1755" w:type="dxa"/>
            <w:vAlign w:val="center"/>
          </w:tcPr>
          <w:p>
            <w:pPr>
              <w:widowControl w:val="0"/>
              <w:jc w:val="center"/>
              <w:rPr>
                <w:rFonts w:ascii="宋体" w:eastAsia="宋体" w:hAnsi="宋体"/>
                <w:kern w:val="2"/>
                <w:sz w:val="21"/>
                <w:szCs w:val="22"/>
                <w:lang w:eastAsia="zh-CN"/>
              </w:rPr>
            </w:pPr>
            <w:bookmarkStart w:id="12" w:name="_Hlk71664860"/>
            <w:r>
              <w:rPr>
                <w:rFonts w:ascii="宋体" w:eastAsia="宋体" w:hAnsi="宋体" w:cstheme="minorBidi" w:hint="eastAsia"/>
                <w:kern w:val="2"/>
                <w:sz w:val="21"/>
                <w:szCs w:val="22"/>
                <w:lang w:eastAsia="zh-CN"/>
              </w:rPr>
              <w:t>样品、现场演示、方案讲解</w:t>
            </w:r>
            <w:bookmarkEnd w:id="12"/>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不要求提供样品；不组织现场演示；不组织方案讲解。</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7</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评审方法</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b/>
                <w:bCs/>
                <w:kern w:val="2"/>
                <w:sz w:val="21"/>
                <w:szCs w:val="22"/>
                <w:lang w:eastAsia="zh-CN"/>
              </w:rPr>
              <w:t>综合评分法</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8</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定标方法</w:t>
            </w:r>
          </w:p>
        </w:tc>
        <w:tc>
          <w:tcPr>
            <w:tcW w:w="6795" w:type="dxa"/>
            <w:vAlign w:val="center"/>
          </w:tcPr>
          <w:p>
            <w:pPr>
              <w:widowControl w:val="0"/>
              <w:jc w:val="left"/>
              <w:rPr>
                <w:rFonts w:ascii="宋体" w:eastAsia="宋体" w:hAnsi="宋体" w:hint="eastAsia"/>
                <w:b/>
                <w:bCs/>
                <w:kern w:val="2"/>
                <w:sz w:val="21"/>
                <w:szCs w:val="22"/>
                <w:highlight w:val="yellow"/>
                <w:lang w:eastAsia="zh-CN"/>
              </w:rPr>
            </w:pPr>
            <w:r>
              <w:rPr>
                <w:rFonts w:ascii="宋体" w:eastAsia="宋体" w:hAnsi="宋体" w:hint="eastAsia"/>
                <w:b/>
                <w:bCs/>
                <w:kern w:val="2"/>
                <w:sz w:val="21"/>
                <w:szCs w:val="21"/>
                <w:lang w:eastAsia="zh-CN"/>
              </w:rPr>
              <w:t>非评定分离</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4</w:t>
            </w:r>
            <w:r>
              <w:rPr>
                <w:rFonts w:ascii="宋体" w:eastAsia="宋体" w:hAnsi="宋体" w:cstheme="minorBidi"/>
                <w:kern w:val="2"/>
                <w:sz w:val="21"/>
                <w:szCs w:val="22"/>
                <w:lang w:eastAsia="zh-CN"/>
              </w:rPr>
              <w:t>6</w:t>
            </w:r>
          </w:p>
        </w:tc>
        <w:tc>
          <w:tcPr>
            <w:tcW w:w="1755" w:type="dxa"/>
            <w:vAlign w:val="center"/>
          </w:tcPr>
          <w:p>
            <w:pPr>
              <w:widowControl w:val="0"/>
              <w:jc w:val="center"/>
              <w:rPr>
                <w:rFonts w:ascii="宋体" w:eastAsia="宋体" w:hAnsi="宋体"/>
                <w:kern w:val="2"/>
                <w:sz w:val="21"/>
                <w:szCs w:val="22"/>
                <w:lang w:eastAsia="zh-CN"/>
              </w:rPr>
            </w:pPr>
            <w:r>
              <w:rPr>
                <w:rFonts w:ascii="宋体" w:eastAsia="宋体" w:hAnsi="宋体" w:cstheme="minorBidi" w:hint="eastAsia"/>
                <w:kern w:val="2"/>
                <w:sz w:val="21"/>
                <w:szCs w:val="22"/>
                <w:lang w:eastAsia="zh-CN"/>
              </w:rPr>
              <w:t>履约担保</w:t>
            </w:r>
          </w:p>
        </w:tc>
        <w:tc>
          <w:tcPr>
            <w:tcW w:w="6795" w:type="dxa"/>
            <w:vAlign w:val="center"/>
          </w:tcPr>
          <w:p>
            <w:pPr>
              <w:widowControl w:val="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不</w:t>
            </w:r>
            <w:r>
              <w:rPr>
                <w:rFonts w:ascii="宋体" w:eastAsia="宋体" w:hAnsi="宋体" w:cstheme="minorBidi" w:hint="eastAsia"/>
                <w:kern w:val="2"/>
                <w:sz w:val="21"/>
                <w:szCs w:val="22"/>
                <w:lang w:eastAsia="zh-CN"/>
              </w:rPr>
              <w:t>需要</w:t>
            </w:r>
          </w:p>
        </w:tc>
      </w:tr>
      <w:tr>
        <w:tblPrEx>
          <w:tblW w:w="5000" w:type="pct"/>
          <w:jc w:val="center"/>
          <w:tblLayout w:type="fixed"/>
          <w:tblCellMar>
            <w:top w:w="0" w:type="dxa"/>
            <w:left w:w="108" w:type="dxa"/>
            <w:bottom w:w="0" w:type="dxa"/>
            <w:right w:w="108" w:type="dxa"/>
          </w:tblCellMar>
        </w:tblPrEx>
        <w:trPr>
          <w:cantSplit/>
          <w:trHeight w:val="20"/>
          <w:jc w:val="center"/>
        </w:trPr>
        <w:tc>
          <w:tcPr>
            <w:tcW w:w="978" w:type="dxa"/>
            <w:vAlign w:val="center"/>
          </w:tcPr>
          <w:p>
            <w:pPr>
              <w:widowControl w:val="0"/>
              <w:jc w:val="center"/>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52.8</w:t>
            </w:r>
          </w:p>
        </w:tc>
        <w:tc>
          <w:tcPr>
            <w:tcW w:w="1755" w:type="dxa"/>
            <w:vAlign w:val="center"/>
          </w:tcPr>
          <w:p>
            <w:pPr>
              <w:widowControl w:val="0"/>
              <w:jc w:val="center"/>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投诉</w:t>
            </w:r>
          </w:p>
        </w:tc>
        <w:tc>
          <w:tcPr>
            <w:tcW w:w="6795" w:type="dxa"/>
            <w:vAlign w:val="center"/>
          </w:tcPr>
          <w:p>
            <w:pPr>
              <w:widowControl w:val="0"/>
              <w:jc w:val="left"/>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4"/>
      <w:bookmarkEnd w:id="5"/>
      <w:bookmarkEnd w:id="6"/>
      <w:bookmarkEnd w:id="7"/>
      <w:bookmarkEnd w:id="8"/>
      <w:bookmarkEnd w:id="9"/>
      <w:bookmarkEnd w:id="10"/>
      <w:bookmarkEnd w:id="11"/>
    </w:tbl>
    <w:p>
      <w:pPr>
        <w:widowControl/>
        <w:jc w:val="center"/>
        <w:rPr>
          <w:rFonts w:ascii="Calibri" w:eastAsia="宋体" w:hAnsi="Calibri"/>
          <w:kern w:val="2"/>
          <w:sz w:val="21"/>
          <w:szCs w:val="21"/>
          <w:lang w:eastAsia="zh-CN"/>
        </w:rPr>
      </w:pPr>
      <w:r>
        <w:rPr>
          <w:rFonts w:ascii="Calibri" w:eastAsia="宋体" w:hAnsi="Calibri" w:cstheme="minorBidi" w:hint="eastAsia"/>
          <w:kern w:val="2"/>
          <w:sz w:val="21"/>
          <w:szCs w:val="21"/>
          <w:lang w:eastAsia="zh-CN"/>
        </w:rPr>
        <w:t>备注：本表是通用条款相关条款的补充和明确，如与通用条款内容相冲突的，以本表为准。</w:t>
      </w:r>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p>
    <w:p>
      <w:pPr>
        <w:keepNext/>
        <w:keepLines/>
        <w:widowControl w:val="0"/>
        <w:adjustRightInd w:val="0"/>
        <w:spacing w:before="156" w:beforeLines="50" w:after="156" w:afterLines="50"/>
        <w:jc w:val="center"/>
        <w:textAlignment w:val="baseline"/>
        <w:outlineLvl w:val="2"/>
        <w:rPr>
          <w:rFonts w:ascii="宋体" w:eastAsia="宋体" w:hAnsi="宋体" w:hint="eastAsia"/>
          <w:b/>
          <w:bCs/>
          <w:lang w:eastAsia="zh-CN"/>
        </w:rPr>
      </w:pPr>
    </w:p>
    <w:p>
      <w:pPr>
        <w:keepNext/>
        <w:keepLines/>
        <w:widowControl w:val="0"/>
        <w:adjustRightInd w:val="0"/>
        <w:spacing w:before="156" w:beforeLines="50" w:after="156" w:afterLines="50"/>
        <w:jc w:val="center"/>
        <w:textAlignment w:val="baseline"/>
        <w:outlineLvl w:val="2"/>
        <w:rPr>
          <w:rFonts w:ascii="宋体" w:eastAsia="宋体" w:hAnsi="宋体"/>
          <w:b/>
          <w:bCs/>
          <w:lang w:eastAsia="zh-CN"/>
        </w:rPr>
      </w:pPr>
      <w:r>
        <w:rPr>
          <w:rFonts w:ascii="宋体" w:eastAsia="宋体" w:hAnsi="宋体" w:hint="eastAsia"/>
          <w:b/>
          <w:bCs/>
          <w:lang w:eastAsia="zh-CN"/>
        </w:rPr>
        <w:t>二、其他关键信息</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（一）</w:t>
      </w:r>
      <w:r>
        <w:rPr>
          <w:rFonts w:ascii="黑体" w:eastAsia="黑体" w:hAnsi="宋体" w:cstheme="minorBidi" w:hint="eastAsia"/>
          <w:bCs/>
          <w:kern w:val="2"/>
          <w:szCs w:val="22"/>
          <w:lang w:eastAsia="zh-CN"/>
        </w:rPr>
        <w:t>与“对通用条款的补充内容”章节相关的事项</w:t>
      </w:r>
    </w:p>
    <w:p>
      <w:pPr>
        <w:widowControl w:val="0"/>
        <w:tabs>
          <w:tab w:val="left" w:pos="720"/>
        </w:tabs>
        <w:jc w:val="both"/>
        <w:rPr>
          <w:rFonts w:ascii="黑体" w:eastAsia="黑体" w:hAnsi="宋体" w:hint="eastAsia"/>
          <w:bCs/>
          <w:kern w:val="2"/>
          <w:szCs w:val="22"/>
          <w:lang w:eastAsia="zh-CN"/>
        </w:rPr>
      </w:pPr>
      <w:r>
        <w:rPr>
          <w:rFonts w:ascii="黑体" w:eastAsia="黑体" w:hAnsi="宋体" w:cstheme="minorBidi" w:hint="eastAsia"/>
          <w:bCs/>
          <w:kern w:val="2"/>
          <w:szCs w:val="22"/>
          <w:lang w:eastAsia="zh-CN"/>
        </w:rPr>
        <w:t>1、评标定标信息</w:t>
      </w:r>
    </w:p>
    <w:p>
      <w:pPr>
        <w:widowControl w:val="0"/>
        <w:tabs>
          <w:tab w:val="left" w:pos="720"/>
        </w:tabs>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非评定分离项目</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643"/>
        <w:gridCol w:w="4645"/>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bookmarkStart w:id="13" w:name="_Hlk74239733"/>
            <w:r>
              <w:rPr>
                <w:rFonts w:ascii="Calibri" w:hAnsi="Calibri" w:cstheme="minorBidi" w:hint="eastAsia"/>
                <w:kern w:val="2"/>
                <w:sz w:val="21"/>
                <w:szCs w:val="22"/>
                <w:lang w:eastAsia="zh-CN"/>
              </w:rPr>
              <w:t>评标方法</w:t>
            </w:r>
          </w:p>
        </w:tc>
        <w:tc>
          <w:tcPr>
            <w:tcW w:w="4265"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综合评分法</w:t>
            </w:r>
          </w:p>
        </w:tc>
      </w:tr>
      <w:tr>
        <w:tblPrEx>
          <w:tblW w:w="5000" w:type="pct"/>
          <w:jc w:val="center"/>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候选中标供应商家数</w:t>
            </w:r>
          </w:p>
        </w:tc>
        <w:tc>
          <w:tcPr>
            <w:tcW w:w="4265" w:type="dxa"/>
          </w:tcPr>
          <w:p>
            <w:pPr>
              <w:jc w:val="center"/>
              <w:rPr>
                <w:rFonts w:ascii="宋体" w:hAnsi="宋体" w:cs="宋体" w:hint="eastAsia"/>
                <w:kern w:val="2"/>
                <w:sz w:val="21"/>
                <w:szCs w:val="22"/>
                <w:lang w:eastAsia="zh-CN"/>
              </w:rPr>
            </w:pPr>
            <w:r>
              <w:rPr>
                <w:rFonts w:ascii="宋体" w:hAnsi="宋体" w:cs="宋体" w:hint="eastAsia"/>
                <w:kern w:val="2"/>
                <w:sz w:val="21"/>
                <w:szCs w:val="22"/>
                <w:lang w:eastAsia="zh-CN"/>
              </w:rPr>
              <w:t>1</w:t>
            </w:r>
          </w:p>
        </w:tc>
      </w:tr>
      <w:tr>
        <w:tblPrEx>
          <w:tblW w:w="5000" w:type="pct"/>
          <w:jc w:val="center"/>
          <w:tblLayout w:type="fixed"/>
          <w:tblCellMar>
            <w:top w:w="0" w:type="dxa"/>
            <w:left w:w="108" w:type="dxa"/>
            <w:bottom w:w="0" w:type="dxa"/>
            <w:right w:w="108" w:type="dxa"/>
          </w:tblCellMar>
        </w:tblPrEx>
        <w:trPr>
          <w:jc w:val="center"/>
        </w:trPr>
        <w:tc>
          <w:tcPr>
            <w:tcW w:w="4264" w:type="dxa"/>
          </w:tcPr>
          <w:p>
            <w:pPr>
              <w:jc w:val="center"/>
              <w:rPr>
                <w:rFonts w:ascii="Calibri" w:hAnsi="Calibri"/>
                <w:kern w:val="2"/>
                <w:sz w:val="21"/>
                <w:szCs w:val="22"/>
                <w:lang w:eastAsia="zh-CN"/>
              </w:rPr>
            </w:pPr>
            <w:r>
              <w:rPr>
                <w:rFonts w:ascii="Calibri" w:hAnsi="Calibri" w:cstheme="minorBidi" w:hint="eastAsia"/>
                <w:kern w:val="2"/>
                <w:sz w:val="21"/>
                <w:szCs w:val="22"/>
                <w:lang w:eastAsia="zh-CN"/>
              </w:rPr>
              <w:t>中标供应商家数</w:t>
            </w:r>
          </w:p>
        </w:tc>
        <w:tc>
          <w:tcPr>
            <w:tcW w:w="4265" w:type="dxa"/>
          </w:tcPr>
          <w:p>
            <w:pPr>
              <w:jc w:val="center"/>
              <w:rPr>
                <w:rFonts w:ascii="宋体" w:hAnsi="宋体" w:cs="宋体" w:hint="eastAsia"/>
                <w:kern w:val="2"/>
                <w:sz w:val="21"/>
                <w:szCs w:val="22"/>
                <w:lang w:eastAsia="zh-CN"/>
              </w:rPr>
            </w:pPr>
            <w:r>
              <w:rPr>
                <w:rFonts w:ascii="宋体" w:hAnsi="宋体" w:cs="宋体" w:hint="eastAsia"/>
                <w:kern w:val="2"/>
                <w:sz w:val="21"/>
                <w:szCs w:val="22"/>
                <w:lang w:eastAsia="zh-CN"/>
              </w:rPr>
              <w:t>1</w:t>
            </w:r>
          </w:p>
        </w:tc>
      </w:tr>
      <w:bookmarkEnd w:id="13"/>
    </w:tbl>
    <w:p>
      <w:pPr>
        <w:widowControl w:val="0"/>
        <w:tabs>
          <w:tab w:val="left" w:pos="720"/>
        </w:tabs>
        <w:jc w:val="both"/>
        <w:rPr>
          <w:rFonts w:ascii="黑体" w:eastAsia="黑体" w:hAnsi="宋体"/>
          <w:bCs/>
          <w:kern w:val="2"/>
          <w:szCs w:val="22"/>
          <w:lang w:eastAsia="zh-CN"/>
        </w:rPr>
      </w:pPr>
      <w:r>
        <w:rPr>
          <w:rFonts w:ascii="黑体" w:eastAsia="黑体" w:hAnsi="宋体" w:cstheme="minorBidi" w:hint="eastAsia"/>
          <w:bCs/>
          <w:kern w:val="2"/>
          <w:szCs w:val="22"/>
          <w:lang w:eastAsia="zh-CN"/>
        </w:rPr>
        <w:t>2</w:t>
      </w:r>
      <w:r>
        <w:rPr>
          <w:rFonts w:ascii="黑体" w:eastAsia="黑体" w:hAnsi="宋体" w:cstheme="minorBidi" w:hint="eastAsia"/>
          <w:bCs/>
          <w:kern w:val="2"/>
          <w:szCs w:val="22"/>
          <w:lang w:eastAsia="zh-CN"/>
        </w:rPr>
        <w:t>、关于包组的定义</w:t>
      </w:r>
    </w:p>
    <w:p>
      <w:pPr>
        <w:widowControl w:val="0"/>
        <w:tabs>
          <w:tab w:val="left" w:pos="720"/>
        </w:tabs>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3</w:t>
      </w:r>
      <w:r>
        <w:rPr>
          <w:rFonts w:ascii="黑体" w:eastAsia="黑体" w:hAnsi="宋体" w:cstheme="minorBidi" w:hint="eastAsia"/>
          <w:kern w:val="2"/>
          <w:szCs w:val="22"/>
          <w:lang w:eastAsia="zh-CN"/>
        </w:rPr>
        <w:t>、关于涉及采取随机抽取方式确定中标候选人（候选中标供应商）的规则</w:t>
      </w:r>
    </w:p>
    <w:p>
      <w:pPr>
        <w:widowControl w:val="0"/>
        <w:tabs>
          <w:tab w:val="left" w:pos="720"/>
        </w:tabs>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ascii="宋体" w:eastAsia="宋体" w:hAnsi="宋体" w:cstheme="minorBidi" w:hint="eastAsia"/>
          <w:kern w:val="2"/>
          <w:sz w:val="21"/>
          <w:szCs w:val="21"/>
          <w:lang w:eastAsia="zh-CN"/>
        </w:rPr>
        <w:t>、小</w:t>
      </w:r>
      <w:r>
        <w:rPr>
          <w:rFonts w:ascii="宋体" w:eastAsia="宋体" w:hAnsi="宋体" w:cstheme="minorBidi" w:hint="eastAsia"/>
          <w:kern w:val="2"/>
          <w:sz w:val="21"/>
          <w:szCs w:val="22"/>
          <w:lang w:eastAsia="zh-CN"/>
        </w:rPr>
        <w:t>且同号的情况，则对同号的投标人重新摇签确定中签。抽签过程中遇抽签机器卡球的，被卡球方当轮重新抽签。</w:t>
      </w:r>
    </w:p>
    <w:p>
      <w:pPr>
        <w:widowControl w:val="0"/>
        <w:ind w:firstLine="470" w:firstLineChars="196"/>
        <w:jc w:val="both"/>
        <w:rPr>
          <w:rFonts w:ascii="宋体" w:eastAsia="宋体" w:hAnsi="宋体"/>
          <w:kern w:val="2"/>
          <w:sz w:val="21"/>
          <w:szCs w:val="21"/>
          <w:lang w:eastAsia="zh-CN"/>
        </w:rPr>
      </w:pPr>
      <w:r>
        <w:rPr>
          <w:rFonts w:ascii="黑体" w:eastAsia="黑体" w:hAnsi="宋体" w:cstheme="minorBidi" w:hint="eastAsia"/>
          <w:kern w:val="2"/>
          <w:szCs w:val="22"/>
          <w:lang w:eastAsia="zh-CN"/>
        </w:rPr>
        <w:t>备注：</w:t>
      </w:r>
      <w:r>
        <w:rPr>
          <w:rFonts w:ascii="宋体" w:eastAsia="宋体" w:hAnsi="宋体" w:cstheme="minorBidi" w:hint="eastAsia"/>
          <w:kern w:val="2"/>
          <w:sz w:val="21"/>
          <w:szCs w:val="21"/>
          <w:lang w:eastAsia="zh-CN"/>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widowControl w:val="0"/>
        <w:tabs>
          <w:tab w:val="left" w:pos="720"/>
        </w:tabs>
        <w:jc w:val="both"/>
        <w:rPr>
          <w:rFonts w:ascii="黑体" w:eastAsia="黑体" w:hAnsi="宋体"/>
          <w:kern w:val="2"/>
          <w:szCs w:val="22"/>
          <w:lang w:eastAsia="zh-CN"/>
        </w:rPr>
      </w:pP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（二）其他事项</w:t>
      </w:r>
    </w:p>
    <w:p>
      <w:pPr>
        <w:widowControl w:val="0"/>
        <w:tabs>
          <w:tab w:val="left" w:pos="720"/>
        </w:tabs>
        <w:jc w:val="both"/>
        <w:rPr>
          <w:rFonts w:ascii="黑体" w:eastAsia="黑体" w:hAnsi="宋体"/>
          <w:kern w:val="2"/>
          <w:szCs w:val="22"/>
          <w:lang w:eastAsia="zh-CN"/>
        </w:rPr>
      </w:pPr>
      <w:r>
        <w:rPr>
          <w:rFonts w:ascii="黑体" w:eastAsia="黑体" w:hAnsi="宋体" w:cstheme="minorBidi" w:hint="eastAsia"/>
          <w:kern w:val="2"/>
          <w:szCs w:val="22"/>
          <w:lang w:eastAsia="zh-CN"/>
        </w:rPr>
        <w:t>1、关于享受优惠政策的主体及价格扣除比例</w:t>
      </w:r>
    </w:p>
    <w:p>
      <w:pPr>
        <w:widowControl w:val="0"/>
        <w:ind w:firstLine="412" w:firstLineChars="196"/>
        <w:jc w:val="both"/>
        <w:rPr>
          <w:rFonts w:ascii="Arial" w:eastAsia="宋体" w:hAnsi="Arial"/>
          <w:b/>
          <w:color w:val="0000FF"/>
          <w:kern w:val="2"/>
          <w:sz w:val="21"/>
          <w:szCs w:val="21"/>
          <w:lang w:eastAsia="zh-CN"/>
        </w:rPr>
      </w:pPr>
      <w:r>
        <w:rPr>
          <w:rFonts w:ascii="宋体" w:eastAsia="宋体" w:hAnsi="宋体" w:cstheme="minorBidi" w:hint="eastAsia"/>
          <w:kern w:val="2"/>
          <w:sz w:val="21"/>
          <w:szCs w:val="22"/>
          <w:lang w:eastAsia="zh-CN"/>
        </w:rPr>
        <w:t>（1）投标人提供的货物（以招标文件用户需求书“货物</w:t>
      </w:r>
      <w:r>
        <w:rPr>
          <w:rFonts w:ascii="宋体" w:eastAsia="宋体" w:hAnsi="宋体" w:cstheme="minorBidi" w:hint="eastAsia"/>
          <w:kern w:val="2"/>
          <w:sz w:val="21"/>
          <w:szCs w:val="22"/>
          <w:lang w:eastAsia="zh-CN"/>
        </w:rPr>
        <w:t>需求</w:t>
      </w:r>
      <w:r>
        <w:rPr>
          <w:rFonts w:ascii="宋体" w:eastAsia="宋体" w:hAnsi="宋体" w:cstheme="minorBidi" w:hint="eastAsia"/>
          <w:kern w:val="2"/>
          <w:sz w:val="21"/>
          <w:szCs w:val="22"/>
          <w:lang w:eastAsia="zh-CN"/>
        </w:rPr>
        <w:t>明细”的“货物名称”一栏为准）全部均由优惠主体制造的，对其投标总价给予</w:t>
      </w:r>
      <w:r>
        <w:rPr>
          <w:rFonts w:ascii="宋体" w:eastAsia="宋体" w:hAnsi="宋体" w:hint="eastAsia"/>
          <w:b/>
          <w:kern w:val="2"/>
          <w:highlight w:val="yellow"/>
          <w:u w:val="single"/>
          <w:lang w:eastAsia="zh-CN"/>
        </w:rPr>
        <w:t>10%</w:t>
      </w:r>
      <w:r>
        <w:rPr>
          <w:rFonts w:ascii="宋体" w:eastAsia="宋体" w:hAnsi="宋体" w:cstheme="minorBidi" w:hint="eastAsia"/>
          <w:kern w:val="2"/>
          <w:sz w:val="21"/>
          <w:szCs w:val="22"/>
          <w:lang w:eastAsia="zh-CN"/>
        </w:rPr>
        <w:t>的扣除，用扣除后的价格参与评审。满足多项优惠政策的企业，不重复享受多项价格扣除政策。</w:t>
      </w:r>
      <w:r>
        <w:rPr>
          <w:rFonts w:ascii="Arial" w:eastAsia="宋体" w:hAnsi="Arial" w:hint="eastAsia"/>
          <w:b/>
          <w:kern w:val="2"/>
          <w:sz w:val="21"/>
          <w:szCs w:val="21"/>
          <w:lang w:eastAsia="zh-CN"/>
        </w:rPr>
        <w:t>政策调整后价格仅作为评审依据，不作为中标价格。</w:t>
      </w:r>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备注：</w:t>
      </w:r>
      <w:r>
        <w:rPr>
          <w:rFonts w:ascii="宋体" w:eastAsia="宋体" w:hAnsi="宋体" w:cs="宋体" w:hint="eastAsia"/>
          <w:b/>
          <w:bCs/>
          <w:kern w:val="2"/>
          <w:sz w:val="21"/>
          <w:szCs w:val="21"/>
          <w:lang w:eastAsia="zh-CN"/>
        </w:rPr>
        <w:t>（</w:t>
      </w:r>
      <w:r>
        <w:rPr>
          <w:rFonts w:ascii="宋体" w:eastAsia="宋体" w:hAnsi="宋体" w:cs="宋体" w:hint="eastAsia"/>
          <w:b/>
          <w:bCs/>
          <w:kern w:val="2"/>
          <w:sz w:val="21"/>
          <w:szCs w:val="21"/>
          <w:lang w:eastAsia="zh-CN"/>
        </w:rPr>
        <w:t>a</w:t>
      </w:r>
      <w:r>
        <w:rPr>
          <w:rFonts w:ascii="宋体" w:eastAsia="宋体" w:hAnsi="宋体" w:cs="宋体" w:hint="eastAsia"/>
          <w:b/>
          <w:bCs/>
          <w:kern w:val="2"/>
          <w:sz w:val="21"/>
          <w:szCs w:val="21"/>
          <w:lang w:eastAsia="zh-CN"/>
        </w:rPr>
        <w:t>）</w:t>
      </w:r>
      <w:r>
        <w:rPr>
          <w:rFonts w:ascii="宋体" w:eastAsia="宋体" w:hAnsi="宋体" w:cs="宋体" w:hint="eastAsia"/>
          <w:kern w:val="2"/>
          <w:sz w:val="21"/>
          <w:szCs w:val="21"/>
          <w:lang w:eastAsia="zh-CN"/>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ascii="宋体" w:eastAsia="宋体" w:hAnsi="宋体" w:cstheme="minorBidi" w:hint="eastAsia"/>
          <w:kern w:val="2"/>
          <w:sz w:val="21"/>
          <w:szCs w:val="22"/>
          <w:lang w:eastAsia="zh-CN"/>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ascii="宋体" w:eastAsia="宋体" w:hAnsi="宋体" w:cs="宋体" w:hint="eastAsia"/>
          <w:b/>
          <w:bCs/>
          <w:kern w:val="2"/>
          <w:sz w:val="21"/>
          <w:szCs w:val="21"/>
          <w:lang w:eastAsia="zh-CN"/>
        </w:rPr>
        <w:t>(b)</w:t>
      </w:r>
      <w:r>
        <w:rPr>
          <w:rFonts w:ascii="宋体" w:eastAsia="宋体" w:hAnsi="宋体" w:cs="宋体" w:hint="eastAsia"/>
          <w:kern w:val="2"/>
          <w:sz w:val="21"/>
          <w:szCs w:val="21"/>
          <w:lang w:eastAsia="zh-CN"/>
        </w:rPr>
        <w:t>优惠主体制造是指货物由优惠主体生产且使用该优惠主体商号或者注册商标；投标人提供的货物既有优惠主体制造货物，又有非优惠主体制造货物的，不给予价格扣除。</w:t>
      </w:r>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（2）根据《工业和信息化部、国家统计局、国家发展和改革委员会、财政部关于印发中小企业划型标准规定的通知》（工信部联企业〔2011〕300 号）</w:t>
      </w:r>
      <w:r>
        <w:rPr>
          <w:rFonts w:ascii="宋体" w:eastAsia="宋体" w:hAnsi="宋体" w:cs="宋体" w:hint="eastAsia"/>
          <w:kern w:val="2"/>
          <w:sz w:val="21"/>
          <w:szCs w:val="21"/>
          <w:lang w:eastAsia="zh-CN"/>
        </w:rPr>
        <w:t>、</w:t>
      </w:r>
      <w:r>
        <w:rPr>
          <w:rFonts w:ascii="宋体" w:eastAsia="宋体" w:hAnsi="宋体" w:cs="宋体" w:hint="eastAsia"/>
          <w:kern w:val="2"/>
          <w:sz w:val="21"/>
          <w:szCs w:val="21"/>
          <w:lang w:eastAsia="zh-CN"/>
        </w:rPr>
        <w:t>《统计上大中小微型企业划分办法（2017）》（国统字〔2017〕213 号）</w:t>
      </w:r>
      <w:r>
        <w:rPr>
          <w:rFonts w:ascii="宋体" w:eastAsia="宋体" w:hAnsi="宋体" w:cs="宋体" w:hint="eastAsia"/>
          <w:kern w:val="2"/>
          <w:sz w:val="21"/>
          <w:szCs w:val="21"/>
          <w:lang w:eastAsia="zh-CN"/>
        </w:rPr>
        <w:t>、</w:t>
      </w:r>
      <w:r>
        <w:rPr>
          <w:rFonts w:ascii="宋体" w:eastAsia="宋体" w:hAnsi="宋体" w:cs="宋体" w:hint="eastAsia"/>
          <w:sz w:val="21"/>
          <w:szCs w:val="21"/>
          <w:lang w:eastAsia="zh-CN"/>
        </w:rPr>
        <w:t>《金融业企业划型标准规定》</w:t>
      </w:r>
      <w:r>
        <w:rPr>
          <w:rFonts w:ascii="宋体" w:eastAsia="宋体" w:hAnsi="宋体" w:cs="宋体" w:hint="eastAsia"/>
          <w:sz w:val="21"/>
          <w:szCs w:val="21"/>
          <w:lang w:eastAsia="zh-CN"/>
        </w:rPr>
        <w:t>（</w:t>
      </w:r>
      <w:r>
        <w:rPr>
          <w:rFonts w:ascii="宋体" w:eastAsia="宋体" w:hAnsi="宋体" w:cs="宋体" w:hint="eastAsia"/>
          <w:sz w:val="21"/>
          <w:szCs w:val="21"/>
          <w:lang w:eastAsia="zh-CN"/>
        </w:rPr>
        <w:t>银发〔2015〕309号</w:t>
      </w:r>
      <w:r>
        <w:rPr>
          <w:rFonts w:ascii="宋体" w:eastAsia="宋体" w:hAnsi="宋体" w:cs="宋体" w:hint="eastAsia"/>
          <w:sz w:val="21"/>
          <w:szCs w:val="21"/>
          <w:lang w:eastAsia="zh-CN"/>
        </w:rPr>
        <w:t>）</w:t>
      </w:r>
      <w:r>
        <w:rPr>
          <w:rFonts w:ascii="宋体" w:eastAsia="宋体" w:hAnsi="宋体" w:cs="宋体" w:hint="eastAsia"/>
          <w:kern w:val="2"/>
          <w:sz w:val="21"/>
          <w:szCs w:val="21"/>
          <w:lang w:eastAsia="zh-CN"/>
        </w:rPr>
        <w:t>或国务院批准的其他中小企业划分标准文件，</w:t>
      </w:r>
      <w:bookmarkStart w:id="14" w:name="_Hlk71970739"/>
      <w:r>
        <w:rPr>
          <w:rFonts w:ascii="宋体" w:eastAsia="宋体" w:hAnsi="宋体" w:cs="宋体" w:hint="eastAsia"/>
          <w:kern w:val="2"/>
          <w:sz w:val="21"/>
          <w:szCs w:val="21"/>
          <w:lang w:eastAsia="zh-CN"/>
        </w:rPr>
        <w:t>本项目</w:t>
      </w:r>
      <w:bookmarkStart w:id="15" w:name="_Hlk71924718"/>
      <w:r>
        <w:rPr>
          <w:rFonts w:ascii="宋体" w:eastAsia="宋体" w:hAnsi="宋体" w:cs="宋体" w:hint="eastAsia"/>
          <w:kern w:val="2"/>
          <w:sz w:val="21"/>
          <w:szCs w:val="21"/>
          <w:lang w:eastAsia="zh-CN"/>
        </w:rPr>
        <w:t>采购标的（货物）对应的中小企业划分标准所属行业</w:t>
      </w:r>
      <w:bookmarkEnd w:id="15"/>
      <w:r>
        <w:rPr>
          <w:rFonts w:ascii="宋体" w:eastAsia="宋体" w:hAnsi="宋体" w:cs="宋体" w:hint="eastAsia"/>
          <w:kern w:val="2"/>
          <w:sz w:val="21"/>
          <w:szCs w:val="21"/>
          <w:lang w:eastAsia="zh-CN"/>
        </w:rPr>
        <w:t>为</w:t>
      </w:r>
      <w:r>
        <w:rPr>
          <w:rFonts w:ascii="宋体" w:eastAsia="宋体" w:hAnsi="宋体" w:cs="宋体" w:hint="eastAsia"/>
          <w:b/>
          <w:bCs/>
          <w:color w:val="FF0000"/>
          <w:kern w:val="2"/>
          <w:highlight w:val="yellow"/>
          <w:u w:val="single"/>
          <w:lang w:eastAsia="zh-CN"/>
        </w:rPr>
        <w:t>工业。</w:t>
      </w:r>
      <w:bookmarkEnd w:id="14"/>
    </w:p>
    <w:p>
      <w:pPr>
        <w:widowControl w:val="0"/>
        <w:ind w:firstLine="420" w:firstLineChars="200"/>
        <w:jc w:val="both"/>
        <w:rPr>
          <w:rFonts w:ascii="宋体" w:eastAsia="宋体" w:hAnsi="宋体" w:cs="宋体" w:hint="eastAsia"/>
          <w:kern w:val="2"/>
          <w:sz w:val="21"/>
          <w:szCs w:val="21"/>
          <w:lang w:eastAsia="zh-CN"/>
        </w:rPr>
      </w:pPr>
      <w:r>
        <w:rPr>
          <w:rFonts w:ascii="宋体" w:eastAsia="宋体" w:hAnsi="宋体" w:cs="宋体" w:hint="eastAsia"/>
          <w:kern w:val="2"/>
          <w:sz w:val="21"/>
          <w:szCs w:val="21"/>
          <w:lang w:eastAsia="zh-CN"/>
        </w:rPr>
        <w:t>（3）小型企业、微型企业、残疾人福利性单位作为优惠主体的认定资料为《中小企业声明函》、《残疾人福利性单位声明函》；监狱企业作为优惠主体的认定资料为省级以上监狱管理局、戒毒管理局出具的监狱企业证明文件。</w:t>
      </w:r>
    </w:p>
    <w:p>
      <w:pPr>
        <w:widowControl w:val="0"/>
        <w:ind w:firstLine="420" w:firstLineChars="200"/>
        <w:jc w:val="both"/>
        <w:rPr>
          <w:rFonts w:ascii="宋体" w:eastAsia="宋体" w:hAnsi="宋体" w:cs="宋体" w:hint="eastAsia"/>
          <w:b/>
          <w:bCs/>
          <w:kern w:val="2"/>
          <w:sz w:val="21"/>
          <w:lang w:eastAsia="zh-CN"/>
        </w:rPr>
      </w:pPr>
      <w:r>
        <w:rPr>
          <w:rFonts w:ascii="宋体" w:eastAsia="宋体" w:hAnsi="宋体" w:cs="宋体" w:hint="eastAsia"/>
          <w:kern w:val="2"/>
          <w:sz w:val="21"/>
          <w:szCs w:val="21"/>
          <w:lang w:eastAsia="zh-CN"/>
        </w:rPr>
        <w:t>（4）享受价格扣除获得政府采购合同的，小微企业不得将合同分包给大中型企业。</w:t>
      </w:r>
    </w:p>
    <w:p>
      <w:pPr>
        <w:widowControl w:val="0"/>
        <w:spacing w:line="360" w:lineRule="auto"/>
        <w:jc w:val="both"/>
        <w:rPr>
          <w:rFonts w:ascii="宋体" w:eastAsia="宋体" w:hAnsi="宋体" w:cs="宋体"/>
          <w:b/>
          <w:bCs/>
          <w:kern w:val="2"/>
          <w:sz w:val="21"/>
          <w:lang w:eastAsia="zh-CN"/>
        </w:rPr>
      </w:pPr>
      <w:r>
        <w:rPr>
          <w:rFonts w:ascii="宋体" w:eastAsia="宋体" w:hAnsi="宋体" w:cs="宋体" w:hint="eastAsia"/>
          <w:b/>
          <w:bCs/>
          <w:kern w:val="2"/>
          <w:sz w:val="21"/>
          <w:lang w:eastAsia="zh-CN"/>
        </w:rPr>
        <w:t>2.关于政府采购订单融资政策</w:t>
      </w:r>
    </w:p>
    <w:p>
      <w:pPr>
        <w:widowControl w:val="0"/>
        <w:ind w:firstLine="420" w:firstLineChars="200"/>
        <w:jc w:val="both"/>
        <w:rPr>
          <w:rFonts w:ascii="宋体" w:eastAsia="宋体" w:hAnsi="宋体"/>
          <w:b/>
          <w:kern w:val="2"/>
          <w:sz w:val="21"/>
          <w:lang w:eastAsia="zh-CN"/>
        </w:rPr>
      </w:pPr>
      <w:r>
        <w:rPr>
          <w:rFonts w:eastAsia="宋体" w:hint="eastAsia"/>
          <w:color w:val="FF0000"/>
          <w:kern w:val="2"/>
          <w:sz w:val="21"/>
          <w:lang w:eastAsia="zh-CN"/>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widowControl w:val="0"/>
        <w:tabs>
          <w:tab w:val="left" w:pos="720"/>
        </w:tabs>
        <w:jc w:val="both"/>
        <w:rPr>
          <w:rFonts w:ascii="黑体" w:eastAsia="黑体" w:hAnsi="宋体"/>
          <w:kern w:val="2"/>
          <w:szCs w:val="22"/>
          <w:lang w:eastAsia="zh-CN"/>
        </w:rPr>
      </w:pPr>
    </w:p>
    <w:p>
      <w:pPr>
        <w:widowControl w:val="0"/>
        <w:tabs>
          <w:tab w:val="left" w:pos="720"/>
        </w:tabs>
        <w:jc w:val="both"/>
        <w:rPr>
          <w:rFonts w:ascii="宋体" w:eastAsia="宋体" w:hAnsi="宋体" w:hint="eastAsia"/>
          <w:b/>
          <w:bCs/>
          <w:color w:val="FF0000"/>
          <w:kern w:val="2"/>
          <w:sz w:val="21"/>
          <w:szCs w:val="22"/>
          <w:lang w:eastAsia="zh-CN"/>
        </w:rPr>
      </w:pPr>
      <w:r>
        <w:rPr>
          <w:rFonts w:ascii="宋体" w:eastAsia="宋体" w:hAnsi="宋体" w:cstheme="minorBidi" w:hint="eastAsia"/>
          <w:b/>
          <w:bCs/>
          <w:color w:val="FF0000"/>
          <w:kern w:val="2"/>
          <w:sz w:val="21"/>
          <w:szCs w:val="22"/>
          <w:lang w:eastAsia="zh-CN"/>
        </w:rPr>
        <w:t>3、</w:t>
      </w:r>
      <w:r>
        <w:rPr>
          <w:rFonts w:ascii="宋体" w:eastAsia="宋体" w:hAnsi="宋体" w:cstheme="minorBidi"/>
          <w:b/>
          <w:bCs/>
          <w:color w:val="FF0000"/>
          <w:kern w:val="2"/>
          <w:sz w:val="21"/>
          <w:szCs w:val="22"/>
          <w:lang w:eastAsia="zh-CN"/>
        </w:rPr>
        <w:t>本项目为代理服务项目，将向中标供应商收取代理服务费</w:t>
      </w:r>
      <w:r>
        <w:rPr>
          <w:rFonts w:ascii="宋体" w:eastAsia="宋体" w:hAnsi="宋体" w:cstheme="minorBidi" w:hint="eastAsia"/>
          <w:b/>
          <w:bCs/>
          <w:color w:val="FF0000"/>
          <w:kern w:val="2"/>
          <w:sz w:val="21"/>
          <w:szCs w:val="22"/>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中标供应商在领取《中标通知书》之前须向深圳公共资源交易中心（深圳交易集团有限公司</w:t>
      </w:r>
      <w:r>
        <w:rPr>
          <w:rFonts w:ascii="宋体" w:eastAsia="宋体" w:hAnsi="宋体" w:cstheme="minorBidi" w:hint="eastAsia"/>
          <w:color w:val="FF0000"/>
          <w:kern w:val="2"/>
          <w:sz w:val="21"/>
          <w:szCs w:val="21"/>
          <w:lang w:eastAsia="zh-CN"/>
        </w:rPr>
        <w:t>宝安</w:t>
      </w:r>
      <w:r>
        <w:rPr>
          <w:rFonts w:ascii="宋体" w:eastAsia="宋体" w:hAnsi="宋体" w:cstheme="minorBidi" w:hint="eastAsia"/>
          <w:color w:val="FF0000"/>
          <w:kern w:val="2"/>
          <w:sz w:val="21"/>
          <w:szCs w:val="21"/>
          <w:lang w:eastAsia="zh-CN"/>
        </w:rPr>
        <w:t>分公司）交纳代理服务费。若因中标供应商交纳代理服务费所产生的时间影响到合同签订的，由中标供应商自行承担责任。代理服务费标准参照</w:t>
      </w:r>
      <w:r>
        <w:rPr>
          <w:rFonts w:ascii="宋体" w:eastAsia="宋体" w:hAnsi="宋体" w:cstheme="minorBidi" w:hint="eastAsia"/>
          <w:color w:val="FF0000"/>
          <w:kern w:val="2"/>
          <w:sz w:val="21"/>
          <w:szCs w:val="21"/>
          <w:lang w:eastAsia="zh-CN"/>
        </w:rPr>
        <w:t>下列</w:t>
      </w:r>
      <w:r>
        <w:rPr>
          <w:rFonts w:ascii="宋体" w:eastAsia="宋体" w:hAnsi="宋体" w:cstheme="minorBidi" w:hint="eastAsia"/>
          <w:color w:val="FF0000"/>
          <w:kern w:val="2"/>
          <w:sz w:val="21"/>
          <w:szCs w:val="21"/>
          <w:lang w:eastAsia="zh-CN"/>
        </w:rPr>
        <w:t>标准收取。本项目类型为</w:t>
      </w:r>
      <w:r>
        <w:rPr>
          <w:rFonts w:ascii="宋体" w:eastAsia="宋体" w:hAnsi="宋体" w:cstheme="minorBidi" w:hint="eastAsia"/>
          <w:b/>
          <w:bCs/>
          <w:color w:val="FF0000"/>
          <w:kern w:val="2"/>
          <w:sz w:val="21"/>
          <w:szCs w:val="21"/>
          <w:u w:val="single"/>
          <w:lang w:eastAsia="zh-CN"/>
        </w:rPr>
        <w:t>货物采购</w:t>
      </w:r>
      <w:r>
        <w:rPr>
          <w:rFonts w:ascii="宋体" w:eastAsia="宋体" w:hAnsi="宋体" w:cstheme="minorBidi" w:hint="eastAsia"/>
          <w:color w:val="FF0000"/>
          <w:kern w:val="2"/>
          <w:sz w:val="21"/>
          <w:szCs w:val="21"/>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（一）代理服务费以《中标通知书》确定的成交金额作为计算基数，按差额定率累进法计算。</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（二）中标金额的各部分费率如下表：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405"/>
        <w:gridCol w:w="1961"/>
        <w:gridCol w:w="1961"/>
        <w:gridCol w:w="1961"/>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1"/>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成交金额</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货物采购</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服务采购</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工程采购</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100万元以下</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100万元（含）-500万元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1.1%</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0.7%</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500万元（含）-1000万元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0.45%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0.55%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1000万元（含）-5000万元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0.35%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5000万元（含）-1亿元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0.1%</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0.2%</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1亿元（含）-5亿元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5亿元（含）-10亿元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0.035%</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10亿元（含）-50亿元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0.008%</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50亿元（含）-100亿元</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0.006%</w:t>
            </w:r>
          </w:p>
        </w:tc>
      </w:tr>
      <w:tr>
        <w:tblPrEx>
          <w:tblW w:w="5000" w:type="pct"/>
          <w:jc w:val="center"/>
          <w:tblLayout w:type="fixed"/>
          <w:tblCellMar>
            <w:top w:w="0" w:type="dxa"/>
            <w:left w:w="108" w:type="dxa"/>
            <w:bottom w:w="0" w:type="dxa"/>
            <w:right w:w="108" w:type="dxa"/>
          </w:tblCellMar>
        </w:tblPrEx>
        <w:trPr>
          <w:jc w:val="center"/>
        </w:trPr>
        <w:tc>
          <w:tcPr>
            <w:tcW w:w="3125"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100亿元（含）以上</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c>
          <w:tcPr>
            <w:tcW w:w="1799" w:type="dxa"/>
            <w:vAlign w:val="center"/>
          </w:tcPr>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0.004%</w:t>
            </w:r>
          </w:p>
        </w:tc>
      </w:tr>
    </w:tbl>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 xml:space="preserve">备注：1.每宗交易代理服务费不低于 </w:t>
      </w:r>
      <w:r>
        <w:rPr>
          <w:rFonts w:ascii="宋体" w:eastAsia="宋体" w:hAnsi="宋体" w:cstheme="minorBidi" w:hint="eastAsia"/>
          <w:color w:val="FF0000"/>
          <w:kern w:val="2"/>
          <w:sz w:val="21"/>
          <w:szCs w:val="21"/>
          <w:lang w:eastAsia="zh-CN"/>
        </w:rPr>
        <w:t>5</w:t>
      </w:r>
      <w:r>
        <w:rPr>
          <w:rFonts w:ascii="宋体" w:eastAsia="宋体" w:hAnsi="宋体" w:cstheme="minorBidi" w:hint="eastAsia"/>
          <w:color w:val="FF0000"/>
          <w:kern w:val="2"/>
          <w:sz w:val="21"/>
          <w:szCs w:val="21"/>
          <w:lang w:eastAsia="zh-CN"/>
        </w:rPr>
        <w:t>000 元；</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2.对于报总价的采购类项目，成交价为成交金额；对于报单价或折扣或费率的采购类项目，成交价为预算上限金额或经委托方与代理方确定的支付上限金额</w:t>
      </w:r>
      <w:r>
        <w:rPr>
          <w:rFonts w:ascii="宋体" w:eastAsia="宋体" w:hAnsi="宋体" w:cstheme="minorBidi" w:hint="eastAsia"/>
          <w:color w:val="FF0000"/>
          <w:kern w:val="2"/>
          <w:sz w:val="21"/>
          <w:szCs w:val="21"/>
          <w:lang w:eastAsia="zh-CN"/>
        </w:rPr>
        <w:t>。</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如某货物采购项目，成交金额为600万元，总共交纳的代理服务费的具体计算过程如下：</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ascii="宋体" w:eastAsia="宋体" w:hAnsi="宋体" w:hint="eastAsia"/>
          <w:color w:val="FF0000"/>
          <w:kern w:val="2"/>
          <w:sz w:val="21"/>
          <w:szCs w:val="21"/>
          <w:lang w:eastAsia="zh-CN"/>
        </w:rPr>
      </w:pPr>
      <w:r>
        <w:rPr>
          <w:rFonts w:ascii="宋体" w:eastAsia="宋体" w:hAnsi="宋体" w:cstheme="minorBidi" w:hint="eastAsia"/>
          <w:color w:val="FF0000"/>
          <w:kern w:val="2"/>
          <w:sz w:val="21"/>
          <w:szCs w:val="21"/>
          <w:lang w:eastAsia="zh-CN"/>
        </w:rPr>
        <w:t>（三）中标供应商成交后，必须按规定采用银行对公转账方式向深圳交易集团有限公司直接交纳代理服务费，交纳信息及要求按以下规定执行：</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经营性账户信息如下：</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账户名：深圳交易集团有限公司</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账号：632765963</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开户行：中国民生银行深圳五洲支行</w:t>
      </w:r>
    </w:p>
    <w:p>
      <w:pPr>
        <w:widowControl/>
        <w:ind w:firstLine="420"/>
        <w:jc w:val="left"/>
        <w:rPr>
          <w:rFonts w:ascii="宋体" w:eastAsia="宋体" w:hAnsi="宋体"/>
          <w:color w:val="FF0000"/>
          <w:kern w:val="2"/>
          <w:sz w:val="21"/>
          <w:szCs w:val="21"/>
          <w:lang w:eastAsia="zh-CN"/>
        </w:rPr>
      </w:pPr>
      <w:r>
        <w:rPr>
          <w:rFonts w:ascii="宋体" w:eastAsia="宋体" w:hAnsi="宋体" w:cstheme="minorBidi" w:hint="eastAsia"/>
          <w:color w:val="FF0000"/>
          <w:kern w:val="2"/>
          <w:sz w:val="21"/>
          <w:szCs w:val="21"/>
          <w:lang w:eastAsia="zh-CN"/>
        </w:rPr>
        <w:t>转账备注：项目编号+项目名称</w:t>
      </w:r>
    </w:p>
    <w:p>
      <w:pPr>
        <w:widowControl/>
        <w:ind w:firstLine="420"/>
        <w:jc w:val="left"/>
        <w:rPr>
          <w:rFonts w:ascii="宋体" w:eastAsia="黑体" w:hAnsi="宋体"/>
          <w:bCs/>
          <w:kern w:val="44"/>
          <w:sz w:val="21"/>
          <w:szCs w:val="21"/>
          <w:lang w:eastAsia="zh-CN"/>
        </w:rPr>
      </w:pPr>
    </w:p>
    <w:p>
      <w:pPr>
        <w:widowControl/>
        <w:jc w:val="left"/>
        <w:rPr>
          <w:rFonts w:ascii="宋体" w:eastAsia="黑体" w:hAnsi="宋体"/>
          <w:bCs/>
          <w:kern w:val="44"/>
          <w:sz w:val="28"/>
          <w:szCs w:val="44"/>
          <w:lang w:eastAsia="zh-CN"/>
        </w:rPr>
      </w:pPr>
      <w:r>
        <w:rPr>
          <w:rFonts w:ascii="宋体" w:eastAsia="黑体" w:hAnsi="宋体"/>
          <w:bCs/>
          <w:kern w:val="44"/>
          <w:sz w:val="28"/>
          <w:szCs w:val="44"/>
          <w:lang w:eastAsia="zh-CN"/>
        </w:rPr>
        <w:br w:type="page"/>
      </w: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第三章 用户需求书</w:t>
      </w:r>
    </w:p>
    <w:p>
      <w:pPr>
        <w:keepNext/>
        <w:keepLines/>
        <w:widowControl w:val="0"/>
        <w:tabs>
          <w:tab w:val="left" w:pos="1680"/>
        </w:tabs>
        <w:spacing w:before="260" w:after="78" w:afterLines="25"/>
        <w:jc w:val="center"/>
        <w:outlineLvl w:val="2"/>
        <w:rPr>
          <w:rFonts w:ascii="Arial" w:eastAsia="宋体" w:hAnsi="Arial"/>
          <w:b/>
          <w:kern w:val="2"/>
          <w:sz w:val="32"/>
          <w:szCs w:val="32"/>
          <w:lang w:eastAsia="zh-CN"/>
        </w:rPr>
      </w:pPr>
      <w:r>
        <w:rPr>
          <w:rFonts w:ascii="Arial" w:eastAsia="宋体" w:hAnsi="Arial" w:hint="eastAsia"/>
          <w:b/>
          <w:kern w:val="2"/>
          <w:sz w:val="32"/>
          <w:szCs w:val="32"/>
          <w:lang w:eastAsia="zh-CN"/>
        </w:rPr>
        <w:t>一、项目基本信息</w:t>
      </w:r>
    </w:p>
    <w:tbl>
      <w:tblPr>
        <w:tblStyle w:val="TableNormal"/>
        <w:tblW w:w="5000" w:type="pct"/>
        <w:jc w:val="center"/>
        <w:tblLayout w:type="fixed"/>
        <w:tblCellMar>
          <w:top w:w="15" w:type="dxa"/>
          <w:left w:w="15" w:type="dxa"/>
          <w:bottom w:w="15" w:type="dxa"/>
          <w:right w:w="15" w:type="dxa"/>
        </w:tblCellMar>
      </w:tblPr>
      <w:tblGrid>
        <w:gridCol w:w="723"/>
        <w:gridCol w:w="2745"/>
        <w:gridCol w:w="2962"/>
        <w:gridCol w:w="2672"/>
      </w:tblGrid>
      <w:tr>
        <w:tblPrEx>
          <w:tblW w:w="5000" w:type="pct"/>
          <w:jc w:val="center"/>
          <w:tblLayout w:type="fixed"/>
          <w:tblCellMar>
            <w:top w:w="15" w:type="dxa"/>
            <w:left w:w="15" w:type="dxa"/>
            <w:bottom w:w="15" w:type="dxa"/>
            <w:right w:w="15" w:type="dxa"/>
          </w:tblCellMar>
        </w:tblPrEx>
        <w:trPr>
          <w:trHeight w:val="552"/>
          <w:jc w:val="center"/>
        </w:trPr>
        <w:tc>
          <w:tcPr>
            <w:tcW w:w="710" w:type="dxa"/>
            <w:tcBorders>
              <w:top w:val="single" w:sz="4" w:space="0" w:color="000000"/>
              <w:left w:val="single" w:sz="4" w:space="0" w:color="000000"/>
              <w:bottom w:val="single" w:sz="4" w:space="0" w:color="000000"/>
              <w:right w:val="single" w:sz="4" w:space="0" w:color="auto"/>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2693" w:type="dxa"/>
            <w:tcBorders>
              <w:top w:val="single" w:sz="4" w:space="0" w:color="000000"/>
              <w:left w:val="single" w:sz="4" w:space="0" w:color="auto"/>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采购计划编号</w:t>
            </w:r>
          </w:p>
        </w:tc>
        <w:tc>
          <w:tcPr>
            <w:tcW w:w="2906"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采购项目名称</w:t>
            </w:r>
          </w:p>
        </w:tc>
        <w:tc>
          <w:tcPr>
            <w:tcW w:w="2622" w:type="dxa"/>
            <w:tcBorders>
              <w:top w:val="single" w:sz="4" w:space="0" w:color="000000"/>
              <w:left w:val="single" w:sz="4" w:space="0" w:color="000000"/>
              <w:bottom w:val="single" w:sz="4" w:space="0" w:color="000000"/>
              <w:right w:val="single" w:sz="4" w:space="0" w:color="000000"/>
            </w:tcBorders>
            <w:shd w:val="clear" w:color="auto" w:fill="C6D9F0"/>
            <w:vAlign w:val="center"/>
          </w:tcPr>
          <w:p>
            <w:pPr>
              <w:widowControl w:val="0"/>
              <w:jc w:val="center"/>
              <w:rPr>
                <w:rFonts w:ascii="Calibri" w:eastAsia="宋体" w:hAnsi="Calibri"/>
                <w:kern w:val="2"/>
                <w:sz w:val="21"/>
                <w:szCs w:val="22"/>
                <w:lang w:eastAsia="zh-CN"/>
              </w:rPr>
            </w:pPr>
            <w:r>
              <w:rPr>
                <w:rFonts w:ascii="宋体" w:eastAsia="宋体" w:hAnsi="宋体" w:cstheme="minorBidi" w:hint="eastAsia"/>
                <w:kern w:val="2"/>
                <w:lang w:eastAsia="zh-CN"/>
              </w:rPr>
              <w:t>财政预算限额（元）</w:t>
            </w:r>
          </w:p>
        </w:tc>
      </w:tr>
      <w:tr>
        <w:tblPrEx>
          <w:tblW w:w="5000" w:type="pct"/>
          <w:jc w:val="center"/>
          <w:tblLayout w:type="fixed"/>
          <w:tblCellMar>
            <w:top w:w="15" w:type="dxa"/>
            <w:left w:w="15" w:type="dxa"/>
            <w:bottom w:w="15" w:type="dxa"/>
            <w:right w:w="15" w:type="dxa"/>
          </w:tblCellMar>
        </w:tblPrEx>
        <w:trPr>
          <w:trHeight w:val="286"/>
          <w:jc w:val="center"/>
        </w:trPr>
        <w:tc>
          <w:tcPr>
            <w:tcW w:w="710" w:type="dxa"/>
            <w:tcBorders>
              <w:top w:val="single" w:sz="4" w:space="0" w:color="000000"/>
              <w:left w:val="single" w:sz="4" w:space="0" w:color="000000"/>
              <w:bottom w:val="single" w:sz="4" w:space="0" w:color="000000"/>
              <w:right w:val="single" w:sz="4" w:space="0" w:color="auto"/>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1</w:t>
            </w:r>
          </w:p>
        </w:tc>
        <w:tc>
          <w:tcPr>
            <w:tcW w:w="2693" w:type="dxa"/>
            <w:tcBorders>
              <w:top w:val="single" w:sz="4" w:space="0" w:color="000000"/>
              <w:left w:val="single" w:sz="4" w:space="0" w:color="auto"/>
              <w:bottom w:val="single" w:sz="4" w:space="0" w:color="000000"/>
              <w:right w:val="single" w:sz="4" w:space="0" w:color="000000"/>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BAJYJ2024050705862A</w:t>
            </w:r>
          </w:p>
        </w:tc>
        <w:tc>
          <w:tcPr>
            <w:tcW w:w="2906" w:type="dxa"/>
            <w:tcBorders>
              <w:top w:val="single" w:sz="4" w:space="0" w:color="000000"/>
              <w:left w:val="single" w:sz="4" w:space="0" w:color="000000"/>
              <w:right w:val="single" w:sz="4" w:space="0" w:color="000000"/>
            </w:tcBorders>
            <w:vAlign w:val="center"/>
          </w:tcPr>
          <w:p>
            <w:pPr>
              <w:widowControl w:val="0"/>
              <w:jc w:val="center"/>
              <w:rPr>
                <w:rFonts w:ascii="Calibri" w:eastAsia="宋体" w:hAnsi="Calibri"/>
                <w:kern w:val="2"/>
                <w:sz w:val="21"/>
                <w:szCs w:val="22"/>
                <w:lang w:eastAsia="zh-CN"/>
              </w:rPr>
            </w:pPr>
            <w:r>
              <w:rPr>
                <w:rFonts w:ascii="宋体" w:eastAsia="宋体" w:hAnsi="宋体" w:cstheme="minorBidi" w:hint="eastAsia"/>
                <w:kern w:val="2"/>
                <w:lang w:eastAsia="zh-CN"/>
              </w:rPr>
              <w:t>和一学校化学实验室、准备室和仪器室设备采购项目</w:t>
            </w:r>
          </w:p>
        </w:tc>
        <w:tc>
          <w:tcPr>
            <w:tcW w:w="2622" w:type="dxa"/>
            <w:tcBorders>
              <w:top w:val="single" w:sz="4" w:space="0" w:color="000000"/>
              <w:left w:val="single" w:sz="4" w:space="0" w:color="000000"/>
              <w:bottom w:val="single" w:sz="4" w:space="0" w:color="000000"/>
              <w:right w:val="single" w:sz="4" w:space="0" w:color="000000"/>
            </w:tcBorders>
            <w:vAlign w:val="center"/>
          </w:tcPr>
          <w:p>
            <w:pPr>
              <w:widowControl w:val="0"/>
              <w:jc w:val="center"/>
              <w:rPr>
                <w:rFonts w:ascii="宋体" w:eastAsia="宋体" w:hAnsi="宋体"/>
                <w:kern w:val="2"/>
                <w:lang w:eastAsia="zh-CN"/>
              </w:rPr>
            </w:pPr>
            <w:r>
              <w:rPr>
                <w:rFonts w:ascii="宋体" w:eastAsia="宋体" w:hAnsi="宋体" w:cstheme="minorBidi" w:hint="eastAsia"/>
                <w:kern w:val="2"/>
                <w:lang w:eastAsia="zh-CN"/>
              </w:rPr>
              <w:t>560000.00</w:t>
            </w:r>
          </w:p>
        </w:tc>
      </w:tr>
      <w:tr>
        <w:tblPrEx>
          <w:tblW w:w="5000" w:type="pct"/>
          <w:jc w:val="center"/>
          <w:tblLayout w:type="fixed"/>
          <w:tblCellMar>
            <w:top w:w="15" w:type="dxa"/>
            <w:left w:w="15" w:type="dxa"/>
            <w:bottom w:w="15" w:type="dxa"/>
            <w:right w:w="15" w:type="dxa"/>
          </w:tblCellMar>
        </w:tblPrEx>
        <w:trPr>
          <w:trHeight w:val="172"/>
          <w:jc w:val="center"/>
        </w:trPr>
        <w:tc>
          <w:tcPr>
            <w:tcW w:w="6309" w:type="dxa"/>
            <w:gridSpan w:val="3"/>
            <w:tcBorders>
              <w:top w:val="single" w:sz="4" w:space="0" w:color="000000"/>
              <w:left w:val="single" w:sz="4" w:space="0" w:color="000000"/>
              <w:bottom w:val="single" w:sz="4" w:space="0" w:color="auto"/>
              <w:right w:val="single" w:sz="4" w:space="0" w:color="000000"/>
            </w:tcBorders>
            <w:vAlign w:val="center"/>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kern w:val="2"/>
                <w:sz w:val="21"/>
                <w:szCs w:val="22"/>
                <w:lang w:eastAsia="zh-CN"/>
              </w:rPr>
              <w:t>合计（元）</w:t>
            </w:r>
          </w:p>
        </w:tc>
        <w:tc>
          <w:tcPr>
            <w:tcW w:w="2622" w:type="dxa"/>
            <w:tcBorders>
              <w:top w:val="single" w:sz="4" w:space="0" w:color="000000"/>
              <w:left w:val="single" w:sz="4" w:space="0" w:color="000000"/>
              <w:bottom w:val="single" w:sz="4" w:space="0" w:color="auto"/>
              <w:right w:val="single" w:sz="4" w:space="0" w:color="000000"/>
            </w:tcBorders>
            <w:vAlign w:val="center"/>
          </w:tcPr>
          <w:p>
            <w:pPr>
              <w:widowControl w:val="0"/>
              <w:jc w:val="center"/>
              <w:rPr>
                <w:rFonts w:ascii="宋体" w:eastAsia="宋体" w:hAnsi="宋体" w:hint="eastAsia"/>
                <w:kern w:val="2"/>
                <w:lang w:eastAsia="zh-CN"/>
              </w:rPr>
            </w:pPr>
            <w:r>
              <w:rPr>
                <w:rFonts w:ascii="宋体" w:eastAsia="宋体" w:hAnsi="宋体" w:cstheme="minorBidi" w:hint="eastAsia"/>
                <w:kern w:val="2"/>
                <w:lang w:eastAsia="zh-CN"/>
              </w:rPr>
              <w:t>560000.00</w:t>
            </w:r>
          </w:p>
        </w:tc>
      </w:tr>
    </w:tbl>
    <w:p>
      <w:pPr>
        <w:widowControl w:val="0"/>
        <w:jc w:val="both"/>
        <w:rPr>
          <w:rFonts w:ascii="Calibri" w:eastAsia="宋体" w:hAnsi="Calibri"/>
          <w:kern w:val="2"/>
          <w:lang w:eastAsia="zh-CN"/>
        </w:rPr>
      </w:pPr>
      <w:r>
        <w:rPr>
          <w:rFonts w:ascii="Arial" w:eastAsia="宋体" w:hAnsi="Arial" w:hint="eastAsia"/>
          <w:b/>
          <w:color w:val="FF0000"/>
          <w:kern w:val="2"/>
          <w:lang w:eastAsia="zh-CN"/>
        </w:rPr>
        <w:t>本项目控制金额为人民币</w:t>
      </w:r>
      <w:r>
        <w:rPr>
          <w:rFonts w:ascii="Arial" w:eastAsia="宋体" w:hAnsi="Arial" w:hint="eastAsia"/>
          <w:b/>
          <w:color w:val="0000FF"/>
          <w:kern w:val="2"/>
          <w:lang w:eastAsia="zh-CN"/>
        </w:rPr>
        <w:t>560000.00元</w:t>
      </w:r>
      <w:r>
        <w:rPr>
          <w:rFonts w:ascii="Arial" w:eastAsia="宋体" w:hAnsi="Arial" w:hint="eastAsia"/>
          <w:b/>
          <w:color w:val="FF0000"/>
          <w:kern w:val="2"/>
          <w:lang w:eastAsia="zh-CN"/>
        </w:rPr>
        <w:t>，投标报价超出控制金额将作投标无效处理。</w:t>
      </w:r>
    </w:p>
    <w:p>
      <w:pPr>
        <w:keepNext/>
        <w:keepLines/>
        <w:widowControl w:val="0"/>
        <w:tabs>
          <w:tab w:val="left" w:pos="1680"/>
        </w:tabs>
        <w:spacing w:before="260" w:after="78" w:afterLines="25"/>
        <w:jc w:val="center"/>
        <w:outlineLvl w:val="2"/>
        <w:rPr>
          <w:rFonts w:ascii="Arial" w:eastAsia="宋体" w:hAnsi="Arial"/>
          <w:b/>
          <w:kern w:val="2"/>
          <w:sz w:val="32"/>
          <w:szCs w:val="32"/>
          <w:lang w:eastAsia="zh-CN"/>
        </w:rPr>
      </w:pPr>
      <w:r>
        <w:rPr>
          <w:rFonts w:ascii="Arial" w:eastAsia="宋体" w:hAnsi="Arial" w:hint="eastAsia"/>
          <w:b/>
          <w:kern w:val="2"/>
          <w:sz w:val="32"/>
          <w:szCs w:val="32"/>
          <w:lang w:eastAsia="zh-CN"/>
        </w:rPr>
        <w:t>二、货物需求明细</w:t>
      </w:r>
    </w:p>
    <w:p>
      <w:pPr>
        <w:widowControl w:val="0"/>
        <w:jc w:val="both"/>
        <w:rPr>
          <w:rFonts w:ascii="Calibri" w:eastAsia="宋体" w:hAnsi="Calibri"/>
          <w:kern w:val="2"/>
          <w:sz w:val="21"/>
          <w:szCs w:val="22"/>
          <w:lang w:eastAsia="zh-CN"/>
        </w:rPr>
      </w:pPr>
      <w:r>
        <w:rPr>
          <w:rFonts w:ascii="宋体" w:eastAsia="宋体" w:hAnsi="宋体" w:cstheme="minorBidi" w:hint="eastAsia"/>
          <w:b/>
          <w:color w:val="FF0000"/>
          <w:kern w:val="2"/>
          <w:sz w:val="32"/>
          <w:szCs w:val="32"/>
          <w:lang w:eastAsia="zh-CN"/>
        </w:rPr>
        <w:t>本项目核心产品为：</w:t>
      </w:r>
      <w:r>
        <w:rPr>
          <w:rFonts w:ascii="宋体" w:eastAsia="宋体" w:hAnsi="宋体" w:cstheme="minorBidi" w:hint="eastAsia"/>
          <w:b/>
          <w:color w:val="FF0000"/>
          <w:kern w:val="2"/>
          <w:sz w:val="32"/>
          <w:szCs w:val="32"/>
          <w:u w:val="single"/>
          <w:lang w:eastAsia="zh-CN"/>
        </w:rPr>
        <w:t>化学学生实验台</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Pr>
      <w:tblGrid>
        <w:gridCol w:w="652"/>
        <w:gridCol w:w="3790"/>
        <w:gridCol w:w="757"/>
        <w:gridCol w:w="830"/>
        <w:gridCol w:w="1515"/>
        <w:gridCol w:w="1558"/>
      </w:tblGrid>
      <w:tr>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PrEx>
        <w:trPr>
          <w:trHeight w:val="552"/>
          <w:jc w:val="center"/>
        </w:trPr>
        <w:tc>
          <w:tcPr>
            <w:tcW w:w="358" w:type="pct"/>
            <w:tcBorders>
              <w:tl2br w:val="nil"/>
              <w:tr2bl w:val="nil"/>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2082" w:type="pct"/>
            <w:tcBorders>
              <w:tl2br w:val="nil"/>
              <w:tr2bl w:val="nil"/>
            </w:tcBorders>
            <w:shd w:val="clear" w:color="auto" w:fill="C6D9F0"/>
            <w:vAlign w:val="center"/>
          </w:tcPr>
          <w:p>
            <w:pPr>
              <w:widowControl w:val="0"/>
              <w:jc w:val="center"/>
              <w:rPr>
                <w:rFonts w:ascii="Calibri" w:eastAsia="宋体" w:hAnsi="Calibri"/>
                <w:kern w:val="2"/>
                <w:sz w:val="21"/>
                <w:szCs w:val="22"/>
                <w:highlight w:val="green"/>
                <w:lang w:eastAsia="zh-CN"/>
              </w:rPr>
            </w:pPr>
            <w:r>
              <w:rPr>
                <w:rFonts w:ascii="Calibri" w:eastAsia="宋体" w:hAnsi="Calibri" w:cstheme="minorBidi" w:hint="eastAsia"/>
                <w:kern w:val="2"/>
                <w:sz w:val="21"/>
                <w:szCs w:val="22"/>
                <w:lang w:eastAsia="zh-CN"/>
              </w:rPr>
              <w:t>货物</w:t>
            </w:r>
            <w:r>
              <w:rPr>
                <w:rFonts w:ascii="Calibri" w:eastAsia="宋体" w:hAnsi="Calibri" w:cstheme="minorBidi" w:hint="eastAsia"/>
                <w:kern w:val="2"/>
                <w:sz w:val="21"/>
                <w:szCs w:val="22"/>
                <w:lang w:eastAsia="zh-CN"/>
              </w:rPr>
              <w:t>名称（标的名称）</w:t>
            </w:r>
          </w:p>
        </w:tc>
        <w:tc>
          <w:tcPr>
            <w:tcW w:w="416" w:type="pct"/>
            <w:tcBorders>
              <w:tl2br w:val="nil"/>
              <w:tr2bl w:val="nil"/>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数量</w:t>
            </w:r>
          </w:p>
        </w:tc>
        <w:tc>
          <w:tcPr>
            <w:tcW w:w="456" w:type="pct"/>
            <w:tcBorders>
              <w:tl2br w:val="nil"/>
              <w:tr2bl w:val="nil"/>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单位</w:t>
            </w:r>
          </w:p>
        </w:tc>
        <w:tc>
          <w:tcPr>
            <w:tcW w:w="832" w:type="pct"/>
            <w:tcBorders>
              <w:tl2br w:val="nil"/>
              <w:tr2bl w:val="nil"/>
            </w:tcBorders>
            <w:shd w:val="clear" w:color="auto" w:fill="C6D9F0"/>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备注</w:t>
            </w:r>
          </w:p>
        </w:tc>
        <w:tc>
          <w:tcPr>
            <w:tcW w:w="855" w:type="pct"/>
            <w:tcBorders>
              <w:tl2br w:val="nil"/>
              <w:tr2bl w:val="nil"/>
            </w:tcBorders>
            <w:shd w:val="clear" w:color="auto" w:fill="C6D9F0"/>
            <w:vAlign w:val="center"/>
          </w:tcPr>
          <w:p>
            <w:pPr>
              <w:widowControl w:val="0"/>
              <w:jc w:val="center"/>
              <w:rPr>
                <w:rFonts w:ascii="Calibri" w:eastAsia="宋体" w:hAnsi="Calibri"/>
                <w:kern w:val="2"/>
                <w:sz w:val="21"/>
                <w:szCs w:val="22"/>
                <w:highlight w:val="yellow"/>
                <w:lang w:eastAsia="zh-CN"/>
              </w:rPr>
            </w:pPr>
            <w:r>
              <w:rPr>
                <w:rFonts w:ascii="Calibri" w:eastAsia="宋体" w:hAnsi="Calibri" w:cstheme="minorBidi" w:hint="eastAsia"/>
                <w:kern w:val="2"/>
                <w:sz w:val="21"/>
                <w:szCs w:val="22"/>
                <w:highlight w:val="yellow"/>
                <w:lang w:eastAsia="zh-CN"/>
              </w:rPr>
              <w:t>所属行业</w:t>
            </w:r>
          </w:p>
        </w:tc>
      </w:tr>
      <w:tr>
        <w:tblPrEx>
          <w:tblW w:w="5000" w:type="pct"/>
          <w:jc w:val="center"/>
          <w:tblLayout w:type="fixed"/>
          <w:tblCellMar>
            <w:top w:w="15" w:type="dxa"/>
            <w:left w:w="15" w:type="dxa"/>
            <w:bottom w:w="15" w:type="dxa"/>
            <w:right w:w="15" w:type="dxa"/>
          </w:tblCellMar>
        </w:tblPrEx>
        <w:trPr>
          <w:trHeight w:val="317"/>
          <w:jc w:val="center"/>
        </w:trPr>
        <w:tc>
          <w:tcPr>
            <w:tcW w:w="5000" w:type="pct"/>
            <w:gridSpan w:val="6"/>
            <w:tcBorders>
              <w:tl2br w:val="nil"/>
              <w:tr2bl w:val="nil"/>
            </w:tcBorders>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b/>
                <w:bCs/>
                <w:kern w:val="2"/>
                <w:sz w:val="22"/>
                <w:lang w:eastAsia="zh-CN"/>
              </w:rPr>
              <w:t>化学实验室</w:t>
            </w:r>
          </w:p>
        </w:tc>
      </w:tr>
      <w:tr>
        <w:tblPrEx>
          <w:tblW w:w="5000" w:type="pct"/>
          <w:jc w:val="center"/>
          <w:tblLayout w:type="fixed"/>
          <w:tblCellMar>
            <w:top w:w="15" w:type="dxa"/>
            <w:left w:w="15" w:type="dxa"/>
            <w:bottom w:w="15" w:type="dxa"/>
            <w:right w:w="15" w:type="dxa"/>
          </w:tblCellMar>
        </w:tblPrEx>
        <w:trPr>
          <w:trHeight w:val="317"/>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highlight w:val="green"/>
                <w:lang w:eastAsia="zh-CN"/>
              </w:rPr>
            </w:pPr>
            <w:r>
              <w:rPr>
                <w:rFonts w:ascii="宋体" w:eastAsia="宋体" w:hAnsi="宋体" w:cs="宋体" w:hint="eastAsia"/>
                <w:color w:val="000000"/>
                <w:sz w:val="21"/>
                <w:szCs w:val="21"/>
                <w:lang w:eastAsia="zh-CN" w:bidi="ar"/>
              </w:rPr>
              <w:t>教师总电源</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val="restart"/>
            <w:tcBorders>
              <w:tl2br w:val="nil"/>
              <w:tr2bl w:val="nil"/>
            </w:tcBorders>
            <w:vAlign w:val="center"/>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kern w:val="2"/>
                <w:sz w:val="21"/>
                <w:szCs w:val="22"/>
                <w:lang w:eastAsia="zh-CN"/>
              </w:rPr>
              <w:t>工业</w:t>
            </w: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塔吊控制系统</w:t>
            </w:r>
          </w:p>
          <w:p>
            <w:pPr>
              <w:keepNext w:val="0"/>
              <w:keepLines w:val="0"/>
              <w:widowControl/>
              <w:suppressLineNumbers w:val="0"/>
              <w:jc w:val="center"/>
              <w:textAlignment w:val="center"/>
              <w:rPr>
                <w:rFonts w:ascii="Calibri" w:eastAsia="宋体" w:hAnsi="Calibri"/>
                <w:kern w:val="2"/>
                <w:sz w:val="21"/>
                <w:szCs w:val="22"/>
                <w:highlight w:val="green"/>
                <w:lang w:eastAsia="zh-CN"/>
              </w:rPr>
            </w:pPr>
            <w:r>
              <w:rPr>
                <w:rFonts w:ascii="宋体" w:eastAsia="宋体" w:hAnsi="宋体" w:cs="宋体" w:hint="eastAsia"/>
                <w:color w:val="000000"/>
                <w:sz w:val="21"/>
                <w:szCs w:val="21"/>
                <w:lang w:eastAsia="zh-CN" w:bidi="ar"/>
              </w:rPr>
              <w:t>（含塔吊控制器和控制面板）</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主体框架（长）</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6</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主体框架（短）</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5</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塔吊升降模块 （含升降电机）</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8</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27"/>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6</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主体框架</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塔吊升降模块             </w:t>
            </w:r>
          </w:p>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 xml:space="preserve">  （含升降电机）</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8</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防漏快接头</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33</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对</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9</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水管</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30</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条</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10</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给排水水泵</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15</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11</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三联水嘴</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15</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12</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下水密封装置及给排水配件</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项</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13</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塔吊通风组件</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9</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14</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电源</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29</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15</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LED灯</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15</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16</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USB面板插座</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29</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17</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网口插座</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29</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18</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教师演示台</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张</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19</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教师办公椅</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张</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20</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化学学生实验台</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28</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张</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21</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功能柱</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28</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22</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实验圆凳</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张</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23</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水柜</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15</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24</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万向吸风罩</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29</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25</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扣板</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95</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平方米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26</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窗帘</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29.8</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平方米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27</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化学元素标语</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12.5</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平发米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28</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LED教室灯</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16</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盏</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5000" w:type="pct"/>
            <w:gridSpan w:val="6"/>
            <w:tcBorders>
              <w:tl2br w:val="nil"/>
              <w:tr2bl w:val="nil"/>
            </w:tcBorders>
            <w:vAlign w:val="center"/>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b/>
                <w:bCs/>
                <w:kern w:val="2"/>
                <w:sz w:val="22"/>
                <w:lang w:eastAsia="zh-CN"/>
              </w:rPr>
              <w:t>准备室</w:t>
            </w: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29</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化学准备实验台</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张</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val="restart"/>
            <w:tcBorders>
              <w:tl2br w:val="nil"/>
              <w:tr2bl w:val="nil"/>
            </w:tcBorders>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工业</w:t>
            </w: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30</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水柜</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31</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三联水嘴</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32</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教师办公台</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张</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33</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教师办公椅</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张</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34</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PP仪器柜</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 xml:space="preserve">6 </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35</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PP药品柜</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 xml:space="preserve">2 </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36</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给排水管</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37</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制度牌</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38</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仪器车</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辆</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39</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窗帘</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9.5</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平方米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40</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扣板</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25.4</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平方米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41</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平板灯</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3</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盏</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42</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离心风机</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43</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变频调速器</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44</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变频调速器电箱</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45</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滤波器</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46</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中继器</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47</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风机进口入消声器</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48</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风机出入口变径节</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49</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防雨帽</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50</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室内通风管道1</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16</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51</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室内通风管道2</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8</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52</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室内通风管道3</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8</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53</w:t>
            </w:r>
          </w:p>
        </w:tc>
        <w:tc>
          <w:tcPr>
            <w:tcW w:w="2082" w:type="pct"/>
            <w:tcBorders>
              <w:tl2br w:val="nil"/>
              <w:tr2bl w:val="nil"/>
            </w:tcBorders>
            <w:vAlign w:val="center"/>
          </w:tcPr>
          <w:p>
            <w:pPr>
              <w:keepNext w:val="0"/>
              <w:keepLines w:val="0"/>
              <w:widowControl/>
              <w:suppressLineNumbers w:val="0"/>
              <w:jc w:val="center"/>
              <w:textAlignment w:val="center"/>
              <w:rPr>
                <w:rFonts w:ascii="Calibri" w:eastAsia="宋体" w:hAnsi="Calibri" w:hint="eastAsia"/>
                <w:kern w:val="2"/>
                <w:sz w:val="21"/>
                <w:szCs w:val="22"/>
                <w:lang w:eastAsia="zh-CN"/>
              </w:rPr>
            </w:pPr>
            <w:r>
              <w:rPr>
                <w:rFonts w:ascii="宋体" w:eastAsia="宋体" w:hAnsi="宋体" w:cs="宋体" w:hint="eastAsia"/>
                <w:color w:val="000000"/>
                <w:sz w:val="21"/>
                <w:szCs w:val="21"/>
                <w:lang w:eastAsia="zh-CN" w:bidi="ar"/>
              </w:rPr>
              <w:t>室内通风管道4</w:t>
            </w:r>
          </w:p>
        </w:tc>
        <w:tc>
          <w:tcPr>
            <w:tcW w:w="41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8</w:t>
            </w:r>
          </w:p>
        </w:tc>
        <w:tc>
          <w:tcPr>
            <w:tcW w:w="456" w:type="pct"/>
            <w:tcBorders>
              <w:tl2br w:val="nil"/>
              <w:tr2bl w:val="nil"/>
            </w:tcBorders>
            <w:vAlign w:val="center"/>
          </w:tcPr>
          <w:p>
            <w:pPr>
              <w:keepNext w:val="0"/>
              <w:keepLines w:val="0"/>
              <w:widowControl/>
              <w:suppressLineNumbers w:val="0"/>
              <w:jc w:val="center"/>
              <w:textAlignment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室内通风管道5</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室内通风管道辅材1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项</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室内通风管道辅材2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项</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室外通风管道</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室外通风管道辅材3</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项</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5000" w:type="pct"/>
            <w:gridSpan w:val="6"/>
            <w:tcBorders>
              <w:tl2br w:val="nil"/>
              <w:tr2bl w:val="nil"/>
            </w:tcBorders>
            <w:vAlign w:val="center"/>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b/>
                <w:bCs/>
                <w:kern w:val="2"/>
                <w:sz w:val="22"/>
                <w:lang w:eastAsia="zh-CN"/>
              </w:rPr>
              <w:t>仪器室</w:t>
            </w: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毒害品储存柜</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1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val="restart"/>
            <w:tcBorders>
              <w:tl2br w:val="nil"/>
              <w:tr2bl w:val="nil"/>
            </w:tcBorders>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工业</w:t>
            </w: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易燃品储藏柜（防火柜）</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1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强酸强碱储存柜</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1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PP通风药品柜</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3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药品柜吸风罩</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6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风机</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1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项</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通风管道</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风机电源控制线路及开关</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1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防爆灯及控制开关</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2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消防设备</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2 </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69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 xml:space="preserve">危险化学品 </w:t>
            </w:r>
          </w:p>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仓库公示牌</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废液桶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设备辅助材料</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项</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烟雾报警器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防爆吊扇</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手摇钻孔器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电动离心机</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离心沉淀器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磁力加热搅拌器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酒精喷灯</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电加热器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蒸馏水器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列管式烘干器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烘干箱</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注射器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塑料洗瓶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试剂瓶托盘</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实验用品提篮</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塑料水槽</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碘升华凝华管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89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方座支架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万能夹</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三脚架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泥三角</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漏斗架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滴定台</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滴定夹</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多用滴管架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托盘天平1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99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托盘天平2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电子天平1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电子天平2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温度计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数字测温计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多用电表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酸度计(pH计)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台</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量筒1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量筒2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试管3</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试管4</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试管5</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具支试管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硬质玻璃管1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硬质玻璃管2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烧杯1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75</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烧杯2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75</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烧杯3</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烧杯4</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烧杯5</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烧杯6</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3</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烧瓶1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烧瓶2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3</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锥形瓶1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锥形瓶2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蒸馏烧瓶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酒精灯</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抽滤瓶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129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抽气管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干燥器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气体发生器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冷凝器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牛角管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漏斗1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漏斗2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3</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T形管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Y形管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滴管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139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离心管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支</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集气瓶1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集气瓶2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液封除毒气集气瓶</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广口瓶1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112</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广口瓶2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广口瓶3</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40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广口瓶4</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广口瓶5</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广口瓶6</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149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广口瓶7</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坩埚钳</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烧杯夹</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4</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镊子</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试管夹</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止水皮管夹</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螺旋皮管夹</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石棉网</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燃烧匙</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药匙</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159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乳胶管</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米</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试管刷</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161</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烧瓶刷</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30</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162</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表面皿</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163</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研钵</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164</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蒸发皿</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165</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反应板</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166</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井穴板1</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167</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井穴板2</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28</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168</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护目镜</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56</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个</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169</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洗眼器</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套</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r>
        <w:tblPrEx>
          <w:tblW w:w="5000" w:type="pct"/>
          <w:jc w:val="center"/>
          <w:tblLayout w:type="fixed"/>
          <w:tblCellMar>
            <w:top w:w="15" w:type="dxa"/>
            <w:left w:w="15" w:type="dxa"/>
            <w:bottom w:w="15" w:type="dxa"/>
            <w:right w:w="15" w:type="dxa"/>
          </w:tblCellMar>
        </w:tblPrEx>
        <w:trPr>
          <w:trHeight w:val="172"/>
          <w:jc w:val="center"/>
        </w:trPr>
        <w:tc>
          <w:tcPr>
            <w:tcW w:w="358"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170</w:t>
            </w:r>
          </w:p>
        </w:tc>
        <w:tc>
          <w:tcPr>
            <w:tcW w:w="2082"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简易急救箱</w:t>
            </w:r>
          </w:p>
        </w:tc>
        <w:tc>
          <w:tcPr>
            <w:tcW w:w="41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1</w:t>
            </w:r>
          </w:p>
        </w:tc>
        <w:tc>
          <w:tcPr>
            <w:tcW w:w="456" w:type="pct"/>
            <w:tcBorders>
              <w:tl2br w:val="nil"/>
              <w:tr2bl w:val="nil"/>
            </w:tcBorders>
            <w:vAlign w:val="center"/>
          </w:tcPr>
          <w:p>
            <w:pPr>
              <w:keepNext w:val="0"/>
              <w:keepLines w:val="0"/>
              <w:widowControl/>
              <w:suppressLineNumbers w:val="0"/>
              <w:jc w:val="center"/>
              <w:textAlignment w:val="center"/>
              <w:rPr>
                <w:rFonts w:ascii="宋体" w:eastAsia="宋体" w:hAnsi="宋体" w:cs="宋体" w:hint="eastAsia"/>
                <w:color w:val="000000"/>
                <w:sz w:val="21"/>
                <w:szCs w:val="21"/>
                <w:lang w:eastAsia="zh-CN" w:bidi="ar"/>
              </w:rPr>
            </w:pPr>
            <w:r>
              <w:rPr>
                <w:rFonts w:ascii="宋体" w:eastAsia="宋体" w:hAnsi="宋体" w:cs="宋体" w:hint="eastAsia"/>
                <w:color w:val="000000"/>
                <w:sz w:val="21"/>
                <w:szCs w:val="21"/>
                <w:lang w:eastAsia="zh-CN" w:bidi="ar"/>
              </w:rPr>
              <w:t>件</w:t>
            </w:r>
          </w:p>
        </w:tc>
        <w:tc>
          <w:tcPr>
            <w:tcW w:w="832" w:type="pct"/>
            <w:tcBorders>
              <w:tl2br w:val="nil"/>
              <w:tr2bl w:val="nil"/>
            </w:tcBorders>
            <w:vAlign w:val="center"/>
          </w:tcPr>
          <w:p>
            <w:pPr>
              <w:widowControl w:val="0"/>
              <w:jc w:val="center"/>
              <w:rPr>
                <w:rFonts w:ascii="Calibri" w:eastAsia="宋体" w:hAnsi="Calibri"/>
                <w:kern w:val="2"/>
                <w:sz w:val="21"/>
                <w:szCs w:val="22"/>
                <w:lang w:eastAsia="zh-CN"/>
              </w:rPr>
            </w:pPr>
            <w:r>
              <w:rPr>
                <w:rFonts w:ascii="宋体" w:eastAsia="宋体" w:hAnsi="宋体" w:cs="宋体" w:hint="eastAsia"/>
                <w:color w:val="000000"/>
                <w:sz w:val="21"/>
                <w:szCs w:val="21"/>
                <w:lang w:eastAsia="zh-CN" w:bidi="ar"/>
              </w:rPr>
              <w:t>双氧水1瓶；植物薄荷膏、驱蚊精油1套装；甲紫溶液1瓶；汞溴红溶液1瓶；医用脱脂棉2包；医用棉签2包；医用绷带2卷；橡皮胶1卷；创可贴18张；手术剪1把；镊子2把；压舌板（木、不锈钢）各1个；体温计1支；笔式手电筒1支。铝合金箱1个。</w:t>
            </w:r>
          </w:p>
        </w:tc>
        <w:tc>
          <w:tcPr>
            <w:tcW w:w="855" w:type="pct"/>
            <w:vMerge/>
            <w:tcBorders>
              <w:tl2br w:val="nil"/>
              <w:tr2bl w:val="nil"/>
            </w:tcBorders>
            <w:vAlign w:val="center"/>
          </w:tcPr>
          <w:p>
            <w:pPr>
              <w:widowControl w:val="0"/>
              <w:jc w:val="center"/>
              <w:rPr>
                <w:rFonts w:ascii="Calibri" w:eastAsia="宋体" w:hAnsi="Calibri"/>
                <w:kern w:val="2"/>
                <w:sz w:val="21"/>
                <w:szCs w:val="22"/>
                <w:lang w:eastAsia="zh-CN"/>
              </w:rPr>
            </w:pPr>
          </w:p>
        </w:tc>
      </w:tr>
    </w:tbl>
    <w:p>
      <w:pPr>
        <w:widowControl w:val="0"/>
        <w:jc w:val="both"/>
        <w:rPr>
          <w:rFonts w:ascii="Calibri" w:eastAsia="宋体" w:hAnsi="Calibri"/>
          <w:color w:val="FF0000"/>
          <w:kern w:val="2"/>
          <w:sz w:val="21"/>
          <w:szCs w:val="22"/>
          <w:lang w:eastAsia="zh-CN"/>
        </w:rPr>
      </w:pPr>
      <w:r>
        <w:rPr>
          <w:rFonts w:ascii="Calibri" w:eastAsia="宋体" w:hAnsi="Calibri" w:cstheme="minorBidi" w:hint="eastAsia"/>
          <w:color w:val="FF0000"/>
          <w:kern w:val="2"/>
          <w:sz w:val="21"/>
          <w:szCs w:val="22"/>
          <w:lang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hint="eastAsia"/>
          <w:color w:val="FF0000"/>
          <w:kern w:val="2"/>
          <w:sz w:val="21"/>
          <w:szCs w:val="22"/>
          <w:lang w:eastAsia="zh-CN"/>
        </w:rPr>
      </w:pPr>
      <w:r>
        <w:rPr>
          <w:rFonts w:ascii="Calibri" w:eastAsia="宋体" w:hAnsi="Calibri" w:cstheme="minorBidi" w:hint="eastAsia"/>
          <w:color w:val="FF0000"/>
          <w:kern w:val="2"/>
          <w:sz w:val="21"/>
          <w:szCs w:val="22"/>
          <w:lang w:eastAsia="zh-CN"/>
        </w:rPr>
        <w:t>1、</w:t>
      </w:r>
      <w:r>
        <w:rPr>
          <w:rFonts w:ascii="Calibri" w:eastAsia="宋体" w:hAnsi="Calibri" w:cstheme="minorBidi" w:hint="eastAsia"/>
          <w:color w:val="FF0000"/>
          <w:kern w:val="2"/>
          <w:sz w:val="21"/>
          <w:szCs w:val="22"/>
          <w:lang w:eastAsia="zh-CN"/>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color w:val="FF0000"/>
          <w:kern w:val="2"/>
          <w:sz w:val="21"/>
          <w:szCs w:val="22"/>
          <w:lang w:eastAsia="zh-CN"/>
        </w:rPr>
      </w:pPr>
      <w:r>
        <w:rPr>
          <w:rFonts w:ascii="Calibri" w:eastAsia="宋体" w:hAnsi="Calibri" w:cstheme="minorBidi" w:hint="eastAsia"/>
          <w:color w:val="FF0000"/>
          <w:kern w:val="2"/>
          <w:sz w:val="21"/>
          <w:szCs w:val="22"/>
          <w:lang w:eastAsia="zh-CN"/>
        </w:rPr>
        <w:t>2、</w:t>
      </w:r>
      <w:r>
        <w:rPr>
          <w:rFonts w:ascii="Calibri" w:eastAsia="宋体" w:hAnsi="Calibri" w:cstheme="minorBidi" w:hint="eastAsia"/>
          <w:color w:val="FF0000"/>
          <w:kern w:val="2"/>
          <w:sz w:val="21"/>
          <w:szCs w:val="22"/>
          <w:lang w:eastAsia="zh-CN"/>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hint="eastAsia"/>
          <w:color w:val="FF0000"/>
          <w:kern w:val="2"/>
          <w:sz w:val="21"/>
          <w:szCs w:val="22"/>
          <w:lang w:eastAsia="zh-CN"/>
        </w:rPr>
      </w:pPr>
      <w:r>
        <w:rPr>
          <w:rFonts w:ascii="Calibri" w:eastAsia="宋体" w:hAnsi="Calibri" w:cstheme="minorBidi" w:hint="eastAsia"/>
          <w:color w:val="FF0000"/>
          <w:kern w:val="2"/>
          <w:sz w:val="21"/>
          <w:szCs w:val="22"/>
          <w:lang w:eastAsia="zh-CN"/>
        </w:rPr>
        <w:t>3、</w:t>
      </w:r>
      <w:r>
        <w:rPr>
          <w:rFonts w:ascii="Calibri" w:eastAsia="宋体" w:hAnsi="Calibri" w:cstheme="minorBidi" w:hint="eastAsia"/>
          <w:color w:val="FF0000"/>
          <w:kern w:val="2"/>
          <w:sz w:val="21"/>
          <w:szCs w:val="22"/>
          <w:lang w:eastAsia="zh-CN"/>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left="0" w:firstLine="420" w:firstLineChars="200"/>
        <w:jc w:val="both"/>
        <w:textAlignment w:val="auto"/>
        <w:rPr>
          <w:rFonts w:ascii="Calibri" w:eastAsia="宋体" w:hAnsi="Calibri" w:hint="eastAsia"/>
          <w:color w:val="FF0000"/>
          <w:kern w:val="2"/>
          <w:sz w:val="21"/>
          <w:szCs w:val="22"/>
          <w:lang w:eastAsia="zh-CN"/>
        </w:rPr>
      </w:pPr>
      <w:r>
        <w:rPr>
          <w:rFonts w:ascii="Calibri" w:eastAsia="宋体" w:hAnsi="Calibri" w:cstheme="minorBidi" w:hint="eastAsia"/>
          <w:color w:val="FF0000"/>
          <w:kern w:val="2"/>
          <w:sz w:val="21"/>
          <w:szCs w:val="22"/>
          <w:lang w:eastAsia="zh-CN"/>
        </w:rPr>
        <w:t>4、</w:t>
      </w:r>
      <w:r>
        <w:rPr>
          <w:rFonts w:ascii="Calibri" w:eastAsia="宋体" w:hAnsi="Calibri" w:cstheme="minorBidi" w:hint="eastAsia"/>
          <w:color w:val="FF0000"/>
          <w:kern w:val="2"/>
          <w:sz w:val="21"/>
          <w:szCs w:val="22"/>
          <w:lang w:eastAsia="zh-CN"/>
        </w:rPr>
        <w:t>根据《政府采购货物和服务招标投标管理办法》（财政部令第87号）第三十一条规定，单一产品项目或非单一产品项目中的核心产品均应明确品牌，投标人未填报品牌的将作投标无效处理。</w:t>
      </w:r>
    </w:p>
    <w:p>
      <w:pPr>
        <w:widowControl w:val="0"/>
        <w:ind w:firstLine="420" w:firstLineChars="200"/>
        <w:jc w:val="both"/>
        <w:rPr>
          <w:rFonts w:ascii="Calibri" w:eastAsia="宋体" w:hAnsi="Calibri"/>
          <w:color w:val="FF0000"/>
          <w:kern w:val="2"/>
          <w:sz w:val="21"/>
          <w:szCs w:val="22"/>
          <w:lang w:eastAsia="zh-CN"/>
        </w:rPr>
      </w:pPr>
    </w:p>
    <w:p>
      <w:pPr>
        <w:widowControl w:val="0"/>
        <w:jc w:val="both"/>
        <w:rPr>
          <w:rFonts w:ascii="Calibri" w:eastAsia="宋体" w:hAnsi="Calibri"/>
          <w:color w:val="FF0000"/>
          <w:kern w:val="2"/>
          <w:sz w:val="21"/>
          <w:szCs w:val="22"/>
          <w:lang w:eastAsia="zh-CN"/>
        </w:rPr>
      </w:pPr>
    </w:p>
    <w:p>
      <w:pPr>
        <w:keepNext/>
        <w:keepLines/>
        <w:widowControl w:val="0"/>
        <w:spacing w:before="260" w:after="260" w:line="416" w:lineRule="auto"/>
        <w:jc w:val="center"/>
        <w:outlineLvl w:val="1"/>
        <w:rPr>
          <w:rFonts w:ascii="Cambria" w:eastAsia="宋体" w:hAnsi="Cambria"/>
          <w:b/>
          <w:bCs/>
          <w:kern w:val="2"/>
          <w:sz w:val="32"/>
          <w:szCs w:val="32"/>
          <w:lang w:eastAsia="zh-CN"/>
        </w:rPr>
      </w:pPr>
      <w:bookmarkStart w:id="16" w:name="_Toc128884461"/>
      <w:r>
        <w:rPr>
          <w:rFonts w:ascii="Cambria" w:eastAsia="宋体" w:hAnsi="Cambria" w:cstheme="majorBidi" w:hint="eastAsia"/>
          <w:b/>
          <w:bCs/>
          <w:kern w:val="2"/>
          <w:sz w:val="32"/>
          <w:szCs w:val="32"/>
          <w:lang w:eastAsia="zh-CN"/>
        </w:rPr>
        <w:t>三、实质性条款</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00"/>
        <w:gridCol w:w="8488"/>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14"/>
          <w:jc w:val="center"/>
        </w:trPr>
        <w:tc>
          <w:tcPr>
            <w:tcW w:w="705" w:type="dxa"/>
            <w:vAlign w:val="center"/>
          </w:tcPr>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序号</w:t>
            </w:r>
          </w:p>
        </w:tc>
        <w:tc>
          <w:tcPr>
            <w:tcW w:w="7483" w:type="dxa"/>
            <w:vAlign w:val="center"/>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实质性条款具体内容</w:t>
            </w:r>
          </w:p>
        </w:tc>
      </w:tr>
      <w:tr>
        <w:tblPrEx>
          <w:tblW w:w="5000" w:type="pct"/>
          <w:jc w:val="center"/>
          <w:tblLayout w:type="fixed"/>
          <w:tblCellMar>
            <w:top w:w="0" w:type="dxa"/>
            <w:left w:w="108" w:type="dxa"/>
            <w:bottom w:w="0" w:type="dxa"/>
            <w:right w:w="108" w:type="dxa"/>
          </w:tblCellMar>
        </w:tblPrEx>
        <w:trPr>
          <w:jc w:val="center"/>
        </w:trPr>
        <w:tc>
          <w:tcPr>
            <w:tcW w:w="705" w:type="dxa"/>
          </w:tcPr>
          <w:p>
            <w:pPr>
              <w:widowControl w:val="0"/>
              <w:jc w:val="center"/>
              <w:rPr>
                <w:rFonts w:ascii="Calibri" w:eastAsia="宋体" w:hAnsi="Calibri"/>
                <w:kern w:val="2"/>
                <w:sz w:val="21"/>
                <w:szCs w:val="22"/>
                <w:lang w:eastAsia="zh-CN"/>
              </w:rPr>
            </w:pPr>
            <w:r>
              <w:rPr>
                <w:rFonts w:ascii="Calibri" w:eastAsia="宋体" w:hAnsi="Calibri" w:cstheme="minorBidi" w:hint="eastAsia"/>
                <w:kern w:val="2"/>
                <w:sz w:val="21"/>
                <w:szCs w:val="22"/>
                <w:lang w:eastAsia="zh-CN"/>
              </w:rPr>
              <w:t>1</w:t>
            </w:r>
          </w:p>
        </w:tc>
        <w:tc>
          <w:tcPr>
            <w:tcW w:w="7483" w:type="dxa"/>
          </w:tcPr>
          <w:p>
            <w:pPr>
              <w:widowControl w:val="0"/>
              <w:jc w:val="center"/>
              <w:rPr>
                <w:rFonts w:ascii="Calibri" w:eastAsia="宋体" w:hAnsi="Calibri" w:hint="eastAsia"/>
                <w:kern w:val="2"/>
                <w:sz w:val="21"/>
                <w:szCs w:val="22"/>
                <w:lang w:eastAsia="zh-CN"/>
              </w:rPr>
            </w:pPr>
            <w:r>
              <w:rPr>
                <w:rFonts w:ascii="Calibri" w:eastAsia="宋体" w:hAnsi="Calibri" w:cstheme="minorBidi" w:hint="eastAsia"/>
                <w:kern w:val="2"/>
                <w:sz w:val="21"/>
                <w:szCs w:val="22"/>
                <w:lang w:eastAsia="zh-CN"/>
              </w:rPr>
              <w:t>本项目招标文件中所有带★号条款</w:t>
            </w:r>
            <w:r>
              <w:rPr>
                <w:rFonts w:ascii="Calibri" w:eastAsia="宋体" w:hAnsi="Calibri" w:cstheme="minorBidi" w:hint="eastAsia"/>
                <w:kern w:val="2"/>
                <w:sz w:val="21"/>
                <w:szCs w:val="22"/>
                <w:lang w:eastAsia="zh-CN"/>
              </w:rPr>
              <w:t>内容</w:t>
            </w:r>
          </w:p>
        </w:tc>
      </w:tr>
      <w:bookmarkEnd w:id="16"/>
    </w:tbl>
    <w:p>
      <w:pPr>
        <w:widowControl w:val="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注：上表所列内容为不可负偏离条款，负偏离将视为未实质性满足招标文件要求和条件作投标无效处理。</w:t>
      </w:r>
    </w:p>
    <w:p>
      <w:pPr>
        <w:widowControl w:val="0"/>
        <w:ind w:firstLine="420" w:firstLineChars="200"/>
        <w:jc w:val="both"/>
        <w:rPr>
          <w:rFonts w:ascii="Calibri" w:eastAsia="宋体" w:hAnsi="Calibri"/>
          <w:color w:val="FF0000"/>
          <w:kern w:val="2"/>
          <w:sz w:val="21"/>
          <w:szCs w:val="22"/>
          <w:lang w:eastAsia="zh-CN"/>
        </w:rPr>
      </w:pPr>
    </w:p>
    <w:p>
      <w:pPr>
        <w:widowControl w:val="0"/>
        <w:jc w:val="both"/>
        <w:rPr>
          <w:rFonts w:ascii="Calibri" w:eastAsia="宋体" w:hAnsi="Calibri"/>
          <w:b/>
          <w:color w:val="FF0000"/>
          <w:kern w:val="2"/>
          <w:sz w:val="21"/>
          <w:szCs w:val="22"/>
          <w:lang w:eastAsia="zh-CN"/>
        </w:rPr>
      </w:pPr>
    </w:p>
    <w:p>
      <w:pPr>
        <w:keepNext/>
        <w:keepLines/>
        <w:widowControl w:val="0"/>
        <w:tabs>
          <w:tab w:val="left" w:pos="1680"/>
        </w:tabs>
        <w:spacing w:before="260" w:after="78" w:afterLines="25"/>
        <w:jc w:val="center"/>
        <w:outlineLvl w:val="2"/>
        <w:rPr>
          <w:rFonts w:ascii="Arial" w:eastAsia="宋体" w:hAnsi="Arial"/>
          <w:b/>
          <w:bCs/>
          <w:color w:val="FF0000"/>
          <w:kern w:val="2"/>
          <w:sz w:val="32"/>
          <w:szCs w:val="32"/>
          <w:lang w:eastAsia="zh-CN"/>
        </w:rPr>
      </w:pPr>
      <w:r>
        <w:rPr>
          <w:rFonts w:ascii="Calibri" w:eastAsia="宋体" w:hAnsi="Calibri" w:cstheme="minorBidi" w:hint="eastAsia"/>
          <w:b/>
          <w:color w:val="FF0000"/>
          <w:kern w:val="2"/>
          <w:sz w:val="32"/>
          <w:szCs w:val="32"/>
          <w:lang w:eastAsia="zh-CN"/>
        </w:rPr>
        <w:t>★</w:t>
      </w:r>
      <w:r>
        <w:rPr>
          <w:rFonts w:ascii="Arial" w:eastAsia="宋体" w:hAnsi="Arial" w:hint="eastAsia"/>
          <w:b/>
          <w:bCs/>
          <w:color w:val="FF0000"/>
          <w:kern w:val="2"/>
          <w:sz w:val="32"/>
          <w:szCs w:val="32"/>
          <w:lang w:eastAsia="zh-CN"/>
        </w:rPr>
        <w:t>四</w:t>
      </w:r>
      <w:r>
        <w:rPr>
          <w:rFonts w:ascii="Arial" w:eastAsia="宋体" w:hAnsi="Arial" w:hint="eastAsia"/>
          <w:b/>
          <w:bCs/>
          <w:color w:val="FF0000"/>
          <w:kern w:val="2"/>
          <w:sz w:val="32"/>
          <w:szCs w:val="32"/>
          <w:lang w:eastAsia="zh-CN"/>
        </w:rPr>
        <w:t>、商务和服务条款部分</w:t>
      </w:r>
    </w:p>
    <w:p>
      <w:pPr>
        <w:widowControl w:val="0"/>
        <w:jc w:val="both"/>
        <w:rPr>
          <w:rFonts w:ascii="Calibri" w:eastAsia="宋体" w:hAnsi="Calibri" w:hint="eastAsia"/>
          <w:b/>
          <w:color w:val="FF0000"/>
          <w:kern w:val="2"/>
          <w:sz w:val="21"/>
          <w:szCs w:val="22"/>
          <w:lang w:eastAsia="zh-CN"/>
        </w:rPr>
      </w:pPr>
      <w:r>
        <w:rPr>
          <w:rFonts w:ascii="Calibri" w:eastAsia="宋体" w:hAnsi="Calibri" w:cstheme="minorBidi" w:hint="eastAsia"/>
          <w:b/>
          <w:color w:val="FF0000"/>
          <w:kern w:val="2"/>
          <w:sz w:val="21"/>
          <w:szCs w:val="22"/>
          <w:lang w:eastAsia="zh-CN"/>
        </w:rPr>
        <w:t>1.本部分内容为项目正常开展的基本要求，均为★号条款要求，投标人必须完全响应满足本部分的全部内容，否则将导致投标无效。投标人是否满足本部分带★号条款要求，以《实质性条款响应情况表》响应为准。</w:t>
      </w:r>
    </w:p>
    <w:p>
      <w:pPr>
        <w:widowControl w:val="0"/>
        <w:jc w:val="both"/>
        <w:rPr>
          <w:rFonts w:ascii="Calibri" w:eastAsia="宋体" w:hAnsi="Calibri" w:hint="eastAsia"/>
          <w:b/>
          <w:color w:val="FF0000"/>
          <w:kern w:val="2"/>
          <w:sz w:val="21"/>
          <w:szCs w:val="22"/>
          <w:lang w:eastAsia="zh-CN"/>
        </w:rPr>
      </w:pPr>
      <w:r>
        <w:rPr>
          <w:rFonts w:ascii="Calibri" w:eastAsia="宋体" w:hAnsi="Calibri" w:cstheme="minorBidi" w:hint="eastAsia"/>
          <w:b/>
          <w:color w:val="FF0000"/>
          <w:kern w:val="2"/>
          <w:sz w:val="21"/>
          <w:szCs w:val="22"/>
          <w:lang w:eastAsia="zh-CN"/>
        </w:rPr>
        <w:t>2.如投标人中标后被发现不能满足本部分带★号条款要求的，采购单位有权拒绝签订合同，一切后果由投标人承担。</w:t>
      </w:r>
    </w:p>
    <w:p>
      <w:pPr>
        <w:widowControl w:val="0"/>
        <w:spacing w:after="78" w:afterLines="25" w:line="300" w:lineRule="auto"/>
        <w:jc w:val="both"/>
        <w:rPr>
          <w:rFonts w:ascii="Arial" w:eastAsia="宋体" w:hAnsi="Arial"/>
          <w:b/>
          <w:color w:val="FF0000"/>
          <w:kern w:val="2"/>
          <w:sz w:val="21"/>
          <w:lang w:eastAsia="zh-CN"/>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81"/>
        <w:gridCol w:w="7507"/>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98"/>
          <w:jc w:val="center"/>
        </w:trPr>
        <w:tc>
          <w:tcPr>
            <w:tcW w:w="1843"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cs="宋体"/>
                <w:b/>
                <w:kern w:val="2"/>
                <w:sz w:val="21"/>
                <w:szCs w:val="21"/>
                <w:lang w:eastAsia="zh-CN"/>
              </w:rPr>
            </w:pPr>
            <w:r>
              <w:rPr>
                <w:rFonts w:ascii="宋体" w:eastAsia="宋体" w:hAnsi="宋体" w:cs="宋体" w:hint="eastAsia"/>
                <w:b/>
                <w:color w:val="FF0000"/>
                <w:kern w:val="2"/>
                <w:sz w:val="21"/>
                <w:szCs w:val="21"/>
                <w:lang w:eastAsia="zh-CN"/>
              </w:rPr>
              <w:t>报价要求</w:t>
            </w:r>
          </w:p>
        </w:tc>
        <w:tc>
          <w:tcPr>
            <w:tcW w:w="7797" w:type="dxa"/>
            <w:tcBorders>
              <w:top w:val="single" w:sz="4" w:space="0" w:color="auto"/>
              <w:left w:val="single" w:sz="4" w:space="0" w:color="auto"/>
              <w:bottom w:val="single" w:sz="4" w:space="0" w:color="auto"/>
              <w:right w:val="single" w:sz="4" w:space="0" w:color="auto"/>
            </w:tcBorders>
          </w:tcPr>
          <w:p>
            <w:pPr>
              <w:widowControl w:val="0"/>
              <w:snapToGrid w:val="0"/>
              <w:jc w:val="both"/>
              <w:rPr>
                <w:rFonts w:ascii="宋体" w:eastAsia="宋体" w:hAnsi="宋体" w:cs="宋体"/>
                <w:color w:val="FF0000"/>
                <w:kern w:val="2"/>
                <w:sz w:val="21"/>
                <w:szCs w:val="21"/>
                <w:lang w:eastAsia="zh-CN"/>
              </w:rPr>
            </w:pPr>
            <w:r>
              <w:rPr>
                <w:rFonts w:ascii="宋体" w:eastAsia="宋体" w:hAnsi="宋体" w:cs="宋体" w:hint="eastAsia"/>
                <w:color w:val="FF0000"/>
                <w:kern w:val="2"/>
                <w:sz w:val="21"/>
                <w:szCs w:val="21"/>
                <w:lang w:eastAsia="zh-CN"/>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W w:w="5000" w:type="pct"/>
          <w:jc w:val="center"/>
          <w:tblLayout w:type="fixed"/>
          <w:tblCellMar>
            <w:top w:w="0" w:type="dxa"/>
            <w:left w:w="108" w:type="dxa"/>
            <w:bottom w:w="0" w:type="dxa"/>
            <w:right w:w="108" w:type="dxa"/>
          </w:tblCellMar>
        </w:tblPrEx>
        <w:trPr>
          <w:trHeight w:val="348"/>
          <w:jc w:val="center"/>
        </w:trPr>
        <w:tc>
          <w:tcPr>
            <w:tcW w:w="1843"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cs="宋体"/>
                <w:b/>
                <w:color w:val="FF0000"/>
                <w:kern w:val="2"/>
                <w:sz w:val="21"/>
                <w:szCs w:val="21"/>
                <w:lang w:eastAsia="zh-CN"/>
              </w:rPr>
            </w:pPr>
            <w:r>
              <w:rPr>
                <w:rFonts w:ascii="宋体" w:eastAsia="宋体" w:hAnsi="宋体" w:cs="宋体" w:hint="eastAsia"/>
                <w:b/>
                <w:color w:val="FF0000"/>
                <w:kern w:val="2"/>
                <w:sz w:val="21"/>
                <w:szCs w:val="21"/>
                <w:lang w:eastAsia="zh-CN"/>
              </w:rPr>
              <w:t>交货地点</w:t>
            </w:r>
          </w:p>
        </w:tc>
        <w:tc>
          <w:tcPr>
            <w:tcW w:w="7797" w:type="dxa"/>
            <w:tcBorders>
              <w:top w:val="single" w:sz="4" w:space="0" w:color="auto"/>
              <w:left w:val="single" w:sz="4" w:space="0" w:color="auto"/>
              <w:bottom w:val="single" w:sz="4" w:space="0" w:color="auto"/>
              <w:right w:val="single" w:sz="4" w:space="0" w:color="auto"/>
            </w:tcBorders>
            <w:vAlign w:val="center"/>
          </w:tcPr>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深圳市宝安区和一学校</w:t>
            </w:r>
            <w:r>
              <w:rPr>
                <w:rFonts w:ascii="宋体" w:eastAsia="宋体" w:hAnsi="宋体" w:cs="宋体" w:hint="eastAsia"/>
                <w:color w:val="FF0000"/>
                <w:kern w:val="2"/>
                <w:sz w:val="21"/>
                <w:szCs w:val="21"/>
                <w:lang w:eastAsia="zh-CN"/>
              </w:rPr>
              <w:t>。</w:t>
            </w:r>
          </w:p>
        </w:tc>
      </w:tr>
      <w:tr>
        <w:tblPrEx>
          <w:tblW w:w="5000" w:type="pct"/>
          <w:jc w:val="center"/>
          <w:tblLayout w:type="fixed"/>
          <w:tblCellMar>
            <w:top w:w="0" w:type="dxa"/>
            <w:left w:w="108" w:type="dxa"/>
            <w:bottom w:w="0" w:type="dxa"/>
            <w:right w:w="108" w:type="dxa"/>
          </w:tblCellMar>
        </w:tblPrEx>
        <w:trPr>
          <w:trHeight w:val="90"/>
          <w:jc w:val="center"/>
        </w:trPr>
        <w:tc>
          <w:tcPr>
            <w:tcW w:w="1843"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b/>
                <w:bCs/>
                <w:color w:val="FF0000"/>
                <w:kern w:val="2"/>
                <w:sz w:val="21"/>
                <w:szCs w:val="21"/>
                <w:lang w:eastAsia="zh-CN"/>
              </w:rPr>
            </w:pPr>
            <w:r>
              <w:rPr>
                <w:rFonts w:ascii="宋体" w:eastAsia="宋体" w:hAnsi="宋体" w:hint="eastAsia"/>
                <w:b/>
                <w:bCs/>
                <w:color w:val="FF0000"/>
                <w:kern w:val="2"/>
                <w:sz w:val="21"/>
                <w:szCs w:val="21"/>
                <w:lang w:eastAsia="zh-CN"/>
              </w:rPr>
              <w:t>交货期或完工期</w:t>
            </w:r>
          </w:p>
        </w:tc>
        <w:tc>
          <w:tcPr>
            <w:tcW w:w="7797" w:type="dxa"/>
            <w:tcBorders>
              <w:top w:val="single" w:sz="4" w:space="0" w:color="auto"/>
              <w:left w:val="single" w:sz="4" w:space="0" w:color="auto"/>
              <w:bottom w:val="single" w:sz="4" w:space="0" w:color="auto"/>
              <w:right w:val="single" w:sz="4" w:space="0" w:color="auto"/>
            </w:tcBorders>
            <w:vAlign w:val="center"/>
          </w:tcPr>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本项目要求在进场施工日起30个日历日内完工，进场施工时间由采购人确定。</w:t>
            </w:r>
          </w:p>
        </w:tc>
      </w:tr>
      <w:tr>
        <w:tblPrEx>
          <w:tblW w:w="5000" w:type="pct"/>
          <w:jc w:val="center"/>
          <w:tblLayout w:type="fixed"/>
          <w:tblCellMar>
            <w:top w:w="0" w:type="dxa"/>
            <w:left w:w="108" w:type="dxa"/>
            <w:bottom w:w="0" w:type="dxa"/>
            <w:right w:w="108" w:type="dxa"/>
          </w:tblCellMar>
        </w:tblPrEx>
        <w:trPr>
          <w:trHeight w:val="452"/>
          <w:jc w:val="center"/>
        </w:trPr>
        <w:tc>
          <w:tcPr>
            <w:tcW w:w="1843" w:type="dxa"/>
            <w:tcBorders>
              <w:top w:val="single" w:sz="4" w:space="0" w:color="auto"/>
              <w:left w:val="single" w:sz="4" w:space="0" w:color="auto"/>
              <w:bottom w:val="single" w:sz="4" w:space="0" w:color="auto"/>
              <w:right w:val="single" w:sz="4" w:space="0" w:color="auto"/>
            </w:tcBorders>
            <w:vAlign w:val="center"/>
          </w:tcPr>
          <w:p>
            <w:pPr>
              <w:widowControl w:val="0"/>
              <w:spacing w:after="78" w:afterLines="25" w:line="300" w:lineRule="auto"/>
              <w:jc w:val="center"/>
              <w:rPr>
                <w:rFonts w:ascii="宋体" w:eastAsia="宋体" w:hAnsi="宋体"/>
                <w:b/>
                <w:bCs/>
                <w:color w:val="FF0000"/>
                <w:kern w:val="2"/>
                <w:sz w:val="21"/>
                <w:szCs w:val="21"/>
                <w:lang w:eastAsia="zh-CN"/>
              </w:rPr>
            </w:pPr>
            <w:r>
              <w:rPr>
                <w:rFonts w:ascii="Arial" w:eastAsia="宋体" w:hAnsi="Arial" w:hint="eastAsia"/>
                <w:b/>
                <w:color w:val="FF0000"/>
                <w:kern w:val="2"/>
                <w:sz w:val="21"/>
                <w:lang w:eastAsia="zh-CN"/>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本项目完成并经验收合格后，对于满足合同约定支付条件的，采购人应当自收到发票后15日内将资金支付到合同约定的中标供应商账户。</w:t>
            </w:r>
          </w:p>
        </w:tc>
      </w:tr>
      <w:tr>
        <w:tblPrEx>
          <w:tblW w:w="5000" w:type="pct"/>
          <w:jc w:val="center"/>
          <w:tblLayout w:type="fixed"/>
          <w:tblCellMar>
            <w:top w:w="0" w:type="dxa"/>
            <w:left w:w="108" w:type="dxa"/>
            <w:bottom w:w="0" w:type="dxa"/>
            <w:right w:w="108" w:type="dxa"/>
          </w:tblCellMar>
        </w:tblPrEx>
        <w:trPr>
          <w:trHeight w:val="173"/>
          <w:jc w:val="center"/>
        </w:trPr>
        <w:tc>
          <w:tcPr>
            <w:tcW w:w="1843" w:type="dxa"/>
            <w:tcBorders>
              <w:top w:val="single" w:sz="4" w:space="0" w:color="auto"/>
              <w:left w:val="single" w:sz="4" w:space="0" w:color="auto"/>
              <w:right w:val="single" w:sz="4" w:space="0" w:color="auto"/>
            </w:tcBorders>
            <w:vAlign w:val="center"/>
          </w:tcPr>
          <w:p>
            <w:pPr>
              <w:widowControl w:val="0"/>
              <w:spacing w:after="78" w:afterLines="25" w:line="300" w:lineRule="auto"/>
              <w:jc w:val="center"/>
              <w:rPr>
                <w:rFonts w:ascii="Arial" w:eastAsia="宋体" w:hAnsi="Arial" w:hint="eastAsia"/>
                <w:b/>
                <w:color w:val="FF0000"/>
                <w:kern w:val="2"/>
                <w:sz w:val="21"/>
                <w:lang w:eastAsia="zh-CN"/>
              </w:rPr>
            </w:pPr>
            <w:r>
              <w:rPr>
                <w:rFonts w:ascii="Arial" w:eastAsia="宋体" w:hAnsi="Arial" w:hint="eastAsia"/>
                <w:b/>
                <w:color w:val="FF0000"/>
                <w:kern w:val="2"/>
                <w:sz w:val="21"/>
                <w:lang w:eastAsia="zh-CN"/>
              </w:rPr>
              <w:t>验收方式</w:t>
            </w:r>
          </w:p>
        </w:tc>
        <w:tc>
          <w:tcPr>
            <w:tcW w:w="7797" w:type="dxa"/>
            <w:tcBorders>
              <w:top w:val="single" w:sz="4" w:space="0" w:color="auto"/>
              <w:left w:val="single" w:sz="4" w:space="0" w:color="auto"/>
              <w:right w:val="single" w:sz="4" w:space="0" w:color="auto"/>
            </w:tcBorders>
          </w:tcPr>
          <w:p>
            <w:pPr>
              <w:widowControl w:val="0"/>
              <w:spacing w:after="78" w:afterLines="25" w:line="300" w:lineRule="auto"/>
              <w:jc w:val="both"/>
              <w:rPr>
                <w:rFonts w:ascii="Arial" w:eastAsia="宋体" w:hAnsi="Arial" w:hint="eastAsia"/>
                <w:bCs/>
                <w:color w:val="FF0000"/>
                <w:kern w:val="2"/>
                <w:sz w:val="21"/>
                <w:lang w:eastAsia="zh-CN"/>
              </w:rPr>
            </w:pPr>
            <w:r>
              <w:rPr>
                <w:rFonts w:ascii="Arial" w:eastAsia="宋体" w:hAnsi="Arial" w:hint="eastAsia"/>
                <w:bCs/>
                <w:color w:val="FF0000"/>
                <w:kern w:val="2"/>
                <w:sz w:val="21"/>
                <w:lang w:eastAsia="zh-CN"/>
              </w:rPr>
              <w:t>由采购单位组织验收小组进行验收。</w:t>
            </w:r>
          </w:p>
        </w:tc>
      </w:tr>
      <w:tr>
        <w:tblPrEx>
          <w:tblW w:w="5000" w:type="pct"/>
          <w:jc w:val="center"/>
          <w:tblLayout w:type="fixed"/>
          <w:tblCellMar>
            <w:top w:w="0" w:type="dxa"/>
            <w:left w:w="108" w:type="dxa"/>
            <w:bottom w:w="0" w:type="dxa"/>
            <w:right w:w="108" w:type="dxa"/>
          </w:tblCellMar>
        </w:tblPrEx>
        <w:trPr>
          <w:trHeight w:val="714"/>
          <w:jc w:val="center"/>
        </w:trPr>
        <w:tc>
          <w:tcPr>
            <w:tcW w:w="1843" w:type="dxa"/>
            <w:tcBorders>
              <w:top w:val="single" w:sz="4" w:space="0" w:color="auto"/>
              <w:left w:val="single" w:sz="4" w:space="0" w:color="auto"/>
              <w:right w:val="single" w:sz="4" w:space="0" w:color="auto"/>
            </w:tcBorders>
            <w:vAlign w:val="center"/>
          </w:tcPr>
          <w:p>
            <w:pPr>
              <w:widowControl w:val="0"/>
              <w:spacing w:after="78" w:afterLines="25" w:line="300" w:lineRule="auto"/>
              <w:jc w:val="center"/>
              <w:rPr>
                <w:rFonts w:ascii="宋体" w:eastAsia="宋体" w:hAnsi="宋体"/>
                <w:b/>
                <w:color w:val="FF0000"/>
                <w:kern w:val="2"/>
                <w:sz w:val="21"/>
                <w:szCs w:val="21"/>
                <w:lang w:eastAsia="zh-CN"/>
              </w:rPr>
            </w:pPr>
            <w:r>
              <w:rPr>
                <w:rFonts w:ascii="宋体" w:eastAsia="宋体" w:hAnsi="宋体" w:hint="eastAsia"/>
                <w:b/>
                <w:bCs/>
                <w:color w:val="FF0000"/>
                <w:kern w:val="2"/>
                <w:sz w:val="21"/>
                <w:szCs w:val="21"/>
                <w:lang w:eastAsia="zh-CN"/>
              </w:rPr>
              <w:t>包装及运输要求</w:t>
            </w:r>
          </w:p>
        </w:tc>
        <w:tc>
          <w:tcPr>
            <w:tcW w:w="7797" w:type="dxa"/>
            <w:tcBorders>
              <w:top w:val="single" w:sz="4" w:space="0" w:color="auto"/>
              <w:left w:val="single" w:sz="4" w:space="0" w:color="auto"/>
              <w:right w:val="single" w:sz="4" w:space="0" w:color="auto"/>
            </w:tcBorders>
          </w:tcPr>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W w:w="5000" w:type="pct"/>
          <w:jc w:val="center"/>
          <w:tblLayout w:type="fixed"/>
          <w:tblCellMar>
            <w:top w:w="0" w:type="dxa"/>
            <w:left w:w="108" w:type="dxa"/>
            <w:bottom w:w="0" w:type="dxa"/>
            <w:right w:w="108" w:type="dxa"/>
          </w:tblCellMar>
        </w:tblPrEx>
        <w:trPr>
          <w:trHeight w:val="415"/>
          <w:jc w:val="center"/>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hAnsi="宋体"/>
                <w:bCs/>
                <w:kern w:val="2"/>
                <w:sz w:val="21"/>
                <w:szCs w:val="21"/>
                <w:lang w:eastAsia="zh-CN"/>
              </w:rPr>
            </w:pPr>
            <w:r>
              <w:rPr>
                <w:rFonts w:ascii="宋体" w:eastAsia="宋体" w:hAnsi="宋体" w:hint="eastAsia"/>
                <w:b/>
                <w:bCs/>
                <w:kern w:val="2"/>
                <w:sz w:val="21"/>
                <w:szCs w:val="21"/>
                <w:lang w:eastAsia="zh-CN"/>
              </w:rPr>
              <w:t>售后服务要求</w:t>
            </w:r>
          </w:p>
        </w:tc>
        <w:tc>
          <w:tcPr>
            <w:tcW w:w="7797" w:type="dxa"/>
            <w:tcBorders>
              <w:top w:val="single" w:sz="4" w:space="0" w:color="auto"/>
              <w:left w:val="single" w:sz="4" w:space="0" w:color="auto"/>
              <w:bottom w:val="single" w:sz="4" w:space="0" w:color="auto"/>
              <w:right w:val="single" w:sz="4" w:space="0" w:color="auto"/>
            </w:tcBorders>
          </w:tcPr>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1.</w:t>
            </w:r>
            <w:r>
              <w:rPr>
                <w:rFonts w:ascii="宋体" w:eastAsia="宋体" w:hAnsi="宋体" w:cs="宋体" w:hint="eastAsia"/>
                <w:color w:val="FF0000"/>
                <w:kern w:val="2"/>
                <w:sz w:val="21"/>
                <w:szCs w:val="21"/>
                <w:lang w:eastAsia="zh-CN"/>
              </w:rPr>
              <w:t>要求中标方对本项目所采购的各项货物及货物集成提供3年的质保期。</w:t>
            </w:r>
          </w:p>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2.</w:t>
            </w:r>
            <w:r>
              <w:rPr>
                <w:rFonts w:ascii="宋体" w:eastAsia="宋体" w:hAnsi="宋体" w:cs="宋体" w:hint="eastAsia"/>
                <w:color w:val="FF0000"/>
                <w:kern w:val="2"/>
                <w:sz w:val="21"/>
                <w:szCs w:val="21"/>
                <w:lang w:eastAsia="zh-CN"/>
              </w:rPr>
              <w:t>要求中标方在交货完成后一周内，免费向用户方进行技术培训工作。</w:t>
            </w:r>
          </w:p>
        </w:tc>
      </w:tr>
      <w:tr>
        <w:tblPrEx>
          <w:tblW w:w="5000" w:type="pct"/>
          <w:jc w:val="center"/>
          <w:tblLayout w:type="fixed"/>
          <w:tblCellMar>
            <w:top w:w="0" w:type="dxa"/>
            <w:left w:w="108" w:type="dxa"/>
            <w:bottom w:w="0" w:type="dxa"/>
            <w:right w:w="108" w:type="dxa"/>
          </w:tblCellMar>
        </w:tblPrEx>
        <w:trPr>
          <w:trHeight w:val="694"/>
          <w:jc w:val="center"/>
        </w:trPr>
        <w:tc>
          <w:tcPr>
            <w:tcW w:w="184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eastAsia="宋体" w:hAnsi="宋体"/>
                <w:b/>
                <w:bCs/>
                <w:kern w:val="2"/>
                <w:sz w:val="21"/>
                <w:szCs w:val="21"/>
                <w:lang w:eastAsia="zh-CN"/>
              </w:rPr>
            </w:pPr>
            <w:r>
              <w:rPr>
                <w:rFonts w:ascii="宋体" w:eastAsia="宋体" w:hAnsi="宋体" w:hint="eastAsia"/>
                <w:b/>
                <w:bCs/>
                <w:kern w:val="2"/>
                <w:sz w:val="21"/>
                <w:szCs w:val="21"/>
                <w:lang w:eastAsia="zh-CN"/>
              </w:rPr>
              <w:t>其他要求</w:t>
            </w:r>
          </w:p>
        </w:tc>
        <w:tc>
          <w:tcPr>
            <w:tcW w:w="7797" w:type="dxa"/>
            <w:tcBorders>
              <w:top w:val="single" w:sz="4" w:space="0" w:color="auto"/>
              <w:left w:val="single" w:sz="4" w:space="0" w:color="auto"/>
              <w:bottom w:val="single" w:sz="4" w:space="0" w:color="auto"/>
              <w:right w:val="single" w:sz="4" w:space="0" w:color="auto"/>
            </w:tcBorders>
          </w:tcPr>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1.</w:t>
            </w:r>
            <w:r>
              <w:rPr>
                <w:rFonts w:ascii="宋体" w:eastAsia="宋体" w:hAnsi="宋体" w:cs="宋体" w:hint="eastAsia"/>
                <w:color w:val="FF0000"/>
                <w:kern w:val="2"/>
                <w:sz w:val="21"/>
                <w:szCs w:val="21"/>
                <w:lang w:eastAsia="zh-CN"/>
              </w:rPr>
              <w:t>中标供应商在签订合同时应提供投标文件打印稿贰份，并加盖公章（一份交给监理公司，一份交给学校），同时提供投标文件的OFFICE文档。</w:t>
            </w:r>
          </w:p>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2.</w:t>
            </w:r>
            <w:r>
              <w:rPr>
                <w:rFonts w:ascii="宋体" w:eastAsia="宋体" w:hAnsi="宋体" w:cs="宋体" w:hint="eastAsia"/>
                <w:color w:val="FF0000"/>
                <w:kern w:val="2"/>
                <w:sz w:val="21"/>
                <w:szCs w:val="21"/>
                <w:lang w:eastAsia="zh-CN"/>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3.</w:t>
            </w:r>
            <w:r>
              <w:rPr>
                <w:rFonts w:ascii="宋体" w:eastAsia="宋体" w:hAnsi="宋体" w:cs="宋体" w:hint="eastAsia"/>
                <w:color w:val="FF0000"/>
                <w:kern w:val="2"/>
                <w:sz w:val="21"/>
                <w:szCs w:val="21"/>
                <w:lang w:eastAsia="zh-CN"/>
              </w:rPr>
              <w:t>上报验收报告时，除了表格中写明的材料外，还需要提交验收记录表、产品三证（产品合格证、供货凭证（含生产厂家或代理商证明）、产品检测证明（含第三方有资质检测机构出具的有效检测报告）、合同及附件；</w:t>
            </w:r>
          </w:p>
          <w:p>
            <w:pPr>
              <w:widowControl w:val="0"/>
              <w:snapToGrid w:val="0"/>
              <w:jc w:val="both"/>
              <w:rPr>
                <w:rFonts w:ascii="宋体" w:eastAsia="宋体" w:hAnsi="宋体" w:cs="宋体" w:hint="eastAsia"/>
                <w:color w:val="FF0000"/>
                <w:kern w:val="2"/>
                <w:sz w:val="21"/>
                <w:szCs w:val="21"/>
                <w:lang w:eastAsia="zh-CN"/>
              </w:rPr>
            </w:pPr>
            <w:r>
              <w:rPr>
                <w:rFonts w:ascii="宋体" w:eastAsia="宋体" w:hAnsi="宋体" w:cs="宋体" w:hint="eastAsia"/>
                <w:color w:val="FF0000"/>
                <w:kern w:val="2"/>
                <w:sz w:val="21"/>
                <w:szCs w:val="21"/>
                <w:lang w:eastAsia="zh-CN"/>
              </w:rPr>
              <w:t>4.</w:t>
            </w:r>
            <w:r>
              <w:rPr>
                <w:rFonts w:ascii="宋体" w:eastAsia="宋体" w:hAnsi="宋体" w:cs="宋体" w:hint="eastAsia"/>
                <w:color w:val="FF0000"/>
                <w:kern w:val="2"/>
                <w:sz w:val="21"/>
                <w:szCs w:val="21"/>
                <w:lang w:eastAsia="zh-CN"/>
              </w:rPr>
              <w:t>投标商必须确保中标后提供的货物为正规渠道供货，不存在违反国家法律、法规的情况。</w:t>
            </w:r>
          </w:p>
        </w:tc>
      </w:tr>
    </w:tbl>
    <w:p>
      <w:pPr>
        <w:widowControl/>
        <w:jc w:val="left"/>
        <w:rPr>
          <w:rFonts w:ascii="Arial" w:eastAsia="宋体" w:hAnsi="Arial"/>
          <w:kern w:val="2"/>
          <w:sz w:val="21"/>
          <w:lang w:eastAsia="zh-CN"/>
        </w:rPr>
      </w:pPr>
    </w:p>
    <w:p>
      <w:pPr>
        <w:keepNext/>
        <w:keepLines/>
        <w:widowControl w:val="0"/>
        <w:tabs>
          <w:tab w:val="left" w:pos="1680"/>
        </w:tabs>
        <w:spacing w:before="260" w:after="78" w:afterLines="25"/>
        <w:jc w:val="center"/>
        <w:outlineLvl w:val="2"/>
        <w:rPr>
          <w:rFonts w:ascii="Arial" w:eastAsia="宋体" w:hAnsi="Arial"/>
          <w:b/>
          <w:bCs/>
          <w:kern w:val="2"/>
          <w:sz w:val="32"/>
          <w:szCs w:val="32"/>
          <w:lang w:eastAsia="zh-CN"/>
        </w:rPr>
      </w:pPr>
      <w:r>
        <w:rPr>
          <w:rFonts w:ascii="Arial" w:eastAsia="宋体" w:hAnsi="Arial" w:hint="eastAsia"/>
          <w:b/>
          <w:bCs/>
          <w:kern w:val="2"/>
          <w:sz w:val="32"/>
          <w:szCs w:val="32"/>
          <w:lang w:eastAsia="zh-CN"/>
        </w:rPr>
        <w:t>五</w:t>
      </w:r>
      <w:r>
        <w:rPr>
          <w:rFonts w:ascii="Arial" w:eastAsia="宋体" w:hAnsi="Arial" w:hint="eastAsia"/>
          <w:b/>
          <w:bCs/>
          <w:kern w:val="2"/>
          <w:sz w:val="32"/>
          <w:szCs w:val="32"/>
          <w:lang w:eastAsia="zh-CN"/>
        </w:rPr>
        <w:t>、技术</w:t>
      </w:r>
      <w:r>
        <w:rPr>
          <w:rFonts w:ascii="Arial" w:eastAsia="宋体" w:hAnsi="Arial" w:hint="eastAsia"/>
          <w:b/>
          <w:bCs/>
          <w:kern w:val="2"/>
          <w:sz w:val="32"/>
          <w:szCs w:val="32"/>
          <w:lang w:eastAsia="zh-CN"/>
        </w:rPr>
        <w:t>要求</w:t>
      </w:r>
      <w:r>
        <w:rPr>
          <w:rFonts w:ascii="Arial" w:eastAsia="宋体" w:hAnsi="Arial" w:hint="eastAsia"/>
          <w:b/>
          <w:bCs/>
          <w:kern w:val="2"/>
          <w:sz w:val="32"/>
          <w:szCs w:val="32"/>
          <w:lang w:eastAsia="zh-CN"/>
        </w:rPr>
        <w:t>部分</w:t>
      </w:r>
    </w:p>
    <w:p>
      <w:pPr>
        <w:widowControl w:val="0"/>
        <w:jc w:val="both"/>
        <w:rPr>
          <w:rFonts w:ascii="宋体" w:eastAsia="宋体" w:hAnsi="宋体"/>
          <w:b/>
          <w:color w:val="FF0000"/>
          <w:kern w:val="2"/>
          <w:sz w:val="21"/>
          <w:szCs w:val="21"/>
          <w:highlight w:val="yellow"/>
          <w:lang w:eastAsia="zh-CN"/>
        </w:rPr>
      </w:pPr>
      <w:r>
        <w:rPr>
          <w:rFonts w:ascii="宋体" w:eastAsia="宋体" w:hAnsi="宋体" w:hint="eastAsia"/>
          <w:b/>
          <w:color w:val="FF0000"/>
          <w:kern w:val="2"/>
          <w:sz w:val="21"/>
          <w:szCs w:val="21"/>
          <w:lang w:eastAsia="zh-CN"/>
        </w:rPr>
        <w:t>1、带</w:t>
      </w:r>
      <w:r>
        <w:rPr>
          <w:rFonts w:ascii="宋体" w:eastAsia="宋体" w:hAnsi="宋体" w:hint="eastAsia"/>
          <w:b/>
          <w:bCs/>
          <w:color w:val="FF0000"/>
          <w:kern w:val="2"/>
          <w:sz w:val="21"/>
          <w:szCs w:val="21"/>
          <w:lang w:eastAsia="zh-CN"/>
        </w:rPr>
        <w:t>★</w:t>
      </w:r>
      <w:r>
        <w:rPr>
          <w:rFonts w:ascii="宋体" w:eastAsia="宋体" w:hAnsi="宋体" w:hint="eastAsia"/>
          <w:b/>
          <w:color w:val="FF0000"/>
          <w:kern w:val="2"/>
          <w:sz w:val="21"/>
          <w:szCs w:val="21"/>
          <w:lang w:eastAsia="zh-CN"/>
        </w:rPr>
        <w:t>号要求为不可偏离要求，如出现负偏离，将导致投标无效。带▲号参数为重要参数，其他参数（非▲号参数）为普通参数，如出现负偏离，将按照评分准则做扣分处理。</w:t>
      </w:r>
      <w:r>
        <w:rPr>
          <w:rFonts w:ascii="宋体" w:eastAsia="宋体" w:hAnsi="宋体" w:hint="eastAsia"/>
          <w:b/>
          <w:color w:val="FF0000"/>
          <w:kern w:val="2"/>
          <w:sz w:val="21"/>
          <w:szCs w:val="21"/>
          <w:highlight w:val="yellow"/>
          <w:lang w:eastAsia="zh-CN"/>
        </w:rPr>
        <w:t>如注明要求提供相关佐证材料的，需以佐证材料作为是否偏离的依据。</w:t>
      </w:r>
    </w:p>
    <w:p>
      <w:pPr>
        <w:widowControl w:val="0"/>
        <w:spacing w:after="78"/>
        <w:jc w:val="left"/>
        <w:rPr>
          <w:rFonts w:ascii="Calibri" w:eastAsia="宋体" w:hAnsi="Calibri"/>
          <w:color w:val="FF0000"/>
          <w:kern w:val="2"/>
          <w:sz w:val="21"/>
          <w:szCs w:val="21"/>
          <w:lang w:eastAsia="zh-CN"/>
        </w:rPr>
      </w:pPr>
      <w:r>
        <w:rPr>
          <w:rFonts w:ascii="Calibri" w:eastAsia="宋体" w:hAnsi="Calibri" w:hint="eastAsia"/>
          <w:color w:val="FF0000"/>
          <w:kern w:val="2"/>
          <w:sz w:val="21"/>
          <w:szCs w:val="21"/>
          <w:lang w:eastAsia="zh-CN"/>
        </w:rPr>
        <w:t>2、所列的技术</w:t>
      </w:r>
      <w:r>
        <w:rPr>
          <w:rFonts w:ascii="Calibri" w:eastAsia="宋体" w:hAnsi="Calibri"/>
          <w:color w:val="FF0000"/>
          <w:kern w:val="2"/>
          <w:sz w:val="21"/>
          <w:szCs w:val="21"/>
          <w:lang w:eastAsia="zh-CN"/>
        </w:rPr>
        <w:t>参数</w:t>
      </w:r>
      <w:r>
        <w:rPr>
          <w:rFonts w:ascii="Calibri" w:eastAsia="宋体" w:hAnsi="Calibri" w:hint="eastAsia"/>
          <w:color w:val="FF0000"/>
          <w:kern w:val="2"/>
          <w:sz w:val="21"/>
          <w:szCs w:val="21"/>
          <w:lang w:eastAsia="zh-CN"/>
        </w:rPr>
        <w:t>需求中如出现品牌信息仅供参考，不作为参数要求，目的只为投标人更清楚地了解采购需求，投标人可提供其他品牌设备投标。</w:t>
      </w:r>
    </w:p>
    <w:p>
      <w:pPr>
        <w:widowControl w:val="0"/>
        <w:spacing w:after="78"/>
        <w:jc w:val="left"/>
        <w:rPr>
          <w:rFonts w:ascii="Calibri" w:eastAsia="宋体" w:hAnsi="Calibri"/>
          <w:color w:val="FF0000"/>
          <w:kern w:val="2"/>
          <w:sz w:val="21"/>
          <w:szCs w:val="21"/>
          <w:lang w:eastAsia="zh-CN"/>
        </w:rPr>
      </w:pPr>
      <w:r>
        <w:rPr>
          <w:rFonts w:ascii="Calibri" w:eastAsia="宋体" w:hAnsi="Calibri" w:hint="eastAsia"/>
          <w:color w:val="FF0000"/>
          <w:kern w:val="2"/>
          <w:sz w:val="21"/>
          <w:szCs w:val="21"/>
          <w:lang w:eastAsia="zh-CN"/>
        </w:rPr>
        <w:t>3、如有</w:t>
      </w:r>
      <w:r>
        <w:rPr>
          <w:rFonts w:ascii="Calibri" w:eastAsia="宋体" w:hAnsi="Calibri"/>
          <w:color w:val="FF0000"/>
          <w:kern w:val="2"/>
          <w:sz w:val="21"/>
          <w:szCs w:val="21"/>
          <w:lang w:eastAsia="zh-CN"/>
        </w:rPr>
        <w:t>方案表述中有出现类似可实现、</w:t>
      </w:r>
      <w:r>
        <w:rPr>
          <w:rFonts w:ascii="Calibri" w:eastAsia="宋体" w:hAnsi="Calibri" w:hint="eastAsia"/>
          <w:color w:val="FF0000"/>
          <w:kern w:val="2"/>
          <w:sz w:val="21"/>
          <w:szCs w:val="21"/>
          <w:lang w:eastAsia="zh-CN"/>
        </w:rPr>
        <w:t>实现</w:t>
      </w:r>
      <w:r>
        <w:rPr>
          <w:rFonts w:ascii="Calibri" w:eastAsia="宋体" w:hAnsi="Calibri"/>
          <w:color w:val="FF0000"/>
          <w:kern w:val="2"/>
          <w:sz w:val="21"/>
          <w:szCs w:val="21"/>
          <w:lang w:eastAsia="zh-CN"/>
        </w:rPr>
        <w:t>、</w:t>
      </w:r>
      <w:r>
        <w:rPr>
          <w:rFonts w:ascii="Calibri" w:eastAsia="宋体" w:hAnsi="Calibri" w:hint="eastAsia"/>
          <w:color w:val="FF0000"/>
          <w:kern w:val="2"/>
          <w:sz w:val="21"/>
          <w:szCs w:val="21"/>
          <w:lang w:eastAsia="zh-CN"/>
        </w:rPr>
        <w:t>可</w:t>
      </w:r>
      <w:r>
        <w:rPr>
          <w:rFonts w:ascii="Calibri" w:eastAsia="宋体" w:hAnsi="Calibri"/>
          <w:color w:val="FF0000"/>
          <w:kern w:val="2"/>
          <w:sz w:val="21"/>
          <w:szCs w:val="21"/>
          <w:lang w:eastAsia="zh-CN"/>
        </w:rPr>
        <w:t>支持、支持</w:t>
      </w:r>
      <w:r>
        <w:rPr>
          <w:rFonts w:ascii="Calibri" w:eastAsia="宋体" w:hAnsi="Calibri" w:hint="eastAsia"/>
          <w:color w:val="FF0000"/>
          <w:kern w:val="2"/>
          <w:sz w:val="21"/>
          <w:szCs w:val="21"/>
          <w:lang w:eastAsia="zh-CN"/>
        </w:rPr>
        <w:t>等</w:t>
      </w:r>
      <w:r>
        <w:rPr>
          <w:rFonts w:ascii="Calibri" w:eastAsia="宋体" w:hAnsi="Calibri"/>
          <w:color w:val="FF0000"/>
          <w:kern w:val="2"/>
          <w:sz w:val="21"/>
          <w:szCs w:val="21"/>
          <w:lang w:eastAsia="zh-CN"/>
        </w:rPr>
        <w:t>描述的，均表示方案需要实现的功能或</w:t>
      </w:r>
      <w:r>
        <w:rPr>
          <w:rFonts w:ascii="Calibri" w:eastAsia="宋体" w:hAnsi="Calibri" w:hint="eastAsia"/>
          <w:color w:val="FF0000"/>
          <w:kern w:val="2"/>
          <w:sz w:val="21"/>
          <w:szCs w:val="21"/>
          <w:lang w:eastAsia="zh-CN"/>
        </w:rPr>
        <w:t>应满足的</w:t>
      </w:r>
      <w:r>
        <w:rPr>
          <w:rFonts w:ascii="Calibri" w:eastAsia="宋体" w:hAnsi="Calibri"/>
          <w:color w:val="FF0000"/>
          <w:kern w:val="2"/>
          <w:sz w:val="21"/>
          <w:szCs w:val="21"/>
          <w:lang w:eastAsia="zh-CN"/>
        </w:rPr>
        <w:t>要求，即项目在验收时无须增加其他</w:t>
      </w:r>
      <w:r>
        <w:rPr>
          <w:rFonts w:ascii="Calibri" w:eastAsia="宋体" w:hAnsi="Calibri" w:hint="eastAsia"/>
          <w:color w:val="FF0000"/>
          <w:kern w:val="2"/>
          <w:sz w:val="21"/>
          <w:szCs w:val="21"/>
          <w:lang w:eastAsia="zh-CN"/>
        </w:rPr>
        <w:t>额外</w:t>
      </w:r>
      <w:r>
        <w:rPr>
          <w:rFonts w:ascii="Calibri" w:eastAsia="宋体" w:hAnsi="Calibri"/>
          <w:color w:val="FF0000"/>
          <w:kern w:val="2"/>
          <w:sz w:val="21"/>
          <w:szCs w:val="21"/>
          <w:lang w:eastAsia="zh-CN"/>
        </w:rPr>
        <w:t>设备</w:t>
      </w:r>
      <w:r>
        <w:rPr>
          <w:rFonts w:ascii="Calibri" w:eastAsia="宋体" w:hAnsi="Calibri" w:hint="eastAsia"/>
          <w:color w:val="FF0000"/>
          <w:kern w:val="2"/>
          <w:sz w:val="21"/>
          <w:szCs w:val="21"/>
          <w:lang w:eastAsia="zh-CN"/>
        </w:rPr>
        <w:t>或</w:t>
      </w:r>
      <w:r>
        <w:rPr>
          <w:rFonts w:ascii="Calibri" w:eastAsia="宋体" w:hAnsi="Calibri"/>
          <w:color w:val="FF0000"/>
          <w:kern w:val="2"/>
          <w:sz w:val="21"/>
          <w:szCs w:val="21"/>
          <w:lang w:eastAsia="zh-CN"/>
        </w:rPr>
        <w:t>系统</w:t>
      </w:r>
      <w:r>
        <w:rPr>
          <w:rFonts w:ascii="Calibri" w:eastAsia="宋体" w:hAnsi="Calibri" w:hint="eastAsia"/>
          <w:color w:val="FF0000"/>
          <w:kern w:val="2"/>
          <w:sz w:val="21"/>
          <w:szCs w:val="21"/>
          <w:lang w:eastAsia="zh-CN"/>
        </w:rPr>
        <w:t>，</w:t>
      </w:r>
      <w:r>
        <w:rPr>
          <w:rFonts w:ascii="Calibri" w:eastAsia="宋体" w:hAnsi="Calibri"/>
          <w:color w:val="FF0000"/>
          <w:kern w:val="2"/>
          <w:sz w:val="21"/>
          <w:szCs w:val="21"/>
          <w:lang w:eastAsia="zh-CN"/>
        </w:rPr>
        <w:t>使用本项目中的设备或</w:t>
      </w:r>
      <w:r>
        <w:rPr>
          <w:rFonts w:ascii="Calibri" w:eastAsia="宋体" w:hAnsi="Calibri" w:hint="eastAsia"/>
          <w:color w:val="FF0000"/>
          <w:kern w:val="2"/>
          <w:sz w:val="21"/>
          <w:szCs w:val="21"/>
          <w:lang w:eastAsia="zh-CN"/>
        </w:rPr>
        <w:t>系统</w:t>
      </w:r>
      <w:r>
        <w:rPr>
          <w:rFonts w:ascii="Calibri" w:eastAsia="宋体" w:hAnsi="Calibri"/>
          <w:color w:val="FF0000"/>
          <w:kern w:val="2"/>
          <w:sz w:val="21"/>
          <w:szCs w:val="21"/>
          <w:lang w:eastAsia="zh-CN"/>
        </w:rPr>
        <w:t>即能实现</w:t>
      </w:r>
      <w:r>
        <w:rPr>
          <w:rFonts w:ascii="Calibri" w:eastAsia="宋体" w:hAnsi="Calibri" w:hint="eastAsia"/>
          <w:color w:val="FF0000"/>
          <w:kern w:val="2"/>
          <w:sz w:val="21"/>
          <w:szCs w:val="21"/>
          <w:lang w:eastAsia="zh-CN"/>
        </w:rPr>
        <w:t>相应功能</w:t>
      </w:r>
      <w:r>
        <w:rPr>
          <w:rFonts w:ascii="Calibri" w:eastAsia="宋体" w:hAnsi="Calibri"/>
          <w:color w:val="FF0000"/>
          <w:kern w:val="2"/>
          <w:sz w:val="21"/>
          <w:szCs w:val="21"/>
          <w:lang w:eastAsia="zh-CN"/>
        </w:rPr>
        <w:t>或</w:t>
      </w:r>
      <w:r>
        <w:rPr>
          <w:rFonts w:ascii="Calibri" w:eastAsia="宋体" w:hAnsi="Calibri" w:hint="eastAsia"/>
          <w:color w:val="FF0000"/>
          <w:kern w:val="2"/>
          <w:sz w:val="21"/>
          <w:szCs w:val="21"/>
          <w:lang w:eastAsia="zh-CN"/>
        </w:rPr>
        <w:t>满足相关</w:t>
      </w:r>
      <w:r>
        <w:rPr>
          <w:rFonts w:ascii="Calibri" w:eastAsia="宋体" w:hAnsi="Calibri"/>
          <w:color w:val="FF0000"/>
          <w:kern w:val="2"/>
          <w:sz w:val="21"/>
          <w:szCs w:val="21"/>
          <w:lang w:eastAsia="zh-CN"/>
        </w:rPr>
        <w:t>要求。</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4、针对招标文件产品技术参数如涉及相关既定值、单向范围值、区间范围值的，投标技术参数响应方式举例说明如下：</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（1）涉及相关既定值的，例：招标技术参数要求值为“20L”，投标技术参数响应值与“20L”不一致的，均视为负偏离；</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widowControl w:val="0"/>
        <w:spacing w:after="78"/>
        <w:jc w:val="left"/>
        <w:rPr>
          <w:rFonts w:ascii="Calibri" w:eastAsia="宋体" w:hAnsi="Calibri"/>
          <w:color w:val="FF0000"/>
          <w:kern w:val="2"/>
          <w:sz w:val="21"/>
          <w:szCs w:val="21"/>
          <w:lang w:eastAsia="zh-CN"/>
        </w:rPr>
      </w:pPr>
      <w:r>
        <w:rPr>
          <w:rFonts w:ascii="Calibri" w:eastAsia="宋体" w:hAnsi="Calibri"/>
          <w:color w:val="FF0000"/>
          <w:kern w:val="2"/>
          <w:sz w:val="21"/>
          <w:szCs w:val="21"/>
          <w:lang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66"/>
        <w:gridCol w:w="1923"/>
        <w:gridCol w:w="5899"/>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序号</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设备名称</w:t>
            </w:r>
          </w:p>
        </w:tc>
        <w:tc>
          <w:tcPr>
            <w:tcW w:w="5899"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技术参数要求</w:t>
            </w:r>
          </w:p>
        </w:tc>
      </w:tr>
      <w:tr>
        <w:tblPrEx>
          <w:tblW w:w="5000" w:type="pct"/>
          <w:jc w:val="center"/>
          <w:tblLayout w:type="fixed"/>
          <w:tblCellMar>
            <w:top w:w="0" w:type="dxa"/>
            <w:left w:w="108" w:type="dxa"/>
            <w:bottom w:w="0" w:type="dxa"/>
            <w:right w:w="108" w:type="dxa"/>
          </w:tblCellMar>
        </w:tblPrEx>
        <w:trPr>
          <w:jc w:val="center"/>
        </w:trPr>
        <w:tc>
          <w:tcPr>
            <w:tcW w:w="9288" w:type="dxa"/>
            <w:gridSpan w:val="3"/>
            <w:vAlign w:val="center"/>
          </w:tcPr>
          <w:p>
            <w:pPr>
              <w:spacing w:after="78"/>
              <w:jc w:val="center"/>
              <w:rPr>
                <w:rFonts w:ascii="宋体" w:hAnsi="宋体" w:cs="宋体"/>
                <w:color w:val="FF0000"/>
                <w:kern w:val="2"/>
                <w:sz w:val="21"/>
                <w:szCs w:val="21"/>
                <w:lang w:eastAsia="zh-CN"/>
              </w:rPr>
            </w:pPr>
            <w:r>
              <w:rPr>
                <w:rFonts w:ascii="宋体" w:hAnsi="宋体" w:cs="宋体" w:hint="eastAsia"/>
                <w:color w:val="000000"/>
                <w:kern w:val="2"/>
                <w:sz w:val="21"/>
                <w:szCs w:val="21"/>
                <w:lang w:eastAsia="zh-CN"/>
              </w:rPr>
              <w:t>化学实验室</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教师总电源</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1、尺寸：≥w405*d405*h100mm，装置在主控台组合柜内，采用耐磨、耐腐蚀的PVC薄膜面板，元器件，微电脑控制，轻触按钮开关；</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2、输入电压：220v±10%；</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3、教师电源：交流输出2-24V,2V/档，额定电流6A，过载保护：超过105%额定电流自动保护。轻触开关直选输出电压，高精度数字电压电流表显示，显示误差：交流电压1%，交流电流1%；</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4、直流输出1-24V（极限0-24V），精度0.1V，键盘直选电压控制方式，额定电流6A，过载保护：超过105%额定电流自动保护。高精度数字电压电流表显示，显示误差：直流电压0.5%，直流电流0.5%； </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5、使用环境：温度0-40℃，湿度&lt;90%。</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spacing w:after="78"/>
              <w:jc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塔吊控制系统</w:t>
            </w:r>
          </w:p>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（含塔吊控制器和控制面板）</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6、采用标准的86盒模块，内嵌4寸彩色触摸液晶屏，微电脑单片机控制设备的使用；</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7、教师塔吊升降控制、学生塔吊升降控制；</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8、教师塔吊照明控制、学生塔吊照明控制；</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9、控制器可控制教师塔吊及学生塔吊。</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主体框架（长）</w:t>
            </w:r>
          </w:p>
        </w:tc>
        <w:tc>
          <w:tcPr>
            <w:tcW w:w="5899" w:type="dxa"/>
            <w:vAlign w:val="center"/>
          </w:tcPr>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10、规格：≥w1730*d600*h270mm；</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11、龙骨：整体采用1.0mm（±0.2mm）冷轧钢板，经激光雕刻机精细雕刻，数控折弯成型，表面经环氧树脂粉末喷涂高温固化处理；</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 xml:space="preserve">12、内置组件固定装置：采用1.0mm（±0.2mm）冷轧钢板，数控折弯成型；                                                      </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 xml:space="preserve">13、外壳：整体采用1.0mm（±0.2mm）冷轧钢板，正面大圆弧角设计，经激光雕刻机精细雕刻，数控折弯一体成型，表面经环氧树脂粉末喷涂高温固化处理，可重复拆卸拼装；                                                                           </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14、塔吊两侧堵头目前采用ABS材质；</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 xml:space="preserve">15、顶部检修口全部采用1.0mm（±0.2mm）冷轧钢板，高强度内六角螺丝连接，便于组装及拆卸，易碰撞处全部采用倒圆角，金属表面经环氧树脂粉末喷涂高温固化处理；                                  </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16、左右侧板并全部采用1.0mm（±0.2mm）冷轧钢板，高强度内六角螺丝连接，便于组装及拆卸，金属表面经环氧树脂粉末喷涂高温固化处理；</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17、含塔吊吊架、塔吊吊顶装饰盖；</w:t>
            </w:r>
          </w:p>
          <w:p>
            <w:pPr>
              <w:widowControl/>
              <w:jc w:val="left"/>
              <w:textAlignment w:val="center"/>
              <w:rPr>
                <w:rFonts w:ascii="宋体" w:hAnsi="宋体" w:cs="宋体"/>
                <w:color w:val="FF0000"/>
                <w:sz w:val="21"/>
                <w:szCs w:val="21"/>
                <w:lang w:eastAsia="zh-CN" w:bidi="ar"/>
              </w:rPr>
            </w:pPr>
            <w:r>
              <w:rPr>
                <w:rFonts w:ascii="宋体" w:hAnsi="宋体" w:cs="宋体" w:hint="eastAsia"/>
                <w:color w:val="000000"/>
                <w:sz w:val="21"/>
                <w:szCs w:val="21"/>
                <w:lang w:eastAsia="zh-CN" w:bidi="ar"/>
              </w:rPr>
              <w:t>▲</w:t>
            </w:r>
            <w:r>
              <w:rPr>
                <w:rFonts w:ascii="宋体" w:hAnsi="宋体" w:cs="宋体" w:hint="eastAsia"/>
                <w:color w:val="FF0000"/>
                <w:sz w:val="21"/>
                <w:szCs w:val="21"/>
                <w:lang w:eastAsia="zh-CN" w:bidi="ar"/>
              </w:rPr>
              <w:t>18、依据GB/T 35607-2017和GB/T 3325-2017标准对塔吊主体框架进行有害物质限量和甲醛释放量检测，其中重金属含量，可溶性铅、可溶性镉、可溶性铬和可溶性汞均未检出；甲醛释放量检测结果为未检出。</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三年内；)</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w:t>
            </w:r>
            <w:r>
              <w:rPr>
                <w:rFonts w:ascii="宋体" w:hAnsi="宋体" w:cs="宋体" w:hint="eastAsia"/>
                <w:color w:val="FF0000"/>
                <w:sz w:val="21"/>
                <w:szCs w:val="21"/>
                <w:lang w:eastAsia="zh-CN" w:bidi="ar"/>
              </w:rPr>
              <w:t>19、依据GB/T 35607-2017和GB/T 3325-2017标准对塔吊主体框架金属件进行抗盐雾检测，18h，直径1.5mm以下锈点≤20点/dm²，其中直径≥1.0mm锈点不超过5点（距边缘棱角2mm以内的不计），检测结果应为符合。</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三年内；)</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主体框架（短）</w:t>
            </w:r>
          </w:p>
        </w:tc>
        <w:tc>
          <w:tcPr>
            <w:tcW w:w="5899" w:type="dxa"/>
            <w:vAlign w:val="center"/>
          </w:tcPr>
          <w:p>
            <w:pPr>
              <w:widowControl/>
              <w:numPr>
                <w:ilvl w:val="0"/>
                <w:numId w:val="1"/>
              </w:numPr>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规格：≥w1000*d600*h270mm；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21、龙骨：整体采用1.0mm（±0.2mm）冷轧钢板，经激光雕刻机精细雕刻，数控折弯成型，表面经环氧树脂粉末喷涂高温固化处理；</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22、内置组件固定装置：采用1.0mm（±0.2mm）冷轧钢板，数控折弯成型；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23、外壳：整体采用1.0mm（±0.2mm）冷轧钢板，正面大圆弧角设计，经激光雕刻机精细雕刻，数控折弯一体成型，表面经环氧树脂粉末喷涂高温固化处理，可重复拆卸拼装；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24、塔吊两侧堵头目前采用ABS材质；</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25、顶部检修口全部采用1.0mm（±0.2mm）冷轧钢板，高强度内六角螺丝连接，金属表面经环氧树脂粉末喷涂高温固化处理；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26、左右侧板并全部采用1.0mm（±0.2mm）冷轧钢板，高强度内六角螺丝连接，金属表面经环氧树脂粉末喷涂高温固化处理；</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27、含塔吊吊架、塔吊吊顶装饰盖。</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塔吊升降模块               （含升降电机）</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28、规格：≥w470*d310*h810/1310mm；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29、整体采用整体采用1.2mm（±0.2mm）冷轧钢板，经激光雕刻机精细雕刻，数控折弯成型，表面经环氧树脂粉末喷涂高温固化处理，可重复拆卸拼装；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30、塔吊升降模块：采用双推杆电机配置，使用垂直升降的方式，可以在0-500mm之间；</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31、安装基座采用冷轧方管。金属表面经环氧树脂粉末喷涂高温固化处理。</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主体框架</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32、规格：≥w1000*d600*h270mm；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33、龙骨：整体采用1.0mm（±0.2mm）冷轧钢板，经激光雕刻机精细雕刻，数控折弯成型，表面经环氧树脂粉末喷涂高温固化处理；</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34、内置组件固定装置：采用1.0mm（±0.2mm）冷轧钢板，数控折弯成型；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35、外壳：整体采用1.0mm（±0.2mm）冷轧钢板，正面大圆弧角设计，经激光雕刻机精细雕刻，数控折弯一体成型，表面经环氧树脂粉末喷涂高温固化处理，可重复拆卸拼装；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36、塔吊两侧堵头目前采用ABS材质；</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37、顶部检修口全部采用1.0mm（±0.2mm）冷轧钢板，高强度内六角螺丝连接，金属表面经环氧树脂粉末喷涂高温固化处理；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38、左右侧板并全部采用1.0mm（±0.2mm）冷轧钢板，高强度内六角螺丝连接，金属表面经环氧树脂粉末喷涂高温固化处理；</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39、含塔吊吊架、塔吊吊顶装饰盖。</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塔吊升降模块               （含升降电机）</w:t>
            </w:r>
          </w:p>
        </w:tc>
        <w:tc>
          <w:tcPr>
            <w:tcW w:w="5899" w:type="dxa"/>
            <w:vAlign w:val="center"/>
          </w:tcPr>
          <w:p>
            <w:pPr>
              <w:widowControl/>
              <w:numPr>
                <w:ilvl w:val="0"/>
                <w:numId w:val="2"/>
              </w:numPr>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规格：≥w470*d310*h810/1310mm；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41、整体采用整体采用1.2mm（±0.2mm）冷轧钢板，经激光雕刻机精细雕刻，数控折弯成型，表面经环氧树脂粉末喷涂高温固化处理，可重复拆卸拼装；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42、塔吊升降模块：采用双推杆电机配置，使用垂直升降的方式，可以在0-500mm之间；</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43、安装基座采用冷轧方管。金属表面经环氧树脂粉末喷涂高温固化处理。</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防漏快接头</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44、快接头：采用进口PP改性材料，注塑模具一体成型，高精度装配，成品使用时无溢漏、可快速安装接头，该接头具有自动闭锁功能（供水过程中拔掉接头时没有污水流出），以响声确认安全连接，易于单手操作。</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水管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 xml:space="preserve">45、采用原生橡胶（耐磨、防爆耐压纤维编织网、防止真菌和藻类生长）。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给排水水泵</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46、零压自吸、垂直吸程3米、每分钟流量15L、垂直扬程38米；内部主要部件采用耐腐蚀之王的氟橡胶作为材料，具有耐腐蚀的作用；强力排空，通水通电后自动排空气；电机采用全铜永磁电机用强劲动力让水泵的运行。</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三联水嘴</w:t>
            </w:r>
          </w:p>
        </w:tc>
        <w:tc>
          <w:tcPr>
            <w:tcW w:w="5899" w:type="dxa"/>
            <w:vAlign w:val="center"/>
          </w:tcPr>
          <w:p>
            <w:pPr>
              <w:widowControl/>
              <w:jc w:val="left"/>
              <w:textAlignment w:val="center"/>
              <w:rPr>
                <w:rFonts w:ascii="宋体" w:hAnsi="宋体" w:cs="宋体"/>
                <w:color w:val="000000"/>
                <w:kern w:val="2"/>
                <w:sz w:val="21"/>
                <w:szCs w:val="21"/>
                <w:lang w:eastAsia="zh-CN" w:bidi="ar"/>
              </w:rPr>
            </w:pPr>
            <w:r>
              <w:rPr>
                <w:rFonts w:ascii="宋体" w:hAnsi="宋体" w:cs="宋体"/>
                <w:color w:val="000000"/>
                <w:kern w:val="2"/>
                <w:sz w:val="21"/>
                <w:szCs w:val="21"/>
                <w:lang w:eastAsia="zh-CN" w:bidi="ar"/>
              </w:rPr>
              <w:t>47、规格：≥w240*d160*h550mm；采用加厚铜质材料；</w:t>
            </w:r>
          </w:p>
          <w:p>
            <w:pPr>
              <w:widowControl/>
              <w:jc w:val="left"/>
              <w:textAlignment w:val="center"/>
              <w:rPr>
                <w:rFonts w:ascii="宋体" w:hAnsi="宋体" w:cs="宋体"/>
                <w:color w:val="000000"/>
                <w:kern w:val="2"/>
                <w:sz w:val="21"/>
                <w:szCs w:val="21"/>
                <w:lang w:eastAsia="zh-CN" w:bidi="ar"/>
              </w:rPr>
            </w:pPr>
            <w:r>
              <w:rPr>
                <w:rFonts w:ascii="宋体" w:hAnsi="宋体" w:cs="宋体"/>
                <w:color w:val="000000"/>
                <w:kern w:val="2"/>
                <w:sz w:val="21"/>
                <w:szCs w:val="21"/>
                <w:lang w:eastAsia="zh-CN" w:bidi="ar"/>
              </w:rPr>
              <w:t>高亮度环氧树脂涂层；耐腐蚀、耐热、防紫外线辐射；</w:t>
            </w:r>
          </w:p>
          <w:p>
            <w:pPr>
              <w:widowControl/>
              <w:jc w:val="left"/>
              <w:textAlignment w:val="center"/>
              <w:rPr>
                <w:rFonts w:ascii="宋体" w:hAnsi="宋体" w:cs="宋体"/>
                <w:color w:val="FF0000"/>
                <w:kern w:val="2"/>
                <w:sz w:val="21"/>
                <w:szCs w:val="21"/>
                <w:lang w:eastAsia="zh-CN"/>
              </w:rPr>
            </w:pPr>
            <w:r>
              <w:rPr>
                <w:rFonts w:ascii="宋体" w:hAnsi="宋体" w:cs="宋体"/>
                <w:color w:val="000000"/>
                <w:kern w:val="2"/>
                <w:sz w:val="21"/>
                <w:szCs w:val="21"/>
                <w:lang w:eastAsia="zh-CN" w:bidi="ar"/>
              </w:rPr>
              <w:t>48、陶瓷阀芯90°旋转；使用寿命开关50万次；静态最大耐压20巴；特制鹅颈管可360旋转；可拆卸铜质水嘴；底部增加过滤网，过滤水中杂质。</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下水密封装置及给排水配件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49、连接管、转接头、钢丝管、弯头、三通等。</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塔吊通风组件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 xml:space="preserve">50、UV抗腐蚀、抗老化、耐酸碱、高温、阻燃；属B2耐燃材料，具有自熄性。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电源</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51、尺寸：≥w196*d84*h54mm；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52、面板采用耐磨、耐腐蚀的PVC薄膜面板，轻触按钮开关。单片机控制数码管显示交直流电压、电流；</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53、输入电压：220v±10%；交流输出：2-24V，2V一档共12档，额定电流2-12V，3A，14-24V，2A,数字电压电流表实时显示，精度1%，具有智能过载保护功能，当电流高于1.05倍额定电流时，自动断开，按开关键复位；</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54、直流输出：1.5-24V（极限0-24V），0.1V一档，额定电流1.5-12V，2A，12.1-24V，1.5A，数字电压电流表实时显示，精度0.5%。具有智能过载保护功能，当电流高于1.05倍额定电流时，自动断开，按开关键复位。使用环境：温度0-40℃，湿度&lt;90%。</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筒灯</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 xml:space="preserve">55、色温：常规色温：自然光（NW）4000-4500K；                             56、使用寿命：使用50,000小时以上；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USB面板插座</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57、配有多功能220V插孔和USB5V 2.4A USB电源插孔；                                 </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58、面板选用PC料；插座铜片使用锡磷青铜。</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网口插座</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59、配有1个网口接头插孔；                                 </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60、选用阻燃效果好，耐高温，高绝缘性的材质；携带可开启保护门。</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教师演示台</w:t>
            </w:r>
          </w:p>
        </w:tc>
        <w:tc>
          <w:tcPr>
            <w:tcW w:w="5899" w:type="dxa"/>
            <w:vAlign w:val="center"/>
          </w:tcPr>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61、全钢结构，尺寸≥w2400*d700*h875mm；</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62、台面：采用12.7mm（±0.5mm）厚、四周加厚至25.4mm（±1mm）厚实芯理化板；</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63、柜体：采用1.0mm（±0.2mm）冷轧钢板，采用二氧化碳保护焊焊接，边缘打磨处理，表面经酸洗、磷化及环氧树脂户外粉静电喷涂；整体讲台由2个独立的柜体组合而成，柜体中预留了教师主控电源位置；</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64、布线布管：在讲台的柜体与背板之间预留了电路、水路的布线布管空间；</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65、拉手：在柜门或抽屉正面上方处一体折弯而成；</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66、门板及抽面：采用双层钢板，两层组装式设计，两层双面都经过喷涂处理；</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67、铰链：厚度2.0mm（±0.2mm）的六孔位合页；</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68、滑轨：三节重型滚珠滑轨；</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69、固定桌脚：采用柜体内置可调PP塑料调整脚，可以调节高低；</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70、依据GB/T 35607-2017和GB/T 3325-2017标准对教师演示台理化性能进行检测，操作台面耐磨：磨损值检测结果≤30mg/100r；耐龟裂性检测结果不低于0级；金属喷漆（塑）涂层硬度检测结果≥2H；金属喷漆（塑）涂层附着力检测结果不低于1级。</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三年内；)</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71、依据GB/T 35607-2017和GB/T 3325-2017标准对教师演示台进行有害物质限量检测，其中甲醛释放量检测结果≤0.2mg/L；重金属含量中，可溶性铅、可溶性镉、可溶性铬和可溶性汞均未检出。</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三年内；)</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教师办公椅</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72、规格：w640mm*d640mm*h1160mm(±5%)；面料：椅背采用透气网布，坐垫采用新板+密度棉+网布。底盘：有逍遥调节功能，360度旋转，气杆升降调节，高靠背带有头枕。</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化学学生实验台</w:t>
            </w:r>
          </w:p>
        </w:tc>
        <w:tc>
          <w:tcPr>
            <w:tcW w:w="5899" w:type="dxa"/>
            <w:vAlign w:val="center"/>
          </w:tcPr>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73、规格：≥w1200*d600*h780mm ,整体结构为双H结构，分面板、钢架、调节脚三部分组成，桌脚全钢结构。                                                                                 74、台面采用≥20mm厚平板一体实芯黑色坯体实验室工业陶瓷台面；</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75、陶瓷板表面耐污染性能：参照GB/T17657-2022标准，污染物接触时间不低于48H，检测报告中应至少包含有双氧水30%，氢氧化钠饱和溶液，异丁醇98%等不少于40种检测试剂,且检测结果等级为5级的不少于40项。</w:t>
            </w:r>
            <w:r>
              <w:rPr>
                <w:rFonts w:ascii="宋体" w:hAnsi="宋体" w:cs="宋体" w:hint="eastAsia"/>
                <w:color w:val="FF0000"/>
                <w:kern w:val="2"/>
                <w:sz w:val="21"/>
                <w:szCs w:val="21"/>
                <w:lang w:eastAsia="zh-CN"/>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检验检测报告出具的时间应在本项目投标截止前一年内；)；</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76、陶瓷台面耐高温性能：参照GB/T17657-2022标准，测试结果为：表面无裂纹。</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一年内；)；</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77、陶瓷台面耐光色牢度性能：参照GB/T17657-2022标准，测试结果为：变色等级4-5级。(</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一年内；)</w:t>
            </w:r>
          </w:p>
          <w:p>
            <w:pPr>
              <w:widowControl/>
              <w:jc w:val="left"/>
              <w:textAlignment w:val="center"/>
              <w:rPr>
                <w:rFonts w:ascii="宋体" w:hAnsi="宋体" w:cs="宋体"/>
                <w:kern w:val="2"/>
                <w:sz w:val="21"/>
                <w:szCs w:val="21"/>
                <w:lang w:eastAsia="zh-CN"/>
              </w:rPr>
            </w:pPr>
            <w:r>
              <w:rPr>
                <w:rFonts w:ascii="宋体" w:hAnsi="宋体" w:cs="宋体" w:hint="eastAsia"/>
                <w:sz w:val="21"/>
                <w:szCs w:val="21"/>
                <w:lang w:eastAsia="zh-CN" w:bidi="ar"/>
              </w:rPr>
              <w:t>78、陶瓷台面甲醛释放量测试结果为：未检出。</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79、钢架：横梁采用5边型≥54mm*54mm壁厚1.2mm（±0.2mm）的钢型材材料一次性成型，材料表面经过防腐氧化处理和纯环氧树脂塑粉高温固化处理；</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80、书包斗框架：采用≥25mm*25mm壁厚1.2mm（±0.2mm）的钢型材材料一次性成型，材料表面经过防腐氧化处理和纯环氧树脂塑粉高温固化处理。桌腿由立柱、铸造链接件和脚套组成立柱采用≥80mm*30mm壁厚1.2mm（±0.2mm）的钢材材料,材料表面经过防腐氧化处理和纯环氧树脂塑粉高温固化处理；</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81、铝链接配件：采用3.2mm（±0.2mm）厚的铝压铸模一次性成型，一侧弧形圆角，弧度和立柱的弧度吻合，材料表面经过防腐氧化处理和纯环氧树脂塑粉高温固化处理；</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82、脚套：采用PP改性材料，注塑模一次性成型。中间有一凹槽，配有同色塑料盖封口；</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83、书包斗：规格≥w510*d280*h109mm,厚度6mm（±0.2mm），采用PP改性材料，塑料注塑模一次性成型，正面设有可悬挂凳子的弧形孔，周边加厚加强，斗内有加强体块，两侧和后侧均设有固定耳连接桌面。</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功能柱</w:t>
            </w:r>
          </w:p>
        </w:tc>
        <w:tc>
          <w:tcPr>
            <w:tcW w:w="5899" w:type="dxa"/>
          </w:tcPr>
          <w:p>
            <w:pPr>
              <w:widowControl/>
              <w:jc w:val="left"/>
              <w:textAlignment w:val="top"/>
              <w:rPr>
                <w:rFonts w:ascii="宋体" w:hAnsi="宋体" w:cs="宋体"/>
                <w:color w:val="000000"/>
                <w:sz w:val="21"/>
                <w:szCs w:val="21"/>
                <w:lang w:eastAsia="zh-CN" w:bidi="ar"/>
              </w:rPr>
            </w:pPr>
            <w:r>
              <w:rPr>
                <w:rFonts w:ascii="宋体" w:hAnsi="宋体" w:cs="宋体" w:hint="eastAsia"/>
                <w:color w:val="000000"/>
                <w:sz w:val="21"/>
                <w:szCs w:val="21"/>
                <w:lang w:eastAsia="zh-CN" w:bidi="ar"/>
              </w:rPr>
              <w:t>84、产品规格：≥w375*d221*h750mm；</w:t>
            </w:r>
          </w:p>
          <w:p>
            <w:pPr>
              <w:widowControl/>
              <w:jc w:val="left"/>
              <w:textAlignment w:val="top"/>
              <w:rPr>
                <w:rFonts w:ascii="宋体" w:hAnsi="宋体" w:cs="宋体"/>
                <w:color w:val="FF0000"/>
                <w:kern w:val="2"/>
                <w:sz w:val="21"/>
                <w:szCs w:val="21"/>
                <w:lang w:eastAsia="zh-CN"/>
              </w:rPr>
            </w:pPr>
            <w:r>
              <w:rPr>
                <w:rFonts w:ascii="宋体" w:hAnsi="宋体" w:cs="宋体" w:hint="eastAsia"/>
                <w:color w:val="000000"/>
                <w:sz w:val="21"/>
                <w:szCs w:val="21"/>
                <w:lang w:eastAsia="zh-CN" w:bidi="ar"/>
              </w:rPr>
              <w:t>85、整体采用三段式结构，顶端采用一次成型的理化板材质，中端采用1.0mm（±0.2mm）厚冷轧钢板一次型折弯成型，四周圆弧角设计。含一个五孔插 网口插。</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实验圆凳</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86、规格：¢300*h440mm(±5%)；</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87、凳面采用≥6mm厚PP工程塑料注塑成型；</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88、主支撑柱采用直径50mm（±1mm）圆钢管，顶端为≥165*165mm钢板，采用全周满焊焊接，用四颗六角螺丝连接凳面，结构牢固；</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89、下端五星脚经电镀工艺处理；</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水柜</w:t>
            </w:r>
          </w:p>
        </w:tc>
        <w:tc>
          <w:tcPr>
            <w:tcW w:w="5899" w:type="dxa"/>
            <w:vAlign w:val="center"/>
          </w:tcPr>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90、产品规格：≥w500*d600*h1100mm。（带PP材质滴水架，采用PP材料，尺寸：≥415*75*292mm）；</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91、水槽盖：采用pp材料，≥w500*595*92mm，塑料注塑模一次性成型，表面光面处理。水槽：采用PP材料，壁厚4mm（±0.2mm），塑料注塑模一次性成型四周有10mm高挡水沿；水槽规格：≥w470*d480*h360mm，耐强酸强碱耐＜80℃有机溶剂并耐150℃以下高温；水槽内带溢水口。</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92、主体：采用实验室专用1.0mm（±0.2mm）冷轧钢板材质板折弯冲压形成。拐角设有R20mm圆弧。</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93、正面：采用1.0mm（±0.2mm）冷轧钢板材质板折弯冲压形成。正下方设有向内斜的角度；两侧设有R20的圆角。</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94、门板：采用1.0mm（±0.2mm）冷轧钢板材质板折弯冲压形成。两侧设有R20的圆角。</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95、底座：采用1.0mm（±0.2mm）冷轧钢板材质板折弯冲压形成。四周设有R20的圆角。</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96、脚垫：采用塑胶脚垫。</w:t>
            </w:r>
          </w:p>
          <w:p>
            <w:pPr>
              <w:widowControl/>
              <w:jc w:val="left"/>
              <w:textAlignment w:val="center"/>
              <w:rPr>
                <w:rFonts w:ascii="宋体" w:hAnsi="宋体" w:cs="宋体"/>
                <w:color w:val="FF0000"/>
                <w:sz w:val="21"/>
                <w:szCs w:val="21"/>
                <w:lang w:eastAsia="zh-CN" w:bidi="ar"/>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97、依据GB/T 35607-2017和GB/T32487-2016标准对水柜理化性能进行检测，金属喷漆（塑）涂层硬度检测结果≥2H；金属喷漆（塑）涂层耐腐蚀：24h，乙酸盐雾试验，检测结果不低于10级。</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三年内；)</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98、依据GB/T 35607-2017和GB/T32487-2016标准对水柜进行重金属和挥发性有机化合物检测，其中可溶性铅、可溶性镉、可溶性铬和可溶性汞均未检出；TVOC检测结果≤0.016mg/m³。</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检验检测报告出具的时间应在本项目投标截止前三年内；)</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万向吸风罩</w:t>
            </w:r>
          </w:p>
        </w:tc>
        <w:tc>
          <w:tcPr>
            <w:tcW w:w="5899" w:type="dxa"/>
            <w:vAlign w:val="center"/>
          </w:tcPr>
          <w:p>
            <w:pPr>
              <w:widowControl/>
              <w:jc w:val="left"/>
              <w:textAlignment w:val="center"/>
              <w:rPr>
                <w:rFonts w:ascii="宋体" w:hAnsi="宋体" w:cs="宋体" w:hint="eastAsia"/>
                <w:color w:val="FF0000"/>
                <w:kern w:val="2"/>
                <w:sz w:val="21"/>
                <w:szCs w:val="21"/>
                <w:lang w:eastAsia="zh-CN"/>
              </w:rPr>
            </w:pPr>
            <w:r>
              <w:rPr>
                <w:rFonts w:ascii="宋体" w:hAnsi="宋体" w:cs="宋体" w:hint="eastAsia"/>
                <w:color w:val="000000"/>
                <w:sz w:val="21"/>
                <w:szCs w:val="21"/>
                <w:lang w:eastAsia="zh-CN" w:bidi="ar"/>
              </w:rPr>
              <w:t>99、关节：高密度PP材质，可360°旋转调节方向；关节密封圈：不易老化之高密度橡胶；关节连接杆：304不锈钢；关节松紧选钮：高密度PP材质，内嵌不锈钢轴承，与关节连接杆锁合；气流调节阀：手动调节外部阀门旋钮；拱形集气罩：直径</w:t>
            </w:r>
            <w:r>
              <w:rPr>
                <w:rFonts w:ascii="宋体" w:hAnsi="宋体" w:cs="宋体" w:hint="eastAsia"/>
                <w:sz w:val="21"/>
                <w:szCs w:val="21"/>
                <w:lang w:eastAsia="zh-CN" w:bidi="ar"/>
              </w:rPr>
              <w:t>≥</w:t>
            </w:r>
            <w:r>
              <w:rPr>
                <w:rFonts w:ascii="宋体" w:hAnsi="宋体" w:cs="宋体" w:hint="eastAsia"/>
                <w:color w:val="000000"/>
                <w:sz w:val="21"/>
                <w:szCs w:val="21"/>
                <w:lang w:eastAsia="zh-CN" w:bidi="ar"/>
              </w:rPr>
              <w:t>200mm，高密度PC透明材料制成；伸缩导管：直径</w:t>
            </w:r>
            <w:r>
              <w:rPr>
                <w:rFonts w:ascii="宋体" w:hAnsi="宋体" w:cs="宋体" w:hint="eastAsia"/>
                <w:sz w:val="21"/>
                <w:szCs w:val="21"/>
                <w:lang w:eastAsia="zh-CN" w:bidi="ar"/>
              </w:rPr>
              <w:t>≥</w:t>
            </w:r>
            <w:r>
              <w:rPr>
                <w:rFonts w:ascii="宋体" w:hAnsi="宋体" w:cs="宋体" w:hint="eastAsia"/>
                <w:color w:val="000000"/>
                <w:sz w:val="21"/>
                <w:szCs w:val="21"/>
                <w:lang w:eastAsia="zh-CN" w:bidi="ar"/>
              </w:rPr>
              <w:t>50mm铝合金；铝合金管经过电化表面处理</w:t>
            </w:r>
            <w:r>
              <w:rPr>
                <w:rFonts w:ascii="宋体" w:hAnsi="宋体" w:cs="宋体" w:hint="eastAsia"/>
                <w:color w:val="000000"/>
                <w:sz w:val="21"/>
                <w:szCs w:val="21"/>
                <w:lang w:eastAsia="zh-CN" w:bidi="ar"/>
              </w:rPr>
              <w:t>。</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扣板</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100、铝制材质，厚度≥0.6mm。尺寸：（600mm*600mm）±5%。含安装。</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窗帘</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101、涤纶PVC材质，物理强遮光。</w:t>
            </w:r>
            <w:r>
              <w:rPr>
                <w:rFonts w:ascii="宋体" w:hAnsi="宋体" w:cs="宋体" w:hint="eastAsia"/>
                <w:kern w:val="2"/>
                <w:sz w:val="21"/>
                <w:szCs w:val="21"/>
                <w:lang w:eastAsia="zh-CN"/>
              </w:rPr>
              <w:t>成分：100%聚酯纤维；</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化学元素标语</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102、PVC材质，厚度≥5mm。尺寸：（4000mm长*1000宽mm）±50mm。依据需求定制化学方面的标语。</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LED教室灯</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103、LED教室灯额定功率≤50W。</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104、LED教室灯尺寸长600±10mm、宽600±10mm、厚10±5mm，配合吊顶安装环境；为一体式微晶防眩面板灯，灯具外形应平整、无凹陷和毛刺，焊缝无透光现象，表面均匀、光洁，无流挂现象。</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105、LED教室灯色温（或相关色温）3300-5300K。</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106、LED教室灯显色指数Ra≥90、R9≥50。</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107、LED教室灯色容差≤5 SDCM。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108、LED教室灯通过人体电磁辐射测试。</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109、LED教室灯绝缘电阻和电气强度符合要求。</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110、LED教室灯浪涌符合《GB/T18595》标准要求。</w:t>
            </w:r>
          </w:p>
          <w:p>
            <w:pPr>
              <w:widowControl/>
              <w:jc w:val="left"/>
              <w:textAlignment w:val="center"/>
              <w:rPr>
                <w:rFonts w:ascii="宋体" w:hAnsi="宋体" w:cs="宋体"/>
                <w:color w:val="FF0000"/>
                <w:kern w:val="2"/>
                <w:sz w:val="21"/>
                <w:szCs w:val="21"/>
                <w:lang w:eastAsia="zh-CN"/>
              </w:rPr>
            </w:pPr>
            <w:r>
              <w:rPr>
                <w:rFonts w:ascii="宋体" w:hAnsi="宋体" w:cs="宋体" w:hint="eastAsia"/>
                <w:b/>
                <w:bCs/>
                <w:color w:val="000000"/>
                <w:sz w:val="21"/>
                <w:szCs w:val="21"/>
                <w:lang w:eastAsia="zh-CN" w:bidi="ar"/>
              </w:rPr>
              <w:t>▲</w:t>
            </w:r>
            <w:r>
              <w:rPr>
                <w:rFonts w:ascii="宋体" w:hAnsi="宋体" w:cs="宋体" w:hint="eastAsia"/>
                <w:color w:val="FF0000"/>
                <w:kern w:val="2"/>
                <w:sz w:val="21"/>
                <w:szCs w:val="21"/>
                <w:lang w:eastAsia="zh-CN"/>
              </w:rPr>
              <w:t>111、</w:t>
            </w:r>
            <w:r>
              <w:rPr>
                <w:rFonts w:ascii="宋体" w:hAnsi="宋体" w:cs="宋体" w:hint="eastAsia"/>
                <w:color w:val="FF0000"/>
                <w:sz w:val="21"/>
                <w:szCs w:val="21"/>
                <w:lang w:eastAsia="zh-CN" w:bidi="ar"/>
              </w:rPr>
              <w:t>LED教室灯至少依据</w:t>
            </w:r>
            <w:r>
              <w:rPr>
                <w:rFonts w:ascii="宋体" w:hAnsi="宋体" w:cs="宋体" w:hint="eastAsia"/>
                <w:color w:val="FF0000"/>
                <w:kern w:val="2"/>
                <w:sz w:val="21"/>
                <w:szCs w:val="21"/>
                <w:lang w:eastAsia="zh-CN"/>
              </w:rPr>
              <w:t>《GB/T5700-2008》《GB/T31831-2015》《GB/T9468-2008》及《GB/T31897.1-2015》</w:t>
            </w:r>
            <w:r>
              <w:rPr>
                <w:rFonts w:ascii="宋体" w:hAnsi="宋体" w:cs="宋体" w:hint="eastAsia"/>
                <w:color w:val="FF0000"/>
                <w:sz w:val="21"/>
                <w:szCs w:val="21"/>
                <w:lang w:eastAsia="zh-CN" w:bidi="ar"/>
              </w:rPr>
              <w:t>标准满足透光罩无黄变。</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112、LED教室灯至少依据《GB/T 26572》及《GB/T 26125》标准通过电器电子产品认证。</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113、LED教室灯通过频闪无危害或无频闪危害或无显著影响认证。</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114、LED教室灯蓝光危害等级为RG0（或0类危险）。</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w:t>
            </w:r>
            <w:r>
              <w:rPr>
                <w:rFonts w:ascii="宋体" w:hAnsi="宋体" w:cs="宋体" w:hint="eastAsia"/>
                <w:color w:val="FF0000"/>
                <w:sz w:val="21"/>
                <w:szCs w:val="21"/>
                <w:lang w:eastAsia="zh-CN" w:bidi="ar"/>
              </w:rPr>
              <w:t>115、LED教室灯至少依据</w:t>
            </w:r>
            <w:r>
              <w:rPr>
                <w:rFonts w:ascii="宋体" w:hAnsi="宋体" w:cs="宋体" w:hint="eastAsia"/>
                <w:color w:val="FF0000"/>
                <w:kern w:val="2"/>
                <w:sz w:val="21"/>
                <w:szCs w:val="21"/>
                <w:lang w:eastAsia="zh-CN"/>
              </w:rPr>
              <w:t>《GB/T9468-2008》《GB/T31897.201-2016》《GB/T31831-2015》及《GB/T31897.1-2015》</w:t>
            </w:r>
            <w:r>
              <w:rPr>
                <w:rFonts w:ascii="宋体" w:hAnsi="宋体" w:cs="宋体" w:hint="eastAsia"/>
                <w:color w:val="FF0000"/>
                <w:sz w:val="21"/>
                <w:szCs w:val="21"/>
                <w:lang w:eastAsia="zh-CN" w:bidi="ar"/>
              </w:rPr>
              <w:t>标准通过结构安全认证。</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w:t>
            </w:r>
          </w:p>
          <w:p>
            <w:pPr>
              <w:widowControl/>
              <w:jc w:val="left"/>
              <w:textAlignment w:val="center"/>
              <w:rPr>
                <w:rFonts w:ascii="宋体" w:hAnsi="宋体" w:cs="宋体"/>
                <w:color w:val="FF0000"/>
                <w:kern w:val="2"/>
                <w:sz w:val="21"/>
                <w:szCs w:val="21"/>
                <w:lang w:eastAsia="zh-CN"/>
              </w:rPr>
            </w:pPr>
            <w:r>
              <w:rPr>
                <w:rFonts w:ascii="宋体" w:hAnsi="宋体" w:cs="宋体" w:hint="eastAsia"/>
                <w:b/>
                <w:bCs/>
                <w:color w:val="000000"/>
                <w:sz w:val="21"/>
                <w:szCs w:val="21"/>
                <w:lang w:eastAsia="zh-CN" w:bidi="ar"/>
              </w:rPr>
              <w:t>▲</w:t>
            </w:r>
            <w:r>
              <w:rPr>
                <w:rFonts w:ascii="宋体" w:hAnsi="宋体" w:cs="宋体" w:hint="eastAsia"/>
                <w:color w:val="000000"/>
                <w:sz w:val="21"/>
                <w:szCs w:val="21"/>
                <w:lang w:eastAsia="zh-CN" w:bidi="ar"/>
              </w:rPr>
              <w:t>116、</w:t>
            </w:r>
            <w:r>
              <w:rPr>
                <w:rFonts w:ascii="宋体" w:hAnsi="宋体" w:cs="宋体" w:hint="eastAsia"/>
                <w:color w:val="FF0000"/>
                <w:sz w:val="21"/>
                <w:szCs w:val="21"/>
                <w:lang w:eastAsia="zh-CN" w:bidi="ar"/>
              </w:rPr>
              <w:t>LED教室灯在大气压力≥80kPa，平均湿度≥30%RH及极值空气温度≥35℃的实地环境条件下至少持续运行100小时，至少依据《GB/T31831-2015》《GB/T31897.201-2016》《GB/T5700-2008》、《GB/T31897.1-2015》及《GB/T9468-2008》标准通过可靠认证。</w:t>
            </w:r>
            <w:r>
              <w:rPr>
                <w:rFonts w:ascii="宋体" w:hAnsi="宋体" w:cs="宋体" w:hint="eastAsia"/>
                <w:color w:val="FF0000"/>
                <w:kern w:val="2"/>
                <w:sz w:val="21"/>
                <w:szCs w:val="21"/>
                <w:lang w:eastAsia="zh-CN"/>
              </w:rPr>
              <w:t>(投标时同时提供:①由第三方检验检测机构出具并加盖(或带有)CMA和CNAS标志的检验检测报告扫描件:②上述检验检测报告在全国认证认可信息公共服务平台(认e云)(http://cx.cnca.cn/)的信息查询记录截图。注:对应参数(检验检测项)在检验检测报告中进行标注。)</w:t>
            </w:r>
          </w:p>
          <w:p>
            <w:pPr>
              <w:jc w:val="left"/>
              <w:rPr>
                <w:rFonts w:ascii="宋体" w:hAnsi="宋体" w:cs="宋体" w:hint="eastAsia"/>
                <w:color w:val="FF0000"/>
                <w:kern w:val="2"/>
                <w:sz w:val="21"/>
                <w:szCs w:val="22"/>
                <w:lang w:eastAsia="zh-CN"/>
              </w:rPr>
            </w:pPr>
            <w:r>
              <w:rPr>
                <w:rFonts w:ascii="宋体" w:hAnsi="宋体" w:cs="宋体" w:hint="eastAsia"/>
                <w:color w:val="FF0000"/>
                <w:kern w:val="2"/>
                <w:sz w:val="21"/>
                <w:szCs w:val="21"/>
                <w:lang w:eastAsia="zh-CN"/>
              </w:rPr>
              <w:t>★</w:t>
            </w:r>
            <w:r>
              <w:rPr>
                <w:rFonts w:ascii="宋体" w:hAnsi="宋体" w:cs="宋体" w:hint="eastAsia"/>
                <w:color w:val="FF0000"/>
                <w:kern w:val="2"/>
                <w:sz w:val="21"/>
                <w:szCs w:val="22"/>
                <w:lang w:eastAsia="zh-CN"/>
              </w:rPr>
              <w:t>投标时提供所投 LED</w:t>
            </w:r>
            <w:r>
              <w:rPr>
                <w:rFonts w:ascii="宋体" w:hAnsi="宋体" w:cs="宋体" w:hint="eastAsia"/>
                <w:color w:val="FF0000"/>
                <w:kern w:val="2"/>
                <w:sz w:val="21"/>
                <w:szCs w:val="22"/>
                <w:lang w:eastAsia="zh-CN"/>
              </w:rPr>
              <w:t>教</w:t>
            </w:r>
            <w:r>
              <w:rPr>
                <w:rFonts w:ascii="宋体" w:hAnsi="宋体" w:cs="宋体" w:hint="eastAsia"/>
                <w:color w:val="FF0000"/>
                <w:kern w:val="2"/>
                <w:sz w:val="21"/>
                <w:szCs w:val="22"/>
                <w:lang w:eastAsia="zh-CN"/>
              </w:rPr>
              <w:t>室</w:t>
            </w:r>
            <w:r>
              <w:rPr>
                <w:rFonts w:ascii="宋体" w:hAnsi="宋体" w:cs="宋体" w:hint="eastAsia"/>
                <w:color w:val="FF0000"/>
                <w:kern w:val="2"/>
                <w:sz w:val="21"/>
                <w:szCs w:val="22"/>
                <w:lang w:eastAsia="zh-CN"/>
              </w:rPr>
              <w:t>灯</w:t>
            </w:r>
            <w:r>
              <w:rPr>
                <w:rFonts w:ascii="宋体" w:hAnsi="宋体" w:cs="宋体" w:hint="eastAsia"/>
                <w:color w:val="FF0000"/>
                <w:kern w:val="2"/>
                <w:sz w:val="21"/>
                <w:szCs w:val="22"/>
                <w:lang w:eastAsia="zh-CN"/>
              </w:rPr>
              <w:t>：</w:t>
            </w:r>
          </w:p>
          <w:p>
            <w:pPr>
              <w:jc w:val="left"/>
              <w:rPr>
                <w:rFonts w:ascii="宋体" w:hAnsi="宋体" w:cs="宋体" w:hint="eastAsia"/>
                <w:color w:val="FF0000"/>
                <w:kern w:val="2"/>
                <w:sz w:val="21"/>
                <w:szCs w:val="22"/>
                <w:lang w:eastAsia="zh-CN"/>
              </w:rPr>
            </w:pPr>
            <w:r>
              <w:rPr>
                <w:rFonts w:ascii="宋体" w:hAnsi="宋体" w:cs="宋体" w:hint="eastAsia"/>
                <w:color w:val="FF0000"/>
                <w:kern w:val="2"/>
                <w:sz w:val="21"/>
                <w:szCs w:val="22"/>
                <w:lang w:eastAsia="zh-CN"/>
              </w:rPr>
              <w:t>（1）国家强制性产品认证CCC证书；</w:t>
            </w:r>
          </w:p>
          <w:p>
            <w:pPr>
              <w:jc w:val="left"/>
              <w:rPr>
                <w:rFonts w:ascii="宋体" w:hAnsi="宋体" w:cs="宋体" w:hint="eastAsia"/>
                <w:color w:val="FF0000"/>
                <w:kern w:val="2"/>
                <w:sz w:val="21"/>
                <w:szCs w:val="22"/>
                <w:lang w:eastAsia="zh-CN"/>
              </w:rPr>
            </w:pPr>
            <w:r>
              <w:rPr>
                <w:rFonts w:ascii="宋体" w:hAnsi="宋体" w:cs="宋体" w:hint="eastAsia"/>
                <w:color w:val="FF0000"/>
                <w:kern w:val="2"/>
                <w:sz w:val="21"/>
                <w:szCs w:val="22"/>
                <w:lang w:eastAsia="zh-CN"/>
              </w:rPr>
              <w:t>（2）符合CQC 3155-2016规范的中国节能产品认证证书及检验检测报告【加盖（或带有）CMA</w:t>
            </w:r>
            <w:r>
              <w:rPr>
                <w:rFonts w:ascii="宋体" w:hAnsi="宋体" w:cs="宋体" w:hint="eastAsia"/>
                <w:color w:val="FF0000"/>
                <w:kern w:val="2"/>
                <w:sz w:val="21"/>
                <w:szCs w:val="22"/>
                <w:lang w:eastAsia="zh-CN"/>
              </w:rPr>
              <w:t>和</w:t>
            </w:r>
            <w:r>
              <w:rPr>
                <w:rFonts w:ascii="宋体" w:hAnsi="宋体" w:cs="宋体" w:hint="eastAsia"/>
                <w:color w:val="FF0000"/>
                <w:kern w:val="2"/>
                <w:sz w:val="21"/>
                <w:szCs w:val="22"/>
                <w:lang w:eastAsia="zh-CN"/>
              </w:rPr>
              <w:t>CNAS标志】扫描件；</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FF0000"/>
                <w:kern w:val="2"/>
                <w:sz w:val="21"/>
                <w:szCs w:val="21"/>
                <w:lang w:eastAsia="zh-CN"/>
              </w:rPr>
              <w:t>（</w:t>
            </w:r>
            <w:r>
              <w:rPr>
                <w:rFonts w:ascii="宋体" w:hAnsi="宋体" w:cs="宋体" w:hint="eastAsia"/>
                <w:color w:val="FF0000"/>
                <w:kern w:val="2"/>
                <w:sz w:val="21"/>
                <w:szCs w:val="21"/>
                <w:lang w:eastAsia="zh-CN"/>
              </w:rPr>
              <w:t>3</w:t>
            </w:r>
            <w:r>
              <w:rPr>
                <w:rFonts w:ascii="宋体" w:hAnsi="宋体" w:cs="宋体" w:hint="eastAsia"/>
                <w:color w:val="FF0000"/>
                <w:kern w:val="2"/>
                <w:sz w:val="21"/>
                <w:szCs w:val="21"/>
                <w:lang w:eastAsia="zh-CN"/>
              </w:rPr>
              <w:t>）</w:t>
            </w:r>
            <w:r>
              <w:rPr>
                <w:rFonts w:ascii="宋体" w:hAnsi="宋体" w:cs="宋体" w:hint="eastAsia"/>
                <w:color w:val="FF0000"/>
                <w:kern w:val="2"/>
                <w:sz w:val="21"/>
                <w:szCs w:val="21"/>
                <w:lang w:eastAsia="zh-CN"/>
              </w:rPr>
              <w:t>所投 LED灯具依据《灯和灯系统的光生物安全性（GB/T 20145-2006）》标准检测，检测结果为无危险类或合格或符合。（投标时提供:国内副省级或以上城市计量质量检测机构出具且加盖或带有CMA标志的检验检测报告扫描件，检测类别为:抽样检测；注:检验检测报告出具的时间应在本项目投标截止日前1年内）。</w:t>
            </w:r>
          </w:p>
        </w:tc>
      </w:tr>
      <w:tr>
        <w:tblPrEx>
          <w:tblW w:w="5000" w:type="pct"/>
          <w:jc w:val="center"/>
          <w:tblLayout w:type="fixed"/>
          <w:tblCellMar>
            <w:top w:w="0" w:type="dxa"/>
            <w:left w:w="108" w:type="dxa"/>
            <w:bottom w:w="0" w:type="dxa"/>
            <w:right w:w="108" w:type="dxa"/>
          </w:tblCellMar>
        </w:tblPrEx>
        <w:trPr>
          <w:jc w:val="center"/>
        </w:trPr>
        <w:tc>
          <w:tcPr>
            <w:tcW w:w="9288" w:type="dxa"/>
            <w:gridSpan w:val="3"/>
            <w:vAlign w:val="center"/>
          </w:tcPr>
          <w:p>
            <w:pPr>
              <w:spacing w:after="78"/>
              <w:jc w:val="center"/>
              <w:rPr>
                <w:rFonts w:ascii="宋体" w:hAnsi="宋体" w:cs="宋体"/>
                <w:color w:val="FF0000"/>
                <w:kern w:val="2"/>
                <w:sz w:val="21"/>
                <w:szCs w:val="21"/>
                <w:lang w:eastAsia="zh-CN"/>
              </w:rPr>
            </w:pPr>
            <w:r>
              <w:rPr>
                <w:rFonts w:ascii="宋体" w:hAnsi="宋体" w:cs="宋体" w:hint="eastAsia"/>
                <w:color w:val="000000"/>
                <w:kern w:val="2"/>
                <w:sz w:val="21"/>
                <w:szCs w:val="21"/>
                <w:lang w:eastAsia="zh-CN"/>
              </w:rPr>
              <w:t>准备室</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化学准备实验台</w:t>
            </w:r>
          </w:p>
        </w:tc>
        <w:tc>
          <w:tcPr>
            <w:tcW w:w="5899" w:type="dxa"/>
            <w:vAlign w:val="center"/>
          </w:tcPr>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117、规格：≥w2640*d1200*h780mm,整体结构为双H结构，分面板、钢架、调节脚三部分组成，桌脚全钢结构。                                                                                     118、面板：采用12.7mm（±0.5mm）厚实心理化板；台面前端两角倒圆角R30mm，后端两角倒圆角R10mm，四周倒边R3mm。</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119、依据GB/T17657-2013方法台面板材通过硫酸钠饱和液、碘酒、甲酸（90%）、氯乙烯、氯甲苯、氯化铁（10%）等不少于55项酸、碱及其它化学试剂的检验结果为无明显变化。</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120、依据JC/T 2039-2010方法检测台面板材防霉性能，包含但不局限于：黑曲霉、土曲霉、球毛壳霉、宛氏拟青霉、绳状青霉、出芽短梗霉等不少于6种的霉菌检测。</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121、依据ISO 22196:2011及JC/T 2039-2010方法检测台面板材抗菌性能，包含但不局限于：表皮葡萄球菌、鼠伤寒沙门氏菌、宋氏志贺氏菌、白色葡萄球菌、变异库克菌、等不少于5种菌种检测，结果符合抗菌标准要求。</w:t>
            </w:r>
          </w:p>
          <w:p>
            <w:pPr>
              <w:widowControl/>
              <w:jc w:val="left"/>
              <w:textAlignment w:val="center"/>
              <w:rPr>
                <w:rFonts w:ascii="宋体" w:hAnsi="宋体" w:cs="宋体"/>
                <w:sz w:val="21"/>
                <w:szCs w:val="21"/>
                <w:lang w:eastAsia="zh-CN" w:bidi="ar"/>
              </w:rPr>
            </w:pPr>
            <w:r>
              <w:rPr>
                <w:rFonts w:ascii="宋体" w:hAnsi="宋体" w:cs="宋体" w:hint="eastAsia"/>
                <w:sz w:val="21"/>
                <w:szCs w:val="21"/>
                <w:lang w:eastAsia="zh-CN" w:bidi="ar"/>
              </w:rPr>
              <w:t>122、钢架：横梁采用5边型≥54*54mm壁厚1.2mm（±0.2mm）的钢型材材料一次性成型，材料表面经过防腐氧化处理和纯环氧树脂塑粉高温固化处理。</w:t>
            </w:r>
          </w:p>
          <w:p>
            <w:pPr>
              <w:widowControl/>
              <w:jc w:val="left"/>
              <w:textAlignment w:val="center"/>
              <w:rPr>
                <w:rFonts w:ascii="宋体" w:hAnsi="宋体" w:cs="宋体"/>
                <w:color w:val="FF0000"/>
                <w:kern w:val="2"/>
                <w:sz w:val="21"/>
                <w:szCs w:val="21"/>
                <w:lang w:eastAsia="zh-CN"/>
              </w:rPr>
            </w:pPr>
            <w:r>
              <w:rPr>
                <w:rFonts w:ascii="宋体" w:hAnsi="宋体" w:cs="宋体" w:hint="eastAsia"/>
                <w:sz w:val="21"/>
                <w:szCs w:val="21"/>
                <w:lang w:eastAsia="zh-CN" w:bidi="ar"/>
              </w:rPr>
              <w:t>123、书包斗框架：采用≥25*25mm壁厚1.2mm（±0.2mm）的钢型材材料一次性成型，材料表面经过防腐氧化处理和纯环氧树脂塑粉高温固化处理。桌腿由立柱、铸造链接件和脚套组成立柱采用≥80*30mm壁厚1.2mm（±0.2mm）的钢材材料,材料表面经过防腐氧化处理和纯环氧树脂塑粉高温固化处理。铝链接配件：采用3.2mm（±0.2mm）厚的铝压铸模一次性成型，一侧弧形圆角，弧度和立柱的弧度吻合，材料表面经过防腐氧化处理和纯环氧树脂塑粉高温固化处理；脚套：采用PP改性材料，注塑模一次性成型。中间有一凹槽，配有同色塑料盖封口。</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水柜</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124、产品规格：≥w500*d600*h840mm。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125、水槽盖：采用pp材料，≥w500*595*92mm，塑料注塑模一次性成型，表面光面处理。水槽：采用PP材料，壁厚4mm（±0.2mm），塑料注塑模一次性成型四周有10mm（±0.2mm）高挡水沿；水槽规格：≥w470*d480*h360mm，耐强酸强碱耐＜80℃有机溶剂并耐150℃以下高温；水槽内带溢水口。</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126、主体：采用1.0mm（±0.2mm）冷轧钢板材质板折弯冲压形成。拐角设有R20mm圆弧。</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127、正面：采用1.0mm（±0.2mm）冷轧钢板材质板折弯冲压形成。正下方设有向内斜的角度；两侧设有R20的圆角。</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128、门板：采用1.0mm（±0.2mm）冷轧钢板材质板折弯冲压形成。两侧设有R20的圆角。</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129、底座：采用1.0mm（±0.2mm）冷轧钢板材质板折弯冲压形成。四周设有R20的圆角。</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130、脚垫：采用塑胶脚垫。</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三联水嘴</w:t>
            </w:r>
          </w:p>
        </w:tc>
        <w:tc>
          <w:tcPr>
            <w:tcW w:w="5899" w:type="dxa"/>
            <w:vAlign w:val="center"/>
          </w:tcPr>
          <w:p>
            <w:pPr>
              <w:widowControl/>
              <w:jc w:val="left"/>
              <w:textAlignment w:val="center"/>
              <w:rPr>
                <w:rFonts w:ascii="宋体" w:hAnsi="宋体" w:cs="宋体"/>
                <w:color w:val="000000"/>
                <w:kern w:val="2"/>
                <w:sz w:val="21"/>
                <w:szCs w:val="21"/>
                <w:lang w:eastAsia="zh-CN" w:bidi="ar"/>
              </w:rPr>
            </w:pPr>
            <w:r>
              <w:rPr>
                <w:rFonts w:ascii="宋体" w:hAnsi="宋体" w:cs="宋体" w:hint="eastAsia"/>
                <w:color w:val="000000"/>
                <w:sz w:val="21"/>
                <w:szCs w:val="21"/>
                <w:lang w:eastAsia="zh-CN" w:bidi="ar"/>
              </w:rPr>
              <w:t>131、</w:t>
            </w:r>
            <w:r>
              <w:rPr>
                <w:rFonts w:ascii="宋体" w:hAnsi="宋体" w:cs="宋体"/>
                <w:color w:val="000000"/>
                <w:kern w:val="2"/>
                <w:sz w:val="21"/>
                <w:szCs w:val="21"/>
                <w:lang w:eastAsia="zh-CN" w:bidi="ar"/>
              </w:rPr>
              <w:t>规格：≥w240*d160*h550mm；采用加厚铜质材料；</w:t>
            </w:r>
          </w:p>
          <w:p>
            <w:pPr>
              <w:widowControl/>
              <w:jc w:val="left"/>
              <w:textAlignment w:val="center"/>
              <w:rPr>
                <w:rFonts w:ascii="宋体" w:hAnsi="宋体" w:cs="宋体"/>
                <w:color w:val="000000"/>
                <w:kern w:val="2"/>
                <w:sz w:val="21"/>
                <w:szCs w:val="21"/>
                <w:lang w:eastAsia="zh-CN" w:bidi="ar"/>
              </w:rPr>
            </w:pPr>
            <w:r>
              <w:rPr>
                <w:rFonts w:ascii="宋体" w:hAnsi="宋体" w:cs="宋体"/>
                <w:color w:val="000000"/>
                <w:kern w:val="2"/>
                <w:sz w:val="21"/>
                <w:szCs w:val="21"/>
                <w:lang w:eastAsia="zh-CN" w:bidi="ar"/>
              </w:rPr>
              <w:t>高亮度环氧树脂涂层；耐腐蚀、耐热、防紫外线辐射；</w:t>
            </w:r>
          </w:p>
          <w:p>
            <w:pPr>
              <w:widowControl/>
              <w:jc w:val="left"/>
              <w:textAlignment w:val="center"/>
              <w:rPr>
                <w:rFonts w:ascii="宋体" w:hAnsi="宋体" w:cs="宋体"/>
                <w:color w:val="FF0000"/>
                <w:kern w:val="2"/>
                <w:sz w:val="21"/>
                <w:szCs w:val="21"/>
                <w:lang w:eastAsia="zh-CN"/>
              </w:rPr>
            </w:pPr>
            <w:r>
              <w:rPr>
                <w:rFonts w:ascii="宋体" w:hAnsi="宋体" w:cs="宋体"/>
                <w:color w:val="000000"/>
                <w:kern w:val="2"/>
                <w:sz w:val="21"/>
                <w:szCs w:val="21"/>
                <w:lang w:eastAsia="zh-CN" w:bidi="ar"/>
              </w:rPr>
              <w:t>陶瓷阀芯90°旋转；使用寿命开关50万次；静态最大耐压20巴；特制鹅颈管可360旋转；可拆卸铜质水嘴；底部增加过滤网，过滤水中杂质。</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教师办公台</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132、规格：≥w1400*d600*h780mm；结构：全木结构；材质：面板采用25mm（±1mm）厚双贴面生态板制作；台身采用16mm（±1mm）厚双贴面生态板制作；其截面采用PVC封边带利用机机械高温热熔胶封边；脚垫：材料采用PP，模具注塑一次成型。</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33</w:t>
            </w:r>
          </w:p>
        </w:tc>
        <w:tc>
          <w:tcPr>
            <w:tcW w:w="1923" w:type="dxa"/>
            <w:vAlign w:val="center"/>
          </w:tcPr>
          <w:p>
            <w:pPr>
              <w:widowControl/>
              <w:jc w:val="center"/>
              <w:textAlignment w:val="center"/>
              <w:rPr>
                <w:rFonts w:ascii="宋体" w:hAnsi="宋体" w:cs="宋体"/>
                <w:color w:val="000000"/>
                <w:kern w:val="2"/>
                <w:sz w:val="21"/>
                <w:szCs w:val="21"/>
                <w:lang w:eastAsia="zh-CN"/>
              </w:rPr>
            </w:pPr>
            <w:r>
              <w:rPr>
                <w:rFonts w:ascii="宋体" w:hAnsi="宋体" w:cs="宋体" w:hint="eastAsia"/>
                <w:color w:val="000000"/>
                <w:sz w:val="21"/>
                <w:szCs w:val="21"/>
                <w:lang w:eastAsia="zh-CN" w:bidi="ar"/>
              </w:rPr>
              <w:t>教师办公椅</w:t>
            </w:r>
          </w:p>
        </w:tc>
        <w:tc>
          <w:tcPr>
            <w:tcW w:w="5899" w:type="dxa"/>
            <w:vAlign w:val="center"/>
          </w:tcPr>
          <w:p>
            <w:pPr>
              <w:widowControl/>
              <w:jc w:val="left"/>
              <w:textAlignment w:val="center"/>
              <w:rPr>
                <w:rFonts w:ascii="宋体" w:hAnsi="宋体" w:cs="宋体"/>
                <w:b/>
                <w:bCs/>
                <w:color w:val="000000"/>
                <w:kern w:val="2"/>
                <w:sz w:val="21"/>
                <w:szCs w:val="21"/>
                <w:lang w:eastAsia="zh-CN"/>
              </w:rPr>
            </w:pPr>
            <w:r>
              <w:rPr>
                <w:rFonts w:ascii="宋体" w:hAnsi="宋体" w:cs="宋体" w:hint="eastAsia"/>
                <w:color w:val="000000"/>
                <w:sz w:val="21"/>
                <w:szCs w:val="21"/>
                <w:lang w:eastAsia="zh-CN" w:bidi="ar"/>
              </w:rPr>
              <w:t>133、规格：w640mm*d640mm*h1160mm(±5%)；面料：椅背采用透气网布，坐垫采用新板+密度棉+网布。底盘：有逍遥调节功能，360度旋转，气杆升降调节，高靠背带有头枕。</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PP仪器柜</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134、尺寸≥w1000*d500*h2000mm；柜体组件（侧板、顶板、柜门）采用pp材质一次性注塑成型，内设加强筋。</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PP药品柜</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13</w:t>
            </w:r>
            <w:r>
              <w:rPr>
                <w:rFonts w:ascii="宋体" w:hAnsi="宋体" w:cs="宋体" w:hint="eastAsia"/>
                <w:color w:val="000000"/>
                <w:sz w:val="21"/>
                <w:szCs w:val="21"/>
                <w:lang w:eastAsia="zh-CN" w:bidi="ar"/>
              </w:rPr>
              <w:t>5</w:t>
            </w:r>
            <w:r>
              <w:rPr>
                <w:rFonts w:ascii="宋体" w:hAnsi="宋体" w:cs="宋体" w:hint="eastAsia"/>
                <w:color w:val="000000"/>
                <w:sz w:val="21"/>
                <w:szCs w:val="21"/>
                <w:lang w:eastAsia="zh-CN" w:bidi="ar"/>
              </w:rPr>
              <w:t>、尺寸≥w1000*d500*h2000mm</w:t>
            </w:r>
            <w:r>
              <w:rPr>
                <w:rFonts w:ascii="宋体" w:hAnsi="宋体" w:cs="宋体" w:hint="eastAsia"/>
                <w:color w:val="000000"/>
                <w:sz w:val="21"/>
                <w:szCs w:val="21"/>
                <w:lang w:eastAsia="zh-CN" w:bidi="ar"/>
              </w:rPr>
              <w:t>；</w:t>
            </w:r>
            <w:r>
              <w:rPr>
                <w:rFonts w:ascii="宋体" w:hAnsi="宋体" w:cs="宋体" w:hint="eastAsia"/>
                <w:color w:val="000000"/>
                <w:sz w:val="21"/>
                <w:szCs w:val="21"/>
                <w:lang w:eastAsia="zh-CN" w:bidi="ar"/>
              </w:rPr>
              <w:t>采用pp材质一次性注塑成型。</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给排水管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36</w:t>
            </w:r>
            <w:r>
              <w:rPr>
                <w:rFonts w:ascii="宋体" w:hAnsi="宋体" w:cs="宋体" w:hint="eastAsia"/>
                <w:color w:val="000000"/>
                <w:sz w:val="21"/>
                <w:szCs w:val="21"/>
                <w:lang w:eastAsia="zh-CN" w:bidi="ar"/>
              </w:rPr>
              <w:t>、给水：采用ф20 PPR水管敷设。排水：使用ф50UPVC专用排水管。含安装。</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制度牌</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37</w:t>
            </w:r>
            <w:r>
              <w:rPr>
                <w:rFonts w:ascii="宋体" w:hAnsi="宋体" w:cs="宋体" w:hint="eastAsia"/>
                <w:color w:val="000000"/>
                <w:sz w:val="21"/>
                <w:szCs w:val="21"/>
                <w:lang w:eastAsia="zh-CN" w:bidi="ar"/>
              </w:rPr>
              <w:t xml:space="preserve">、亚克力制作； 含安全管理制度和实验室人员准入制度各1张。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仪器车</w:t>
            </w:r>
          </w:p>
        </w:tc>
        <w:tc>
          <w:tcPr>
            <w:tcW w:w="5899" w:type="dxa"/>
          </w:tcPr>
          <w:p>
            <w:pPr>
              <w:textAlignment w:val="center"/>
              <w:rPr>
                <w:rFonts w:ascii="宋体" w:hAnsi="宋体" w:cs="宋体"/>
                <w:color w:val="FF0000"/>
                <w:kern w:val="2"/>
                <w:sz w:val="21"/>
                <w:szCs w:val="21"/>
                <w:lang w:eastAsia="zh-CN"/>
              </w:rPr>
            </w:pPr>
            <w:r>
              <w:rPr>
                <w:rFonts w:ascii="宋体" w:hAnsi="宋体" w:cs="宋体" w:hint="eastAsia"/>
                <w:kern w:val="2"/>
                <w:sz w:val="21"/>
                <w:szCs w:val="21"/>
                <w:lang w:eastAsia="zh-CN"/>
              </w:rPr>
              <w:t>1</w:t>
            </w:r>
            <w:r>
              <w:rPr>
                <w:rFonts w:ascii="宋体" w:hAnsi="宋体" w:cs="宋体" w:hint="eastAsia"/>
                <w:kern w:val="2"/>
                <w:sz w:val="21"/>
                <w:szCs w:val="21"/>
                <w:lang w:eastAsia="zh-CN"/>
              </w:rPr>
              <w:t>38</w:t>
            </w:r>
            <w:r>
              <w:rPr>
                <w:rFonts w:ascii="宋体" w:hAnsi="宋体" w:cs="宋体" w:hint="eastAsia"/>
                <w:kern w:val="2"/>
                <w:sz w:val="21"/>
                <w:szCs w:val="21"/>
                <w:lang w:eastAsia="zh-CN"/>
              </w:rPr>
              <w:t>、规格：≥450*450*850mm； 304不锈钢仪器车；配件：静音万向轮，360°全方位旋转，带刹车功能。</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窗帘</w:t>
            </w:r>
          </w:p>
        </w:tc>
        <w:tc>
          <w:tcPr>
            <w:tcW w:w="5899" w:type="dxa"/>
          </w:tcPr>
          <w:p>
            <w:pPr>
              <w:rPr>
                <w:rFonts w:ascii="宋体" w:hAnsi="宋体" w:cs="宋体"/>
                <w:color w:val="FF0000"/>
                <w:kern w:val="2"/>
                <w:sz w:val="21"/>
                <w:szCs w:val="21"/>
                <w:lang w:eastAsia="zh-CN"/>
              </w:rPr>
            </w:pPr>
            <w:r>
              <w:rPr>
                <w:rFonts w:ascii="宋体" w:hAnsi="宋体" w:cs="宋体" w:hint="eastAsia"/>
                <w:kern w:val="2"/>
                <w:sz w:val="21"/>
                <w:szCs w:val="21"/>
                <w:lang w:eastAsia="zh-CN"/>
              </w:rPr>
              <w:t>1</w:t>
            </w:r>
            <w:r>
              <w:rPr>
                <w:rFonts w:ascii="宋体" w:hAnsi="宋体" w:cs="宋体" w:hint="eastAsia"/>
                <w:kern w:val="2"/>
                <w:sz w:val="21"/>
                <w:szCs w:val="21"/>
                <w:lang w:eastAsia="zh-CN"/>
              </w:rPr>
              <w:t>39</w:t>
            </w:r>
            <w:r>
              <w:rPr>
                <w:rFonts w:ascii="宋体" w:hAnsi="宋体" w:cs="宋体" w:hint="eastAsia"/>
                <w:kern w:val="2"/>
                <w:sz w:val="21"/>
                <w:szCs w:val="21"/>
                <w:lang w:eastAsia="zh-CN"/>
              </w:rPr>
              <w:t>、涤纶PVC材质，物理强遮光。</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扣板</w:t>
            </w:r>
          </w:p>
        </w:tc>
        <w:tc>
          <w:tcPr>
            <w:tcW w:w="5899" w:type="dxa"/>
          </w:tcPr>
          <w:p>
            <w:pPr>
              <w:rPr>
                <w:rFonts w:ascii="宋体" w:hAnsi="宋体" w:cs="宋体"/>
                <w:color w:val="FF0000"/>
                <w:kern w:val="2"/>
                <w:sz w:val="21"/>
                <w:szCs w:val="21"/>
                <w:lang w:eastAsia="zh-CN"/>
              </w:rPr>
            </w:pPr>
            <w:r>
              <w:rPr>
                <w:rFonts w:ascii="宋体" w:hAnsi="宋体" w:cs="宋体" w:hint="eastAsia"/>
                <w:kern w:val="2"/>
                <w:sz w:val="21"/>
                <w:szCs w:val="21"/>
                <w:lang w:eastAsia="zh-CN"/>
              </w:rPr>
              <w:t>14</w:t>
            </w:r>
            <w:r>
              <w:rPr>
                <w:rFonts w:ascii="宋体" w:hAnsi="宋体" w:cs="宋体" w:hint="eastAsia"/>
                <w:kern w:val="2"/>
                <w:sz w:val="21"/>
                <w:szCs w:val="21"/>
                <w:lang w:eastAsia="zh-CN"/>
              </w:rPr>
              <w:t>0</w:t>
            </w:r>
            <w:r>
              <w:rPr>
                <w:rFonts w:ascii="宋体" w:hAnsi="宋体" w:cs="宋体" w:hint="eastAsia"/>
                <w:kern w:val="2"/>
                <w:sz w:val="21"/>
                <w:szCs w:val="21"/>
                <w:lang w:eastAsia="zh-CN"/>
              </w:rPr>
              <w:t>、铝制材质，厚度≥0.6mm。尺寸：≥600mm*600mm。含安装。</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平板灯</w:t>
            </w:r>
          </w:p>
        </w:tc>
        <w:tc>
          <w:tcPr>
            <w:tcW w:w="5899" w:type="dxa"/>
          </w:tcPr>
          <w:p>
            <w:pPr>
              <w:rPr>
                <w:rFonts w:ascii="宋体" w:hAnsi="宋体" w:cs="宋体"/>
                <w:color w:val="FF0000"/>
                <w:kern w:val="2"/>
                <w:sz w:val="21"/>
                <w:szCs w:val="21"/>
                <w:lang w:eastAsia="zh-CN"/>
              </w:rPr>
            </w:pPr>
            <w:r>
              <w:rPr>
                <w:rFonts w:ascii="宋体" w:hAnsi="宋体" w:cs="宋体" w:hint="eastAsia"/>
                <w:kern w:val="2"/>
                <w:sz w:val="21"/>
                <w:szCs w:val="21"/>
                <w:lang w:eastAsia="zh-CN"/>
              </w:rPr>
              <w:t>14</w:t>
            </w:r>
            <w:r>
              <w:rPr>
                <w:rFonts w:ascii="宋体" w:hAnsi="宋体" w:cs="宋体" w:hint="eastAsia"/>
                <w:kern w:val="2"/>
                <w:sz w:val="21"/>
                <w:szCs w:val="21"/>
                <w:lang w:eastAsia="zh-CN"/>
              </w:rPr>
              <w:t>1</w:t>
            </w:r>
            <w:r>
              <w:rPr>
                <w:rFonts w:ascii="宋体" w:hAnsi="宋体" w:cs="宋体" w:hint="eastAsia"/>
                <w:kern w:val="2"/>
                <w:sz w:val="21"/>
                <w:szCs w:val="21"/>
                <w:lang w:eastAsia="zh-CN"/>
              </w:rPr>
              <w:t>、（600*600mm）±5%mm，LED灯，功率≥48w。</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离心风机</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42</w:t>
            </w:r>
            <w:r>
              <w:rPr>
                <w:rFonts w:ascii="宋体" w:hAnsi="宋体" w:cs="宋体" w:hint="eastAsia"/>
                <w:color w:val="000000"/>
                <w:sz w:val="21"/>
                <w:szCs w:val="21"/>
                <w:lang w:eastAsia="zh-CN" w:bidi="ar"/>
              </w:rPr>
              <w:t>、结构：塑料离心式风机。功率：7.5KW。风量：0-18500m³/h。风压：1136.8-784Pa。噪音：≤71dB(A)。 转速约：1450 R/MIN。</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变频调速器</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43</w:t>
            </w:r>
            <w:r>
              <w:rPr>
                <w:rFonts w:ascii="宋体" w:hAnsi="宋体" w:cs="宋体" w:hint="eastAsia"/>
                <w:color w:val="000000"/>
                <w:sz w:val="21"/>
                <w:szCs w:val="21"/>
                <w:lang w:eastAsia="zh-CN" w:bidi="ar"/>
              </w:rPr>
              <w:t>、6号7.5Kw、五位数码显示及状态指示灯、频率控制、具有过载保护功能；恒转制控制，输出平稳；</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自动稳压输出，输出短路保护。</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变频调速器电箱</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44</w:t>
            </w:r>
            <w:r>
              <w:rPr>
                <w:rFonts w:ascii="宋体" w:hAnsi="宋体" w:cs="宋体" w:hint="eastAsia"/>
                <w:color w:val="000000"/>
                <w:sz w:val="21"/>
                <w:szCs w:val="21"/>
                <w:lang w:eastAsia="zh-CN" w:bidi="ar"/>
              </w:rPr>
              <w:t>、尺寸：≥w300*d400*h200mm，全钢材质。</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滤波器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45</w:t>
            </w:r>
            <w:r>
              <w:rPr>
                <w:rFonts w:ascii="宋体" w:hAnsi="宋体" w:cs="宋体" w:hint="eastAsia"/>
                <w:color w:val="000000"/>
                <w:sz w:val="21"/>
                <w:szCs w:val="21"/>
                <w:lang w:eastAsia="zh-CN" w:bidi="ar"/>
              </w:rPr>
              <w:t>、采用宽频带高瞬态隔离抗干扰技术，共达118dB共模干扰抑制（CMRR）, 该产品支持传输速率最高达1MBPS,接口传输距离大于1200 米。</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中继器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46</w:t>
            </w:r>
            <w:r>
              <w:rPr>
                <w:rFonts w:ascii="宋体" w:hAnsi="宋体" w:cs="宋体" w:hint="eastAsia"/>
                <w:color w:val="000000"/>
                <w:sz w:val="21"/>
                <w:szCs w:val="21"/>
                <w:lang w:eastAsia="zh-CN" w:bidi="ar"/>
              </w:rPr>
              <w:t>、RS485中继器兼容 EIA/TIA的RS485标准，实现RS485信号放大，接口端采用光电隔离，内部采用工业级超强抗干扰芯片，实现智能判别电路，自动感知数据流方向，信号稳定。</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风机进口入消声器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47</w:t>
            </w:r>
            <w:r>
              <w:rPr>
                <w:rFonts w:ascii="宋体" w:hAnsi="宋体" w:cs="宋体" w:hint="eastAsia"/>
                <w:color w:val="000000"/>
                <w:sz w:val="21"/>
                <w:szCs w:val="21"/>
                <w:lang w:eastAsia="zh-CN" w:bidi="ar"/>
              </w:rPr>
              <w:t>、</w:t>
            </w:r>
            <w:r>
              <w:rPr>
                <w:rFonts w:ascii="宋体" w:hAnsi="宋体" w:cs="宋体" w:hint="eastAsia"/>
                <w:color w:val="000000"/>
                <w:sz w:val="21"/>
                <w:szCs w:val="21"/>
                <w:lang w:eastAsia="zh-CN"/>
              </w:rPr>
              <w:t>尺寸：≥w820*d500，接口≥400mm；采用PVC板经加工后一次性成型，直径与风机入口一致；主要功能：用于降低进、出风口等</w:t>
            </w:r>
            <w:hyperlink r:id="rId5" w:tgtFrame="_blank" w:history="1">
              <w:r>
                <w:rPr>
                  <w:rFonts w:ascii="宋体" w:hAnsi="宋体" w:cs="宋体" w:hint="eastAsia"/>
                  <w:color w:val="000000"/>
                  <w:sz w:val="21"/>
                  <w:szCs w:val="21"/>
                  <w:lang w:eastAsia="zh-CN"/>
                </w:rPr>
                <w:t>空气动力性噪声</w:t>
              </w:r>
            </w:hyperlink>
            <w:r>
              <w:rPr>
                <w:rFonts w:ascii="宋体" w:hAnsi="宋体" w:cs="宋体" w:hint="eastAsia"/>
                <w:color w:val="000000"/>
                <w:sz w:val="21"/>
                <w:szCs w:val="21"/>
                <w:lang w:eastAsia="zh-CN"/>
              </w:rPr>
              <w:t>。</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风机出入口变径节</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48</w:t>
            </w:r>
            <w:r>
              <w:rPr>
                <w:rFonts w:ascii="宋体" w:hAnsi="宋体" w:cs="宋体" w:hint="eastAsia"/>
                <w:color w:val="000000"/>
                <w:sz w:val="21"/>
                <w:szCs w:val="21"/>
                <w:lang w:eastAsia="zh-CN" w:bidi="ar"/>
              </w:rPr>
              <w:t>、</w:t>
            </w:r>
            <w:r>
              <w:rPr>
                <w:rFonts w:ascii="宋体" w:hAnsi="宋体" w:cs="宋体" w:hint="eastAsia"/>
                <w:color w:val="000000"/>
                <w:sz w:val="21"/>
                <w:szCs w:val="21"/>
                <w:lang w:eastAsia="zh-CN"/>
              </w:rPr>
              <w:t>尺寸：≥φ400mm；采用PVC板经加工后一次性成型；主要功能：提高风机效率，降低噪音，减小升力损失等作用。</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49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防雨帽</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49</w:t>
            </w:r>
            <w:r>
              <w:rPr>
                <w:rFonts w:ascii="宋体" w:hAnsi="宋体" w:cs="宋体" w:hint="eastAsia"/>
                <w:color w:val="000000"/>
                <w:sz w:val="21"/>
                <w:szCs w:val="21"/>
                <w:lang w:eastAsia="zh-CN" w:bidi="ar"/>
              </w:rPr>
              <w:t>、</w:t>
            </w:r>
            <w:r>
              <w:rPr>
                <w:rFonts w:ascii="宋体" w:hAnsi="宋体" w:cs="宋体" w:hint="eastAsia"/>
                <w:color w:val="000000"/>
                <w:sz w:val="21"/>
                <w:szCs w:val="21"/>
                <w:lang w:eastAsia="zh-CN"/>
              </w:rPr>
              <w:t>尺寸：≥φ560mm，中间小圈≥400mm，高度≥100mm；采用PVC板制作而成；主要功能保护风机不受雨水侵蚀、防尘、遮阳等方面。</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室内通风管道1</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15</w:t>
            </w:r>
            <w:r>
              <w:rPr>
                <w:rFonts w:ascii="宋体" w:hAnsi="宋体" w:cs="宋体" w:hint="eastAsia"/>
                <w:color w:val="000000"/>
                <w:sz w:val="21"/>
                <w:szCs w:val="21"/>
                <w:lang w:eastAsia="zh-CN" w:bidi="ar"/>
              </w:rPr>
              <w:t>0</w:t>
            </w:r>
            <w:r>
              <w:rPr>
                <w:rFonts w:ascii="宋体" w:hAnsi="宋体" w:cs="宋体" w:hint="eastAsia"/>
                <w:color w:val="000000"/>
                <w:sz w:val="21"/>
                <w:szCs w:val="21"/>
                <w:lang w:eastAsia="zh-CN" w:bidi="ar"/>
              </w:rPr>
              <w:t>、室内管道 DN315PVC管</w:t>
            </w:r>
            <w:r>
              <w:rPr>
                <w:rFonts w:ascii="宋体" w:hAnsi="宋体" w:cs="宋体" w:hint="eastAsia"/>
                <w:color w:val="000000"/>
                <w:sz w:val="21"/>
                <w:szCs w:val="21"/>
                <w:lang w:eastAsia="zh-CN"/>
              </w:rPr>
              <w:t>。壁厚≥4mm。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室内通风管道2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15</w:t>
            </w: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、室内管道 DN250PVC管</w:t>
            </w:r>
            <w:r>
              <w:rPr>
                <w:rFonts w:ascii="宋体" w:hAnsi="宋体" w:cs="宋体" w:hint="eastAsia"/>
                <w:color w:val="000000"/>
                <w:sz w:val="21"/>
                <w:szCs w:val="21"/>
                <w:lang w:eastAsia="zh-CN"/>
              </w:rPr>
              <w:t>。壁厚≥5.5mm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室内通风管道3</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52</w:t>
            </w:r>
            <w:r>
              <w:rPr>
                <w:rFonts w:ascii="宋体" w:hAnsi="宋体" w:cs="宋体" w:hint="eastAsia"/>
                <w:color w:val="000000"/>
                <w:sz w:val="21"/>
                <w:szCs w:val="21"/>
                <w:lang w:eastAsia="zh-CN" w:bidi="ar"/>
              </w:rPr>
              <w:t>、室内管道 DN200PVC管</w:t>
            </w:r>
            <w:r>
              <w:rPr>
                <w:rFonts w:ascii="宋体" w:hAnsi="宋体" w:cs="宋体" w:hint="eastAsia"/>
                <w:color w:val="000000"/>
                <w:sz w:val="21"/>
                <w:szCs w:val="21"/>
                <w:lang w:eastAsia="zh-CN"/>
              </w:rPr>
              <w:t>。壁厚≥3.5mm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室内通风管道4</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53</w:t>
            </w:r>
            <w:r>
              <w:rPr>
                <w:rFonts w:ascii="宋体" w:hAnsi="宋体" w:cs="宋体" w:hint="eastAsia"/>
                <w:color w:val="000000"/>
                <w:sz w:val="21"/>
                <w:szCs w:val="21"/>
                <w:lang w:eastAsia="zh-CN" w:bidi="ar"/>
              </w:rPr>
              <w:t>、室内管道 DN160PVC管</w:t>
            </w:r>
            <w:r>
              <w:rPr>
                <w:rFonts w:ascii="宋体" w:hAnsi="宋体" w:cs="宋体" w:hint="eastAsia"/>
                <w:color w:val="000000"/>
                <w:sz w:val="21"/>
                <w:szCs w:val="21"/>
                <w:lang w:eastAsia="zh-CN"/>
              </w:rPr>
              <w:t>。壁厚≥3.5mm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室内通风管道5</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54</w:t>
            </w:r>
            <w:r>
              <w:rPr>
                <w:rFonts w:ascii="宋体" w:hAnsi="宋体" w:cs="宋体" w:hint="eastAsia"/>
                <w:color w:val="000000"/>
                <w:sz w:val="21"/>
                <w:szCs w:val="21"/>
                <w:lang w:eastAsia="zh-CN" w:bidi="ar"/>
              </w:rPr>
              <w:t>、室内管道 DN110PVC管</w:t>
            </w:r>
            <w:r>
              <w:rPr>
                <w:rFonts w:ascii="宋体" w:hAnsi="宋体" w:cs="宋体" w:hint="eastAsia"/>
                <w:color w:val="000000"/>
                <w:sz w:val="21"/>
                <w:szCs w:val="21"/>
                <w:lang w:eastAsia="zh-CN"/>
              </w:rPr>
              <w:t>。壁厚≥3.2mm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室内通风管道辅材1</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55</w:t>
            </w:r>
            <w:r>
              <w:rPr>
                <w:rFonts w:ascii="宋体" w:hAnsi="宋体" w:cs="宋体" w:hint="eastAsia"/>
                <w:color w:val="000000"/>
                <w:sz w:val="21"/>
                <w:szCs w:val="21"/>
                <w:lang w:eastAsia="zh-CN" w:bidi="ar"/>
              </w:rPr>
              <w:t>、弯头</w:t>
            </w:r>
            <w:r>
              <w:rPr>
                <w:rFonts w:ascii="宋体" w:hAnsi="宋体" w:cs="宋体" w:hint="eastAsia"/>
                <w:color w:val="000000"/>
                <w:sz w:val="21"/>
                <w:szCs w:val="21"/>
                <w:lang w:eastAsia="zh-CN"/>
              </w:rPr>
              <w:t>≥</w:t>
            </w:r>
            <w:r>
              <w:rPr>
                <w:rFonts w:ascii="宋体" w:hAnsi="宋体" w:cs="宋体" w:hint="eastAsia"/>
                <w:color w:val="000000"/>
                <w:sz w:val="21"/>
                <w:szCs w:val="21"/>
                <w:lang w:eastAsia="zh-CN" w:bidi="ar"/>
              </w:rPr>
              <w:t xml:space="preserve"> DN315 ：2个、DN250：2个、DN200：2个、DN160：2个、DN110：3个。变径</w:t>
            </w:r>
            <w:r>
              <w:rPr>
                <w:rFonts w:ascii="宋体" w:hAnsi="宋体" w:cs="宋体" w:hint="eastAsia"/>
                <w:color w:val="000000"/>
                <w:sz w:val="21"/>
                <w:szCs w:val="21"/>
                <w:lang w:eastAsia="zh-CN"/>
              </w:rPr>
              <w:t>≥</w:t>
            </w:r>
            <w:r>
              <w:rPr>
                <w:rFonts w:ascii="宋体" w:hAnsi="宋体" w:cs="宋体" w:hint="eastAsia"/>
                <w:color w:val="000000"/>
                <w:sz w:val="21"/>
                <w:szCs w:val="21"/>
                <w:lang w:eastAsia="zh-CN" w:bidi="ar"/>
              </w:rPr>
              <w:t xml:space="preserve"> DN110、DN160/110：1个，数量</w:t>
            </w:r>
            <w:r>
              <w:rPr>
                <w:rFonts w:ascii="宋体" w:hAnsi="宋体" w:cs="宋体" w:hint="eastAsia"/>
                <w:color w:val="000000"/>
                <w:sz w:val="21"/>
                <w:szCs w:val="21"/>
                <w:lang w:eastAsia="zh-CN"/>
              </w:rPr>
              <w:t>依据现场实际情况测量为准。</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室内通风管道辅材2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56</w:t>
            </w:r>
            <w:r>
              <w:rPr>
                <w:rFonts w:ascii="宋体" w:hAnsi="宋体" w:cs="宋体" w:hint="eastAsia"/>
                <w:color w:val="000000"/>
                <w:sz w:val="21"/>
                <w:szCs w:val="21"/>
                <w:lang w:eastAsia="zh-CN" w:bidi="ar"/>
              </w:rPr>
              <w:t>、吊卡</w:t>
            </w:r>
            <w:r>
              <w:rPr>
                <w:rFonts w:ascii="宋体" w:hAnsi="宋体" w:cs="宋体" w:hint="eastAsia"/>
                <w:color w:val="000000"/>
                <w:sz w:val="21"/>
                <w:szCs w:val="21"/>
                <w:lang w:eastAsia="zh-CN"/>
              </w:rPr>
              <w:t>≥17个</w:t>
            </w:r>
            <w:r>
              <w:rPr>
                <w:rFonts w:ascii="宋体" w:hAnsi="宋体" w:cs="宋体" w:hint="eastAsia"/>
                <w:color w:val="000000"/>
                <w:sz w:val="21"/>
                <w:szCs w:val="21"/>
                <w:lang w:eastAsia="zh-CN" w:bidi="ar"/>
              </w:rPr>
              <w:t>、膨胀螺栓等</w:t>
            </w:r>
            <w:r>
              <w:rPr>
                <w:rFonts w:ascii="宋体" w:hAnsi="宋体" w:cs="宋体" w:hint="eastAsia"/>
                <w:color w:val="000000"/>
                <w:sz w:val="21"/>
                <w:szCs w:val="21"/>
                <w:lang w:eastAsia="zh-CN"/>
              </w:rPr>
              <w:t>。</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室外通风管道</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57</w:t>
            </w:r>
            <w:r>
              <w:rPr>
                <w:rFonts w:ascii="宋体" w:hAnsi="宋体" w:cs="宋体" w:hint="eastAsia"/>
                <w:color w:val="000000"/>
                <w:sz w:val="21"/>
                <w:szCs w:val="21"/>
                <w:lang w:eastAsia="zh-CN" w:bidi="ar"/>
              </w:rPr>
              <w:t>、室外管道 DN400PVC管，≥4m。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室外通风管道辅材3</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58</w:t>
            </w:r>
            <w:r>
              <w:rPr>
                <w:rFonts w:ascii="宋体" w:hAnsi="宋体" w:cs="宋体" w:hint="eastAsia"/>
                <w:color w:val="000000"/>
                <w:sz w:val="21"/>
                <w:szCs w:val="21"/>
                <w:lang w:eastAsia="zh-CN" w:bidi="ar"/>
              </w:rPr>
              <w:t>、室外通风辅材：弯头：</w:t>
            </w:r>
            <w:r>
              <w:rPr>
                <w:rFonts w:ascii="宋体" w:hAnsi="宋体" w:cs="宋体" w:hint="eastAsia"/>
                <w:color w:val="000000"/>
                <w:sz w:val="21"/>
                <w:szCs w:val="21"/>
                <w:lang w:eastAsia="zh-CN"/>
              </w:rPr>
              <w:t>≥</w:t>
            </w:r>
            <w:r>
              <w:rPr>
                <w:rFonts w:ascii="宋体" w:hAnsi="宋体" w:cs="宋体" w:hint="eastAsia"/>
                <w:color w:val="000000"/>
                <w:sz w:val="21"/>
                <w:szCs w:val="21"/>
                <w:lang w:eastAsia="zh-CN" w:bidi="ar"/>
              </w:rPr>
              <w:t>4个、变径</w:t>
            </w:r>
            <w:r>
              <w:rPr>
                <w:rFonts w:ascii="宋体" w:hAnsi="宋体" w:cs="宋体" w:hint="eastAsia"/>
                <w:color w:val="000000"/>
                <w:sz w:val="21"/>
                <w:szCs w:val="21"/>
                <w:lang w:eastAsia="zh-CN"/>
              </w:rPr>
              <w:t>≥</w:t>
            </w:r>
            <w:r>
              <w:rPr>
                <w:rFonts w:ascii="宋体" w:hAnsi="宋体" w:cs="宋体" w:hint="eastAsia"/>
                <w:color w:val="000000"/>
                <w:sz w:val="21"/>
                <w:szCs w:val="21"/>
                <w:lang w:eastAsia="zh-CN" w:bidi="ar"/>
              </w:rPr>
              <w:t>4个、直接</w:t>
            </w:r>
            <w:r>
              <w:rPr>
                <w:rFonts w:ascii="宋体" w:hAnsi="宋体" w:cs="宋体" w:hint="eastAsia"/>
                <w:color w:val="000000"/>
                <w:sz w:val="21"/>
                <w:szCs w:val="21"/>
                <w:lang w:eastAsia="zh-CN"/>
              </w:rPr>
              <w:t>≥7个</w:t>
            </w:r>
            <w:r>
              <w:rPr>
                <w:rFonts w:ascii="宋体" w:hAnsi="宋体" w:cs="宋体" w:hint="eastAsia"/>
                <w:color w:val="000000"/>
                <w:sz w:val="21"/>
                <w:szCs w:val="21"/>
                <w:lang w:eastAsia="zh-CN" w:bidi="ar"/>
              </w:rPr>
              <w:t>、管卡：</w:t>
            </w:r>
            <w:r>
              <w:rPr>
                <w:rFonts w:ascii="宋体" w:hAnsi="宋体" w:cs="宋体" w:hint="eastAsia"/>
                <w:color w:val="000000"/>
                <w:sz w:val="21"/>
                <w:szCs w:val="21"/>
                <w:lang w:eastAsia="zh-CN"/>
              </w:rPr>
              <w:t>≥</w:t>
            </w:r>
            <w:r>
              <w:rPr>
                <w:rFonts w:ascii="宋体" w:hAnsi="宋体" w:cs="宋体" w:hint="eastAsia"/>
                <w:color w:val="000000"/>
                <w:sz w:val="21"/>
                <w:szCs w:val="21"/>
                <w:lang w:eastAsia="zh-CN" w:bidi="ar"/>
              </w:rPr>
              <w:t>16个</w:t>
            </w:r>
            <w:r>
              <w:rPr>
                <w:rFonts w:ascii="宋体" w:hAnsi="宋体" w:cs="宋体" w:hint="eastAsia"/>
                <w:color w:val="000000"/>
                <w:sz w:val="21"/>
                <w:szCs w:val="21"/>
                <w:lang w:eastAsia="zh-CN"/>
              </w:rPr>
              <w:t>。</w:t>
            </w:r>
          </w:p>
        </w:tc>
      </w:tr>
      <w:tr>
        <w:tblPrEx>
          <w:tblW w:w="5000" w:type="pct"/>
          <w:jc w:val="center"/>
          <w:tblLayout w:type="fixed"/>
          <w:tblCellMar>
            <w:top w:w="0" w:type="dxa"/>
            <w:left w:w="108" w:type="dxa"/>
            <w:bottom w:w="0" w:type="dxa"/>
            <w:right w:w="108" w:type="dxa"/>
          </w:tblCellMar>
        </w:tblPrEx>
        <w:trPr>
          <w:jc w:val="center"/>
        </w:trPr>
        <w:tc>
          <w:tcPr>
            <w:tcW w:w="9288" w:type="dxa"/>
            <w:gridSpan w:val="3"/>
            <w:vAlign w:val="center"/>
          </w:tcPr>
          <w:p>
            <w:pPr>
              <w:spacing w:after="78"/>
              <w:jc w:val="center"/>
              <w:rPr>
                <w:rFonts w:ascii="宋体" w:hAnsi="宋体" w:cs="宋体"/>
                <w:color w:val="FF0000"/>
                <w:kern w:val="2"/>
                <w:sz w:val="21"/>
                <w:szCs w:val="21"/>
                <w:lang w:eastAsia="zh-CN"/>
              </w:rPr>
            </w:pPr>
            <w:r>
              <w:rPr>
                <w:rFonts w:ascii="宋体" w:hAnsi="宋体" w:cs="宋体" w:hint="eastAsia"/>
                <w:color w:val="000000"/>
                <w:kern w:val="2"/>
                <w:sz w:val="21"/>
                <w:szCs w:val="21"/>
                <w:lang w:eastAsia="zh-CN"/>
              </w:rPr>
              <w:t>仪器室</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59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毒害品储存柜</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59</w:t>
            </w:r>
            <w:r>
              <w:rPr>
                <w:rFonts w:ascii="宋体" w:hAnsi="宋体" w:cs="宋体" w:hint="eastAsia"/>
                <w:color w:val="000000"/>
                <w:sz w:val="21"/>
                <w:szCs w:val="21"/>
                <w:lang w:eastAsia="zh-CN" w:bidi="ar"/>
              </w:rPr>
              <w:t>、尺寸：≥1800 mm*900 mm *450 mm；门类型：双开门。</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w:t>
            </w:r>
            <w:r>
              <w:rPr>
                <w:rFonts w:ascii="宋体" w:hAnsi="宋体" w:cs="宋体" w:hint="eastAsia"/>
                <w:color w:val="000000"/>
                <w:sz w:val="21"/>
                <w:szCs w:val="21"/>
                <w:lang w:eastAsia="zh-CN" w:bidi="ar"/>
              </w:rPr>
              <w:t>0</w:t>
            </w:r>
            <w:r>
              <w:rPr>
                <w:rFonts w:ascii="宋体" w:hAnsi="宋体" w:cs="宋体" w:hint="eastAsia"/>
                <w:color w:val="000000"/>
                <w:sz w:val="21"/>
                <w:szCs w:val="21"/>
                <w:lang w:eastAsia="zh-CN" w:bidi="ar"/>
              </w:rPr>
              <w:t>、毒品柜外壳体全部采用1.0mm（±0.</w:t>
            </w:r>
            <w:r>
              <w:rPr>
                <w:rFonts w:ascii="宋体" w:hAnsi="宋体" w:cs="宋体"/>
                <w:color w:val="000000"/>
                <w:sz w:val="21"/>
                <w:szCs w:val="21"/>
                <w:lang w:eastAsia="zh-CN" w:bidi="ar"/>
              </w:rPr>
              <w:t>1</w:t>
            </w:r>
            <w:r>
              <w:rPr>
                <w:rFonts w:ascii="宋体" w:hAnsi="宋体" w:cs="宋体" w:hint="eastAsia"/>
                <w:color w:val="000000"/>
                <w:sz w:val="21"/>
                <w:szCs w:val="21"/>
                <w:lang w:eastAsia="zh-CN" w:bidi="ar"/>
              </w:rPr>
              <w:t>mm）的冷轧钢板，内外表面经酸洗磷化环氧树脂粉末喷涂，烘热固化处理。</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w:t>
            </w: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、毒品柜柜整体为双层防火钢板构造，两层钢板之间间隔38mm空气绝缘层。</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62</w:t>
            </w:r>
            <w:r>
              <w:rPr>
                <w:rFonts w:ascii="宋体" w:hAnsi="宋体" w:cs="宋体" w:hint="eastAsia"/>
                <w:color w:val="000000"/>
                <w:sz w:val="21"/>
                <w:szCs w:val="21"/>
                <w:lang w:eastAsia="zh-CN" w:bidi="ar"/>
              </w:rPr>
              <w:t>、产品通过耐火和防爆测试。</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易燃品储藏柜（防火柜）</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63</w:t>
            </w:r>
            <w:r>
              <w:rPr>
                <w:rFonts w:ascii="宋体" w:hAnsi="宋体" w:cs="宋体" w:hint="eastAsia"/>
                <w:color w:val="000000"/>
                <w:sz w:val="21"/>
                <w:szCs w:val="21"/>
                <w:lang w:eastAsia="zh-CN" w:bidi="ar"/>
              </w:rPr>
              <w:t>、规格：≥(H)1650*(W)1090*(D)460mm。</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64</w:t>
            </w:r>
            <w:r>
              <w:rPr>
                <w:rFonts w:ascii="宋体" w:hAnsi="宋体" w:cs="宋体" w:hint="eastAsia"/>
                <w:color w:val="000000"/>
                <w:sz w:val="21"/>
                <w:szCs w:val="21"/>
                <w:lang w:eastAsia="zh-CN" w:bidi="ar"/>
              </w:rPr>
              <w:t>、容积：45GAL/170L。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强酸强碱储存柜</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65</w:t>
            </w:r>
            <w:r>
              <w:rPr>
                <w:rFonts w:ascii="宋体" w:hAnsi="宋体" w:cs="宋体" w:hint="eastAsia"/>
                <w:color w:val="000000"/>
                <w:sz w:val="21"/>
                <w:szCs w:val="21"/>
                <w:lang w:eastAsia="zh-CN" w:bidi="ar"/>
              </w:rPr>
              <w:t>、规格：≥1090×460×1650mm。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66</w:t>
            </w:r>
            <w:r>
              <w:rPr>
                <w:rFonts w:ascii="宋体" w:hAnsi="宋体" w:cs="宋体" w:hint="eastAsia"/>
                <w:color w:val="000000"/>
                <w:sz w:val="21"/>
                <w:szCs w:val="21"/>
                <w:lang w:eastAsia="zh-CN" w:bidi="ar"/>
              </w:rPr>
              <w:t>、开关：双门/手动，特别针对强腐蚀性化学品的存储和渗漏而设计，适用存放具有强腐蚀性的化学品物质（例如硫酸、盐酸、硝酸、KOH、NaOH等化学品物质）。</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67</w:t>
            </w:r>
            <w:r>
              <w:rPr>
                <w:rFonts w:ascii="宋体" w:hAnsi="宋体" w:cs="宋体" w:hint="eastAsia"/>
                <w:color w:val="000000"/>
                <w:sz w:val="21"/>
                <w:szCs w:val="21"/>
                <w:lang w:eastAsia="zh-CN" w:bidi="ar"/>
              </w:rPr>
              <w:t>、特点：采用聚丙烯（PP）材料；配备聚丙烯防泄漏托盘；</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PP通风药品柜</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68</w:t>
            </w:r>
            <w:r>
              <w:rPr>
                <w:rFonts w:ascii="宋体" w:hAnsi="宋体" w:cs="宋体" w:hint="eastAsia"/>
                <w:color w:val="000000"/>
                <w:sz w:val="21"/>
                <w:szCs w:val="21"/>
                <w:lang w:eastAsia="zh-CN" w:bidi="ar"/>
              </w:rPr>
              <w:t>、尺寸≥1000*500*2000mm</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69</w:t>
            </w:r>
            <w:r>
              <w:rPr>
                <w:rFonts w:ascii="宋体" w:hAnsi="宋体" w:cs="宋体" w:hint="eastAsia"/>
                <w:color w:val="000000"/>
                <w:sz w:val="21"/>
                <w:szCs w:val="21"/>
                <w:lang w:eastAsia="zh-CN" w:bidi="ar"/>
              </w:rPr>
              <w:t>、柜体组件（侧板、顶板、柜门）采用环保pp材质一次性注塑成型，内设加强筋。</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药品柜吸风罩</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70</w:t>
            </w:r>
            <w:r>
              <w:rPr>
                <w:rFonts w:ascii="宋体" w:hAnsi="宋体" w:cs="宋体" w:hint="eastAsia"/>
                <w:color w:val="000000"/>
                <w:sz w:val="21"/>
                <w:szCs w:val="21"/>
                <w:lang w:eastAsia="zh-CN" w:bidi="ar"/>
              </w:rPr>
              <w:t>、≥w495*d248mm，采用ABS塑料注塑成型的吸风罩，设柜台面上。</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风机</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w:t>
            </w:r>
            <w:r>
              <w:rPr>
                <w:rFonts w:ascii="宋体" w:hAnsi="宋体" w:cs="宋体" w:hint="eastAsia"/>
                <w:color w:val="000000"/>
                <w:sz w:val="21"/>
                <w:szCs w:val="21"/>
                <w:lang w:eastAsia="zh-CN" w:bidi="ar"/>
              </w:rPr>
              <w:t>71</w:t>
            </w:r>
            <w:r>
              <w:rPr>
                <w:rFonts w:ascii="宋体" w:hAnsi="宋体" w:cs="宋体" w:hint="eastAsia"/>
                <w:color w:val="000000"/>
                <w:sz w:val="21"/>
                <w:szCs w:val="21"/>
                <w:lang w:eastAsia="zh-CN" w:bidi="ar"/>
              </w:rPr>
              <w:t>、配备300瓦轴流风机和定时器，可设置定时排风。</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通风管道</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172</w:t>
            </w:r>
            <w:r>
              <w:rPr>
                <w:rFonts w:ascii="宋体" w:hAnsi="宋体" w:cs="宋体" w:hint="eastAsia"/>
                <w:color w:val="000000"/>
                <w:sz w:val="21"/>
                <w:szCs w:val="21"/>
                <w:lang w:eastAsia="zh-CN" w:bidi="ar"/>
              </w:rPr>
              <w:t>、室内管道 DN315PVC管、DN160PVC管</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风机电源控制线路及开关</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173</w:t>
            </w:r>
            <w:r>
              <w:rPr>
                <w:rFonts w:ascii="宋体" w:hAnsi="宋体" w:cs="宋体" w:hint="eastAsia"/>
                <w:color w:val="000000"/>
                <w:sz w:val="21"/>
                <w:szCs w:val="21"/>
                <w:lang w:eastAsia="zh-CN" w:bidi="ar"/>
              </w:rPr>
              <w:t>、规格：380V三相四线电源线，铜芯BVR-500/2.5（200米）/4.0（200米）。</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防爆灯及控制开关</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174</w:t>
            </w:r>
            <w:r>
              <w:rPr>
                <w:rFonts w:ascii="宋体" w:hAnsi="宋体" w:cs="宋体" w:hint="eastAsia"/>
                <w:color w:val="000000"/>
                <w:sz w:val="21"/>
                <w:szCs w:val="21"/>
                <w:lang w:eastAsia="zh-CN" w:bidi="ar"/>
              </w:rPr>
              <w:t>、规格：60W，带保护罩。</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消防设备</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175</w:t>
            </w:r>
            <w:r>
              <w:rPr>
                <w:rFonts w:ascii="宋体" w:hAnsi="宋体" w:cs="宋体" w:hint="eastAsia"/>
                <w:color w:val="000000"/>
                <w:sz w:val="21"/>
                <w:szCs w:val="21"/>
                <w:lang w:eastAsia="zh-CN" w:bidi="ar"/>
              </w:rPr>
              <w:t>、干粉灭火器、沙箱（2KG）。</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69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 xml:space="preserve">危险化学品 </w:t>
            </w:r>
          </w:p>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仓库公示牌</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176</w:t>
            </w:r>
            <w:r>
              <w:rPr>
                <w:rFonts w:ascii="宋体" w:hAnsi="宋体" w:cs="宋体" w:hint="eastAsia"/>
                <w:color w:val="000000"/>
                <w:sz w:val="21"/>
                <w:szCs w:val="21"/>
                <w:lang w:eastAsia="zh-CN" w:bidi="ar"/>
              </w:rPr>
              <w:t xml:space="preserve">、规格：≥5厘； 材料：雪弗板。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70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废液桶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177</w:t>
            </w:r>
            <w:r>
              <w:rPr>
                <w:rFonts w:ascii="宋体" w:hAnsi="宋体" w:cs="宋体" w:hint="eastAsia"/>
                <w:color w:val="000000"/>
                <w:sz w:val="21"/>
                <w:szCs w:val="21"/>
                <w:lang w:eastAsia="zh-CN" w:bidi="ar"/>
              </w:rPr>
              <w:t>、容量20升，304不锈钢提手，实木把手，PP聚丙烯桶体。</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71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设备辅助材料</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178</w:t>
            </w:r>
            <w:r>
              <w:rPr>
                <w:rFonts w:ascii="宋体" w:hAnsi="宋体" w:cs="宋体" w:hint="eastAsia"/>
                <w:color w:val="000000"/>
                <w:sz w:val="21"/>
                <w:szCs w:val="21"/>
                <w:lang w:eastAsia="zh-CN" w:bidi="ar"/>
              </w:rPr>
              <w:t>、弯头*20个，胶布*100卷，胶带*100卷，焊锡丝*10包，玻璃胶*20管，扎带定位片*10包。</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72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烟雾报警器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179</w:t>
            </w:r>
            <w:r>
              <w:rPr>
                <w:rFonts w:ascii="宋体" w:hAnsi="宋体" w:cs="宋体" w:hint="eastAsia"/>
                <w:color w:val="000000"/>
                <w:sz w:val="21"/>
                <w:szCs w:val="21"/>
                <w:lang w:eastAsia="zh-CN" w:bidi="ar"/>
              </w:rPr>
              <w:t xml:space="preserve">、直径：104.5mm±20mm； 类别：智能报警器。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73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防爆吊扇</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180</w:t>
            </w:r>
            <w:r>
              <w:rPr>
                <w:rFonts w:ascii="宋体" w:hAnsi="宋体" w:cs="宋体" w:hint="eastAsia"/>
                <w:color w:val="000000"/>
                <w:sz w:val="21"/>
                <w:szCs w:val="21"/>
                <w:lang w:eastAsia="zh-CN" w:bidi="ar"/>
              </w:rPr>
              <w:t xml:space="preserve">、额定电压220V，风量≥250 m³/min，含防爆调速器。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74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手摇钻孔器</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181</w:t>
            </w:r>
            <w:r>
              <w:rPr>
                <w:rFonts w:ascii="宋体" w:hAnsi="宋体" w:cs="宋体" w:hint="eastAsia"/>
                <w:color w:val="000000"/>
                <w:sz w:val="21"/>
                <w:szCs w:val="21"/>
                <w:lang w:eastAsia="zh-CN" w:bidi="ar"/>
              </w:rPr>
              <w:t>、组成：仪器由旋转立柱、夹持固定装置、四个不同直径刀头及捅条组成；</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182</w:t>
            </w:r>
            <w:r>
              <w:rPr>
                <w:rFonts w:ascii="宋体" w:hAnsi="宋体" w:cs="宋体" w:hint="eastAsia"/>
                <w:color w:val="000000"/>
                <w:sz w:val="21"/>
                <w:szCs w:val="21"/>
                <w:lang w:eastAsia="zh-CN" w:bidi="ar"/>
              </w:rPr>
              <w:t>、四支刀口外径分别为Φ12mm，Φ10mm,Φ8mm,Φ6mm，捅条直径不小于φ4mm，刀口锋利，无卷边；</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75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电动离心机</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183</w:t>
            </w:r>
            <w:r>
              <w:rPr>
                <w:rFonts w:ascii="宋体" w:hAnsi="宋体" w:cs="宋体" w:hint="eastAsia"/>
                <w:color w:val="000000"/>
                <w:sz w:val="21"/>
                <w:szCs w:val="21"/>
                <w:lang w:eastAsia="zh-CN" w:bidi="ar"/>
              </w:rPr>
              <w:t>、带电锁0r/min-4000r/min,10ml*8，无刷电机，带锁。</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76</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离心沉淀器</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184</w:t>
            </w:r>
            <w:r>
              <w:rPr>
                <w:rFonts w:ascii="宋体" w:hAnsi="宋体" w:cs="宋体" w:hint="eastAsia"/>
                <w:color w:val="000000"/>
                <w:sz w:val="21"/>
                <w:szCs w:val="21"/>
                <w:lang w:eastAsia="zh-CN" w:bidi="ar"/>
              </w:rPr>
              <w:t xml:space="preserve">、产品应采用优质塑料注塑成型作支架，沉淀管用半透明塑料组成；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185</w:t>
            </w:r>
            <w:r>
              <w:rPr>
                <w:rFonts w:ascii="宋体" w:hAnsi="宋体" w:cs="宋体" w:hint="eastAsia"/>
                <w:color w:val="000000"/>
                <w:sz w:val="21"/>
                <w:szCs w:val="21"/>
                <w:lang w:eastAsia="zh-CN" w:bidi="ar"/>
              </w:rPr>
              <w:t>、可变速度50-150次/分；</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186</w:t>
            </w:r>
            <w:r>
              <w:rPr>
                <w:rFonts w:ascii="宋体" w:hAnsi="宋体" w:cs="宋体" w:hint="eastAsia"/>
                <w:color w:val="000000"/>
                <w:sz w:val="21"/>
                <w:szCs w:val="21"/>
                <w:lang w:eastAsia="zh-CN" w:bidi="ar"/>
              </w:rPr>
              <w:t xml:space="preserve">、各部结构应可靠、灵活，金属部分电镀； </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77</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磁力加热搅拌器</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187</w:t>
            </w:r>
            <w:r>
              <w:rPr>
                <w:rFonts w:ascii="宋体" w:hAnsi="宋体" w:cs="宋体" w:hint="eastAsia"/>
                <w:color w:val="000000"/>
                <w:sz w:val="21"/>
                <w:szCs w:val="21"/>
                <w:lang w:eastAsia="zh-CN" w:bidi="ar"/>
              </w:rPr>
              <w:t>、产品由主机1台、搅拌子1只、电源线1根、镀铬立杆1根、镀铬十字节1只、橡胶夹头1只、胶大紧固螺钉2只等组成。</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188</w:t>
            </w:r>
            <w:r>
              <w:rPr>
                <w:rFonts w:ascii="宋体" w:hAnsi="宋体" w:cs="宋体" w:hint="eastAsia"/>
                <w:color w:val="000000"/>
                <w:sz w:val="21"/>
                <w:szCs w:val="21"/>
                <w:lang w:eastAsia="zh-CN" w:bidi="ar"/>
              </w:rPr>
              <w:t>、仪器使用电源：AC220V±10%，50Hz，整机功率：175W。其中电动功率25W;加热功率150W。</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189</w:t>
            </w:r>
            <w:r>
              <w:rPr>
                <w:rFonts w:ascii="宋体" w:hAnsi="宋体" w:cs="宋体" w:hint="eastAsia"/>
                <w:color w:val="000000"/>
                <w:sz w:val="21"/>
                <w:szCs w:val="21"/>
                <w:lang w:eastAsia="zh-CN" w:bidi="ar"/>
              </w:rPr>
              <w:t>、调速：连续可调，调速范围0-2000转/分。</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190</w:t>
            </w:r>
            <w:r>
              <w:rPr>
                <w:rFonts w:ascii="宋体" w:hAnsi="宋体" w:cs="宋体" w:hint="eastAsia"/>
                <w:color w:val="000000"/>
                <w:sz w:val="21"/>
                <w:szCs w:val="21"/>
                <w:lang w:eastAsia="zh-CN" w:bidi="ar"/>
              </w:rPr>
              <w:t>、主机外壳为金属制，表面烤漆，尺寸：≥260×160×110(mm)。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78</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酒精喷灯</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191</w:t>
            </w:r>
            <w:r>
              <w:rPr>
                <w:rFonts w:ascii="宋体" w:hAnsi="宋体" w:cs="宋体" w:hint="eastAsia"/>
                <w:color w:val="000000"/>
                <w:sz w:val="21"/>
                <w:szCs w:val="21"/>
                <w:lang w:eastAsia="zh-CN" w:bidi="ar"/>
              </w:rPr>
              <w:t>、仪器由灯壶、灯管、空气调节器、预热壶、加料口等部分组成；</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192</w:t>
            </w:r>
            <w:r>
              <w:rPr>
                <w:rFonts w:ascii="宋体" w:hAnsi="宋体" w:cs="宋体" w:hint="eastAsia"/>
                <w:color w:val="000000"/>
                <w:sz w:val="21"/>
                <w:szCs w:val="21"/>
                <w:lang w:eastAsia="zh-CN" w:bidi="ar"/>
              </w:rPr>
              <w:t>、空气调节器应能自如的调节空气进量从而调节火焰大小；</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79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电加热器</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193</w:t>
            </w:r>
            <w:r>
              <w:rPr>
                <w:rFonts w:ascii="宋体" w:hAnsi="宋体" w:cs="宋体" w:hint="eastAsia"/>
                <w:color w:val="000000"/>
                <w:sz w:val="21"/>
                <w:szCs w:val="21"/>
                <w:lang w:eastAsia="zh-CN" w:bidi="ar"/>
              </w:rPr>
              <w:t>、额定电压ＡＣ220Ｖ±5％ 50Ｈz＋5,消耗功率1000Ｗ。</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加热盘直径150mm。温控旋扭控制温度，指示灯显示加热；外形尺寸：≥210×210×50(mm)。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80</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蒸馏水器</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194</w:t>
            </w:r>
            <w:r>
              <w:rPr>
                <w:rFonts w:ascii="宋体" w:hAnsi="宋体" w:cs="宋体" w:hint="eastAsia"/>
                <w:color w:val="000000"/>
                <w:sz w:val="21"/>
                <w:szCs w:val="21"/>
                <w:lang w:eastAsia="zh-CN" w:bidi="ar"/>
              </w:rPr>
              <w:t>、采用三线电源接地保护，安全可靠。使用电源：交流220V，50Hz。功率：3KW；</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195</w:t>
            </w:r>
            <w:r>
              <w:rPr>
                <w:rFonts w:ascii="宋体" w:hAnsi="宋体" w:cs="宋体" w:hint="eastAsia"/>
                <w:color w:val="000000"/>
                <w:sz w:val="21"/>
                <w:szCs w:val="21"/>
                <w:lang w:eastAsia="zh-CN" w:bidi="ar"/>
              </w:rPr>
              <w:t>、外形尺寸：≥290×200×575mm；</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196</w:t>
            </w:r>
            <w:r>
              <w:rPr>
                <w:rFonts w:ascii="宋体" w:hAnsi="宋体" w:cs="宋体" w:hint="eastAsia"/>
                <w:color w:val="000000"/>
                <w:sz w:val="21"/>
                <w:szCs w:val="21"/>
                <w:lang w:eastAsia="zh-CN" w:bidi="ar"/>
              </w:rPr>
              <w:t>、蒸馏水器由蒸发锅、冷凝器、电器装置三部分等组成。蒸发锅由不锈钢薄板制成，锅上有溢水口，顶盖中央有挡水帽，左侧有放水栓塞；冷凝器：由不锈钢薄板制成：几只浸入式加热管装于蒸发锅内的底部。</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81</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列管式烘干器</w:t>
            </w:r>
          </w:p>
        </w:tc>
        <w:tc>
          <w:tcPr>
            <w:tcW w:w="5899" w:type="dxa"/>
            <w:vAlign w:val="center"/>
          </w:tcPr>
          <w:p>
            <w:pPr>
              <w:widowControl/>
              <w:numPr>
                <w:ilvl w:val="0"/>
                <w:numId w:val="0"/>
              </w:numPr>
              <w:ind w:left="0" w:firstLine="0"/>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197、</w:t>
            </w:r>
            <w:r>
              <w:rPr>
                <w:rFonts w:ascii="宋体" w:hAnsi="宋体" w:cs="宋体" w:hint="eastAsia"/>
                <w:color w:val="000000"/>
                <w:sz w:val="21"/>
                <w:szCs w:val="21"/>
                <w:lang w:eastAsia="zh-CN" w:bidi="ar"/>
              </w:rPr>
              <w:t xml:space="preserve">产品为列管烘干型式；外壳为不锈钢；列管为金属制，管上有直径3mm的孔12个，顶端为塑料帽，管长约170mm；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198</w:t>
            </w:r>
            <w:r>
              <w:rPr>
                <w:rFonts w:ascii="宋体" w:hAnsi="宋体" w:cs="宋体" w:hint="eastAsia"/>
                <w:color w:val="000000"/>
                <w:sz w:val="21"/>
                <w:szCs w:val="21"/>
                <w:lang w:eastAsia="zh-CN" w:bidi="ar"/>
              </w:rPr>
              <w:t>、被干燥仪器每批均在11件；结构简单的仪器每批干燥时间约为30分钟；</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199</w:t>
            </w:r>
            <w:r>
              <w:rPr>
                <w:rFonts w:ascii="宋体" w:hAnsi="宋体" w:cs="宋体" w:hint="eastAsia"/>
                <w:color w:val="000000"/>
                <w:sz w:val="21"/>
                <w:szCs w:val="21"/>
                <w:lang w:eastAsia="zh-CN" w:bidi="ar"/>
              </w:rPr>
              <w:t>、工作电压：220V，电机功率：20W，发热功率：260W。</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烘干箱</w:t>
            </w:r>
          </w:p>
        </w:tc>
        <w:tc>
          <w:tcPr>
            <w:tcW w:w="5899" w:type="dxa"/>
            <w:vAlign w:val="center"/>
          </w:tcPr>
          <w:p>
            <w:pPr>
              <w:widowControl/>
              <w:jc w:val="left"/>
              <w:textAlignment w:val="center"/>
              <w:rPr>
                <w:rFonts w:ascii="宋体" w:hAnsi="宋体" w:cs="宋体"/>
                <w:color w:val="000000"/>
                <w:sz w:val="21"/>
                <w:szCs w:val="21"/>
                <w:lang w:eastAsia="zh-CN" w:bidi="ar"/>
              </w:rPr>
            </w:pP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200</w:t>
            </w:r>
            <w:r>
              <w:rPr>
                <w:rFonts w:ascii="宋体" w:hAnsi="宋体" w:cs="宋体" w:hint="eastAsia"/>
                <w:color w:val="000000"/>
                <w:sz w:val="21"/>
                <w:szCs w:val="21"/>
                <w:lang w:eastAsia="zh-CN" w:bidi="ar"/>
              </w:rPr>
              <w:t>、箱体为全金属制，外形尺寸：≥390mm×425mm×540mm，工作室尺寸：≥310mm×350mm×310mm，中间镀锌隔板一块。2</w:t>
            </w:r>
            <w:r>
              <w:rPr>
                <w:rFonts w:ascii="宋体" w:hAnsi="宋体" w:cs="宋体" w:hint="eastAsia"/>
                <w:color w:val="000000"/>
                <w:sz w:val="21"/>
                <w:szCs w:val="21"/>
                <w:lang w:eastAsia="zh-CN" w:bidi="ar"/>
              </w:rPr>
              <w:t>01</w:t>
            </w:r>
            <w:r>
              <w:rPr>
                <w:rFonts w:ascii="宋体" w:hAnsi="宋体" w:cs="宋体" w:hint="eastAsia"/>
                <w:color w:val="000000"/>
                <w:sz w:val="21"/>
                <w:szCs w:val="21"/>
                <w:lang w:eastAsia="zh-CN" w:bidi="ar"/>
              </w:rPr>
              <w:t>、电源：220V，50Hz。额定功率：500W。工作温度范围：室温～200℃。设定误差：±1.5%。</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02</w:t>
            </w:r>
            <w:r>
              <w:rPr>
                <w:rFonts w:ascii="宋体" w:hAnsi="宋体" w:cs="宋体" w:hint="eastAsia"/>
                <w:color w:val="000000"/>
                <w:sz w:val="21"/>
                <w:szCs w:val="21"/>
                <w:lang w:eastAsia="zh-CN" w:bidi="ar"/>
              </w:rPr>
              <w:t>、温控电路及仪表设计在箱体的下方，自然对流通风式结构。</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注射器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w:t>
            </w:r>
            <w:r>
              <w:rPr>
                <w:rFonts w:ascii="宋体" w:hAnsi="宋体" w:cs="宋体" w:hint="eastAsia"/>
                <w:color w:val="000000"/>
                <w:sz w:val="21"/>
                <w:szCs w:val="21"/>
                <w:lang w:eastAsia="zh-CN" w:bidi="ar"/>
              </w:rPr>
              <w:t>3、注射器由针头、注射管（100ml），活塞组成。注射管是用塑料做成的。</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塑料洗瓶</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w:t>
            </w:r>
            <w:r>
              <w:rPr>
                <w:rFonts w:ascii="宋体" w:hAnsi="宋体" w:cs="宋体" w:hint="eastAsia"/>
                <w:color w:val="000000"/>
                <w:sz w:val="21"/>
                <w:szCs w:val="21"/>
                <w:lang w:eastAsia="zh-CN" w:bidi="ar"/>
              </w:rPr>
              <w:t>4、挤压型，由塑料细口瓶和瓶口装置出水管组成。</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w:t>
            </w:r>
            <w:r>
              <w:rPr>
                <w:rFonts w:ascii="宋体" w:hAnsi="宋体" w:cs="宋体" w:hint="eastAsia"/>
                <w:color w:val="000000"/>
                <w:sz w:val="21"/>
                <w:szCs w:val="21"/>
                <w:lang w:eastAsia="zh-CN" w:bidi="ar"/>
              </w:rPr>
              <w:t>5、250mL。塑料瓶直径60mm，高100mm，喷咀孔径约1mm。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试剂瓶托盘</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w:t>
            </w:r>
            <w:r>
              <w:rPr>
                <w:rFonts w:ascii="宋体" w:hAnsi="宋体" w:cs="宋体" w:hint="eastAsia"/>
                <w:color w:val="000000"/>
                <w:sz w:val="21"/>
                <w:szCs w:val="21"/>
                <w:lang w:eastAsia="zh-CN" w:bidi="ar"/>
              </w:rPr>
              <w:t>6、尺寸≥300mm×200mm×55mm，短边有提耳，一盘内可同时放小试剂瓶30个以内。247、短边两侧有放置试管的孔，单边孔径分别为：Φ20mm孔3个，Φ16mm孔4个，Φ7mm孔4个。</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07</w:t>
            </w:r>
            <w:r>
              <w:rPr>
                <w:rFonts w:ascii="宋体" w:hAnsi="宋体" w:cs="宋体" w:hint="eastAsia"/>
                <w:color w:val="000000"/>
                <w:sz w:val="21"/>
                <w:szCs w:val="21"/>
                <w:lang w:eastAsia="zh-CN" w:bidi="ar"/>
              </w:rPr>
              <w:t>、材质为耐酸碱塑料注塑成型。</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86</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实验用品提篮</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08</w:t>
            </w:r>
            <w:r>
              <w:rPr>
                <w:rFonts w:ascii="宋体" w:hAnsi="宋体" w:cs="宋体" w:hint="eastAsia"/>
                <w:color w:val="000000"/>
                <w:sz w:val="21"/>
                <w:szCs w:val="21"/>
                <w:lang w:eastAsia="zh-CN" w:bidi="ar"/>
              </w:rPr>
              <w:t>、产品为全木质、带提手。上部可放试管、试剂瓶等仪器、底部有抽屉。提篮外形尺寸（不带提手）：≥480mm×280mm×170mm，底部抽屉尺寸≥35cm×25mm。提手部位为圆柱形，高约240mm（装好后的高度）。</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87</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塑料水槽</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09</w:t>
            </w:r>
            <w:r>
              <w:rPr>
                <w:rFonts w:ascii="宋体" w:hAnsi="宋体" w:cs="宋体" w:hint="eastAsia"/>
                <w:color w:val="000000"/>
                <w:sz w:val="21"/>
                <w:szCs w:val="21"/>
                <w:lang w:eastAsia="zh-CN" w:bidi="ar"/>
              </w:rPr>
              <w:t>、产品为半透明塑料注塑成型。外形尺寸：250mm×180mm×100mm,水槽表面无瑕疵。</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88</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碘升华凝华管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10</w:t>
            </w:r>
            <w:r>
              <w:rPr>
                <w:rFonts w:ascii="宋体" w:hAnsi="宋体" w:cs="宋体" w:hint="eastAsia"/>
                <w:color w:val="000000"/>
                <w:sz w:val="21"/>
                <w:szCs w:val="21"/>
                <w:lang w:eastAsia="zh-CN" w:bidi="ar"/>
              </w:rPr>
              <w:t>、产品为葫芦状。由玻璃葫芦密封碘和万能夹组成。；玻璃葫芦下部为球形、直径约55mm、上部为圆锥形、锥形直径约50mm、高约65mm，球体与锥形底部相通。碘的质量不少于0.3克。；万能夹为金属制，表面电镀处理，四爪型，夹口部位应有软垫，手柄直径7mm、长不小于170mm。；玻璃熔接平滑均匀，无气泡、无条纹。应耐80℃温差的急冷骤热。</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89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方座支架</w:t>
            </w:r>
          </w:p>
        </w:tc>
        <w:tc>
          <w:tcPr>
            <w:tcW w:w="5899" w:type="dxa"/>
            <w:vAlign w:val="center"/>
          </w:tcPr>
          <w:p>
            <w:pPr>
              <w:widowControl/>
              <w:numPr>
                <w:ilvl w:val="0"/>
                <w:numId w:val="0"/>
              </w:numPr>
              <w:ind w:left="0" w:firstLine="0"/>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211、</w:t>
            </w:r>
            <w:r>
              <w:rPr>
                <w:rFonts w:ascii="宋体" w:hAnsi="宋体" w:cs="宋体" w:hint="eastAsia"/>
                <w:color w:val="000000"/>
                <w:sz w:val="21"/>
                <w:szCs w:val="21"/>
                <w:lang w:eastAsia="zh-CN" w:bidi="ar"/>
              </w:rPr>
              <w:t>产品由铸铁矩形底座、立杆、烧瓶夹、大小铁环、垂直夹（2只）、平行夹组成。</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12</w:t>
            </w:r>
            <w:r>
              <w:rPr>
                <w:rFonts w:ascii="宋体" w:hAnsi="宋体" w:cs="宋体" w:hint="eastAsia"/>
                <w:color w:val="000000"/>
                <w:sz w:val="21"/>
                <w:szCs w:val="21"/>
                <w:lang w:eastAsia="zh-CN" w:bidi="ar"/>
              </w:rPr>
              <w:t>、尺寸：≥210×135mm；立杆直径约Φ12mm，一端有M10×18mm螺纹；烧杯夹为铁制，夹杆尺寸：Φ7*85mm；底座、烧杯夹和立杆表面作防锈处理。254、铁环材料直径约6mm，大环内径约98mm，柄长105mm；小环内径约58mm，柄长125mm。</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13</w:t>
            </w:r>
            <w:r>
              <w:rPr>
                <w:rFonts w:ascii="宋体" w:hAnsi="宋体" w:cs="宋体" w:hint="eastAsia"/>
                <w:color w:val="000000"/>
                <w:sz w:val="21"/>
                <w:szCs w:val="21"/>
                <w:lang w:eastAsia="zh-CN" w:bidi="ar"/>
              </w:rPr>
              <w:t>、垂直和平行夹为金属制。</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90</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万能夹</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14</w:t>
            </w:r>
            <w:r>
              <w:rPr>
                <w:rFonts w:ascii="宋体" w:hAnsi="宋体" w:cs="宋体" w:hint="eastAsia"/>
                <w:color w:val="000000"/>
                <w:sz w:val="21"/>
                <w:szCs w:val="21"/>
                <w:lang w:eastAsia="zh-CN" w:bidi="ar"/>
              </w:rPr>
              <w:t>、产品由夹持柄及夹头组成，全钢制，表面电镀处理；上下夹口应转动自如、灵活，最大开口不小于40mm，四爪夹口部位分别配套有4个胶管；夹杆直径Φ8mm，长190mm。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91</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三脚架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15</w:t>
            </w:r>
            <w:r>
              <w:rPr>
                <w:rFonts w:ascii="宋体" w:hAnsi="宋体" w:cs="宋体" w:hint="eastAsia"/>
                <w:color w:val="000000"/>
                <w:sz w:val="21"/>
                <w:szCs w:val="21"/>
                <w:lang w:eastAsia="zh-CN" w:bidi="ar"/>
              </w:rPr>
              <w:t>、由铁环和3只脚组成。铁环内径：73mm，外径：90mm，厚度4mm。三只脚与铁环焊接紧固，脚距相等，立放台上时圆环应与台面平行，所支承的容器不得有滑动。脚高：155mm，直径6mm。三脚架须经烤漆防锈处理，漆层均匀、牢固。</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泥三角</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16</w:t>
            </w:r>
            <w:r>
              <w:rPr>
                <w:rFonts w:ascii="宋体" w:hAnsi="宋体" w:cs="宋体" w:hint="eastAsia"/>
                <w:color w:val="000000"/>
                <w:sz w:val="21"/>
                <w:szCs w:val="21"/>
                <w:lang w:eastAsia="zh-CN" w:bidi="ar"/>
              </w:rPr>
              <w:t>、产品由金属丝和套在其上的石棉筒组成。金属丝用Φ1mm左右的钢丝接成等边三角形，三角形的单边长不小于50mm，钢丝接头绞合，绞合长度不小于20㎜；石棉筒内径为Φ4mm，外径为Φ10mm；石棉筒应不裂、不缺、坚固、圆滑；金属丝应作防锈处理；整体应平整、美观。</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试管架</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17</w:t>
            </w:r>
            <w:r>
              <w:rPr>
                <w:rFonts w:ascii="宋体" w:hAnsi="宋体" w:cs="宋体" w:hint="eastAsia"/>
                <w:color w:val="000000"/>
                <w:sz w:val="21"/>
                <w:szCs w:val="21"/>
                <w:lang w:eastAsia="zh-CN" w:bidi="ar"/>
              </w:rPr>
              <w:t>、产品由顶板、底板、插杆组成，8孔、8柱，全塑料制。</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18</w:t>
            </w:r>
            <w:r>
              <w:rPr>
                <w:rFonts w:ascii="宋体" w:hAnsi="宋体" w:cs="宋体" w:hint="eastAsia"/>
                <w:color w:val="000000"/>
                <w:sz w:val="21"/>
                <w:szCs w:val="21"/>
                <w:lang w:eastAsia="zh-CN" w:bidi="ar"/>
              </w:rPr>
              <w:t>、顶板外形尺寸：≥250×28×4.5（mm），8孔分布均匀，孔径19.5mm。</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19</w:t>
            </w:r>
            <w:r>
              <w:rPr>
                <w:rFonts w:ascii="宋体" w:hAnsi="宋体" w:cs="宋体" w:hint="eastAsia"/>
                <w:color w:val="000000"/>
                <w:sz w:val="21"/>
                <w:szCs w:val="21"/>
                <w:lang w:eastAsia="zh-CN" w:bidi="ar"/>
              </w:rPr>
              <w:t>、底板外形尺寸：≥250×60×5（mm），底板8个凹槽应与顶板8孔同心，孔深约2mm。</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20</w:t>
            </w:r>
            <w:r>
              <w:rPr>
                <w:rFonts w:ascii="宋体" w:hAnsi="宋体" w:cs="宋体" w:hint="eastAsia"/>
                <w:color w:val="000000"/>
                <w:sz w:val="21"/>
                <w:szCs w:val="21"/>
                <w:lang w:eastAsia="zh-CN" w:bidi="ar"/>
              </w:rPr>
              <w:t>、插杆为长36mm，直径10mm，与底板孔对应成排。</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漏斗架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21</w:t>
            </w:r>
            <w:r>
              <w:rPr>
                <w:rFonts w:ascii="宋体" w:hAnsi="宋体" w:cs="宋体" w:hint="eastAsia"/>
                <w:color w:val="000000"/>
                <w:sz w:val="21"/>
                <w:szCs w:val="21"/>
                <w:lang w:eastAsia="zh-CN" w:bidi="ar"/>
              </w:rPr>
              <w:t>、材质：全木制；漏斗架由漏斗板、支杆及底座三部分组成；漏斗板表面上有二个锥形孔，孔径约28mm；中部有一个台柱及孔，可以套在支杆上并用M6锁紧螺杆固定，板尺寸≥195mm×60mm×13mm；支杆为Φ13×300mm底座为长方形：≥200mm×80mm×13mm，中部有一个台柱，台柱中间有一个不通的孔，孔与支杆配合适当。</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滴定台</w:t>
            </w:r>
          </w:p>
        </w:tc>
        <w:tc>
          <w:tcPr>
            <w:tcW w:w="5899" w:type="dxa"/>
            <w:vAlign w:val="center"/>
          </w:tcPr>
          <w:p>
            <w:pPr>
              <w:widowControl/>
              <w:numPr>
                <w:ilvl w:val="0"/>
                <w:numId w:val="0"/>
              </w:numPr>
              <w:ind w:left="0" w:firstLine="0"/>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222、</w:t>
            </w:r>
            <w:r>
              <w:rPr>
                <w:rFonts w:ascii="宋体" w:hAnsi="宋体" w:cs="宋体" w:hint="eastAsia"/>
                <w:color w:val="000000"/>
                <w:sz w:val="21"/>
                <w:szCs w:val="21"/>
                <w:lang w:eastAsia="zh-CN" w:bidi="ar"/>
              </w:rPr>
              <w:t>底座台面为大理石面，尺寸为300×150×16mm；</w:t>
            </w:r>
          </w:p>
          <w:p>
            <w:pPr>
              <w:widowControl/>
              <w:jc w:val="left"/>
              <w:textAlignment w:val="center"/>
              <w:rPr>
                <w:rFonts w:ascii="宋体" w:hAnsi="宋体" w:cs="宋体" w:hint="eastAsia"/>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23</w:t>
            </w:r>
            <w:r>
              <w:rPr>
                <w:rFonts w:ascii="宋体" w:hAnsi="宋体" w:cs="宋体" w:hint="eastAsia"/>
                <w:color w:val="000000"/>
                <w:sz w:val="21"/>
                <w:szCs w:val="21"/>
                <w:lang w:eastAsia="zh-CN" w:bidi="ar"/>
              </w:rPr>
              <w:t>、立柱由Φ10mm圆钢制成，一端有螺纹并附螺帽及垫片，表面镀铬，置于工作台面上与台面垂直不大于5°</w:t>
            </w:r>
            <w:r>
              <w:rPr>
                <w:rFonts w:ascii="宋体" w:hAnsi="宋体" w:cs="宋体" w:hint="eastAsia"/>
                <w:color w:val="000000"/>
                <w:sz w:val="21"/>
                <w:szCs w:val="21"/>
                <w:lang w:eastAsia="zh-CN" w:bidi="ar"/>
              </w:rPr>
              <w:t>。</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96</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滴定夹</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24</w:t>
            </w:r>
            <w:r>
              <w:rPr>
                <w:rFonts w:ascii="宋体" w:hAnsi="宋体" w:cs="宋体" w:hint="eastAsia"/>
                <w:color w:val="000000"/>
                <w:sz w:val="21"/>
                <w:szCs w:val="21"/>
                <w:lang w:eastAsia="zh-CN" w:bidi="ar"/>
              </w:rPr>
              <w:t>、铝制，加持部位有防滑脱凹槽。</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97</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多用滴管架</w:t>
            </w:r>
          </w:p>
        </w:tc>
        <w:tc>
          <w:tcPr>
            <w:tcW w:w="5899" w:type="dxa"/>
            <w:vAlign w:val="center"/>
          </w:tcPr>
          <w:p>
            <w:pPr>
              <w:widowControl/>
              <w:numPr>
                <w:ilvl w:val="0"/>
                <w:numId w:val="0"/>
              </w:numPr>
              <w:ind w:left="0" w:firstLine="0"/>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225、</w:t>
            </w:r>
            <w:r>
              <w:rPr>
                <w:rFonts w:ascii="宋体" w:hAnsi="宋体" w:cs="宋体" w:hint="eastAsia"/>
                <w:color w:val="000000"/>
                <w:sz w:val="21"/>
                <w:szCs w:val="21"/>
                <w:lang w:eastAsia="zh-CN" w:bidi="ar"/>
              </w:rPr>
              <w:t>与塑料多用滴管配套使用。</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26</w:t>
            </w:r>
            <w:r>
              <w:rPr>
                <w:rFonts w:ascii="宋体" w:hAnsi="宋体" w:cs="宋体" w:hint="eastAsia"/>
                <w:color w:val="000000"/>
                <w:sz w:val="21"/>
                <w:szCs w:val="21"/>
                <w:lang w:eastAsia="zh-CN" w:bidi="ar"/>
              </w:rPr>
              <w:t>、外形尺寸：滴管架分上下两层，每层10个插孔，孔径15mm，每层孔板的正下方有对应的穴板，穴内承接滴管的吸泡，可使滴管站直站牢。孔板、穴板和两侧的撑架都可拆卸和安装。</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27</w:t>
            </w:r>
            <w:r>
              <w:rPr>
                <w:rFonts w:ascii="宋体" w:hAnsi="宋体" w:cs="宋体" w:hint="eastAsia"/>
                <w:color w:val="000000"/>
                <w:sz w:val="21"/>
                <w:szCs w:val="21"/>
                <w:lang w:eastAsia="zh-CN" w:bidi="ar"/>
              </w:rPr>
              <w:t>、外形尺寸：≥215mm×55mm×55mm。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98</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托盘天平1</w:t>
            </w:r>
          </w:p>
        </w:tc>
        <w:tc>
          <w:tcPr>
            <w:tcW w:w="5899" w:type="dxa"/>
            <w:vAlign w:val="center"/>
          </w:tcPr>
          <w:p>
            <w:pPr>
              <w:widowControl/>
              <w:numPr>
                <w:ilvl w:val="0"/>
                <w:numId w:val="0"/>
              </w:numPr>
              <w:ind w:left="0" w:firstLine="0"/>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228、</w:t>
            </w:r>
            <w:r>
              <w:rPr>
                <w:rFonts w:ascii="宋体" w:hAnsi="宋体" w:cs="宋体" w:hint="eastAsia"/>
                <w:color w:val="000000"/>
                <w:sz w:val="21"/>
                <w:szCs w:val="21"/>
                <w:lang w:eastAsia="zh-CN" w:bidi="ar"/>
              </w:rPr>
              <w:t xml:space="preserve">最大称量100g，分度值0.1g。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29</w:t>
            </w:r>
            <w:r>
              <w:rPr>
                <w:rFonts w:ascii="宋体" w:hAnsi="宋体" w:cs="宋体" w:hint="eastAsia"/>
                <w:color w:val="000000"/>
                <w:sz w:val="21"/>
                <w:szCs w:val="21"/>
                <w:lang w:eastAsia="zh-CN" w:bidi="ar"/>
              </w:rPr>
              <w:t xml:space="preserve">砝码组合的总质量（包括标尺计量值）应不小于天平的最大秤量，砝码分别为：50g1个、20g2个、10g1个、5g1个。 </w:t>
            </w:r>
          </w:p>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30</w:t>
            </w:r>
            <w:r>
              <w:rPr>
                <w:rFonts w:ascii="宋体" w:hAnsi="宋体" w:cs="宋体" w:hint="eastAsia"/>
                <w:color w:val="000000"/>
                <w:sz w:val="21"/>
                <w:szCs w:val="21"/>
                <w:lang w:eastAsia="zh-CN" w:bidi="ar"/>
              </w:rPr>
              <w:t xml:space="preserve">、冲压件表面应光洁平整，不应有毛刺、锋棱、裂纹和显见砂眼。 </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31</w:t>
            </w:r>
            <w:r>
              <w:rPr>
                <w:rFonts w:ascii="宋体" w:hAnsi="宋体" w:cs="宋体" w:hint="eastAsia"/>
                <w:color w:val="000000"/>
                <w:sz w:val="21"/>
                <w:szCs w:val="21"/>
                <w:lang w:eastAsia="zh-CN" w:bidi="ar"/>
              </w:rPr>
              <w:t>、托盘直径82mm；外形尺寸：≥200mm×70mm×140mm。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99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托盘天平2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32</w:t>
            </w:r>
            <w:r>
              <w:rPr>
                <w:rFonts w:ascii="宋体" w:hAnsi="宋体" w:cs="宋体" w:hint="eastAsia"/>
                <w:color w:val="000000"/>
                <w:sz w:val="21"/>
                <w:szCs w:val="21"/>
                <w:lang w:eastAsia="zh-CN" w:bidi="ar"/>
              </w:rPr>
              <w:t>、最大称量500g，分度值0.5 g；秤量允许误差为±0.5d(分度值)；砝码组合的总质量（包括标尺计量值）应不小于天平的最大秤量。</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100</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电子天平1</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33</w:t>
            </w:r>
            <w:r>
              <w:rPr>
                <w:rFonts w:ascii="宋体" w:hAnsi="宋体" w:cs="宋体" w:hint="eastAsia"/>
                <w:color w:val="000000"/>
                <w:sz w:val="21"/>
                <w:szCs w:val="21"/>
                <w:lang w:eastAsia="zh-CN" w:bidi="ar"/>
              </w:rPr>
              <w:t>、规格：100g，0.001g。称盘尺寸：圆盘ф130mm。电源电压：220VAC。采用高精度电磁平衡传达室感器，LED显示。</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34</w:t>
            </w:r>
            <w:r>
              <w:rPr>
                <w:rFonts w:ascii="宋体" w:hAnsi="宋体" w:cs="宋体" w:hint="eastAsia"/>
                <w:color w:val="000000"/>
                <w:sz w:val="21"/>
                <w:szCs w:val="21"/>
                <w:lang w:eastAsia="zh-CN" w:bidi="ar"/>
              </w:rPr>
              <w:t>、主机外形尺寸：≥185mm×235mm×50mm。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101</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电子天平2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35</w:t>
            </w:r>
            <w:r>
              <w:rPr>
                <w:rFonts w:ascii="宋体" w:hAnsi="宋体" w:cs="宋体" w:hint="eastAsia"/>
                <w:color w:val="000000"/>
                <w:sz w:val="21"/>
                <w:szCs w:val="21"/>
                <w:lang w:eastAsia="zh-CN" w:bidi="ar"/>
              </w:rPr>
              <w:t>、规格：400g，0.1g；称盘尺寸：圆盘ф130mm；电源电压：220VAC；采用高精度电磁平衡传达室感器，LED显示；具有计数、确认、清零、校准。</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温度计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288、红液，0～100℃</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数字测温计</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36</w:t>
            </w:r>
            <w:r>
              <w:rPr>
                <w:rFonts w:ascii="宋体" w:hAnsi="宋体" w:cs="宋体" w:hint="eastAsia"/>
                <w:color w:val="000000"/>
                <w:sz w:val="21"/>
                <w:szCs w:val="21"/>
                <w:lang w:eastAsia="zh-CN" w:bidi="ar"/>
              </w:rPr>
              <w:t>、工作参数：220V±10%.2W。</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37</w:t>
            </w:r>
            <w:r>
              <w:rPr>
                <w:rFonts w:ascii="宋体" w:hAnsi="宋体" w:cs="宋体" w:hint="eastAsia"/>
                <w:color w:val="000000"/>
                <w:sz w:val="21"/>
                <w:szCs w:val="21"/>
                <w:lang w:eastAsia="zh-CN" w:bidi="ar"/>
              </w:rPr>
              <w:t>、外形尺寸：≥200×175×80mm，塑料垂纹外壳，塑料仪器面板，有散热孔。测温范围：-55～+199℃</w:t>
            </w:r>
            <w:r>
              <w:rPr>
                <w:rFonts w:ascii="宋体" w:hAnsi="宋体" w:cs="宋体" w:hint="eastAsia"/>
                <w:color w:val="000000"/>
                <w:sz w:val="21"/>
                <w:szCs w:val="21"/>
                <w:lang w:eastAsia="zh-CN" w:bidi="ar"/>
              </w:rPr>
              <w:t>。</w:t>
            </w:r>
            <w:r>
              <w:rPr>
                <w:rFonts w:ascii="宋体" w:hAnsi="宋体" w:cs="宋体" w:hint="eastAsia"/>
                <w:color w:val="000000"/>
                <w:sz w:val="21"/>
                <w:szCs w:val="21"/>
                <w:lang w:eastAsia="zh-CN" w:bidi="ar"/>
              </w:rPr>
              <w:t>测量误差：±0.5℃。显示方式：4位LED红色显示。传感方式：直接接触式。</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多用电表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38</w:t>
            </w:r>
            <w:r>
              <w:rPr>
                <w:rFonts w:ascii="宋体" w:hAnsi="宋体" w:cs="宋体" w:hint="eastAsia"/>
                <w:color w:val="000000"/>
                <w:sz w:val="21"/>
                <w:szCs w:val="21"/>
                <w:lang w:eastAsia="zh-CN" w:bidi="ar"/>
              </w:rPr>
              <w:t>、内磁表头。测量范围：直流电流：0～5～50～500mA,10A；直流电压：0～0.25～0.5～10～50～250～500～1000V，交流电压：0～10～50～250～500～1000V；直流电阻：X1～X10K；温度测试：-10～150℃，电容：0.01～100000μf；电感：20～1000H；音频电平：-10～+22db。表笔1套。外型规格：165×113×52mm。重量：0.6kg。</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酸度计(pH计)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39</w:t>
            </w:r>
            <w:r>
              <w:rPr>
                <w:rFonts w:ascii="宋体" w:hAnsi="宋体" w:cs="宋体" w:hint="eastAsia"/>
                <w:color w:val="000000"/>
                <w:sz w:val="21"/>
                <w:szCs w:val="21"/>
                <w:lang w:eastAsia="zh-CN" w:bidi="ar"/>
              </w:rPr>
              <w:t>、笔式，测量范围：0～14.00pH；电源：3×1.5V（AG-13型钮扣电池）；校准方式：两点校准（PH4.01/6.86）；外形尺寸：≥150mm×30mm×15mm。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106</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量筒1</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40</w:t>
            </w:r>
            <w:r>
              <w:rPr>
                <w:rFonts w:ascii="宋体" w:hAnsi="宋体" w:cs="宋体" w:hint="eastAsia"/>
                <w:color w:val="000000"/>
                <w:sz w:val="21"/>
                <w:szCs w:val="21"/>
                <w:lang w:eastAsia="zh-CN" w:bidi="ar"/>
              </w:rPr>
              <w:t>、规格：10mL。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107</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量筒2</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41</w:t>
            </w:r>
            <w:r>
              <w:rPr>
                <w:rFonts w:ascii="宋体" w:hAnsi="宋体" w:cs="宋体" w:hint="eastAsia"/>
                <w:color w:val="000000"/>
                <w:sz w:val="21"/>
                <w:szCs w:val="21"/>
                <w:lang w:eastAsia="zh-CN" w:bidi="ar"/>
              </w:rPr>
              <w:t>、规格：50mL。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108</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试管1</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42</w:t>
            </w:r>
            <w:r>
              <w:rPr>
                <w:rFonts w:ascii="宋体" w:hAnsi="宋体" w:cs="宋体" w:hint="eastAsia"/>
                <w:color w:val="000000"/>
                <w:sz w:val="21"/>
                <w:szCs w:val="21"/>
                <w:lang w:eastAsia="zh-CN" w:bidi="ar"/>
              </w:rPr>
              <w:t>、规格：Φ12mm×70mm。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109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试管2</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243</w:t>
            </w:r>
            <w:r>
              <w:rPr>
                <w:rFonts w:ascii="宋体" w:hAnsi="宋体" w:cs="宋体" w:hint="eastAsia"/>
                <w:color w:val="000000"/>
                <w:sz w:val="21"/>
                <w:szCs w:val="21"/>
                <w:lang w:eastAsia="zh-CN" w:bidi="ar"/>
              </w:rPr>
              <w:t>、规格：Φ15mm×150mm。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110</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试管3</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244</w:t>
            </w:r>
            <w:r>
              <w:rPr>
                <w:rFonts w:ascii="宋体" w:hAnsi="宋体" w:cs="宋体" w:hint="eastAsia"/>
                <w:color w:val="000000"/>
                <w:sz w:val="21"/>
                <w:szCs w:val="21"/>
                <w:lang w:eastAsia="zh-CN" w:bidi="ar"/>
              </w:rPr>
              <w:t>、规格：Φ18mm×180mm。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111</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试管4</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245</w:t>
            </w:r>
            <w:r>
              <w:rPr>
                <w:rFonts w:ascii="宋体" w:hAnsi="宋体" w:cs="宋体" w:hint="eastAsia"/>
                <w:color w:val="000000"/>
                <w:sz w:val="21"/>
                <w:szCs w:val="21"/>
                <w:lang w:eastAsia="zh-CN" w:bidi="ar"/>
              </w:rPr>
              <w:t>、规格：Φ20mm×200mm。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试管5</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246</w:t>
            </w:r>
            <w:r>
              <w:rPr>
                <w:rFonts w:ascii="宋体" w:hAnsi="宋体" w:cs="宋体" w:hint="eastAsia"/>
                <w:color w:val="000000"/>
                <w:sz w:val="21"/>
                <w:szCs w:val="21"/>
                <w:lang w:eastAsia="zh-CN" w:bidi="ar"/>
              </w:rPr>
              <w:t>、规格：Φ32mm×200mm。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具支试管</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247</w:t>
            </w:r>
            <w:r>
              <w:rPr>
                <w:rFonts w:ascii="宋体" w:hAnsi="宋体" w:cs="宋体" w:hint="eastAsia"/>
                <w:color w:val="000000"/>
                <w:sz w:val="21"/>
                <w:szCs w:val="21"/>
                <w:lang w:eastAsia="zh-CN" w:bidi="ar"/>
              </w:rPr>
              <w:t>、规格：Φ20mm×200mm。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硬质玻璃管1</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248</w:t>
            </w:r>
            <w:r>
              <w:rPr>
                <w:rFonts w:ascii="宋体" w:hAnsi="宋体" w:cs="宋体" w:hint="eastAsia"/>
                <w:color w:val="000000"/>
                <w:sz w:val="21"/>
                <w:szCs w:val="21"/>
                <w:lang w:eastAsia="zh-CN" w:bidi="ar"/>
              </w:rPr>
              <w:t>、规格：Φ15mm×150mm。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硬质玻璃管2</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249</w:t>
            </w:r>
            <w:r>
              <w:rPr>
                <w:rFonts w:ascii="宋体" w:hAnsi="宋体" w:cs="宋体" w:hint="eastAsia"/>
                <w:color w:val="000000"/>
                <w:sz w:val="21"/>
                <w:szCs w:val="21"/>
                <w:lang w:eastAsia="zh-CN" w:bidi="ar"/>
              </w:rPr>
              <w:t>、规格：Φ20mm×250mm。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116</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烧杯1</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250</w:t>
            </w:r>
            <w:r>
              <w:rPr>
                <w:rFonts w:ascii="宋体" w:hAnsi="宋体" w:cs="宋体" w:hint="eastAsia"/>
                <w:color w:val="000000"/>
                <w:sz w:val="21"/>
                <w:szCs w:val="21"/>
                <w:lang w:eastAsia="zh-CN" w:bidi="ar"/>
              </w:rPr>
              <w:t>、规格：25mL。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117</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烧杯2</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251</w:t>
            </w:r>
            <w:r>
              <w:rPr>
                <w:rFonts w:ascii="宋体" w:hAnsi="宋体" w:cs="宋体" w:hint="eastAsia"/>
                <w:color w:val="000000"/>
                <w:sz w:val="21"/>
                <w:szCs w:val="21"/>
                <w:lang w:eastAsia="zh-CN" w:bidi="ar"/>
              </w:rPr>
              <w:t>、规格：50mL。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118</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烧杯3</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252</w:t>
            </w:r>
            <w:r>
              <w:rPr>
                <w:rFonts w:ascii="宋体" w:hAnsi="宋体" w:cs="宋体" w:hint="eastAsia"/>
                <w:color w:val="000000"/>
                <w:sz w:val="21"/>
                <w:szCs w:val="21"/>
                <w:lang w:eastAsia="zh-CN" w:bidi="ar"/>
              </w:rPr>
              <w:t>、规格：100mL。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119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烧杯4</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253</w:t>
            </w:r>
            <w:r>
              <w:rPr>
                <w:rFonts w:ascii="宋体" w:hAnsi="宋体" w:cs="宋体" w:hint="eastAsia"/>
                <w:color w:val="000000"/>
                <w:sz w:val="21"/>
                <w:szCs w:val="21"/>
                <w:lang w:eastAsia="zh-CN" w:bidi="ar"/>
              </w:rPr>
              <w:t>、规格：250mL。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120</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烧杯5</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254</w:t>
            </w:r>
            <w:r>
              <w:rPr>
                <w:rFonts w:ascii="宋体" w:hAnsi="宋体" w:cs="宋体" w:hint="eastAsia"/>
                <w:color w:val="000000"/>
                <w:sz w:val="21"/>
                <w:szCs w:val="21"/>
                <w:lang w:eastAsia="zh-CN" w:bidi="ar"/>
              </w:rPr>
              <w:t>、规格：500mL。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121</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烧杯6</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255</w:t>
            </w:r>
            <w:r>
              <w:rPr>
                <w:rFonts w:ascii="宋体" w:hAnsi="宋体" w:cs="宋体" w:hint="eastAsia"/>
                <w:color w:val="000000"/>
                <w:sz w:val="21"/>
                <w:szCs w:val="21"/>
                <w:lang w:eastAsia="zh-CN" w:bidi="ar"/>
              </w:rPr>
              <w:t>、规格：1000mL。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烧瓶1</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256</w:t>
            </w:r>
            <w:r>
              <w:rPr>
                <w:rFonts w:ascii="宋体" w:hAnsi="宋体" w:cs="宋体" w:hint="eastAsia"/>
                <w:color w:val="000000"/>
                <w:sz w:val="21"/>
                <w:szCs w:val="21"/>
                <w:lang w:eastAsia="zh-CN" w:bidi="ar"/>
              </w:rPr>
              <w:t>、规格：圆、长，250mL。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烧瓶2</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257</w:t>
            </w:r>
            <w:r>
              <w:rPr>
                <w:rFonts w:ascii="宋体" w:hAnsi="宋体" w:cs="宋体" w:hint="eastAsia"/>
                <w:color w:val="000000"/>
                <w:sz w:val="21"/>
                <w:szCs w:val="21"/>
                <w:lang w:eastAsia="zh-CN" w:bidi="ar"/>
              </w:rPr>
              <w:t>、规格：平、长，250mL。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锥形瓶1</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258</w:t>
            </w:r>
            <w:r>
              <w:rPr>
                <w:rFonts w:ascii="宋体" w:hAnsi="宋体" w:cs="宋体" w:hint="eastAsia"/>
                <w:color w:val="000000"/>
                <w:sz w:val="21"/>
                <w:szCs w:val="21"/>
                <w:lang w:eastAsia="zh-CN" w:bidi="ar"/>
              </w:rPr>
              <w:t>、规格：100mL。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锥形瓶2</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259</w:t>
            </w:r>
            <w:r>
              <w:rPr>
                <w:rFonts w:ascii="宋体" w:hAnsi="宋体" w:cs="宋体" w:hint="eastAsia"/>
                <w:color w:val="000000"/>
                <w:sz w:val="21"/>
                <w:szCs w:val="21"/>
                <w:lang w:eastAsia="zh-CN" w:bidi="ar"/>
              </w:rPr>
              <w:t>、规格：250mL。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蒸馏烧瓶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260</w:t>
            </w:r>
            <w:r>
              <w:rPr>
                <w:rFonts w:ascii="宋体" w:hAnsi="宋体" w:cs="宋体" w:hint="eastAsia"/>
                <w:color w:val="000000"/>
                <w:sz w:val="21"/>
                <w:szCs w:val="21"/>
                <w:lang w:eastAsia="zh-CN" w:bidi="ar"/>
              </w:rPr>
              <w:t>、规格：250mL。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酒精灯</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261</w:t>
            </w:r>
            <w:r>
              <w:rPr>
                <w:rFonts w:ascii="宋体" w:hAnsi="宋体" w:cs="宋体" w:hint="eastAsia"/>
                <w:color w:val="000000"/>
                <w:sz w:val="21"/>
                <w:szCs w:val="21"/>
                <w:lang w:eastAsia="zh-CN" w:bidi="ar"/>
              </w:rPr>
              <w:t>、规格：150mL。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抽滤瓶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262</w:t>
            </w:r>
            <w:r>
              <w:rPr>
                <w:rFonts w:ascii="宋体" w:hAnsi="宋体" w:cs="宋体" w:hint="eastAsia"/>
                <w:color w:val="000000"/>
                <w:sz w:val="21"/>
                <w:szCs w:val="21"/>
                <w:lang w:eastAsia="zh-CN" w:bidi="ar"/>
              </w:rPr>
              <w:t>、规格：500mL。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129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抽气管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263</w:t>
            </w:r>
            <w:r>
              <w:rPr>
                <w:rFonts w:ascii="宋体" w:hAnsi="宋体" w:cs="宋体" w:hint="eastAsia"/>
                <w:color w:val="000000"/>
                <w:sz w:val="21"/>
                <w:szCs w:val="21"/>
                <w:lang w:eastAsia="zh-CN" w:bidi="ar"/>
              </w:rPr>
              <w:t>、软管，直径≥110mm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干燥器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264</w:t>
            </w:r>
            <w:r>
              <w:rPr>
                <w:rFonts w:ascii="宋体" w:hAnsi="宋体" w:cs="宋体" w:hint="eastAsia"/>
                <w:color w:val="000000"/>
                <w:sz w:val="21"/>
                <w:szCs w:val="21"/>
                <w:lang w:eastAsia="zh-CN" w:bidi="ar"/>
              </w:rPr>
              <w:t>、规格：160mm。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131</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气体发生器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265</w:t>
            </w:r>
            <w:r>
              <w:rPr>
                <w:rFonts w:ascii="宋体" w:hAnsi="宋体" w:cs="宋体" w:hint="eastAsia"/>
                <w:color w:val="000000"/>
                <w:sz w:val="21"/>
                <w:szCs w:val="21"/>
                <w:lang w:eastAsia="zh-CN" w:bidi="ar"/>
              </w:rPr>
              <w:t>、规格：250mL。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冷凝器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266</w:t>
            </w:r>
            <w:r>
              <w:rPr>
                <w:rFonts w:ascii="宋体" w:hAnsi="宋体" w:cs="宋体" w:hint="eastAsia"/>
                <w:color w:val="000000"/>
                <w:sz w:val="21"/>
                <w:szCs w:val="21"/>
                <w:lang w:eastAsia="zh-CN" w:bidi="ar"/>
              </w:rPr>
              <w:t>、规格：直固，300mm。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牛角管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267</w:t>
            </w:r>
            <w:r>
              <w:rPr>
                <w:rFonts w:ascii="宋体" w:hAnsi="宋体" w:cs="宋体" w:hint="eastAsia"/>
                <w:color w:val="000000"/>
                <w:sz w:val="21"/>
                <w:szCs w:val="21"/>
                <w:lang w:eastAsia="zh-CN" w:bidi="ar"/>
              </w:rPr>
              <w:t>、规格：弯形，Φ18mm×150mm。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漏斗1</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268</w:t>
            </w:r>
            <w:r>
              <w:rPr>
                <w:rFonts w:ascii="宋体" w:hAnsi="宋体" w:cs="宋体" w:hint="eastAsia"/>
                <w:color w:val="000000"/>
                <w:sz w:val="21"/>
                <w:szCs w:val="21"/>
                <w:lang w:eastAsia="zh-CN" w:bidi="ar"/>
              </w:rPr>
              <w:t>、规格：60mm。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漏斗2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269</w:t>
            </w:r>
            <w:r>
              <w:rPr>
                <w:rFonts w:ascii="宋体" w:hAnsi="宋体" w:cs="宋体" w:hint="eastAsia"/>
                <w:color w:val="000000"/>
                <w:sz w:val="21"/>
                <w:szCs w:val="21"/>
                <w:lang w:eastAsia="zh-CN" w:bidi="ar"/>
              </w:rPr>
              <w:t>、规格：90mm。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136</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T形管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w:t>
            </w:r>
            <w:r>
              <w:rPr>
                <w:rFonts w:ascii="宋体" w:hAnsi="宋体" w:cs="宋体" w:hint="eastAsia"/>
                <w:color w:val="000000"/>
                <w:sz w:val="21"/>
                <w:szCs w:val="21"/>
                <w:lang w:eastAsia="zh-CN" w:bidi="ar"/>
              </w:rPr>
              <w:t>7</w:t>
            </w:r>
            <w:r>
              <w:rPr>
                <w:rFonts w:ascii="宋体" w:hAnsi="宋体" w:cs="宋体" w:hint="eastAsia"/>
                <w:color w:val="000000"/>
                <w:sz w:val="21"/>
                <w:szCs w:val="21"/>
                <w:lang w:eastAsia="zh-CN" w:bidi="ar"/>
              </w:rPr>
              <w:t>0</w:t>
            </w:r>
            <w:r>
              <w:rPr>
                <w:rFonts w:ascii="宋体" w:hAnsi="宋体" w:cs="宋体" w:hint="eastAsia"/>
                <w:color w:val="000000"/>
                <w:sz w:val="21"/>
                <w:szCs w:val="21"/>
                <w:lang w:eastAsia="zh-CN" w:bidi="ar"/>
              </w:rPr>
              <w:t>、直径Φ7－8mm，直通管长度100mm，垂直管长度50mm。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137</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Y形管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271</w:t>
            </w:r>
            <w:r>
              <w:rPr>
                <w:rFonts w:ascii="宋体" w:hAnsi="宋体" w:cs="宋体" w:hint="eastAsia"/>
                <w:color w:val="000000"/>
                <w:sz w:val="21"/>
                <w:szCs w:val="21"/>
                <w:lang w:eastAsia="zh-CN" w:bidi="ar"/>
              </w:rPr>
              <w:t>、弯管长：50mm±5mm；支管长：50mm±5mm；管厚：1±0.2mm；管径：Φ7mm－8mm；全高：100mm±5mm；弯管角度：60º±3º。</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138</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滴管</w:t>
            </w:r>
          </w:p>
        </w:tc>
        <w:tc>
          <w:tcPr>
            <w:tcW w:w="5899" w:type="dxa"/>
            <w:vAlign w:val="center"/>
          </w:tcPr>
          <w:p>
            <w:pPr>
              <w:widowControl/>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272</w:t>
            </w:r>
            <w:r>
              <w:rPr>
                <w:rFonts w:ascii="宋体" w:hAnsi="宋体" w:cs="宋体" w:hint="eastAsia"/>
                <w:color w:val="000000"/>
                <w:sz w:val="21"/>
                <w:szCs w:val="21"/>
                <w:lang w:eastAsia="zh-CN" w:bidi="ar"/>
              </w:rPr>
              <w:t>、由玻璃滴管和胶头组成。</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273</w:t>
            </w:r>
            <w:r>
              <w:rPr>
                <w:rFonts w:ascii="宋体" w:hAnsi="宋体" w:cs="宋体" w:hint="eastAsia"/>
                <w:color w:val="000000"/>
                <w:sz w:val="21"/>
                <w:szCs w:val="21"/>
                <w:lang w:eastAsia="zh-CN" w:bidi="ar"/>
              </w:rPr>
              <w:t>、规格：150mm；管身Φ7mm－8mm；管全长：150mm±10mm；喇叭口Φ10mm±1mm；球距上管口长：50mm±5mm。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139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离心管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274</w:t>
            </w:r>
            <w:r>
              <w:rPr>
                <w:rFonts w:ascii="宋体" w:hAnsi="宋体" w:cs="宋体" w:hint="eastAsia"/>
                <w:color w:val="000000"/>
                <w:sz w:val="21"/>
                <w:szCs w:val="21"/>
                <w:lang w:eastAsia="zh-CN" w:bidi="ar"/>
              </w:rPr>
              <w:t>、规格：l0mL。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140</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集气瓶1</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275</w:t>
            </w:r>
            <w:r>
              <w:rPr>
                <w:rFonts w:ascii="宋体" w:hAnsi="宋体" w:cs="宋体" w:hint="eastAsia"/>
                <w:color w:val="000000"/>
                <w:sz w:val="21"/>
                <w:szCs w:val="21"/>
                <w:lang w:eastAsia="zh-CN" w:bidi="ar"/>
              </w:rPr>
              <w:t>、规格：125mL。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集气瓶2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276</w:t>
            </w:r>
            <w:r>
              <w:rPr>
                <w:rFonts w:ascii="宋体" w:hAnsi="宋体" w:cs="宋体" w:hint="eastAsia"/>
                <w:color w:val="000000"/>
                <w:sz w:val="21"/>
                <w:szCs w:val="21"/>
                <w:lang w:eastAsia="zh-CN" w:bidi="ar"/>
              </w:rPr>
              <w:t>、规格：250mL。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142</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液封除毒气集气瓶</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277</w:t>
            </w:r>
            <w:r>
              <w:rPr>
                <w:rFonts w:ascii="宋体" w:hAnsi="宋体" w:cs="宋体" w:hint="eastAsia"/>
                <w:color w:val="000000"/>
                <w:sz w:val="21"/>
                <w:szCs w:val="21"/>
                <w:lang w:eastAsia="zh-CN" w:bidi="ar"/>
              </w:rPr>
              <w:t>、规格：250mL。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143</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广口瓶1</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278</w:t>
            </w:r>
            <w:r>
              <w:rPr>
                <w:rFonts w:ascii="宋体" w:hAnsi="宋体" w:cs="宋体" w:hint="eastAsia"/>
                <w:color w:val="000000"/>
                <w:sz w:val="21"/>
                <w:szCs w:val="21"/>
                <w:lang w:eastAsia="zh-CN" w:bidi="ar"/>
              </w:rPr>
              <w:t>、规格：60mL。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144</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广口瓶2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279</w:t>
            </w:r>
            <w:r>
              <w:rPr>
                <w:rFonts w:ascii="宋体" w:hAnsi="宋体" w:cs="宋体" w:hint="eastAsia"/>
                <w:color w:val="000000"/>
                <w:sz w:val="21"/>
                <w:szCs w:val="21"/>
                <w:lang w:eastAsia="zh-CN" w:bidi="ar"/>
              </w:rPr>
              <w:t>、规格：125mL。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145</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广口瓶3</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280</w:t>
            </w:r>
            <w:r>
              <w:rPr>
                <w:rFonts w:ascii="宋体" w:hAnsi="宋体" w:cs="宋体" w:hint="eastAsia"/>
                <w:color w:val="000000"/>
                <w:sz w:val="21"/>
                <w:szCs w:val="21"/>
                <w:lang w:eastAsia="zh-CN" w:bidi="ar"/>
              </w:rPr>
              <w:t>、规格：250mL。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广口瓶4</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281</w:t>
            </w:r>
            <w:r>
              <w:rPr>
                <w:rFonts w:ascii="宋体" w:hAnsi="宋体" w:cs="宋体" w:hint="eastAsia"/>
                <w:color w:val="000000"/>
                <w:sz w:val="21"/>
                <w:szCs w:val="21"/>
                <w:lang w:eastAsia="zh-CN" w:bidi="ar"/>
              </w:rPr>
              <w:t>、规格：500mL。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广口瓶5</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282</w:t>
            </w:r>
            <w:r>
              <w:rPr>
                <w:rFonts w:ascii="宋体" w:hAnsi="宋体" w:cs="宋体" w:hint="eastAsia"/>
                <w:color w:val="000000"/>
                <w:sz w:val="21"/>
                <w:szCs w:val="21"/>
                <w:lang w:eastAsia="zh-CN" w:bidi="ar"/>
              </w:rPr>
              <w:t>、规格：茶，60mL。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广口瓶6</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283</w:t>
            </w:r>
            <w:r>
              <w:rPr>
                <w:rFonts w:ascii="宋体" w:hAnsi="宋体" w:cs="宋体" w:hint="eastAsia"/>
                <w:color w:val="000000"/>
                <w:sz w:val="21"/>
                <w:szCs w:val="21"/>
                <w:lang w:eastAsia="zh-CN" w:bidi="ar"/>
              </w:rPr>
              <w:t>、规格：茶，125mL。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149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广口瓶7</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284</w:t>
            </w:r>
            <w:r>
              <w:rPr>
                <w:rFonts w:ascii="宋体" w:hAnsi="宋体" w:cs="宋体" w:hint="eastAsia"/>
                <w:color w:val="000000"/>
                <w:sz w:val="21"/>
                <w:szCs w:val="21"/>
                <w:lang w:eastAsia="zh-CN" w:bidi="ar"/>
              </w:rPr>
              <w:t>、规格：茶，250mL。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坩埚钳</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285</w:t>
            </w:r>
            <w:r>
              <w:rPr>
                <w:rFonts w:ascii="宋体" w:hAnsi="宋体" w:cs="宋体" w:hint="eastAsia"/>
                <w:color w:val="000000"/>
                <w:sz w:val="21"/>
                <w:szCs w:val="21"/>
                <w:lang w:eastAsia="zh-CN" w:bidi="ar"/>
              </w:rPr>
              <w:t>、产品钢制，表面电镀处理。总长度约220mm；钳子的夹持端为弯头。</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151</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烧杯夹</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286</w:t>
            </w:r>
            <w:r>
              <w:rPr>
                <w:rFonts w:ascii="宋体" w:hAnsi="宋体" w:cs="宋体" w:hint="eastAsia"/>
                <w:color w:val="000000"/>
                <w:sz w:val="21"/>
                <w:szCs w:val="21"/>
                <w:lang w:eastAsia="zh-CN" w:bidi="ar"/>
              </w:rPr>
              <w:t>、产品用厚度为2㎜的不锈钢板制造。总长度为300mm，宽度为20㎜。</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镊子</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287</w:t>
            </w:r>
            <w:r>
              <w:rPr>
                <w:rFonts w:ascii="宋体" w:hAnsi="宋体" w:cs="宋体" w:hint="eastAsia"/>
                <w:color w:val="000000"/>
                <w:sz w:val="21"/>
                <w:szCs w:val="21"/>
                <w:lang w:eastAsia="zh-CN" w:bidi="ar"/>
              </w:rPr>
              <w:t>、镊子用不锈钢板材制成。镊子的宽度不小于9mm，镊子的长度为160±5mm。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试管夹</w:t>
            </w:r>
          </w:p>
        </w:tc>
        <w:tc>
          <w:tcPr>
            <w:tcW w:w="5899" w:type="dxa"/>
            <w:vAlign w:val="center"/>
          </w:tcPr>
          <w:p>
            <w:pPr>
              <w:widowControl/>
              <w:numPr>
                <w:ilvl w:val="0"/>
                <w:numId w:val="0"/>
              </w:numPr>
              <w:ind w:left="0" w:firstLine="0"/>
              <w:jc w:val="left"/>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288、</w:t>
            </w:r>
            <w:r>
              <w:rPr>
                <w:rFonts w:ascii="宋体" w:hAnsi="宋体" w:cs="宋体" w:hint="eastAsia"/>
                <w:color w:val="000000"/>
                <w:sz w:val="21"/>
                <w:szCs w:val="21"/>
                <w:lang w:eastAsia="zh-CN" w:bidi="ar"/>
              </w:rPr>
              <w:t>产品为竹制品。长度170mm，宽度12mm，厚度7.5mm。</w:t>
            </w:r>
          </w:p>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试管夹弹簧有弹性，作防锈处理。</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止水皮管夹</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289</w:t>
            </w:r>
            <w:r>
              <w:rPr>
                <w:rFonts w:ascii="宋体" w:hAnsi="宋体" w:cs="宋体" w:hint="eastAsia"/>
                <w:color w:val="000000"/>
                <w:sz w:val="21"/>
                <w:szCs w:val="21"/>
                <w:lang w:eastAsia="zh-CN" w:bidi="ar"/>
              </w:rPr>
              <w:t>、产品用直径Φ1.5mm的钢丝制成。产品的夹持角度不小于60º。</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螺旋皮管夹</w:t>
            </w:r>
          </w:p>
        </w:tc>
        <w:tc>
          <w:tcPr>
            <w:tcW w:w="5899" w:type="dxa"/>
            <w:vAlign w:val="center"/>
          </w:tcPr>
          <w:p>
            <w:pPr>
              <w:widowControl/>
              <w:jc w:val="left"/>
              <w:textAlignment w:val="center"/>
              <w:rPr>
                <w:rFonts w:ascii="宋体" w:hAnsi="宋体" w:cs="宋体" w:hint="eastAsia"/>
                <w:color w:val="FF0000"/>
                <w:kern w:val="2"/>
                <w:sz w:val="21"/>
                <w:szCs w:val="21"/>
                <w:lang w:eastAsia="zh-CN"/>
              </w:rPr>
            </w:pPr>
            <w:r>
              <w:rPr>
                <w:rFonts w:ascii="宋体" w:hAnsi="宋体" w:cs="宋体" w:hint="eastAsia"/>
                <w:color w:val="000000"/>
                <w:sz w:val="21"/>
                <w:szCs w:val="21"/>
                <w:lang w:eastAsia="zh-CN" w:bidi="ar"/>
              </w:rPr>
              <w:t>290</w:t>
            </w:r>
            <w:r>
              <w:rPr>
                <w:rFonts w:ascii="宋体" w:hAnsi="宋体" w:cs="宋体" w:hint="eastAsia"/>
                <w:color w:val="000000"/>
                <w:sz w:val="21"/>
                <w:szCs w:val="21"/>
                <w:lang w:eastAsia="zh-CN" w:bidi="ar"/>
              </w:rPr>
              <w:t>、产品用钢材制成，防锈处理。产品的夹持范围最大应不小于20mm</w:t>
            </w:r>
            <w:r>
              <w:rPr>
                <w:rFonts w:ascii="宋体" w:hAnsi="宋体" w:cs="宋体" w:hint="eastAsia"/>
                <w:color w:val="000000"/>
                <w:sz w:val="21"/>
                <w:szCs w:val="21"/>
                <w:lang w:eastAsia="zh-CN" w:bidi="ar"/>
              </w:rPr>
              <w:t>。</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156</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石棉网</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291</w:t>
            </w:r>
            <w:r>
              <w:rPr>
                <w:rFonts w:ascii="宋体" w:hAnsi="宋体" w:cs="宋体" w:hint="eastAsia"/>
                <w:color w:val="000000"/>
                <w:sz w:val="21"/>
                <w:szCs w:val="21"/>
                <w:lang w:eastAsia="zh-CN" w:bidi="ar"/>
              </w:rPr>
              <w:t>、产品由金属网和附在网上的石棉组成；金属网由Φ0.1mm左右的钢丝编织而成，密度均匀，织网密度间距不大于2mm，金属网为边长不小于100mm的正方形；金属网上所附石棉圈为双面附着的正圆形，直径不小于Φ100mm，厚度为3mm左右。</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157</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燃烧匙</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292</w:t>
            </w:r>
            <w:r>
              <w:rPr>
                <w:rFonts w:ascii="宋体" w:hAnsi="宋体" w:cs="宋体" w:hint="eastAsia"/>
                <w:color w:val="000000"/>
                <w:sz w:val="21"/>
                <w:szCs w:val="21"/>
                <w:lang w:eastAsia="zh-CN" w:bidi="ar"/>
              </w:rPr>
              <w:t>、产品由半圆面和金属丝结合制成；半圆面为铜材制造，直径Φ为20mm左右；金属丝约用Φ2mm的钢丝或铁丝制造，长度为240mm左右。</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158</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药匙</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293</w:t>
            </w:r>
            <w:r>
              <w:rPr>
                <w:rFonts w:ascii="宋体" w:hAnsi="宋体" w:cs="宋体" w:hint="eastAsia"/>
                <w:color w:val="000000"/>
                <w:sz w:val="21"/>
                <w:szCs w:val="21"/>
                <w:lang w:eastAsia="zh-CN" w:bidi="ar"/>
              </w:rPr>
              <w:t>、药匙采用塑料制成。药匙的宽度约10mm，长度为120±5mm；。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159</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乳胶管</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294</w:t>
            </w:r>
            <w:r>
              <w:rPr>
                <w:rFonts w:ascii="宋体" w:hAnsi="宋体" w:cs="宋体" w:hint="eastAsia"/>
                <w:color w:val="000000"/>
                <w:sz w:val="21"/>
                <w:szCs w:val="21"/>
                <w:lang w:eastAsia="zh-CN" w:bidi="ar"/>
              </w:rPr>
              <w:t>、产品用乳胶制造。产品内径为5~7mm。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160</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试管刷</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295</w:t>
            </w:r>
            <w:r>
              <w:rPr>
                <w:rFonts w:ascii="宋体" w:hAnsi="宋体" w:cs="宋体" w:hint="eastAsia"/>
                <w:color w:val="000000"/>
                <w:sz w:val="21"/>
                <w:szCs w:val="21"/>
                <w:lang w:eastAsia="zh-CN" w:bidi="ar"/>
              </w:rPr>
              <w:t>、产品由金属丝和绞合在其上的猪鬃毛制成，大、中、小各一个金属丝用约Φ1.5mm左右的镀锌铁丝2根绞合，总长度不小于200mm制成的试管刷要求不散、不脱毛。</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161</w:t>
            </w:r>
          </w:p>
        </w:tc>
        <w:tc>
          <w:tcPr>
            <w:tcW w:w="1923" w:type="dxa"/>
            <w:vAlign w:val="center"/>
          </w:tcPr>
          <w:p>
            <w:pPr>
              <w:widowControl/>
              <w:jc w:val="center"/>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烧瓶刷</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296</w:t>
            </w:r>
            <w:r>
              <w:rPr>
                <w:rFonts w:ascii="宋体" w:hAnsi="宋体" w:cs="宋体" w:hint="eastAsia"/>
                <w:color w:val="000000"/>
                <w:sz w:val="21"/>
                <w:szCs w:val="21"/>
                <w:lang w:eastAsia="zh-CN" w:bidi="ar"/>
              </w:rPr>
              <w:t>、产品由金属丝和绞合在其上的猪鬃毛制成金属丝用约Φ1.5mm左右的镀锌铁丝2根绞合，总长度不小于200mm；制成的烧瓶刷呈鼓形，最大直径约Φ60mm，长度约100mm。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162</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表面皿</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297</w:t>
            </w:r>
            <w:r>
              <w:rPr>
                <w:rFonts w:ascii="宋体" w:hAnsi="宋体" w:cs="宋体" w:hint="eastAsia"/>
                <w:color w:val="000000"/>
                <w:sz w:val="21"/>
                <w:szCs w:val="21"/>
                <w:lang w:eastAsia="zh-CN" w:bidi="ar"/>
              </w:rPr>
              <w:t>、规格：60mm。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163</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研钵</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298</w:t>
            </w:r>
            <w:r>
              <w:rPr>
                <w:rFonts w:ascii="宋体" w:hAnsi="宋体" w:cs="宋体" w:hint="eastAsia"/>
                <w:color w:val="000000"/>
                <w:sz w:val="21"/>
                <w:szCs w:val="21"/>
                <w:lang w:eastAsia="zh-CN" w:bidi="ar"/>
              </w:rPr>
              <w:t>、规格：瓷，60mm。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164</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蒸发皿</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299</w:t>
            </w:r>
            <w:r>
              <w:rPr>
                <w:rFonts w:ascii="宋体" w:hAnsi="宋体" w:cs="宋体" w:hint="eastAsia"/>
                <w:color w:val="000000"/>
                <w:sz w:val="21"/>
                <w:szCs w:val="21"/>
                <w:lang w:eastAsia="zh-CN" w:bidi="ar"/>
              </w:rPr>
              <w:t>、规格：瓷，60mm。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165</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反应板</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300</w:t>
            </w:r>
            <w:r>
              <w:rPr>
                <w:rFonts w:ascii="宋体" w:hAnsi="宋体" w:cs="宋体" w:hint="eastAsia"/>
                <w:color w:val="000000"/>
                <w:sz w:val="21"/>
                <w:szCs w:val="21"/>
                <w:lang w:eastAsia="zh-CN" w:bidi="ar"/>
              </w:rPr>
              <w:t>、规格：至少6穴。</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166</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井穴板1</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301</w:t>
            </w:r>
            <w:r>
              <w:rPr>
                <w:rFonts w:ascii="宋体" w:hAnsi="宋体" w:cs="宋体" w:hint="eastAsia"/>
                <w:color w:val="000000"/>
                <w:sz w:val="21"/>
                <w:szCs w:val="21"/>
                <w:lang w:eastAsia="zh-CN" w:bidi="ar"/>
              </w:rPr>
              <w:t>、产品为透明塑料注塑料成型。9孔，0.7mL×9。整体外形尺寸：≥115mm×11mm×15mm。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167</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井穴板2</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w:t>
            </w:r>
            <w:r>
              <w:rPr>
                <w:rFonts w:ascii="宋体" w:hAnsi="宋体" w:cs="宋体" w:hint="eastAsia"/>
                <w:color w:val="000000"/>
                <w:sz w:val="21"/>
                <w:szCs w:val="21"/>
                <w:lang w:eastAsia="zh-CN" w:bidi="ar"/>
              </w:rPr>
              <w:t>02</w:t>
            </w:r>
            <w:r>
              <w:rPr>
                <w:rFonts w:ascii="宋体" w:hAnsi="宋体" w:cs="宋体" w:hint="eastAsia"/>
                <w:color w:val="000000"/>
                <w:sz w:val="21"/>
                <w:szCs w:val="21"/>
                <w:lang w:eastAsia="zh-CN" w:bidi="ar"/>
              </w:rPr>
              <w:t>、产品为透明塑料注塑料成型。6孔，5mL×6。整体外形尺寸：≥80mm×55mm×22mm。</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168</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护目镜</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w:t>
            </w:r>
            <w:r>
              <w:rPr>
                <w:rFonts w:ascii="宋体" w:hAnsi="宋体" w:cs="宋体" w:hint="eastAsia"/>
                <w:color w:val="000000"/>
                <w:sz w:val="21"/>
                <w:szCs w:val="21"/>
                <w:lang w:eastAsia="zh-CN" w:bidi="ar"/>
              </w:rPr>
              <w:t>03</w:t>
            </w:r>
            <w:r>
              <w:rPr>
                <w:rFonts w:ascii="宋体" w:hAnsi="宋体" w:cs="宋体" w:hint="eastAsia"/>
                <w:color w:val="000000"/>
                <w:sz w:val="21"/>
                <w:szCs w:val="21"/>
                <w:lang w:eastAsia="zh-CN" w:bidi="ar"/>
              </w:rPr>
              <w:t>、全塑料制，侧面完全遮挡。眼架的距离可调。</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169</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洗眼器</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w:t>
            </w:r>
            <w:r>
              <w:rPr>
                <w:rFonts w:ascii="宋体" w:hAnsi="宋体" w:cs="宋体" w:hint="eastAsia"/>
                <w:color w:val="000000"/>
                <w:sz w:val="21"/>
                <w:szCs w:val="21"/>
                <w:lang w:eastAsia="zh-CN" w:bidi="ar"/>
              </w:rPr>
              <w:t>04</w:t>
            </w:r>
            <w:r>
              <w:rPr>
                <w:rFonts w:ascii="宋体" w:hAnsi="宋体" w:cs="宋体" w:hint="eastAsia"/>
                <w:color w:val="000000"/>
                <w:sz w:val="21"/>
                <w:szCs w:val="21"/>
                <w:lang w:eastAsia="zh-CN" w:bidi="ar"/>
              </w:rPr>
              <w:t>、便携式，压力型，塑料制成。主要由筒体，加压装置，喷水装置等组成。有效容积3L。</w:t>
            </w:r>
          </w:p>
        </w:tc>
      </w:tr>
      <w:tr>
        <w:tblPrEx>
          <w:tblW w:w="5000" w:type="pct"/>
          <w:jc w:val="center"/>
          <w:tblLayout w:type="fixed"/>
          <w:tblCellMar>
            <w:top w:w="0" w:type="dxa"/>
            <w:left w:w="108" w:type="dxa"/>
            <w:bottom w:w="0" w:type="dxa"/>
            <w:right w:w="108" w:type="dxa"/>
          </w:tblCellMar>
        </w:tblPrEx>
        <w:trPr>
          <w:jc w:val="center"/>
        </w:trPr>
        <w:tc>
          <w:tcPr>
            <w:tcW w:w="1466"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170</w:t>
            </w:r>
          </w:p>
        </w:tc>
        <w:tc>
          <w:tcPr>
            <w:tcW w:w="1923" w:type="dxa"/>
            <w:vAlign w:val="center"/>
          </w:tcPr>
          <w:p>
            <w:pPr>
              <w:widowControl/>
              <w:jc w:val="center"/>
              <w:textAlignment w:val="center"/>
              <w:rPr>
                <w:rFonts w:ascii="宋体" w:hAnsi="宋体" w:cs="宋体"/>
                <w:color w:val="000000"/>
                <w:sz w:val="21"/>
                <w:szCs w:val="21"/>
                <w:lang w:eastAsia="zh-CN" w:bidi="ar"/>
              </w:rPr>
            </w:pPr>
            <w:r>
              <w:rPr>
                <w:rFonts w:ascii="宋体" w:hAnsi="宋体" w:cs="宋体" w:hint="eastAsia"/>
                <w:color w:val="000000"/>
                <w:sz w:val="21"/>
                <w:szCs w:val="21"/>
                <w:lang w:eastAsia="zh-CN" w:bidi="ar"/>
              </w:rPr>
              <w:t>简易急救箱</w:t>
            </w:r>
          </w:p>
        </w:tc>
        <w:tc>
          <w:tcPr>
            <w:tcW w:w="5899" w:type="dxa"/>
            <w:vAlign w:val="center"/>
          </w:tcPr>
          <w:p>
            <w:pPr>
              <w:widowControl/>
              <w:jc w:val="left"/>
              <w:textAlignment w:val="center"/>
              <w:rPr>
                <w:rFonts w:ascii="宋体" w:hAnsi="宋体" w:cs="宋体"/>
                <w:color w:val="FF0000"/>
                <w:kern w:val="2"/>
                <w:sz w:val="21"/>
                <w:szCs w:val="21"/>
                <w:lang w:eastAsia="zh-CN"/>
              </w:rPr>
            </w:pPr>
            <w:r>
              <w:rPr>
                <w:rFonts w:ascii="宋体" w:hAnsi="宋体" w:cs="宋体" w:hint="eastAsia"/>
                <w:color w:val="000000"/>
                <w:sz w:val="21"/>
                <w:szCs w:val="21"/>
                <w:lang w:eastAsia="zh-CN" w:bidi="ar"/>
              </w:rPr>
              <w:t>3</w:t>
            </w:r>
            <w:r>
              <w:rPr>
                <w:rFonts w:ascii="宋体" w:hAnsi="宋体" w:cs="宋体" w:hint="eastAsia"/>
                <w:color w:val="000000"/>
                <w:sz w:val="21"/>
                <w:szCs w:val="21"/>
                <w:lang w:eastAsia="zh-CN" w:bidi="ar"/>
              </w:rPr>
              <w:t>05</w:t>
            </w:r>
            <w:r>
              <w:rPr>
                <w:rFonts w:ascii="宋体" w:hAnsi="宋体" w:cs="宋体" w:hint="eastAsia"/>
                <w:color w:val="000000"/>
                <w:sz w:val="21"/>
                <w:szCs w:val="21"/>
                <w:lang w:eastAsia="zh-CN" w:bidi="ar"/>
              </w:rPr>
              <w:t>、箱内有隔层，箱外有提手和背带，尺寸：≥355mm×185mm×210mm。</w:t>
            </w:r>
          </w:p>
        </w:tc>
      </w:tr>
    </w:tbl>
    <w:p>
      <w:pPr>
        <w:keepNext/>
        <w:keepLines/>
        <w:pageBreakBefore w:val="0"/>
        <w:widowControl w:val="0"/>
        <w:kinsoku/>
        <w:wordWrap/>
        <w:overflowPunct/>
        <w:topLinePunct w:val="0"/>
        <w:autoSpaceDE/>
        <w:autoSpaceDN/>
        <w:bidi w:val="0"/>
        <w:adjustRightInd/>
        <w:snapToGrid/>
        <w:spacing w:before="156" w:beforeLines="50" w:after="156" w:afterLines="50" w:line="416" w:lineRule="auto"/>
        <w:jc w:val="center"/>
        <w:textAlignment w:val="auto"/>
        <w:outlineLvl w:val="2"/>
        <w:rPr>
          <w:rFonts w:ascii="宋体" w:eastAsia="宋体" w:hAnsi="宋体"/>
          <w:b/>
          <w:bCs/>
          <w:kern w:val="2"/>
          <w:sz w:val="28"/>
          <w:szCs w:val="28"/>
          <w:lang w:eastAsia="zh-CN"/>
        </w:rPr>
      </w:pPr>
      <w:r>
        <w:rPr>
          <w:rFonts w:ascii="宋体" w:eastAsia="黑体" w:hAnsi="宋体"/>
          <w:b/>
          <w:bCs/>
          <w:kern w:val="44"/>
          <w:sz w:val="28"/>
          <w:szCs w:val="44"/>
          <w:lang w:eastAsia="zh-CN"/>
        </w:rPr>
        <w:br w:type="page"/>
      </w:r>
      <w:r>
        <w:rPr>
          <w:rFonts w:ascii="宋体" w:eastAsia="宋体" w:hAnsi="宋体" w:cstheme="minorBidi" w:hint="eastAsia"/>
          <w:b/>
          <w:bCs/>
          <w:kern w:val="2"/>
          <w:sz w:val="28"/>
          <w:szCs w:val="28"/>
          <w:lang w:eastAsia="zh-CN"/>
        </w:rPr>
        <w:t>六</w:t>
      </w:r>
      <w:r>
        <w:rPr>
          <w:rFonts w:ascii="宋体" w:eastAsia="宋体" w:hAnsi="宋体" w:cstheme="minorBidi" w:hint="eastAsia"/>
          <w:b/>
          <w:bCs/>
          <w:kern w:val="2"/>
          <w:sz w:val="28"/>
          <w:szCs w:val="28"/>
          <w:lang w:eastAsia="zh-CN"/>
        </w:rPr>
        <w:t>、其他重要条款</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hint="eastAsia"/>
          <w:bCs/>
          <w:kern w:val="2"/>
          <w:sz w:val="21"/>
          <w:szCs w:val="21"/>
          <w:lang w:eastAsia="zh-CN"/>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widowControl w:val="0"/>
        <w:spacing w:before="78" w:beforeLines="25" w:after="78" w:afterLines="25"/>
        <w:ind w:firstLine="393" w:firstLineChars="187"/>
        <w:jc w:val="both"/>
        <w:rPr>
          <w:rFonts w:ascii="宋体" w:eastAsia="宋体" w:hAnsi="宋体"/>
          <w:kern w:val="2"/>
          <w:sz w:val="21"/>
          <w:szCs w:val="21"/>
          <w:lang w:eastAsia="zh-CN"/>
        </w:rPr>
      </w:pPr>
      <w:r>
        <w:rPr>
          <w:rFonts w:ascii="Calibri" w:eastAsia="宋体" w:hAnsi="Calibri" w:cstheme="minorBidi"/>
          <w:bCs/>
          <w:kern w:val="2"/>
          <w:sz w:val="21"/>
          <w:szCs w:val="21"/>
          <w:lang w:eastAsia="zh-CN"/>
        </w:rPr>
        <w:t>2</w:t>
      </w:r>
      <w:r>
        <w:rPr>
          <w:rFonts w:ascii="Calibri" w:eastAsia="宋体" w:hAnsi="Calibri" w:cstheme="minorBidi" w:hint="eastAsia"/>
          <w:bCs/>
          <w:kern w:val="2"/>
          <w:sz w:val="21"/>
          <w:szCs w:val="21"/>
          <w:lang w:eastAsia="zh-CN"/>
        </w:rPr>
        <w:t>、投标人应充分了解项目的位置、情况、道路及任何其它足以影响投标报价的情况，任何因忽视或误解项目情况而导致的索赔或服务期限延长申请将不获批准。</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3</w:t>
      </w:r>
      <w:r>
        <w:rPr>
          <w:rFonts w:ascii="Calibri" w:eastAsia="宋体" w:hAnsi="Calibri" w:cstheme="minorBidi" w:hint="eastAsia"/>
          <w:bCs/>
          <w:kern w:val="2"/>
          <w:sz w:val="21"/>
          <w:szCs w:val="21"/>
          <w:lang w:eastAsia="zh-CN"/>
        </w:rPr>
        <w:t>、投标人不得期望通过索赔等方式获取补偿，否则，除可能遭到拒绝外，还可能将被作为不良行为记录在案，并可能影响其以后参加政府采购的项目投标。各投标人在投标报价时，应充分考虑投标报价的风险。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4</w:t>
      </w:r>
      <w:r>
        <w:rPr>
          <w:rFonts w:ascii="Calibri" w:eastAsia="宋体" w:hAnsi="Calibri" w:cstheme="minorBidi" w:hint="eastAsia"/>
          <w:bCs/>
          <w:kern w:val="2"/>
          <w:sz w:val="21"/>
          <w:szCs w:val="21"/>
          <w:lang w:eastAsia="zh-CN"/>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widowControl w:val="0"/>
        <w:ind w:firstLine="420" w:firstLineChars="200"/>
        <w:jc w:val="both"/>
        <w:rPr>
          <w:rFonts w:ascii="Calibri" w:eastAsia="宋体" w:hAnsi="Calibri"/>
          <w:bCs/>
          <w:kern w:val="2"/>
          <w:sz w:val="21"/>
          <w:szCs w:val="21"/>
          <w:lang w:eastAsia="zh-CN"/>
        </w:rPr>
      </w:pPr>
      <w:r>
        <w:rPr>
          <w:rFonts w:ascii="Calibri" w:eastAsia="宋体" w:hAnsi="Calibri" w:cstheme="minorBidi"/>
          <w:bCs/>
          <w:kern w:val="2"/>
          <w:sz w:val="21"/>
          <w:szCs w:val="21"/>
          <w:lang w:eastAsia="zh-CN"/>
        </w:rPr>
        <w:t>5</w:t>
      </w:r>
      <w:r>
        <w:rPr>
          <w:rFonts w:ascii="Calibri" w:eastAsia="宋体" w:hAnsi="Calibri" w:cstheme="minorBidi" w:hint="eastAsia"/>
          <w:bCs/>
          <w:kern w:val="2"/>
          <w:sz w:val="21"/>
          <w:szCs w:val="21"/>
          <w:lang w:eastAsia="zh-CN"/>
        </w:rPr>
        <w:t>、除政府采购合同继续履行将损害国家利益和社会公共利益外，双方当事人不得擅自变更、中止或者终止合同。</w:t>
      </w:r>
    </w:p>
    <w:p>
      <w:pPr>
        <w:widowControl w:val="0"/>
        <w:ind w:firstLine="420" w:firstLineChars="200"/>
        <w:jc w:val="both"/>
        <w:rPr>
          <w:rFonts w:ascii="Calibri" w:eastAsia="宋体" w:hAnsi="Calibri" w:hint="eastAsia"/>
          <w:bCs/>
          <w:kern w:val="2"/>
          <w:sz w:val="21"/>
          <w:szCs w:val="21"/>
          <w:lang w:eastAsia="zh-CN"/>
        </w:rPr>
      </w:pPr>
      <w:r>
        <w:rPr>
          <w:rFonts w:ascii="Calibri" w:eastAsia="宋体" w:hAnsi="Calibri" w:cstheme="minorBidi"/>
          <w:bCs/>
          <w:kern w:val="2"/>
          <w:sz w:val="21"/>
          <w:szCs w:val="21"/>
          <w:lang w:eastAsia="zh-CN"/>
        </w:rPr>
        <w:t>6</w:t>
      </w:r>
      <w:r>
        <w:rPr>
          <w:rFonts w:ascii="Calibri" w:eastAsia="宋体" w:hAnsi="Calibri" w:cstheme="minorBidi" w:hint="eastAsia"/>
          <w:bCs/>
          <w:kern w:val="2"/>
          <w:sz w:val="21"/>
          <w:szCs w:val="21"/>
          <w:lang w:eastAsia="zh-CN"/>
        </w:rPr>
        <w:t>、“信用中国”</w:t>
      </w:r>
      <w:r>
        <w:rPr>
          <w:rFonts w:ascii="宋体" w:eastAsia="宋体" w:hAnsi="宋体" w:cs="宋体"/>
          <w:kern w:val="2"/>
          <w:sz w:val="21"/>
          <w:szCs w:val="21"/>
          <w:lang w:eastAsia="zh-CN"/>
        </w:rPr>
        <w:t>中“信用服务”栏的“</w:t>
      </w:r>
      <w:r>
        <w:rPr>
          <w:rFonts w:ascii="宋体" w:eastAsia="宋体" w:hAnsi="宋体" w:cs="宋体" w:hint="eastAsia"/>
          <w:kern w:val="2"/>
          <w:sz w:val="21"/>
          <w:szCs w:val="21"/>
          <w:lang w:eastAsia="zh-CN"/>
        </w:rPr>
        <w:t>重大税收违法失信主体</w:t>
      </w:r>
      <w:r>
        <w:rPr>
          <w:rFonts w:ascii="宋体" w:eastAsia="宋体" w:hAnsi="宋体" w:cs="宋体"/>
          <w:kern w:val="2"/>
          <w:sz w:val="21"/>
          <w:szCs w:val="21"/>
          <w:lang w:eastAsia="zh-CN"/>
        </w:rPr>
        <w:t>”“失信被执行人”</w:t>
      </w:r>
      <w:r>
        <w:rPr>
          <w:rFonts w:ascii="宋体" w:eastAsia="宋体" w:hAnsi="宋体" w:cs="宋体" w:hint="eastAsia"/>
          <w:sz w:val="21"/>
          <w:szCs w:val="21"/>
          <w:lang w:eastAsia="zh-CN"/>
        </w:rPr>
        <w:t>，</w:t>
      </w:r>
      <w:r>
        <w:rPr>
          <w:rFonts w:ascii="Calibri" w:eastAsia="宋体" w:hAnsi="Calibri" w:cstheme="minorBidi" w:hint="eastAsia"/>
          <w:bCs/>
          <w:kern w:val="2"/>
          <w:sz w:val="21"/>
          <w:szCs w:val="21"/>
          <w:lang w:eastAsia="zh-CN"/>
        </w:rPr>
        <w:t>“中国政府采购网”</w:t>
      </w:r>
      <w:r>
        <w:rPr>
          <w:rFonts w:ascii="宋体" w:eastAsia="宋体" w:hAnsi="宋体" w:cs="宋体"/>
          <w:kern w:val="2"/>
          <w:sz w:val="21"/>
          <w:szCs w:val="21"/>
          <w:lang w:eastAsia="zh-CN"/>
        </w:rPr>
        <w:t>中的“政府采购严重违法失信行为记录名单”</w:t>
      </w:r>
      <w:r>
        <w:rPr>
          <w:rFonts w:ascii="宋体" w:eastAsia="宋体" w:hAnsi="宋体" w:cs="宋体" w:hint="eastAsia"/>
          <w:sz w:val="21"/>
          <w:szCs w:val="21"/>
          <w:lang w:eastAsia="zh-CN"/>
        </w:rPr>
        <w:t>，</w:t>
      </w:r>
      <w:r>
        <w:rPr>
          <w:rFonts w:ascii="Calibri" w:eastAsia="宋体" w:hAnsi="Calibri" w:cstheme="minorBidi" w:hint="eastAsia"/>
          <w:bCs/>
          <w:kern w:val="2"/>
          <w:sz w:val="21"/>
          <w:szCs w:val="21"/>
          <w:lang w:eastAsia="zh-CN"/>
        </w:rPr>
        <w:t>“深圳信用网”以及“深圳市政府采购监管网”为供应商信用信息的查询渠道，相关信息以开标当日的查询结果为准。</w:t>
      </w: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val="0"/>
        <w:ind w:firstLine="420" w:firstLineChars="200"/>
        <w:jc w:val="both"/>
        <w:rPr>
          <w:rFonts w:ascii="Calibri" w:eastAsia="宋体" w:hAnsi="Calibri" w:hint="eastAsia"/>
          <w:bCs/>
          <w:kern w:val="2"/>
          <w:sz w:val="21"/>
          <w:szCs w:val="21"/>
          <w:lang w:eastAsia="zh-CN"/>
        </w:rPr>
      </w:pPr>
    </w:p>
    <w:p>
      <w:pPr>
        <w:widowControl/>
        <w:jc w:val="left"/>
        <w:rPr>
          <w:rFonts w:ascii="宋体" w:eastAsia="黑体" w:hAnsi="宋体"/>
          <w:bCs/>
          <w:kern w:val="44"/>
          <w:sz w:val="28"/>
          <w:szCs w:val="44"/>
          <w:lang w:eastAsia="zh-CN"/>
        </w:rPr>
      </w:pP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第四章</w:t>
      </w:r>
      <w:r>
        <w:rPr>
          <w:rFonts w:ascii="宋体" w:eastAsia="宋体" w:hAnsi="宋体"/>
          <w:b/>
          <w:bCs/>
          <w:sz w:val="28"/>
          <w:szCs w:val="28"/>
          <w:lang w:eastAsia="zh-CN"/>
        </w:rPr>
        <w:t xml:space="preserve"> </w:t>
      </w:r>
      <w:r>
        <w:rPr>
          <w:rFonts w:ascii="宋体" w:eastAsia="宋体" w:hAnsi="宋体" w:hint="eastAsia"/>
          <w:b/>
          <w:bCs/>
          <w:sz w:val="28"/>
          <w:szCs w:val="28"/>
          <w:lang w:eastAsia="zh-CN"/>
        </w:rPr>
        <w:t xml:space="preserve"> 投标文件组成要求及格式</w:t>
      </w:r>
    </w:p>
    <w:p>
      <w:pPr>
        <w:widowControl w:val="0"/>
        <w:jc w:val="both"/>
        <w:outlineLvl w:val="2"/>
        <w:rPr>
          <w:rFonts w:ascii="黑体" w:eastAsia="黑体" w:hAnsi="Calibri"/>
          <w:b/>
          <w:bCs/>
          <w:color w:val="FF0000"/>
          <w:kern w:val="2"/>
          <w:sz w:val="28"/>
          <w:szCs w:val="22"/>
          <w:lang w:eastAsia="zh-CN"/>
        </w:rPr>
      </w:pPr>
      <w:r>
        <w:rPr>
          <w:rFonts w:ascii="黑体" w:eastAsia="黑体" w:hAnsi="Calibri" w:cstheme="minorBidi" w:hint="eastAsia"/>
          <w:b/>
          <w:bCs/>
          <w:color w:val="FF0000"/>
          <w:kern w:val="2"/>
          <w:sz w:val="28"/>
          <w:szCs w:val="22"/>
          <w:lang w:eastAsia="zh-CN"/>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投标文件正文（信息公开部分）必须编制于“正文（公开部分）”部分，投标文件附件（非信息公开部分）必须编制于“附件（不公开部分）”部分，如下图所示。</w:t>
      </w:r>
    </w:p>
    <w:p>
      <w:pPr>
        <w:widowControl w:val="0"/>
        <w:jc w:val="center"/>
        <w:rPr>
          <w:rFonts w:ascii="黑体" w:eastAsia="黑体" w:hAnsi="Calibri"/>
          <w:b/>
          <w:bCs/>
          <w:color w:val="FF0000"/>
          <w:kern w:val="2"/>
          <w:sz w:val="28"/>
          <w:szCs w:val="22"/>
          <w:lang w:eastAsia="zh-CN"/>
        </w:rPr>
      </w:pPr>
      <w:r>
        <w:drawing>
          <wp:inline distT="0" distB="0" distL="114300" distR="114300">
            <wp:extent cx="5203190" cy="4043045"/>
            <wp:effectExtent l="0" t="0" r="16510" b="14605"/>
            <wp:docPr id="8" name="图片 1" descr="c66f322b8feee32c1a3f0d48f365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66f322b8feee32c1a3f0d48f365c82"/>
                    <pic:cNvPicPr>
                      <a:picLocks noChangeAspect="1"/>
                    </pic:cNvPicPr>
                  </pic:nvPicPr>
                  <pic:blipFill>
                    <a:blip xmlns:r="http://schemas.openxmlformats.org/officeDocument/2006/relationships" r:embed="rId6"/>
                    <a:stretch>
                      <a:fillRect/>
                    </a:stretch>
                  </pic:blipFill>
                  <pic:spPr>
                    <a:xfrm>
                      <a:off x="0" y="0"/>
                      <a:ext cx="5203190" cy="4043045"/>
                    </a:xfrm>
                    <a:prstGeom prst="rect">
                      <a:avLst/>
                    </a:prstGeom>
                  </pic:spPr>
                </pic:pic>
              </a:graphicData>
            </a:graphic>
          </wp:inline>
        </w:drawing>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r>
        <w:rPr>
          <w:rFonts w:ascii="宋体" w:eastAsia="宋体" w:hAnsi="宋体" w:hint="eastAsia"/>
          <w:b/>
          <w:color w:val="FF0000"/>
          <w:kern w:val="2"/>
          <w:sz w:val="28"/>
          <w:szCs w:val="28"/>
          <w:lang w:eastAsia="zh-CN"/>
        </w:rPr>
        <w:t>政府集中采购机构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p>
    <w:p>
      <w:pPr>
        <w:keepNext w:val="0"/>
        <w:keepLines w:val="0"/>
        <w:pageBreakBefore w:val="0"/>
        <w:widowControl w:val="0"/>
        <w:tabs>
          <w:tab w:val="left" w:pos="1470"/>
        </w:tabs>
        <w:kinsoku/>
        <w:wordWrap/>
        <w:overflowPunct/>
        <w:topLinePunct w:val="0"/>
        <w:autoSpaceDE/>
        <w:autoSpaceDN/>
        <w:bidi w:val="0"/>
        <w:adjustRightInd/>
        <w:snapToGrid w:val="0"/>
        <w:spacing w:line="440" w:lineRule="exact"/>
        <w:ind w:firstLine="560" w:firstLineChars="200"/>
        <w:jc w:val="both"/>
        <w:textAlignment w:val="auto"/>
        <w:rPr>
          <w:rFonts w:ascii="宋体" w:eastAsia="宋体" w:hAnsi="宋体" w:hint="eastAsia"/>
          <w:b/>
          <w:color w:val="FF0000"/>
          <w:kern w:val="2"/>
          <w:sz w:val="28"/>
          <w:szCs w:val="28"/>
          <w:lang w:eastAsia="zh-CN"/>
        </w:rPr>
      </w:pPr>
    </w:p>
    <w:p>
      <w:pPr>
        <w:widowControl/>
        <w:jc w:val="left"/>
        <w:outlineLvl w:val="2"/>
        <w:rPr>
          <w:rFonts w:ascii="宋体" w:eastAsia="黑体" w:hAnsi="宋体"/>
          <w:bCs/>
          <w:kern w:val="44"/>
          <w:sz w:val="32"/>
          <w:szCs w:val="32"/>
          <w:lang w:eastAsia="zh-CN"/>
        </w:rPr>
      </w:pPr>
      <w:r>
        <w:rPr>
          <w:rFonts w:ascii="宋体" w:eastAsia="黑体" w:hAnsi="宋体" w:hint="eastAsia"/>
          <w:bCs/>
          <w:kern w:val="44"/>
          <w:sz w:val="32"/>
          <w:szCs w:val="32"/>
          <w:lang w:eastAsia="zh-CN"/>
        </w:rPr>
        <w:t>投标文件组成：</w:t>
      </w:r>
    </w:p>
    <w:p>
      <w:pPr>
        <w:widowControl w:val="0"/>
        <w:snapToGrid w:val="0"/>
        <w:jc w:val="both"/>
        <w:rPr>
          <w:rFonts w:ascii="Arial" w:eastAsia="宋体" w:hAnsi="Arial" w:cs="Arial"/>
          <w:b/>
          <w:color w:val="FF0000"/>
          <w:kern w:val="2"/>
          <w:sz w:val="32"/>
          <w:szCs w:val="32"/>
          <w:lang w:eastAsia="zh-CN"/>
        </w:rPr>
      </w:pPr>
      <w:r>
        <w:rPr>
          <w:rFonts w:ascii="宋体" w:eastAsia="宋体" w:hAnsi="宋体" w:cs="宋体" w:hint="eastAsia"/>
          <w:b/>
          <w:color w:val="FF0000"/>
          <w:sz w:val="32"/>
          <w:szCs w:val="32"/>
          <w:lang w:eastAsia="zh-CN"/>
        </w:rPr>
        <w:t>投标文件正文（信息公开部分）：</w:t>
      </w:r>
    </w:p>
    <w:p>
      <w:pPr>
        <w:widowControl w:val="0"/>
        <w:numPr>
          <w:ilvl w:val="0"/>
          <w:numId w:val="3"/>
        </w:numPr>
        <w:tabs>
          <w:tab w:val="left" w:pos="1470"/>
        </w:tabs>
        <w:snapToGrid w:val="0"/>
        <w:spacing w:after="78" w:afterLines="25"/>
        <w:ind w:left="1470" w:hanging="420"/>
        <w:jc w:val="left"/>
        <w:rPr>
          <w:rFonts w:ascii="宋体" w:eastAsia="宋体" w:hAnsi="宋体"/>
          <w:kern w:val="2"/>
          <w:sz w:val="30"/>
          <w:szCs w:val="30"/>
          <w:lang w:eastAsia="zh-CN"/>
        </w:rPr>
      </w:pPr>
      <w:r>
        <w:rPr>
          <w:rFonts w:ascii="宋体" w:eastAsia="宋体" w:hAnsi="宋体" w:hint="eastAsia"/>
          <w:kern w:val="2"/>
          <w:sz w:val="30"/>
          <w:szCs w:val="30"/>
          <w:lang w:eastAsia="zh-CN"/>
        </w:rPr>
        <w:t xml:space="preserve">投标函； </w:t>
      </w:r>
    </w:p>
    <w:p>
      <w:pPr>
        <w:widowControl w:val="0"/>
        <w:numPr>
          <w:ilvl w:val="0"/>
          <w:numId w:val="3"/>
        </w:numPr>
        <w:tabs>
          <w:tab w:val="left" w:pos="1470"/>
        </w:tabs>
        <w:snapToGrid w:val="0"/>
        <w:spacing w:after="78" w:afterLines="25"/>
        <w:ind w:left="1470" w:hanging="420"/>
        <w:jc w:val="left"/>
        <w:rPr>
          <w:rFonts w:ascii="宋体" w:eastAsia="宋体" w:hAnsi="宋体"/>
          <w:kern w:val="2"/>
          <w:sz w:val="30"/>
          <w:szCs w:val="30"/>
          <w:lang w:eastAsia="zh-CN"/>
        </w:rPr>
      </w:pPr>
      <w:bookmarkStart w:id="17" w:name="_Hlk72062521"/>
      <w:r>
        <w:rPr>
          <w:rFonts w:ascii="宋体" w:eastAsia="宋体" w:hAnsi="宋体" w:hint="eastAsia"/>
          <w:kern w:val="2"/>
          <w:sz w:val="30"/>
          <w:szCs w:val="30"/>
          <w:lang w:eastAsia="zh-CN"/>
        </w:rPr>
        <w:t>政府采购投标及履约承诺函</w:t>
      </w:r>
      <w:bookmarkEnd w:id="17"/>
      <w:r>
        <w:rPr>
          <w:rFonts w:ascii="宋体" w:eastAsia="宋体" w:hAnsi="宋体" w:hint="eastAsia"/>
          <w:kern w:val="2"/>
          <w:sz w:val="30"/>
          <w:szCs w:val="30"/>
          <w:lang w:eastAsia="zh-CN"/>
        </w:rPr>
        <w:t>；</w:t>
      </w:r>
    </w:p>
    <w:p>
      <w:pPr>
        <w:widowControl w:val="0"/>
        <w:numPr>
          <w:ilvl w:val="0"/>
          <w:numId w:val="3"/>
        </w:numPr>
        <w:tabs>
          <w:tab w:val="left" w:pos="1470"/>
        </w:tabs>
        <w:snapToGrid w:val="0"/>
        <w:spacing w:after="78" w:afterLines="25"/>
        <w:ind w:left="1456" w:hanging="420"/>
        <w:jc w:val="both"/>
        <w:rPr>
          <w:rFonts w:ascii="宋体" w:eastAsia="宋体" w:hAnsi="宋体"/>
          <w:kern w:val="2"/>
          <w:sz w:val="30"/>
          <w:szCs w:val="30"/>
          <w:lang w:eastAsia="zh-CN"/>
        </w:rPr>
      </w:pPr>
      <w:r>
        <w:rPr>
          <w:rFonts w:ascii="宋体" w:eastAsia="宋体" w:hAnsi="宋体" w:hint="eastAsia"/>
          <w:bCs/>
          <w:kern w:val="2"/>
          <w:sz w:val="30"/>
          <w:szCs w:val="30"/>
          <w:lang w:eastAsia="zh-CN"/>
        </w:rPr>
        <w:t>分项报价清单；</w:t>
      </w:r>
    </w:p>
    <w:p>
      <w:pPr>
        <w:widowControl w:val="0"/>
        <w:numPr>
          <w:ilvl w:val="0"/>
          <w:numId w:val="3"/>
        </w:numPr>
        <w:tabs>
          <w:tab w:val="left" w:pos="1470"/>
        </w:tabs>
        <w:snapToGrid w:val="0"/>
        <w:spacing w:after="78" w:afterLines="25"/>
        <w:ind w:left="1470" w:hanging="420"/>
        <w:jc w:val="left"/>
        <w:rPr>
          <w:rFonts w:ascii="宋体" w:eastAsia="宋体" w:hAnsi="宋体"/>
          <w:kern w:val="2"/>
          <w:sz w:val="30"/>
          <w:szCs w:val="30"/>
          <w:lang w:eastAsia="zh-CN"/>
        </w:rPr>
      </w:pPr>
      <w:r>
        <w:rPr>
          <w:rFonts w:ascii="宋体" w:eastAsia="宋体" w:hAnsi="宋体" w:hint="eastAsia"/>
          <w:kern w:val="2"/>
          <w:sz w:val="30"/>
          <w:szCs w:val="30"/>
          <w:highlight w:val="yellow"/>
          <w:lang w:eastAsia="zh-CN"/>
        </w:rPr>
        <w:t>中小企业相关声明函</w:t>
      </w:r>
      <w:r>
        <w:rPr>
          <w:rFonts w:ascii="宋体" w:eastAsia="宋体" w:hAnsi="宋体" w:hint="eastAsia"/>
          <w:kern w:val="2"/>
          <w:sz w:val="30"/>
          <w:szCs w:val="30"/>
          <w:highlight w:val="yellow"/>
          <w:lang w:eastAsia="zh-CN"/>
        </w:rPr>
        <w:t>；</w:t>
      </w:r>
    </w:p>
    <w:p>
      <w:pPr>
        <w:widowControl w:val="0"/>
        <w:numPr>
          <w:ilvl w:val="0"/>
          <w:numId w:val="3"/>
        </w:numPr>
        <w:tabs>
          <w:tab w:val="left" w:pos="1470"/>
        </w:tabs>
        <w:snapToGrid w:val="0"/>
        <w:spacing w:after="78" w:afterLines="25"/>
        <w:ind w:left="1470" w:hanging="420"/>
        <w:jc w:val="left"/>
        <w:rPr>
          <w:rFonts w:ascii="宋体" w:eastAsia="宋体" w:hAnsi="宋体"/>
          <w:kern w:val="2"/>
          <w:sz w:val="30"/>
          <w:szCs w:val="30"/>
          <w:lang w:eastAsia="zh-CN"/>
        </w:rPr>
      </w:pPr>
      <w:r>
        <w:rPr>
          <w:rFonts w:ascii="宋体" w:eastAsia="宋体" w:hAnsi="宋体" w:hint="eastAsia"/>
          <w:bCs/>
          <w:kern w:val="2"/>
          <w:sz w:val="30"/>
          <w:szCs w:val="30"/>
          <w:lang w:eastAsia="zh-CN"/>
        </w:rPr>
        <w:t>营业执照或事业单位法人证书等；</w:t>
      </w:r>
    </w:p>
    <w:p>
      <w:pPr>
        <w:widowControl w:val="0"/>
        <w:numPr>
          <w:ilvl w:val="0"/>
          <w:numId w:val="3"/>
        </w:numPr>
        <w:tabs>
          <w:tab w:val="left" w:pos="1470"/>
        </w:tabs>
        <w:snapToGrid w:val="0"/>
        <w:spacing w:after="78" w:afterLines="25"/>
        <w:ind w:left="1470" w:hanging="420"/>
        <w:jc w:val="left"/>
        <w:rPr>
          <w:rFonts w:ascii="宋体" w:eastAsia="宋体" w:hAnsi="宋体" w:hint="eastAsia"/>
          <w:kern w:val="2"/>
          <w:sz w:val="30"/>
          <w:szCs w:val="30"/>
          <w:lang w:eastAsia="zh-CN"/>
        </w:rPr>
      </w:pPr>
      <w:r>
        <w:rPr>
          <w:rFonts w:ascii="宋体" w:eastAsia="宋体" w:hAnsi="宋体" w:hint="eastAsia"/>
          <w:kern w:val="2"/>
          <w:sz w:val="30"/>
          <w:szCs w:val="30"/>
          <w:lang w:eastAsia="zh-CN"/>
        </w:rPr>
        <w:t>经验评价</w:t>
      </w:r>
      <w:r>
        <w:rPr>
          <w:rFonts w:ascii="宋体" w:eastAsia="宋体" w:hAnsi="宋体" w:hint="eastAsia"/>
          <w:kern w:val="2"/>
          <w:sz w:val="30"/>
          <w:szCs w:val="30"/>
          <w:lang w:eastAsia="zh-CN"/>
        </w:rPr>
        <w:t>；</w:t>
      </w:r>
    </w:p>
    <w:p>
      <w:pPr>
        <w:widowControl w:val="0"/>
        <w:numPr>
          <w:ilvl w:val="0"/>
          <w:numId w:val="3"/>
        </w:numPr>
        <w:tabs>
          <w:tab w:val="left" w:pos="1470"/>
        </w:tabs>
        <w:snapToGrid w:val="0"/>
        <w:spacing w:after="78" w:afterLines="25"/>
        <w:ind w:left="1470" w:hanging="420"/>
        <w:jc w:val="left"/>
        <w:rPr>
          <w:rFonts w:ascii="宋体" w:eastAsia="宋体" w:hAnsi="宋体" w:hint="eastAsia"/>
          <w:kern w:val="2"/>
          <w:sz w:val="30"/>
          <w:szCs w:val="30"/>
          <w:lang w:eastAsia="zh-CN"/>
        </w:rPr>
      </w:pPr>
      <w:r>
        <w:rPr>
          <w:rFonts w:ascii="宋体" w:eastAsia="宋体" w:hAnsi="宋体" w:hint="eastAsia"/>
          <w:kern w:val="2"/>
          <w:sz w:val="30"/>
          <w:szCs w:val="30"/>
          <w:lang w:eastAsia="zh-CN"/>
        </w:rPr>
        <w:t>政府采购节能环保产品</w:t>
      </w:r>
      <w:r>
        <w:rPr>
          <w:rFonts w:ascii="宋体" w:eastAsia="宋体" w:hAnsi="宋体" w:hint="eastAsia"/>
          <w:kern w:val="2"/>
          <w:sz w:val="30"/>
          <w:szCs w:val="30"/>
          <w:lang w:eastAsia="zh-CN"/>
        </w:rPr>
        <w:t>；</w:t>
      </w:r>
    </w:p>
    <w:p>
      <w:pPr>
        <w:widowControl w:val="0"/>
        <w:numPr>
          <w:ilvl w:val="0"/>
          <w:numId w:val="3"/>
        </w:numPr>
        <w:tabs>
          <w:tab w:val="left" w:pos="1470"/>
        </w:tabs>
        <w:snapToGrid w:val="0"/>
        <w:spacing w:after="78" w:afterLines="25"/>
        <w:ind w:left="1470" w:hanging="420"/>
        <w:jc w:val="left"/>
        <w:rPr>
          <w:rFonts w:ascii="宋体" w:eastAsia="宋体" w:hAnsi="宋体"/>
          <w:kern w:val="2"/>
          <w:sz w:val="30"/>
          <w:szCs w:val="30"/>
          <w:lang w:eastAsia="zh-CN"/>
        </w:rPr>
      </w:pPr>
      <w:r>
        <w:rPr>
          <w:rFonts w:ascii="宋体" w:eastAsia="宋体" w:hAnsi="宋体" w:hint="eastAsia"/>
          <w:kern w:val="2"/>
          <w:sz w:val="30"/>
          <w:szCs w:val="30"/>
          <w:lang w:eastAsia="zh-CN"/>
        </w:rPr>
        <w:t>绿色采购情况</w:t>
      </w:r>
      <w:r>
        <w:rPr>
          <w:rFonts w:ascii="宋体" w:eastAsia="宋体" w:hAnsi="宋体" w:hint="eastAsia"/>
          <w:kern w:val="2"/>
          <w:sz w:val="30"/>
          <w:szCs w:val="30"/>
          <w:lang w:eastAsia="zh-CN"/>
        </w:rPr>
        <w:t>；</w:t>
      </w:r>
    </w:p>
    <w:p>
      <w:pPr>
        <w:widowControl w:val="0"/>
        <w:numPr>
          <w:ilvl w:val="0"/>
          <w:numId w:val="3"/>
        </w:numPr>
        <w:tabs>
          <w:tab w:val="left" w:pos="1470"/>
        </w:tabs>
        <w:snapToGrid w:val="0"/>
        <w:spacing w:after="78" w:afterLines="25"/>
        <w:ind w:left="1456"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其他招标文件要求或投标人认为需要补充的内容（公开）。</w:t>
      </w:r>
    </w:p>
    <w:p>
      <w:pPr>
        <w:widowControl w:val="0"/>
        <w:snapToGrid w:val="0"/>
        <w:jc w:val="left"/>
        <w:rPr>
          <w:rFonts w:ascii="宋体" w:eastAsia="宋体" w:hAnsi="宋体" w:cs="宋体"/>
          <w:b/>
          <w:color w:val="FF0000"/>
          <w:sz w:val="32"/>
          <w:szCs w:val="32"/>
          <w:lang w:eastAsia="zh-CN"/>
        </w:rPr>
      </w:pPr>
      <w:r>
        <w:rPr>
          <w:rFonts w:ascii="宋体" w:eastAsia="宋体" w:hAnsi="宋体" w:cs="宋体" w:hint="eastAsia"/>
          <w:b/>
          <w:color w:val="FF0000"/>
          <w:sz w:val="32"/>
          <w:szCs w:val="32"/>
          <w:lang w:eastAsia="zh-CN"/>
        </w:rPr>
        <w:t>投标文件附件（信息不公开部分）：</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法定代表人（负责人）证明书</w:t>
      </w:r>
      <w:r>
        <w:rPr>
          <w:rFonts w:ascii="Arial" w:eastAsia="宋体" w:hAnsi="Arial" w:cs="Arial" w:hint="eastAsia"/>
          <w:kern w:val="2"/>
          <w:sz w:val="30"/>
          <w:szCs w:val="30"/>
          <w:lang w:eastAsia="zh-CN"/>
        </w:rPr>
        <w:t>；</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投标文件签署授权委托书；</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实质性条款响应情况表</w:t>
      </w:r>
      <w:r>
        <w:rPr>
          <w:rFonts w:ascii="宋体" w:eastAsia="宋体" w:hAnsi="宋体" w:hint="eastAsia"/>
          <w:kern w:val="2"/>
          <w:sz w:val="30"/>
          <w:szCs w:val="30"/>
          <w:lang w:eastAsia="zh-CN"/>
        </w:rPr>
        <w:t>；</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商务（服务）条款偏离表；</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技术</w:t>
      </w:r>
      <w:r>
        <w:rPr>
          <w:rFonts w:ascii="宋体" w:eastAsia="宋体" w:hAnsi="宋体" w:hint="eastAsia"/>
          <w:kern w:val="2"/>
          <w:sz w:val="30"/>
          <w:szCs w:val="30"/>
          <w:lang w:eastAsia="zh-CN"/>
        </w:rPr>
        <w:t>要求</w:t>
      </w:r>
      <w:r>
        <w:rPr>
          <w:rFonts w:ascii="宋体" w:eastAsia="宋体" w:hAnsi="宋体" w:hint="eastAsia"/>
          <w:kern w:val="2"/>
          <w:sz w:val="30"/>
          <w:szCs w:val="30"/>
          <w:lang w:eastAsia="zh-CN"/>
        </w:rPr>
        <w:t>偏离表；</w:t>
      </w:r>
    </w:p>
    <w:p>
      <w:pPr>
        <w:widowControl w:val="0"/>
        <w:numPr>
          <w:ilvl w:val="0"/>
          <w:numId w:val="4"/>
        </w:numPr>
        <w:tabs>
          <w:tab w:val="left" w:pos="1470"/>
        </w:tabs>
        <w:snapToGrid w:val="0"/>
        <w:spacing w:after="78" w:afterLines="25"/>
        <w:ind w:left="1470" w:hanging="420"/>
        <w:jc w:val="both"/>
        <w:rPr>
          <w:rFonts w:ascii="宋体" w:eastAsia="宋体" w:hAnsi="宋体" w:hint="eastAsia"/>
          <w:kern w:val="2"/>
          <w:sz w:val="32"/>
          <w:szCs w:val="32"/>
          <w:highlight w:val="yellow"/>
          <w:lang w:eastAsia="zh-CN"/>
        </w:rPr>
      </w:pPr>
      <w:r>
        <w:rPr>
          <w:rFonts w:ascii="宋体" w:eastAsia="宋体" w:hAnsi="宋体" w:hint="eastAsia"/>
          <w:kern w:val="2"/>
          <w:sz w:val="32"/>
          <w:szCs w:val="32"/>
          <w:highlight w:val="yellow"/>
          <w:lang w:eastAsia="zh-CN"/>
        </w:rPr>
        <w:t>项目组织实施方案的评价</w:t>
      </w:r>
    </w:p>
    <w:p>
      <w:pPr>
        <w:widowControl w:val="0"/>
        <w:numPr>
          <w:ilvl w:val="0"/>
          <w:numId w:val="4"/>
        </w:numPr>
        <w:tabs>
          <w:tab w:val="left" w:pos="1470"/>
        </w:tabs>
        <w:snapToGrid w:val="0"/>
        <w:spacing w:after="78" w:afterLines="25"/>
        <w:ind w:left="1470" w:hanging="420"/>
        <w:jc w:val="both"/>
        <w:rPr>
          <w:rFonts w:ascii="宋体" w:eastAsia="宋体" w:hAnsi="宋体" w:hint="eastAsia"/>
          <w:kern w:val="2"/>
          <w:sz w:val="32"/>
          <w:szCs w:val="32"/>
          <w:highlight w:val="yellow"/>
          <w:lang w:eastAsia="zh-CN"/>
        </w:rPr>
      </w:pPr>
      <w:r>
        <w:rPr>
          <w:rFonts w:ascii="宋体" w:eastAsia="宋体" w:hAnsi="宋体" w:hint="eastAsia"/>
          <w:kern w:val="2"/>
          <w:sz w:val="32"/>
          <w:szCs w:val="32"/>
          <w:highlight w:val="yellow"/>
          <w:lang w:eastAsia="zh-CN"/>
        </w:rPr>
        <w:t>设计评价</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2"/>
          <w:szCs w:val="32"/>
          <w:highlight w:val="yellow"/>
          <w:lang w:eastAsia="zh-CN"/>
        </w:rPr>
        <w:t>售后服务评价</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主体框架（长）</w:t>
      </w:r>
      <w:r>
        <w:rPr>
          <w:rFonts w:ascii="宋体" w:eastAsia="宋体" w:hAnsi="宋体" w:hint="eastAsia"/>
          <w:kern w:val="2"/>
          <w:sz w:val="30"/>
          <w:szCs w:val="30"/>
          <w:lang w:eastAsia="zh-CN"/>
        </w:rPr>
        <w:t>的检测报告；</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教师演示台</w:t>
      </w:r>
      <w:r>
        <w:rPr>
          <w:rFonts w:ascii="宋体" w:eastAsia="宋体" w:hAnsi="宋体" w:hint="eastAsia"/>
          <w:kern w:val="2"/>
          <w:sz w:val="30"/>
          <w:szCs w:val="30"/>
          <w:lang w:eastAsia="zh-CN"/>
        </w:rPr>
        <w:t>的检测报告；</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化学学生实验台</w:t>
      </w:r>
      <w:r>
        <w:rPr>
          <w:rFonts w:ascii="宋体" w:eastAsia="宋体" w:hAnsi="宋体" w:hint="eastAsia"/>
          <w:kern w:val="2"/>
          <w:sz w:val="30"/>
          <w:szCs w:val="30"/>
          <w:lang w:eastAsia="zh-CN"/>
        </w:rPr>
        <w:t>的检测报告；</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水柜</w:t>
      </w:r>
      <w:r>
        <w:rPr>
          <w:rFonts w:ascii="宋体" w:eastAsia="宋体" w:hAnsi="宋体" w:hint="eastAsia"/>
          <w:kern w:val="2"/>
          <w:sz w:val="30"/>
          <w:szCs w:val="30"/>
          <w:lang w:eastAsia="zh-CN"/>
        </w:rPr>
        <w:t>的检测报告；</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LED教室灯</w:t>
      </w:r>
      <w:r>
        <w:rPr>
          <w:rFonts w:ascii="宋体" w:eastAsia="宋体" w:hAnsi="宋体" w:hint="eastAsia"/>
          <w:kern w:val="2"/>
          <w:sz w:val="30"/>
          <w:szCs w:val="30"/>
          <w:lang w:eastAsia="zh-CN"/>
        </w:rPr>
        <w:t>的检测报告；</w:t>
      </w:r>
    </w:p>
    <w:p>
      <w:pPr>
        <w:widowControl w:val="0"/>
        <w:numPr>
          <w:ilvl w:val="0"/>
          <w:numId w:val="4"/>
        </w:numPr>
        <w:tabs>
          <w:tab w:val="left" w:pos="1470"/>
        </w:tabs>
        <w:snapToGrid w:val="0"/>
        <w:spacing w:after="78" w:afterLines="25"/>
        <w:ind w:left="1470" w:hanging="420"/>
        <w:jc w:val="both"/>
        <w:rPr>
          <w:rFonts w:ascii="宋体" w:eastAsia="宋体" w:hAnsi="宋体"/>
          <w:kern w:val="2"/>
          <w:sz w:val="30"/>
          <w:szCs w:val="30"/>
          <w:lang w:eastAsia="zh-CN"/>
        </w:rPr>
      </w:pPr>
      <w:r>
        <w:rPr>
          <w:rFonts w:ascii="宋体" w:eastAsia="宋体" w:hAnsi="宋体" w:hint="eastAsia"/>
          <w:kern w:val="2"/>
          <w:sz w:val="30"/>
          <w:szCs w:val="30"/>
          <w:lang w:eastAsia="zh-CN"/>
        </w:rPr>
        <w:t>其他招标文件要求或投标人认为需要补充的内容（非公开）。</w:t>
      </w:r>
    </w:p>
    <w:p>
      <w:pPr>
        <w:widowControl w:val="0"/>
        <w:jc w:val="both"/>
        <w:rPr>
          <w:rFonts w:ascii="宋体" w:eastAsia="宋体" w:hAnsi="宋体"/>
          <w:b/>
          <w:kern w:val="2"/>
          <w:szCs w:val="28"/>
          <w:lang w:eastAsia="zh-CN"/>
        </w:rPr>
      </w:pPr>
      <w:bookmarkStart w:id="18" w:name="_Hlk72257771"/>
      <w:r>
        <w:rPr>
          <w:rFonts w:ascii="宋体" w:eastAsia="宋体" w:hAnsi="宋体" w:cstheme="minorBidi" w:hint="eastAsia"/>
          <w:b/>
          <w:kern w:val="2"/>
          <w:szCs w:val="28"/>
          <w:lang w:eastAsia="zh-CN"/>
        </w:rPr>
        <w:t>备注：</w:t>
      </w:r>
    </w:p>
    <w:p>
      <w:pPr>
        <w:widowControl w:val="0"/>
        <w:snapToGrid w:val="0"/>
        <w:spacing w:after="78" w:afterLines="25"/>
        <w:ind w:firstLine="480" w:firstLineChars="200"/>
        <w:jc w:val="both"/>
        <w:rPr>
          <w:rFonts w:ascii="宋体" w:eastAsia="宋体" w:hAnsi="宋体"/>
          <w:b/>
          <w:kern w:val="2"/>
          <w:szCs w:val="28"/>
          <w:lang w:eastAsia="zh-CN"/>
        </w:rPr>
      </w:pPr>
      <w:r>
        <w:rPr>
          <w:rFonts w:ascii="宋体" w:eastAsia="宋体" w:hAnsi="宋体" w:cstheme="minorBidi" w:hint="eastAsia"/>
          <w:b/>
          <w:kern w:val="2"/>
          <w:szCs w:val="28"/>
          <w:lang w:eastAsia="zh-CN"/>
        </w:rPr>
        <w:t>1.本项目为网上电子投标项目，投标文件不需法人或授权委托人另行签字，无需加盖单位公章，招标文件专用条款另有规定的除外。</w:t>
      </w:r>
    </w:p>
    <w:p>
      <w:pPr>
        <w:widowControl w:val="0"/>
        <w:snapToGrid w:val="0"/>
        <w:spacing w:after="78" w:afterLines="25"/>
        <w:ind w:firstLine="480" w:firstLineChars="200"/>
        <w:jc w:val="both"/>
        <w:rPr>
          <w:rFonts w:ascii="宋体" w:eastAsia="黑体" w:hAnsi="宋体"/>
          <w:bCs/>
          <w:kern w:val="44"/>
          <w:sz w:val="32"/>
          <w:szCs w:val="32"/>
          <w:lang w:eastAsia="zh-CN"/>
        </w:rPr>
      </w:pPr>
      <w:bookmarkStart w:id="19" w:name="_Hlk72263559"/>
      <w:r>
        <w:rPr>
          <w:rFonts w:ascii="宋体" w:eastAsia="宋体" w:hAnsi="宋体" w:cstheme="minorBidi" w:hint="eastAsia"/>
          <w:b/>
          <w:kern w:val="2"/>
          <w:szCs w:val="28"/>
          <w:lang w:eastAsia="zh-CN"/>
        </w:rPr>
        <w:t>2.关于填写“开标一览表”的说明：“开标一览表”中除“投标总价”外，其他信息不作评审依据。</w:t>
      </w:r>
      <w:bookmarkEnd w:id="18"/>
      <w:bookmarkEnd w:id="19"/>
      <w:r>
        <w:rPr>
          <w:rFonts w:ascii="宋体" w:eastAsia="黑体" w:hAnsi="宋体"/>
          <w:bCs/>
          <w:kern w:val="44"/>
          <w:sz w:val="32"/>
          <w:szCs w:val="32"/>
          <w:lang w:eastAsia="zh-CN"/>
        </w:rPr>
        <w:br w:type="page"/>
      </w:r>
    </w:p>
    <w:p>
      <w:pPr>
        <w:widowControl/>
        <w:jc w:val="left"/>
        <w:outlineLvl w:val="2"/>
        <w:rPr>
          <w:rFonts w:ascii="宋体" w:eastAsia="宋体" w:hAnsi="宋体" w:cs="宋体"/>
          <w:b/>
          <w:color w:val="FF0000"/>
          <w:sz w:val="32"/>
          <w:szCs w:val="32"/>
          <w:lang w:eastAsia="zh-CN"/>
        </w:rPr>
      </w:pPr>
      <w:r>
        <w:rPr>
          <w:rFonts w:ascii="宋体" w:eastAsia="宋体" w:hAnsi="宋体" w:cs="宋体" w:hint="eastAsia"/>
          <w:b/>
          <w:color w:val="FF0000"/>
          <w:sz w:val="32"/>
          <w:szCs w:val="32"/>
          <w:lang w:eastAsia="zh-CN"/>
        </w:rPr>
        <w:t>（一）投标文件正文（信息公开部分）</w:t>
      </w:r>
    </w:p>
    <w:p>
      <w:pPr>
        <w:keepNext/>
        <w:keepLines/>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b/>
          <w:bCs/>
          <w:szCs w:val="20"/>
          <w:lang w:eastAsia="zh-CN"/>
        </w:rPr>
        <w:t>1.投标</w:t>
      </w:r>
      <w:r>
        <w:rPr>
          <w:rFonts w:ascii="宋体" w:eastAsia="宋体" w:hAnsi="宋体" w:hint="eastAsia"/>
          <w:b/>
          <w:bCs/>
          <w:szCs w:val="20"/>
          <w:lang w:eastAsia="zh-CN"/>
        </w:rPr>
        <w:t>函</w:t>
      </w:r>
    </w:p>
    <w:p>
      <w:pPr>
        <w:widowControl w:val="0"/>
        <w:snapToGrid w:val="0"/>
        <w:spacing w:line="360" w:lineRule="auto"/>
        <w:jc w:val="both"/>
        <w:rPr>
          <w:rFonts w:ascii="Arial" w:eastAsia="宋体" w:hAnsi="Arial"/>
          <w:kern w:val="2"/>
          <w:sz w:val="21"/>
          <w:lang w:eastAsia="zh-CN"/>
        </w:rPr>
      </w:pP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kern w:val="2"/>
          <w:sz w:val="21"/>
          <w:szCs w:val="21"/>
          <w:lang w:eastAsia="zh-CN"/>
        </w:rPr>
        <w:t>致：</w:t>
      </w:r>
      <w:r>
        <w:rPr>
          <w:rFonts w:ascii="Arial" w:eastAsia="宋体" w:hAnsi="Arial" w:cs="Arial" w:hint="eastAsia"/>
          <w:kern w:val="2"/>
          <w:sz w:val="21"/>
          <w:szCs w:val="21"/>
          <w:u w:val="single"/>
          <w:lang w:eastAsia="zh-CN"/>
        </w:rPr>
        <w:t>深圳公共资源交易中心</w:t>
      </w:r>
    </w:p>
    <w:p>
      <w:pPr>
        <w:widowControl w:val="0"/>
        <w:snapToGrid w:val="0"/>
        <w:spacing w:line="360" w:lineRule="auto"/>
        <w:jc w:val="both"/>
        <w:rPr>
          <w:rFonts w:ascii="Arial" w:eastAsia="宋体" w:hAnsi="Arial" w:cs="Arial"/>
          <w:kern w:val="2"/>
          <w:sz w:val="21"/>
          <w:szCs w:val="21"/>
          <w:lang w:eastAsia="zh-CN"/>
        </w:rPr>
      </w:pPr>
      <w:bookmarkStart w:id="20" w:name="_Hlk73818812"/>
      <w:r>
        <w:rPr>
          <w:rFonts w:ascii="Arial" w:eastAsia="宋体" w:hAnsi="Arial" w:cs="Arial" w:hint="eastAsia"/>
          <w:kern w:val="2"/>
          <w:sz w:val="21"/>
          <w:szCs w:val="21"/>
          <w:lang w:eastAsia="zh-CN"/>
        </w:rPr>
        <w:t>1、根据已收到贵单位的项目编号为</w:t>
      </w:r>
      <w:r>
        <w:rPr>
          <w:rFonts w:ascii="Arial" w:eastAsia="宋体" w:hAnsi="Arial" w:cs="Arial" w:hint="eastAsia"/>
          <w:kern w:val="2"/>
          <w:sz w:val="21"/>
          <w:szCs w:val="21"/>
          <w:u w:val="single"/>
          <w:lang w:eastAsia="zh-CN"/>
        </w:rPr>
        <w:t xml:space="preserve"> xxx（项目编号）xxx </w:t>
      </w:r>
      <w:r>
        <w:rPr>
          <w:rFonts w:ascii="Arial" w:eastAsia="宋体" w:hAnsi="Arial" w:cs="Arial" w:hint="eastAsia"/>
          <w:kern w:val="2"/>
          <w:sz w:val="21"/>
          <w:szCs w:val="21"/>
          <w:lang w:eastAsia="zh-CN"/>
        </w:rPr>
        <w:t>的</w:t>
      </w:r>
      <w:r>
        <w:rPr>
          <w:rFonts w:ascii="Arial" w:eastAsia="宋体" w:hAnsi="Arial" w:cs="Arial" w:hint="eastAsia"/>
          <w:kern w:val="2"/>
          <w:sz w:val="21"/>
          <w:szCs w:val="21"/>
          <w:u w:val="single"/>
          <w:lang w:eastAsia="zh-CN"/>
        </w:rPr>
        <w:t xml:space="preserve">  xxx（项目名称）xxx </w:t>
      </w:r>
      <w:r>
        <w:rPr>
          <w:rFonts w:ascii="Arial" w:eastAsia="宋体" w:hAnsi="Arial" w:cs="Arial" w:hint="eastAsia"/>
          <w:kern w:val="2"/>
          <w:sz w:val="21"/>
          <w:szCs w:val="21"/>
          <w:lang w:eastAsia="zh-CN"/>
        </w:rPr>
        <w:t>项目的招标文件，遵照《深圳经济特区政府采购条例》和《深圳网上政府采购管理暂行办法》等有关规定，我单位经研究上述招标文件的专用条款及通用条款后，</w:t>
      </w:r>
      <w:bookmarkStart w:id="21" w:name="_Hlk72263588"/>
      <w:r>
        <w:rPr>
          <w:rFonts w:ascii="Arial" w:eastAsia="宋体" w:hAnsi="Arial" w:cs="Arial" w:hint="eastAsia"/>
          <w:kern w:val="2"/>
          <w:sz w:val="21"/>
          <w:szCs w:val="21"/>
          <w:lang w:eastAsia="zh-CN"/>
        </w:rPr>
        <w:t>愿意按照招标文件要求承包上述项目并修补其任何缺陷。</w:t>
      </w:r>
      <w:bookmarkEnd w:id="21"/>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kern w:val="2"/>
          <w:sz w:val="21"/>
          <w:szCs w:val="21"/>
          <w:lang w:eastAsia="zh-CN"/>
        </w:rPr>
        <w:t>2</w:t>
      </w:r>
      <w:r>
        <w:rPr>
          <w:rFonts w:ascii="Arial" w:eastAsia="宋体" w:hAnsi="Arial" w:cs="Arial" w:hint="eastAsia"/>
          <w:kern w:val="2"/>
          <w:sz w:val="21"/>
          <w:szCs w:val="21"/>
          <w:lang w:eastAsia="zh-CN"/>
        </w:rPr>
        <w:t>、投标价格见投标书编制软件中《开标一览表》中填写的投标总价。</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3、如果我单位中标，我单位将按照招标文件的要求足额提交履约担保。</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4、我单位同意所递交的投标文件在“对通用条款的补充内容”中明确的投标有效期内有效，在此期间内我单位的投标有可能中标，我方将受此约束。</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5、除非另外达成协议并生效，贵单位的中标通知书和本投标文件将构成合同的重要内容。</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6、我单位理解贵单位将不受必须接受所收到的最低报价或其它任何投标文件的约束。</w:t>
      </w:r>
      <w:bookmarkEnd w:id="20"/>
    </w:p>
    <w:p>
      <w:pPr>
        <w:widowControl w:val="0"/>
        <w:snapToGrid w:val="0"/>
        <w:spacing w:line="360" w:lineRule="auto"/>
        <w:jc w:val="both"/>
        <w:rPr>
          <w:rFonts w:ascii="Arial" w:eastAsia="宋体" w:hAnsi="Arial" w:cs="Arial"/>
          <w:b/>
          <w:kern w:val="2"/>
          <w:sz w:val="21"/>
          <w:szCs w:val="21"/>
          <w:lang w:eastAsia="zh-CN"/>
        </w:rPr>
      </w:pPr>
      <w:r>
        <w:rPr>
          <w:rFonts w:ascii="Arial" w:eastAsia="宋体" w:hAnsi="Arial" w:cs="Arial" w:hint="eastAsia"/>
          <w:b/>
          <w:kern w:val="2"/>
          <w:sz w:val="21"/>
          <w:szCs w:val="21"/>
          <w:lang w:eastAsia="zh-CN"/>
        </w:rPr>
        <w:t>7</w:t>
      </w:r>
      <w:r>
        <w:rPr>
          <w:rFonts w:ascii="Arial" w:eastAsia="宋体" w:hAnsi="Arial" w:cs="Arial"/>
          <w:b/>
          <w:kern w:val="2"/>
          <w:sz w:val="21"/>
          <w:szCs w:val="21"/>
          <w:lang w:eastAsia="zh-CN"/>
        </w:rPr>
        <w:t>、如我单位提交样品，且未在规定时间内取回样品的，视同放弃取回，同意深圳公共资源交易中心对我单位提交的样品进行清理。</w:t>
      </w:r>
    </w:p>
    <w:p>
      <w:pPr>
        <w:widowControl w:val="0"/>
        <w:snapToGrid w:val="0"/>
        <w:spacing w:line="360" w:lineRule="auto"/>
        <w:jc w:val="both"/>
        <w:rPr>
          <w:rFonts w:ascii="Arial" w:eastAsia="宋体" w:hAnsi="Arial" w:cs="Arial"/>
          <w:b/>
          <w:kern w:val="2"/>
          <w:sz w:val="21"/>
          <w:szCs w:val="21"/>
          <w:lang w:eastAsia="zh-CN"/>
        </w:rPr>
      </w:pP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投标人：</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单位地址：</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hint="eastAsia"/>
          <w:kern w:val="2"/>
          <w:sz w:val="21"/>
          <w:szCs w:val="21"/>
          <w:u w:val="single"/>
          <w:lang w:eastAsia="zh-CN"/>
        </w:rPr>
      </w:pPr>
      <w:r>
        <w:rPr>
          <w:rFonts w:ascii="Arial" w:eastAsia="宋体" w:hAnsi="Arial" w:cs="Arial" w:hint="eastAsia"/>
          <w:kern w:val="2"/>
          <w:sz w:val="21"/>
          <w:szCs w:val="21"/>
          <w:lang w:eastAsia="zh-CN"/>
        </w:rPr>
        <w:t>法定代表人（负责人）或其</w:t>
      </w:r>
      <w:r>
        <w:rPr>
          <w:rFonts w:ascii="Arial" w:eastAsia="宋体" w:hAnsi="Arial" w:cs="Arial" w:hint="eastAsia"/>
          <w:kern w:val="2"/>
          <w:sz w:val="21"/>
          <w:szCs w:val="21"/>
          <w:lang w:eastAsia="zh-CN"/>
        </w:rPr>
        <w:t>授权委托</w:t>
      </w:r>
      <w:r>
        <w:rPr>
          <w:rFonts w:ascii="Arial" w:eastAsia="宋体" w:hAnsi="Arial" w:cs="Arial" w:hint="eastAsia"/>
          <w:kern w:val="2"/>
          <w:sz w:val="21"/>
          <w:szCs w:val="21"/>
          <w:lang w:eastAsia="zh-CN"/>
        </w:rPr>
        <w:t>代理人：</w:t>
      </w:r>
      <w:r>
        <w:rPr>
          <w:rFonts w:ascii="Arial" w:eastAsia="宋体" w:hAnsi="Arial" w:cs="Arial" w:hint="eastAsia"/>
          <w:kern w:val="2"/>
          <w:sz w:val="21"/>
          <w:szCs w:val="21"/>
          <w:u w:val="single"/>
          <w:lang w:eastAsia="zh-CN"/>
        </w:rPr>
        <w:t xml:space="preserve">           </w:t>
      </w:r>
    </w:p>
    <w:p>
      <w:pPr>
        <w:widowControl w:val="0"/>
        <w:spacing w:line="360" w:lineRule="auto"/>
        <w:jc w:val="both"/>
        <w:rPr>
          <w:rFonts w:ascii="Arial" w:eastAsia="宋体" w:hAnsi="Arial" w:cs="Arial"/>
          <w:kern w:val="2"/>
          <w:szCs w:val="21"/>
          <w:u w:val="single"/>
          <w:lang w:eastAsia="zh-CN"/>
        </w:rPr>
      </w:pPr>
      <w:r>
        <w:rPr>
          <w:rFonts w:ascii="Arial" w:eastAsia="宋体" w:hAnsi="Arial" w:cs="Arial" w:hint="eastAsia"/>
          <w:kern w:val="2"/>
          <w:szCs w:val="21"/>
          <w:lang w:eastAsia="zh-CN"/>
        </w:rPr>
        <w:t>开户银行名称：</w:t>
      </w:r>
      <w:r>
        <w:rPr>
          <w:rFonts w:ascii="Arial" w:eastAsia="宋体" w:hAnsi="Arial" w:cs="Arial" w:hint="eastAsia"/>
          <w:b/>
          <w:bCs/>
          <w:kern w:val="2"/>
          <w:szCs w:val="21"/>
          <w:u w:val="single"/>
          <w:lang w:eastAsia="zh-CN"/>
        </w:rPr>
        <w:t xml:space="preserve">           </w:t>
      </w:r>
    </w:p>
    <w:p>
      <w:pPr>
        <w:widowControl w:val="0"/>
        <w:spacing w:line="360" w:lineRule="auto"/>
        <w:jc w:val="both"/>
        <w:rPr>
          <w:rFonts w:ascii="Calibri" w:eastAsia="宋体" w:hAnsi="Calibri"/>
          <w:kern w:val="2"/>
          <w:szCs w:val="22"/>
          <w:u w:val="single"/>
          <w:lang w:eastAsia="zh-CN"/>
        </w:rPr>
      </w:pPr>
      <w:r>
        <w:rPr>
          <w:rFonts w:ascii="Arial" w:eastAsia="宋体" w:hAnsi="Arial" w:cs="Arial" w:hint="eastAsia"/>
          <w:kern w:val="2"/>
          <w:szCs w:val="21"/>
          <w:lang w:eastAsia="zh-CN"/>
        </w:rPr>
        <w:t>开户银行账号：</w:t>
      </w:r>
      <w:r>
        <w:rPr>
          <w:rFonts w:ascii="Arial" w:eastAsia="宋体" w:hAnsi="Arial" w:cs="Arial" w:hint="eastAsia"/>
          <w:kern w:val="2"/>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邮政编码：</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电话：</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u w:val="single"/>
          <w:lang w:eastAsia="zh-CN"/>
        </w:rPr>
      </w:pPr>
      <w:r>
        <w:rPr>
          <w:rFonts w:ascii="Arial" w:eastAsia="宋体" w:hAnsi="Arial" w:cs="Arial" w:hint="eastAsia"/>
          <w:kern w:val="2"/>
          <w:sz w:val="21"/>
          <w:szCs w:val="21"/>
          <w:lang w:eastAsia="zh-CN"/>
        </w:rPr>
        <w:t>传真：</w:t>
      </w:r>
      <w:r>
        <w:rPr>
          <w:rFonts w:ascii="Arial" w:eastAsia="宋体" w:hAnsi="Arial" w:cs="Arial" w:hint="eastAsia"/>
          <w:kern w:val="2"/>
          <w:sz w:val="21"/>
          <w:szCs w:val="21"/>
          <w:u w:val="single"/>
          <w:lang w:eastAsia="zh-CN"/>
        </w:rPr>
        <w:t xml:space="preserve">           </w:t>
      </w: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邮箱：</w:t>
      </w:r>
      <w:r>
        <w:rPr>
          <w:rFonts w:ascii="Arial" w:eastAsia="宋体" w:hAnsi="Arial" w:cs="Arial" w:hint="eastAsia"/>
          <w:kern w:val="2"/>
          <w:sz w:val="21"/>
          <w:szCs w:val="21"/>
          <w:u w:val="single"/>
          <w:lang w:eastAsia="zh-CN"/>
        </w:rPr>
        <w:t xml:space="preserve">           </w:t>
      </w:r>
      <w:r>
        <w:rPr>
          <w:rFonts w:ascii="Arial" w:eastAsia="宋体" w:hAnsi="Arial" w:cs="Arial" w:hint="eastAsia"/>
          <w:kern w:val="2"/>
          <w:sz w:val="21"/>
          <w:szCs w:val="21"/>
          <w:lang w:eastAsia="zh-CN"/>
        </w:rPr>
        <w:t xml:space="preserve"> </w:t>
      </w:r>
    </w:p>
    <w:p>
      <w:pPr>
        <w:widowControl w:val="0"/>
        <w:snapToGrid w:val="0"/>
        <w:spacing w:line="360" w:lineRule="auto"/>
        <w:jc w:val="both"/>
        <w:rPr>
          <w:rFonts w:ascii="Arial" w:eastAsia="宋体" w:hAnsi="Arial" w:cs="Arial"/>
          <w:kern w:val="2"/>
          <w:sz w:val="21"/>
          <w:szCs w:val="21"/>
          <w:lang w:eastAsia="zh-CN"/>
        </w:rPr>
      </w:pPr>
    </w:p>
    <w:p>
      <w:pPr>
        <w:widowControl w:val="0"/>
        <w:snapToGrid w:val="0"/>
        <w:spacing w:line="360" w:lineRule="auto"/>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日期： 年  月  日</w:t>
      </w:r>
    </w:p>
    <w:p>
      <w:pPr>
        <w:widowControl w:val="0"/>
        <w:spacing w:after="78" w:afterLines="25" w:line="300" w:lineRule="auto"/>
        <w:ind w:firstLine="420" w:firstLineChars="200"/>
        <w:jc w:val="both"/>
        <w:rPr>
          <w:rFonts w:ascii="Arial" w:eastAsia="宋体" w:hAnsi="Arial"/>
          <w:kern w:val="2"/>
          <w:lang w:eastAsia="zh-CN"/>
        </w:rPr>
      </w:pPr>
      <w:r>
        <w:rPr>
          <w:rFonts w:ascii="Arial" w:eastAsia="宋体" w:hAnsi="Arial" w:cs="Arial" w:hint="eastAsia"/>
          <w:kern w:val="2"/>
          <w:sz w:val="21"/>
          <w:lang w:eastAsia="zh-CN"/>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ascii="Arial" w:eastAsia="宋体" w:hAnsi="Arial" w:cs="Arial" w:hint="eastAsia"/>
          <w:kern w:val="2"/>
          <w:sz w:val="21"/>
          <w:u w:val="single"/>
          <w:lang w:eastAsia="zh-CN"/>
        </w:rPr>
        <w:t xml:space="preserve">                 </w:t>
      </w:r>
      <w:r>
        <w:rPr>
          <w:rFonts w:ascii="Arial" w:eastAsia="宋体" w:hAnsi="Arial" w:cs="Arial" w:hint="eastAsia"/>
          <w:kern w:val="2"/>
          <w:sz w:val="21"/>
          <w:lang w:eastAsia="zh-CN"/>
        </w:rPr>
        <w:t>。</w:t>
      </w:r>
    </w:p>
    <w:p>
      <w:pPr>
        <w:widowControl/>
        <w:snapToGrid w:val="0"/>
        <w:spacing w:line="360" w:lineRule="auto"/>
        <w:jc w:val="left"/>
        <w:rPr>
          <w:rFonts w:ascii="Arial" w:eastAsia="宋体" w:hAnsi="Arial"/>
          <w:kern w:val="2"/>
          <w:sz w:val="21"/>
          <w:lang w:eastAsia="zh-CN"/>
        </w:rPr>
      </w:pPr>
      <w:r>
        <w:rPr>
          <w:rFonts w:ascii="Arial" w:eastAsia="宋体" w:hAnsi="Arial"/>
          <w:kern w:val="2"/>
          <w:sz w:val="21"/>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2.政府采购投标及履约承诺函</w:t>
      </w:r>
    </w:p>
    <w:p>
      <w:pPr>
        <w:widowControl w:val="0"/>
        <w:adjustRightInd w:val="0"/>
        <w:snapToGrid w:val="0"/>
        <w:jc w:val="both"/>
        <w:rPr>
          <w:rFonts w:ascii="宋体" w:eastAsia="宋体" w:hAnsi="宋体"/>
          <w:kern w:val="2"/>
          <w:lang w:eastAsia="zh-CN"/>
        </w:rPr>
      </w:pPr>
      <w:r>
        <w:rPr>
          <w:rFonts w:ascii="宋体" w:eastAsia="宋体" w:hAnsi="宋体" w:hint="eastAsia"/>
          <w:kern w:val="2"/>
          <w:lang w:eastAsia="zh-CN"/>
        </w:rPr>
        <w:t>致：</w:t>
      </w:r>
      <w:r>
        <w:rPr>
          <w:rFonts w:ascii="宋体" w:eastAsia="宋体" w:hAnsi="宋体" w:hint="eastAsia"/>
          <w:kern w:val="2"/>
          <w:u w:val="single"/>
          <w:lang w:eastAsia="zh-CN"/>
        </w:rPr>
        <w:t>深圳公共资源交易中心</w:t>
      </w:r>
    </w:p>
    <w:p>
      <w:pPr>
        <w:widowControl w:val="0"/>
        <w:ind w:right="-815"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我单位承诺：</w:t>
      </w:r>
    </w:p>
    <w:p>
      <w:pPr>
        <w:widowControl w:val="0"/>
        <w:ind w:firstLine="420" w:firstLineChars="200"/>
        <w:jc w:val="both"/>
        <w:rPr>
          <w:rFonts w:ascii="宋体" w:eastAsia="宋体" w:hAnsi="宋体" w:hint="eastAsia"/>
          <w:b/>
          <w:kern w:val="2"/>
          <w:sz w:val="21"/>
          <w:szCs w:val="21"/>
          <w:lang w:eastAsia="zh-CN"/>
        </w:rPr>
      </w:pPr>
      <w:r>
        <w:rPr>
          <w:rFonts w:ascii="宋体" w:eastAsia="宋体" w:hAnsi="宋体" w:cstheme="minorBidi" w:hint="eastAsia"/>
          <w:bCs/>
          <w:kern w:val="2"/>
          <w:sz w:val="21"/>
          <w:szCs w:val="21"/>
          <w:lang w:eastAsia="zh-CN"/>
        </w:rPr>
        <w:t>1.我单位参与本项目所投标（响应）的货物、工程或服务，不存在侵犯知识产权的情况。</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2.我单位参与本项目</w:t>
      </w:r>
      <w:r>
        <w:rPr>
          <w:rFonts w:ascii="Calibri" w:eastAsia="宋体" w:hAnsi="Calibri" w:cstheme="minorBidi" w:hint="eastAsia"/>
          <w:kern w:val="2"/>
          <w:sz w:val="21"/>
          <w:szCs w:val="22"/>
          <w:lang w:eastAsia="zh-CN"/>
        </w:rPr>
        <w:t>政府采购活动时不存在被有关部门禁止参与政府采购活动且在有效期内的情况。</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3.我单位具备《中华人民共和国政府采购法》第二十二条第一款规定的六项条件。</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4.我单位</w:t>
      </w:r>
      <w:r>
        <w:rPr>
          <w:rFonts w:ascii="Calibri" w:eastAsia="宋体" w:hAnsi="Calibri" w:cstheme="minorBidi" w:hint="eastAsia"/>
          <w:kern w:val="2"/>
          <w:sz w:val="21"/>
          <w:szCs w:val="22"/>
          <w:lang w:eastAsia="zh-CN"/>
        </w:rPr>
        <w:t>未被列入失信被执行人、重大税收违法案件当事人名单、政府采购严重违法失信行为记录名单。</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bookmarkStart w:id="22" w:name="_Hlk72587269"/>
      <w:bookmarkStart w:id="23" w:name="_Hlk72587299"/>
      <w:r>
        <w:rPr>
          <w:rFonts w:ascii="宋体" w:eastAsia="宋体" w:hAnsi="宋体" w:cstheme="minorBidi" w:hint="eastAsia"/>
          <w:kern w:val="2"/>
          <w:sz w:val="21"/>
          <w:szCs w:val="21"/>
          <w:lang w:eastAsia="zh-CN"/>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2"/>
      <w:r>
        <w:rPr>
          <w:rFonts w:ascii="宋体" w:eastAsia="宋体" w:hAnsi="宋体" w:cstheme="minorBidi" w:hint="eastAsia"/>
          <w:kern w:val="2"/>
          <w:sz w:val="21"/>
          <w:szCs w:val="21"/>
          <w:lang w:eastAsia="zh-CN"/>
        </w:rPr>
        <w:t>。</w:t>
      </w:r>
    </w:p>
    <w:bookmarkEnd w:id="23"/>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8.我单位承诺中标后项目不转包，未经采购人同意不进行分包。</w:t>
      </w:r>
    </w:p>
    <w:p>
      <w:pPr>
        <w:widowControl w:val="0"/>
        <w:ind w:firstLine="420" w:firstLineChars="200"/>
        <w:jc w:val="both"/>
        <w:rPr>
          <w:rFonts w:ascii="宋体" w:eastAsia="宋体" w:hAnsi="宋体"/>
          <w:kern w:val="2"/>
          <w:sz w:val="21"/>
          <w:szCs w:val="22"/>
          <w:lang w:eastAsia="zh-CN"/>
        </w:rPr>
      </w:pPr>
      <w:r>
        <w:rPr>
          <w:rFonts w:ascii="宋体" w:eastAsia="宋体" w:hAnsi="宋体" w:cstheme="minorBidi" w:hint="eastAsia"/>
          <w:kern w:val="2"/>
          <w:sz w:val="21"/>
          <w:szCs w:val="21"/>
          <w:lang w:eastAsia="zh-CN"/>
        </w:rPr>
        <w:t>9</w:t>
      </w:r>
      <w:r>
        <w:rPr>
          <w:rFonts w:ascii="宋体" w:eastAsia="宋体" w:hAnsi="宋体" w:cstheme="minorBidi"/>
          <w:kern w:val="2"/>
          <w:sz w:val="21"/>
          <w:szCs w:val="21"/>
          <w:lang w:eastAsia="zh-CN"/>
        </w:rPr>
        <w:t>.</w:t>
      </w:r>
      <w:r>
        <w:rPr>
          <w:rFonts w:ascii="宋体" w:eastAsia="宋体" w:hAnsi="宋体" w:cstheme="minorBidi" w:hint="eastAsia"/>
          <w:kern w:val="2"/>
          <w:sz w:val="21"/>
          <w:szCs w:val="22"/>
          <w:lang w:eastAsia="zh-CN"/>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widowControl w:val="0"/>
        <w:ind w:firstLine="420" w:firstLineChars="200"/>
        <w:jc w:val="both"/>
        <w:rPr>
          <w:rFonts w:ascii="宋体" w:eastAsia="宋体" w:hAnsi="宋体" w:cs="宋体"/>
          <w:b/>
          <w:sz w:val="21"/>
          <w:szCs w:val="21"/>
          <w:lang w:eastAsia="zh-CN"/>
        </w:rPr>
      </w:pPr>
      <w:r>
        <w:rPr>
          <w:rFonts w:ascii="宋体" w:eastAsia="宋体" w:hAnsi="宋体" w:cstheme="minorBidi" w:hint="eastAsia"/>
          <w:kern w:val="2"/>
          <w:sz w:val="21"/>
          <w:szCs w:val="22"/>
          <w:lang w:eastAsia="zh-CN"/>
        </w:rPr>
        <w:t>10</w:t>
      </w:r>
      <w:r>
        <w:rPr>
          <w:rFonts w:ascii="宋体" w:eastAsia="宋体" w:hAnsi="宋体" w:cstheme="minorBidi"/>
          <w:kern w:val="2"/>
          <w:sz w:val="21"/>
          <w:szCs w:val="22"/>
          <w:lang w:eastAsia="zh-CN"/>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ascii="宋体" w:eastAsia="宋体" w:hAnsi="宋体" w:cstheme="minorBidi"/>
          <w:kern w:val="2"/>
          <w:sz w:val="21"/>
          <w:szCs w:val="22"/>
          <w:lang w:eastAsia="zh-CN"/>
        </w:rPr>
        <w:t>（财办库〔2023〕7号）要求。</w:t>
      </w:r>
    </w:p>
    <w:p>
      <w:pPr>
        <w:widowControl w:val="0"/>
        <w:ind w:firstLine="420" w:firstLineChars="200"/>
        <w:jc w:val="both"/>
        <w:rPr>
          <w:rFonts w:ascii="宋体" w:eastAsia="宋体" w:hAnsi="宋体" w:hint="eastAsia"/>
          <w:bCs/>
          <w:kern w:val="2"/>
          <w:sz w:val="21"/>
          <w:szCs w:val="22"/>
          <w:lang w:eastAsia="zh-CN"/>
        </w:rPr>
      </w:pPr>
      <w:r>
        <w:rPr>
          <w:rFonts w:ascii="宋体" w:eastAsia="宋体" w:hAnsi="宋体" w:cs="宋体" w:hint="eastAsia"/>
          <w:bCs/>
          <w:sz w:val="21"/>
          <w:szCs w:val="21"/>
          <w:lang w:eastAsia="zh-CN"/>
        </w:rPr>
        <w:t>11.</w:t>
      </w:r>
      <w:r>
        <w:rPr>
          <w:rFonts w:ascii="宋体" w:eastAsia="宋体" w:hAnsi="宋体" w:cstheme="minorBidi" w:hint="eastAsia"/>
          <w:bCs/>
          <w:kern w:val="2"/>
          <w:sz w:val="21"/>
          <w:szCs w:val="22"/>
          <w:lang w:eastAsia="zh-CN"/>
        </w:rPr>
        <w:t xml:space="preserve"> 我单位已知悉并同意中标（成交）结果信息公示（公开）的内容。</w:t>
      </w:r>
    </w:p>
    <w:p>
      <w:pPr>
        <w:widowControl w:val="0"/>
        <w:ind w:firstLine="420" w:firstLineChars="200"/>
        <w:jc w:val="both"/>
        <w:rPr>
          <w:rFonts w:ascii="宋体" w:eastAsia="宋体" w:hAnsi="宋体" w:hint="eastAsia"/>
          <w:bCs/>
          <w:kern w:val="2"/>
          <w:sz w:val="21"/>
          <w:szCs w:val="22"/>
          <w:lang w:eastAsia="zh-CN"/>
        </w:rPr>
      </w:pPr>
      <w:r>
        <w:rPr>
          <w:rFonts w:ascii="宋体" w:eastAsia="宋体" w:hAnsi="宋体" w:cstheme="minorBidi" w:hint="eastAsia"/>
          <w:bCs/>
          <w:kern w:val="2"/>
          <w:sz w:val="21"/>
          <w:szCs w:val="22"/>
          <w:lang w:eastAsia="zh-CN"/>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ascii="宋体" w:eastAsia="宋体" w:hAnsi="宋体" w:cstheme="minorBidi" w:hint="eastAsia"/>
          <w:bCs/>
          <w:kern w:val="2"/>
          <w:sz w:val="21"/>
          <w:szCs w:val="22"/>
          <w:lang w:eastAsia="zh-CN"/>
        </w:rPr>
        <w:t>如</w:t>
      </w:r>
      <w:r>
        <w:rPr>
          <w:rFonts w:ascii="宋体" w:eastAsia="宋体" w:hAnsi="宋体" w:cstheme="minorBidi" w:hint="eastAsia"/>
          <w:bCs/>
          <w:kern w:val="2"/>
          <w:sz w:val="21"/>
          <w:szCs w:val="22"/>
          <w:lang w:eastAsia="zh-CN"/>
        </w:rPr>
        <w:t>存在“不同供应商的董事、股东或其他高级管理人员为同一人的”情形的，承诺不存在串通投标、恶意串通或者视为串通投标的情形</w:t>
      </w:r>
      <w:r>
        <w:rPr>
          <w:rFonts w:ascii="宋体" w:eastAsia="宋体" w:hAnsi="宋体" w:cstheme="minorBidi" w:hint="eastAsia"/>
          <w:bCs/>
          <w:kern w:val="2"/>
          <w:sz w:val="21"/>
          <w:szCs w:val="22"/>
          <w:lang w:eastAsia="zh-CN"/>
        </w:rPr>
        <w:t>。</w:t>
      </w:r>
    </w:p>
    <w:p>
      <w:pPr>
        <w:widowControl w:val="0"/>
        <w:ind w:firstLine="420" w:firstLineChars="200"/>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13.我单位清楚，如存在违反投标承诺行为情节严重的，将根据《深圳市财政局关于印发&lt;深圳市财政局政府采购供应商信用信息管理办法&gt;的通知》，依法被列入失信信息。</w:t>
      </w:r>
    </w:p>
    <w:p>
      <w:pPr>
        <w:widowControl w:val="0"/>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lang w:eastAsia="zh-CN"/>
        </w:rPr>
        <w:t>以上承诺，如有违反，愿依照国家相关法律法规处理，并承担由此给采购人带来的损失。</w:t>
      </w:r>
    </w:p>
    <w:p>
      <w:pPr>
        <w:widowControl w:val="0"/>
        <w:ind w:firstLine="480" w:firstLineChars="200"/>
        <w:jc w:val="both"/>
        <w:rPr>
          <w:rFonts w:ascii="宋体" w:eastAsia="宋体" w:hAnsi="宋体" w:hint="eastAsia"/>
          <w:kern w:val="2"/>
          <w:sz w:val="21"/>
          <w:szCs w:val="21"/>
          <w:lang w:eastAsia="zh-CN"/>
        </w:rPr>
      </w:pPr>
      <w:r>
        <w:rPr>
          <w:rFonts w:ascii="宋体" w:eastAsia="宋体" w:hAnsi="宋体" w:hint="eastAsia"/>
          <w:kern w:val="2"/>
          <w:lang w:eastAsia="zh-CN"/>
        </w:rPr>
        <w:t xml:space="preserve">                        </w:t>
      </w:r>
      <w:r>
        <w:rPr>
          <w:rFonts w:ascii="宋体" w:eastAsia="宋体" w:hAnsi="宋体" w:hint="eastAsia"/>
          <w:kern w:val="2"/>
          <w:sz w:val="21"/>
          <w:szCs w:val="21"/>
          <w:lang w:eastAsia="zh-CN"/>
        </w:rPr>
        <w:t>投标单位（投标人）名称：</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 xml:space="preserve">                </w:t>
      </w:r>
    </w:p>
    <w:p>
      <w:pPr>
        <w:widowControl w:val="0"/>
        <w:ind w:firstLine="420" w:firstLineChars="200"/>
        <w:jc w:val="both"/>
        <w:rPr>
          <w:rFonts w:ascii="宋体" w:eastAsia="宋体" w:hAnsi="宋体" w:hint="eastAsia"/>
          <w:kern w:val="2"/>
          <w:sz w:val="21"/>
          <w:szCs w:val="21"/>
          <w:lang w:eastAsia="zh-CN"/>
        </w:rPr>
      </w:pPr>
      <w:r>
        <w:rPr>
          <w:rFonts w:ascii="宋体" w:eastAsia="宋体" w:hAnsi="宋体" w:hint="eastAsia"/>
          <w:kern w:val="2"/>
          <w:sz w:val="21"/>
          <w:szCs w:val="21"/>
          <w:lang w:eastAsia="zh-CN"/>
        </w:rPr>
        <w:t xml:space="preserve">                                  </w:t>
      </w:r>
      <w:r>
        <w:rPr>
          <w:rFonts w:ascii="宋体" w:eastAsia="宋体" w:hAnsi="宋体" w:hint="eastAsia"/>
          <w:kern w:val="2"/>
          <w:sz w:val="21"/>
          <w:szCs w:val="21"/>
          <w:lang w:eastAsia="zh-CN"/>
        </w:rPr>
        <w:t xml:space="preserve">                    </w:t>
      </w:r>
      <w:r>
        <w:rPr>
          <w:rFonts w:ascii="宋体" w:eastAsia="宋体" w:hAnsi="宋体" w:hint="eastAsia"/>
          <w:kern w:val="2"/>
          <w:sz w:val="21"/>
          <w:szCs w:val="21"/>
          <w:lang w:eastAsia="zh-CN"/>
        </w:rPr>
        <w:t xml:space="preserve">  </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年</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月</w:t>
      </w:r>
      <w:r>
        <w:rPr>
          <w:rFonts w:ascii="宋体" w:eastAsia="宋体" w:hAnsi="宋体" w:hint="eastAsia"/>
          <w:kern w:val="2"/>
          <w:sz w:val="21"/>
          <w:szCs w:val="21"/>
          <w:u w:val="single"/>
          <w:lang w:eastAsia="zh-CN"/>
        </w:rPr>
        <w:t xml:space="preserve">   </w:t>
      </w:r>
      <w:r>
        <w:rPr>
          <w:rFonts w:ascii="宋体" w:eastAsia="宋体" w:hAnsi="宋体" w:hint="eastAsia"/>
          <w:kern w:val="2"/>
          <w:sz w:val="21"/>
          <w:szCs w:val="21"/>
          <w:lang w:eastAsia="zh-CN"/>
        </w:rPr>
        <w:t>日</w:t>
      </w:r>
    </w:p>
    <w:p>
      <w:pPr>
        <w:widowControl/>
        <w:jc w:val="both"/>
        <w:rPr>
          <w:rFonts w:ascii="宋体" w:eastAsia="宋体" w:hAnsi="宋体"/>
          <w:b/>
          <w:color w:val="FF0000"/>
          <w:lang w:eastAsia="zh-CN"/>
        </w:rPr>
      </w:pPr>
      <w:r>
        <w:rPr>
          <w:rFonts w:ascii="宋体" w:eastAsia="宋体" w:hAnsi="宋体" w:hint="eastAsia"/>
          <w:b/>
          <w:color w:val="FF0000"/>
          <w:sz w:val="21"/>
          <w:szCs w:val="21"/>
          <w:lang w:eastAsia="zh-CN"/>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3</w:t>
      </w:r>
      <w:r>
        <w:rPr>
          <w:rFonts w:ascii="宋体" w:eastAsia="宋体" w:hAnsi="宋体"/>
          <w:b/>
          <w:bCs/>
          <w:szCs w:val="20"/>
          <w:lang w:eastAsia="zh-CN"/>
        </w:rPr>
        <w:t>.</w:t>
      </w:r>
      <w:r>
        <w:rPr>
          <w:rFonts w:ascii="宋体" w:eastAsia="宋体" w:hAnsi="宋体" w:hint="eastAsia"/>
          <w:b/>
          <w:bCs/>
          <w:szCs w:val="20"/>
          <w:lang w:eastAsia="zh-CN"/>
        </w:rPr>
        <w:t>分项报价清单</w:t>
      </w:r>
    </w:p>
    <w:p>
      <w:pPr>
        <w:widowControl w:val="0"/>
        <w:spacing w:after="78" w:afterLines="25" w:line="300" w:lineRule="auto"/>
        <w:jc w:val="both"/>
        <w:rPr>
          <w:rFonts w:ascii="Arial" w:eastAsia="宋体" w:hAnsi="Arial" w:cs="Arial"/>
          <w:kern w:val="2"/>
          <w:sz w:val="21"/>
          <w:lang w:eastAsia="zh-CN"/>
        </w:rPr>
      </w:pPr>
      <w:r>
        <w:rPr>
          <w:rFonts w:ascii="Arial" w:eastAsia="宋体" w:hAnsi="Arial" w:cs="Arial" w:hint="eastAsia"/>
          <w:color w:val="000000"/>
          <w:kern w:val="2"/>
          <w:sz w:val="21"/>
          <w:lang w:eastAsia="zh-CN"/>
        </w:rPr>
        <w:t>投标单位（投标人）名称：</w:t>
      </w:r>
      <w:r>
        <w:rPr>
          <w:rFonts w:ascii="Arial" w:eastAsia="宋体" w:hAnsi="Arial" w:cs="Arial"/>
          <w:color w:val="000000"/>
          <w:kern w:val="2"/>
          <w:sz w:val="21"/>
          <w:u w:val="single"/>
          <w:lang w:eastAsia="zh-CN"/>
        </w:rPr>
        <w:t xml:space="preserve">                          </w:t>
      </w:r>
    </w:p>
    <w:p>
      <w:pPr>
        <w:widowControl w:val="0"/>
        <w:tabs>
          <w:tab w:val="left" w:pos="720"/>
        </w:tabs>
        <w:spacing w:after="78" w:afterLines="25" w:line="300" w:lineRule="auto"/>
        <w:jc w:val="both"/>
        <w:rPr>
          <w:rFonts w:ascii="Arial" w:eastAsia="宋体" w:hAnsi="Arial"/>
          <w:b/>
          <w:kern w:val="2"/>
          <w:lang w:eastAsia="zh-CN"/>
        </w:rPr>
      </w:pPr>
      <w:r>
        <w:rPr>
          <w:rFonts w:ascii="Arial" w:eastAsia="宋体" w:hAnsi="Arial" w:hint="eastAsia"/>
          <w:b/>
          <w:kern w:val="2"/>
          <w:lang w:eastAsia="zh-CN"/>
        </w:rPr>
        <w:t>（一）项目报价表</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36"/>
        <w:gridCol w:w="2096"/>
        <w:gridCol w:w="1195"/>
        <w:gridCol w:w="930"/>
        <w:gridCol w:w="930"/>
        <w:gridCol w:w="670"/>
        <w:gridCol w:w="669"/>
        <w:gridCol w:w="930"/>
        <w:gridCol w:w="1232"/>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货物名称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规格</w:t>
            </w:r>
            <w:r>
              <w:rPr>
                <w:rFonts w:ascii="Arial" w:eastAsia="宋体" w:hAnsi="Arial" w:hint="eastAsia"/>
                <w:kern w:val="2"/>
                <w:sz w:val="21"/>
                <w:lang w:eastAsia="zh-CN"/>
              </w:rPr>
              <w:t>/品牌/</w:t>
            </w:r>
            <w:r>
              <w:rPr>
                <w:rFonts w:ascii="Arial" w:eastAsia="宋体" w:hAnsi="Arial" w:hint="eastAsia"/>
                <w:kern w:val="2"/>
                <w:sz w:val="21"/>
                <w:lang w:eastAsia="zh-CN"/>
              </w:rPr>
              <w:t>型号</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b/>
                <w:kern w:val="2"/>
                <w:sz w:val="21"/>
                <w:lang w:eastAsia="zh-CN"/>
              </w:rPr>
            </w:pPr>
            <w:r>
              <w:rPr>
                <w:rFonts w:ascii="Arial" w:eastAsia="宋体" w:hAnsi="Arial" w:hint="eastAsia"/>
                <w:bCs/>
                <w:kern w:val="2"/>
                <w:sz w:val="21"/>
                <w:lang w:eastAsia="zh-CN"/>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eastAsia="宋体" w:hAnsi="Arial"/>
                <w:kern w:val="2"/>
                <w:sz w:val="21"/>
                <w:lang w:eastAsia="zh-CN"/>
              </w:rPr>
            </w:pPr>
            <w:r>
              <w:rPr>
                <w:rFonts w:ascii="Arial" w:eastAsia="宋体" w:hAnsi="Arial" w:hint="eastAsia"/>
                <w:kern w:val="2"/>
                <w:sz w:val="21"/>
                <w:lang w:eastAsia="zh-CN"/>
              </w:rPr>
              <w:t>合价(元)</w:t>
            </w:r>
          </w:p>
        </w:tc>
      </w:tr>
      <w:tr>
        <w:tblPrEx>
          <w:tblW w:w="5000" w:type="pct"/>
          <w:jc w:val="center"/>
          <w:tblLayout w:type="fixed"/>
          <w:tblCellMar>
            <w:top w:w="0" w:type="dxa"/>
            <w:left w:w="108" w:type="dxa"/>
            <w:bottom w:w="0" w:type="dxa"/>
            <w:right w:w="108" w:type="dxa"/>
          </w:tblCellMar>
        </w:tblPrEx>
        <w:trPr>
          <w:trHeight w:val="90"/>
          <w:jc w:val="center"/>
        </w:trPr>
        <w:tc>
          <w:tcPr>
            <w:tcW w:w="672" w:type="dxa"/>
            <w:vAlign w:val="center"/>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1</w:t>
            </w:r>
          </w:p>
        </w:tc>
        <w:tc>
          <w:tcPr>
            <w:tcW w:w="2263" w:type="dxa"/>
            <w:vAlign w:val="center"/>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450"/>
          <w:jc w:val="center"/>
        </w:trPr>
        <w:tc>
          <w:tcPr>
            <w:tcW w:w="672" w:type="dxa"/>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2</w:t>
            </w:r>
          </w:p>
        </w:tc>
        <w:tc>
          <w:tcPr>
            <w:tcW w:w="2263" w:type="dxa"/>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400"/>
          <w:jc w:val="center"/>
        </w:trPr>
        <w:tc>
          <w:tcPr>
            <w:tcW w:w="672" w:type="dxa"/>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3</w:t>
            </w:r>
          </w:p>
        </w:tc>
        <w:tc>
          <w:tcPr>
            <w:tcW w:w="2263" w:type="dxa"/>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320"/>
          <w:jc w:val="center"/>
        </w:trPr>
        <w:tc>
          <w:tcPr>
            <w:tcW w:w="672" w:type="dxa"/>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kern w:val="2"/>
                <w:sz w:val="21"/>
                <w:lang w:eastAsia="zh-CN"/>
              </w:rPr>
              <w:t>……</w:t>
            </w:r>
          </w:p>
        </w:tc>
        <w:tc>
          <w:tcPr>
            <w:tcW w:w="2263" w:type="dxa"/>
          </w:tcPr>
          <w:p>
            <w:pPr>
              <w:widowControl w:val="0"/>
              <w:spacing w:after="78" w:afterLines="25" w:line="300" w:lineRule="auto"/>
              <w:jc w:val="both"/>
              <w:rPr>
                <w:rFonts w:ascii="Arial" w:eastAsia="宋体" w:hAnsi="Arial"/>
                <w:b/>
                <w:kern w:val="2"/>
                <w:sz w:val="21"/>
                <w:lang w:eastAsia="zh-CN"/>
              </w:rPr>
            </w:pPr>
          </w:p>
        </w:tc>
        <w:tc>
          <w:tcPr>
            <w:tcW w:w="1281"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992" w:type="dxa"/>
          </w:tcPr>
          <w:p>
            <w:pPr>
              <w:widowControl w:val="0"/>
              <w:spacing w:after="78" w:afterLines="25" w:line="300" w:lineRule="auto"/>
              <w:jc w:val="both"/>
              <w:rPr>
                <w:rFonts w:ascii="Arial" w:eastAsia="宋体" w:hAnsi="Arial"/>
                <w:kern w:val="2"/>
                <w:sz w:val="21"/>
                <w:lang w:eastAsia="zh-CN"/>
              </w:rPr>
            </w:pPr>
          </w:p>
        </w:tc>
        <w:tc>
          <w:tcPr>
            <w:tcW w:w="709" w:type="dxa"/>
          </w:tcPr>
          <w:p>
            <w:pPr>
              <w:widowControl w:val="0"/>
              <w:spacing w:after="78" w:afterLines="25" w:line="300" w:lineRule="auto"/>
              <w:jc w:val="both"/>
              <w:rPr>
                <w:rFonts w:ascii="Arial" w:eastAsia="宋体" w:hAnsi="Arial"/>
                <w:kern w:val="2"/>
                <w:sz w:val="21"/>
                <w:lang w:eastAsia="zh-CN"/>
              </w:rPr>
            </w:pPr>
          </w:p>
        </w:tc>
        <w:tc>
          <w:tcPr>
            <w:tcW w:w="708" w:type="dxa"/>
          </w:tcPr>
          <w:p>
            <w:pPr>
              <w:widowControl w:val="0"/>
              <w:spacing w:after="78" w:afterLines="25" w:line="300" w:lineRule="auto"/>
              <w:jc w:val="both"/>
              <w:rPr>
                <w:rFonts w:ascii="Arial" w:eastAsia="宋体" w:hAnsi="Arial"/>
                <w:kern w:val="2"/>
                <w:sz w:val="21"/>
                <w:lang w:eastAsia="zh-CN"/>
              </w:rPr>
            </w:pPr>
          </w:p>
        </w:tc>
        <w:tc>
          <w:tcPr>
            <w:tcW w:w="993" w:type="dxa"/>
          </w:tcPr>
          <w:p>
            <w:pPr>
              <w:widowControl w:val="0"/>
              <w:spacing w:after="78" w:afterLines="25" w:line="300" w:lineRule="auto"/>
              <w:jc w:val="both"/>
              <w:rPr>
                <w:rFonts w:ascii="Arial" w:eastAsia="宋体" w:hAnsi="Arial"/>
                <w:kern w:val="2"/>
                <w:sz w:val="21"/>
                <w:lang w:eastAsia="zh-CN"/>
              </w:rPr>
            </w:pPr>
          </w:p>
        </w:tc>
        <w:tc>
          <w:tcPr>
            <w:tcW w:w="1322" w:type="dxa"/>
          </w:tcPr>
          <w:p>
            <w:pPr>
              <w:widowControl w:val="0"/>
              <w:spacing w:after="78" w:afterLines="25" w:line="300" w:lineRule="auto"/>
              <w:jc w:val="both"/>
              <w:rPr>
                <w:rFonts w:ascii="Arial" w:eastAsia="宋体" w:hAnsi="Arial"/>
                <w:kern w:val="2"/>
                <w:sz w:val="21"/>
                <w:lang w:eastAsia="zh-CN"/>
              </w:rPr>
            </w:pPr>
          </w:p>
        </w:tc>
      </w:tr>
      <w:tr>
        <w:tblPrEx>
          <w:tblW w:w="5000" w:type="pct"/>
          <w:jc w:val="center"/>
          <w:tblLayout w:type="fixed"/>
          <w:tblCellMar>
            <w:top w:w="0" w:type="dxa"/>
            <w:left w:w="108" w:type="dxa"/>
            <w:bottom w:w="0" w:type="dxa"/>
            <w:right w:w="108" w:type="dxa"/>
          </w:tblCellMar>
        </w:tblPrEx>
        <w:trPr>
          <w:trHeight w:val="450"/>
          <w:jc w:val="center"/>
        </w:trPr>
        <w:tc>
          <w:tcPr>
            <w:tcW w:w="6201" w:type="dxa"/>
            <w:gridSpan w:val="5"/>
          </w:tcPr>
          <w:p>
            <w:pPr>
              <w:widowControl w:val="0"/>
              <w:spacing w:after="78" w:afterLines="25" w:line="300" w:lineRule="auto"/>
              <w:jc w:val="center"/>
              <w:rPr>
                <w:rFonts w:ascii="Arial" w:eastAsia="宋体" w:hAnsi="Arial"/>
                <w:kern w:val="2"/>
                <w:sz w:val="21"/>
                <w:lang w:eastAsia="zh-CN"/>
              </w:rPr>
            </w:pPr>
            <w:r>
              <w:rPr>
                <w:rFonts w:ascii="Arial" w:eastAsia="宋体" w:hAnsi="Arial" w:hint="eastAsia"/>
                <w:b/>
                <w:kern w:val="2"/>
                <w:sz w:val="21"/>
                <w:lang w:eastAsia="zh-CN"/>
              </w:rPr>
              <w:t>投标总价</w:t>
            </w:r>
            <w:r>
              <w:rPr>
                <w:rFonts w:ascii="Arial" w:eastAsia="宋体" w:hAnsi="Arial" w:hint="eastAsia"/>
                <w:kern w:val="2"/>
                <w:sz w:val="21"/>
                <w:lang w:eastAsia="zh-CN"/>
              </w:rPr>
              <w:t>（</w:t>
            </w:r>
            <w:r>
              <w:rPr>
                <w:rFonts w:ascii="Arial" w:eastAsia="宋体" w:hAnsi="Arial" w:hint="eastAsia"/>
                <w:kern w:val="2"/>
                <w:sz w:val="21"/>
                <w:lang w:eastAsia="zh-CN"/>
              </w:rPr>
              <w:t>以上各项之和；</w:t>
            </w:r>
            <w:r>
              <w:rPr>
                <w:rFonts w:ascii="Arial" w:eastAsia="宋体" w:hAnsi="Arial" w:hint="eastAsia"/>
                <w:kern w:val="2"/>
                <w:sz w:val="21"/>
                <w:lang w:eastAsia="zh-CN"/>
              </w:rPr>
              <w:t>币种：人民币；单位：元）</w:t>
            </w:r>
          </w:p>
        </w:tc>
        <w:tc>
          <w:tcPr>
            <w:tcW w:w="3732" w:type="dxa"/>
            <w:gridSpan w:val="4"/>
          </w:tcPr>
          <w:p>
            <w:pPr>
              <w:widowControl w:val="0"/>
              <w:spacing w:after="78" w:afterLines="25" w:line="300" w:lineRule="auto"/>
              <w:jc w:val="both"/>
              <w:rPr>
                <w:rFonts w:ascii="Arial" w:eastAsia="宋体" w:hAnsi="Arial"/>
                <w:kern w:val="2"/>
                <w:sz w:val="21"/>
                <w:lang w:eastAsia="zh-CN"/>
              </w:rPr>
            </w:pPr>
          </w:p>
        </w:tc>
      </w:tr>
    </w:tbl>
    <w:p>
      <w:pPr>
        <w:widowControl w:val="0"/>
        <w:snapToGrid w:val="0"/>
        <w:jc w:val="both"/>
        <w:rPr>
          <w:rFonts w:ascii="宋体" w:eastAsia="宋体" w:hAnsi="宋体"/>
          <w:b/>
          <w:kern w:val="2"/>
          <w:sz w:val="21"/>
          <w:lang w:eastAsia="zh-CN"/>
        </w:rPr>
      </w:pPr>
      <w:r>
        <w:rPr>
          <w:rFonts w:ascii="宋体" w:eastAsia="宋体" w:hAnsi="宋体" w:hint="eastAsia"/>
          <w:b/>
          <w:kern w:val="2"/>
          <w:sz w:val="21"/>
          <w:lang w:eastAsia="zh-CN"/>
        </w:rPr>
        <w:t>填写说明：</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1.本表可按同样格式扩展。</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2. 如所投货物属于定制类的非量产货物或无具体品牌、型号的货物，可以在“规格/品牌/型号”一栏仅填写规格信息而不填写品牌、型号等信息（品牌、型号信息用“定制”描述即可）；</w:t>
      </w:r>
      <w:bookmarkStart w:id="24" w:name="_Hlk73646428"/>
      <w:r>
        <w:rPr>
          <w:rFonts w:ascii="宋体" w:eastAsia="宋体" w:hAnsi="宋体" w:hint="eastAsia"/>
          <w:b/>
          <w:kern w:val="2"/>
          <w:sz w:val="21"/>
          <w:lang w:eastAsia="zh-CN"/>
        </w:rPr>
        <w:t>此类填写错误（所投货物为定制类的非量产货物但供应商却错误填报了品牌、型号）</w:t>
      </w:r>
      <w:r>
        <w:rPr>
          <w:rFonts w:ascii="宋体" w:eastAsia="宋体" w:hAnsi="宋体" w:hint="eastAsia"/>
          <w:b/>
          <w:kern w:val="2"/>
          <w:sz w:val="21"/>
          <w:lang w:eastAsia="zh-CN"/>
        </w:rPr>
        <w:t>可能</w:t>
      </w:r>
      <w:r>
        <w:rPr>
          <w:rFonts w:ascii="宋体" w:eastAsia="宋体" w:hAnsi="宋体" w:hint="eastAsia"/>
          <w:b/>
          <w:kern w:val="2"/>
          <w:sz w:val="21"/>
          <w:lang w:eastAsia="zh-CN"/>
        </w:rPr>
        <w:t>的不利后果由供应商承担。</w:t>
      </w:r>
      <w:bookmarkEnd w:id="24"/>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3.</w:t>
      </w:r>
      <w:bookmarkStart w:id="25" w:name="_Hlk72074795"/>
      <w:r>
        <w:rPr>
          <w:rFonts w:ascii="宋体" w:eastAsia="宋体" w:hAnsi="宋体" w:hint="eastAsia"/>
          <w:b/>
          <w:kern w:val="2"/>
          <w:sz w:val="21"/>
          <w:lang w:eastAsia="zh-CN"/>
        </w:rPr>
        <w:t>“原产地”是指该货物的实际生产加工地，而非品牌总公司所在地</w:t>
      </w:r>
      <w:bookmarkEnd w:id="25"/>
      <w:r>
        <w:rPr>
          <w:rFonts w:ascii="宋体" w:eastAsia="宋体" w:hAnsi="宋体" w:hint="eastAsia"/>
          <w:b/>
          <w:kern w:val="2"/>
          <w:sz w:val="21"/>
          <w:lang w:eastAsia="zh-CN"/>
        </w:rPr>
        <w:t>。</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4.所投货物均应填写制造商名称。</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5.以上分项报价表的投标总价应当与开标一览表的投标总价一致。</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6.单价、合价和投标总价为包干价，即三者均应包含货物的价款、包装、运输、装卸、安装、调试、技术指导、培训、咨询、服务、保险、税费、检测、验收合格交付使用之前以及技术和售后服务等其他各项有关费用。</w:t>
      </w:r>
    </w:p>
    <w:p>
      <w:pPr>
        <w:widowControl w:val="0"/>
        <w:snapToGrid w:val="0"/>
        <w:jc w:val="both"/>
        <w:rPr>
          <w:rFonts w:ascii="宋体" w:eastAsia="宋体" w:hAnsi="宋体" w:hint="eastAsia"/>
          <w:b/>
          <w:kern w:val="2"/>
          <w:sz w:val="21"/>
          <w:lang w:eastAsia="zh-CN"/>
        </w:rPr>
      </w:pPr>
      <w:r>
        <w:rPr>
          <w:rFonts w:ascii="宋体" w:eastAsia="宋体" w:hAnsi="宋体" w:hint="eastAsia"/>
          <w:b/>
          <w:kern w:val="2"/>
          <w:sz w:val="21"/>
          <w:lang w:eastAsia="zh-CN"/>
        </w:rPr>
        <w:t>7.所有价格应按“招标文件”中规定的货币单位填写；投标总价应为以上各分项价格之和；投标总价和项目报价表中单个采购预算条目报价均不得超过对应的财政预算限额，否则将导致投标无效。</w:t>
      </w:r>
    </w:p>
    <w:p>
      <w:pPr>
        <w:widowControl w:val="0"/>
        <w:snapToGrid w:val="0"/>
        <w:jc w:val="both"/>
        <w:rPr>
          <w:rFonts w:ascii="宋体" w:eastAsia="宋体" w:hAnsi="宋体" w:hint="eastAsia"/>
          <w:b/>
          <w:kern w:val="2"/>
          <w:sz w:val="21"/>
          <w:lang w:eastAsia="zh-CN"/>
        </w:rPr>
      </w:pPr>
    </w:p>
    <w:p>
      <w:pPr>
        <w:widowControl w:val="0"/>
        <w:snapToGrid w:val="0"/>
        <w:jc w:val="both"/>
        <w:rPr>
          <w:rFonts w:ascii="宋体" w:eastAsia="宋体" w:hAnsi="宋体"/>
          <w:b/>
          <w:color w:val="FF0000"/>
          <w:kern w:val="2"/>
          <w:sz w:val="21"/>
          <w:lang w:eastAsia="zh-CN"/>
        </w:rPr>
      </w:pPr>
      <w:r>
        <w:rPr>
          <w:rFonts w:ascii="宋体" w:eastAsia="宋体" w:hAnsi="宋体" w:hint="eastAsia"/>
          <w:bCs/>
          <w:color w:val="FF0000"/>
          <w:kern w:val="2"/>
          <w:sz w:val="21"/>
          <w:lang w:eastAsia="zh-CN"/>
        </w:rPr>
        <w:t>★</w:t>
      </w:r>
      <w:r>
        <w:rPr>
          <w:rFonts w:ascii="宋体" w:eastAsia="宋体" w:hAnsi="宋体" w:hint="eastAsia"/>
          <w:b/>
          <w:color w:val="FF0000"/>
          <w:kern w:val="2"/>
          <w:sz w:val="21"/>
          <w:lang w:eastAsia="zh-CN"/>
        </w:rPr>
        <w:t>填写</w:t>
      </w:r>
      <w:r>
        <w:rPr>
          <w:rFonts w:ascii="宋体" w:eastAsia="宋体" w:hAnsi="宋体"/>
          <w:b/>
          <w:color w:val="FF0000"/>
          <w:kern w:val="2"/>
          <w:sz w:val="21"/>
          <w:lang w:eastAsia="zh-CN"/>
        </w:rPr>
        <w:t>要求：</w:t>
      </w:r>
    </w:p>
    <w:p>
      <w:pPr>
        <w:widowControl w:val="0"/>
        <w:snapToGrid w:val="0"/>
        <w:jc w:val="both"/>
        <w:rPr>
          <w:rFonts w:ascii="宋体" w:eastAsia="宋体" w:hAnsi="宋体"/>
          <w:b/>
          <w:color w:val="FF0000"/>
          <w:kern w:val="2"/>
          <w:sz w:val="21"/>
          <w:lang w:eastAsia="zh-CN"/>
        </w:rPr>
      </w:pPr>
      <w:r>
        <w:rPr>
          <w:rFonts w:ascii="宋体" w:eastAsia="宋体" w:hAnsi="宋体"/>
          <w:b/>
          <w:color w:val="FF0000"/>
          <w:kern w:val="2"/>
          <w:sz w:val="21"/>
          <w:lang w:eastAsia="zh-CN"/>
        </w:rPr>
        <w:t>1.</w:t>
      </w:r>
      <w:r>
        <w:rPr>
          <w:rFonts w:ascii="宋体" w:eastAsia="宋体" w:hAnsi="宋体" w:hint="eastAsia"/>
          <w:b/>
          <w:color w:val="FF0000"/>
          <w:kern w:val="2"/>
          <w:sz w:val="21"/>
          <w:lang w:eastAsia="zh-CN"/>
        </w:rPr>
        <w:t>《分项报价清单》</w:t>
      </w:r>
      <w:r>
        <w:rPr>
          <w:rFonts w:ascii="宋体" w:eastAsia="宋体" w:hAnsi="宋体"/>
          <w:b/>
          <w:color w:val="FF0000"/>
          <w:kern w:val="2"/>
          <w:sz w:val="21"/>
          <w:lang w:eastAsia="zh-CN"/>
        </w:rPr>
        <w:t>所有价格应</w:t>
      </w:r>
      <w:r>
        <w:rPr>
          <w:rFonts w:ascii="宋体" w:eastAsia="宋体" w:hAnsi="宋体" w:hint="eastAsia"/>
          <w:b/>
          <w:color w:val="FF0000"/>
          <w:kern w:val="2"/>
          <w:sz w:val="21"/>
          <w:lang w:eastAsia="zh-CN"/>
        </w:rPr>
        <w:t>以人民币为结算单位填写</w:t>
      </w:r>
      <w:r>
        <w:rPr>
          <w:rFonts w:ascii="宋体" w:eastAsia="宋体" w:hAnsi="宋体"/>
          <w:b/>
          <w:color w:val="FF0000"/>
          <w:kern w:val="2"/>
          <w:sz w:val="21"/>
          <w:lang w:eastAsia="zh-CN"/>
        </w:rPr>
        <w:t>；</w:t>
      </w:r>
    </w:p>
    <w:p>
      <w:pPr>
        <w:widowControl w:val="0"/>
        <w:snapToGrid w:val="0"/>
        <w:jc w:val="both"/>
        <w:rPr>
          <w:rFonts w:ascii="宋体" w:eastAsia="宋体" w:hAnsi="宋体"/>
          <w:b/>
          <w:color w:val="FF0000"/>
          <w:kern w:val="2"/>
          <w:sz w:val="21"/>
          <w:lang w:eastAsia="zh-CN"/>
        </w:rPr>
      </w:pPr>
      <w:r>
        <w:rPr>
          <w:rFonts w:ascii="宋体" w:eastAsia="宋体" w:hAnsi="宋体"/>
          <w:b/>
          <w:color w:val="FF0000"/>
          <w:kern w:val="2"/>
          <w:sz w:val="21"/>
          <w:lang w:eastAsia="zh-CN"/>
        </w:rPr>
        <w:t>2.</w:t>
      </w:r>
      <w:r>
        <w:rPr>
          <w:rFonts w:ascii="宋体" w:eastAsia="宋体" w:hAnsi="宋体" w:hint="eastAsia"/>
          <w:b/>
          <w:color w:val="FF0000"/>
          <w:kern w:val="2"/>
          <w:sz w:val="21"/>
          <w:lang w:eastAsia="zh-CN"/>
        </w:rPr>
        <w:t>《（一）项目报价表》</w:t>
      </w:r>
      <w:r>
        <w:rPr>
          <w:rFonts w:ascii="宋体" w:eastAsia="宋体" w:hAnsi="宋体"/>
          <w:b/>
          <w:color w:val="FF0000"/>
          <w:kern w:val="2"/>
          <w:sz w:val="21"/>
          <w:lang w:eastAsia="zh-CN"/>
        </w:rPr>
        <w:t>可根据</w:t>
      </w:r>
      <w:r>
        <w:rPr>
          <w:rFonts w:ascii="宋体" w:eastAsia="宋体" w:hAnsi="宋体" w:hint="eastAsia"/>
          <w:b/>
          <w:color w:val="FF0000"/>
          <w:kern w:val="2"/>
          <w:sz w:val="21"/>
          <w:lang w:eastAsia="zh-CN"/>
        </w:rPr>
        <w:t>实际需要</w:t>
      </w:r>
      <w:r>
        <w:rPr>
          <w:rFonts w:ascii="宋体" w:eastAsia="宋体" w:hAnsi="宋体"/>
          <w:b/>
          <w:color w:val="FF0000"/>
          <w:kern w:val="2"/>
          <w:sz w:val="21"/>
          <w:lang w:eastAsia="zh-CN"/>
        </w:rPr>
        <w:t>增加</w:t>
      </w:r>
      <w:r>
        <w:rPr>
          <w:rFonts w:ascii="宋体" w:eastAsia="宋体" w:hAnsi="宋体" w:hint="eastAsia"/>
          <w:b/>
          <w:color w:val="FF0000"/>
          <w:kern w:val="2"/>
          <w:sz w:val="21"/>
          <w:lang w:eastAsia="zh-CN"/>
        </w:rPr>
        <w:t>相关</w:t>
      </w:r>
      <w:r>
        <w:rPr>
          <w:rFonts w:ascii="宋体" w:eastAsia="宋体" w:hAnsi="宋体"/>
          <w:b/>
          <w:color w:val="FF0000"/>
          <w:kern w:val="2"/>
          <w:sz w:val="21"/>
          <w:lang w:eastAsia="zh-CN"/>
        </w:rPr>
        <w:t>内容，但原</w:t>
      </w:r>
      <w:r>
        <w:rPr>
          <w:rFonts w:ascii="宋体" w:eastAsia="宋体" w:hAnsi="宋体" w:hint="eastAsia"/>
          <w:b/>
          <w:color w:val="FF0000"/>
          <w:kern w:val="2"/>
          <w:sz w:val="21"/>
          <w:lang w:eastAsia="zh-CN"/>
        </w:rPr>
        <w:t>有</w:t>
      </w:r>
      <w:r>
        <w:rPr>
          <w:rFonts w:ascii="宋体" w:eastAsia="宋体" w:hAnsi="宋体"/>
          <w:b/>
          <w:color w:val="FF0000"/>
          <w:kern w:val="2"/>
          <w:sz w:val="21"/>
          <w:lang w:eastAsia="zh-CN"/>
        </w:rPr>
        <w:t>的格式</w:t>
      </w:r>
      <w:r>
        <w:rPr>
          <w:rFonts w:ascii="宋体" w:eastAsia="宋体" w:hAnsi="宋体" w:hint="eastAsia"/>
          <w:b/>
          <w:color w:val="FF0000"/>
          <w:kern w:val="2"/>
          <w:sz w:val="21"/>
          <w:lang w:eastAsia="zh-CN"/>
        </w:rPr>
        <w:t>内容</w:t>
      </w:r>
      <w:r>
        <w:rPr>
          <w:rFonts w:ascii="宋体" w:eastAsia="宋体" w:hAnsi="宋体"/>
          <w:b/>
          <w:color w:val="FF0000"/>
          <w:kern w:val="2"/>
          <w:sz w:val="21"/>
          <w:lang w:eastAsia="zh-CN"/>
        </w:rPr>
        <w:t>不得删减；</w:t>
      </w:r>
    </w:p>
    <w:p>
      <w:pPr>
        <w:widowControl w:val="0"/>
        <w:snapToGrid w:val="0"/>
        <w:jc w:val="both"/>
        <w:rPr>
          <w:rFonts w:ascii="宋体" w:eastAsia="宋体" w:hAnsi="宋体"/>
          <w:b/>
          <w:color w:val="FF0000"/>
          <w:kern w:val="2"/>
          <w:sz w:val="21"/>
          <w:lang w:eastAsia="zh-CN"/>
        </w:rPr>
      </w:pPr>
      <w:r>
        <w:rPr>
          <w:rFonts w:ascii="宋体" w:eastAsia="宋体" w:hAnsi="宋体" w:hint="eastAsia"/>
          <w:b/>
          <w:color w:val="FF0000"/>
          <w:kern w:val="2"/>
          <w:sz w:val="21"/>
          <w:lang w:eastAsia="zh-CN"/>
        </w:rPr>
        <w:t>3.</w:t>
      </w:r>
      <w:r>
        <w:rPr>
          <w:rFonts w:ascii="宋体" w:eastAsia="宋体" w:hAnsi="宋体"/>
          <w:b/>
          <w:color w:val="FF0000"/>
          <w:kern w:val="2"/>
          <w:sz w:val="21"/>
          <w:lang w:eastAsia="zh-CN"/>
        </w:rPr>
        <w:t>如</w:t>
      </w:r>
      <w:r>
        <w:rPr>
          <w:rFonts w:ascii="宋体" w:eastAsia="宋体" w:hAnsi="宋体" w:hint="eastAsia"/>
          <w:b/>
          <w:color w:val="FF0000"/>
          <w:kern w:val="2"/>
          <w:sz w:val="21"/>
          <w:lang w:eastAsia="zh-CN"/>
        </w:rPr>
        <w:t>未提供《（一）项目报价表》或者</w:t>
      </w:r>
      <w:r>
        <w:rPr>
          <w:rFonts w:ascii="宋体" w:eastAsia="宋体" w:hAnsi="宋体"/>
          <w:b/>
          <w:color w:val="FF0000"/>
          <w:kern w:val="2"/>
          <w:sz w:val="21"/>
          <w:lang w:eastAsia="zh-CN"/>
        </w:rPr>
        <w:t>不按</w:t>
      </w:r>
      <w:r>
        <w:rPr>
          <w:rFonts w:ascii="宋体" w:eastAsia="宋体" w:hAnsi="宋体" w:hint="eastAsia"/>
          <w:b/>
          <w:color w:val="FF0000"/>
          <w:kern w:val="2"/>
          <w:sz w:val="21"/>
          <w:lang w:eastAsia="zh-CN"/>
        </w:rPr>
        <w:t>《第三章 用户需求书：二、货物需求明细》</w:t>
      </w:r>
      <w:r>
        <w:rPr>
          <w:rFonts w:ascii="宋体" w:eastAsia="宋体" w:hAnsi="宋体"/>
          <w:b/>
          <w:color w:val="FF0000"/>
          <w:kern w:val="2"/>
          <w:sz w:val="21"/>
          <w:lang w:eastAsia="zh-CN"/>
        </w:rPr>
        <w:t>要求填报、漏报或错报</w:t>
      </w:r>
      <w:r>
        <w:rPr>
          <w:rFonts w:ascii="宋体" w:eastAsia="宋体" w:hAnsi="宋体" w:hint="eastAsia"/>
          <w:b/>
          <w:color w:val="FF0000"/>
          <w:kern w:val="2"/>
          <w:sz w:val="21"/>
          <w:lang w:eastAsia="zh-CN"/>
        </w:rPr>
        <w:t>的将作</w:t>
      </w:r>
      <w:r>
        <w:rPr>
          <w:rFonts w:ascii="宋体" w:eastAsia="宋体" w:hAnsi="宋体"/>
          <w:b/>
          <w:color w:val="FF0000"/>
          <w:kern w:val="2"/>
          <w:sz w:val="21"/>
          <w:lang w:eastAsia="zh-CN"/>
        </w:rPr>
        <w:t>投标无效处理。</w:t>
      </w:r>
    </w:p>
    <w:p>
      <w:pPr>
        <w:widowControl w:val="0"/>
        <w:tabs>
          <w:tab w:val="left" w:pos="720"/>
        </w:tabs>
        <w:jc w:val="both"/>
        <w:rPr>
          <w:rFonts w:eastAsia="宋体"/>
          <w:b/>
          <w:kern w:val="2"/>
          <w:lang w:eastAsia="zh-CN"/>
        </w:rPr>
      </w:pPr>
    </w:p>
    <w:p>
      <w:pPr>
        <w:widowControl w:val="0"/>
        <w:tabs>
          <w:tab w:val="left" w:pos="720"/>
        </w:tabs>
        <w:jc w:val="both"/>
        <w:rPr>
          <w:rFonts w:eastAsia="宋体"/>
          <w:b/>
          <w:color w:val="FF0000"/>
          <w:kern w:val="2"/>
          <w:lang w:eastAsia="zh-CN"/>
        </w:rPr>
      </w:pPr>
      <w:r>
        <w:rPr>
          <w:rFonts w:eastAsia="宋体" w:hint="eastAsia"/>
          <w:b/>
          <w:color w:val="FF0000"/>
          <w:kern w:val="2"/>
          <w:lang w:eastAsia="zh-CN"/>
        </w:rPr>
        <w:t>（二）核心产品品牌</w:t>
      </w:r>
    </w:p>
    <w:p>
      <w:pPr>
        <w:widowControl w:val="0"/>
        <w:jc w:val="both"/>
        <w:rPr>
          <w:rFonts w:eastAsia="宋体" w:hint="eastAsia"/>
          <w:color w:val="FF0000"/>
          <w:kern w:val="2"/>
          <w:lang w:eastAsia="zh-CN"/>
        </w:rPr>
      </w:pPr>
      <w:r>
        <w:rPr>
          <w:rFonts w:eastAsia="宋体" w:hint="eastAsia"/>
          <w:b/>
          <w:color w:val="FF0000"/>
          <w:kern w:val="2"/>
          <w:lang w:eastAsia="zh-CN"/>
        </w:rPr>
        <w:t>我单位所投核心产品的品牌为：</w:t>
      </w:r>
      <w:r>
        <w:rPr>
          <w:rFonts w:eastAsia="宋体" w:hint="eastAsia"/>
          <w:color w:val="FF0000"/>
          <w:kern w:val="2"/>
          <w:u w:val="single"/>
          <w:lang w:eastAsia="zh-CN"/>
        </w:rPr>
        <w:t xml:space="preserve">               </w:t>
      </w:r>
      <w:r>
        <w:rPr>
          <w:rFonts w:eastAsia="宋体" w:hint="eastAsia"/>
          <w:color w:val="FF0000"/>
          <w:kern w:val="2"/>
          <w:lang w:eastAsia="zh-CN"/>
        </w:rPr>
        <w:t>。</w:t>
      </w:r>
    </w:p>
    <w:p>
      <w:pPr>
        <w:widowControl w:val="0"/>
        <w:jc w:val="both"/>
        <w:rPr>
          <w:rFonts w:ascii="Arial" w:eastAsia="宋体" w:hAnsi="Arial"/>
          <w:b/>
          <w:kern w:val="2"/>
          <w:sz w:val="21"/>
          <w:lang w:eastAsia="zh-CN"/>
        </w:rPr>
      </w:pPr>
      <w:r>
        <w:rPr>
          <w:rFonts w:ascii="宋体" w:eastAsia="宋体" w:hAnsi="宋体" w:hint="eastAsia"/>
          <w:color w:val="FF0000"/>
          <w:kern w:val="2"/>
          <w:lang w:eastAsia="zh-CN"/>
        </w:rPr>
        <w:t>备注：如招标文件未列明核心产品的，无需填写该项。</w:t>
      </w:r>
    </w:p>
    <w:p>
      <w:pPr>
        <w:widowControl w:val="0"/>
        <w:spacing w:after="78" w:afterLines="25" w:line="300" w:lineRule="auto"/>
        <w:jc w:val="both"/>
        <w:rPr>
          <w:rFonts w:ascii="Arial" w:eastAsia="宋体" w:hAnsi="Arial"/>
          <w:b/>
          <w:kern w:val="2"/>
          <w:sz w:val="21"/>
          <w:lang w:eastAsia="zh-CN"/>
        </w:rPr>
      </w:pPr>
    </w:p>
    <w:p>
      <w:pPr>
        <w:widowControl w:val="0"/>
        <w:spacing w:after="78" w:afterLines="25" w:line="300" w:lineRule="auto"/>
        <w:jc w:val="both"/>
        <w:rPr>
          <w:rFonts w:ascii="Arial" w:eastAsia="宋体" w:hAnsi="Arial"/>
          <w:b/>
          <w:kern w:val="2"/>
          <w:lang w:eastAsia="zh-CN"/>
        </w:rPr>
      </w:pPr>
      <w:r>
        <w:rPr>
          <w:rFonts w:ascii="Arial" w:eastAsia="宋体" w:hAnsi="Arial" w:hint="eastAsia"/>
          <w:b/>
          <w:kern w:val="2"/>
          <w:lang w:eastAsia="zh-CN"/>
        </w:rPr>
        <w:t>（三）可选配件报价清单（非项目需求要求的必备配件，此部分不包括在总报价内）</w:t>
      </w:r>
    </w:p>
    <w:p>
      <w:pPr>
        <w:widowControl w:val="0"/>
        <w:ind w:firstLine="420" w:firstLineChars="200"/>
        <w:jc w:val="both"/>
        <w:rPr>
          <w:rFonts w:ascii="Calibri" w:eastAsia="宋体" w:hAnsi="宋体" w:hint="eastAsia"/>
          <w:b/>
          <w:bCs/>
          <w:kern w:val="2"/>
          <w:sz w:val="21"/>
          <w:szCs w:val="21"/>
          <w:lang w:eastAsia="zh-CN"/>
        </w:rPr>
      </w:pPr>
      <w:r>
        <w:rPr>
          <w:rFonts w:ascii="Calibri" w:eastAsia="宋体" w:hAnsi="宋体" w:cstheme="minorBidi" w:hint="eastAsia"/>
          <w:b/>
          <w:bCs/>
          <w:kern w:val="2"/>
          <w:sz w:val="21"/>
          <w:szCs w:val="21"/>
          <w:lang w:eastAsia="zh-CN"/>
        </w:rPr>
        <w:t>注：格式可以参照《（一）</w:t>
      </w:r>
      <w:r>
        <w:rPr>
          <w:rFonts w:ascii="Calibri" w:eastAsia="宋体" w:hAnsi="宋体" w:cstheme="minorBidi" w:hint="eastAsia"/>
          <w:b/>
          <w:bCs/>
          <w:kern w:val="2"/>
          <w:sz w:val="21"/>
          <w:szCs w:val="21"/>
          <w:lang w:eastAsia="zh-CN"/>
        </w:rPr>
        <w:t>项目</w:t>
      </w:r>
      <w:r>
        <w:rPr>
          <w:rFonts w:ascii="Calibri" w:eastAsia="宋体" w:hAnsi="宋体" w:cstheme="minorBidi" w:hint="eastAsia"/>
          <w:b/>
          <w:bCs/>
          <w:kern w:val="2"/>
          <w:sz w:val="21"/>
          <w:szCs w:val="21"/>
          <w:lang w:eastAsia="zh-CN"/>
        </w:rPr>
        <w:t>报价表》表格，并提供相应的品牌/规格/型号、原产地、制造商信息（没有品牌、型号的，用“定制”描述即可）、单价等详细信息</w:t>
      </w:r>
    </w:p>
    <w:p>
      <w:pPr>
        <w:widowControl w:val="0"/>
        <w:ind w:firstLine="420" w:firstLineChars="200"/>
        <w:jc w:val="both"/>
        <w:rPr>
          <w:rFonts w:ascii="Calibri" w:eastAsia="宋体" w:hAnsi="宋体" w:hint="eastAsia"/>
          <w:b/>
          <w:bCs/>
          <w:kern w:val="2"/>
          <w:sz w:val="21"/>
          <w:szCs w:val="21"/>
          <w:lang w:eastAsia="zh-CN"/>
        </w:rPr>
      </w:pPr>
    </w:p>
    <w:p>
      <w:pPr>
        <w:widowControl w:val="0"/>
        <w:spacing w:after="78" w:afterLines="25" w:line="300" w:lineRule="auto"/>
        <w:jc w:val="both"/>
        <w:rPr>
          <w:rFonts w:ascii="Arial" w:eastAsia="宋体" w:hAnsi="Arial"/>
          <w:b/>
          <w:kern w:val="2"/>
          <w:lang w:eastAsia="zh-CN"/>
        </w:rPr>
      </w:pPr>
      <w:r>
        <w:rPr>
          <w:rFonts w:ascii="Arial" w:eastAsia="宋体" w:hAnsi="Arial" w:hint="eastAsia"/>
          <w:b/>
          <w:kern w:val="2"/>
          <w:lang w:eastAsia="zh-CN"/>
        </w:rPr>
        <w:t>（四）供应商认为需要涉及的其他内容报价清单</w:t>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4.</w:t>
      </w:r>
      <w:r>
        <w:rPr>
          <w:rFonts w:ascii="宋体" w:eastAsia="宋体" w:hAnsi="宋体" w:hint="eastAsia"/>
          <w:b/>
          <w:bCs/>
          <w:szCs w:val="20"/>
          <w:lang w:eastAsia="zh-CN"/>
        </w:rPr>
        <w:t>中小企业相关声明函</w:t>
      </w:r>
    </w:p>
    <w:p>
      <w:pPr>
        <w:widowControl w:val="0"/>
        <w:snapToGrid w:val="0"/>
        <w:jc w:val="both"/>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填写指引：</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1、该部分内容由投标人根据自身实际情况填写</w:t>
      </w:r>
      <w:r>
        <w:rPr>
          <w:rFonts w:ascii="黑体" w:eastAsia="黑体" w:hAnsi="黑体" w:cs="黑体" w:hint="eastAsia"/>
          <w:bCs/>
          <w:color w:val="FF0000"/>
          <w:kern w:val="2"/>
          <w:sz w:val="25"/>
          <w:szCs w:val="25"/>
          <w:lang w:eastAsia="zh-CN"/>
        </w:rPr>
        <w:t>。</w:t>
      </w:r>
      <w:r>
        <w:rPr>
          <w:rFonts w:ascii="黑体" w:eastAsia="黑体" w:hAnsi="黑体" w:cs="黑体" w:hint="eastAsia"/>
          <w:bCs/>
          <w:color w:val="FF0000"/>
          <w:kern w:val="2"/>
          <w:sz w:val="25"/>
          <w:szCs w:val="25"/>
          <w:lang w:eastAsia="zh-CN"/>
        </w:rPr>
        <w:t>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(2)《工业和信息化部、国家统计局、国家发展和改革委员会、财政部关于印发中小企业划型标准规定的通知》（工信部联企业〔2011〕300 号，以下简称300号文）</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(3)《统计上大中小微型企业划分办法(2017)》（国统字〔2017〕213 号）</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(4)《关于促进残疾人就业政府采购政策的通知》（财库〔2017〕141号）</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3、请依照提供的格式和内容填写声明函，不要随意变更格式；声明函不需要盖章或签字；满足多项优惠政策的投标人，不重复享受多项价格扣除政策。</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第三处，在“标的名称”下划线处填写所采购货物（标的）的具体名称</w:t>
      </w:r>
      <w:r>
        <w:rPr>
          <w:rFonts w:ascii="黑体" w:eastAsia="黑体" w:hAnsi="黑体" w:cs="黑体" w:hint="eastAsia"/>
          <w:bCs/>
          <w:color w:val="0000FF"/>
          <w:kern w:val="2"/>
          <w:sz w:val="25"/>
          <w:szCs w:val="25"/>
          <w:lang w:eastAsia="zh-CN"/>
        </w:rPr>
        <w:t>（以招标文件第一册第三章用户需求书“货物</w:t>
      </w:r>
      <w:r>
        <w:rPr>
          <w:rFonts w:ascii="黑体" w:eastAsia="黑体" w:hAnsi="黑体" w:cs="黑体" w:hint="eastAsia"/>
          <w:bCs/>
          <w:color w:val="0000FF"/>
          <w:kern w:val="2"/>
          <w:sz w:val="25"/>
          <w:szCs w:val="25"/>
          <w:lang w:eastAsia="zh-CN"/>
        </w:rPr>
        <w:t>需求</w:t>
      </w:r>
      <w:r>
        <w:rPr>
          <w:rFonts w:ascii="黑体" w:eastAsia="黑体" w:hAnsi="黑体" w:cs="黑体" w:hint="eastAsia"/>
          <w:bCs/>
          <w:color w:val="0000FF"/>
          <w:kern w:val="2"/>
          <w:sz w:val="25"/>
          <w:szCs w:val="25"/>
          <w:lang w:eastAsia="zh-CN"/>
        </w:rPr>
        <w:t>明细”的“货物名称”一栏为准）</w:t>
      </w:r>
      <w:r>
        <w:rPr>
          <w:rFonts w:ascii="黑体" w:eastAsia="黑体" w:hAnsi="黑体" w:cs="黑体" w:hint="eastAsia"/>
          <w:bCs/>
          <w:color w:val="FF0000"/>
          <w:kern w:val="2"/>
          <w:sz w:val="25"/>
          <w:szCs w:val="25"/>
          <w:lang w:eastAsia="zh-CN"/>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第四处，在“招标文件中明确的所属行业”下划线处填写采购标的对应的中小企业划分标准所属行业</w:t>
      </w:r>
      <w:r>
        <w:rPr>
          <w:rFonts w:ascii="黑体" w:eastAsia="黑体" w:hAnsi="黑体" w:cs="黑体" w:hint="eastAsia"/>
          <w:color w:val="0000FF"/>
          <w:kern w:val="2"/>
          <w:sz w:val="25"/>
          <w:szCs w:val="25"/>
          <w:lang w:eastAsia="zh-CN"/>
        </w:rPr>
        <w:t>（所属行业</w:t>
      </w:r>
      <w:r>
        <w:rPr>
          <w:rFonts w:ascii="黑体" w:eastAsia="黑体" w:hAnsi="黑体" w:cs="黑体" w:hint="eastAsia"/>
          <w:color w:val="0000FF"/>
          <w:kern w:val="2"/>
          <w:sz w:val="25"/>
          <w:szCs w:val="25"/>
          <w:lang w:eastAsia="zh-CN"/>
        </w:rPr>
        <w:t>详见</w:t>
      </w:r>
      <w:r>
        <w:rPr>
          <w:rFonts w:ascii="黑体" w:eastAsia="黑体" w:hAnsi="黑体" w:cs="黑体" w:hint="eastAsia"/>
          <w:color w:val="0000FF"/>
          <w:kern w:val="2"/>
          <w:sz w:val="25"/>
          <w:szCs w:val="25"/>
          <w:lang w:eastAsia="zh-CN"/>
        </w:rPr>
        <w:t>招标文件第一册第二章“对通用条款的补充内容及其他关键信息”章节</w:t>
      </w:r>
      <w:r>
        <w:rPr>
          <w:rFonts w:ascii="黑体" w:eastAsia="黑体" w:hAnsi="黑体" w:cs="黑体" w:hint="eastAsia"/>
          <w:color w:val="0000FF"/>
          <w:kern w:val="2"/>
          <w:sz w:val="25"/>
          <w:szCs w:val="25"/>
          <w:lang w:eastAsia="zh-CN"/>
        </w:rPr>
        <w:t>或</w:t>
      </w:r>
      <w:r>
        <w:rPr>
          <w:rFonts w:ascii="黑体" w:eastAsia="黑体" w:hAnsi="黑体" w:cs="黑体" w:hint="eastAsia"/>
          <w:color w:val="0000FF"/>
          <w:kern w:val="2"/>
          <w:sz w:val="25"/>
          <w:szCs w:val="25"/>
          <w:lang w:eastAsia="zh-CN"/>
        </w:rPr>
        <w:t>第三章用户需求书“</w:t>
      </w:r>
      <w:r>
        <w:rPr>
          <w:rFonts w:ascii="黑体" w:eastAsia="黑体" w:hAnsi="黑体" w:cs="黑体" w:hint="eastAsia"/>
          <w:color w:val="0000FF"/>
          <w:kern w:val="2"/>
          <w:sz w:val="25"/>
          <w:szCs w:val="25"/>
          <w:lang w:eastAsia="zh-CN"/>
        </w:rPr>
        <w:t>货物需求</w:t>
      </w:r>
      <w:r>
        <w:rPr>
          <w:rFonts w:ascii="黑体" w:eastAsia="黑体" w:hAnsi="黑体" w:cs="黑体" w:hint="eastAsia"/>
          <w:color w:val="0000FF"/>
          <w:kern w:val="2"/>
          <w:sz w:val="25"/>
          <w:szCs w:val="25"/>
          <w:lang w:eastAsia="zh-CN"/>
        </w:rPr>
        <w:t>明细”</w:t>
      </w:r>
      <w:r>
        <w:rPr>
          <w:rFonts w:ascii="黑体" w:eastAsia="黑体" w:hAnsi="黑体" w:cs="黑体" w:hint="eastAsia"/>
          <w:color w:val="0000FF"/>
          <w:kern w:val="2"/>
          <w:sz w:val="25"/>
          <w:szCs w:val="25"/>
          <w:lang w:eastAsia="zh-CN"/>
        </w:rPr>
        <w:t>中的所属行业信息</w:t>
      </w:r>
      <w:r>
        <w:rPr>
          <w:rFonts w:ascii="黑体" w:eastAsia="黑体" w:hAnsi="黑体" w:cs="黑体" w:hint="eastAsia"/>
          <w:color w:val="0000FF"/>
          <w:kern w:val="2"/>
          <w:sz w:val="25"/>
          <w:szCs w:val="25"/>
          <w:lang w:eastAsia="zh-CN"/>
        </w:rPr>
        <w:t>）</w:t>
      </w:r>
      <w:r>
        <w:rPr>
          <w:rFonts w:ascii="黑体" w:eastAsia="黑体" w:hAnsi="黑体" w:cs="黑体" w:hint="eastAsia"/>
          <w:bCs/>
          <w:color w:val="FF0000"/>
          <w:kern w:val="2"/>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jc w:val="both"/>
        <w:textAlignment w:val="auto"/>
        <w:rPr>
          <w:rFonts w:ascii="黑体" w:eastAsia="黑体" w:hAnsi="黑体" w:cs="黑体" w:hint="eastAsia"/>
          <w:bCs/>
          <w:color w:val="FF0000"/>
          <w:kern w:val="2"/>
          <w:sz w:val="25"/>
          <w:szCs w:val="25"/>
          <w:lang w:eastAsia="zh-CN"/>
        </w:rPr>
      </w:pPr>
      <w:r>
        <w:rPr>
          <w:rFonts w:ascii="黑体" w:eastAsia="黑体" w:hAnsi="黑体" w:cs="黑体" w:hint="eastAsia"/>
          <w:bCs/>
          <w:color w:val="FF0000"/>
          <w:kern w:val="2"/>
          <w:sz w:val="25"/>
          <w:szCs w:val="25"/>
          <w:lang w:eastAsia="zh-CN"/>
        </w:rPr>
        <w:t>5、声明函的有效性最终由评审委员会判定；如评审委员会判定声明函无效，相关供应商不享受价格扣除（但不作投标无效处理）。</w:t>
      </w:r>
    </w:p>
    <w:p>
      <w:pPr>
        <w:widowControl w:val="0"/>
        <w:snapToGrid w:val="0"/>
        <w:jc w:val="both"/>
        <w:rPr>
          <w:rFonts w:ascii="仿宋" w:eastAsia="仿宋" w:hAnsi="仿宋"/>
          <w:b/>
          <w:color w:val="FF0000"/>
          <w:kern w:val="2"/>
          <w:sz w:val="25"/>
          <w:szCs w:val="25"/>
          <w:lang w:eastAsia="zh-CN"/>
        </w:rPr>
      </w:pPr>
    </w:p>
    <w:p>
      <w:pPr>
        <w:widowControl w:val="0"/>
        <w:snapToGrid w:val="0"/>
        <w:jc w:val="both"/>
        <w:rPr>
          <w:rFonts w:ascii="仿宋" w:eastAsia="仿宋" w:hAnsi="仿宋"/>
          <w:b/>
          <w:color w:val="FF0000"/>
          <w:kern w:val="2"/>
          <w:sz w:val="25"/>
          <w:szCs w:val="25"/>
          <w:lang w:eastAsia="zh-CN"/>
        </w:rPr>
      </w:pPr>
    </w:p>
    <w:p>
      <w:pPr>
        <w:widowControl w:val="0"/>
        <w:snapToGrid w:val="0"/>
        <w:jc w:val="both"/>
        <w:rPr>
          <w:rFonts w:ascii="仿宋" w:eastAsia="仿宋" w:hAnsi="仿宋"/>
          <w:b/>
          <w:color w:val="FF0000"/>
          <w:kern w:val="2"/>
          <w:sz w:val="25"/>
          <w:szCs w:val="25"/>
          <w:lang w:eastAsia="zh-CN"/>
        </w:rPr>
      </w:pPr>
    </w:p>
    <w:p>
      <w:pPr>
        <w:widowControl/>
        <w:jc w:val="center"/>
        <w:outlineLvl w:val="4"/>
        <w:rPr>
          <w:rFonts w:ascii="Arial" w:eastAsia="宋体" w:hAnsi="Arial"/>
          <w:b/>
          <w:kern w:val="2"/>
          <w:lang w:eastAsia="zh-CN"/>
        </w:rPr>
      </w:pPr>
      <w:r>
        <w:rPr>
          <w:rFonts w:ascii="宋体" w:eastAsia="宋体" w:hAnsi="宋体"/>
          <w:b/>
          <w:bCs/>
          <w:kern w:val="2"/>
          <w:lang w:eastAsia="zh-CN"/>
        </w:rPr>
        <w:fldChar w:fldCharType="begin"/>
      </w:r>
      <w:r>
        <w:rPr>
          <w:rFonts w:ascii="宋体" w:eastAsia="宋体" w:hAnsi="宋体"/>
          <w:b/>
          <w:kern w:val="2"/>
          <w:lang w:eastAsia="zh-CN"/>
        </w:rPr>
        <w:instrText xml:space="preserve"> </w:instrText>
      </w:r>
      <w:r>
        <w:rPr>
          <w:rFonts w:ascii="宋体" w:eastAsia="宋体" w:hAnsi="宋体" w:hint="eastAsia"/>
          <w:b/>
          <w:kern w:val="2"/>
          <w:lang w:eastAsia="zh-CN"/>
        </w:rPr>
        <w:instrText>= 1 \* GB3</w:instrText>
      </w:r>
      <w:r>
        <w:rPr>
          <w:rFonts w:ascii="宋体" w:eastAsia="宋体" w:hAnsi="宋体"/>
          <w:b/>
          <w:kern w:val="2"/>
          <w:lang w:eastAsia="zh-CN"/>
        </w:rPr>
        <w:instrText xml:space="preserve"> </w:instrText>
      </w:r>
      <w:r>
        <w:rPr>
          <w:rFonts w:ascii="宋体" w:eastAsia="宋体" w:hAnsi="宋体"/>
          <w:b/>
          <w:bCs/>
          <w:kern w:val="2"/>
          <w:lang w:eastAsia="zh-CN"/>
        </w:rPr>
        <w:fldChar w:fldCharType="separate"/>
      </w:r>
      <w:r>
        <w:rPr>
          <w:rFonts w:ascii="宋体" w:eastAsia="宋体" w:hAnsi="宋体" w:hint="eastAsia"/>
          <w:b/>
          <w:kern w:val="2"/>
          <w:lang w:eastAsia="zh-CN"/>
        </w:rPr>
        <w:t>①</w:t>
      </w:r>
      <w:r>
        <w:rPr>
          <w:rFonts w:ascii="宋体" w:eastAsia="宋体" w:hAnsi="宋体"/>
          <w:b/>
          <w:bCs/>
          <w:kern w:val="2"/>
          <w:lang w:eastAsia="zh-CN"/>
        </w:rPr>
        <w:fldChar w:fldCharType="end"/>
      </w:r>
      <w:r>
        <w:rPr>
          <w:rFonts w:ascii="Arial" w:eastAsia="宋体" w:hAnsi="Arial" w:hint="eastAsia"/>
          <w:b/>
          <w:kern w:val="2"/>
          <w:lang w:eastAsia="zh-CN"/>
        </w:rPr>
        <w:t>中小企业声明函（货物）</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本</w:t>
      </w:r>
      <w:r>
        <w:rPr>
          <w:rFonts w:ascii="Arial" w:eastAsia="宋体" w:hAnsi="Arial" w:hint="eastAsia"/>
          <w:kern w:val="2"/>
          <w:sz w:val="21"/>
          <w:szCs w:val="21"/>
          <w:lang w:eastAsia="zh-CN"/>
        </w:rPr>
        <w:t>投标人</w:t>
      </w:r>
      <w:r>
        <w:rPr>
          <w:rFonts w:ascii="Arial" w:eastAsia="宋体" w:hAnsi="Arial"/>
          <w:kern w:val="2"/>
          <w:sz w:val="21"/>
          <w:szCs w:val="21"/>
          <w:lang w:eastAsia="zh-CN"/>
        </w:rPr>
        <w:t>郑重声明，根据《政府采购促进中小企业发展管理办法》（财库</w:t>
      </w:r>
      <w:r>
        <w:rPr>
          <w:rFonts w:ascii="Arial" w:eastAsia="宋体" w:hAnsi="Arial" w:hint="eastAsia"/>
          <w:kern w:val="2"/>
          <w:sz w:val="21"/>
          <w:szCs w:val="21"/>
          <w:lang w:eastAsia="zh-CN"/>
        </w:rPr>
        <w:t>﹝</w:t>
      </w:r>
      <w:r>
        <w:rPr>
          <w:rFonts w:ascii="Arial" w:eastAsia="宋体" w:hAnsi="Arial"/>
          <w:kern w:val="2"/>
          <w:sz w:val="21"/>
          <w:szCs w:val="21"/>
          <w:lang w:eastAsia="zh-CN"/>
        </w:rPr>
        <w:t>2020</w:t>
      </w:r>
      <w:r>
        <w:rPr>
          <w:rFonts w:ascii="Arial" w:eastAsia="宋体" w:hAnsi="Arial" w:hint="eastAsia"/>
          <w:kern w:val="2"/>
          <w:sz w:val="21"/>
          <w:szCs w:val="21"/>
          <w:lang w:eastAsia="zh-CN"/>
        </w:rPr>
        <w:t>﹞</w:t>
      </w:r>
      <w:r>
        <w:rPr>
          <w:rFonts w:ascii="Arial" w:eastAsia="宋体" w:hAnsi="Arial"/>
          <w:kern w:val="2"/>
          <w:sz w:val="21"/>
          <w:szCs w:val="21"/>
          <w:lang w:eastAsia="zh-CN"/>
        </w:rPr>
        <w:t>46 号）的规定，本</w:t>
      </w:r>
      <w:r>
        <w:rPr>
          <w:rFonts w:ascii="Arial" w:eastAsia="宋体" w:hAnsi="Arial" w:hint="eastAsia"/>
          <w:kern w:val="2"/>
          <w:sz w:val="21"/>
          <w:szCs w:val="21"/>
          <w:lang w:eastAsia="zh-CN"/>
        </w:rPr>
        <w:t>投标人</w:t>
      </w:r>
      <w:r>
        <w:rPr>
          <w:rFonts w:ascii="Arial" w:eastAsia="宋体" w:hAnsi="Arial"/>
          <w:kern w:val="2"/>
          <w:sz w:val="21"/>
          <w:szCs w:val="21"/>
          <w:lang w:eastAsia="zh-CN"/>
        </w:rPr>
        <w:t>参加</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采购人</w:t>
      </w:r>
      <w:r>
        <w:rPr>
          <w:rFonts w:ascii="Arial" w:eastAsia="宋体" w:hAnsi="Arial"/>
          <w:b/>
          <w:bCs/>
          <w:kern w:val="2"/>
          <w:sz w:val="21"/>
          <w:szCs w:val="21"/>
          <w:u w:val="single"/>
          <w:lang w:eastAsia="zh-CN"/>
        </w:rPr>
        <w:t>名称）</w:t>
      </w:r>
      <w:r>
        <w:rPr>
          <w:rFonts w:ascii="Arial" w:eastAsia="宋体" w:hAnsi="Arial"/>
          <w:kern w:val="2"/>
          <w:sz w:val="21"/>
          <w:szCs w:val="21"/>
          <w:lang w:eastAsia="zh-CN"/>
        </w:rPr>
        <w:t>的</w:t>
      </w:r>
      <w:r>
        <w:rPr>
          <w:rFonts w:ascii="Arial" w:eastAsia="宋体" w:hAnsi="Arial"/>
          <w:b/>
          <w:bCs/>
          <w:kern w:val="2"/>
          <w:sz w:val="21"/>
          <w:szCs w:val="21"/>
          <w:u w:val="single"/>
          <w:lang w:eastAsia="zh-CN"/>
        </w:rPr>
        <w:t>（项目名称）</w:t>
      </w:r>
      <w:r>
        <w:rPr>
          <w:rFonts w:ascii="Arial" w:eastAsia="宋体" w:hAnsi="Arial"/>
          <w:kern w:val="2"/>
          <w:sz w:val="21"/>
          <w:szCs w:val="21"/>
          <w:lang w:eastAsia="zh-CN"/>
        </w:rPr>
        <w:t>采购活动，提供的货物全部由符合政策要求的中小企业制造。相关企业的具体情况如下：</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1.</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，属于</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招标</w:t>
      </w:r>
      <w:r>
        <w:rPr>
          <w:rFonts w:ascii="Arial" w:eastAsia="宋体" w:hAnsi="Arial"/>
          <w:b/>
          <w:bCs/>
          <w:kern w:val="2"/>
          <w:sz w:val="21"/>
          <w:szCs w:val="21"/>
          <w:u w:val="single"/>
          <w:lang w:eastAsia="zh-CN"/>
        </w:rPr>
        <w:t xml:space="preserve">文件中明确的所属行业） </w:t>
      </w:r>
      <w:r>
        <w:rPr>
          <w:rFonts w:ascii="Arial" w:eastAsia="宋体" w:hAnsi="Arial"/>
          <w:kern w:val="2"/>
          <w:sz w:val="21"/>
          <w:szCs w:val="21"/>
          <w:lang w:eastAsia="zh-CN"/>
        </w:rPr>
        <w:t>行业；制造商为</w:t>
      </w:r>
      <w:r>
        <w:rPr>
          <w:rFonts w:ascii="Arial" w:eastAsia="宋体" w:hAnsi="Arial"/>
          <w:b/>
          <w:bCs/>
          <w:kern w:val="2"/>
          <w:sz w:val="21"/>
          <w:szCs w:val="21"/>
          <w:u w:val="single"/>
          <w:lang w:eastAsia="zh-CN"/>
        </w:rPr>
        <w:t>（企业名称）</w:t>
      </w:r>
      <w:r>
        <w:rPr>
          <w:rFonts w:ascii="Arial" w:eastAsia="宋体" w:hAnsi="Arial"/>
          <w:kern w:val="2"/>
          <w:sz w:val="21"/>
          <w:szCs w:val="21"/>
          <w:lang w:eastAsia="zh-CN"/>
        </w:rPr>
        <w:t>，从业人员</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人，营业收入为</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万元，资产总额为</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 ，属于</w:t>
      </w:r>
      <w:r>
        <w:rPr>
          <w:rFonts w:ascii="Arial" w:eastAsia="宋体" w:hAnsi="Arial"/>
          <w:b/>
          <w:bCs/>
          <w:kern w:val="2"/>
          <w:sz w:val="21"/>
          <w:szCs w:val="21"/>
          <w:u w:val="single"/>
          <w:lang w:eastAsia="zh-CN"/>
        </w:rPr>
        <w:t>（中型企业、小型企业、微型企业）</w:t>
      </w:r>
      <w:r>
        <w:rPr>
          <w:rFonts w:ascii="Arial" w:eastAsia="宋体" w:hAnsi="Arial"/>
          <w:kern w:val="2"/>
          <w:sz w:val="21"/>
          <w:szCs w:val="21"/>
          <w:lang w:eastAsia="zh-CN"/>
        </w:rPr>
        <w:t xml:space="preserve">； </w:t>
      </w:r>
    </w:p>
    <w:p>
      <w:pPr>
        <w:widowControl w:val="0"/>
        <w:spacing w:after="78" w:afterLines="25" w:line="300" w:lineRule="auto"/>
        <w:ind w:firstLine="420" w:firstLineChars="200"/>
        <w:jc w:val="both"/>
        <w:rPr>
          <w:rFonts w:ascii="Arial" w:eastAsia="宋体" w:hAnsi="Arial"/>
          <w:kern w:val="2"/>
          <w:sz w:val="21"/>
          <w:szCs w:val="21"/>
          <w:u w:val="single"/>
          <w:lang w:eastAsia="zh-CN"/>
        </w:rPr>
      </w:pPr>
      <w:r>
        <w:rPr>
          <w:rFonts w:ascii="Arial" w:eastAsia="宋体" w:hAnsi="Arial"/>
          <w:kern w:val="2"/>
          <w:sz w:val="21"/>
          <w:szCs w:val="21"/>
          <w:lang w:eastAsia="zh-CN"/>
        </w:rPr>
        <w:t>2.</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，属于</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招标</w:t>
      </w:r>
      <w:r>
        <w:rPr>
          <w:rFonts w:ascii="Arial" w:eastAsia="宋体" w:hAnsi="Arial"/>
          <w:b/>
          <w:bCs/>
          <w:kern w:val="2"/>
          <w:sz w:val="21"/>
          <w:szCs w:val="21"/>
          <w:u w:val="single"/>
          <w:lang w:eastAsia="zh-CN"/>
        </w:rPr>
        <w:t xml:space="preserve">文件中明确的所属行业） </w:t>
      </w:r>
      <w:r>
        <w:rPr>
          <w:rFonts w:ascii="Arial" w:eastAsia="宋体" w:hAnsi="Arial"/>
          <w:kern w:val="2"/>
          <w:sz w:val="21"/>
          <w:szCs w:val="21"/>
          <w:lang w:eastAsia="zh-CN"/>
        </w:rPr>
        <w:t>行业；制造商为</w:t>
      </w:r>
      <w:r>
        <w:rPr>
          <w:rFonts w:ascii="Arial" w:eastAsia="宋体" w:hAnsi="Arial"/>
          <w:b/>
          <w:bCs/>
          <w:kern w:val="2"/>
          <w:sz w:val="21"/>
          <w:szCs w:val="21"/>
          <w:u w:val="single"/>
          <w:lang w:eastAsia="zh-CN"/>
        </w:rPr>
        <w:t>（企业名称）</w:t>
      </w:r>
      <w:r>
        <w:rPr>
          <w:rFonts w:ascii="Arial" w:eastAsia="宋体" w:hAnsi="Arial"/>
          <w:kern w:val="2"/>
          <w:sz w:val="21"/>
          <w:szCs w:val="21"/>
          <w:lang w:eastAsia="zh-CN"/>
        </w:rPr>
        <w:t>，从业人员</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人，营业收入为</w:t>
      </w:r>
      <w:r>
        <w:rPr>
          <w:rFonts w:ascii="Arial" w:eastAsia="宋体" w:hAnsi="Arial"/>
          <w:b/>
          <w:bCs/>
          <w:kern w:val="2"/>
          <w:sz w:val="21"/>
          <w:szCs w:val="21"/>
          <w:u w:val="single"/>
          <w:lang w:eastAsia="zh-CN"/>
        </w:rPr>
        <w:t xml:space="preserve"> </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万元，资产总额为</w:t>
      </w:r>
      <w:r>
        <w:rPr>
          <w:rFonts w:ascii="Arial" w:eastAsia="宋体" w:hAnsi="Arial" w:hint="eastAsia"/>
          <w:b/>
          <w:bCs/>
          <w:kern w:val="2"/>
          <w:sz w:val="21"/>
          <w:szCs w:val="21"/>
          <w:u w:val="single"/>
          <w:lang w:eastAsia="zh-CN"/>
        </w:rPr>
        <w:t xml:space="preserve">  </w:t>
      </w:r>
      <w:r>
        <w:rPr>
          <w:rFonts w:ascii="Arial" w:eastAsia="宋体" w:hAnsi="Arial"/>
          <w:b/>
          <w:bCs/>
          <w:kern w:val="2"/>
          <w:sz w:val="21"/>
          <w:szCs w:val="21"/>
          <w:u w:val="single"/>
          <w:lang w:eastAsia="zh-CN"/>
        </w:rPr>
        <w:t xml:space="preserve"> </w:t>
      </w:r>
      <w:r>
        <w:rPr>
          <w:rFonts w:ascii="Arial" w:eastAsia="宋体" w:hAnsi="Arial"/>
          <w:kern w:val="2"/>
          <w:sz w:val="21"/>
          <w:szCs w:val="21"/>
          <w:lang w:eastAsia="zh-CN"/>
        </w:rPr>
        <w:t>万元 ，属于</w:t>
      </w:r>
      <w:r>
        <w:rPr>
          <w:rFonts w:ascii="Arial" w:eastAsia="宋体" w:hAnsi="Arial"/>
          <w:b/>
          <w:bCs/>
          <w:kern w:val="2"/>
          <w:sz w:val="21"/>
          <w:szCs w:val="21"/>
          <w:u w:val="single"/>
          <w:lang w:eastAsia="zh-CN"/>
        </w:rPr>
        <w:t>（中型企业、小型企业、微型企业）</w:t>
      </w:r>
      <w:r>
        <w:rPr>
          <w:rFonts w:ascii="Arial" w:eastAsia="宋体" w:hAnsi="Arial" w:hint="eastAsia"/>
          <w:kern w:val="2"/>
          <w:sz w:val="21"/>
          <w:szCs w:val="21"/>
          <w:lang w:eastAsia="zh-CN"/>
        </w:rPr>
        <w:t>；</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 xml:space="preserve">…… </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以上企业，不属于大企业的分支机构，不存在控股股东为大企业的情形，也不存在与大企业的负责人为同一人的情形。</w:t>
      </w:r>
    </w:p>
    <w:p>
      <w:pPr>
        <w:widowControl w:val="0"/>
        <w:spacing w:after="78" w:afterLines="25" w:line="300" w:lineRule="auto"/>
        <w:ind w:firstLine="420" w:firstLineChars="200"/>
        <w:jc w:val="both"/>
        <w:rPr>
          <w:rFonts w:ascii="Arial" w:eastAsia="宋体" w:hAnsi="Arial"/>
          <w:kern w:val="2"/>
          <w:sz w:val="21"/>
          <w:szCs w:val="21"/>
          <w:lang w:eastAsia="zh-CN"/>
        </w:rPr>
      </w:pPr>
      <w:bookmarkStart w:id="26" w:name="_Hlk73562203"/>
      <w:r>
        <w:rPr>
          <w:rFonts w:ascii="Arial" w:eastAsia="宋体" w:hAnsi="Arial" w:hint="eastAsia"/>
          <w:kern w:val="2"/>
          <w:sz w:val="21"/>
          <w:szCs w:val="21"/>
          <w:lang w:eastAsia="zh-CN"/>
        </w:rPr>
        <w:t>本</w:t>
      </w:r>
      <w:r>
        <w:rPr>
          <w:rFonts w:ascii="Arial" w:eastAsia="宋体" w:hAnsi="Arial"/>
          <w:kern w:val="2"/>
          <w:sz w:val="21"/>
          <w:szCs w:val="21"/>
          <w:lang w:eastAsia="zh-CN"/>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ascii="Arial" w:eastAsia="宋体" w:hAnsi="Arial" w:hint="eastAsia"/>
          <w:kern w:val="2"/>
          <w:sz w:val="21"/>
          <w:szCs w:val="21"/>
          <w:lang w:eastAsia="zh-CN"/>
        </w:rPr>
        <w:t>投标人</w:t>
      </w:r>
      <w:r>
        <w:rPr>
          <w:rFonts w:ascii="Arial" w:eastAsia="宋体" w:hAnsi="Arial"/>
          <w:kern w:val="2"/>
          <w:sz w:val="21"/>
          <w:szCs w:val="21"/>
          <w:lang w:eastAsia="zh-CN"/>
        </w:rPr>
        <w:t>按照本办法规定提供声明函内容不实的，属于提供虚假材料谋取中标，依照《政府采购法》等政府采购有关法律法规规定追究相应责任</w:t>
      </w:r>
      <w:r>
        <w:rPr>
          <w:rFonts w:ascii="Arial" w:eastAsia="宋体" w:hAnsi="Arial" w:hint="eastAsia"/>
          <w:kern w:val="2"/>
          <w:sz w:val="21"/>
          <w:szCs w:val="21"/>
          <w:lang w:eastAsia="zh-CN"/>
        </w:rPr>
        <w:t>。</w:t>
      </w:r>
      <w:bookmarkEnd w:id="26"/>
    </w:p>
    <w:p>
      <w:pPr>
        <w:widowControl w:val="0"/>
        <w:spacing w:after="78" w:afterLines="25" w:line="300" w:lineRule="auto"/>
        <w:ind w:firstLine="630" w:firstLineChars="300"/>
        <w:jc w:val="both"/>
        <w:rPr>
          <w:rFonts w:ascii="Arial" w:eastAsia="宋体" w:hAnsi="Arial"/>
          <w:kern w:val="2"/>
          <w:sz w:val="21"/>
          <w:szCs w:val="21"/>
          <w:lang w:eastAsia="zh-CN"/>
        </w:rPr>
      </w:pPr>
    </w:p>
    <w:p>
      <w:pPr>
        <w:widowControl w:val="0"/>
        <w:spacing w:after="78" w:afterLines="25" w:line="300" w:lineRule="auto"/>
        <w:ind w:right="420" w:firstLine="4200" w:firstLineChars="2000"/>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p>
    <w:p>
      <w:pPr>
        <w:widowControl w:val="0"/>
        <w:spacing w:after="78" w:afterLines="25" w:line="300" w:lineRule="auto"/>
        <w:ind w:right="420" w:firstLine="5565" w:firstLineChars="2650"/>
        <w:jc w:val="both"/>
        <w:rPr>
          <w:rFonts w:ascii="Arial" w:eastAsia="宋体" w:hAnsi="Arial"/>
          <w:kern w:val="2"/>
          <w:sz w:val="21"/>
          <w:szCs w:val="21"/>
          <w:lang w:eastAsia="zh-CN"/>
        </w:rPr>
      </w:pPr>
      <w:r>
        <w:rPr>
          <w:rFonts w:ascii="Arial" w:eastAsia="宋体" w:hAnsi="Arial" w:hint="eastAsia"/>
          <w:kern w:val="2"/>
          <w:sz w:val="21"/>
          <w:szCs w:val="21"/>
          <w:lang w:eastAsia="zh-CN"/>
        </w:rPr>
        <w:t>日期：</w:t>
      </w:r>
    </w:p>
    <w:p>
      <w:pPr>
        <w:widowControl w:val="0"/>
        <w:spacing w:after="78" w:afterLines="25" w:line="300" w:lineRule="auto"/>
        <w:ind w:right="420" w:firstLine="5565" w:firstLineChars="2650"/>
        <w:jc w:val="both"/>
        <w:rPr>
          <w:rFonts w:ascii="Arial" w:eastAsia="宋体" w:hAnsi="Arial"/>
          <w:b/>
          <w:kern w:val="2"/>
          <w:sz w:val="21"/>
          <w:szCs w:val="21"/>
          <w:lang w:eastAsia="zh-CN"/>
        </w:rPr>
      </w:pPr>
    </w:p>
    <w:p>
      <w:pPr>
        <w:widowControl w:val="0"/>
        <w:spacing w:after="78" w:afterLines="25" w:line="300" w:lineRule="auto"/>
        <w:ind w:right="420" w:firstLine="5565" w:firstLineChars="2650"/>
        <w:jc w:val="both"/>
        <w:rPr>
          <w:rFonts w:ascii="Arial" w:eastAsia="宋体" w:hAnsi="Arial"/>
          <w:b/>
          <w:kern w:val="2"/>
          <w:sz w:val="21"/>
          <w:szCs w:val="21"/>
          <w:lang w:eastAsia="zh-CN"/>
        </w:rPr>
      </w:pPr>
    </w:p>
    <w:p>
      <w:pPr>
        <w:widowControl w:val="0"/>
        <w:spacing w:after="78" w:afterLines="25" w:line="300" w:lineRule="auto"/>
        <w:ind w:firstLine="480" w:firstLineChars="200"/>
        <w:jc w:val="left"/>
        <w:rPr>
          <w:rFonts w:ascii="宋体" w:eastAsia="宋体" w:hAnsi="宋体"/>
          <w:kern w:val="2"/>
          <w:highlight w:val="yellow"/>
          <w:lang w:eastAsia="zh-CN"/>
        </w:rPr>
      </w:pPr>
      <w:r>
        <w:rPr>
          <w:rFonts w:ascii="宋体" w:eastAsia="宋体" w:hAnsi="宋体" w:hint="eastAsia"/>
          <w:b/>
          <w:kern w:val="2"/>
          <w:highlight w:val="yellow"/>
          <w:lang w:eastAsia="zh-CN"/>
        </w:rPr>
        <w:t>说明：</w:t>
      </w:r>
      <w:r>
        <w:rPr>
          <w:rFonts w:ascii="宋体" w:eastAsia="宋体" w:hAnsi="宋体" w:hint="eastAsia"/>
          <w:kern w:val="2"/>
          <w:highlight w:val="yellow"/>
          <w:lang w:eastAsia="zh-CN"/>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eastAsia="宋体" w:hAnsi="宋体"/>
          <w:b/>
          <w:kern w:val="2"/>
          <w:lang w:eastAsia="zh-CN"/>
        </w:rPr>
      </w:pPr>
      <w:r>
        <w:rPr>
          <w:rFonts w:ascii="宋体" w:eastAsia="宋体" w:hAnsi="宋体"/>
          <w:b/>
          <w:kern w:val="2"/>
          <w:lang w:eastAsia="zh-CN"/>
        </w:rPr>
        <w:br w:type="page"/>
      </w:r>
    </w:p>
    <w:p>
      <w:pPr>
        <w:widowControl w:val="0"/>
        <w:spacing w:after="78" w:afterLines="25" w:line="300" w:lineRule="auto"/>
        <w:jc w:val="center"/>
        <w:outlineLvl w:val="4"/>
        <w:rPr>
          <w:rFonts w:ascii="Arial" w:eastAsia="宋体" w:hAnsi="Arial"/>
          <w:b/>
          <w:kern w:val="2"/>
          <w:lang w:eastAsia="zh-CN"/>
        </w:rPr>
      </w:pPr>
      <w:r>
        <w:rPr>
          <w:rFonts w:ascii="宋体" w:eastAsia="宋体" w:hAnsi="宋体" w:hint="eastAsia"/>
          <w:b/>
          <w:kern w:val="2"/>
          <w:lang w:eastAsia="zh-CN"/>
        </w:rPr>
        <w:t>②</w:t>
      </w:r>
      <w:r>
        <w:rPr>
          <w:rFonts w:ascii="Arial" w:eastAsia="宋体" w:hAnsi="Arial" w:hint="eastAsia"/>
          <w:b/>
          <w:kern w:val="2"/>
          <w:lang w:eastAsia="zh-CN"/>
        </w:rPr>
        <w:t>残疾人福利性单位声明函（货物）</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本</w:t>
      </w:r>
      <w:r>
        <w:rPr>
          <w:rFonts w:ascii="宋体" w:eastAsia="宋体" w:hAnsi="宋体" w:hint="eastAsia"/>
          <w:kern w:val="2"/>
          <w:sz w:val="21"/>
          <w:szCs w:val="21"/>
          <w:lang w:eastAsia="zh-CN"/>
        </w:rPr>
        <w:t>投标人郑重声明，根据《财政部民政部中国残疾人联合会关于促进残疾人就业政府采购政策的通知》（财库〔</w:t>
      </w:r>
      <w:r>
        <w:rPr>
          <w:rFonts w:ascii="宋体" w:eastAsia="宋体" w:hAnsi="宋体"/>
          <w:kern w:val="2"/>
          <w:sz w:val="21"/>
          <w:szCs w:val="21"/>
          <w:lang w:eastAsia="zh-CN"/>
        </w:rPr>
        <w:t>2017</w:t>
      </w:r>
      <w:r>
        <w:rPr>
          <w:rFonts w:ascii="宋体" w:eastAsia="宋体" w:hAnsi="宋体" w:hint="eastAsia"/>
          <w:kern w:val="2"/>
          <w:sz w:val="21"/>
          <w:szCs w:val="21"/>
          <w:lang w:eastAsia="zh-CN"/>
        </w:rPr>
        <w:t>〕</w:t>
      </w:r>
      <w:r>
        <w:rPr>
          <w:rFonts w:ascii="宋体" w:eastAsia="宋体" w:hAnsi="宋体"/>
          <w:kern w:val="2"/>
          <w:sz w:val="21"/>
          <w:szCs w:val="21"/>
          <w:lang w:eastAsia="zh-CN"/>
        </w:rPr>
        <w:t xml:space="preserve">141 </w:t>
      </w:r>
      <w:r>
        <w:rPr>
          <w:rFonts w:ascii="宋体" w:eastAsia="宋体" w:hAnsi="宋体" w:hint="eastAsia"/>
          <w:kern w:val="2"/>
          <w:sz w:val="21"/>
          <w:szCs w:val="21"/>
          <w:lang w:eastAsia="zh-CN"/>
        </w:rPr>
        <w:t>号）的规定，本投标人</w:t>
      </w:r>
      <w:r>
        <w:rPr>
          <w:rFonts w:ascii="宋体" w:eastAsia="宋体" w:hAnsi="宋体"/>
          <w:kern w:val="2"/>
          <w:sz w:val="21"/>
          <w:szCs w:val="21"/>
          <w:lang w:eastAsia="zh-CN"/>
        </w:rPr>
        <w:t>参加</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采购人</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的</w:t>
      </w:r>
      <w:r>
        <w:rPr>
          <w:rFonts w:ascii="宋体" w:eastAsia="宋体" w:hAnsi="宋体"/>
          <w:b/>
          <w:bCs/>
          <w:kern w:val="2"/>
          <w:sz w:val="21"/>
          <w:szCs w:val="21"/>
          <w:u w:val="single"/>
          <w:lang w:eastAsia="zh-CN"/>
        </w:rPr>
        <w:t>（项目名称）</w:t>
      </w:r>
      <w:r>
        <w:rPr>
          <w:rFonts w:ascii="宋体" w:eastAsia="宋体" w:hAnsi="宋体"/>
          <w:kern w:val="2"/>
          <w:sz w:val="21"/>
          <w:szCs w:val="21"/>
          <w:lang w:eastAsia="zh-CN"/>
        </w:rPr>
        <w:t>采购活动，提供的货物全部由符合政策要求的</w:t>
      </w:r>
      <w:r>
        <w:rPr>
          <w:rFonts w:ascii="宋体" w:eastAsia="宋体" w:hAnsi="宋体" w:hint="eastAsia"/>
          <w:kern w:val="2"/>
          <w:sz w:val="21"/>
          <w:szCs w:val="21"/>
          <w:lang w:eastAsia="zh-CN"/>
        </w:rPr>
        <w:t>残疾人福利性单位</w:t>
      </w:r>
      <w:r>
        <w:rPr>
          <w:rFonts w:ascii="宋体" w:eastAsia="宋体" w:hAnsi="宋体"/>
          <w:kern w:val="2"/>
          <w:sz w:val="21"/>
          <w:szCs w:val="21"/>
          <w:lang w:eastAsia="zh-CN"/>
        </w:rPr>
        <w:t>制造。相关</w:t>
      </w:r>
      <w:r>
        <w:rPr>
          <w:rFonts w:ascii="宋体" w:eastAsia="宋体" w:hAnsi="宋体" w:hint="eastAsia"/>
          <w:kern w:val="2"/>
          <w:sz w:val="21"/>
          <w:szCs w:val="21"/>
          <w:lang w:eastAsia="zh-CN"/>
        </w:rPr>
        <w:t>残疾人福利性单位</w:t>
      </w:r>
      <w:r>
        <w:rPr>
          <w:rFonts w:ascii="宋体" w:eastAsia="宋体" w:hAnsi="宋体"/>
          <w:kern w:val="2"/>
          <w:sz w:val="21"/>
          <w:szCs w:val="21"/>
          <w:lang w:eastAsia="zh-CN"/>
        </w:rPr>
        <w:t>的具体情况如下：</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1.</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w:t>
      </w:r>
      <w:r>
        <w:rPr>
          <w:rFonts w:ascii="宋体" w:eastAsia="宋体" w:hAnsi="宋体"/>
          <w:kern w:val="2"/>
          <w:sz w:val="21"/>
          <w:szCs w:val="21"/>
          <w:lang w:eastAsia="zh-CN"/>
        </w:rPr>
        <w:t>制造商为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单位</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残疾人福利性单位</w:t>
      </w:r>
      <w:r>
        <w:rPr>
          <w:rFonts w:ascii="宋体" w:eastAsia="宋体" w:hAnsi="宋体"/>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2.</w:t>
      </w:r>
      <w:r>
        <w:rPr>
          <w:rFonts w:ascii="宋体" w:eastAsia="宋体" w:hAnsi="宋体"/>
          <w:b/>
          <w:bCs/>
          <w:kern w:val="2"/>
          <w:sz w:val="21"/>
          <w:szCs w:val="21"/>
          <w:u w:val="single"/>
          <w:lang w:eastAsia="zh-CN"/>
        </w:rPr>
        <w:t xml:space="preserve"> （标的名称）</w:t>
      </w:r>
      <w:r>
        <w:rPr>
          <w:rFonts w:ascii="宋体" w:eastAsia="宋体" w:hAnsi="宋体"/>
          <w:kern w:val="2"/>
          <w:sz w:val="21"/>
          <w:szCs w:val="21"/>
          <w:lang w:eastAsia="zh-CN"/>
        </w:rPr>
        <w:t xml:space="preserve"> </w:t>
      </w:r>
      <w:r>
        <w:rPr>
          <w:rFonts w:ascii="宋体" w:eastAsia="宋体" w:hAnsi="宋体" w:hint="eastAsia"/>
          <w:kern w:val="2"/>
          <w:sz w:val="21"/>
          <w:szCs w:val="21"/>
          <w:lang w:eastAsia="zh-CN"/>
        </w:rPr>
        <w:t>，</w:t>
      </w:r>
      <w:r>
        <w:rPr>
          <w:rFonts w:ascii="宋体" w:eastAsia="宋体" w:hAnsi="宋体"/>
          <w:kern w:val="2"/>
          <w:sz w:val="21"/>
          <w:szCs w:val="21"/>
          <w:lang w:eastAsia="zh-CN"/>
        </w:rPr>
        <w:t>制造商为</w:t>
      </w:r>
      <w:r>
        <w:rPr>
          <w:rFonts w:ascii="宋体" w:eastAsia="宋体" w:hAnsi="宋体"/>
          <w:b/>
          <w:bCs/>
          <w:kern w:val="2"/>
          <w:sz w:val="21"/>
          <w:szCs w:val="21"/>
          <w:u w:val="single"/>
          <w:lang w:eastAsia="zh-CN"/>
        </w:rPr>
        <w:t>（</w:t>
      </w:r>
      <w:r>
        <w:rPr>
          <w:rFonts w:ascii="宋体" w:eastAsia="宋体" w:hAnsi="宋体" w:hint="eastAsia"/>
          <w:b/>
          <w:bCs/>
          <w:kern w:val="2"/>
          <w:sz w:val="21"/>
          <w:szCs w:val="21"/>
          <w:u w:val="single"/>
          <w:lang w:eastAsia="zh-CN"/>
        </w:rPr>
        <w:t>单位</w:t>
      </w:r>
      <w:r>
        <w:rPr>
          <w:rFonts w:ascii="宋体" w:eastAsia="宋体" w:hAnsi="宋体"/>
          <w:b/>
          <w:bCs/>
          <w:kern w:val="2"/>
          <w:sz w:val="21"/>
          <w:szCs w:val="21"/>
          <w:u w:val="single"/>
          <w:lang w:eastAsia="zh-CN"/>
        </w:rPr>
        <w:t>名称）</w:t>
      </w:r>
      <w:r>
        <w:rPr>
          <w:rFonts w:ascii="宋体" w:eastAsia="宋体" w:hAnsi="宋体"/>
          <w:kern w:val="2"/>
          <w:sz w:val="21"/>
          <w:szCs w:val="21"/>
          <w:lang w:eastAsia="zh-CN"/>
        </w:rPr>
        <w:t>，属于</w:t>
      </w:r>
      <w:r>
        <w:rPr>
          <w:rFonts w:ascii="宋体" w:eastAsia="宋体" w:hAnsi="宋体" w:hint="eastAsia"/>
          <w:b/>
          <w:bCs/>
          <w:kern w:val="2"/>
          <w:sz w:val="21"/>
          <w:szCs w:val="21"/>
          <w:u w:val="single"/>
          <w:lang w:eastAsia="zh-CN"/>
        </w:rPr>
        <w:t>残疾人福利性单位</w:t>
      </w:r>
      <w:r>
        <w:rPr>
          <w:rFonts w:ascii="宋体" w:eastAsia="宋体" w:hAnsi="宋体" w:hint="eastAsia"/>
          <w:kern w:val="2"/>
          <w:sz w:val="21"/>
          <w:szCs w:val="21"/>
          <w:lang w:eastAsia="zh-CN"/>
        </w:rPr>
        <w:t>。</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kern w:val="2"/>
          <w:sz w:val="21"/>
          <w:szCs w:val="21"/>
          <w:lang w:eastAsia="zh-CN"/>
        </w:rPr>
        <w:t xml:space="preserve">…… </w:t>
      </w:r>
    </w:p>
    <w:p>
      <w:pPr>
        <w:widowControl w:val="0"/>
        <w:spacing w:after="78" w:afterLines="25" w:line="300" w:lineRule="auto"/>
        <w:ind w:firstLine="420" w:firstLineChars="200"/>
        <w:jc w:val="both"/>
        <w:rPr>
          <w:rFonts w:ascii="宋体" w:eastAsia="宋体" w:hAnsi="宋体"/>
          <w:kern w:val="2"/>
          <w:sz w:val="21"/>
          <w:szCs w:val="21"/>
          <w:lang w:eastAsia="zh-CN"/>
        </w:rPr>
      </w:pPr>
      <w:bookmarkStart w:id="27" w:name="_Hlk73562331"/>
      <w:r>
        <w:rPr>
          <w:rFonts w:ascii="宋体" w:eastAsia="宋体" w:hAnsi="宋体" w:hint="eastAsia"/>
          <w:kern w:val="2"/>
          <w:sz w:val="21"/>
          <w:szCs w:val="21"/>
          <w:lang w:eastAsia="zh-CN"/>
        </w:rPr>
        <w:t>本</w:t>
      </w:r>
      <w:r>
        <w:rPr>
          <w:rFonts w:ascii="宋体" w:eastAsia="宋体" w:hAnsi="宋体"/>
          <w:kern w:val="2"/>
          <w:sz w:val="21"/>
          <w:szCs w:val="21"/>
          <w:lang w:eastAsia="zh-CN"/>
        </w:rPr>
        <w:t>投标人</w:t>
      </w:r>
      <w:r>
        <w:rPr>
          <w:rFonts w:ascii="宋体" w:eastAsia="宋体" w:hAnsi="宋体" w:hint="eastAsia"/>
          <w:kern w:val="2"/>
          <w:sz w:val="21"/>
          <w:szCs w:val="21"/>
          <w:lang w:eastAsia="zh-CN"/>
        </w:rPr>
        <w:t>已</w:t>
      </w:r>
      <w:r>
        <w:rPr>
          <w:rFonts w:ascii="宋体" w:eastAsia="宋体" w:hAnsi="宋体"/>
          <w:kern w:val="2"/>
          <w:sz w:val="21"/>
          <w:szCs w:val="21"/>
          <w:lang w:eastAsia="zh-CN"/>
        </w:rPr>
        <w:t>知悉</w:t>
      </w:r>
      <w:r>
        <w:rPr>
          <w:rFonts w:ascii="宋体" w:eastAsia="宋体" w:hAnsi="宋体" w:hint="eastAsia"/>
          <w:kern w:val="2"/>
          <w:sz w:val="21"/>
          <w:szCs w:val="21"/>
          <w:lang w:eastAsia="zh-CN"/>
        </w:rPr>
        <w:t>《财政部民政部中国残疾人联合会关于促进残疾人就业政府采购政策的通知》（财库〔2017〕141 号）</w:t>
      </w:r>
      <w:r>
        <w:rPr>
          <w:rFonts w:ascii="宋体" w:eastAsia="宋体" w:hAnsi="宋体"/>
          <w:kern w:val="2"/>
          <w:sz w:val="21"/>
          <w:szCs w:val="21"/>
          <w:lang w:eastAsia="zh-CN"/>
        </w:rPr>
        <w:t>的规定，承诺提供的声明函内容是真实的，如提供声明函内容不实，则依法追究相关法律责任</w:t>
      </w:r>
      <w:r>
        <w:rPr>
          <w:rFonts w:ascii="宋体" w:eastAsia="宋体" w:hAnsi="宋体" w:hint="eastAsia"/>
          <w:kern w:val="2"/>
          <w:sz w:val="21"/>
          <w:szCs w:val="21"/>
          <w:lang w:eastAsia="zh-CN"/>
        </w:rPr>
        <w:t>。</w:t>
      </w:r>
      <w:bookmarkEnd w:id="27"/>
    </w:p>
    <w:p>
      <w:pPr>
        <w:widowControl w:val="0"/>
        <w:spacing w:after="78" w:afterLines="25" w:line="300" w:lineRule="auto"/>
        <w:jc w:val="right"/>
        <w:rPr>
          <w:rFonts w:ascii="宋体" w:eastAsia="宋体" w:hAnsi="宋体"/>
          <w:kern w:val="2"/>
          <w:sz w:val="21"/>
          <w:szCs w:val="21"/>
          <w:lang w:eastAsia="zh-CN"/>
        </w:rPr>
      </w:pPr>
    </w:p>
    <w:p>
      <w:pPr>
        <w:widowControl w:val="0"/>
        <w:spacing w:after="78" w:afterLines="25" w:line="300" w:lineRule="auto"/>
        <w:ind w:right="420" w:firstLine="4410" w:firstLineChars="2100"/>
        <w:jc w:val="both"/>
        <w:rPr>
          <w:rFonts w:ascii="宋体" w:eastAsia="宋体" w:hAnsi="宋体"/>
          <w:kern w:val="2"/>
          <w:sz w:val="21"/>
          <w:szCs w:val="21"/>
          <w:lang w:eastAsia="zh-CN"/>
        </w:rPr>
      </w:pPr>
      <w:r>
        <w:rPr>
          <w:rFonts w:ascii="宋体" w:eastAsia="宋体" w:hAnsi="宋体" w:hint="eastAsia"/>
          <w:kern w:val="2"/>
          <w:sz w:val="21"/>
          <w:szCs w:val="21"/>
          <w:lang w:eastAsia="zh-CN"/>
        </w:rPr>
        <w:t>投标人（投标单位）：</w:t>
      </w:r>
    </w:p>
    <w:p>
      <w:pPr>
        <w:widowControl w:val="0"/>
        <w:spacing w:after="78" w:afterLines="25" w:line="300" w:lineRule="auto"/>
        <w:ind w:right="420" w:firstLine="5775" w:firstLineChars="2750"/>
        <w:jc w:val="both"/>
        <w:rPr>
          <w:rFonts w:ascii="宋体" w:eastAsia="宋体" w:hAnsi="宋体"/>
          <w:kern w:val="2"/>
          <w:sz w:val="21"/>
          <w:szCs w:val="21"/>
          <w:lang w:eastAsia="zh-CN"/>
        </w:rPr>
      </w:pPr>
      <w:r>
        <w:rPr>
          <w:rFonts w:ascii="宋体" w:eastAsia="宋体" w:hAnsi="宋体" w:hint="eastAsia"/>
          <w:kern w:val="2"/>
          <w:sz w:val="21"/>
          <w:szCs w:val="21"/>
          <w:lang w:eastAsia="zh-CN"/>
        </w:rPr>
        <w:t>日期：</w:t>
      </w:r>
    </w:p>
    <w:p>
      <w:pPr>
        <w:widowControl w:val="0"/>
        <w:spacing w:after="78" w:afterLines="25" w:line="300" w:lineRule="auto"/>
        <w:jc w:val="right"/>
        <w:rPr>
          <w:rFonts w:ascii="宋体" w:eastAsia="宋体" w:hAnsi="宋体"/>
          <w:b/>
          <w:color w:val="FF0000"/>
          <w:kern w:val="2"/>
          <w:sz w:val="28"/>
          <w:szCs w:val="28"/>
          <w:lang w:eastAsia="zh-CN"/>
        </w:rPr>
      </w:pPr>
    </w:p>
    <w:p>
      <w:pPr>
        <w:widowControl w:val="0"/>
        <w:spacing w:after="78" w:afterLines="25" w:line="300" w:lineRule="auto"/>
        <w:jc w:val="right"/>
        <w:rPr>
          <w:rFonts w:ascii="Arial" w:eastAsia="宋体" w:hAnsi="Arial"/>
          <w:b/>
          <w:color w:val="FF0000"/>
          <w:kern w:val="2"/>
          <w:sz w:val="28"/>
          <w:szCs w:val="28"/>
          <w:lang w:eastAsia="zh-CN"/>
        </w:rPr>
      </w:pP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b/>
          <w:kern w:val="2"/>
          <w:sz w:val="21"/>
          <w:szCs w:val="21"/>
          <w:highlight w:val="yellow"/>
          <w:lang w:eastAsia="zh-CN"/>
        </w:rPr>
        <w:t>说明：</w:t>
      </w:r>
      <w:r>
        <w:rPr>
          <w:rFonts w:ascii="宋体" w:eastAsia="宋体" w:hAnsi="宋体" w:hint="eastAsia"/>
          <w:kern w:val="2"/>
          <w:sz w:val="21"/>
          <w:szCs w:val="21"/>
          <w:highlight w:val="yellow"/>
          <w:lang w:eastAsia="zh-CN"/>
        </w:rPr>
        <w:t>根据财库〔2017〕141号文件的规定,享受政府采购支持政策的残疾人福利性单位应当同时满足以下条件：</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（一）</w:t>
      </w:r>
      <w:r>
        <w:rPr>
          <w:rFonts w:ascii="宋体" w:eastAsia="宋体" w:hAnsi="宋体" w:hint="eastAsia"/>
          <w:b/>
          <w:kern w:val="2"/>
          <w:sz w:val="21"/>
          <w:szCs w:val="21"/>
          <w:highlight w:val="yellow"/>
          <w:lang w:eastAsia="zh-CN"/>
        </w:rPr>
        <w:t>安置的残疾人占本单位在职职工人数的比例不低于25%（含25%），并且安置的残疾人人数不少于10人（含10人）</w:t>
      </w:r>
      <w:r>
        <w:rPr>
          <w:rFonts w:ascii="宋体" w:eastAsia="宋体" w:hAnsi="宋体" w:hint="eastAsia"/>
          <w:kern w:val="2"/>
          <w:sz w:val="21"/>
          <w:szCs w:val="21"/>
          <w:highlight w:val="yellow"/>
          <w:lang w:eastAsia="zh-CN"/>
        </w:rPr>
        <w:t>；</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（二）依法与安置的每位残疾人签订了一年以上（含一年）的劳动合同或服务协议；</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（三）为安置的每位残疾人按月足额缴纳了基本养老保险、基本医疗保险、失业保险、工伤保险和生育保险等社会保险费；</w:t>
      </w:r>
    </w:p>
    <w:p>
      <w:pPr>
        <w:widowControl w:val="0"/>
        <w:spacing w:after="78" w:afterLines="25" w:line="300" w:lineRule="auto"/>
        <w:ind w:firstLine="420" w:firstLineChars="200"/>
        <w:jc w:val="both"/>
        <w:rPr>
          <w:rFonts w:ascii="宋体" w:eastAsia="宋体" w:hAnsi="宋体"/>
          <w:kern w:val="2"/>
          <w:sz w:val="21"/>
          <w:szCs w:val="21"/>
          <w:highlight w:val="yellow"/>
          <w:lang w:eastAsia="zh-CN"/>
        </w:rPr>
      </w:pPr>
      <w:r>
        <w:rPr>
          <w:rFonts w:ascii="宋体" w:eastAsia="宋体" w:hAnsi="宋体" w:hint="eastAsia"/>
          <w:kern w:val="2"/>
          <w:sz w:val="21"/>
          <w:szCs w:val="21"/>
          <w:highlight w:val="yellow"/>
          <w:lang w:eastAsia="zh-CN"/>
        </w:rPr>
        <w:t>（四）通过银行等金融机构向安置的每位残疾人，按月支付了不低于单位所在区县适用的经省级人民政府批准的月最低工资标准的工资；</w:t>
      </w:r>
    </w:p>
    <w:p>
      <w:pPr>
        <w:widowControl w:val="0"/>
        <w:spacing w:after="78" w:afterLines="25" w:line="300" w:lineRule="auto"/>
        <w:ind w:firstLine="420" w:firstLineChars="200"/>
        <w:jc w:val="both"/>
        <w:rPr>
          <w:rFonts w:ascii="宋体" w:eastAsia="宋体" w:hAnsi="宋体"/>
          <w:kern w:val="2"/>
          <w:sz w:val="21"/>
          <w:szCs w:val="21"/>
          <w:lang w:eastAsia="zh-CN"/>
        </w:rPr>
      </w:pPr>
      <w:r>
        <w:rPr>
          <w:rFonts w:ascii="宋体" w:eastAsia="宋体" w:hAnsi="宋体" w:hint="eastAsia"/>
          <w:kern w:val="2"/>
          <w:sz w:val="21"/>
          <w:szCs w:val="21"/>
          <w:highlight w:val="yellow"/>
          <w:lang w:eastAsia="zh-CN"/>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eastAsia="宋体" w:hAnsi="Arial"/>
          <w:b/>
          <w:kern w:val="2"/>
          <w:lang w:eastAsia="zh-CN"/>
        </w:rPr>
      </w:pPr>
      <w:r>
        <w:rPr>
          <w:rFonts w:ascii="宋体" w:eastAsia="宋体" w:hAnsi="宋体"/>
          <w:b/>
          <w:kern w:val="2"/>
          <w:lang w:eastAsia="zh-CN"/>
        </w:rPr>
        <w:br w:type="page"/>
      </w:r>
      <w:r>
        <w:rPr>
          <w:rFonts w:ascii="宋体" w:eastAsia="宋体" w:hAnsi="宋体" w:hint="eastAsia"/>
          <w:b/>
          <w:kern w:val="2"/>
          <w:lang w:eastAsia="zh-CN"/>
        </w:rPr>
        <w:t>③</w:t>
      </w:r>
      <w:r>
        <w:rPr>
          <w:rFonts w:ascii="Arial" w:eastAsia="宋体" w:hAnsi="Arial" w:hint="eastAsia"/>
          <w:b/>
          <w:kern w:val="2"/>
          <w:lang w:eastAsia="zh-CN"/>
        </w:rPr>
        <w:t>监狱企业声明函（货物）</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本投标人郑重声明，根据《财政部司法部关于政府采购支持监狱企业发展有关问题的通知》（财库〔</w:t>
      </w:r>
      <w:r>
        <w:rPr>
          <w:rFonts w:ascii="Arial" w:eastAsia="宋体" w:hAnsi="Arial"/>
          <w:kern w:val="2"/>
          <w:sz w:val="21"/>
          <w:szCs w:val="21"/>
          <w:lang w:eastAsia="zh-CN"/>
        </w:rPr>
        <w:t>2014</w:t>
      </w:r>
      <w:r>
        <w:rPr>
          <w:rFonts w:ascii="Arial" w:eastAsia="宋体" w:hAnsi="Arial" w:hint="eastAsia"/>
          <w:kern w:val="2"/>
          <w:sz w:val="21"/>
          <w:szCs w:val="21"/>
          <w:lang w:eastAsia="zh-CN"/>
        </w:rPr>
        <w:t>〕</w:t>
      </w:r>
      <w:r>
        <w:rPr>
          <w:rFonts w:ascii="Arial" w:eastAsia="宋体" w:hAnsi="Arial"/>
          <w:kern w:val="2"/>
          <w:sz w:val="21"/>
          <w:szCs w:val="21"/>
          <w:lang w:eastAsia="zh-CN"/>
        </w:rPr>
        <w:t>68</w:t>
      </w:r>
      <w:r>
        <w:rPr>
          <w:rFonts w:ascii="Arial" w:eastAsia="宋体" w:hAnsi="Arial" w:hint="eastAsia"/>
          <w:kern w:val="2"/>
          <w:sz w:val="21"/>
          <w:szCs w:val="21"/>
          <w:lang w:eastAsia="zh-CN"/>
        </w:rPr>
        <w:t>号）的规定，本投标人</w:t>
      </w:r>
      <w:r>
        <w:rPr>
          <w:rFonts w:ascii="Arial" w:eastAsia="宋体" w:hAnsi="Arial"/>
          <w:kern w:val="2"/>
          <w:sz w:val="21"/>
          <w:szCs w:val="21"/>
          <w:lang w:eastAsia="zh-CN"/>
        </w:rPr>
        <w:t>参加</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采购人</w:t>
      </w:r>
      <w:r>
        <w:rPr>
          <w:rFonts w:ascii="Arial" w:eastAsia="宋体" w:hAnsi="Arial"/>
          <w:b/>
          <w:bCs/>
          <w:kern w:val="2"/>
          <w:sz w:val="21"/>
          <w:szCs w:val="21"/>
          <w:u w:val="single"/>
          <w:lang w:eastAsia="zh-CN"/>
        </w:rPr>
        <w:t>名称）</w:t>
      </w:r>
      <w:r>
        <w:rPr>
          <w:rFonts w:ascii="Arial" w:eastAsia="宋体" w:hAnsi="Arial"/>
          <w:kern w:val="2"/>
          <w:sz w:val="21"/>
          <w:szCs w:val="21"/>
          <w:lang w:eastAsia="zh-CN"/>
        </w:rPr>
        <w:t>的</w:t>
      </w:r>
      <w:r>
        <w:rPr>
          <w:rFonts w:ascii="Arial" w:eastAsia="宋体" w:hAnsi="Arial"/>
          <w:b/>
          <w:bCs/>
          <w:kern w:val="2"/>
          <w:sz w:val="21"/>
          <w:szCs w:val="21"/>
          <w:u w:val="single"/>
          <w:lang w:eastAsia="zh-CN"/>
        </w:rPr>
        <w:t>（项目名称）</w:t>
      </w:r>
      <w:r>
        <w:rPr>
          <w:rFonts w:ascii="Arial" w:eastAsia="宋体" w:hAnsi="Arial"/>
          <w:kern w:val="2"/>
          <w:sz w:val="21"/>
          <w:szCs w:val="21"/>
          <w:lang w:eastAsia="zh-CN"/>
        </w:rPr>
        <w:t>采购活动，提供的货物全部由符合政策要求的</w:t>
      </w:r>
      <w:r>
        <w:rPr>
          <w:rFonts w:ascii="Arial" w:eastAsia="宋体" w:hAnsi="Arial" w:hint="eastAsia"/>
          <w:kern w:val="2"/>
          <w:sz w:val="21"/>
          <w:szCs w:val="21"/>
          <w:lang w:eastAsia="zh-CN"/>
        </w:rPr>
        <w:t>监狱企业</w:t>
      </w:r>
      <w:r>
        <w:rPr>
          <w:rFonts w:ascii="Arial" w:eastAsia="宋体" w:hAnsi="Arial"/>
          <w:kern w:val="2"/>
          <w:sz w:val="21"/>
          <w:szCs w:val="21"/>
          <w:lang w:eastAsia="zh-CN"/>
        </w:rPr>
        <w:t>制造。相关</w:t>
      </w:r>
      <w:r>
        <w:rPr>
          <w:rFonts w:ascii="Arial" w:eastAsia="宋体" w:hAnsi="Arial" w:hint="eastAsia"/>
          <w:kern w:val="2"/>
          <w:sz w:val="21"/>
          <w:szCs w:val="21"/>
          <w:lang w:eastAsia="zh-CN"/>
        </w:rPr>
        <w:t>监狱企业</w:t>
      </w:r>
      <w:r>
        <w:rPr>
          <w:rFonts w:ascii="Arial" w:eastAsia="宋体" w:hAnsi="Arial"/>
          <w:kern w:val="2"/>
          <w:sz w:val="21"/>
          <w:szCs w:val="21"/>
          <w:lang w:eastAsia="zh-CN"/>
        </w:rPr>
        <w:t>的具体情况如下：</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1.</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w:t>
      </w:r>
      <w:r>
        <w:rPr>
          <w:rFonts w:ascii="Arial" w:eastAsia="宋体" w:hAnsi="Arial" w:hint="eastAsia"/>
          <w:kern w:val="2"/>
          <w:sz w:val="21"/>
          <w:szCs w:val="21"/>
          <w:lang w:eastAsia="zh-CN"/>
        </w:rPr>
        <w:t>，</w:t>
      </w:r>
      <w:r>
        <w:rPr>
          <w:rFonts w:ascii="Arial" w:eastAsia="宋体" w:hAnsi="Arial"/>
          <w:kern w:val="2"/>
          <w:sz w:val="21"/>
          <w:szCs w:val="21"/>
          <w:lang w:eastAsia="zh-CN"/>
        </w:rPr>
        <w:t>制造商为</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企业</w:t>
      </w:r>
      <w:r>
        <w:rPr>
          <w:rFonts w:ascii="Arial" w:eastAsia="宋体" w:hAnsi="Arial"/>
          <w:b/>
          <w:bCs/>
          <w:kern w:val="2"/>
          <w:sz w:val="21"/>
          <w:szCs w:val="21"/>
          <w:u w:val="single"/>
          <w:lang w:eastAsia="zh-CN"/>
        </w:rPr>
        <w:t>名称）</w:t>
      </w:r>
      <w:r>
        <w:rPr>
          <w:rFonts w:ascii="Arial" w:eastAsia="宋体" w:hAnsi="Arial"/>
          <w:kern w:val="2"/>
          <w:sz w:val="21"/>
          <w:szCs w:val="21"/>
          <w:lang w:eastAsia="zh-CN"/>
        </w:rPr>
        <w:t>，属于</w:t>
      </w:r>
      <w:r>
        <w:rPr>
          <w:rFonts w:ascii="Arial" w:eastAsia="宋体" w:hAnsi="Arial" w:hint="eastAsia"/>
          <w:b/>
          <w:bCs/>
          <w:kern w:val="2"/>
          <w:sz w:val="21"/>
          <w:szCs w:val="21"/>
          <w:u w:val="single"/>
          <w:lang w:eastAsia="zh-CN"/>
        </w:rPr>
        <w:t>监狱企业</w:t>
      </w:r>
      <w:r>
        <w:rPr>
          <w:rFonts w:ascii="Arial" w:eastAsia="宋体" w:hAnsi="Arial"/>
          <w:kern w:val="2"/>
          <w:sz w:val="21"/>
          <w:szCs w:val="21"/>
          <w:lang w:eastAsia="zh-CN"/>
        </w:rPr>
        <w:t>；</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2.</w:t>
      </w:r>
      <w:r>
        <w:rPr>
          <w:rFonts w:ascii="Arial" w:eastAsia="宋体" w:hAnsi="Arial"/>
          <w:b/>
          <w:bCs/>
          <w:kern w:val="2"/>
          <w:sz w:val="21"/>
          <w:szCs w:val="21"/>
          <w:u w:val="single"/>
          <w:lang w:eastAsia="zh-CN"/>
        </w:rPr>
        <w:t xml:space="preserve"> （标的名称）</w:t>
      </w:r>
      <w:r>
        <w:rPr>
          <w:rFonts w:ascii="Arial" w:eastAsia="宋体" w:hAnsi="Arial"/>
          <w:kern w:val="2"/>
          <w:sz w:val="21"/>
          <w:szCs w:val="21"/>
          <w:lang w:eastAsia="zh-CN"/>
        </w:rPr>
        <w:t xml:space="preserve"> </w:t>
      </w:r>
      <w:r>
        <w:rPr>
          <w:rFonts w:ascii="Arial" w:eastAsia="宋体" w:hAnsi="Arial" w:hint="eastAsia"/>
          <w:kern w:val="2"/>
          <w:sz w:val="21"/>
          <w:szCs w:val="21"/>
          <w:lang w:eastAsia="zh-CN"/>
        </w:rPr>
        <w:t>，</w:t>
      </w:r>
      <w:r>
        <w:rPr>
          <w:rFonts w:ascii="Arial" w:eastAsia="宋体" w:hAnsi="Arial"/>
          <w:kern w:val="2"/>
          <w:sz w:val="21"/>
          <w:szCs w:val="21"/>
          <w:lang w:eastAsia="zh-CN"/>
        </w:rPr>
        <w:t>制造商为</w:t>
      </w:r>
      <w:r>
        <w:rPr>
          <w:rFonts w:ascii="Arial" w:eastAsia="宋体" w:hAnsi="Arial"/>
          <w:b/>
          <w:bCs/>
          <w:kern w:val="2"/>
          <w:sz w:val="21"/>
          <w:szCs w:val="21"/>
          <w:u w:val="single"/>
          <w:lang w:eastAsia="zh-CN"/>
        </w:rPr>
        <w:t>（</w:t>
      </w:r>
      <w:r>
        <w:rPr>
          <w:rFonts w:ascii="Arial" w:eastAsia="宋体" w:hAnsi="Arial" w:hint="eastAsia"/>
          <w:b/>
          <w:bCs/>
          <w:kern w:val="2"/>
          <w:sz w:val="21"/>
          <w:szCs w:val="21"/>
          <w:u w:val="single"/>
          <w:lang w:eastAsia="zh-CN"/>
        </w:rPr>
        <w:t>企业</w:t>
      </w:r>
      <w:r>
        <w:rPr>
          <w:rFonts w:ascii="Arial" w:eastAsia="宋体" w:hAnsi="Arial"/>
          <w:b/>
          <w:bCs/>
          <w:kern w:val="2"/>
          <w:sz w:val="21"/>
          <w:szCs w:val="21"/>
          <w:u w:val="single"/>
          <w:lang w:eastAsia="zh-CN"/>
        </w:rPr>
        <w:t>名称）</w:t>
      </w:r>
      <w:r>
        <w:rPr>
          <w:rFonts w:ascii="Arial" w:eastAsia="宋体" w:hAnsi="Arial"/>
          <w:kern w:val="2"/>
          <w:sz w:val="21"/>
          <w:szCs w:val="21"/>
          <w:lang w:eastAsia="zh-CN"/>
        </w:rPr>
        <w:t>，属于</w:t>
      </w:r>
      <w:r>
        <w:rPr>
          <w:rFonts w:ascii="Arial" w:eastAsia="宋体" w:hAnsi="Arial" w:hint="eastAsia"/>
          <w:b/>
          <w:bCs/>
          <w:kern w:val="2"/>
          <w:sz w:val="21"/>
          <w:szCs w:val="21"/>
          <w:u w:val="single"/>
          <w:lang w:eastAsia="zh-CN"/>
        </w:rPr>
        <w:t>监狱企业</w:t>
      </w:r>
      <w:r>
        <w:rPr>
          <w:rFonts w:ascii="Arial" w:eastAsia="宋体" w:hAnsi="Arial" w:hint="eastAsia"/>
          <w:kern w:val="2"/>
          <w:sz w:val="21"/>
          <w:szCs w:val="21"/>
          <w:lang w:eastAsia="zh-CN"/>
        </w:rPr>
        <w:t>。</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 xml:space="preserve">…… </w:t>
      </w:r>
    </w:p>
    <w:p>
      <w:pPr>
        <w:widowControl w:val="0"/>
        <w:spacing w:after="78" w:afterLines="25" w:line="300" w:lineRule="auto"/>
        <w:ind w:firstLine="420" w:firstLineChars="200"/>
        <w:jc w:val="both"/>
        <w:rPr>
          <w:rFonts w:ascii="Arial" w:eastAsia="宋体" w:hAnsi="Arial"/>
          <w:kern w:val="2"/>
          <w:sz w:val="21"/>
          <w:szCs w:val="21"/>
          <w:lang w:eastAsia="zh-CN"/>
        </w:rPr>
      </w:pPr>
      <w:r>
        <w:rPr>
          <w:rFonts w:ascii="Arial" w:eastAsia="宋体" w:hAnsi="Arial"/>
          <w:kern w:val="2"/>
          <w:sz w:val="21"/>
          <w:szCs w:val="21"/>
          <w:lang w:eastAsia="zh-CN"/>
        </w:rPr>
        <w:t>本</w:t>
      </w:r>
      <w:r>
        <w:rPr>
          <w:rFonts w:ascii="Arial" w:eastAsia="宋体" w:hAnsi="Arial" w:hint="eastAsia"/>
          <w:kern w:val="2"/>
          <w:sz w:val="21"/>
          <w:szCs w:val="21"/>
          <w:lang w:eastAsia="zh-CN"/>
        </w:rPr>
        <w:t>投标人</w:t>
      </w:r>
      <w:r>
        <w:rPr>
          <w:rFonts w:ascii="Arial" w:eastAsia="宋体" w:hAnsi="Arial"/>
          <w:kern w:val="2"/>
          <w:sz w:val="21"/>
          <w:szCs w:val="21"/>
          <w:lang w:eastAsia="zh-CN"/>
        </w:rPr>
        <w:t>对上述声明内容的真实性负责。如有虚假，将依法承担相应责任。</w:t>
      </w: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r>
        <w:rPr>
          <w:rFonts w:ascii="Arial" w:eastAsia="宋体" w:hAnsi="Arial" w:hint="eastAsia"/>
          <w:b/>
          <w:color w:val="FF0000"/>
          <w:kern w:val="2"/>
          <w:sz w:val="21"/>
          <w:szCs w:val="21"/>
          <w:lang w:eastAsia="zh-CN"/>
        </w:rPr>
        <w:t>附：省级以上监狱管理局、戒毒管理局（含新疆生产建设兵团）出具的监狱企业证明文件。</w:t>
      </w: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p>
    <w:p>
      <w:pPr>
        <w:widowControl w:val="0"/>
        <w:spacing w:after="78" w:afterLines="25" w:line="300" w:lineRule="auto"/>
        <w:ind w:firstLine="420" w:firstLineChars="200"/>
        <w:jc w:val="both"/>
        <w:rPr>
          <w:rFonts w:ascii="Arial" w:eastAsia="宋体" w:hAnsi="Arial"/>
          <w:b/>
          <w:color w:val="FF0000"/>
          <w:kern w:val="2"/>
          <w:sz w:val="21"/>
          <w:szCs w:val="21"/>
          <w:lang w:eastAsia="zh-CN"/>
        </w:rPr>
      </w:pPr>
    </w:p>
    <w:p>
      <w:pPr>
        <w:widowControl w:val="0"/>
        <w:wordWrap w:val="0"/>
        <w:spacing w:after="78" w:afterLines="25" w:line="300" w:lineRule="auto"/>
        <w:ind w:right="420" w:firstLine="4410" w:firstLineChars="2100"/>
        <w:jc w:val="right"/>
        <w:rPr>
          <w:rFonts w:ascii="Arial" w:eastAsia="宋体" w:hAnsi="Arial"/>
          <w:kern w:val="2"/>
          <w:sz w:val="21"/>
          <w:szCs w:val="21"/>
          <w:lang w:eastAsia="zh-CN"/>
        </w:rPr>
      </w:pPr>
      <w:r>
        <w:rPr>
          <w:rFonts w:ascii="Arial" w:eastAsia="宋体" w:hAnsi="Arial" w:hint="eastAsia"/>
          <w:kern w:val="2"/>
          <w:sz w:val="21"/>
          <w:szCs w:val="21"/>
          <w:lang w:eastAsia="zh-CN"/>
        </w:rPr>
        <w:t xml:space="preserve">投标人（投标单位）：     </w:t>
      </w:r>
    </w:p>
    <w:p>
      <w:pPr>
        <w:widowControl w:val="0"/>
        <w:wordWrap w:val="0"/>
        <w:spacing w:after="78" w:afterLines="25" w:line="300" w:lineRule="auto"/>
        <w:ind w:right="420" w:firstLine="4410" w:firstLineChars="2100"/>
        <w:jc w:val="right"/>
        <w:rPr>
          <w:rFonts w:ascii="Arial" w:eastAsia="宋体" w:hAnsi="Arial"/>
          <w:kern w:val="2"/>
          <w:sz w:val="21"/>
          <w:szCs w:val="21"/>
          <w:lang w:eastAsia="zh-CN"/>
        </w:rPr>
      </w:pPr>
      <w:r>
        <w:rPr>
          <w:rFonts w:ascii="Arial" w:eastAsia="宋体" w:hAnsi="Arial" w:hint="eastAsia"/>
          <w:kern w:val="2"/>
          <w:sz w:val="21"/>
          <w:szCs w:val="21"/>
          <w:lang w:eastAsia="zh-CN"/>
        </w:rPr>
        <w:t xml:space="preserve">日期：     </w:t>
      </w:r>
    </w:p>
    <w:p>
      <w:pPr>
        <w:widowControl/>
        <w:jc w:val="left"/>
        <w:rPr>
          <w:rFonts w:ascii="Arial" w:eastAsia="宋体" w:hAnsi="Arial" w:cs="Arial"/>
          <w:color w:val="000000"/>
          <w:kern w:val="2"/>
          <w:sz w:val="21"/>
          <w:lang w:eastAsia="zh-CN"/>
        </w:rPr>
      </w:pPr>
      <w:r>
        <w:rPr>
          <w:rFonts w:ascii="宋体" w:eastAsia="宋体" w:hAnsi="宋体"/>
          <w:b/>
          <w:kern w:val="2"/>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5.经验情况表</w:t>
      </w:r>
    </w:p>
    <w:tbl>
      <w:tblPr>
        <w:tblStyle w:val="TableNorm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819"/>
        <w:gridCol w:w="1889"/>
        <w:gridCol w:w="2331"/>
        <w:gridCol w:w="1362"/>
        <w:gridCol w:w="1419"/>
        <w:gridCol w:w="1468"/>
      </w:tblGrid>
      <w:tr>
        <w:tblPrEx>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rPr>
          <w:jc w:val="center"/>
        </w:trPr>
        <w:tc>
          <w:tcPr>
            <w:tcW w:w="441"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序号</w:t>
            </w:r>
          </w:p>
        </w:tc>
        <w:tc>
          <w:tcPr>
            <w:tcW w:w="1017"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p>
        </w:tc>
        <w:tc>
          <w:tcPr>
            <w:tcW w:w="1255" w:type="pct"/>
            <w:vAlign w:val="center"/>
          </w:tcPr>
          <w:p>
            <w:pPr>
              <w:widowControl w:val="0"/>
              <w:snapToGrid w:val="0"/>
              <w:jc w:val="center"/>
              <w:rPr>
                <w:rFonts w:ascii="宋体" w:eastAsia="宋体" w:hAnsi="宋体"/>
                <w:b/>
                <w:kern w:val="2"/>
                <w:lang w:eastAsia="zh-CN"/>
              </w:rPr>
            </w:pPr>
            <w:r>
              <w:rPr>
                <w:rFonts w:ascii="Arial" w:eastAsia="宋体" w:hAnsi="Arial" w:cs="Arial" w:hint="eastAsia"/>
                <w:b/>
                <w:kern w:val="2"/>
                <w:lang w:eastAsia="zh-CN"/>
              </w:rPr>
              <w:t>项目</w:t>
            </w:r>
            <w:r>
              <w:rPr>
                <w:rFonts w:ascii="宋体" w:eastAsia="宋体" w:hAnsi="宋体" w:hint="eastAsia"/>
                <w:b/>
                <w:kern w:val="2"/>
                <w:lang w:eastAsia="zh-CN"/>
              </w:rPr>
              <w:t>名称</w:t>
            </w:r>
          </w:p>
        </w:tc>
        <w:tc>
          <w:tcPr>
            <w:tcW w:w="733"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时间</w:t>
            </w:r>
          </w:p>
        </w:tc>
        <w:tc>
          <w:tcPr>
            <w:tcW w:w="764" w:type="pct"/>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用户单位</w:t>
            </w:r>
          </w:p>
          <w:p>
            <w:pPr>
              <w:widowControl w:val="0"/>
              <w:snapToGrid w:val="0"/>
              <w:jc w:val="center"/>
              <w:rPr>
                <w:rFonts w:ascii="宋体" w:eastAsia="宋体" w:hAnsi="宋体"/>
                <w:b/>
                <w:kern w:val="2"/>
                <w:lang w:eastAsia="zh-CN"/>
              </w:rPr>
            </w:pPr>
            <w:r>
              <w:rPr>
                <w:rFonts w:ascii="宋体" w:eastAsia="宋体" w:hAnsi="宋体" w:hint="eastAsia"/>
                <w:b/>
                <w:kern w:val="2"/>
                <w:lang w:eastAsia="zh-CN"/>
              </w:rPr>
              <w:t>联系人</w:t>
            </w:r>
          </w:p>
        </w:tc>
        <w:tc>
          <w:tcPr>
            <w:tcW w:w="790" w:type="pct"/>
            <w:vAlign w:val="center"/>
          </w:tcPr>
          <w:p>
            <w:pPr>
              <w:widowControl w:val="0"/>
              <w:snapToGrid w:val="0"/>
              <w:jc w:val="center"/>
              <w:rPr>
                <w:rFonts w:ascii="宋体" w:eastAsia="宋体" w:hAnsi="宋体" w:hint="eastAsia"/>
                <w:b/>
                <w:kern w:val="2"/>
                <w:lang w:eastAsia="zh-CN"/>
              </w:rPr>
            </w:pPr>
            <w:r>
              <w:rPr>
                <w:rFonts w:ascii="宋体" w:eastAsia="宋体" w:hAnsi="宋体" w:hint="eastAsia"/>
                <w:b/>
                <w:kern w:val="2"/>
                <w:lang w:eastAsia="zh-CN"/>
              </w:rPr>
              <w:t>用户单位</w:t>
            </w:r>
          </w:p>
          <w:p>
            <w:pPr>
              <w:widowControl w:val="0"/>
              <w:snapToGrid w:val="0"/>
              <w:jc w:val="center"/>
              <w:rPr>
                <w:rFonts w:ascii="宋体" w:eastAsia="宋体" w:hAnsi="宋体"/>
                <w:b/>
                <w:kern w:val="2"/>
                <w:lang w:eastAsia="zh-CN"/>
              </w:rPr>
            </w:pPr>
            <w:r>
              <w:rPr>
                <w:rFonts w:ascii="宋体" w:eastAsia="宋体" w:hAnsi="宋体" w:hint="eastAsia"/>
                <w:b/>
                <w:kern w:val="2"/>
                <w:lang w:eastAsia="zh-CN"/>
              </w:rPr>
              <w:t>联系电话</w:t>
            </w: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r>
        <w:tblPrEx>
          <w:tblW w:w="5000" w:type="pct"/>
          <w:jc w:val="center"/>
          <w:tblLayout w:type="fixed"/>
          <w:tblCellMar>
            <w:top w:w="0" w:type="dxa"/>
            <w:left w:w="108" w:type="dxa"/>
            <w:bottom w:w="0" w:type="dxa"/>
            <w:right w:w="108" w:type="dxa"/>
          </w:tblCellMar>
        </w:tblPrEx>
        <w:trPr>
          <w:cantSplit/>
          <w:trHeight w:val="300"/>
          <w:jc w:val="center"/>
        </w:trPr>
        <w:tc>
          <w:tcPr>
            <w:tcW w:w="441" w:type="pct"/>
          </w:tcPr>
          <w:p>
            <w:pPr>
              <w:widowControl w:val="0"/>
              <w:spacing w:after="78" w:afterLines="25" w:line="300" w:lineRule="auto"/>
              <w:jc w:val="both"/>
              <w:rPr>
                <w:rFonts w:ascii="宋体" w:eastAsia="宋体" w:hAnsi="宋体" w:cs="Arial"/>
                <w:kern w:val="2"/>
                <w:lang w:eastAsia="zh-CN"/>
              </w:rPr>
            </w:pPr>
          </w:p>
        </w:tc>
        <w:tc>
          <w:tcPr>
            <w:tcW w:w="1017" w:type="pct"/>
          </w:tcPr>
          <w:p>
            <w:pPr>
              <w:widowControl w:val="0"/>
              <w:spacing w:after="78" w:afterLines="25" w:line="300" w:lineRule="auto"/>
              <w:jc w:val="both"/>
              <w:rPr>
                <w:rFonts w:ascii="宋体" w:eastAsia="宋体" w:hAnsi="宋体" w:cs="Arial"/>
                <w:kern w:val="2"/>
                <w:lang w:eastAsia="zh-CN"/>
              </w:rPr>
            </w:pPr>
          </w:p>
        </w:tc>
        <w:tc>
          <w:tcPr>
            <w:tcW w:w="1255" w:type="pct"/>
          </w:tcPr>
          <w:p>
            <w:pPr>
              <w:widowControl w:val="0"/>
              <w:spacing w:after="78" w:afterLines="25" w:line="300" w:lineRule="auto"/>
              <w:jc w:val="both"/>
              <w:rPr>
                <w:rFonts w:ascii="宋体" w:eastAsia="宋体" w:hAnsi="宋体" w:cs="Arial"/>
                <w:kern w:val="2"/>
                <w:lang w:eastAsia="zh-CN"/>
              </w:rPr>
            </w:pPr>
          </w:p>
        </w:tc>
        <w:tc>
          <w:tcPr>
            <w:tcW w:w="733" w:type="pct"/>
          </w:tcPr>
          <w:p>
            <w:pPr>
              <w:widowControl w:val="0"/>
              <w:spacing w:after="78" w:afterLines="25" w:line="300" w:lineRule="auto"/>
              <w:jc w:val="both"/>
              <w:rPr>
                <w:rFonts w:ascii="宋体" w:eastAsia="宋体" w:hAnsi="宋体" w:cs="Arial"/>
                <w:kern w:val="2"/>
                <w:lang w:eastAsia="zh-CN"/>
              </w:rPr>
            </w:pPr>
          </w:p>
        </w:tc>
        <w:tc>
          <w:tcPr>
            <w:tcW w:w="764" w:type="pct"/>
          </w:tcPr>
          <w:p>
            <w:pPr>
              <w:widowControl w:val="0"/>
              <w:spacing w:after="78" w:afterLines="25" w:line="300" w:lineRule="auto"/>
              <w:jc w:val="both"/>
              <w:rPr>
                <w:rFonts w:ascii="宋体" w:eastAsia="宋体" w:hAnsi="宋体" w:cs="Arial"/>
                <w:kern w:val="2"/>
                <w:lang w:eastAsia="zh-CN"/>
              </w:rPr>
            </w:pPr>
          </w:p>
        </w:tc>
        <w:tc>
          <w:tcPr>
            <w:tcW w:w="790" w:type="pct"/>
          </w:tcPr>
          <w:p>
            <w:pPr>
              <w:widowControl w:val="0"/>
              <w:spacing w:after="78" w:afterLines="25" w:line="300" w:lineRule="auto"/>
              <w:jc w:val="both"/>
              <w:rPr>
                <w:rFonts w:ascii="宋体" w:eastAsia="宋体" w:hAnsi="宋体" w:cs="Arial"/>
                <w:kern w:val="2"/>
                <w:lang w:eastAsia="zh-CN"/>
              </w:rPr>
            </w:pPr>
          </w:p>
        </w:tc>
      </w:tr>
    </w:tbl>
    <w:p>
      <w:pPr>
        <w:widowControl w:val="0"/>
        <w:spacing w:line="300" w:lineRule="auto"/>
        <w:jc w:val="both"/>
        <w:rPr>
          <w:rFonts w:ascii="Arial" w:eastAsia="宋体" w:hAnsi="Arial"/>
          <w:kern w:val="2"/>
          <w:sz w:val="21"/>
          <w:lang w:eastAsia="zh-CN"/>
        </w:rPr>
      </w:pPr>
      <w:r>
        <w:rPr>
          <w:rFonts w:ascii="Arial" w:eastAsia="宋体" w:hAnsi="Arial" w:hint="eastAsia"/>
          <w:kern w:val="2"/>
          <w:lang w:eastAsia="zh-CN"/>
        </w:rPr>
        <w:t>此表格式可根据评分准则要求进行调整，并将要求提供的证明材料扫描件附后。</w:t>
      </w: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both"/>
        <w:rPr>
          <w:rFonts w:ascii="Arial" w:eastAsia="宋体" w:hAnsi="Arial"/>
          <w:kern w:val="2"/>
          <w:lang w:eastAsia="zh-CN"/>
        </w:rPr>
      </w:pPr>
    </w:p>
    <w:p>
      <w:pPr>
        <w:widowControl w:val="0"/>
        <w:spacing w:after="78" w:afterLines="25" w:line="300" w:lineRule="auto"/>
        <w:jc w:val="center"/>
        <w:rPr>
          <w:rFonts w:ascii="Arial" w:eastAsia="宋体" w:hAnsi="Arial" w:hint="eastAsia"/>
          <w:b/>
          <w:kern w:val="2"/>
          <w:lang w:eastAsia="zh-CN"/>
        </w:rPr>
      </w:pPr>
      <w:r>
        <w:rPr>
          <w:rFonts w:ascii="Arial" w:eastAsia="宋体" w:hAnsi="Arial" w:hint="eastAsia"/>
          <w:b/>
          <w:kern w:val="2"/>
          <w:lang w:eastAsia="zh-CN"/>
        </w:rPr>
        <w:t>（本章未提供的招标要求的其他文件格式由供应商自拟）</w:t>
      </w:r>
    </w:p>
    <w:p>
      <w:pPr>
        <w:widowControl w:val="0"/>
        <w:spacing w:after="78" w:afterLines="25" w:line="300" w:lineRule="auto"/>
        <w:jc w:val="center"/>
        <w:rPr>
          <w:rFonts w:ascii="Arial" w:eastAsia="宋体" w:hAnsi="Arial" w:hint="eastAsia"/>
          <w:b/>
          <w:kern w:val="2"/>
          <w:lang w:eastAsia="zh-CN"/>
        </w:rPr>
      </w:pPr>
    </w:p>
    <w:p>
      <w:pPr>
        <w:widowControl w:val="0"/>
        <w:ind w:firstLine="720" w:firstLineChars="300"/>
        <w:jc w:val="center"/>
        <w:rPr>
          <w:rFonts w:ascii="Calibri" w:eastAsia="宋体" w:hAnsi="Calibri"/>
          <w:b/>
          <w:color w:val="FF0000"/>
          <w:kern w:val="2"/>
          <w:szCs w:val="22"/>
          <w:lang w:eastAsia="zh-CN"/>
        </w:rPr>
      </w:pPr>
      <w:r>
        <w:rPr>
          <w:rFonts w:ascii="Calibri" w:eastAsia="宋体" w:hAnsi="Calibri" w:cstheme="minorBidi" w:hint="eastAsia"/>
          <w:b/>
          <w:color w:val="FF0000"/>
          <w:kern w:val="2"/>
          <w:szCs w:val="22"/>
          <w:lang w:eastAsia="zh-CN"/>
        </w:rPr>
        <w:t>（信息公开部分的内容到此为止！以下为信息不公开部分。）</w:t>
      </w:r>
    </w:p>
    <w:p>
      <w:pPr>
        <w:widowControl/>
        <w:jc w:val="left"/>
        <w:rPr>
          <w:rFonts w:ascii="Arial" w:eastAsia="宋体" w:hAnsi="Arial"/>
          <w:kern w:val="2"/>
          <w:sz w:val="21"/>
          <w:lang w:eastAsia="zh-CN"/>
        </w:rPr>
      </w:pPr>
      <w:r>
        <w:rPr>
          <w:rFonts w:ascii="Arial" w:eastAsia="宋体" w:hAnsi="Arial"/>
          <w:kern w:val="2"/>
          <w:sz w:val="21"/>
          <w:lang w:eastAsia="zh-CN"/>
        </w:rPr>
        <w:br w:type="page"/>
      </w:r>
    </w:p>
    <w:p>
      <w:pPr>
        <w:widowControl w:val="0"/>
        <w:spacing w:after="78" w:afterLines="25" w:line="300" w:lineRule="auto"/>
        <w:jc w:val="both"/>
        <w:outlineLvl w:val="2"/>
        <w:rPr>
          <w:rFonts w:ascii="Arial" w:eastAsia="宋体" w:hAnsi="Arial"/>
          <w:b/>
          <w:color w:val="FF0000"/>
          <w:kern w:val="2"/>
          <w:sz w:val="32"/>
          <w:szCs w:val="32"/>
          <w:lang w:eastAsia="zh-CN"/>
        </w:rPr>
      </w:pPr>
      <w:r>
        <w:rPr>
          <w:rFonts w:ascii="Arial" w:eastAsia="宋体" w:hAnsi="Arial" w:hint="eastAsia"/>
          <w:b/>
          <w:color w:val="FF0000"/>
          <w:kern w:val="2"/>
          <w:sz w:val="32"/>
          <w:szCs w:val="32"/>
          <w:lang w:eastAsia="zh-CN"/>
        </w:rPr>
        <w:t>（二）投标文件附件（信息不公开部分）</w:t>
      </w:r>
    </w:p>
    <w:p>
      <w:pPr>
        <w:keepNext/>
        <w:keepLines/>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1.法定代表人（负责人）证明书</w:t>
      </w:r>
    </w:p>
    <w:p>
      <w:pPr>
        <w:widowControl w:val="0"/>
        <w:spacing w:after="78" w:afterLines="25" w:line="300" w:lineRule="auto"/>
        <w:jc w:val="both"/>
        <w:rPr>
          <w:rFonts w:ascii="Arial" w:eastAsia="宋体" w:hAnsi="Arial"/>
          <w:kern w:val="2"/>
          <w:sz w:val="21"/>
          <w:lang w:eastAsia="zh-CN"/>
        </w:rPr>
      </w:pPr>
    </w:p>
    <w:p>
      <w:pPr>
        <w:widowControl w:val="0"/>
        <w:spacing w:line="300" w:lineRule="auto"/>
        <w:ind w:left="140"/>
        <w:jc w:val="center"/>
        <w:rPr>
          <w:rFonts w:ascii="Arial" w:eastAsia="宋体" w:hAnsi="Arial" w:cs="Arial"/>
          <w:b/>
          <w:kern w:val="2"/>
          <w:sz w:val="30"/>
          <w:szCs w:val="30"/>
          <w:lang w:eastAsia="zh-CN"/>
        </w:rPr>
      </w:pPr>
    </w:p>
    <w:p>
      <w:pPr>
        <w:widowControl w:val="0"/>
        <w:spacing w:line="300" w:lineRule="auto"/>
        <w:ind w:left="140"/>
        <w:jc w:val="center"/>
        <w:rPr>
          <w:rFonts w:ascii="Arial" w:eastAsia="宋体" w:hAnsi="Arial" w:cs="Arial"/>
          <w:b/>
          <w:kern w:val="2"/>
          <w:lang w:eastAsia="zh-CN"/>
        </w:rPr>
      </w:pPr>
      <w:r>
        <w:rPr>
          <w:rFonts w:ascii="Arial" w:eastAsia="宋体" w:hAnsi="Arial" w:cs="Arial" w:hint="eastAsia"/>
          <w:b/>
          <w:kern w:val="2"/>
          <w:lang w:eastAsia="zh-CN"/>
        </w:rPr>
        <w:t>法定代表人（负责人）证明书</w:t>
      </w:r>
    </w:p>
    <w:p>
      <w:pPr>
        <w:widowControl w:val="0"/>
        <w:spacing w:line="300" w:lineRule="auto"/>
        <w:ind w:left="140"/>
        <w:jc w:val="center"/>
        <w:rPr>
          <w:rFonts w:ascii="Arial" w:eastAsia="宋体" w:hAnsi="Arial" w:cs="Arial"/>
          <w:b/>
          <w:kern w:val="2"/>
          <w:lang w:eastAsia="zh-CN"/>
        </w:rPr>
      </w:pPr>
    </w:p>
    <w:p>
      <w:pPr>
        <w:widowControl w:val="0"/>
        <w:spacing w:line="300" w:lineRule="auto"/>
        <w:ind w:left="140"/>
        <w:jc w:val="both"/>
        <w:rPr>
          <w:rFonts w:ascii="宋体" w:eastAsia="宋体" w:hAnsi="宋体"/>
          <w:kern w:val="2"/>
          <w:sz w:val="21"/>
          <w:szCs w:val="21"/>
          <w:lang w:eastAsia="zh-CN"/>
        </w:rPr>
      </w:pPr>
      <w:r>
        <w:rPr>
          <w:rFonts w:ascii="宋体" w:eastAsia="宋体" w:hAnsi="宋体" w:cs="Arial" w:hint="eastAsia"/>
          <w:kern w:val="2"/>
          <w:u w:val="single"/>
          <w:lang w:eastAsia="zh-CN"/>
        </w:rPr>
        <w:t xml:space="preserve">  （姓名）  </w:t>
      </w:r>
      <w:r>
        <w:rPr>
          <w:rFonts w:ascii="宋体" w:eastAsia="宋体" w:hAnsi="宋体" w:cstheme="minorBidi" w:hint="eastAsia"/>
          <w:kern w:val="2"/>
          <w:sz w:val="21"/>
          <w:szCs w:val="21"/>
          <w:lang w:eastAsia="zh-CN"/>
        </w:rPr>
        <w:t>同志，现任我单位</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职务，为我单位法定代表人（负责人）。</w:t>
      </w:r>
    </w:p>
    <w:p>
      <w:pPr>
        <w:widowControl w:val="0"/>
        <w:spacing w:line="300" w:lineRule="auto"/>
        <w:ind w:left="140"/>
        <w:jc w:val="both"/>
        <w:rPr>
          <w:rFonts w:ascii="宋体" w:eastAsia="宋体" w:hAnsi="宋体"/>
          <w:kern w:val="2"/>
          <w:sz w:val="21"/>
          <w:szCs w:val="21"/>
          <w:u w:val="single"/>
          <w:lang w:eastAsia="zh-CN"/>
        </w:rPr>
      </w:pPr>
      <w:r>
        <w:rPr>
          <w:rFonts w:ascii="宋体" w:eastAsia="宋体" w:hAnsi="宋体" w:cstheme="minorBidi" w:hint="eastAsia"/>
          <w:kern w:val="2"/>
          <w:sz w:val="21"/>
          <w:szCs w:val="21"/>
          <w:lang w:eastAsia="zh-CN"/>
        </w:rPr>
        <w:t xml:space="preserve">身份证号： </w:t>
      </w:r>
      <w:r>
        <w:rPr>
          <w:rFonts w:ascii="宋体" w:eastAsia="宋体" w:hAnsi="宋体" w:cstheme="minorBidi" w:hint="eastAsia"/>
          <w:kern w:val="2"/>
          <w:sz w:val="21"/>
          <w:szCs w:val="21"/>
          <w:u w:val="single"/>
          <w:lang w:eastAsia="zh-CN"/>
        </w:rPr>
        <w:t xml:space="preserve">              </w:t>
      </w:r>
    </w:p>
    <w:p>
      <w:pPr>
        <w:widowControl w:val="0"/>
        <w:spacing w:line="300" w:lineRule="auto"/>
        <w:ind w:left="140"/>
        <w:jc w:val="both"/>
        <w:rPr>
          <w:rFonts w:ascii="宋体" w:eastAsia="宋体" w:hAnsi="宋体"/>
          <w:kern w:val="2"/>
          <w:sz w:val="21"/>
          <w:szCs w:val="21"/>
          <w:u w:val="single"/>
          <w:lang w:eastAsia="zh-CN"/>
        </w:rPr>
      </w:pPr>
      <w:r>
        <w:rPr>
          <w:rFonts w:ascii="宋体" w:eastAsia="宋体" w:hAnsi="宋体" w:cstheme="minorBidi" w:hint="eastAsia"/>
          <w:kern w:val="2"/>
          <w:sz w:val="21"/>
          <w:szCs w:val="21"/>
          <w:lang w:eastAsia="zh-CN"/>
        </w:rPr>
        <w:t xml:space="preserve">联系电话：  </w:t>
      </w:r>
      <w:r>
        <w:rPr>
          <w:rFonts w:ascii="宋体" w:eastAsia="宋体" w:hAnsi="宋体" w:cstheme="minorBidi" w:hint="eastAsia"/>
          <w:kern w:val="2"/>
          <w:sz w:val="21"/>
          <w:szCs w:val="21"/>
          <w:u w:val="single"/>
          <w:lang w:eastAsia="zh-CN"/>
        </w:rPr>
        <w:t xml:space="preserve">             </w:t>
      </w:r>
    </w:p>
    <w:p>
      <w:pPr>
        <w:widowControl w:val="0"/>
        <w:spacing w:line="300" w:lineRule="auto"/>
        <w:ind w:left="140"/>
        <w:jc w:val="both"/>
        <w:rPr>
          <w:rFonts w:ascii="宋体" w:eastAsia="宋体" w:hAnsi="宋体" w:cs="Arial"/>
          <w:b/>
          <w:kern w:val="2"/>
          <w:lang w:eastAsia="zh-CN"/>
        </w:rPr>
      </w:pPr>
      <w:r>
        <w:rPr>
          <w:rFonts w:ascii="宋体" w:eastAsia="宋体" w:hAnsi="宋体" w:cstheme="minorBidi" w:hint="eastAsia"/>
          <w:kern w:val="2"/>
          <w:sz w:val="21"/>
          <w:szCs w:val="21"/>
          <w:lang w:eastAsia="zh-CN"/>
        </w:rPr>
        <w:t>特此证明。</w:t>
      </w:r>
    </w:p>
    <w:p>
      <w:pPr>
        <w:widowControl w:val="0"/>
        <w:spacing w:line="300" w:lineRule="auto"/>
        <w:jc w:val="both"/>
        <w:rPr>
          <w:rFonts w:ascii="Arial" w:eastAsia="宋体" w:hAnsi="Arial"/>
          <w:kern w:val="2"/>
          <w:sz w:val="21"/>
          <w:szCs w:val="21"/>
          <w:lang w:eastAsia="zh-CN"/>
        </w:rPr>
      </w:pPr>
    </w:p>
    <w:p>
      <w:pPr>
        <w:widowControl w:val="0"/>
        <w:spacing w:line="300" w:lineRule="auto"/>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r>
        <w:rPr>
          <w:rFonts w:ascii="Arial" w:eastAsia="宋体" w:hAnsi="Arial"/>
          <w:kern w:val="2"/>
          <w:sz w:val="21"/>
          <w:szCs w:val="21"/>
          <w:u w:val="single"/>
          <w:lang w:eastAsia="zh-CN"/>
        </w:rPr>
        <w:t xml:space="preserve">           </w:t>
      </w:r>
    </w:p>
    <w:p>
      <w:pPr>
        <w:widowControl w:val="0"/>
        <w:spacing w:line="300" w:lineRule="auto"/>
        <w:jc w:val="both"/>
        <w:rPr>
          <w:rFonts w:ascii="Arial" w:eastAsia="宋体" w:hAnsi="Arial"/>
          <w:kern w:val="2"/>
          <w:sz w:val="21"/>
          <w:szCs w:val="21"/>
          <w:lang w:eastAsia="zh-CN"/>
        </w:rPr>
      </w:pPr>
      <w:r>
        <w:rPr>
          <w:rFonts w:ascii="Arial" w:eastAsia="宋体" w:hAnsi="Arial" w:hint="eastAsia"/>
          <w:kern w:val="2"/>
          <w:sz w:val="21"/>
          <w:szCs w:val="21"/>
          <w:lang w:eastAsia="zh-CN"/>
        </w:rPr>
        <w:t>日</w:t>
      </w:r>
      <w:r>
        <w:rPr>
          <w:rFonts w:ascii="Arial" w:eastAsia="宋体" w:hAnsi="Arial"/>
          <w:kern w:val="2"/>
          <w:sz w:val="21"/>
          <w:szCs w:val="21"/>
          <w:lang w:eastAsia="zh-CN"/>
        </w:rPr>
        <w:t xml:space="preserve">  </w:t>
      </w:r>
      <w:r>
        <w:rPr>
          <w:rFonts w:ascii="Arial" w:eastAsia="宋体" w:hAnsi="Arial" w:hint="eastAsia"/>
          <w:kern w:val="2"/>
          <w:sz w:val="21"/>
          <w:szCs w:val="21"/>
          <w:lang w:eastAsia="zh-CN"/>
        </w:rPr>
        <w:t>期：</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年</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月</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日</w:t>
      </w:r>
    </w:p>
    <w:p>
      <w:pPr>
        <w:widowControl w:val="0"/>
        <w:spacing w:line="500" w:lineRule="exact"/>
        <w:jc w:val="both"/>
        <w:rPr>
          <w:rFonts w:ascii="Arial" w:eastAsia="宋体" w:hAnsi="Arial"/>
          <w:kern w:val="2"/>
          <w:sz w:val="21"/>
          <w:lang w:eastAsia="zh-CN"/>
        </w:rPr>
      </w:pPr>
    </w:p>
    <w:p>
      <w:pPr>
        <w:widowControl w:val="0"/>
        <w:spacing w:line="500" w:lineRule="exact"/>
        <w:jc w:val="both"/>
        <w:rPr>
          <w:rFonts w:ascii="宋体" w:eastAsia="宋体" w:hAnsi="宋体"/>
          <w:b/>
          <w:color w:val="FF0000"/>
          <w:kern w:val="2"/>
          <w:sz w:val="32"/>
          <w:szCs w:val="32"/>
          <w:lang w:eastAsia="zh-CN"/>
        </w:rPr>
      </w:pPr>
      <w:r>
        <w:rPr>
          <w:rFonts w:ascii="宋体" w:eastAsia="宋体" w:hAnsi="宋体" w:hint="eastAsia"/>
          <w:b/>
          <w:color w:val="FF0000"/>
          <w:kern w:val="2"/>
          <w:sz w:val="32"/>
          <w:szCs w:val="32"/>
          <w:lang w:eastAsia="zh-CN"/>
        </w:rPr>
        <w:t>★必须提供法定代表人（负责人）有效期内身份证的正反面扫描件（港澳台居民可提供往来通行证），非中国国籍管辖范围的，可提供公安部门认可的身份证明材料，否则将导致投标无效。</w:t>
      </w:r>
    </w:p>
    <w:p>
      <w:pPr>
        <w:widowControl w:val="0"/>
        <w:spacing w:line="500" w:lineRule="exact"/>
        <w:jc w:val="both"/>
        <w:rPr>
          <w:rFonts w:ascii="宋体" w:eastAsia="宋体" w:hAnsi="宋体"/>
          <w:b/>
          <w:color w:val="FF0000"/>
          <w:kern w:val="2"/>
          <w:sz w:val="32"/>
          <w:szCs w:val="32"/>
          <w:lang w:eastAsia="zh-CN"/>
        </w:rPr>
      </w:pP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备注：</w:t>
      </w:r>
    </w:p>
    <w:p>
      <w:pPr>
        <w:widowControl w:val="0"/>
        <w:snapToGrid w:val="0"/>
        <w:jc w:val="both"/>
        <w:rPr>
          <w:rFonts w:ascii="Arial" w:eastAsia="宋体" w:hAnsi="Arial"/>
          <w:kern w:val="2"/>
          <w:sz w:val="28"/>
          <w:szCs w:val="28"/>
          <w:lang w:eastAsia="zh-CN"/>
        </w:rPr>
      </w:pPr>
      <w:r>
        <w:rPr>
          <w:rFonts w:ascii="宋体" w:eastAsia="宋体" w:hAnsi="宋体" w:hint="eastAsia"/>
          <w:color w:val="FF0000"/>
          <w:kern w:val="2"/>
          <w:sz w:val="28"/>
          <w:szCs w:val="28"/>
          <w:lang w:eastAsia="zh-CN"/>
        </w:rPr>
        <w:t>1、如发现上述人员非投标人法定代表人（负责人），视同提供虚假资料，按投标无效处理，并将依法承担相应法律责任。</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2、法定代表人为投标人（企业事业单位、国家机关、社会团体）的主要行政负责人。</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3、本证明书要求投标供应商同时提供法定代表人（负责人）的身份证扫描件（正反两面）作为附件方为有效。</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4、本项目投标授权代表为法定代表人（负责人）的，无需提供《投标文件签署授权委托书》。</w:t>
      </w:r>
    </w:p>
    <w:p>
      <w:pPr>
        <w:widowControl w:val="0"/>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5、内容必须填写真实、清楚，涂改无效，不得转让、买卖。</w:t>
      </w:r>
    </w:p>
    <w:p>
      <w:pPr>
        <w:widowControl w:val="0"/>
        <w:spacing w:line="500" w:lineRule="exact"/>
        <w:ind w:firstLine="420" w:firstLineChars="200"/>
        <w:jc w:val="both"/>
        <w:rPr>
          <w:rFonts w:ascii="Arial" w:eastAsia="宋体" w:hAnsi="Arial"/>
          <w:kern w:val="2"/>
          <w:sz w:val="21"/>
          <w:lang w:eastAsia="zh-CN"/>
        </w:rPr>
      </w:pP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2.投标文件签署授权委托书</w:t>
      </w:r>
    </w:p>
    <w:p>
      <w:pPr>
        <w:widowControl w:val="0"/>
        <w:spacing w:line="300" w:lineRule="auto"/>
        <w:jc w:val="center"/>
        <w:rPr>
          <w:rFonts w:ascii="Arial" w:eastAsia="宋体" w:hAnsi="Arial"/>
          <w:b/>
          <w:kern w:val="2"/>
          <w:sz w:val="28"/>
          <w:szCs w:val="28"/>
          <w:lang w:eastAsia="zh-CN"/>
        </w:rPr>
      </w:pPr>
    </w:p>
    <w:p>
      <w:pPr>
        <w:widowControl w:val="0"/>
        <w:spacing w:line="36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本授权委托书声明：我</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（姓名）</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系</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（投标人名称）</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的法定代表人（负责人），现授权委托</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（姓名）</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widowControl w:val="0"/>
        <w:spacing w:line="360" w:lineRule="auto"/>
        <w:ind w:firstLine="420" w:firstLineChars="200"/>
        <w:jc w:val="both"/>
        <w:rPr>
          <w:rFonts w:ascii="Arial" w:eastAsia="宋体" w:hAnsi="Arial"/>
          <w:kern w:val="2"/>
          <w:sz w:val="21"/>
          <w:szCs w:val="21"/>
          <w:lang w:eastAsia="zh-CN"/>
        </w:rPr>
      </w:pPr>
      <w:r>
        <w:rPr>
          <w:rFonts w:ascii="Arial" w:eastAsia="宋体" w:hAnsi="Arial" w:hint="eastAsia"/>
          <w:kern w:val="2"/>
          <w:sz w:val="21"/>
          <w:szCs w:val="21"/>
          <w:lang w:eastAsia="zh-CN"/>
        </w:rPr>
        <w:t>授权书有效期内被授权人签署的所有文件不因授权的撤销而失效。被授权人无转委托权。</w:t>
      </w:r>
    </w:p>
    <w:p>
      <w:pPr>
        <w:widowControl w:val="0"/>
        <w:spacing w:line="300" w:lineRule="auto"/>
        <w:jc w:val="both"/>
        <w:rPr>
          <w:rFonts w:ascii="Arial" w:eastAsia="宋体" w:hAnsi="Arial"/>
          <w:kern w:val="2"/>
          <w:sz w:val="21"/>
          <w:szCs w:val="21"/>
          <w:lang w:eastAsia="zh-CN"/>
        </w:rPr>
      </w:pPr>
    </w:p>
    <w:p>
      <w:pPr>
        <w:widowControl w:val="0"/>
        <w:spacing w:line="360" w:lineRule="auto"/>
        <w:ind w:left="3840" w:leftChars="1600"/>
        <w:jc w:val="both"/>
        <w:rPr>
          <w:rFonts w:ascii="Arial" w:eastAsia="宋体" w:hAnsi="Arial"/>
          <w:kern w:val="2"/>
          <w:sz w:val="21"/>
          <w:szCs w:val="21"/>
          <w:u w:val="single"/>
          <w:lang w:eastAsia="zh-CN"/>
        </w:rPr>
      </w:pPr>
      <w:r>
        <w:rPr>
          <w:rFonts w:ascii="Arial" w:eastAsia="宋体" w:hAnsi="Arial" w:hint="eastAsia"/>
          <w:kern w:val="2"/>
          <w:sz w:val="21"/>
          <w:szCs w:val="21"/>
          <w:lang w:eastAsia="zh-CN"/>
        </w:rPr>
        <w:t>代理人：</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性别：</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联系电话：</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手机：</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u w:val="single"/>
          <w:lang w:eastAsia="zh-CN"/>
        </w:rPr>
      </w:pPr>
      <w:r>
        <w:rPr>
          <w:rFonts w:ascii="Arial" w:eastAsia="宋体" w:hAnsi="Arial" w:hint="eastAsia"/>
          <w:kern w:val="2"/>
          <w:sz w:val="21"/>
          <w:szCs w:val="21"/>
          <w:lang w:eastAsia="zh-CN"/>
        </w:rPr>
        <w:t>身份证号码：</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职务：</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投标人（投标单位）：</w:t>
      </w:r>
      <w:r>
        <w:rPr>
          <w:rFonts w:ascii="Arial" w:eastAsia="宋体" w:hAnsi="Arial"/>
          <w:kern w:val="2"/>
          <w:sz w:val="21"/>
          <w:szCs w:val="21"/>
          <w:u w:val="single"/>
          <w:lang w:eastAsia="zh-CN"/>
        </w:rPr>
        <w:t xml:space="preserve">                            </w:t>
      </w:r>
    </w:p>
    <w:p>
      <w:pPr>
        <w:widowControl w:val="0"/>
        <w:spacing w:line="360" w:lineRule="auto"/>
        <w:ind w:left="3840" w:leftChars="1600"/>
        <w:jc w:val="both"/>
        <w:rPr>
          <w:rFonts w:ascii="Arial" w:eastAsia="宋体" w:hAnsi="Arial"/>
          <w:kern w:val="2"/>
          <w:sz w:val="21"/>
          <w:szCs w:val="21"/>
          <w:lang w:eastAsia="zh-CN"/>
        </w:rPr>
      </w:pPr>
      <w:r>
        <w:rPr>
          <w:rFonts w:ascii="Arial" w:eastAsia="宋体" w:hAnsi="Arial" w:hint="eastAsia"/>
          <w:kern w:val="2"/>
          <w:sz w:val="21"/>
          <w:szCs w:val="21"/>
          <w:lang w:eastAsia="zh-CN"/>
        </w:rPr>
        <w:t>授权委托日期：</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年</w:t>
      </w:r>
      <w:r>
        <w:rPr>
          <w:rFonts w:ascii="Arial" w:eastAsia="宋体" w:hAnsi="Arial"/>
          <w:kern w:val="2"/>
          <w:sz w:val="21"/>
          <w:szCs w:val="21"/>
          <w:u w:val="single"/>
          <w:lang w:eastAsia="zh-CN"/>
        </w:rPr>
        <w:t xml:space="preserve">   </w:t>
      </w:r>
      <w:r>
        <w:rPr>
          <w:rFonts w:ascii="Arial" w:eastAsia="宋体" w:hAnsi="Arial" w:hint="eastAsia"/>
          <w:kern w:val="2"/>
          <w:sz w:val="21"/>
          <w:szCs w:val="21"/>
          <w:u w:val="single"/>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月</w:t>
      </w:r>
      <w:r>
        <w:rPr>
          <w:rFonts w:ascii="Arial" w:eastAsia="宋体" w:hAnsi="Arial"/>
          <w:kern w:val="2"/>
          <w:sz w:val="21"/>
          <w:szCs w:val="21"/>
          <w:lang w:eastAsia="zh-CN"/>
        </w:rPr>
        <w:t xml:space="preserve"> </w:t>
      </w:r>
      <w:r>
        <w:rPr>
          <w:rFonts w:ascii="Arial" w:eastAsia="宋体" w:hAnsi="Arial"/>
          <w:kern w:val="2"/>
          <w:sz w:val="21"/>
          <w:szCs w:val="21"/>
          <w:u w:val="single"/>
          <w:lang w:eastAsia="zh-CN"/>
        </w:rPr>
        <w:t xml:space="preserve">      </w:t>
      </w:r>
      <w:r>
        <w:rPr>
          <w:rFonts w:ascii="Arial" w:eastAsia="宋体" w:hAnsi="Arial" w:hint="eastAsia"/>
          <w:kern w:val="2"/>
          <w:sz w:val="21"/>
          <w:szCs w:val="21"/>
          <w:lang w:eastAsia="zh-CN"/>
        </w:rPr>
        <w:t>日</w:t>
      </w:r>
    </w:p>
    <w:p>
      <w:pPr>
        <w:widowControl w:val="0"/>
        <w:spacing w:line="500" w:lineRule="exact"/>
        <w:ind w:firstLine="420" w:firstLineChars="200"/>
        <w:jc w:val="both"/>
        <w:rPr>
          <w:rFonts w:ascii="Arial" w:eastAsia="宋体" w:hAnsi="Arial"/>
          <w:kern w:val="2"/>
          <w:sz w:val="21"/>
          <w:lang w:eastAsia="zh-CN"/>
        </w:rPr>
      </w:pPr>
    </w:p>
    <w:p>
      <w:pPr>
        <w:widowControl w:val="0"/>
        <w:spacing w:after="78" w:afterLines="25" w:line="300" w:lineRule="auto"/>
        <w:jc w:val="both"/>
        <w:rPr>
          <w:rFonts w:ascii="宋体" w:eastAsia="宋体" w:hAnsi="宋体"/>
          <w:b/>
          <w:color w:val="FF0000"/>
          <w:kern w:val="2"/>
          <w:sz w:val="32"/>
          <w:szCs w:val="32"/>
          <w:lang w:eastAsia="zh-CN"/>
        </w:rPr>
      </w:pPr>
      <w:r>
        <w:rPr>
          <w:rFonts w:ascii="宋体" w:eastAsia="宋体" w:hAnsi="宋体" w:hint="eastAsia"/>
          <w:b/>
          <w:color w:val="FF0000"/>
          <w:kern w:val="2"/>
          <w:sz w:val="32"/>
          <w:szCs w:val="32"/>
          <w:lang w:eastAsia="zh-CN"/>
        </w:rPr>
        <w:t>★必须提供代理人有效期内身份证的正反面扫描件（港澳台居民可提供往来通行证），非中国国籍管辖范围的，可提供公安部门认可的身份证明材料，否则将导致投标无效。</w:t>
      </w:r>
    </w:p>
    <w:p>
      <w:pPr>
        <w:widowControl w:val="0"/>
        <w:spacing w:after="78" w:afterLines="25" w:line="300" w:lineRule="auto"/>
        <w:jc w:val="both"/>
        <w:rPr>
          <w:rFonts w:ascii="宋体" w:eastAsia="宋体" w:hAnsi="宋体"/>
          <w:b/>
          <w:color w:val="FF0000"/>
          <w:kern w:val="2"/>
          <w:sz w:val="32"/>
          <w:szCs w:val="32"/>
          <w:lang w:eastAsia="zh-CN"/>
        </w:rPr>
      </w:pPr>
    </w:p>
    <w:p>
      <w:pPr>
        <w:widowControl w:val="0"/>
        <w:tabs>
          <w:tab w:val="left" w:pos="651"/>
        </w:tabs>
        <w:snapToGrid w:val="0"/>
        <w:jc w:val="both"/>
        <w:rPr>
          <w:rFonts w:ascii="宋体" w:eastAsia="宋体" w:hAnsi="宋体"/>
          <w:color w:val="FF0000"/>
          <w:kern w:val="2"/>
          <w:sz w:val="28"/>
          <w:szCs w:val="28"/>
          <w:lang w:eastAsia="zh-CN"/>
        </w:rPr>
      </w:pPr>
      <w:r>
        <w:rPr>
          <w:rFonts w:ascii="宋体" w:eastAsia="宋体" w:hAnsi="宋体" w:hint="eastAsia"/>
          <w:color w:val="FF0000"/>
          <w:kern w:val="2"/>
          <w:sz w:val="28"/>
          <w:szCs w:val="28"/>
          <w:lang w:eastAsia="zh-CN"/>
        </w:rPr>
        <w:t>备注：</w:t>
      </w:r>
    </w:p>
    <w:p>
      <w:pPr>
        <w:widowControl w:val="0"/>
        <w:tabs>
          <w:tab w:val="left" w:pos="651"/>
        </w:tabs>
        <w:snapToGrid w:val="0"/>
        <w:jc w:val="both"/>
        <w:rPr>
          <w:rFonts w:ascii="宋体" w:eastAsia="宋体" w:hAnsi="宋体"/>
          <w:color w:val="FF0000"/>
          <w:kern w:val="2"/>
          <w:sz w:val="32"/>
          <w:szCs w:val="32"/>
          <w:lang w:eastAsia="zh-CN"/>
        </w:rPr>
      </w:pPr>
      <w:r>
        <w:rPr>
          <w:rFonts w:ascii="宋体" w:eastAsia="宋体" w:hAnsi="宋体" w:hint="eastAsia"/>
          <w:color w:val="FF0000"/>
          <w:kern w:val="2"/>
          <w:sz w:val="28"/>
          <w:szCs w:val="28"/>
          <w:lang w:eastAsia="zh-CN"/>
        </w:rPr>
        <w:t>1、本项目投标授权代表为法定代表人（负责人）的，无需提供《投标文件签署授权委托书》。</w:t>
      </w:r>
    </w:p>
    <w:p>
      <w:pPr>
        <w:widowControl w:val="0"/>
        <w:tabs>
          <w:tab w:val="left" w:pos="651"/>
        </w:tabs>
        <w:snapToGrid w:val="0"/>
        <w:ind w:firstLine="640" w:firstLineChars="200"/>
        <w:jc w:val="both"/>
        <w:rPr>
          <w:rFonts w:ascii="宋体" w:eastAsia="宋体" w:hAnsi="宋体"/>
          <w:color w:val="FF0000"/>
          <w:kern w:val="2"/>
          <w:sz w:val="28"/>
          <w:szCs w:val="28"/>
          <w:lang w:eastAsia="zh-CN"/>
        </w:rPr>
      </w:pPr>
      <w:r>
        <w:rPr>
          <w:rFonts w:ascii="宋体" w:eastAsia="宋体" w:hAnsi="宋体" w:hint="eastAsia"/>
          <w:color w:val="FF0000"/>
          <w:kern w:val="2"/>
          <w:sz w:val="32"/>
          <w:szCs w:val="32"/>
          <w:lang w:eastAsia="zh-CN"/>
        </w:rPr>
        <w:t>2、</w:t>
      </w:r>
      <w:r>
        <w:rPr>
          <w:rFonts w:ascii="宋体" w:eastAsia="宋体" w:hAnsi="宋体" w:hint="eastAsia"/>
          <w:color w:val="FF0000"/>
          <w:kern w:val="2"/>
          <w:sz w:val="28"/>
          <w:szCs w:val="28"/>
          <w:lang w:eastAsia="zh-CN"/>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eastAsia="宋体" w:hAnsi="宋体"/>
          <w:color w:val="FF0000"/>
          <w:kern w:val="2"/>
          <w:sz w:val="28"/>
          <w:szCs w:val="28"/>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3</w:t>
      </w:r>
      <w:r>
        <w:rPr>
          <w:rFonts w:ascii="宋体" w:eastAsia="宋体" w:hAnsi="宋体"/>
          <w:b/>
          <w:bCs/>
          <w:szCs w:val="20"/>
          <w:lang w:eastAsia="zh-CN"/>
        </w:rPr>
        <w:t>.</w:t>
      </w:r>
      <w:r>
        <w:rPr>
          <w:rFonts w:ascii="宋体" w:eastAsia="宋体" w:hAnsi="宋体" w:hint="eastAsia"/>
          <w:b/>
          <w:bCs/>
          <w:szCs w:val="20"/>
          <w:lang w:eastAsia="zh-CN"/>
        </w:rPr>
        <w:t>实质性条款响应情况表</w:t>
      </w:r>
    </w:p>
    <w:p>
      <w:pPr>
        <w:widowControl w:val="0"/>
        <w:snapToGrid w:val="0"/>
        <w:jc w:val="both"/>
        <w:rPr>
          <w:rFonts w:ascii="Arial" w:eastAsia="宋体" w:hAnsi="Arial" w:cs="Arial"/>
          <w:kern w:val="2"/>
          <w:lang w:eastAsia="zh-CN"/>
        </w:rPr>
      </w:pPr>
      <w:r>
        <w:rPr>
          <w:rFonts w:ascii="Arial" w:eastAsia="宋体" w:hAnsi="Arial" w:cs="Arial" w:hint="eastAsia"/>
          <w:color w:val="000000"/>
          <w:kern w:val="2"/>
          <w:lang w:eastAsia="zh-CN"/>
        </w:rPr>
        <w:t>投标单位（投标人）名称：</w:t>
      </w:r>
      <w:r>
        <w:rPr>
          <w:rFonts w:ascii="Arial" w:eastAsia="宋体" w:hAnsi="Arial" w:cs="Arial"/>
          <w:color w:val="000000"/>
          <w:kern w:val="2"/>
          <w:u w:val="single"/>
          <w:lang w:eastAsia="zh-CN"/>
        </w:rPr>
        <w:t xml:space="preserve">                         </w:t>
      </w:r>
    </w:p>
    <w:p>
      <w:pPr>
        <w:widowControl w:val="0"/>
        <w:snapToGrid w:val="0"/>
        <w:jc w:val="both"/>
        <w:rPr>
          <w:rFonts w:ascii="宋体" w:eastAsia="宋体" w:hAnsi="宋体"/>
          <w:b/>
          <w:kern w:val="2"/>
          <w:lang w:eastAsia="zh-CN"/>
        </w:rPr>
      </w:pPr>
    </w:p>
    <w:tbl>
      <w:tblPr>
        <w:tblStyle w:val="TableNorm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597"/>
        <w:gridCol w:w="3850"/>
        <w:gridCol w:w="2149"/>
        <w:gridCol w:w="1711"/>
        <w:gridCol w:w="981"/>
      </w:tblGrid>
      <w:tr>
        <w:tblPrEx>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rPr>
          <w:trHeight w:val="529"/>
          <w:jc w:val="center"/>
        </w:trPr>
        <w:tc>
          <w:tcPr>
            <w:tcW w:w="602"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序号</w:t>
            </w:r>
          </w:p>
        </w:tc>
        <w:tc>
          <w:tcPr>
            <w:tcW w:w="3901"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实质性条款具体内容</w:t>
            </w:r>
          </w:p>
        </w:tc>
        <w:tc>
          <w:tcPr>
            <w:tcW w:w="2176"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投标文件响应</w:t>
            </w:r>
          </w:p>
        </w:tc>
        <w:tc>
          <w:tcPr>
            <w:tcW w:w="1732" w:type="dxa"/>
          </w:tcPr>
          <w:p>
            <w:pPr>
              <w:widowControl w:val="0"/>
              <w:spacing w:before="156" w:beforeLines="5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偏离情况</w:t>
            </w:r>
          </w:p>
        </w:tc>
        <w:tc>
          <w:tcPr>
            <w:tcW w:w="992" w:type="dxa"/>
            <w:vAlign w:val="center"/>
          </w:tcPr>
          <w:p>
            <w:pPr>
              <w:widowControl w:val="0"/>
              <w:jc w:val="center"/>
              <w:rPr>
                <w:rFonts w:ascii="宋体" w:eastAsia="宋体" w:hAnsi="宋体" w:cs="Arial"/>
                <w:b/>
                <w:kern w:val="2"/>
                <w:sz w:val="21"/>
                <w:szCs w:val="21"/>
                <w:lang w:eastAsia="zh-CN"/>
              </w:rPr>
            </w:pPr>
            <w:r>
              <w:rPr>
                <w:rFonts w:ascii="宋体" w:eastAsia="宋体" w:hAnsi="宋体" w:cs="Arial" w:hint="eastAsia"/>
                <w:b/>
                <w:kern w:val="2"/>
                <w:sz w:val="21"/>
                <w:szCs w:val="21"/>
                <w:lang w:eastAsia="zh-CN"/>
              </w:rPr>
              <w:t>说明</w:t>
            </w:r>
          </w:p>
        </w:tc>
      </w:tr>
      <w:tr>
        <w:tblPrEx>
          <w:tblW w:w="5000" w:type="pct"/>
          <w:jc w:val="center"/>
          <w:tblLayout w:type="fixed"/>
          <w:tblCellMar>
            <w:top w:w="0" w:type="dxa"/>
            <w:left w:w="108" w:type="dxa"/>
            <w:bottom w:w="0" w:type="dxa"/>
            <w:right w:w="108" w:type="dxa"/>
          </w:tblCellMar>
        </w:tblPrEx>
        <w:trPr>
          <w:trHeight w:val="1060"/>
          <w:jc w:val="center"/>
        </w:trPr>
        <w:tc>
          <w:tcPr>
            <w:tcW w:w="602" w:type="dxa"/>
            <w:vAlign w:val="center"/>
          </w:tcPr>
          <w:p>
            <w:pPr>
              <w:widowControl w:val="0"/>
              <w:spacing w:line="300" w:lineRule="auto"/>
              <w:jc w:val="center"/>
              <w:rPr>
                <w:rFonts w:ascii="宋体" w:eastAsia="宋体" w:hAnsi="宋体" w:hint="eastAsia"/>
                <w:b/>
                <w:color w:val="FF0000"/>
                <w:sz w:val="21"/>
                <w:szCs w:val="21"/>
                <w:lang w:eastAsia="zh-CN"/>
              </w:rPr>
            </w:pPr>
            <w:r>
              <w:rPr>
                <w:rFonts w:ascii="宋体" w:eastAsia="宋体" w:hAnsi="宋体" w:hint="eastAsia"/>
                <w:b/>
                <w:color w:val="FF0000"/>
                <w:sz w:val="21"/>
                <w:szCs w:val="21"/>
                <w:lang w:eastAsia="zh-CN"/>
              </w:rPr>
              <w:t>1</w:t>
            </w:r>
          </w:p>
        </w:tc>
        <w:tc>
          <w:tcPr>
            <w:tcW w:w="3901" w:type="dxa"/>
            <w:vAlign w:val="center"/>
          </w:tcPr>
          <w:p>
            <w:pPr>
              <w:widowControl w:val="0"/>
              <w:spacing w:line="300" w:lineRule="auto"/>
              <w:jc w:val="center"/>
              <w:rPr>
                <w:rFonts w:ascii="宋体" w:eastAsia="宋体" w:hAnsi="宋体" w:hint="eastAsia"/>
                <w:b/>
                <w:color w:val="FF0000"/>
                <w:sz w:val="21"/>
                <w:szCs w:val="21"/>
                <w:lang w:eastAsia="zh-CN"/>
              </w:rPr>
            </w:pPr>
            <w:r>
              <w:rPr>
                <w:rFonts w:ascii="宋体" w:eastAsia="宋体" w:hAnsi="宋体" w:hint="eastAsia"/>
                <w:b/>
                <w:color w:val="FF0000"/>
                <w:sz w:val="21"/>
                <w:szCs w:val="21"/>
                <w:lang w:eastAsia="zh-CN"/>
              </w:rPr>
              <w:t>本项目招标文件中所有带★号条款内容</w:t>
            </w:r>
          </w:p>
        </w:tc>
        <w:tc>
          <w:tcPr>
            <w:tcW w:w="2176" w:type="dxa"/>
            <w:vAlign w:val="center"/>
          </w:tcPr>
          <w:p>
            <w:pPr>
              <w:widowControl w:val="0"/>
              <w:spacing w:line="300" w:lineRule="auto"/>
              <w:jc w:val="center"/>
              <w:rPr>
                <w:rFonts w:ascii="宋体" w:eastAsia="宋体" w:hAnsi="宋体" w:hint="eastAsia"/>
                <w:b/>
                <w:sz w:val="21"/>
                <w:szCs w:val="21"/>
                <w:lang w:eastAsia="zh-CN"/>
              </w:rPr>
            </w:pPr>
            <w:r>
              <w:rPr>
                <w:rFonts w:ascii="宋体" w:eastAsia="宋体" w:hAnsi="宋体" w:hint="eastAsia"/>
                <w:b/>
                <w:sz w:val="21"/>
                <w:szCs w:val="21"/>
                <w:lang w:eastAsia="zh-CN"/>
              </w:rPr>
              <w:t>完全响应</w:t>
            </w:r>
          </w:p>
        </w:tc>
        <w:tc>
          <w:tcPr>
            <w:tcW w:w="1732" w:type="dxa"/>
            <w:vAlign w:val="center"/>
          </w:tcPr>
          <w:p>
            <w:pPr>
              <w:widowControl w:val="0"/>
              <w:spacing w:line="300" w:lineRule="auto"/>
              <w:jc w:val="center"/>
              <w:rPr>
                <w:rFonts w:ascii="宋体" w:eastAsia="宋体" w:hAnsi="宋体" w:hint="eastAsia"/>
                <w:b/>
                <w:sz w:val="21"/>
                <w:szCs w:val="21"/>
                <w:lang w:eastAsia="zh-CN"/>
              </w:rPr>
            </w:pPr>
            <w:r>
              <w:rPr>
                <w:rFonts w:ascii="宋体" w:eastAsia="宋体" w:hAnsi="宋体" w:hint="eastAsia"/>
                <w:b/>
                <w:sz w:val="21"/>
                <w:szCs w:val="21"/>
                <w:lang w:eastAsia="zh-CN"/>
              </w:rPr>
              <w:t>无偏离</w:t>
            </w:r>
          </w:p>
        </w:tc>
        <w:tc>
          <w:tcPr>
            <w:tcW w:w="992" w:type="dxa"/>
            <w:vAlign w:val="center"/>
          </w:tcPr>
          <w:p>
            <w:pPr>
              <w:widowControl w:val="0"/>
              <w:spacing w:line="300" w:lineRule="auto"/>
              <w:jc w:val="center"/>
              <w:rPr>
                <w:rFonts w:ascii="宋体" w:eastAsia="宋体" w:hAnsi="宋体" w:hint="eastAsia"/>
                <w:b/>
                <w:color w:val="FF0000"/>
                <w:sz w:val="21"/>
                <w:szCs w:val="21"/>
                <w:lang w:eastAsia="zh-CN"/>
              </w:rPr>
            </w:pPr>
          </w:p>
        </w:tc>
      </w:tr>
    </w:tbl>
    <w:p>
      <w:pPr>
        <w:widowControl w:val="0"/>
        <w:snapToGrid w:val="0"/>
        <w:jc w:val="both"/>
        <w:rPr>
          <w:rFonts w:ascii="宋体" w:eastAsia="宋体" w:hAnsi="宋体"/>
          <w:kern w:val="2"/>
          <w:lang w:eastAsia="zh-CN"/>
        </w:rPr>
      </w:pPr>
    </w:p>
    <w:p>
      <w:pPr>
        <w:widowControl w:val="0"/>
        <w:snapToGrid w:val="0"/>
        <w:jc w:val="both"/>
        <w:rPr>
          <w:rFonts w:ascii="宋体" w:eastAsia="宋体" w:hAnsi="宋体"/>
          <w:b/>
          <w:kern w:val="2"/>
          <w:lang w:eastAsia="zh-CN"/>
        </w:rPr>
      </w:pPr>
      <w:r>
        <w:rPr>
          <w:rFonts w:ascii="宋体" w:eastAsia="宋体" w:hAnsi="宋体" w:hint="eastAsia"/>
          <w:b/>
          <w:kern w:val="2"/>
          <w:lang w:eastAsia="zh-CN"/>
        </w:rPr>
        <w:t>填写说明：</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1</w:t>
      </w:r>
      <w:r>
        <w:rPr>
          <w:rFonts w:ascii="宋体" w:eastAsia="宋体" w:hAnsi="宋体" w:cs="宋体" w:hint="eastAsia"/>
          <w:bCs/>
          <w:kern w:val="2"/>
          <w:lang w:eastAsia="zh-CN"/>
        </w:rPr>
        <w:t>、</w:t>
      </w:r>
      <w:r>
        <w:rPr>
          <w:rFonts w:ascii="宋体" w:eastAsia="宋体" w:hAnsi="宋体" w:cs="宋体" w:hint="eastAsia"/>
          <w:bCs/>
          <w:kern w:val="2"/>
          <w:lang w:eastAsia="zh-CN"/>
        </w:rPr>
        <w:t>上表所列各项均为不可负偏离条款。</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2</w:t>
      </w:r>
      <w:r>
        <w:rPr>
          <w:rFonts w:ascii="宋体" w:eastAsia="宋体" w:hAnsi="宋体" w:cs="宋体" w:hint="eastAsia"/>
          <w:bCs/>
          <w:kern w:val="2"/>
          <w:lang w:eastAsia="zh-CN"/>
        </w:rPr>
        <w:t>、</w:t>
      </w:r>
      <w:r>
        <w:rPr>
          <w:rFonts w:ascii="宋体" w:eastAsia="宋体" w:hAnsi="宋体" w:cs="宋体" w:hint="eastAsia"/>
          <w:bCs/>
          <w:kern w:val="2"/>
          <w:lang w:eastAsia="zh-CN"/>
        </w:rPr>
        <w:t>“投标</w:t>
      </w:r>
      <w:r>
        <w:rPr>
          <w:rFonts w:ascii="宋体" w:eastAsia="宋体" w:hAnsi="宋体" w:cs="宋体" w:hint="eastAsia"/>
          <w:bCs/>
          <w:kern w:val="2"/>
          <w:lang w:eastAsia="zh-CN"/>
        </w:rPr>
        <w:t>文件</w:t>
      </w:r>
      <w:r>
        <w:rPr>
          <w:rFonts w:ascii="宋体" w:eastAsia="宋体" w:hAnsi="宋体" w:cs="宋体" w:hint="eastAsia"/>
          <w:bCs/>
          <w:kern w:val="2"/>
          <w:lang w:eastAsia="zh-CN"/>
        </w:rPr>
        <w:t>响应”一栏应当详细填写投标人自身响应情况，而不能不合理照搬照抄招标文件实质性条款具体内容。</w:t>
      </w:r>
      <w:r>
        <w:rPr>
          <w:rFonts w:ascii="宋体" w:eastAsia="宋体" w:hAnsi="宋体" w:cs="宋体" w:hint="eastAsia"/>
          <w:b/>
          <w:bCs/>
          <w:kern w:val="2"/>
          <w:lang w:eastAsia="zh-CN"/>
        </w:rPr>
        <w:t>如完全满足实质性条款具体内容可填写“完全响应”，除招标文件另有注明外，不强制要求逐条列出响应。</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3</w:t>
      </w:r>
      <w:r>
        <w:rPr>
          <w:rFonts w:ascii="宋体" w:eastAsia="宋体" w:hAnsi="宋体" w:cs="宋体" w:hint="eastAsia"/>
          <w:bCs/>
          <w:kern w:val="2"/>
          <w:lang w:eastAsia="zh-CN"/>
        </w:rPr>
        <w:t>、</w:t>
      </w:r>
      <w:r>
        <w:rPr>
          <w:rFonts w:ascii="宋体" w:eastAsia="宋体" w:hAnsi="宋体" w:cs="宋体" w:hint="eastAsia"/>
          <w:bCs/>
          <w:kern w:val="2"/>
          <w:lang w:eastAsia="zh-CN"/>
        </w:rPr>
        <w:t>“偏离情况”一栏应填写</w:t>
      </w:r>
      <w:r>
        <w:rPr>
          <w:rFonts w:ascii="宋体" w:eastAsia="宋体" w:hAnsi="宋体" w:cs="宋体" w:hint="eastAsia"/>
          <w:kern w:val="2"/>
          <w:lang w:eastAsia="zh-CN"/>
        </w:rPr>
        <w:t>“</w:t>
      </w:r>
      <w:r>
        <w:rPr>
          <w:rFonts w:ascii="宋体" w:eastAsia="宋体" w:hAnsi="宋体" w:cs="宋体" w:hint="eastAsia"/>
          <w:b/>
          <w:bCs/>
          <w:kern w:val="2"/>
          <w:lang w:eastAsia="zh-CN"/>
        </w:rPr>
        <w:t>正偏离</w:t>
      </w:r>
      <w:r>
        <w:rPr>
          <w:rFonts w:ascii="宋体" w:eastAsia="宋体" w:hAnsi="宋体" w:cs="宋体" w:hint="eastAsia"/>
          <w:kern w:val="2"/>
          <w:lang w:eastAsia="zh-CN"/>
        </w:rPr>
        <w:t>”</w:t>
      </w:r>
      <w:r>
        <w:rPr>
          <w:rFonts w:ascii="宋体" w:eastAsia="宋体" w:hAnsi="宋体" w:cs="宋体" w:hint="eastAsia"/>
          <w:kern w:val="2"/>
          <w:lang w:eastAsia="zh-CN"/>
        </w:rPr>
        <w:t>或</w:t>
      </w:r>
      <w:r>
        <w:rPr>
          <w:rFonts w:ascii="宋体" w:eastAsia="宋体" w:hAnsi="宋体" w:cs="宋体" w:hint="eastAsia"/>
          <w:kern w:val="2"/>
          <w:lang w:eastAsia="zh-CN"/>
        </w:rPr>
        <w:t>“</w:t>
      </w:r>
      <w:r>
        <w:rPr>
          <w:rFonts w:ascii="宋体" w:eastAsia="宋体" w:hAnsi="宋体" w:cs="宋体" w:hint="eastAsia"/>
          <w:b/>
          <w:bCs/>
          <w:kern w:val="2"/>
          <w:lang w:eastAsia="zh-CN"/>
        </w:rPr>
        <w:t>负偏离</w:t>
      </w:r>
      <w:r>
        <w:rPr>
          <w:rFonts w:ascii="宋体" w:eastAsia="宋体" w:hAnsi="宋体" w:cs="宋体" w:hint="eastAsia"/>
          <w:kern w:val="2"/>
          <w:lang w:eastAsia="zh-CN"/>
        </w:rPr>
        <w:t>”或“</w:t>
      </w:r>
      <w:r>
        <w:rPr>
          <w:rFonts w:ascii="宋体" w:eastAsia="宋体" w:hAnsi="宋体" w:cs="宋体" w:hint="eastAsia"/>
          <w:b/>
          <w:bCs/>
          <w:kern w:val="2"/>
          <w:lang w:eastAsia="zh-CN"/>
        </w:rPr>
        <w:t>无偏离</w:t>
      </w:r>
      <w:r>
        <w:rPr>
          <w:rFonts w:ascii="宋体" w:eastAsia="宋体" w:hAnsi="宋体" w:cs="宋体" w:hint="eastAsia"/>
          <w:kern w:val="2"/>
          <w:lang w:eastAsia="zh-CN"/>
        </w:rPr>
        <w:t>”</w:t>
      </w:r>
      <w:r>
        <w:rPr>
          <w:rFonts w:ascii="宋体" w:eastAsia="宋体" w:hAnsi="宋体" w:cs="宋体" w:hint="eastAsia"/>
          <w:bCs/>
          <w:kern w:val="2"/>
          <w:lang w:eastAsia="zh-CN"/>
        </w:rPr>
        <w:t>，“正偏离”表示“投标响应优于实质性条款具体内容要求”，“负偏离”表示“投标响应不满足实质性条款具体内容要求”，“无偏离”表示“投标响应与实质性条款具体内容要求一致”。</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4</w:t>
      </w:r>
      <w:r>
        <w:rPr>
          <w:rFonts w:ascii="宋体" w:eastAsia="宋体" w:hAnsi="宋体" w:cs="宋体" w:hint="eastAsia"/>
          <w:bCs/>
          <w:kern w:val="2"/>
          <w:lang w:eastAsia="zh-CN"/>
        </w:rPr>
        <w:t>、</w:t>
      </w:r>
      <w:r>
        <w:rPr>
          <w:rFonts w:ascii="宋体" w:eastAsia="宋体" w:hAnsi="宋体" w:cs="宋体" w:hint="eastAsia"/>
          <w:bCs/>
          <w:kern w:val="2"/>
          <w:lang w:eastAsia="zh-CN"/>
        </w:rPr>
        <w:t>评审委员会有权对投标响应情况作出判断。</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5</w:t>
      </w:r>
      <w:r>
        <w:rPr>
          <w:rFonts w:ascii="宋体" w:eastAsia="宋体" w:hAnsi="宋体" w:cs="宋体" w:hint="eastAsia"/>
          <w:bCs/>
          <w:kern w:val="2"/>
          <w:lang w:eastAsia="zh-CN"/>
        </w:rPr>
        <w:t>、</w:t>
      </w:r>
      <w:r>
        <w:rPr>
          <w:rFonts w:ascii="宋体" w:eastAsia="宋体" w:hAnsi="宋体" w:cs="宋体" w:hint="eastAsia"/>
          <w:bCs/>
          <w:kern w:val="2"/>
          <w:lang w:eastAsia="zh-CN"/>
        </w:rPr>
        <w:t>实质性响应条款“投标响应情况”与投标文件其它内容冲突的，以实质性响应条款“投标响应情况”为准。</w:t>
      </w:r>
    </w:p>
    <w:p>
      <w:pPr>
        <w:widowControl w:val="0"/>
        <w:spacing w:line="276" w:lineRule="auto"/>
        <w:ind w:firstLine="480" w:firstLineChars="200"/>
        <w:jc w:val="both"/>
        <w:rPr>
          <w:rFonts w:ascii="宋体" w:eastAsia="宋体" w:hAnsi="宋体" w:cs="宋体"/>
          <w:bCs/>
          <w:kern w:val="2"/>
          <w:lang w:eastAsia="zh-CN"/>
        </w:rPr>
      </w:pPr>
      <w:r>
        <w:rPr>
          <w:rFonts w:ascii="宋体" w:eastAsia="宋体" w:hAnsi="宋体" w:cs="宋体" w:hint="eastAsia"/>
          <w:bCs/>
          <w:kern w:val="2"/>
          <w:lang w:eastAsia="zh-CN"/>
        </w:rPr>
        <w:t>6</w:t>
      </w:r>
      <w:r>
        <w:rPr>
          <w:rFonts w:ascii="宋体" w:eastAsia="宋体" w:hAnsi="宋体" w:cs="宋体" w:hint="eastAsia"/>
          <w:bCs/>
          <w:kern w:val="2"/>
          <w:lang w:eastAsia="zh-CN"/>
        </w:rPr>
        <w:t>、</w:t>
      </w:r>
      <w:r>
        <w:rPr>
          <w:rFonts w:ascii="宋体" w:eastAsia="宋体" w:hAnsi="宋体" w:cs="宋体" w:hint="eastAsia"/>
          <w:bCs/>
          <w:kern w:val="2"/>
          <w:lang w:eastAsia="zh-CN"/>
        </w:rPr>
        <w:t>以上实质性条款中要求提供证明材料，需如实提供证明材料扫描件，在“说明”一栏中列明证明材料的位置，以便评审；未要求提供证明材料的，投标人可以不提供。</w:t>
      </w:r>
    </w:p>
    <w:p>
      <w:pPr>
        <w:widowControl w:val="0"/>
        <w:numPr>
          <w:ilvl w:val="0"/>
          <w:numId w:val="0"/>
        </w:numPr>
        <w:snapToGrid w:val="0"/>
        <w:spacing w:after="78" w:afterLines="25" w:line="300" w:lineRule="auto"/>
        <w:ind w:left="0" w:firstLine="0" w:leftChars="0"/>
        <w:jc w:val="both"/>
        <w:rPr>
          <w:rFonts w:ascii="宋体" w:eastAsia="宋体" w:hAnsi="宋体" w:hint="eastAsia"/>
          <w:kern w:val="2"/>
          <w:lang w:eastAsia="zh-CN"/>
        </w:rPr>
      </w:pPr>
    </w:p>
    <w:p>
      <w:pPr>
        <w:widowControl w:val="0"/>
        <w:numPr>
          <w:ilvl w:val="0"/>
          <w:numId w:val="0"/>
        </w:numPr>
        <w:snapToGrid w:val="0"/>
        <w:spacing w:after="78" w:afterLines="25" w:line="300" w:lineRule="auto"/>
        <w:ind w:left="0" w:firstLine="0" w:leftChars="0"/>
        <w:jc w:val="both"/>
        <w:rPr>
          <w:rFonts w:ascii="宋体" w:eastAsia="宋体" w:hAnsi="宋体"/>
          <w:kern w:val="2"/>
          <w:lang w:eastAsia="zh-CN"/>
        </w:rPr>
      </w:pPr>
      <w:r>
        <w:rPr>
          <w:rFonts w:ascii="宋体" w:eastAsia="宋体" w:hAnsi="宋体"/>
          <w:color w:val="FF0000"/>
          <w:kern w:val="2"/>
          <w:sz w:val="32"/>
          <w:szCs w:val="32"/>
          <w:lang w:eastAsia="zh-CN"/>
        </w:rPr>
        <w:br w:type="page"/>
      </w:r>
    </w:p>
    <w:p>
      <w:pPr>
        <w:keepNext/>
        <w:keepLines/>
        <w:pageBreakBefore/>
        <w:widowControl w:val="0"/>
        <w:adjustRightInd w:val="0"/>
        <w:snapToGrid w:val="0"/>
        <w:spacing w:line="360" w:lineRule="auto"/>
        <w:jc w:val="center"/>
        <w:textAlignment w:val="baseline"/>
        <w:outlineLvl w:val="3"/>
        <w:rPr>
          <w:rFonts w:ascii="宋体" w:eastAsia="宋体" w:hAnsi="宋体"/>
          <w:b/>
          <w:bCs/>
          <w:szCs w:val="20"/>
          <w:lang w:eastAsia="zh-CN"/>
        </w:rPr>
      </w:pPr>
      <w:r>
        <w:rPr>
          <w:rFonts w:ascii="宋体" w:eastAsia="宋体" w:hAnsi="宋体" w:hint="eastAsia"/>
          <w:b/>
          <w:bCs/>
          <w:szCs w:val="20"/>
          <w:lang w:eastAsia="zh-CN"/>
        </w:rPr>
        <w:t>4</w:t>
      </w:r>
      <w:r>
        <w:rPr>
          <w:rFonts w:ascii="宋体" w:eastAsia="宋体" w:hAnsi="宋体" w:hint="eastAsia"/>
          <w:b/>
          <w:bCs/>
          <w:szCs w:val="20"/>
          <w:lang w:eastAsia="zh-CN"/>
        </w:rPr>
        <w:t>.技术</w:t>
      </w:r>
      <w:r>
        <w:rPr>
          <w:rFonts w:ascii="宋体" w:eastAsia="宋体" w:hAnsi="宋体" w:hint="eastAsia"/>
          <w:b/>
          <w:bCs/>
          <w:szCs w:val="20"/>
          <w:lang w:eastAsia="zh-CN"/>
        </w:rPr>
        <w:t>要求</w:t>
      </w:r>
      <w:r>
        <w:rPr>
          <w:rFonts w:ascii="宋体" w:eastAsia="宋体" w:hAnsi="宋体" w:hint="eastAsia"/>
          <w:b/>
          <w:bCs/>
          <w:szCs w:val="20"/>
          <w:lang w:eastAsia="zh-CN"/>
        </w:rPr>
        <w:t>偏离表</w:t>
      </w:r>
    </w:p>
    <w:p>
      <w:pPr>
        <w:widowControl w:val="0"/>
        <w:snapToGrid w:val="0"/>
        <w:jc w:val="both"/>
        <w:rPr>
          <w:rFonts w:ascii="Arial" w:eastAsia="宋体" w:hAnsi="Arial" w:cs="Arial"/>
          <w:color w:val="000000"/>
          <w:kern w:val="2"/>
          <w:u w:val="single"/>
          <w:lang w:eastAsia="zh-CN"/>
        </w:rPr>
      </w:pPr>
      <w:r>
        <w:rPr>
          <w:rFonts w:ascii="Arial" w:eastAsia="宋体" w:hAnsi="Arial" w:cs="Arial" w:hint="eastAsia"/>
          <w:color w:val="000000"/>
          <w:kern w:val="2"/>
          <w:lang w:eastAsia="zh-CN"/>
        </w:rPr>
        <w:t>投标单位（投标人）名称：</w:t>
      </w:r>
      <w:r>
        <w:rPr>
          <w:rFonts w:ascii="Arial" w:eastAsia="宋体" w:hAnsi="Arial" w:cs="Arial"/>
          <w:color w:val="000000"/>
          <w:kern w:val="2"/>
          <w:u w:val="single"/>
          <w:lang w:eastAsia="zh-CN"/>
        </w:rPr>
        <w:t xml:space="preserve">                         </w:t>
      </w:r>
    </w:p>
    <w:p>
      <w:pPr>
        <w:widowControl w:val="0"/>
        <w:snapToGrid w:val="0"/>
        <w:jc w:val="both"/>
        <w:rPr>
          <w:rFonts w:ascii="宋体" w:eastAsia="宋体" w:hAnsi="宋体"/>
          <w:kern w:val="2"/>
          <w:lang w:eastAsia="zh-CN"/>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9"/>
        <w:gridCol w:w="1579"/>
        <w:gridCol w:w="2249"/>
        <w:gridCol w:w="2298"/>
        <w:gridCol w:w="1149"/>
        <w:gridCol w:w="1054"/>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11"/>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b/>
                <w:kern w:val="2"/>
                <w:lang w:eastAsia="zh-CN"/>
              </w:rPr>
              <w:t>序号</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货物名称</w:t>
            </w:r>
          </w:p>
        </w:tc>
        <w:tc>
          <w:tcPr>
            <w:tcW w:w="2220"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招标技术要求</w:t>
            </w:r>
          </w:p>
        </w:tc>
        <w:tc>
          <w:tcPr>
            <w:tcW w:w="2268"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投标技术响应</w:t>
            </w: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偏离</w:t>
            </w:r>
          </w:p>
          <w:p>
            <w:pPr>
              <w:widowControl w:val="0"/>
              <w:snapToGrid w:val="0"/>
              <w:jc w:val="center"/>
              <w:rPr>
                <w:rFonts w:ascii="宋体" w:eastAsia="宋体" w:hAnsi="宋体"/>
                <w:b/>
                <w:kern w:val="2"/>
                <w:lang w:eastAsia="zh-CN"/>
              </w:rPr>
            </w:pPr>
            <w:r>
              <w:rPr>
                <w:rFonts w:ascii="宋体" w:eastAsia="宋体" w:hAnsi="宋体" w:hint="eastAsia"/>
                <w:b/>
                <w:kern w:val="2"/>
                <w:lang w:eastAsia="zh-CN"/>
              </w:rPr>
              <w:t>情况</w:t>
            </w:r>
          </w:p>
        </w:tc>
        <w:tc>
          <w:tcPr>
            <w:tcW w:w="1040"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b/>
                <w:kern w:val="2"/>
                <w:lang w:eastAsia="zh-CN"/>
              </w:rPr>
            </w:pPr>
            <w:r>
              <w:rPr>
                <w:rFonts w:ascii="宋体" w:eastAsia="宋体" w:hAnsi="宋体" w:hint="eastAsia"/>
                <w:b/>
                <w:kern w:val="2"/>
                <w:lang w:eastAsia="zh-CN"/>
              </w:rPr>
              <w:t>说明</w:t>
            </w:r>
          </w:p>
        </w:tc>
      </w:tr>
      <w:tr>
        <w:tblPrEx>
          <w:tblW w:w="5000" w:type="pct"/>
          <w:jc w:val="center"/>
          <w:tblLayout w:type="fixed"/>
          <w:tblCellMar>
            <w:top w:w="0" w:type="dxa"/>
            <w:left w:w="108" w:type="dxa"/>
            <w:bottom w:w="0" w:type="dxa"/>
            <w:right w:w="108" w:type="dxa"/>
          </w:tblCellMar>
        </w:tblPrEx>
        <w:trPr>
          <w:trHeight w:val="463"/>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r>
              <w:rPr>
                <w:rFonts w:ascii="宋体" w:eastAsia="宋体" w:hAnsi="宋体" w:hint="eastAsia"/>
                <w:kern w:val="2"/>
                <w:lang w:eastAsia="zh-CN"/>
              </w:rPr>
              <w:t>1</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p>
        </w:tc>
        <w:tc>
          <w:tcPr>
            <w:tcW w:w="222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2268"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04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r>
      <w:tr>
        <w:tblPrEx>
          <w:tblW w:w="5000" w:type="pct"/>
          <w:jc w:val="center"/>
          <w:tblLayout w:type="fixed"/>
          <w:tblCellMar>
            <w:top w:w="0" w:type="dxa"/>
            <w:left w:w="108" w:type="dxa"/>
            <w:bottom w:w="0" w:type="dxa"/>
            <w:right w:w="108" w:type="dxa"/>
          </w:tblCellMar>
        </w:tblPrEx>
        <w:trPr>
          <w:trHeight w:val="448"/>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hint="eastAsia"/>
                <w:kern w:val="2"/>
                <w:lang w:eastAsia="zh-CN"/>
              </w:rPr>
            </w:pPr>
            <w:r>
              <w:rPr>
                <w:rFonts w:ascii="宋体" w:eastAsia="宋体" w:hAnsi="宋体" w:hint="eastAsia"/>
                <w:kern w:val="2"/>
                <w:lang w:eastAsia="zh-CN"/>
              </w:rPr>
              <w:t>2</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p>
        </w:tc>
        <w:tc>
          <w:tcPr>
            <w:tcW w:w="222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2268"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04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r>
      <w:tr>
        <w:tblPrEx>
          <w:tblW w:w="5000" w:type="pct"/>
          <w:jc w:val="center"/>
          <w:tblLayout w:type="fixed"/>
          <w:tblCellMar>
            <w:top w:w="0" w:type="dxa"/>
            <w:left w:w="108" w:type="dxa"/>
            <w:bottom w:w="0" w:type="dxa"/>
            <w:right w:w="108" w:type="dxa"/>
          </w:tblCellMar>
        </w:tblPrEx>
        <w:trPr>
          <w:trHeight w:val="433"/>
          <w:jc w:val="center"/>
        </w:trPr>
        <w:tc>
          <w:tcPr>
            <w:tcW w:w="947"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hint="eastAsia"/>
                <w:kern w:val="2"/>
                <w:lang w:eastAsia="zh-CN"/>
              </w:rPr>
            </w:pPr>
            <w:r>
              <w:rPr>
                <w:rFonts w:ascii="宋体" w:eastAsia="宋体" w:hAnsi="宋体" w:hint="eastAsia"/>
                <w:kern w:val="2"/>
                <w:lang w:eastAsia="zh-CN"/>
              </w:rPr>
              <w:t>……</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napToGrid w:val="0"/>
              <w:jc w:val="center"/>
              <w:rPr>
                <w:rFonts w:ascii="宋体" w:eastAsia="宋体" w:hAnsi="宋体"/>
                <w:kern w:val="2"/>
                <w:lang w:eastAsia="zh-CN"/>
              </w:rPr>
            </w:pPr>
          </w:p>
        </w:tc>
        <w:tc>
          <w:tcPr>
            <w:tcW w:w="222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2268"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134"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c>
          <w:tcPr>
            <w:tcW w:w="1040" w:type="dxa"/>
            <w:tcBorders>
              <w:top w:val="double" w:sz="4" w:space="0" w:color="auto"/>
              <w:left w:val="double" w:sz="4" w:space="0" w:color="auto"/>
              <w:bottom w:val="double" w:sz="4" w:space="0" w:color="auto"/>
              <w:right w:val="double" w:sz="4" w:space="0" w:color="auto"/>
            </w:tcBorders>
          </w:tcPr>
          <w:p>
            <w:pPr>
              <w:widowControl w:val="0"/>
              <w:snapToGrid w:val="0"/>
              <w:jc w:val="center"/>
              <w:rPr>
                <w:rFonts w:ascii="宋体" w:eastAsia="宋体" w:hAnsi="宋体"/>
                <w:kern w:val="2"/>
                <w:lang w:eastAsia="zh-CN"/>
              </w:rPr>
            </w:pPr>
          </w:p>
        </w:tc>
      </w:tr>
    </w:tbl>
    <w:p>
      <w:pPr>
        <w:widowControl w:val="0"/>
        <w:snapToGrid w:val="0"/>
        <w:jc w:val="both"/>
        <w:rPr>
          <w:rFonts w:ascii="宋体" w:eastAsia="宋体" w:hAnsi="宋体"/>
          <w:kern w:val="2"/>
          <w:lang w:eastAsia="zh-CN"/>
        </w:rPr>
      </w:pPr>
    </w:p>
    <w:p>
      <w:pPr>
        <w:widowControl w:val="0"/>
        <w:snapToGrid w:val="0"/>
        <w:jc w:val="both"/>
        <w:rPr>
          <w:rFonts w:ascii="宋体" w:eastAsia="宋体" w:hAnsi="宋体" w:hint="eastAsia"/>
          <w:b/>
          <w:kern w:val="2"/>
          <w:lang w:eastAsia="zh-CN"/>
        </w:rPr>
      </w:pPr>
      <w:r>
        <w:rPr>
          <w:rFonts w:ascii="宋体" w:eastAsia="宋体" w:hAnsi="宋体" w:hint="eastAsia"/>
          <w:b/>
          <w:kern w:val="2"/>
          <w:lang w:eastAsia="zh-CN"/>
        </w:rPr>
        <w:t>填写说明：</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hint="eastAsia"/>
          <w:b/>
          <w:kern w:val="2"/>
          <w:szCs w:val="22"/>
          <w:lang w:eastAsia="zh-CN"/>
        </w:rPr>
        <w:t>1、技术要求偏离表的序号、货物名称、招标技术要求等栏目</w:t>
      </w:r>
      <w:bookmarkStart w:id="28" w:name="_Hlk72094407"/>
      <w:r>
        <w:rPr>
          <w:rFonts w:ascii="Calibri" w:eastAsia="宋体" w:hAnsi="Calibri" w:cstheme="minorBidi" w:hint="eastAsia"/>
          <w:b/>
          <w:kern w:val="2"/>
          <w:szCs w:val="22"/>
          <w:lang w:eastAsia="zh-CN"/>
        </w:rPr>
        <w:t>对应“用户需求书”中的“技术要求</w:t>
      </w:r>
      <w:r>
        <w:rPr>
          <w:rFonts w:ascii="Calibri" w:eastAsia="宋体" w:hAnsi="Calibri" w:cstheme="minorBidi" w:hint="eastAsia"/>
          <w:b/>
          <w:kern w:val="2"/>
          <w:szCs w:val="22"/>
          <w:lang w:eastAsia="zh-CN"/>
        </w:rPr>
        <w:t>部分</w:t>
      </w:r>
      <w:r>
        <w:rPr>
          <w:rFonts w:ascii="Calibri" w:eastAsia="宋体" w:hAnsi="Calibri" w:cstheme="minorBidi" w:hint="eastAsia"/>
          <w:b/>
          <w:kern w:val="2"/>
          <w:szCs w:val="22"/>
          <w:lang w:eastAsia="zh-CN"/>
        </w:rPr>
        <w:t>”章节</w:t>
      </w:r>
      <w:bookmarkEnd w:id="28"/>
      <w:r>
        <w:rPr>
          <w:rFonts w:ascii="Calibri" w:eastAsia="宋体" w:hAnsi="Calibri" w:cstheme="minorBidi" w:hint="eastAsia"/>
          <w:b/>
          <w:kern w:val="2"/>
          <w:szCs w:val="22"/>
          <w:lang w:eastAsia="zh-CN"/>
        </w:rPr>
        <w:t>相关内容。</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b/>
          <w:kern w:val="2"/>
          <w:szCs w:val="22"/>
          <w:lang w:eastAsia="zh-CN"/>
        </w:rPr>
        <w:t>2</w:t>
      </w:r>
      <w:r>
        <w:rPr>
          <w:rFonts w:ascii="Calibri" w:eastAsia="宋体" w:hAnsi="Calibri" w:cstheme="minorBidi" w:hint="eastAsia"/>
          <w:b/>
          <w:kern w:val="2"/>
          <w:szCs w:val="22"/>
          <w:lang w:eastAsia="zh-CN"/>
        </w:rPr>
        <w:t>、“投标技术响应”一栏必须一一对照“招标技术要求”，详细填写投标人自身投标货物的具体参数，而不能不合理照搬照抄招标文件的技术要求，以体现具体响应情况。</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b/>
          <w:kern w:val="2"/>
          <w:szCs w:val="22"/>
          <w:lang w:eastAsia="zh-CN"/>
        </w:rPr>
        <w:t>3</w:t>
      </w:r>
      <w:r>
        <w:rPr>
          <w:rFonts w:ascii="Calibri" w:eastAsia="宋体" w:hAnsi="Calibri" w:cstheme="minorBidi" w:hint="eastAsia"/>
          <w:b/>
          <w:kern w:val="2"/>
          <w:szCs w:val="22"/>
          <w:lang w:eastAsia="zh-CN"/>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b/>
          <w:kern w:val="2"/>
          <w:szCs w:val="22"/>
          <w:lang w:eastAsia="zh-CN"/>
        </w:rPr>
        <w:t>4</w:t>
      </w:r>
      <w:r>
        <w:rPr>
          <w:rFonts w:ascii="Calibri" w:eastAsia="宋体" w:hAnsi="Calibri" w:cstheme="minorBidi" w:hint="eastAsia"/>
          <w:b/>
          <w:kern w:val="2"/>
          <w:szCs w:val="22"/>
          <w:lang w:eastAsia="zh-CN"/>
        </w:rPr>
        <w:t>、未要求提供证明资料的招标技术要求，可以不提供证明资料（如实响应即可）。</w:t>
      </w:r>
    </w:p>
    <w:p>
      <w:pPr>
        <w:widowControl w:val="0"/>
        <w:ind w:firstLine="480" w:firstLineChars="200"/>
        <w:jc w:val="both"/>
        <w:rPr>
          <w:rFonts w:ascii="Calibri" w:eastAsia="宋体" w:hAnsi="Calibri"/>
          <w:b/>
          <w:kern w:val="2"/>
          <w:szCs w:val="22"/>
          <w:lang w:eastAsia="zh-CN"/>
        </w:rPr>
      </w:pPr>
      <w:r>
        <w:rPr>
          <w:rFonts w:ascii="Calibri" w:eastAsia="宋体" w:hAnsi="Calibri" w:cstheme="minorBidi" w:hint="eastAsia"/>
          <w:b/>
          <w:kern w:val="2"/>
          <w:szCs w:val="22"/>
          <w:lang w:eastAsia="zh-CN"/>
        </w:rPr>
        <w:t>5、</w:t>
      </w:r>
      <w:bookmarkStart w:id="29" w:name="_Hlk72096106"/>
      <w:r>
        <w:rPr>
          <w:rFonts w:ascii="Calibri" w:eastAsia="宋体" w:hAnsi="Calibri" w:cstheme="minorBidi" w:hint="eastAsia"/>
          <w:b/>
          <w:kern w:val="2"/>
          <w:szCs w:val="22"/>
          <w:lang w:eastAsia="zh-CN"/>
        </w:rPr>
        <w:t>证明资料条款响应要求</w:t>
      </w:r>
      <w:bookmarkEnd w:id="29"/>
      <w:r>
        <w:rPr>
          <w:rFonts w:ascii="Calibri" w:eastAsia="宋体" w:hAnsi="Calibri" w:cstheme="minorBidi" w:hint="eastAsia"/>
          <w:b/>
          <w:kern w:val="2"/>
          <w:szCs w:val="22"/>
          <w:lang w:eastAsia="zh-CN"/>
        </w:rPr>
        <w:t>：要求提供证明资料（且已对证明资料的形式、内容作出明确要求）进行响应的条款，应当在“说明”一栏中列明是否提供了符合要求的证明资料，以及所提供证明资料在表后“证明资料”中的编号（位置）</w:t>
      </w:r>
      <w:r>
        <w:rPr>
          <w:rFonts w:ascii="Calibri" w:eastAsia="宋体" w:hAnsi="Calibri" w:cstheme="minorBidi" w:hint="eastAsia"/>
          <w:b/>
          <w:kern w:val="2"/>
          <w:szCs w:val="22"/>
          <w:lang w:eastAsia="zh-CN"/>
        </w:rPr>
        <w:t>，</w:t>
      </w:r>
      <w:r>
        <w:rPr>
          <w:rFonts w:ascii="Calibri" w:eastAsia="宋体" w:hAnsi="Calibri" w:cstheme="minorBidi" w:hint="eastAsia"/>
          <w:b/>
          <w:kern w:val="2"/>
          <w:szCs w:val="22"/>
          <w:lang w:eastAsia="zh-CN"/>
        </w:rPr>
        <w:t>以便评审；</w:t>
      </w:r>
      <w:bookmarkStart w:id="30" w:name="_Hlk73558782"/>
      <w:r>
        <w:rPr>
          <w:rFonts w:ascii="Calibri" w:eastAsia="宋体" w:hAnsi="Calibri" w:cstheme="minorBidi" w:hint="eastAsia"/>
          <w:b/>
          <w:kern w:val="2"/>
          <w:szCs w:val="22"/>
          <w:lang w:eastAsia="zh-CN"/>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31" w:name="_Hlk73558164"/>
      <w:r>
        <w:rPr>
          <w:rFonts w:ascii="Calibri" w:eastAsia="宋体" w:hAnsi="Calibri" w:cstheme="minorBidi" w:hint="eastAsia"/>
          <w:b/>
          <w:kern w:val="2"/>
          <w:szCs w:val="22"/>
          <w:lang w:eastAsia="zh-CN"/>
        </w:rPr>
        <w:t>且投标人在“偏离情况”一栏响应为“正偏离”或“无偏离”的，经评审委员会认定，将判定为负偏离。</w:t>
      </w:r>
      <w:bookmarkEnd w:id="30"/>
      <w:bookmarkEnd w:id="31"/>
    </w:p>
    <w:p>
      <w:pPr>
        <w:widowControl w:val="0"/>
        <w:ind w:firstLine="480" w:firstLineChars="200"/>
        <w:jc w:val="both"/>
        <w:rPr>
          <w:rFonts w:ascii="Calibri" w:eastAsia="宋体" w:hAnsi="Calibri" w:hint="eastAsia"/>
          <w:b/>
          <w:kern w:val="2"/>
          <w:szCs w:val="22"/>
          <w:lang w:eastAsia="zh-CN"/>
        </w:rPr>
      </w:pPr>
      <w:r>
        <w:rPr>
          <w:rFonts w:ascii="Calibri" w:eastAsia="宋体" w:hAnsi="Calibri" w:cstheme="minorBidi" w:hint="eastAsia"/>
          <w:b/>
          <w:kern w:val="2"/>
          <w:szCs w:val="22"/>
          <w:lang w:eastAsia="zh-CN"/>
        </w:rPr>
        <w:t>6、</w:t>
      </w:r>
      <w:r>
        <w:rPr>
          <w:rFonts w:ascii="Calibri" w:eastAsia="宋体" w:hAnsi="Calibri" w:cstheme="minorBidi" w:hint="eastAsia"/>
          <w:b/>
          <w:kern w:val="2"/>
          <w:szCs w:val="22"/>
          <w:lang w:eastAsia="zh-CN"/>
        </w:rPr>
        <w:t>评审委员会有权对投标人是否存在虚假响应予以认定，并视情况经</w:t>
      </w:r>
      <w:r>
        <w:rPr>
          <w:rFonts w:ascii="Calibri" w:eastAsia="宋体" w:hAnsi="Calibri" w:cstheme="minorBidi" w:hint="eastAsia"/>
          <w:b/>
          <w:kern w:val="2"/>
          <w:szCs w:val="22"/>
          <w:lang w:eastAsia="zh-CN"/>
        </w:rPr>
        <w:t>招标</w:t>
      </w:r>
      <w:r>
        <w:rPr>
          <w:rFonts w:ascii="Calibri" w:eastAsia="宋体" w:hAnsi="Calibri" w:cstheme="minorBidi" w:hint="eastAsia"/>
          <w:b/>
          <w:kern w:val="2"/>
          <w:szCs w:val="22"/>
          <w:lang w:eastAsia="zh-CN"/>
        </w:rPr>
        <w:t>机构报主管部门进行处理；</w:t>
      </w:r>
    </w:p>
    <w:p>
      <w:pPr>
        <w:widowControl w:val="0"/>
        <w:ind w:firstLine="480" w:firstLineChars="200"/>
        <w:jc w:val="both"/>
        <w:rPr>
          <w:rFonts w:ascii="Calibri" w:eastAsia="宋体" w:hAnsi="Calibri" w:hint="eastAsia"/>
          <w:b/>
          <w:kern w:val="2"/>
          <w:szCs w:val="22"/>
          <w:lang w:eastAsia="zh-CN"/>
        </w:rPr>
      </w:pPr>
      <w:r>
        <w:rPr>
          <w:rFonts w:ascii="Calibri" w:eastAsia="宋体" w:hAnsi="Calibri" w:cstheme="minorBidi" w:hint="eastAsia"/>
          <w:b/>
          <w:kern w:val="2"/>
          <w:szCs w:val="22"/>
          <w:lang w:eastAsia="zh-CN"/>
        </w:rPr>
        <w:t>7、</w:t>
      </w:r>
      <w:r>
        <w:rPr>
          <w:rFonts w:ascii="Calibri" w:eastAsia="宋体" w:hAnsi="Calibri" w:cstheme="minorBidi" w:hint="eastAsia"/>
          <w:b/>
          <w:kern w:val="2"/>
          <w:szCs w:val="22"/>
          <w:lang w:eastAsia="zh-CN"/>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eastAsia="黑体" w:hAnsi="宋体"/>
          <w:szCs w:val="20"/>
          <w:lang w:eastAsia="zh-CN"/>
        </w:rPr>
      </w:pPr>
      <w:r>
        <w:rPr>
          <w:rFonts w:ascii="宋体" w:eastAsia="宋体" w:hAnsi="宋体"/>
          <w:color w:val="FF0000"/>
          <w:kern w:val="2"/>
          <w:sz w:val="32"/>
          <w:szCs w:val="32"/>
          <w:lang w:eastAsia="zh-CN"/>
        </w:rPr>
        <w:br w:type="page"/>
      </w:r>
      <w:r>
        <w:rPr>
          <w:rFonts w:ascii="宋体" w:eastAsia="宋体" w:hAnsi="宋体" w:hint="eastAsia"/>
          <w:b/>
          <w:bCs/>
          <w:szCs w:val="20"/>
          <w:lang w:eastAsia="zh-CN"/>
        </w:rPr>
        <w:t>5.</w:t>
      </w:r>
      <w:r>
        <w:rPr>
          <w:rFonts w:ascii="宋体" w:eastAsia="宋体" w:hAnsi="宋体" w:hint="eastAsia"/>
          <w:b/>
          <w:bCs/>
          <w:szCs w:val="20"/>
          <w:lang w:eastAsia="zh-CN"/>
        </w:rPr>
        <w:t>政府采购违法行为风险知悉确认书</w:t>
      </w:r>
    </w:p>
    <w:p>
      <w:pPr>
        <w:widowControl/>
        <w:jc w:val="center"/>
        <w:rPr>
          <w:rFonts w:ascii="黑体" w:eastAsia="黑体" w:hAnsi="宋体"/>
          <w:szCs w:val="20"/>
          <w:lang w:eastAsia="zh-CN"/>
        </w:rPr>
      </w:pP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本公司在投标前已充分知悉以下情形为参与政府采购活动时的重大风险事项，并承诺已对下述风险提示事项重点排查，做到严谨、诚信、依法依规参与政府采购活动。</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一、本公司已充分知悉“隐瞒真实情况，提供虚假资料”的法定情形，相关情形包括但不限于：</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（一）通过转让或者租借等方式从其他单位获取资格或者资质证书投标的。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（二）由其他单位或者其他单位负责人在投标供应商编制的投标文件上加盖印章或者签字的。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（三）项目负责人或者主要技术人员不是本单位人员的。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（四）投标保证金不是从投标供应商基本账户转出的。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（五）其他隐瞒真实情况、提供虚假资料的行为。</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二、本公司已充分知悉“与其他采购参加人串通投标”的法定情形，相关情形包括但不限于：</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（一）投标供应商之间相互约定给予未中标的供应商利益补偿。</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（二）不同投标供应商的法定代表人、主要经营负责人、项目投标授权代表人、项目负责人、主要技术人员为同一人、属同一单位或者在同一单位缴纳社会保险。</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（三）不同投标供应商的投标文件由同一单位或者同一人编制，或者由同一人分阶段参与编制的。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（四）不同投标供应商的投标文件或部分投标文件相互混装。</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（五）不同投标供应商的投标文件内容存在非正常一致。</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（六）由同一单位工作人员为两家以上（含两家）供应商进行同一项投标活动的。</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（七）不同投标人的投标报价呈规律性差异。</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（八）不同投标人的投标保证金从同一单位或者个人的账户转出。</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（九）主管部门依照法律、法规认定的其他情形。</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三、本公司已充分知悉下列情形所对应的法律风险，并在投标前已对相关风险事项进行排查。</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kern w:val="2"/>
          <w:sz w:val="21"/>
          <w:szCs w:val="22"/>
          <w:lang w:eastAsia="zh-CN"/>
        </w:rPr>
        <w:t>（一）对于从其他主体获取的投标资料，供应商应审慎核查，确保投标资料的真实性。</w:t>
      </w:r>
      <w:r>
        <w:rPr>
          <w:rFonts w:ascii="Calibri" w:eastAsia="宋体" w:hAnsi="Calibri" w:cstheme="minorBidi" w:hint="eastAsia"/>
          <w:b/>
          <w:kern w:val="2"/>
          <w:sz w:val="21"/>
          <w:szCs w:val="22"/>
          <w:lang w:eastAsia="zh-CN"/>
        </w:rPr>
        <w:t>如主管部门查实投标文件中存在虚假资料的，无论相关资料是否由第三方或本公司员工提供，均不影响主管部门对供应商存在“隐瞒真实情况，提供虚假资料”违法行为的认定。</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（三）对于涉及安全生产、特种作业、抢险救灾、防疫等政府采购项目，供应商实施提供虚假资料、串通投标等违法行为的，主管部门将依法从严处理。</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（六）单位负责人为同一人或者存在直接控股、管理关系的不同供应商，不得参加同一合同项下的政府采购活动。相关情形如查实，依法作投标无效处理；涉嫌串通投标等违法行为的，主管部门将依法调查处理。</w:t>
      </w:r>
    </w:p>
    <w:p>
      <w:pPr>
        <w:widowControl w:val="0"/>
        <w:ind w:firstLine="420" w:firstLineChars="200"/>
        <w:jc w:val="both"/>
        <w:rPr>
          <w:rFonts w:ascii="Calibri" w:eastAsia="宋体" w:hAnsi="Calibri"/>
          <w:b/>
          <w:kern w:val="2"/>
          <w:sz w:val="21"/>
          <w:szCs w:val="22"/>
          <w:lang w:eastAsia="zh-CN"/>
        </w:rPr>
      </w:pPr>
      <w:r>
        <w:rPr>
          <w:rFonts w:ascii="Calibri" w:eastAsia="宋体" w:hAnsi="Calibri" w:cstheme="minorBidi" w:hint="eastAsia"/>
          <w:b/>
          <w:kern w:val="2"/>
          <w:sz w:val="21"/>
          <w:szCs w:val="22"/>
          <w:lang w:eastAsia="zh-CN"/>
        </w:rPr>
        <w:t>四、本公司已充分知悉政府采购违法、违规行为的法律后果。</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widowControl w:val="0"/>
        <w:ind w:firstLine="420" w:firstLineChars="200"/>
        <w:jc w:val="both"/>
        <w:rPr>
          <w:rFonts w:ascii="Calibri" w:eastAsia="宋体" w:hAnsi="Calibri"/>
          <w:kern w:val="2"/>
          <w:sz w:val="21"/>
          <w:szCs w:val="22"/>
          <w:lang w:eastAsia="zh-CN"/>
        </w:rPr>
      </w:pPr>
      <w:r>
        <w:rPr>
          <w:rFonts w:ascii="Calibri" w:eastAsia="宋体" w:hAnsi="Calibri" w:cstheme="minorBidi" w:hint="eastAsia"/>
          <w:kern w:val="2"/>
          <w:sz w:val="21"/>
          <w:szCs w:val="22"/>
          <w:highlight w:val="yellow"/>
          <w:lang w:eastAsia="zh-CN"/>
        </w:rPr>
        <w:t>以下文字请投标供应商抄写并确认：“本公司已仔细阅读《政府采购违法行为风险知悉确认书》，充分知悉违法行为的法律后果，并承诺将严谨、诚信、依法依规参与政府采购活动”。</w:t>
      </w:r>
    </w:p>
    <w:tbl>
      <w:tblPr>
        <w:tblStyle w:val="1"/>
        <w:tblW w:w="5000" w:type="pct"/>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
      <w:tblGrid>
        <w:gridCol w:w="9288"/>
      </w:tblGrid>
      <w:tr>
        <w:tblPrEx>
          <w:tblW w:w="5000" w:type="pct"/>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PrEx>
        <w:trPr>
          <w:trHeight w:val="304"/>
        </w:trPr>
        <w:tc>
          <w:tcPr>
            <w:tcW w:w="8529" w:type="dxa"/>
            <w:tcBorders>
              <w:top w:val="nil"/>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autoSpaceDE w:val="0"/>
              <w:autoSpaceDN w:val="0"/>
              <w:spacing w:line="400" w:lineRule="exact"/>
              <w:ind w:firstLine="1866"/>
              <w:rPr>
                <w:rFonts w:ascii="宋体" w:eastAsia="宋体" w:hAnsi="宋体"/>
                <w:spacing w:val="-4"/>
                <w:sz w:val="21"/>
                <w:szCs w:val="21"/>
                <w:lang w:eastAsia="zh-CN"/>
              </w:rPr>
            </w:pPr>
          </w:p>
        </w:tc>
      </w:tr>
      <w:tr>
        <w:tblPrEx>
          <w:tblW w:w="5000" w:type="pct"/>
          <w:tblInd w:w="0" w:type="dxa"/>
          <w:tblLayout w:type="fixed"/>
          <w:tblCellMar>
            <w:top w:w="0" w:type="dxa"/>
            <w:left w:w="108" w:type="dxa"/>
            <w:bottom w:w="0" w:type="dxa"/>
            <w:right w:w="108" w:type="dxa"/>
          </w:tblCellMar>
        </w:tblPrEx>
        <w:tc>
          <w:tcPr>
            <w:tcW w:w="8529" w:type="dxa"/>
            <w:tcBorders>
              <w:top w:val="single" w:sz="8" w:space="0" w:color="000000"/>
              <w:left w:val="nil"/>
              <w:bottom w:val="single" w:sz="8" w:space="0" w:color="auto"/>
              <w:right w:val="nil"/>
            </w:tcBorders>
          </w:tcPr>
          <w:p>
            <w:pPr>
              <w:autoSpaceDE w:val="0"/>
              <w:autoSpaceDN w:val="0"/>
              <w:spacing w:line="400" w:lineRule="exact"/>
              <w:ind w:firstLine="1866"/>
              <w:rPr>
                <w:rFonts w:ascii="宋体" w:eastAsia="宋体" w:hAnsi="宋体"/>
                <w:spacing w:val="-4"/>
                <w:sz w:val="21"/>
                <w:szCs w:val="21"/>
                <w:lang w:eastAsia="zh-CN"/>
              </w:rPr>
            </w:pPr>
          </w:p>
        </w:tc>
      </w:tr>
    </w:tbl>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负责人/投标授权代表签名：</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知悉人（公章）：</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808" w:firstLine="420" w:firstLineChars="200"/>
        <w:jc w:val="right"/>
        <w:rPr>
          <w:rFonts w:ascii="宋体" w:eastAsia="宋体" w:hAnsi="宋体"/>
          <w:spacing w:val="-4"/>
          <w:sz w:val="21"/>
          <w:szCs w:val="21"/>
          <w:u w:val="single"/>
          <w:lang w:eastAsia="zh-CN"/>
        </w:rPr>
      </w:pPr>
      <w:r>
        <w:rPr>
          <w:rFonts w:ascii="宋体" w:eastAsia="宋体" w:hAnsi="宋体" w:cstheme="minorBidi" w:hint="eastAsia"/>
          <w:spacing w:val="-4"/>
          <w:sz w:val="21"/>
          <w:szCs w:val="21"/>
          <w:lang w:eastAsia="zh-CN"/>
        </w:rPr>
        <w:t xml:space="preserve">     日期：</w:t>
      </w:r>
      <w:r>
        <w:rPr>
          <w:rFonts w:ascii="宋体" w:eastAsia="宋体" w:hAnsi="宋体" w:cstheme="minorBidi" w:hint="eastAsia"/>
          <w:spacing w:val="-4"/>
          <w:sz w:val="21"/>
          <w:szCs w:val="21"/>
          <w:u w:val="single"/>
          <w:lang w:eastAsia="zh-CN"/>
        </w:rPr>
        <w:t xml:space="preserve">              </w:t>
      </w:r>
    </w:p>
    <w:p>
      <w:pPr>
        <w:widowControl/>
        <w:wordWrap w:val="0"/>
        <w:autoSpaceDE w:val="0"/>
        <w:autoSpaceDN w:val="0"/>
        <w:spacing w:line="400" w:lineRule="exact"/>
        <w:ind w:right="1414" w:firstLine="420" w:firstLineChars="200"/>
        <w:jc w:val="right"/>
        <w:rPr>
          <w:rFonts w:ascii="宋体" w:eastAsia="宋体" w:hAnsi="宋体"/>
          <w:spacing w:val="-4"/>
          <w:sz w:val="21"/>
          <w:szCs w:val="21"/>
          <w:lang w:eastAsia="zh-CN"/>
        </w:rPr>
      </w:pPr>
      <w:r>
        <w:rPr>
          <w:rFonts w:ascii="宋体" w:eastAsia="宋体" w:hAnsi="宋体" w:cstheme="minorBidi" w:hint="eastAsia"/>
          <w:spacing w:val="-4"/>
          <w:sz w:val="21"/>
          <w:szCs w:val="21"/>
          <w:lang w:eastAsia="zh-CN"/>
        </w:rPr>
        <w:t xml:space="preserve">     </w:t>
      </w:r>
    </w:p>
    <w:p>
      <w:pPr>
        <w:widowControl/>
        <w:autoSpaceDE w:val="0"/>
        <w:autoSpaceDN w:val="0"/>
        <w:spacing w:line="400" w:lineRule="exact"/>
        <w:ind w:firstLine="420" w:firstLineChars="200"/>
        <w:jc w:val="left"/>
        <w:rPr>
          <w:rFonts w:ascii="宋体" w:eastAsia="宋体" w:hAnsi="宋体"/>
          <w:b/>
          <w:bCs/>
          <w:color w:val="FF0000"/>
          <w:spacing w:val="-4"/>
          <w:sz w:val="21"/>
          <w:szCs w:val="21"/>
          <w:lang w:eastAsia="zh-CN"/>
        </w:rPr>
      </w:pPr>
      <w:r>
        <w:rPr>
          <w:rFonts w:ascii="宋体" w:eastAsia="宋体" w:hAnsi="宋体" w:cstheme="minorBidi" w:hint="eastAsia"/>
          <w:b/>
          <w:bCs/>
          <w:color w:val="FF0000"/>
          <w:spacing w:val="-4"/>
          <w:sz w:val="21"/>
          <w:szCs w:val="21"/>
          <w:lang w:eastAsia="zh-CN"/>
        </w:rPr>
        <w:t>注：</w:t>
      </w:r>
    </w:p>
    <w:p>
      <w:pPr>
        <w:widowControl/>
        <w:autoSpaceDE w:val="0"/>
        <w:autoSpaceDN w:val="0"/>
        <w:spacing w:line="400" w:lineRule="exact"/>
        <w:ind w:firstLine="420" w:firstLineChars="200"/>
        <w:jc w:val="left"/>
        <w:rPr>
          <w:rFonts w:ascii="宋体" w:eastAsia="宋体" w:hAnsi="宋体"/>
          <w:b/>
          <w:bCs/>
          <w:color w:val="FF0000"/>
          <w:spacing w:val="-4"/>
          <w:sz w:val="21"/>
          <w:szCs w:val="21"/>
          <w:lang w:eastAsia="zh-CN"/>
        </w:rPr>
      </w:pPr>
      <w:r>
        <w:rPr>
          <w:rFonts w:ascii="宋体" w:eastAsia="宋体" w:hAnsi="宋体" w:cstheme="minorBidi" w:hint="eastAsia"/>
          <w:b/>
          <w:bCs/>
          <w:color w:val="FF0000"/>
          <w:spacing w:val="-4"/>
          <w:sz w:val="21"/>
          <w:szCs w:val="21"/>
          <w:lang w:eastAsia="zh-CN"/>
        </w:rPr>
        <w:t>1.</w:t>
      </w:r>
      <w:r>
        <w:rPr>
          <w:rFonts w:ascii="Calibri" w:eastAsia="宋体" w:hAnsi="Calibri" w:cstheme="minorBidi" w:hint="eastAsia"/>
          <w:kern w:val="2"/>
          <w:sz w:val="21"/>
          <w:szCs w:val="22"/>
          <w:lang w:eastAsia="zh-CN"/>
        </w:rPr>
        <w:t xml:space="preserve"> </w:t>
      </w:r>
      <w:r>
        <w:rPr>
          <w:rFonts w:ascii="宋体" w:eastAsia="宋体" w:hAnsi="宋体" w:cstheme="minorBidi" w:hint="eastAsia"/>
          <w:b/>
          <w:bCs/>
          <w:color w:val="FF0000"/>
          <w:spacing w:val="-4"/>
          <w:sz w:val="21"/>
          <w:szCs w:val="21"/>
          <w:lang w:eastAsia="zh-CN"/>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20" w:firstLineChars="200"/>
        <w:jc w:val="left"/>
        <w:rPr>
          <w:rFonts w:ascii="宋体" w:eastAsia="宋体" w:hAnsi="宋体"/>
          <w:color w:val="FF0000"/>
          <w:spacing w:val="-4"/>
          <w:sz w:val="21"/>
          <w:szCs w:val="21"/>
          <w:lang w:eastAsia="zh-CN"/>
        </w:rPr>
      </w:pPr>
      <w:r>
        <w:rPr>
          <w:rFonts w:ascii="宋体" w:eastAsia="宋体" w:hAnsi="宋体" w:cstheme="minorBidi" w:hint="eastAsia"/>
          <w:b/>
          <w:bCs/>
          <w:color w:val="FF0000"/>
          <w:spacing w:val="-4"/>
          <w:sz w:val="21"/>
          <w:szCs w:val="21"/>
          <w:lang w:eastAsia="zh-CN"/>
        </w:rPr>
        <w:t>2.投标供应商负责人或投标授权代表签字</w:t>
      </w:r>
      <w:r>
        <w:rPr>
          <w:rFonts w:ascii="宋体" w:eastAsia="宋体" w:hAnsi="宋体" w:cstheme="minorBidi" w:hint="eastAsia"/>
          <w:b/>
          <w:bCs/>
          <w:color w:val="FF0000"/>
          <w:spacing w:val="-4"/>
          <w:sz w:val="21"/>
          <w:szCs w:val="21"/>
          <w:highlight w:val="yellow"/>
          <w:lang w:eastAsia="zh-CN"/>
        </w:rPr>
        <w:t>并加盖单位公章</w:t>
      </w:r>
      <w:r>
        <w:rPr>
          <w:rFonts w:ascii="宋体" w:eastAsia="宋体" w:hAnsi="宋体" w:cstheme="minorBidi" w:hint="eastAsia"/>
          <w:b/>
          <w:bCs/>
          <w:color w:val="FF0000"/>
          <w:spacing w:val="-4"/>
          <w:sz w:val="21"/>
          <w:szCs w:val="21"/>
          <w:lang w:eastAsia="zh-CN"/>
        </w:rPr>
        <w:t>后，扫描上传至投标文件一并提交。</w:t>
      </w: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widowControl/>
        <w:jc w:val="left"/>
        <w:rPr>
          <w:rFonts w:ascii="宋体" w:eastAsia="宋体" w:hAnsi="宋体"/>
          <w:color w:val="FF0000"/>
          <w:kern w:val="2"/>
          <w:sz w:val="32"/>
          <w:szCs w:val="32"/>
          <w:lang w:eastAsia="zh-CN"/>
        </w:rPr>
      </w:pPr>
    </w:p>
    <w:p>
      <w:pPr>
        <w:keepNext/>
        <w:keepLines/>
        <w:widowControl w:val="0"/>
        <w:adjustRightInd w:val="0"/>
        <w:snapToGrid w:val="0"/>
        <w:spacing w:line="360" w:lineRule="auto"/>
        <w:jc w:val="center"/>
        <w:textAlignment w:val="baseline"/>
        <w:outlineLvl w:val="3"/>
        <w:rPr>
          <w:rFonts w:ascii="宋体" w:eastAsia="宋体" w:hAnsi="宋体"/>
          <w:szCs w:val="20"/>
          <w:lang w:eastAsia="zh-CN"/>
        </w:rPr>
      </w:pPr>
      <w:r>
        <w:rPr>
          <w:rFonts w:ascii="宋体" w:eastAsia="宋体" w:hAnsi="宋体" w:hint="eastAsia"/>
          <w:b/>
          <w:bCs/>
          <w:szCs w:val="20"/>
          <w:lang w:eastAsia="zh-CN"/>
        </w:rPr>
        <w:t>6</w:t>
      </w:r>
      <w:r>
        <w:rPr>
          <w:rFonts w:ascii="宋体" w:eastAsia="宋体" w:hAnsi="宋体" w:hint="eastAsia"/>
          <w:b/>
          <w:bCs/>
          <w:szCs w:val="20"/>
          <w:lang w:eastAsia="zh-CN"/>
        </w:rPr>
        <w:t>.人员情况表</w:t>
      </w:r>
    </w:p>
    <w:tbl>
      <w:tblPr>
        <w:tblStyle w:val="TableNormal"/>
        <w:tblW w:w="5000" w:type="pct"/>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
      <w:tblGrid>
        <w:gridCol w:w="886"/>
        <w:gridCol w:w="1304"/>
        <w:gridCol w:w="1593"/>
        <w:gridCol w:w="2173"/>
        <w:gridCol w:w="3332"/>
      </w:tblGrid>
      <w:tr>
        <w:tblPrEx>
          <w:tblW w:w="5000" w:type="pct"/>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0" w:type="dxa"/>
            <w:left w:w="108" w:type="dxa"/>
            <w:bottom w:w="0" w:type="dxa"/>
            <w:right w:w="108" w:type="dxa"/>
          </w:tblCellMar>
        </w:tblPrEx>
        <w:tc>
          <w:tcPr>
            <w:tcW w:w="867"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序号</w:t>
            </w:r>
          </w:p>
        </w:tc>
        <w:tc>
          <w:tcPr>
            <w:tcW w:w="1276"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职务</w:t>
            </w:r>
          </w:p>
        </w:tc>
        <w:tc>
          <w:tcPr>
            <w:tcW w:w="1559"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姓名</w:t>
            </w:r>
          </w:p>
        </w:tc>
        <w:tc>
          <w:tcPr>
            <w:tcW w:w="2126"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相关证书</w:t>
            </w:r>
          </w:p>
        </w:tc>
        <w:tc>
          <w:tcPr>
            <w:tcW w:w="3260" w:type="dxa"/>
            <w:tcBorders>
              <w:top w:val="double" w:sz="4" w:space="0" w:color="auto"/>
              <w:left w:val="double" w:sz="4" w:space="0" w:color="auto"/>
              <w:bottom w:val="double" w:sz="4" w:space="0" w:color="auto"/>
              <w:right w:val="double" w:sz="4" w:space="0" w:color="auto"/>
            </w:tcBorders>
            <w:vAlign w:val="center"/>
          </w:tcPr>
          <w:p>
            <w:pPr>
              <w:widowControl w:val="0"/>
              <w:spacing w:after="78" w:afterLines="25" w:line="300" w:lineRule="auto"/>
              <w:jc w:val="center"/>
              <w:rPr>
                <w:rFonts w:ascii="宋体" w:eastAsia="宋体" w:hAnsi="宋体" w:cs="Arial"/>
                <w:b/>
                <w:kern w:val="2"/>
                <w:lang w:eastAsia="zh-CN"/>
              </w:rPr>
            </w:pPr>
            <w:r>
              <w:rPr>
                <w:rFonts w:ascii="宋体" w:eastAsia="宋体" w:hAnsi="宋体" w:cs="Arial" w:hint="eastAsia"/>
                <w:b/>
                <w:kern w:val="2"/>
                <w:lang w:eastAsia="zh-CN"/>
              </w:rPr>
              <w:t>相关经验</w:t>
            </w: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r>
        <w:tblPrEx>
          <w:tblW w:w="5000" w:type="pct"/>
          <w:tblInd w:w="92" w:type="dxa"/>
          <w:tblLayout w:type="fixed"/>
          <w:tblCellMar>
            <w:top w:w="0" w:type="dxa"/>
            <w:left w:w="108" w:type="dxa"/>
            <w:bottom w:w="0" w:type="dxa"/>
            <w:right w:w="108" w:type="dxa"/>
          </w:tblCellMar>
        </w:tblPrEx>
        <w:trPr>
          <w:trHeight w:val="320"/>
        </w:trPr>
        <w:tc>
          <w:tcPr>
            <w:tcW w:w="867"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27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1559"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2126"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c>
          <w:tcPr>
            <w:tcW w:w="3260" w:type="dxa"/>
            <w:tcBorders>
              <w:top w:val="double" w:sz="4" w:space="0" w:color="auto"/>
              <w:left w:val="double" w:sz="4" w:space="0" w:color="auto"/>
              <w:bottom w:val="double" w:sz="4" w:space="0" w:color="auto"/>
              <w:right w:val="double" w:sz="4" w:space="0" w:color="auto"/>
            </w:tcBorders>
          </w:tcPr>
          <w:p>
            <w:pPr>
              <w:widowControl w:val="0"/>
              <w:spacing w:after="78" w:afterLines="25" w:line="300" w:lineRule="auto"/>
              <w:jc w:val="both"/>
              <w:rPr>
                <w:rFonts w:ascii="宋体" w:eastAsia="宋体" w:hAnsi="宋体" w:cs="Arial"/>
                <w:kern w:val="2"/>
                <w:lang w:eastAsia="zh-CN"/>
              </w:rPr>
            </w:pPr>
          </w:p>
        </w:tc>
      </w:tr>
    </w:tbl>
    <w:p>
      <w:pPr>
        <w:widowControl w:val="0"/>
        <w:spacing w:after="78" w:afterLines="25" w:line="300" w:lineRule="auto"/>
        <w:jc w:val="both"/>
        <w:rPr>
          <w:rFonts w:ascii="Arial" w:eastAsia="宋体" w:hAnsi="Arial" w:hint="eastAsia"/>
          <w:kern w:val="2"/>
          <w:lang w:eastAsia="zh-CN"/>
        </w:rPr>
      </w:pPr>
      <w:r>
        <w:rPr>
          <w:rFonts w:ascii="Arial" w:eastAsia="宋体" w:hAnsi="Arial" w:hint="eastAsia"/>
          <w:kern w:val="2"/>
          <w:lang w:eastAsia="zh-CN"/>
        </w:rPr>
        <w:t>此表格式可根据评分准则要求进行调整，并将要求提供的证明材料扫描件附后。</w:t>
      </w: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center"/>
        <w:rPr>
          <w:rFonts w:ascii="Arial" w:eastAsia="宋体" w:hAnsi="Arial" w:hint="eastAsia"/>
          <w:b/>
          <w:kern w:val="2"/>
          <w:lang w:eastAsia="zh-CN"/>
        </w:rPr>
      </w:pPr>
      <w:r>
        <w:rPr>
          <w:rFonts w:ascii="Arial" w:eastAsia="宋体" w:hAnsi="Arial" w:hint="eastAsia"/>
          <w:b/>
          <w:kern w:val="2"/>
          <w:lang w:eastAsia="zh-CN"/>
        </w:rPr>
        <w:t>（本章未提供的招标要求的其他文件格式由供应商自拟）</w:t>
      </w:r>
    </w:p>
    <w:p>
      <w:pPr>
        <w:widowControl w:val="0"/>
        <w:spacing w:after="78" w:afterLines="25" w:line="300" w:lineRule="auto"/>
        <w:jc w:val="both"/>
        <w:rPr>
          <w:rFonts w:ascii="Arial" w:eastAsia="宋体" w:hAnsi="Arial" w:hint="eastAsia"/>
          <w:kern w:val="2"/>
          <w:lang w:eastAsia="zh-CN"/>
        </w:rPr>
      </w:pPr>
    </w:p>
    <w:p>
      <w:pPr>
        <w:widowControl w:val="0"/>
        <w:spacing w:after="78" w:afterLines="25" w:line="300" w:lineRule="auto"/>
        <w:jc w:val="both"/>
        <w:rPr>
          <w:rFonts w:ascii="Arial" w:eastAsia="宋体" w:hAnsi="Arial" w:hint="eastAsia"/>
          <w:kern w:val="2"/>
          <w:lang w:eastAsia="zh-CN"/>
        </w:rPr>
      </w:pPr>
    </w:p>
    <w:p>
      <w:pPr>
        <w:keepNext/>
        <w:keepLines/>
        <w:widowControl w:val="0"/>
        <w:adjustRightInd w:val="0"/>
        <w:spacing w:before="260" w:after="260"/>
        <w:jc w:val="center"/>
        <w:textAlignment w:val="baseline"/>
        <w:outlineLvl w:val="1"/>
        <w:rPr>
          <w:rFonts w:ascii="宋体" w:eastAsia="宋体" w:hAnsi="宋体"/>
          <w:b/>
          <w:bCs/>
          <w:sz w:val="28"/>
          <w:szCs w:val="28"/>
          <w:lang w:eastAsia="zh-CN"/>
        </w:rPr>
      </w:pPr>
      <w:r>
        <w:rPr>
          <w:rFonts w:ascii="宋体" w:eastAsia="宋体" w:hAnsi="宋体" w:hint="eastAsia"/>
          <w:b/>
          <w:bCs/>
          <w:sz w:val="28"/>
          <w:szCs w:val="28"/>
          <w:lang w:eastAsia="zh-CN"/>
        </w:rPr>
        <w:t>第五章  合同条款及格式</w:t>
      </w:r>
    </w:p>
    <w:p>
      <w:pPr>
        <w:widowControl/>
        <w:jc w:val="center"/>
        <w:rPr>
          <w:rFonts w:ascii="宋体" w:eastAsia="黑体" w:hAnsi="宋体"/>
          <w:bCs/>
          <w:kern w:val="44"/>
          <w:sz w:val="28"/>
          <w:szCs w:val="44"/>
          <w:lang w:eastAsia="zh-CN"/>
        </w:rPr>
      </w:pPr>
      <w:bookmarkStart w:id="32" w:name="_Hlk72574405"/>
      <w:r>
        <w:rPr>
          <w:rFonts w:ascii="Calibri" w:eastAsia="宋体" w:hAnsi="Calibri" w:cstheme="minorBidi" w:hint="eastAsia"/>
          <w:b/>
          <w:kern w:val="2"/>
          <w:szCs w:val="22"/>
          <w:lang w:eastAsia="zh-CN"/>
        </w:rPr>
        <w:t>（仅供参考，具体以项目需求及采购结果为准）</w:t>
      </w:r>
      <w:bookmarkEnd w:id="32"/>
    </w:p>
    <w:p>
      <w:pPr>
        <w:widowControl w:val="0"/>
        <w:snapToGrid w:val="0"/>
        <w:spacing w:line="300" w:lineRule="auto"/>
        <w:jc w:val="center"/>
        <w:rPr>
          <w:rFonts w:ascii="仿宋" w:eastAsia="仿宋" w:hAnsi="仿宋"/>
          <w:kern w:val="2"/>
          <w:sz w:val="28"/>
          <w:szCs w:val="28"/>
          <w:lang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甲方：</w:t>
      </w:r>
      <w:r>
        <w:rPr>
          <w:rFonts w:ascii="宋体" w:eastAsia="宋体" w:hAnsi="宋体" w:cstheme="minorBidi"/>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bookmarkStart w:id="33" w:name="_Hlk75014453"/>
      <w:r>
        <w:rPr>
          <w:rFonts w:ascii="宋体" w:eastAsia="宋体" w:hAnsi="宋体" w:cstheme="minorBidi" w:hint="eastAsia"/>
          <w:kern w:val="2"/>
          <w:sz w:val="21"/>
          <w:szCs w:val="21"/>
          <w:lang w:eastAsia="zh-CN"/>
        </w:rPr>
        <w:t>地址：</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联系人：</w:t>
      </w:r>
      <w:r>
        <w:rPr>
          <w:rFonts w:ascii="宋体" w:eastAsia="宋体" w:hAnsi="宋体" w:cstheme="minorBidi"/>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r>
        <w:rPr>
          <w:rFonts w:ascii="宋体" w:eastAsia="宋体" w:hAnsi="宋体" w:cstheme="minorBidi" w:hint="eastAsia"/>
          <w:kern w:val="2"/>
          <w:sz w:val="21"/>
          <w:szCs w:val="21"/>
          <w:lang w:eastAsia="zh-CN"/>
        </w:rPr>
        <w:t>联系电话：</w:t>
      </w:r>
      <w:bookmarkEnd w:id="33"/>
      <w:r>
        <w:rPr>
          <w:rFonts w:ascii="宋体" w:eastAsia="宋体" w:hAnsi="宋体" w:cstheme="minorBidi" w:hint="eastAsia"/>
          <w:b/>
          <w:bCs/>
          <w:kern w:val="2"/>
          <w:sz w:val="21"/>
          <w:szCs w:val="21"/>
          <w:lang w:eastAsia="zh-CN"/>
        </w:rPr>
        <w:t xml:space="preserve">      </w:t>
      </w:r>
      <w:r>
        <w:rPr>
          <w:rFonts w:ascii="宋体" w:eastAsia="宋体" w:hAnsi="宋体" w:cstheme="minorBidi"/>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乙方：</w:t>
      </w:r>
      <w:r>
        <w:rPr>
          <w:rFonts w:ascii="宋体" w:eastAsia="宋体" w:hAnsi="宋体" w:cstheme="minorBidi"/>
          <w:b/>
          <w:bCs/>
          <w:kern w:val="2"/>
          <w:sz w:val="21"/>
          <w:szCs w:val="21"/>
          <w:lang w:eastAsia="zh-CN"/>
        </w:rPr>
        <w:t xml:space="preserve">            </w:t>
      </w:r>
      <w:r>
        <w:rPr>
          <w:rFonts w:ascii="宋体" w:eastAsia="宋体" w:hAnsi="宋体" w:cstheme="minorBidi" w:hint="eastAsia"/>
          <w:b/>
          <w:bCs/>
          <w:kern w:val="2"/>
          <w:sz w:val="21"/>
          <w:szCs w:val="21"/>
          <w:lang w:eastAsia="zh-CN"/>
        </w:rPr>
        <w:t xml:space="preserve">                            </w:t>
      </w:r>
      <w:r>
        <w:rPr>
          <w:rFonts w:ascii="宋体" w:eastAsia="宋体" w:hAnsi="宋体" w:cstheme="minorBidi"/>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地址：</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联系人：</w:t>
      </w:r>
      <w:r>
        <w:rPr>
          <w:rFonts w:ascii="宋体" w:eastAsia="宋体" w:hAnsi="宋体" w:cstheme="minorBidi"/>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联系电话：</w:t>
      </w:r>
      <w:r>
        <w:rPr>
          <w:rFonts w:ascii="宋体" w:eastAsia="宋体" w:hAnsi="宋体" w:cstheme="minorBidi" w:hint="eastAsia"/>
          <w:b/>
          <w:bCs/>
          <w:kern w:val="2"/>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ascii="宋体" w:eastAsia="宋体" w:hAnsi="宋体"/>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bookmarkStart w:id="34" w:name="_Hlk72574434"/>
      <w:r>
        <w:rPr>
          <w:rFonts w:ascii="Calibri" w:eastAsia="宋体" w:hAnsi="Calibri" w:cstheme="minorBidi" w:hint="eastAsia"/>
          <w:kern w:val="2"/>
          <w:sz w:val="21"/>
          <w:szCs w:val="21"/>
          <w:lang w:eastAsia="zh-CN"/>
        </w:rPr>
        <w:t>根据深圳公共资源交易中心（深圳交易集团有限公司*</w:t>
      </w:r>
      <w:r>
        <w:rPr>
          <w:rFonts w:ascii="Calibri" w:eastAsia="宋体" w:hAnsi="Calibri" w:cstheme="minorBidi"/>
          <w:kern w:val="2"/>
          <w:sz w:val="21"/>
          <w:szCs w:val="21"/>
          <w:lang w:eastAsia="zh-CN"/>
        </w:rPr>
        <w:t>**</w:t>
      </w:r>
      <w:r>
        <w:rPr>
          <w:rFonts w:ascii="Calibri" w:eastAsia="宋体" w:hAnsi="Calibri" w:cstheme="minorBidi" w:hint="eastAsia"/>
          <w:kern w:val="2"/>
          <w:sz w:val="21"/>
          <w:szCs w:val="21"/>
          <w:lang w:eastAsia="zh-CN"/>
        </w:rPr>
        <w:t>分公司）</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号项目结果，</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单位为中标人</w:t>
      </w:r>
      <w:r>
        <w:rPr>
          <w:rFonts w:ascii="Calibri" w:eastAsia="宋体" w:hAnsi="Calibri" w:cstheme="minorBidi" w:hint="eastAsia"/>
          <w:kern w:val="2"/>
          <w:sz w:val="21"/>
          <w:szCs w:val="21"/>
          <w:lang w:eastAsia="zh-CN"/>
        </w:rPr>
        <w:t>。</w:t>
      </w:r>
      <w:bookmarkEnd w:id="34"/>
      <w:r>
        <w:rPr>
          <w:rFonts w:ascii="Calibri" w:eastAsia="宋体" w:hAnsi="Calibri" w:cstheme="minorBidi" w:hint="eastAsia"/>
          <w:kern w:val="2"/>
          <w:sz w:val="21"/>
          <w:szCs w:val="21"/>
          <w:lang w:eastAsia="zh-CN"/>
        </w:rPr>
        <w:t>按照《中华人民共和国民法典》（第三编 合同）和《深圳经济特区政府采购条例》，经深圳市</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（以下简称甲方）和</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r>
        <w:rPr>
          <w:rFonts w:ascii="Calibri" w:eastAsia="宋体" w:hAnsi="Calibri" w:cstheme="minorBidi" w:hint="eastAsia"/>
          <w:kern w:val="2"/>
          <w:sz w:val="21"/>
          <w:szCs w:val="21"/>
          <w:lang w:eastAsia="zh-CN"/>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r>
        <w:rPr>
          <w:rFonts w:ascii="Calibri" w:eastAsia="宋体" w:hAnsi="Calibri" w:cstheme="minorBidi" w:hint="eastAsia"/>
          <w:kern w:val="2"/>
          <w:sz w:val="21"/>
          <w:szCs w:val="21"/>
          <w:lang w:eastAsia="zh-CN"/>
        </w:rPr>
        <w:t>货物名称、规格及数量详见</w:t>
      </w:r>
      <w:r>
        <w:rPr>
          <w:rFonts w:ascii="Calibri" w:eastAsia="宋体" w:hAnsi="Calibri" w:cstheme="minorBidi" w:hint="eastAsia"/>
          <w:b/>
          <w:kern w:val="2"/>
          <w:sz w:val="21"/>
          <w:szCs w:val="21"/>
          <w:u w:val="single"/>
          <w:lang w:eastAsia="zh-CN"/>
        </w:rPr>
        <w:t xml:space="preserve">                  </w:t>
      </w:r>
      <w:r>
        <w:rPr>
          <w:rFonts w:ascii="Calibri" w:eastAsia="宋体" w:hAnsi="Calibri" w:cstheme="minorBidi" w:hint="eastAsia"/>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r>
        <w:rPr>
          <w:rFonts w:ascii="Calibri" w:eastAsia="宋体" w:hAnsi="Calibri" w:cstheme="minorBidi" w:hint="eastAsia"/>
          <w:kern w:val="2"/>
          <w:sz w:val="21"/>
          <w:szCs w:val="21"/>
          <w:lang w:eastAsia="zh-CN"/>
        </w:rPr>
        <w:t>本合同项下总价款为</w:t>
      </w:r>
      <w:r>
        <w:rPr>
          <w:rFonts w:ascii="Calibri" w:eastAsia="宋体" w:hAnsi="Calibri" w:cstheme="minorBidi" w:hint="eastAsia"/>
          <w:kern w:val="2"/>
          <w:sz w:val="21"/>
          <w:szCs w:val="21"/>
          <w:u w:val="single"/>
          <w:lang w:eastAsia="zh-CN"/>
        </w:rPr>
        <w:t xml:space="preserve">              </w:t>
      </w:r>
      <w:r>
        <w:rPr>
          <w:rFonts w:ascii="Calibri" w:eastAsia="宋体" w:hAnsi="Calibri" w:cstheme="minorBidi" w:hint="eastAsia"/>
          <w:kern w:val="2"/>
          <w:sz w:val="21"/>
          <w:szCs w:val="21"/>
          <w:lang w:eastAsia="zh-CN"/>
        </w:rPr>
        <w:t>（大写）人民币，分项价款详见</w:t>
      </w:r>
      <w:r>
        <w:rPr>
          <w:rFonts w:ascii="Calibri" w:eastAsia="宋体" w:hAnsi="Calibri" w:cstheme="minorBidi" w:hint="eastAsia"/>
          <w:b/>
          <w:kern w:val="2"/>
          <w:sz w:val="21"/>
          <w:szCs w:val="21"/>
          <w:u w:val="single"/>
          <w:lang w:eastAsia="zh-CN"/>
        </w:rPr>
        <w:t xml:space="preserve">          </w:t>
      </w:r>
      <w:r>
        <w:rPr>
          <w:rFonts w:ascii="Calibri" w:eastAsia="宋体" w:hAnsi="Calibri" w:cstheme="minorBidi" w:hint="eastAsia"/>
          <w:kern w:val="2"/>
          <w:sz w:val="21"/>
          <w:szCs w:val="21"/>
          <w:lang w:eastAsia="zh-CN"/>
        </w:rPr>
        <w:t>。本合同总价款已包括乙方为履行本合同义务所发生的一切费用，系固定不变价格，且不随通货膨胀的影响而波动。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乙方应于本合同签订之日其</w:t>
      </w:r>
      <w:r>
        <w:rPr>
          <w:rFonts w:ascii="Calibri" w:eastAsia="宋体" w:hAnsi="Calibri"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日内将符合要求的产品向甲方交付（含安装调试），但乙方交付前应向书面通知甲方并征得甲方同意。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w:t>
      </w:r>
      <w:r>
        <w:rPr>
          <w:rFonts w:ascii="宋体" w:eastAsia="宋体" w:hAnsi="宋体" w:cstheme="minorBidi"/>
          <w:kern w:val="2"/>
          <w:sz w:val="21"/>
          <w:szCs w:val="21"/>
          <w:lang w:eastAsia="zh-CN"/>
        </w:rPr>
        <w:t>保修期内，乙方负责对其提供的货物进行维修和系统维护，不再收取任何费用。</w:t>
      </w:r>
      <w:r>
        <w:rPr>
          <w:rFonts w:ascii="宋体" w:eastAsia="宋体" w:hAnsi="宋体" w:cstheme="minorBidi" w:hint="eastAsia"/>
          <w:kern w:val="2"/>
          <w:sz w:val="21"/>
          <w:szCs w:val="21"/>
          <w:lang w:eastAsia="zh-CN"/>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Calibri" w:eastAsia="宋体" w:hAnsi="Calibri"/>
          <w:kern w:val="2"/>
          <w:sz w:val="21"/>
          <w:szCs w:val="22"/>
          <w:lang w:eastAsia="zh-CN"/>
        </w:rPr>
      </w:pPr>
      <w:r>
        <w:rPr>
          <w:rFonts w:ascii="Calibri" w:eastAsia="宋体" w:hAnsi="Calibri" w:cstheme="minorBidi"/>
          <w:kern w:val="2"/>
          <w:sz w:val="21"/>
          <w:szCs w:val="22"/>
          <w:lang w:eastAsia="zh-CN"/>
        </w:rPr>
        <w:t>1</w:t>
      </w:r>
      <w:r>
        <w:rPr>
          <w:rFonts w:ascii="Calibri" w:eastAsia="宋体" w:hAnsi="Calibri" w:cstheme="minorBidi" w:hint="eastAsia"/>
          <w:kern w:val="2"/>
          <w:sz w:val="21"/>
          <w:szCs w:val="22"/>
          <w:lang w:eastAsia="zh-CN"/>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Calibri" w:eastAsia="宋体" w:hAnsi="Calibri"/>
          <w:kern w:val="2"/>
          <w:sz w:val="21"/>
          <w:szCs w:val="22"/>
          <w:lang w:eastAsia="zh-CN"/>
        </w:rPr>
      </w:pPr>
      <w:r>
        <w:rPr>
          <w:rFonts w:ascii="Calibri" w:eastAsia="宋体" w:hAnsi="Calibri" w:cstheme="minorBidi"/>
          <w:kern w:val="2"/>
          <w:sz w:val="21"/>
          <w:szCs w:val="22"/>
          <w:lang w:eastAsia="zh-CN"/>
        </w:rPr>
        <w:t>2</w:t>
      </w:r>
      <w:r>
        <w:rPr>
          <w:rFonts w:ascii="Calibri" w:eastAsia="宋体" w:hAnsi="Calibri" w:cstheme="minorBidi" w:hint="eastAsia"/>
          <w:kern w:val="2"/>
          <w:sz w:val="21"/>
          <w:szCs w:val="22"/>
          <w:lang w:eastAsia="zh-CN"/>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rFonts w:ascii="Calibri" w:eastAsia="宋体" w:hAnsi="Calibri"/>
          <w:b/>
          <w:kern w:val="2"/>
          <w:sz w:val="21"/>
          <w:szCs w:val="22"/>
          <w:lang w:eastAsia="zh-CN"/>
        </w:rPr>
      </w:pPr>
      <w:r>
        <w:rPr>
          <w:rFonts w:ascii="Calibri" w:eastAsia="宋体" w:hAnsi="Calibri" w:cstheme="minorBidi"/>
          <w:kern w:val="2"/>
          <w:sz w:val="21"/>
          <w:szCs w:val="22"/>
          <w:lang w:eastAsia="zh-CN"/>
        </w:rPr>
        <w:t>3</w:t>
      </w:r>
      <w:r>
        <w:rPr>
          <w:rFonts w:ascii="Calibri" w:eastAsia="宋体" w:hAnsi="Calibri" w:cstheme="minorBidi" w:hint="eastAsia"/>
          <w:kern w:val="2"/>
          <w:sz w:val="21"/>
          <w:szCs w:val="22"/>
          <w:lang w:eastAsia="zh-CN"/>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3、甲方在乙方履行完毕本合同项下全部义务后______天内无息退还乙方。</w:t>
      </w:r>
    </w:p>
    <w:p>
      <w:pPr>
        <w:keepNext w:val="0"/>
        <w:keepLines w:val="0"/>
        <w:pageBreakBefore w:val="0"/>
        <w:widowControl w:val="0"/>
        <w:numPr>
          <w:ilvl w:val="12"/>
          <w:numId w:val="0"/>
        </w:numPr>
        <w:kinsoku/>
        <w:wordWrap/>
        <w:overflowPunct/>
        <w:topLinePunct w:val="0"/>
        <w:autoSpaceDE/>
        <w:autoSpaceDN/>
        <w:bidi w:val="0"/>
        <w:adjustRightInd/>
        <w:snapToGrid/>
        <w:spacing w:line="360" w:lineRule="auto"/>
        <w:ind w:left="0" w:firstLine="420" w:firstLineChars="20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ascii="Calibri" w:eastAsia="宋体" w:hAnsi="Calibri"/>
          <w:kern w:val="2"/>
          <w:sz w:val="21"/>
          <w:szCs w:val="22"/>
          <w:lang w:eastAsia="zh-CN"/>
        </w:rPr>
      </w:pPr>
      <w:r>
        <w:rPr>
          <w:rFonts w:ascii="Calibri" w:eastAsia="宋体" w:hAnsi="Calibri" w:cstheme="minorBidi" w:hint="eastAsia"/>
          <w:kern w:val="2"/>
          <w:sz w:val="21"/>
          <w:szCs w:val="22"/>
          <w:lang w:eastAsia="zh-CN"/>
        </w:rPr>
        <w:t xml:space="preserve">   </w:t>
      </w:r>
      <w:r>
        <w:rPr>
          <w:rFonts w:ascii="Calibri" w:eastAsia="宋体" w:hAnsi="Calibri" w:cstheme="minorBidi"/>
          <w:b/>
          <w:kern w:val="2"/>
          <w:sz w:val="21"/>
          <w:szCs w:val="21"/>
          <w:u w:val="single"/>
          <w:lang w:eastAsia="zh-CN"/>
        </w:rPr>
        <w:t xml:space="preserve">   </w:t>
      </w:r>
      <w:r>
        <w:rPr>
          <w:rFonts w:ascii="Calibri" w:eastAsia="宋体" w:hAnsi="Calibri" w:cstheme="minorBidi" w:hint="eastAsia"/>
          <w:b/>
          <w:kern w:val="2"/>
          <w:sz w:val="21"/>
          <w:szCs w:val="21"/>
          <w:u w:val="single"/>
          <w:lang w:eastAsia="zh-CN"/>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第十一条 违约责任</w:t>
      </w:r>
      <w:r>
        <w:rPr>
          <w:rFonts w:ascii="Calibri" w:eastAsia="宋体" w:hAnsi="Calibri" w:cstheme="minorBidi" w:hint="eastAsia"/>
          <w:b/>
          <w:kern w:val="2"/>
          <w:sz w:val="21"/>
          <w:szCs w:val="21"/>
          <w:u w:val="single"/>
          <w:lang w:eastAsia="zh-CN"/>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３、</w:t>
      </w:r>
      <w:r>
        <w:rPr>
          <w:rFonts w:ascii="宋体" w:eastAsia="宋体" w:hAnsi="宋体" w:cstheme="minorBidi"/>
          <w:kern w:val="2"/>
          <w:sz w:val="21"/>
          <w:szCs w:val="21"/>
          <w:lang w:eastAsia="zh-CN"/>
        </w:rPr>
        <w:t>乙方逾期交付货物的，每逾期1天，乙方向甲方偿付逾期交货部分货款总额的</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‰的滞纳金</w:t>
      </w:r>
      <w:r>
        <w:rPr>
          <w:rFonts w:ascii="宋体" w:eastAsia="宋体" w:hAnsi="宋体" w:cstheme="minorBidi" w:hint="eastAsia"/>
          <w:kern w:val="2"/>
          <w:sz w:val="21"/>
          <w:szCs w:val="21"/>
          <w:lang w:eastAsia="zh-CN"/>
        </w:rPr>
        <w:t>。如乙方逾期交货达</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eastAsia="宋体" w:hAnsi="宋体" w:cstheme="minorBidi"/>
          <w:kern w:val="2"/>
          <w:sz w:val="21"/>
          <w:szCs w:val="21"/>
          <w:lang w:eastAsia="zh-CN"/>
        </w:rPr>
        <w:t>如经乙方两次维修</w:t>
      </w:r>
      <w:r>
        <w:rPr>
          <w:rFonts w:ascii="宋体" w:eastAsia="宋体" w:hAnsi="宋体" w:cstheme="minorBidi" w:hint="eastAsia"/>
          <w:kern w:val="2"/>
          <w:sz w:val="21"/>
          <w:szCs w:val="21"/>
          <w:lang w:eastAsia="zh-CN"/>
        </w:rPr>
        <w:t>或更换</w:t>
      </w:r>
      <w:r>
        <w:rPr>
          <w:rFonts w:ascii="宋体" w:eastAsia="宋体" w:hAnsi="宋体" w:cstheme="minorBidi"/>
          <w:kern w:val="2"/>
          <w:sz w:val="21"/>
          <w:szCs w:val="21"/>
          <w:lang w:eastAsia="zh-CN"/>
        </w:rPr>
        <w:t>，货物仍不能达到合同约定</w:t>
      </w:r>
      <w:r>
        <w:rPr>
          <w:rFonts w:ascii="宋体" w:eastAsia="宋体" w:hAnsi="宋体" w:cstheme="minorBidi" w:hint="eastAsia"/>
          <w:kern w:val="2"/>
          <w:sz w:val="21"/>
          <w:szCs w:val="21"/>
          <w:lang w:eastAsia="zh-CN"/>
        </w:rPr>
        <w:t>的</w:t>
      </w:r>
      <w:r>
        <w:rPr>
          <w:rFonts w:ascii="宋体" w:eastAsia="宋体" w:hAnsi="宋体" w:cstheme="minorBidi"/>
          <w:kern w:val="2"/>
          <w:sz w:val="21"/>
          <w:szCs w:val="21"/>
          <w:lang w:eastAsia="zh-CN"/>
        </w:rPr>
        <w:t>质量标准，甲方有权退货，乙方</w:t>
      </w:r>
      <w:r>
        <w:rPr>
          <w:rFonts w:ascii="宋体" w:eastAsia="宋体" w:hAnsi="宋体" w:cstheme="minorBidi" w:hint="eastAsia"/>
          <w:kern w:val="2"/>
          <w:sz w:val="21"/>
          <w:szCs w:val="21"/>
          <w:lang w:eastAsia="zh-CN"/>
        </w:rPr>
        <w:t>应</w:t>
      </w:r>
      <w:r>
        <w:rPr>
          <w:rFonts w:ascii="宋体" w:eastAsia="宋体" w:hAnsi="宋体" w:cstheme="minorBidi"/>
          <w:kern w:val="2"/>
          <w:sz w:val="21"/>
          <w:szCs w:val="21"/>
          <w:lang w:eastAsia="zh-CN"/>
        </w:rPr>
        <w:t>退回全部货款</w:t>
      </w:r>
      <w:r>
        <w:rPr>
          <w:rFonts w:ascii="宋体" w:eastAsia="宋体" w:hAnsi="宋体" w:cstheme="minorBidi" w:hint="eastAsia"/>
          <w:kern w:val="2"/>
          <w:sz w:val="21"/>
          <w:szCs w:val="21"/>
          <w:lang w:eastAsia="zh-CN"/>
        </w:rPr>
        <w:t>并</w:t>
      </w:r>
      <w:r>
        <w:rPr>
          <w:rFonts w:ascii="宋体" w:eastAsia="宋体" w:hAnsi="宋体" w:cstheme="minorBidi"/>
          <w:kern w:val="2"/>
          <w:sz w:val="21"/>
          <w:szCs w:val="21"/>
          <w:lang w:eastAsia="zh-CN"/>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6.</w:t>
      </w:r>
      <w:bookmarkStart w:id="35" w:name="_Hlk75014743"/>
      <w:r>
        <w:rPr>
          <w:rFonts w:ascii="宋体" w:eastAsia="宋体" w:hAnsi="宋体" w:cstheme="minorBidi" w:hint="eastAsia"/>
          <w:kern w:val="2"/>
          <w:sz w:val="21"/>
          <w:szCs w:val="21"/>
          <w:lang w:eastAsia="zh-CN"/>
        </w:rPr>
        <w:t>乙方违反本合同约定的保密义务，甲方有权要求乙方按合同总额【】%支付违约金；造成不良影响或对甲方造成损失的，甲方有权要求乙方消除影响，承担赔偿责任，并有权解除合同。</w:t>
      </w:r>
      <w:bookmarkEnd w:id="35"/>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7、</w:t>
      </w:r>
      <w:bookmarkStart w:id="36" w:name="_Hlk75015079"/>
      <w:r>
        <w:rPr>
          <w:rFonts w:ascii="宋体" w:eastAsia="宋体" w:hAnsi="宋体" w:cstheme="minorBidi" w:hint="eastAsia"/>
          <w:kern w:val="2"/>
          <w:sz w:val="21"/>
          <w:szCs w:val="21"/>
          <w:lang w:eastAsia="zh-CN"/>
        </w:rPr>
        <w:t>因乙方提供的产品受到侵权指控或者引发法律纠纷，影响甲方正常使用或者导致合同目的不能实现的，甲方有权要求乙方按合同总额【】%支付违约金，并有权解除合同。</w:t>
      </w:r>
      <w:bookmarkEnd w:id="36"/>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w:t>
      </w:r>
      <w:r>
        <w:rPr>
          <w:rFonts w:ascii="Calibri" w:eastAsia="宋体" w:hAnsi="Calibri" w:cstheme="minorBidi" w:hint="eastAsia"/>
          <w:b/>
          <w:kern w:val="2"/>
          <w:sz w:val="21"/>
          <w:szCs w:val="21"/>
          <w:lang w:eastAsia="zh-CN"/>
        </w:rPr>
        <w:t>二</w:t>
      </w:r>
      <w:r>
        <w:rPr>
          <w:rFonts w:ascii="Calibri" w:eastAsia="宋体" w:hAnsi="Calibri" w:cstheme="minorBidi" w:hint="eastAsia"/>
          <w:b/>
          <w:kern w:val="2"/>
          <w:sz w:val="21"/>
          <w:szCs w:val="21"/>
          <w:lang w:eastAsia="zh-CN"/>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除</w:t>
      </w:r>
      <w:bookmarkStart w:id="37" w:name="_Hlk75015119"/>
      <w:r>
        <w:rPr>
          <w:rFonts w:ascii="宋体" w:eastAsia="宋体" w:hAnsi="宋体" w:cstheme="minorBidi" w:hint="eastAsia"/>
          <w:kern w:val="2"/>
          <w:sz w:val="21"/>
          <w:szCs w:val="21"/>
          <w:lang w:eastAsia="zh-CN"/>
        </w:rPr>
        <w:t>《深圳经济特区政府采购条例》第40条、</w:t>
      </w:r>
      <w:bookmarkEnd w:id="37"/>
      <w:r>
        <w:rPr>
          <w:rFonts w:ascii="宋体" w:eastAsia="宋体" w:hAnsi="宋体" w:cstheme="minorBidi" w:hint="eastAsia"/>
          <w:kern w:val="2"/>
          <w:sz w:val="21"/>
          <w:szCs w:val="21"/>
          <w:lang w:eastAsia="zh-CN"/>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w:t>
      </w:r>
      <w:r>
        <w:rPr>
          <w:rFonts w:ascii="Calibri" w:eastAsia="宋体" w:hAnsi="Calibri" w:cstheme="minorBidi" w:hint="eastAsia"/>
          <w:b/>
          <w:kern w:val="2"/>
          <w:sz w:val="21"/>
          <w:szCs w:val="21"/>
          <w:lang w:eastAsia="zh-CN"/>
        </w:rPr>
        <w:t>三</w:t>
      </w:r>
      <w:r>
        <w:rPr>
          <w:rFonts w:ascii="Calibri" w:eastAsia="宋体" w:hAnsi="Calibri" w:cstheme="minorBidi" w:hint="eastAsia"/>
          <w:b/>
          <w:kern w:val="2"/>
          <w:sz w:val="21"/>
          <w:szCs w:val="21"/>
          <w:lang w:eastAsia="zh-CN"/>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Calibri" w:eastAsia="宋体" w:hAnsi="Calibri"/>
          <w:b/>
          <w:kern w:val="2"/>
          <w:sz w:val="21"/>
          <w:szCs w:val="21"/>
          <w:lang w:eastAsia="zh-CN"/>
        </w:rPr>
      </w:pPr>
      <w:r>
        <w:rPr>
          <w:rFonts w:ascii="Calibri" w:eastAsia="宋体" w:hAnsi="Calibri" w:cstheme="minorBidi" w:hint="eastAsia"/>
          <w:b/>
          <w:kern w:val="2"/>
          <w:sz w:val="21"/>
          <w:szCs w:val="21"/>
          <w:lang w:eastAsia="zh-CN"/>
        </w:rPr>
        <w:t>第十</w:t>
      </w:r>
      <w:r>
        <w:rPr>
          <w:rFonts w:ascii="Calibri" w:eastAsia="宋体" w:hAnsi="Calibri" w:cstheme="minorBidi" w:hint="eastAsia"/>
          <w:b/>
          <w:kern w:val="2"/>
          <w:sz w:val="21"/>
          <w:szCs w:val="21"/>
          <w:lang w:eastAsia="zh-CN"/>
        </w:rPr>
        <w:t>四</w:t>
      </w:r>
      <w:r>
        <w:rPr>
          <w:rFonts w:ascii="Calibri" w:eastAsia="宋体" w:hAnsi="Calibri" w:cstheme="minorBidi" w:hint="eastAsia"/>
          <w:b/>
          <w:kern w:val="2"/>
          <w:sz w:val="21"/>
          <w:szCs w:val="21"/>
          <w:lang w:eastAsia="zh-CN"/>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2、本合同一式</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份，甲、乙方双方各执</w:t>
      </w:r>
      <w:r>
        <w:rPr>
          <w:rFonts w:ascii="宋体" w:eastAsia="宋体" w:hAnsi="宋体" w:cstheme="minorBidi" w:hint="eastAsia"/>
          <w:kern w:val="2"/>
          <w:sz w:val="21"/>
          <w:szCs w:val="21"/>
          <w:u w:val="single"/>
          <w:lang w:eastAsia="zh-CN"/>
        </w:rPr>
        <w:t xml:space="preserve">     </w:t>
      </w:r>
      <w:r>
        <w:rPr>
          <w:rFonts w:ascii="宋体" w:eastAsia="宋体" w:hAnsi="宋体" w:cstheme="minorBidi" w:hint="eastAsia"/>
          <w:kern w:val="2"/>
          <w:sz w:val="21"/>
          <w:szCs w:val="21"/>
          <w:lang w:eastAsia="zh-CN"/>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eastAsia="宋体" w:hAnsi="宋体"/>
          <w:kern w:val="2"/>
          <w:sz w:val="21"/>
          <w:szCs w:val="21"/>
          <w:lang w:eastAsia="zh-CN"/>
        </w:rPr>
      </w:pPr>
      <w:r>
        <w:rPr>
          <w:rFonts w:ascii="宋体" w:eastAsia="宋体" w:hAnsi="宋体" w:cstheme="minorBidi" w:hint="eastAsia"/>
          <w:kern w:val="2"/>
          <w:sz w:val="21"/>
          <w:szCs w:val="21"/>
          <w:lang w:eastAsia="zh-CN"/>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jc w:val="both"/>
        <w:textAlignment w:val="auto"/>
        <w:outlineLvl w:val="9"/>
        <w:rPr>
          <w:rFonts w:ascii="宋体" w:eastAsia="宋体" w:hAnsi="宋体"/>
          <w:b/>
          <w:kern w:val="2"/>
          <w:sz w:val="21"/>
          <w:szCs w:val="21"/>
          <w:lang w:eastAsia="zh-CN"/>
        </w:rPr>
      </w:pPr>
      <w:r>
        <w:rPr>
          <w:rFonts w:ascii="宋体" w:eastAsia="宋体" w:hAnsi="宋体" w:cstheme="minorBidi" w:hint="eastAsia"/>
          <w:kern w:val="2"/>
          <w:sz w:val="21"/>
          <w:szCs w:val="21"/>
          <w:lang w:eastAsia="zh-CN"/>
        </w:rPr>
        <w:t>日期：   年     月    日         日期：   年     月    日</w:t>
      </w:r>
    </w:p>
    <w:p>
      <w:pPr>
        <w:widowControl/>
        <w:jc w:val="left"/>
        <w:rPr>
          <w:rFonts w:ascii="Arial" w:eastAsia="宋体" w:hAnsi="Arial"/>
          <w:color w:val="FF0000"/>
          <w:kern w:val="2"/>
          <w:sz w:val="21"/>
          <w:lang w:eastAsia="zh-CN"/>
        </w:rPr>
      </w:pPr>
    </w:p>
    <w:p>
      <w:pPr>
        <w:widowControl/>
        <w:jc w:val="left"/>
        <w:rPr>
          <w:rFonts w:ascii="宋体" w:eastAsia="黑体" w:hAnsi="宋体"/>
          <w:b/>
          <w:bCs/>
          <w:color w:val="0000FF"/>
          <w:kern w:val="44"/>
          <w:sz w:val="36"/>
          <w:szCs w:val="44"/>
          <w:lang w:eastAsia="zh-CN"/>
        </w:rPr>
      </w:pPr>
      <w:r>
        <w:rPr>
          <w:rFonts w:ascii="宋体" w:eastAsia="黑体" w:hAnsi="宋体"/>
          <w:b/>
          <w:bCs/>
          <w:color w:val="0000FF"/>
          <w:kern w:val="44"/>
          <w:sz w:val="36"/>
          <w:szCs w:val="44"/>
          <w:lang w:eastAsia="zh-CN"/>
        </w:rPr>
        <w:br w:type="page"/>
      </w:r>
    </w:p>
    <w:p>
      <w:pPr>
        <w:keepNext/>
        <w:keepLines/>
        <w:widowControl w:val="0"/>
        <w:spacing w:before="340" w:after="78" w:afterLines="25" w:line="578" w:lineRule="auto"/>
        <w:jc w:val="center"/>
        <w:outlineLvl w:val="0"/>
        <w:rPr>
          <w:rFonts w:ascii="Arial" w:eastAsia="宋体" w:hAnsi="Arial"/>
          <w:b/>
          <w:bCs/>
          <w:kern w:val="44"/>
          <w:sz w:val="32"/>
          <w:szCs w:val="32"/>
          <w:lang w:eastAsia="zh-CN"/>
        </w:rPr>
      </w:pPr>
      <w:r>
        <w:rPr>
          <w:rFonts w:ascii="Arial" w:eastAsia="宋体" w:hAnsi="Arial" w:hint="eastAsia"/>
          <w:b/>
          <w:bCs/>
          <w:kern w:val="44"/>
          <w:sz w:val="32"/>
          <w:szCs w:val="32"/>
          <w:lang w:eastAsia="zh-CN"/>
        </w:rPr>
        <w:t>第二册  通用条款（公开招标）</w:t>
      </w:r>
    </w:p>
    <w:p>
      <w:pPr>
        <w:keepNext/>
        <w:keepLines/>
        <w:widowControl w:val="0"/>
        <w:numPr>
          <w:ilvl w:val="0"/>
          <w:numId w:val="6"/>
        </w:numPr>
        <w:tabs>
          <w:tab w:val="left" w:pos="720"/>
        </w:tabs>
        <w:adjustRightInd w:val="0"/>
        <w:spacing w:before="156" w:beforeLines="50" w:after="156" w:afterLines="50"/>
        <w:ind w:left="562" w:hanging="562"/>
        <w:jc w:val="center"/>
        <w:textAlignment w:val="baseline"/>
        <w:outlineLvl w:val="1"/>
        <w:rPr>
          <w:rFonts w:ascii="Cambria" w:eastAsia="宋体" w:hAnsi="Cambria"/>
          <w:b/>
          <w:bCs/>
          <w:kern w:val="2"/>
          <w:sz w:val="28"/>
          <w:szCs w:val="28"/>
          <w:lang w:eastAsia="zh-CN"/>
        </w:rPr>
      </w:pPr>
      <w:bookmarkStart w:id="38" w:name="_Hlk72399513"/>
      <w:r>
        <w:rPr>
          <w:rFonts w:ascii="Cambria" w:eastAsia="宋体" w:hAnsi="Cambria" w:cstheme="majorBidi" w:hint="eastAsia"/>
          <w:b/>
          <w:bCs/>
          <w:kern w:val="2"/>
          <w:sz w:val="28"/>
          <w:szCs w:val="28"/>
          <w:lang w:eastAsia="zh-CN"/>
        </w:rPr>
        <w:t>总则</w:t>
      </w:r>
    </w:p>
    <w:bookmarkEnd w:id="38"/>
    <w:p>
      <w:pPr>
        <w:widowControl w:val="0"/>
        <w:jc w:val="both"/>
        <w:rPr>
          <w:rFonts w:ascii="黑体" w:eastAsia="黑体" w:hAnsi="宋体"/>
          <w:kern w:val="2"/>
          <w:szCs w:val="22"/>
          <w:lang w:eastAsia="zh-CN"/>
        </w:rPr>
      </w:pPr>
      <w:bookmarkStart w:id="39" w:name="_Hlk72439706"/>
      <w:r>
        <w:rPr>
          <w:rFonts w:ascii="黑体" w:eastAsia="黑体" w:hAnsi="宋体" w:cstheme="minorBidi" w:hint="eastAsia"/>
          <w:kern w:val="2"/>
          <w:szCs w:val="22"/>
          <w:lang w:eastAsia="zh-CN"/>
        </w:rPr>
        <w:t>1. 通用条款说明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1.1政府集中采购机构发出招标文件通用条款版本，列出深圳市政府采购项目进行招标采购所适用的通用条款内容。</w:t>
      </w:r>
      <w:bookmarkStart w:id="40" w:name="_Hlk72399729"/>
      <w:r>
        <w:rPr>
          <w:rFonts w:ascii="宋体" w:eastAsia="宋体" w:hAnsi="宋体" w:cstheme="minorBidi" w:hint="eastAsia"/>
          <w:kern w:val="2"/>
          <w:sz w:val="21"/>
          <w:szCs w:val="21"/>
          <w:lang w:eastAsia="zh-CN"/>
        </w:rPr>
        <w:t>如有需要，政府集中采购机构可以对通用条款的内容进行补充。</w:t>
      </w:r>
      <w:bookmarkEnd w:id="40"/>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1.2招标文件分为第一册“专用条款”和第二册“通用条款”。</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1.3“专用条款”是对本次采购项目的具体要求，包含招标公告、对通用条款的补充内容及其他关键信息、用户需求书、投标文件格式及附件、合同条款及格式等内容。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1.4“通用条款”是适用于政府采购公开招标项目的基础性条款，具有普遍性和通用性。</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1.5 “专用条款”和“通用条款”表述不一致或有冲突时，以“专用条款”为准。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w:t>
      </w:r>
      <w:r>
        <w:rPr>
          <w:rFonts w:ascii="黑体" w:eastAsia="黑体" w:hAnsi="宋体" w:cstheme="minorBidi"/>
          <w:kern w:val="2"/>
          <w:szCs w:val="22"/>
          <w:lang w:eastAsia="zh-CN"/>
        </w:rPr>
        <w:t>．</w:t>
      </w:r>
      <w:r>
        <w:rPr>
          <w:rFonts w:ascii="黑体" w:eastAsia="黑体" w:hAnsi="宋体" w:cstheme="minorBidi" w:hint="eastAsia"/>
          <w:kern w:val="2"/>
          <w:szCs w:val="22"/>
          <w:lang w:eastAsia="zh-CN"/>
        </w:rPr>
        <w:t>招标说明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本项目按照《深圳经济特区政府采购条例》、《深圳经济特区政府采购条例实施细则》及政府采购其他法律法规，通过公开招标方式确定中标供应商。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3．定义</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kern w:val="2"/>
          <w:sz w:val="21"/>
          <w:szCs w:val="21"/>
          <w:lang w:eastAsia="zh-CN"/>
        </w:rPr>
        <w:t>招标文件中下列术语应解释为：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“采购人”：指利用财政性资金依法进行政府采购的国家机关、事业单位、团体组织；</w:t>
      </w:r>
      <w:r>
        <w:rPr>
          <w:rFonts w:ascii="宋体" w:eastAsia="宋体" w:hAnsi="宋体" w:cstheme="minorBidi"/>
          <w:kern w:val="2"/>
          <w:sz w:val="21"/>
          <w:szCs w:val="21"/>
          <w:lang w:eastAsia="zh-CN"/>
        </w:rPr>
        <w:t xml:space="preserve"> </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3.2 “政府集中采购机构”</w:t>
      </w:r>
      <w:r>
        <w:rPr>
          <w:rFonts w:ascii="Arial" w:eastAsia="宋体" w:hAnsi="Arial" w:cs="Arial" w:hint="eastAsia"/>
          <w:kern w:val="2"/>
          <w:sz w:val="21"/>
          <w:szCs w:val="21"/>
          <w:shd w:val="clear" w:color="auto" w:fill="FFFFFF"/>
          <w:lang w:eastAsia="zh-CN"/>
        </w:rPr>
        <w:t>是指市政府设立的，组织实施政府采购项目，并对政府采购活动提供服务的专门机构；</w:t>
      </w:r>
      <w:r>
        <w:rPr>
          <w:rFonts w:ascii="宋体" w:eastAsia="宋体" w:hAnsi="宋体" w:cstheme="minorBidi" w:hint="eastAsia"/>
          <w:kern w:val="2"/>
          <w:sz w:val="21"/>
          <w:szCs w:val="21"/>
          <w:lang w:eastAsia="zh-CN"/>
        </w:rPr>
        <w:t>本文件所述的“政府集中采购机构”</w:t>
      </w:r>
      <w:r>
        <w:rPr>
          <w:rFonts w:ascii="宋体" w:eastAsia="宋体" w:hAnsi="宋体" w:cstheme="minorBidi"/>
          <w:kern w:val="2"/>
          <w:sz w:val="21"/>
          <w:szCs w:val="21"/>
          <w:lang w:eastAsia="zh-CN"/>
        </w:rPr>
        <w:t>指</w:t>
      </w:r>
      <w:r>
        <w:rPr>
          <w:rFonts w:ascii="宋体" w:eastAsia="宋体" w:hAnsi="宋体" w:cstheme="minorBidi" w:hint="eastAsia"/>
          <w:b/>
          <w:bCs/>
          <w:kern w:val="2"/>
          <w:sz w:val="21"/>
          <w:szCs w:val="21"/>
          <w:lang w:eastAsia="zh-CN"/>
        </w:rPr>
        <w:t>深圳公共资源交易中心</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3.3“投标人”，即供应商，指参加投标竞争并愿意按照招标文件要求向采购人提供货物、工程或者服务的依法成立的法人、其他组织或者自然人；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3.4“评审委员会”是依据《深圳经济特区政府采购条例》、《深圳经济特区政府采购条例实施细则》等有关规定组建的专门负责本次招标其评审工作的临时性机构；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3.5“日期”</w:t>
      </w:r>
      <w:r>
        <w:rPr>
          <w:rFonts w:ascii="宋体" w:eastAsia="宋体" w:hAnsi="宋体" w:cstheme="minorBidi"/>
          <w:kern w:val="2"/>
          <w:sz w:val="21"/>
          <w:szCs w:val="21"/>
          <w:lang w:eastAsia="zh-CN"/>
        </w:rPr>
        <w:t>指</w:t>
      </w:r>
      <w:r>
        <w:rPr>
          <w:rFonts w:ascii="宋体" w:eastAsia="宋体" w:hAnsi="宋体" w:cstheme="minorBidi" w:hint="eastAsia"/>
          <w:kern w:val="2"/>
          <w:sz w:val="21"/>
          <w:szCs w:val="21"/>
          <w:lang w:eastAsia="zh-CN"/>
        </w:rPr>
        <w:t>公历日；</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3.6“合同”指由本次招标所产生的合同或合约文件；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3.7“电子投标文件”指利用</w:t>
      </w:r>
      <w:r>
        <w:rPr>
          <w:rFonts w:ascii="宋体" w:eastAsia="宋体" w:hAnsi="宋体" w:cstheme="minorBidi" w:hint="eastAsia"/>
          <w:b/>
          <w:bCs/>
          <w:color w:val="FF0000"/>
          <w:kern w:val="2"/>
          <w:sz w:val="21"/>
          <w:szCs w:val="21"/>
          <w:lang w:eastAsia="zh-CN"/>
        </w:rPr>
        <w:t>深圳公共资源交易中心（深圳交易集团有限公司</w:t>
      </w:r>
      <w:r>
        <w:rPr>
          <w:rFonts w:ascii="宋体" w:eastAsia="宋体" w:hAnsi="宋体" w:cstheme="minorBidi" w:hint="eastAsia"/>
          <w:b/>
          <w:bCs/>
          <w:color w:val="FF0000"/>
          <w:kern w:val="2"/>
          <w:sz w:val="21"/>
          <w:szCs w:val="21"/>
          <w:lang w:eastAsia="zh-CN"/>
        </w:rPr>
        <w:t>宝安</w:t>
      </w:r>
      <w:r>
        <w:rPr>
          <w:rFonts w:ascii="宋体" w:eastAsia="宋体" w:hAnsi="宋体" w:cstheme="minorBidi" w:hint="eastAsia"/>
          <w:b/>
          <w:bCs/>
          <w:color w:val="FF0000"/>
          <w:kern w:val="2"/>
          <w:sz w:val="21"/>
          <w:szCs w:val="21"/>
          <w:lang w:eastAsia="zh-CN"/>
        </w:rPr>
        <w:t>分公司）</w:t>
      </w:r>
      <w:r>
        <w:rPr>
          <w:rFonts w:ascii="宋体" w:eastAsia="宋体" w:hAnsi="宋体" w:cstheme="minorBidi" w:hint="eastAsia"/>
          <w:kern w:val="2"/>
          <w:sz w:val="21"/>
          <w:szCs w:val="21"/>
          <w:lang w:eastAsia="zh-CN"/>
        </w:rPr>
        <w:t>网站提供的深圳智慧采购平台投标文件制作专用软件（以下简称：投标文件制作软件）制作并加密的投标文件,适用于网上投标；（投标文件制作软件可从“下载地址：http://zfcg.szggzy.com:8081/cgxy/013002/20210923/173e0b2c-7a4c-4246-a0c7-e0ea75d84dd6.html深圳智慧采购平台投标文件制作专用软件.zip”下载）</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3.8“网上投标”指通过</w:t>
      </w:r>
      <w:r>
        <w:rPr>
          <w:rFonts w:ascii="宋体" w:eastAsia="宋体" w:hAnsi="宋体" w:cstheme="minorBidi" w:hint="eastAsia"/>
          <w:b/>
          <w:bCs/>
          <w:color w:val="FF0000"/>
          <w:kern w:val="2"/>
          <w:sz w:val="21"/>
          <w:szCs w:val="21"/>
          <w:lang w:eastAsia="zh-CN"/>
        </w:rPr>
        <w:t>深圳公共资源交易中心（深圳交易集团有限公司</w:t>
      </w:r>
      <w:r>
        <w:rPr>
          <w:rFonts w:ascii="宋体" w:eastAsia="宋体" w:hAnsi="宋体" w:cstheme="minorBidi" w:hint="eastAsia"/>
          <w:b/>
          <w:bCs/>
          <w:color w:val="FF0000"/>
          <w:kern w:val="2"/>
          <w:sz w:val="21"/>
          <w:szCs w:val="21"/>
          <w:lang w:eastAsia="zh-CN"/>
        </w:rPr>
        <w:t>宝安</w:t>
      </w:r>
      <w:r>
        <w:rPr>
          <w:rFonts w:ascii="宋体" w:eastAsia="宋体" w:hAnsi="宋体" w:cstheme="minorBidi" w:hint="eastAsia"/>
          <w:b/>
          <w:bCs/>
          <w:color w:val="FF0000"/>
          <w:kern w:val="2"/>
          <w:sz w:val="21"/>
          <w:szCs w:val="21"/>
          <w:lang w:eastAsia="zh-CN"/>
        </w:rPr>
        <w:t>分公司）</w:t>
      </w:r>
      <w:r>
        <w:rPr>
          <w:rFonts w:ascii="宋体" w:eastAsia="宋体" w:hAnsi="宋体" w:cstheme="minorBidi" w:hint="eastAsia"/>
          <w:kern w:val="2"/>
          <w:sz w:val="21"/>
          <w:szCs w:val="21"/>
          <w:lang w:eastAsia="zh-CN"/>
        </w:rPr>
        <w:t>网站上传电子投标文件；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3.9招标文件中的标题或题名仅起引导作用，而不应视为对招标文件内容的理解和解释。</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 xml:space="preserve">4. </w:t>
      </w:r>
      <w:bookmarkStart w:id="41" w:name="_Hlk72398643"/>
      <w:r>
        <w:rPr>
          <w:rFonts w:ascii="黑体" w:eastAsia="黑体" w:hAnsi="宋体" w:cstheme="minorBidi" w:hint="eastAsia"/>
          <w:kern w:val="2"/>
          <w:szCs w:val="22"/>
          <w:lang w:eastAsia="zh-CN"/>
        </w:rPr>
        <w:t>政府采购供应商责任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4.1欢迎诚信、有实力和有社会责任心的供应商参与政府采购事业。</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4.2投标人应当遵循公平竞争的原则，不得恶意串通，不得妨碍其他投标人的竞争行为，不得损害采购人或者其他投标人的合法权益。如违反上述要求，经核实后，供应商的投标无效。</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5．投标人参加政府采购的条件</w:t>
      </w:r>
    </w:p>
    <w:p>
      <w:pPr>
        <w:widowControl w:val="0"/>
        <w:ind w:firstLine="412" w:firstLineChars="196"/>
        <w:jc w:val="left"/>
        <w:rPr>
          <w:rFonts w:ascii="宋体" w:eastAsia="宋体" w:hAnsi="宋体"/>
          <w:kern w:val="2"/>
          <w:sz w:val="21"/>
          <w:szCs w:val="21"/>
          <w:lang w:eastAsia="zh-CN"/>
        </w:rPr>
      </w:pPr>
      <w:r>
        <w:rPr>
          <w:rFonts w:ascii="宋体" w:eastAsia="宋体" w:hAnsi="宋体" w:cstheme="minorBidi" w:hint="eastAsia"/>
          <w:kern w:val="2"/>
          <w:sz w:val="21"/>
          <w:szCs w:val="21"/>
          <w:lang w:eastAsia="zh-CN"/>
        </w:rPr>
        <w:t>5.1投标人应在投标前到</w:t>
      </w:r>
      <w:r>
        <w:rPr>
          <w:rFonts w:ascii="宋体" w:eastAsia="宋体" w:hAnsi="宋体" w:cstheme="minorBidi" w:hint="eastAsia"/>
          <w:b/>
          <w:bCs/>
          <w:kern w:val="2"/>
          <w:sz w:val="21"/>
          <w:szCs w:val="21"/>
          <w:lang w:eastAsia="zh-CN"/>
        </w:rPr>
        <w:t>深圳公共资源交易中心（具体在深圳交易集团有限公司政府采购业务分公司进行办理）</w:t>
      </w:r>
      <w:r>
        <w:rPr>
          <w:rFonts w:ascii="宋体" w:eastAsia="宋体" w:hAnsi="宋体" w:cstheme="minorBidi" w:hint="eastAsia"/>
          <w:kern w:val="2"/>
          <w:sz w:val="21"/>
          <w:szCs w:val="21"/>
          <w:lang w:eastAsia="zh-CN"/>
        </w:rPr>
        <w:t>进行注册并办理电子密钥。《供应商注册及信息变更指引》详见www.szggzy.com网站“交易服务指南-政府采购”</w:t>
      </w:r>
      <w:r>
        <w:rPr>
          <w:rFonts w:ascii="宋体" w:eastAsia="宋体" w:hAnsi="宋体" w:cstheme="minorBidi" w:hint="eastAsia"/>
          <w:kern w:val="2"/>
          <w:sz w:val="21"/>
          <w:szCs w:val="21"/>
          <w:lang w:eastAsia="zh-CN"/>
        </w:rPr>
        <w:t>。</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5.2投标人资格要求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参加本项目的投标人应具备的资格条件详见本项目招标公告中 “投标人资格要求”（即申请人的资格要求）的内容。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5.3联合体投标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5.3.1　以下有关联合体投标的条款仅适用于允许投标人组成联合体投标的项目。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5.3.2  由两个或两个以上的自然人、法人或者其他组织可以组成一个联合体，以一个供应商的身份共同投标时，应符合以下原则：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（1）投标联合体各方参加政府采购活动应当具备下列条件：</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1、具有独立承担民事责任的能力；</w:t>
      </w:r>
      <w:r>
        <w:rPr>
          <w:rFonts w:ascii="宋体" w:eastAsia="宋体" w:hAnsi="宋体" w:cstheme="minorBidi"/>
          <w:kern w:val="2"/>
          <w:sz w:val="21"/>
          <w:szCs w:val="22"/>
          <w:lang w:eastAsia="zh-CN"/>
        </w:rPr>
        <w:t xml:space="preserve"> </w:t>
      </w:r>
    </w:p>
    <w:p>
      <w:pPr>
        <w:widowControl w:val="0"/>
        <w:ind w:left="420"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2、有良好的商业信誉和健全的财务会计制度；</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3、具有履行合同所必需的设备和专业技术能力；</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4、有依法缴纳税收和社会保障资金的良好记录；</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5、参加政府采购活动前三年内，在经营活动中没有重大违法记录；</w:t>
      </w:r>
      <w:r>
        <w:rPr>
          <w:rFonts w:ascii="宋体" w:eastAsia="宋体" w:hAnsi="宋体" w:cstheme="minorBidi"/>
          <w:kern w:val="2"/>
          <w:sz w:val="21"/>
          <w:szCs w:val="22"/>
          <w:lang w:eastAsia="zh-CN"/>
        </w:rPr>
        <w:t xml:space="preserve"> </w:t>
      </w:r>
    </w:p>
    <w:p>
      <w:pPr>
        <w:widowControl w:val="0"/>
        <w:ind w:left="480" w:firstLine="412" w:leftChars="2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6、法律、行政法规规定的其他条件。</w:t>
      </w:r>
      <w:r>
        <w:rPr>
          <w:rFonts w:ascii="宋体" w:eastAsia="宋体" w:hAnsi="宋体" w:cstheme="minorBidi"/>
          <w:kern w:val="2"/>
          <w:sz w:val="21"/>
          <w:szCs w:val="22"/>
          <w:lang w:eastAsia="zh-CN"/>
        </w:rPr>
        <w:t xml:space="preserve"> </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（2）在投标截止前，投标联合体各方均应注册成政府集中采购机构供应商；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（3）联合体中有同类资质的供应商按照联合体分工承担相同工作的，应当按照资质等级较低的供应商确定资质等级；</w:t>
      </w:r>
    </w:p>
    <w:p>
      <w:pPr>
        <w:widowControl w:val="0"/>
        <w:ind w:firstLine="412" w:firstLineChars="196"/>
        <w:jc w:val="both"/>
        <w:rPr>
          <w:rFonts w:ascii="Calibri" w:eastAsia="宋体" w:hAnsi="Calibri"/>
          <w:kern w:val="2"/>
          <w:sz w:val="21"/>
          <w:szCs w:val="22"/>
          <w:lang w:eastAsia="zh-CN"/>
        </w:rPr>
      </w:pPr>
      <w:r>
        <w:rPr>
          <w:rFonts w:ascii="Calibri" w:eastAsia="宋体" w:hAnsi="Calibri" w:cstheme="minorBidi" w:hint="eastAsia"/>
          <w:kern w:val="2"/>
          <w:sz w:val="21"/>
          <w:szCs w:val="22"/>
          <w:lang w:eastAsia="zh-CN"/>
        </w:rPr>
        <w:t>（4）是否允许联合体参加投标，应当由采购人和采购代理机构根据项目的实际情况和潜在供应商的数量自主决定，如果决定接受联合体投标则应当在招标公告中明示；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（5）投标人的投标文件及中标后签署的合同协议对联合体各方均具法律约束力；</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（6）联合体各方应当签订联合体投标协议，明确约定各方拟承担的工作和责任，并将该协议随投标文件一并递交给政府集中采购机构；</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（7）联合体中标后，联合体各方应当共同与采购人签订合同，就中标项目向采购人承担连带责任；</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2"/>
          <w:lang w:eastAsia="zh-CN"/>
        </w:rPr>
        <w:t>（9）本通用条款中“投标人”一词亦指联合体各方，专用条款另有规定或说明的除外。</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6．政策导向</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6.1</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政府采购扶持贫困地区、中小企业、监狱企业和残疾人福利性单位发展，支持节能减排、环境保护、绿色采购。</w:t>
      </w:r>
    </w:p>
    <w:p>
      <w:pPr>
        <w:widowControl w:val="0"/>
        <w:ind w:firstLine="405"/>
        <w:jc w:val="both"/>
        <w:rPr>
          <w:rFonts w:ascii="Calibri" w:eastAsia="宋体" w:hAnsi="Calibri"/>
          <w:kern w:val="2"/>
          <w:sz w:val="21"/>
          <w:szCs w:val="22"/>
          <w:shd w:val="clear" w:color="auto" w:fill="FFFFFF"/>
          <w:lang w:eastAsia="zh-CN"/>
        </w:rPr>
      </w:pPr>
      <w:r>
        <w:rPr>
          <w:rFonts w:ascii="宋体" w:eastAsia="宋体" w:hAnsi="宋体" w:cstheme="minorBidi" w:hint="eastAsia"/>
          <w:kern w:val="2"/>
          <w:sz w:val="21"/>
          <w:szCs w:val="22"/>
          <w:lang w:eastAsia="zh-CN"/>
        </w:rPr>
        <w:t>6.2</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本项目落实深圳市政府采购供应商诚信管理政策要求。</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7. 本项目若涉及采购货物，则合格的货物及相应服务应满足以下要求：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 xml:space="preserve">.1  </w:t>
      </w:r>
      <w:r>
        <w:rPr>
          <w:rFonts w:ascii="宋体" w:eastAsia="宋体" w:hAnsi="宋体" w:cstheme="minorBidi" w:hint="eastAsia"/>
          <w:kern w:val="2"/>
          <w:sz w:val="21"/>
          <w:szCs w:val="22"/>
          <w:lang w:eastAsia="zh-CN"/>
        </w:rPr>
        <w:t>必须是全新、未使用过的原装合格正品（包括零部件），如安装或配置了软件的，须为正版软件。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7.2  国产的货物及其有关服务必须符合中华人民共和国的设计、制造生产标准及行业标准。招标公告有其他要求的，亦应符合其要求。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4</w:t>
      </w:r>
      <w:r>
        <w:rPr>
          <w:rFonts w:ascii="宋体" w:eastAsia="宋体" w:hAnsi="宋体" w:cstheme="minorBidi"/>
          <w:kern w:val="2"/>
          <w:sz w:val="21"/>
          <w:szCs w:val="22"/>
          <w:lang w:eastAsia="zh-CN"/>
        </w:rPr>
        <w:t xml:space="preserve">  </w:t>
      </w:r>
      <w:r>
        <w:rPr>
          <w:rFonts w:ascii="宋体" w:eastAsia="宋体" w:hAnsi="宋体" w:cstheme="minorBidi" w:hint="eastAsia"/>
          <w:kern w:val="2"/>
          <w:sz w:val="21"/>
          <w:szCs w:val="22"/>
          <w:lang w:eastAsia="zh-CN"/>
        </w:rPr>
        <w:t>投标人</w:t>
      </w:r>
      <w:bookmarkStart w:id="42" w:name="_Hlk72152753"/>
      <w:r>
        <w:rPr>
          <w:rFonts w:ascii="宋体" w:eastAsia="宋体" w:hAnsi="宋体" w:cstheme="minorBidi" w:hint="eastAsia"/>
          <w:kern w:val="2"/>
          <w:sz w:val="21"/>
          <w:szCs w:val="22"/>
          <w:lang w:eastAsia="zh-CN"/>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2"/>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7.6  工期要求：投标人在投标时对其所投项目应提交交货进度、交货计划等，在合同规定的时间内完成项目实施工作。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7.7  投标人必须承担的设备运输、安装调试、验收检测和提供设备操作说明书、图纸等其他相关及类似的义务。</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8．投标费用</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不论投标结果如何，投标人应承担其编制投标文件与递交投标文件所涉及的一切费用。</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9．踏勘现场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9.2投标人及其人员经过采购人的允许，可以进入采购人的项目现场踏勘。若招标文件要求投标人于统一时间地点踏勘现场的，投标人应当按时前往。</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9.3采购人应当通过政府集中采购机构向投标人提供有关现场的书面资料和数据。</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9.4任何人或任何组织在踏勘现场时向投标人提供的任何书面资料或口头承诺，未经政府集中采购机构在网上发布或书面通知，均作无效处理。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1"/>
          <w:lang w:eastAsia="zh-CN"/>
        </w:rPr>
        <w:t>9</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5</w:t>
      </w:r>
      <w:r>
        <w:rPr>
          <w:rFonts w:ascii="宋体" w:eastAsia="宋体" w:hAnsi="宋体" w:cstheme="minorBidi" w:hint="eastAsia"/>
          <w:kern w:val="2"/>
          <w:sz w:val="21"/>
          <w:szCs w:val="21"/>
          <w:lang w:eastAsia="zh-CN"/>
        </w:rPr>
        <w:t>未参与踏勘现场不作为否定投标人资格的理由。</w:t>
      </w:r>
    </w:p>
    <w:p>
      <w:pPr>
        <w:widowControl w:val="0"/>
        <w:jc w:val="both"/>
        <w:rPr>
          <w:rFonts w:ascii="宋体" w:eastAsia="宋体" w:hAnsi="宋体"/>
          <w:kern w:val="2"/>
          <w:sz w:val="21"/>
          <w:szCs w:val="21"/>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0</w:t>
      </w:r>
      <w:r>
        <w:rPr>
          <w:rFonts w:ascii="黑体" w:eastAsia="黑体" w:hAnsi="宋体" w:cstheme="minorBidi" w:hint="eastAsia"/>
          <w:kern w:val="2"/>
          <w:szCs w:val="22"/>
          <w:lang w:eastAsia="zh-CN"/>
        </w:rPr>
        <w:t>．标前会议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0</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2"/>
          <w:lang w:eastAsia="zh-CN"/>
        </w:rPr>
        <w:t>10</w:t>
      </w:r>
      <w:r>
        <w:rPr>
          <w:rFonts w:ascii="宋体" w:eastAsia="宋体" w:hAnsi="宋体" w:cstheme="minorBidi" w:hint="eastAsia"/>
          <w:kern w:val="2"/>
          <w:sz w:val="21"/>
          <w:szCs w:val="22"/>
          <w:lang w:eastAsia="zh-CN"/>
        </w:rPr>
        <w:t>.</w:t>
      </w: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任何人或任何组织在标前会议时向投标人提供的任何书面资料或口头承诺，未经政府集中采购机构在网上发布或书面通知，均作无效处理。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0</w:t>
      </w:r>
      <w:r>
        <w:rPr>
          <w:rFonts w:ascii="宋体" w:eastAsia="宋体" w:hAnsi="宋体" w:cstheme="minorBidi" w:hint="eastAsia"/>
          <w:kern w:val="2"/>
          <w:sz w:val="21"/>
          <w:szCs w:val="21"/>
          <w:lang w:eastAsia="zh-CN"/>
        </w:rPr>
        <w:t>.</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未参与标前会议不作为否定投标人资格的理由。</w:t>
      </w:r>
    </w:p>
    <w:bookmarkEnd w:id="41"/>
    <w:p>
      <w:pPr>
        <w:widowControl w:val="0"/>
        <w:ind w:firstLine="412" w:firstLineChars="196"/>
        <w:jc w:val="both"/>
        <w:rPr>
          <w:rFonts w:ascii="宋体" w:eastAsia="宋体" w:hAnsi="宋体"/>
          <w:kern w:val="2"/>
          <w:sz w:val="21"/>
          <w:szCs w:val="22"/>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招标文件</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1</w:t>
      </w:r>
      <w:r>
        <w:rPr>
          <w:rFonts w:ascii="黑体" w:eastAsia="黑体" w:hAnsi="宋体" w:cstheme="minorBidi" w:hint="eastAsia"/>
          <w:kern w:val="2"/>
          <w:szCs w:val="22"/>
          <w:lang w:eastAsia="zh-CN"/>
        </w:rPr>
        <w:t>．</w:t>
      </w:r>
      <w:bookmarkStart w:id="43" w:name="_Hlk72399819"/>
      <w:r>
        <w:rPr>
          <w:rFonts w:ascii="黑体" w:eastAsia="黑体" w:hAnsi="宋体" w:cstheme="minorBidi" w:hint="eastAsia"/>
          <w:kern w:val="2"/>
          <w:szCs w:val="22"/>
          <w:lang w:eastAsia="zh-CN"/>
        </w:rPr>
        <w:t>招标文件的编制与组成</w:t>
      </w:r>
    </w:p>
    <w:p>
      <w:pPr>
        <w:widowControl w:val="0"/>
        <w:snapToGrid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.1招标文件除以下内容外，政府集中采购机构在招标期间发出的澄清或修改等相关公告或通知内容，均是招标文件的组成部分，对投标人起约束作用；</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招标文件包括下列内容：</w:t>
      </w:r>
    </w:p>
    <w:p>
      <w:pPr>
        <w:widowControl w:val="0"/>
        <w:ind w:left="480" w:firstLine="412" w:leftChars="200" w:firstLineChars="196"/>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第一册  专用条款</w:t>
      </w:r>
    </w:p>
    <w:p>
      <w:pPr>
        <w:widowControl w:val="0"/>
        <w:ind w:left="1234" w:leftChars="514"/>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招标公告</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对通用条款的补充内容及其他关键信息</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用户需求书</w:t>
      </w:r>
    </w:p>
    <w:p>
      <w:pPr>
        <w:widowControl w:val="0"/>
        <w:ind w:left="720" w:firstLine="412" w:leftChars="300" w:firstLineChars="196"/>
        <w:jc w:val="both"/>
        <w:rPr>
          <w:rFonts w:ascii="宋体" w:eastAsia="宋体" w:hAnsi="宋体"/>
          <w:kern w:val="2"/>
          <w:sz w:val="21"/>
          <w:szCs w:val="21"/>
          <w:lang w:eastAsia="zh-CN"/>
        </w:rPr>
      </w:pPr>
      <w:r>
        <w:rPr>
          <w:rFonts w:ascii="Calibri" w:eastAsia="宋体" w:hAnsi="Calibri" w:cstheme="minorBidi" w:hint="eastAsia"/>
          <w:kern w:val="2"/>
          <w:sz w:val="21"/>
          <w:szCs w:val="22"/>
          <w:lang w:eastAsia="zh-CN"/>
        </w:rPr>
        <w:t xml:space="preserve">第四章 </w:t>
      </w:r>
      <w:r>
        <w:rPr>
          <w:rFonts w:ascii="Calibri" w:eastAsia="宋体" w:hAnsi="Calibri" w:cstheme="minorBidi"/>
          <w:kern w:val="2"/>
          <w:sz w:val="21"/>
          <w:szCs w:val="22"/>
          <w:lang w:eastAsia="zh-CN"/>
        </w:rPr>
        <w:t xml:space="preserve"> </w:t>
      </w:r>
      <w:r>
        <w:rPr>
          <w:rFonts w:ascii="Calibri" w:eastAsia="宋体" w:hAnsi="Calibri" w:cstheme="minorBidi" w:hint="eastAsia"/>
          <w:kern w:val="2"/>
          <w:sz w:val="21"/>
          <w:szCs w:val="22"/>
          <w:lang w:eastAsia="zh-CN"/>
        </w:rPr>
        <w:t>投标文件格式及附件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合同条款及格式</w:t>
      </w:r>
    </w:p>
    <w:p>
      <w:pPr>
        <w:widowControl w:val="0"/>
        <w:ind w:left="480" w:firstLine="412" w:leftChars="200" w:firstLineChars="196"/>
        <w:jc w:val="both"/>
        <w:rPr>
          <w:rFonts w:ascii="宋体" w:eastAsia="宋体" w:hAnsi="宋体"/>
          <w:b/>
          <w:kern w:val="2"/>
          <w:sz w:val="21"/>
          <w:szCs w:val="21"/>
          <w:lang w:eastAsia="zh-CN"/>
        </w:rPr>
      </w:pPr>
      <w:r>
        <w:rPr>
          <w:rFonts w:ascii="宋体" w:eastAsia="宋体" w:hAnsi="宋体" w:cstheme="minorBidi" w:hint="eastAsia"/>
          <w:b/>
          <w:kern w:val="2"/>
          <w:sz w:val="21"/>
          <w:szCs w:val="21"/>
          <w:lang w:eastAsia="zh-CN"/>
        </w:rPr>
        <w:t>第二册  通用条款</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第一章  总则</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第二章  招标文件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第三章  投标文件的编制</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第四章  投标文件的递交</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第五章  开标</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第六章  评审要求</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第七章  评审程序及评审方法</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第八章  定标及公示</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第九章  公开招标失败的后续处理</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第十章  合同的授予与备案</w:t>
      </w:r>
    </w:p>
    <w:p>
      <w:pPr>
        <w:widowControl w:val="0"/>
        <w:ind w:left="720" w:firstLine="412" w:leftChars="300"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第十一章  质疑处理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w:t>
      </w:r>
      <w:r>
        <w:rPr>
          <w:rFonts w:ascii="宋体" w:eastAsia="宋体" w:hAnsi="宋体" w:cstheme="minorBidi" w:hint="eastAsia"/>
          <w:kern w:val="2"/>
          <w:sz w:val="21"/>
          <w:szCs w:val="22"/>
          <w:lang w:eastAsia="zh-CN"/>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w:t>
      </w:r>
      <w:r>
        <w:rPr>
          <w:rFonts w:ascii="黑体" w:eastAsia="黑体" w:hAnsi="宋体" w:cstheme="minorBidi"/>
          <w:kern w:val="2"/>
          <w:szCs w:val="22"/>
          <w:lang w:eastAsia="zh-CN"/>
        </w:rPr>
        <w:t>2</w:t>
      </w:r>
      <w:r>
        <w:rPr>
          <w:rFonts w:ascii="黑体" w:eastAsia="黑体" w:hAnsi="宋体" w:cstheme="minorBidi" w:hint="eastAsia"/>
          <w:kern w:val="2"/>
          <w:szCs w:val="22"/>
          <w:lang w:eastAsia="zh-CN"/>
        </w:rPr>
        <w:t>．招标文件的澄清</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.1招标文件澄清的目的是澄清、解答投标人在查阅招标文件后或现场踏勘中可能提出的与投标有关的疑问或询问。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.2投标人如对招标文件内容有疑问，应当在招标公告规定的澄清（提问）截止时间前以网上提问的形式通过网上政府采购系统提交政府集中采购机构。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eastAsia="宋体" w:hAnsi="宋体" w:cstheme="minorBidi"/>
          <w:kern w:val="2"/>
          <w:sz w:val="21"/>
          <w:szCs w:val="21"/>
          <w:lang w:eastAsia="zh-CN"/>
        </w:rPr>
        <w:t>3.3</w:t>
      </w: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3.4</w:t>
      </w:r>
      <w:r>
        <w:rPr>
          <w:rFonts w:ascii="宋体" w:eastAsia="宋体" w:hAnsi="宋体" w:cstheme="minorBidi" w:hint="eastAsia"/>
          <w:kern w:val="2"/>
          <w:sz w:val="21"/>
          <w:szCs w:val="21"/>
          <w:lang w:eastAsia="zh-CN"/>
        </w:rPr>
        <w:t>款规定执行。</w:t>
      </w:r>
    </w:p>
    <w:p>
      <w:pPr>
        <w:widowControl w:val="0"/>
        <w:jc w:val="both"/>
        <w:rPr>
          <w:rFonts w:ascii="黑体" w:eastAsia="黑体" w:hAnsi="宋体"/>
          <w:kern w:val="2"/>
          <w:szCs w:val="22"/>
          <w:lang w:eastAsia="zh-CN"/>
        </w:rPr>
      </w:pPr>
      <w:r>
        <w:rPr>
          <w:rFonts w:ascii="黑体" w:eastAsia="黑体" w:hAnsi="宋体" w:cstheme="minorBidi"/>
          <w:kern w:val="2"/>
          <w:szCs w:val="22"/>
          <w:lang w:eastAsia="zh-CN"/>
        </w:rPr>
        <w:t>1</w:t>
      </w:r>
      <w:r>
        <w:rPr>
          <w:rFonts w:ascii="黑体" w:eastAsia="黑体" w:hAnsi="宋体" w:cstheme="minorBidi" w:hint="eastAsia"/>
          <w:kern w:val="2"/>
          <w:szCs w:val="22"/>
          <w:lang w:eastAsia="zh-CN"/>
        </w:rPr>
        <w:t>3．招标文件的修改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3.1招标文件发出后，在投标截止日期前任何时候，确需要变更招标文件内容的，政府集中采购机构可主动或在解答投标人提出的澄清问题时对招标文件进行修改。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3.2招标文件的修改以书面形式（包括政府集中采购机构网站发布方式，如更正公告等）发送给所有投标人，招标文件的修改内容作为招标文件的组成部分，并具有约束力。</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3"/>
    </w:p>
    <w:p>
      <w:pPr>
        <w:widowControl w:val="0"/>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投标文件的编制</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14．</w:t>
      </w:r>
      <w:bookmarkStart w:id="44" w:name="_Hlk72400236"/>
      <w:r>
        <w:rPr>
          <w:rFonts w:ascii="黑体" w:eastAsia="黑体" w:hAnsi="宋体" w:cstheme="minorBidi" w:hint="eastAsia"/>
          <w:kern w:val="2"/>
          <w:szCs w:val="22"/>
          <w:lang w:eastAsia="zh-CN"/>
        </w:rPr>
        <w:t>投标文件的语言及度量单位</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14.2 除技术规范另有规定外，投标文件使用的度量单位，均采用中华人民共和国法定计量单位。</w:t>
      </w:r>
    </w:p>
    <w:bookmarkEnd w:id="44"/>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15．</w:t>
      </w:r>
      <w:bookmarkStart w:id="45" w:name="_Hlk72401567"/>
      <w:r>
        <w:rPr>
          <w:rFonts w:ascii="黑体" w:eastAsia="黑体" w:hAnsi="宋体" w:cstheme="minorBidi" w:hint="eastAsia"/>
          <w:kern w:val="2"/>
          <w:szCs w:val="22"/>
          <w:lang w:eastAsia="zh-CN"/>
        </w:rPr>
        <w:t>投标文件的组成</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具体内容在招标文件专用条款中进行规定。</w:t>
      </w:r>
    </w:p>
    <w:p>
      <w:pPr>
        <w:widowControl w:val="0"/>
        <w:jc w:val="both"/>
        <w:rPr>
          <w:rFonts w:ascii="黑体" w:eastAsia="黑体" w:hAnsi="宋体"/>
          <w:kern w:val="2"/>
          <w:szCs w:val="22"/>
          <w:lang w:eastAsia="zh-CN"/>
        </w:rPr>
      </w:pPr>
      <w:r>
        <w:rPr>
          <w:rFonts w:ascii="黑体" w:eastAsia="黑体" w:hAnsi="宋体" w:cstheme="minorBidi"/>
          <w:kern w:val="2"/>
          <w:szCs w:val="22"/>
          <w:lang w:eastAsia="zh-CN"/>
        </w:rPr>
        <w:t>16．投标文件格式</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投标文件包括本通用条款第</w:t>
      </w:r>
      <w:r>
        <w:rPr>
          <w:rFonts w:ascii="宋体" w:eastAsia="宋体" w:hAnsi="宋体" w:cstheme="minorBidi"/>
          <w:kern w:val="2"/>
          <w:sz w:val="21"/>
          <w:szCs w:val="21"/>
          <w:lang w:eastAsia="zh-CN"/>
        </w:rPr>
        <w:t>15条中规定的内容。如招标文件提供了投标文件格式，则</w:t>
      </w:r>
      <w:r>
        <w:rPr>
          <w:rFonts w:ascii="宋体" w:eastAsia="宋体" w:hAnsi="宋体" w:cstheme="minorBidi" w:hint="eastAsia"/>
          <w:b/>
          <w:bCs/>
          <w:kern w:val="2"/>
          <w:sz w:val="21"/>
          <w:szCs w:val="21"/>
          <w:lang w:eastAsia="zh-CN"/>
        </w:rPr>
        <w:t>投标人提交的投标文件应毫无例外地使用招标文件所提供的相应格式</w:t>
      </w:r>
      <w:r>
        <w:rPr>
          <w:rFonts w:ascii="宋体" w:eastAsia="宋体" w:hAnsi="宋体" w:cstheme="minorBidi" w:hint="eastAsia"/>
          <w:kern w:val="2"/>
          <w:sz w:val="21"/>
          <w:szCs w:val="21"/>
          <w:lang w:eastAsia="zh-CN"/>
        </w:rPr>
        <w:t>（表格均可按同样格式扩展）。</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17．投标货币</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本项目的投标报价应以人民币计。</w:t>
      </w:r>
    </w:p>
    <w:bookmarkEnd w:id="45"/>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18．</w:t>
      </w:r>
      <w:bookmarkStart w:id="46" w:name="_Hlk72401735"/>
      <w:r>
        <w:rPr>
          <w:rFonts w:ascii="黑体" w:eastAsia="黑体" w:hAnsi="宋体" w:cstheme="minorBidi" w:hint="eastAsia"/>
          <w:kern w:val="2"/>
          <w:szCs w:val="22"/>
          <w:lang w:eastAsia="zh-CN"/>
        </w:rPr>
        <w:t>证明投标文件投标技术方案的合格性和符合招标文件规定的文件要求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w:t>
      </w:r>
      <w:r>
        <w:rPr>
          <w:rFonts w:ascii="宋体" w:eastAsia="宋体" w:hAnsi="宋体" w:cstheme="minorBidi"/>
          <w:kern w:val="2"/>
          <w:sz w:val="21"/>
          <w:szCs w:val="21"/>
          <w:lang w:eastAsia="zh-CN"/>
        </w:rPr>
        <w:t xml:space="preserve">.1 </w:t>
      </w:r>
      <w:r>
        <w:rPr>
          <w:rFonts w:ascii="宋体" w:eastAsia="宋体" w:hAnsi="宋体" w:cstheme="minorBidi" w:hint="eastAsia"/>
          <w:kern w:val="2"/>
          <w:sz w:val="21"/>
          <w:szCs w:val="21"/>
          <w:lang w:eastAsia="zh-CN"/>
        </w:rPr>
        <w:t>投标人应提交证明文件，证明其投标技术方案项下的货物和服务的合格性符合招标文件规定。该投标技术方案及其证明文件均作为投标文件组成部分。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 xml:space="preserve">.2 </w:t>
      </w:r>
      <w:r>
        <w:rPr>
          <w:rFonts w:ascii="宋体" w:eastAsia="宋体" w:hAnsi="宋体" w:cstheme="minorBidi" w:hint="eastAsia"/>
          <w:kern w:val="2"/>
          <w:sz w:val="21"/>
          <w:szCs w:val="21"/>
          <w:lang w:eastAsia="zh-CN"/>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18.2.1主要技术指标和性能的详细说明。</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投标产品从采购人开始使用至招标文件中规定的周期内正常、连续地使用所必须的备件和专用工具清单，包括备件和专用工具的货源及现行价格。</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ascii="Calibri" w:eastAsia="宋体" w:hAnsi="Calibri" w:cstheme="minorBidi" w:hint="eastAsia"/>
          <w:kern w:val="2"/>
          <w:sz w:val="21"/>
          <w:szCs w:val="22"/>
          <w:lang w:eastAsia="zh-CN"/>
        </w:rPr>
        <w:t>清晰度要求能够使用电脑阅读、识别和判断</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18.2.5我国政府机构出具的产品检验和核准证件应为证件正面、背面和附件标注的全部具体内容；产品检验和核准证件的尺寸和清晰度应该能够在电脑上被阅读、识别和判断，提供原件扫描件。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18.3相关资料不符合18.2款要求的，评审委员会有权认定为投标技术方案不合格响应，其相关分数予以扣减或作投标无效处理。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ascii="Calibri" w:eastAsia="宋体" w:hAnsi="Calibri" w:cstheme="minorBidi" w:hint="eastAsia"/>
          <w:kern w:val="2"/>
          <w:sz w:val="21"/>
          <w:szCs w:val="22"/>
          <w:lang w:eastAsia="zh-CN"/>
        </w:rPr>
        <w:t>满足要求</w:t>
      </w:r>
      <w:r>
        <w:rPr>
          <w:rFonts w:ascii="宋体" w:eastAsia="宋体" w:hAnsi="宋体" w:cstheme="minorBidi" w:hint="eastAsia"/>
          <w:kern w:val="2"/>
          <w:sz w:val="21"/>
          <w:szCs w:val="21"/>
          <w:lang w:eastAsia="zh-CN"/>
        </w:rPr>
        <w:t>，由评审委员会来评判。</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18.5除非另有规定或说明，投标人对同一项目投标时，不得同时提供两套或两套以上的投标方案。</w:t>
      </w:r>
    </w:p>
    <w:bookmarkEnd w:id="46"/>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19．</w:t>
      </w:r>
      <w:bookmarkStart w:id="47" w:name="_Hlk72402034"/>
      <w:r>
        <w:rPr>
          <w:rFonts w:ascii="黑体" w:eastAsia="黑体" w:hAnsi="宋体" w:cstheme="minorBidi" w:hint="eastAsia"/>
          <w:kern w:val="2"/>
          <w:szCs w:val="22"/>
          <w:lang w:eastAsia="zh-CN"/>
        </w:rPr>
        <w:t>投标文件其他证明文件的要求</w:t>
      </w:r>
    </w:p>
    <w:p>
      <w:pPr>
        <w:widowControl w:val="0"/>
        <w:jc w:val="both"/>
        <w:rPr>
          <w:rFonts w:ascii="宋体" w:eastAsia="宋体" w:hAnsi="宋体"/>
          <w:color w:val="FF0000"/>
          <w:kern w:val="2"/>
          <w:sz w:val="21"/>
          <w:szCs w:val="21"/>
          <w:lang w:eastAsia="zh-CN"/>
        </w:rPr>
      </w:pPr>
      <w:r>
        <w:rPr>
          <w:rFonts w:ascii="黑体" w:eastAsia="黑体" w:hAnsi="宋体" w:cstheme="minorBidi" w:hint="eastAsia"/>
          <w:kern w:val="2"/>
          <w:szCs w:val="22"/>
          <w:lang w:eastAsia="zh-CN"/>
        </w:rPr>
        <w:t xml:space="preserve">    </w:t>
      </w:r>
      <w:r>
        <w:rPr>
          <w:rFonts w:ascii="宋体" w:eastAsia="宋体" w:hAnsi="宋体" w:cstheme="minorBidi" w:hint="eastAsia"/>
          <w:kern w:val="2"/>
          <w:sz w:val="21"/>
          <w:szCs w:val="21"/>
          <w:lang w:eastAsia="zh-CN"/>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8" w:name="_Hlk71407299"/>
    </w:p>
    <w:bookmarkEnd w:id="48"/>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20．投标有效期</w:t>
      </w:r>
    </w:p>
    <w:bookmarkEnd w:id="47"/>
    <w:p>
      <w:pPr>
        <w:widowControl w:val="0"/>
        <w:ind w:firstLine="412" w:firstLineChars="196"/>
        <w:jc w:val="both"/>
        <w:rPr>
          <w:rFonts w:ascii="宋体" w:eastAsia="宋体" w:hAnsi="宋体"/>
          <w:kern w:val="2"/>
          <w:sz w:val="21"/>
          <w:szCs w:val="21"/>
          <w:lang w:eastAsia="zh-CN"/>
        </w:rPr>
      </w:pPr>
      <w:bookmarkStart w:id="49" w:name="_Hlk72402214"/>
      <w:r>
        <w:rPr>
          <w:rFonts w:ascii="宋体" w:eastAsia="宋体" w:hAnsi="宋体" w:cstheme="minorBidi" w:hint="eastAsia"/>
          <w:kern w:val="2"/>
          <w:sz w:val="21"/>
          <w:szCs w:val="21"/>
          <w:lang w:eastAsia="zh-CN"/>
        </w:rPr>
        <w:t>20.1 投标有效期为</w:t>
      </w:r>
      <w:r>
        <w:rPr>
          <w:rFonts w:ascii="Arial" w:eastAsia="宋体" w:hAnsi="Arial" w:cs="Arial" w:hint="eastAsia"/>
          <w:kern w:val="2"/>
          <w:sz w:val="21"/>
          <w:szCs w:val="21"/>
          <w:lang w:eastAsia="zh-CN"/>
        </w:rPr>
        <w:t>从投标截止之日算起的日历天数。</w:t>
      </w:r>
      <w:r>
        <w:rPr>
          <w:rFonts w:ascii="宋体" w:eastAsia="宋体" w:hAnsi="宋体" w:cstheme="minorBidi" w:hint="eastAsia"/>
          <w:kern w:val="2"/>
          <w:sz w:val="21"/>
          <w:szCs w:val="21"/>
          <w:lang w:eastAsia="zh-CN"/>
        </w:rPr>
        <w:t>在此期限内，所有投标文件均保持有效。</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20</w:t>
      </w:r>
      <w:r>
        <w:rPr>
          <w:rFonts w:ascii="宋体" w:eastAsia="宋体" w:hAnsi="宋体" w:cstheme="minorBidi"/>
          <w:kern w:val="2"/>
          <w:sz w:val="21"/>
          <w:szCs w:val="21"/>
          <w:lang w:eastAsia="zh-CN"/>
        </w:rPr>
        <w:t>.3</w:t>
      </w:r>
      <w:r>
        <w:rPr>
          <w:rFonts w:ascii="宋体" w:eastAsia="宋体" w:hAnsi="宋体" w:cstheme="minorBidi" w:hint="eastAsia"/>
          <w:kern w:val="2"/>
          <w:sz w:val="21"/>
          <w:szCs w:val="21"/>
          <w:lang w:eastAsia="zh-CN"/>
        </w:rPr>
        <w:t xml:space="preserve"> 中标供应商的投标文件有效期，截止于完成本招标文件规定的全部项目内容，并通过竣工验收及保修期结束。</w:t>
      </w:r>
    </w:p>
    <w:bookmarkEnd w:id="49"/>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21．</w:t>
      </w:r>
      <w:bookmarkStart w:id="50" w:name="_Hlk72402325"/>
      <w:r>
        <w:rPr>
          <w:rFonts w:ascii="黑体" w:eastAsia="黑体" w:hAnsi="宋体" w:cstheme="minorBidi" w:hint="eastAsia"/>
          <w:kern w:val="2"/>
          <w:szCs w:val="22"/>
          <w:lang w:eastAsia="zh-CN"/>
        </w:rPr>
        <w:t xml:space="preserve">关于投标保证金 </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21.1</w:t>
      </w:r>
      <w:r>
        <w:rPr>
          <w:rFonts w:ascii="Calibri" w:eastAsia="宋体" w:hAnsi="Calibri" w:cstheme="minorBidi" w:hint="eastAsia"/>
          <w:kern w:val="2"/>
          <w:sz w:val="21"/>
          <w:szCs w:val="22"/>
          <w:lang w:eastAsia="zh-CN"/>
        </w:rPr>
        <w:t>根据《深圳市财政局关于调整政府采购投标（响应）保证金管理政策的通知》（深财购〔2021〕51号）文的规定，本项目不收取投标保证金。</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22．投标人的替代方案</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50"/>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23．</w:t>
      </w:r>
      <w:bookmarkStart w:id="51" w:name="_Hlk72402860"/>
      <w:r>
        <w:rPr>
          <w:rFonts w:ascii="黑体" w:eastAsia="黑体" w:hAnsi="宋体" w:cstheme="minorBidi"/>
          <w:kern w:val="2"/>
          <w:szCs w:val="22"/>
          <w:lang w:eastAsia="zh-CN"/>
        </w:rPr>
        <w:t>投标文件的</w:t>
      </w:r>
      <w:r>
        <w:rPr>
          <w:rFonts w:ascii="黑体" w:eastAsia="黑体" w:hAnsi="宋体" w:cstheme="minorBidi" w:hint="eastAsia"/>
          <w:kern w:val="2"/>
          <w:szCs w:val="22"/>
          <w:lang w:eastAsia="zh-CN"/>
        </w:rPr>
        <w:t>制作</w:t>
      </w:r>
      <w:r>
        <w:rPr>
          <w:rFonts w:ascii="黑体" w:eastAsia="黑体" w:hAnsi="宋体" w:cstheme="minorBidi"/>
          <w:kern w:val="2"/>
          <w:szCs w:val="22"/>
          <w:lang w:eastAsia="zh-CN"/>
        </w:rPr>
        <w:t>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23.1投标人应准备所投项目的电子投标文件一份。此电子投标文件须由投标人根据政府集中采购机构提供的后缀名为.</w:t>
      </w:r>
      <w:r>
        <w:rPr>
          <w:rFonts w:ascii="Calibri" w:eastAsia="宋体" w:hAnsi="Calibri" w:cstheme="minorBidi"/>
          <w:kern w:val="2"/>
          <w:sz w:val="21"/>
          <w:szCs w:val="22"/>
          <w:lang w:eastAsia="zh-CN"/>
        </w:rPr>
        <w:t xml:space="preserve"> </w:t>
      </w:r>
      <w:r>
        <w:rPr>
          <w:rFonts w:ascii="宋体" w:eastAsia="宋体" w:hAnsi="宋体" w:cstheme="minorBidi"/>
          <w:kern w:val="2"/>
          <w:sz w:val="21"/>
          <w:szCs w:val="22"/>
          <w:lang w:eastAsia="zh-CN"/>
        </w:rPr>
        <w:t>szczf</w:t>
      </w:r>
      <w:r>
        <w:rPr>
          <w:rFonts w:ascii="宋体" w:eastAsia="宋体" w:hAnsi="宋体" w:cstheme="minorBidi" w:hint="eastAsia"/>
          <w:kern w:val="2"/>
          <w:sz w:val="21"/>
          <w:szCs w:val="22"/>
          <w:lang w:eastAsia="zh-CN"/>
        </w:rPr>
        <w:t>的电子招标文件，下载并使用相应的深圳智慧采购平台投标文件制作专用软件打开招标文件（.szczf格式）【下载地址：</w:t>
      </w:r>
      <w:r>
        <w:rPr>
          <w:rFonts w:ascii="宋体" w:eastAsia="宋体" w:hAnsi="宋体" w:cstheme="minorBidi"/>
          <w:kern w:val="2"/>
          <w:sz w:val="21"/>
          <w:szCs w:val="22"/>
          <w:lang w:eastAsia="zh-CN"/>
        </w:rPr>
        <w:t>http://zfcg.szggzy.com:8081/cgxy/013002/list.html</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23.2投标人在使用《投标书编制软件》编制投标书时须注意：</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23.2.1导入《投标书编制软件》的招标文件项目编号、包号应与以此制作的投标文件项目编号、包号一致。例如，不能将甲项目A包的招标书导入《投标书编制软件》，制作乙项目B包的投标书。</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23.2.2不能用非本公司的电子密钥加密本公司的投标文件，或者用其它公司的登录用户上传本公司的投标文件。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23.2.3要求用《投标书编制软件》编制投标书的包，不能用其它方式编制投标书。编制投标文件时，电脑须连通互联网。</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23.2.4投标文件不能带病毒。政府集中采购机构将用专业杀毒软件对投标文件进行病毒检测，如果这两种软件均报告发现病毒，则政府集中采购机构认为该投标文件带病毒。</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23.2.5完整填写“投标关键信息”，如下图所示：</w:t>
      </w:r>
    </w:p>
    <w:p>
      <w:pPr>
        <w:widowControl w:val="0"/>
        <w:ind w:firstLine="470" w:firstLineChars="196"/>
        <w:jc w:val="both"/>
        <w:rPr>
          <w:rFonts w:ascii="宋体" w:eastAsia="宋体" w:hAnsi="宋体"/>
          <w:kern w:val="2"/>
          <w:sz w:val="21"/>
          <w:szCs w:val="22"/>
          <w:lang w:eastAsia="zh-CN"/>
        </w:rPr>
      </w:pPr>
      <w:r>
        <w:rPr>
          <w:rFonts w:ascii="宋体" w:hAnsi="宋体"/>
        </w:rPr>
        <w:drawing>
          <wp:inline distT="0" distB="0" distL="0" distR="0">
            <wp:extent cx="5278755" cy="2721610"/>
            <wp:effectExtent l="0" t="0" r="17145" b="254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widowControl w:val="0"/>
        <w:ind w:firstLine="412" w:firstLineChars="196"/>
        <w:jc w:val="both"/>
        <w:rPr>
          <w:rFonts w:ascii="宋体" w:eastAsia="宋体" w:hAnsi="宋体"/>
          <w:b/>
          <w:kern w:val="2"/>
          <w:sz w:val="21"/>
          <w:szCs w:val="22"/>
          <w:lang w:eastAsia="zh-CN"/>
        </w:rPr>
      </w:pPr>
    </w:p>
    <w:p>
      <w:pPr>
        <w:widowControl w:val="0"/>
        <w:ind w:firstLine="412" w:firstLineChars="196"/>
        <w:jc w:val="both"/>
        <w:rPr>
          <w:rFonts w:ascii="宋体" w:eastAsia="宋体" w:hAnsi="宋体"/>
          <w:kern w:val="2"/>
          <w:sz w:val="21"/>
          <w:szCs w:val="22"/>
          <w:lang w:eastAsia="zh-CN"/>
        </w:rPr>
      </w:pPr>
    </w:p>
    <w:p>
      <w:pPr>
        <w:widowControl w:val="0"/>
        <w:jc w:val="both"/>
        <w:rPr>
          <w:rFonts w:ascii="宋体" w:eastAsia="宋体" w:hAnsi="宋体"/>
          <w:kern w:val="2"/>
          <w:sz w:val="21"/>
          <w:szCs w:val="22"/>
          <w:lang w:eastAsia="zh-CN"/>
        </w:rPr>
      </w:pPr>
    </w:p>
    <w:p>
      <w:pPr>
        <w:widowControl/>
        <w:jc w:val="left"/>
        <w:rPr>
          <w:rFonts w:ascii="宋体" w:eastAsia="宋体" w:hAnsi="宋体" w:cs="宋体"/>
          <w:szCs w:val="22"/>
          <w:lang w:eastAsia="zh-CN"/>
        </w:rPr>
      </w:pPr>
    </w:p>
    <w:p>
      <w:pPr>
        <w:widowControl w:val="0"/>
        <w:ind w:firstLine="412" w:firstLineChars="196"/>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备注：上述“开标一览表”中的“投标报价”将作为价格分计算依据；其它信息仅是对投标文件相关内容的概括性表述，不作为评审依据。</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23.2.6投标人在编辑投标文件时，</w:t>
      </w:r>
      <w:r>
        <w:rPr>
          <w:rFonts w:ascii="宋体" w:eastAsia="宋体" w:hAnsi="宋体" w:cstheme="minorBidi" w:hint="eastAsia"/>
          <w:b/>
          <w:kern w:val="2"/>
          <w:sz w:val="21"/>
          <w:szCs w:val="22"/>
          <w:lang w:eastAsia="zh-CN"/>
        </w:rPr>
        <w:t>在投标文件目录中属于本节点内容的必须在本节点中填写，填写到其他节点或附件，</w:t>
      </w:r>
      <w:r>
        <w:rPr>
          <w:rFonts w:ascii="宋体" w:eastAsia="宋体" w:hAnsi="宋体" w:cstheme="minorBidi" w:hint="eastAsia"/>
          <w:kern w:val="2"/>
          <w:sz w:val="21"/>
          <w:szCs w:val="22"/>
          <w:lang w:eastAsia="zh-CN"/>
        </w:rPr>
        <w:t>一切后果由供应商自行承担。</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23.2.7投标文件编写完成后，</w:t>
      </w:r>
      <w:r>
        <w:rPr>
          <w:rFonts w:ascii="宋体" w:eastAsia="宋体" w:hAnsi="宋体" w:cstheme="minorBidi" w:hint="eastAsia"/>
          <w:b/>
          <w:kern w:val="2"/>
          <w:sz w:val="21"/>
          <w:szCs w:val="22"/>
          <w:lang w:eastAsia="zh-CN"/>
        </w:rPr>
        <w:t>必须用属于投标人的电子密钥</w:t>
      </w:r>
      <w:r>
        <w:rPr>
          <w:rFonts w:ascii="宋体" w:eastAsia="宋体" w:hAnsi="宋体" w:cstheme="minorBidi" w:hint="eastAsia"/>
          <w:b/>
          <w:kern w:val="2"/>
          <w:sz w:val="21"/>
          <w:szCs w:val="22"/>
          <w:lang w:eastAsia="zh-CN"/>
        </w:rPr>
        <w:t>或电子营业执照</w:t>
      </w:r>
      <w:r>
        <w:rPr>
          <w:rFonts w:ascii="宋体" w:eastAsia="宋体" w:hAnsi="宋体" w:cstheme="minorBidi" w:hint="eastAsia"/>
          <w:b/>
          <w:kern w:val="2"/>
          <w:sz w:val="21"/>
          <w:szCs w:val="22"/>
          <w:lang w:eastAsia="zh-CN"/>
        </w:rPr>
        <w:t>进行加密，否则视同未盖公章，将导致投标文件无效。</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23.2.9如果开标时出现网络故障、技术故障，影响了政府采购活动，政府集中采购机构有权采取措施如延期、接受无法从网上上传的投标书等，以保障政府采购活动的公开、公平和公正。</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23.3电报、电话、传真形式的投标概不接受。</w:t>
      </w:r>
    </w:p>
    <w:p>
      <w:pPr>
        <w:widowControl w:val="0"/>
        <w:ind w:firstLine="412" w:firstLineChars="196"/>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23.4经投标人电子密钥</w:t>
      </w:r>
      <w:r>
        <w:rPr>
          <w:rFonts w:ascii="宋体" w:eastAsia="宋体" w:hAnsi="宋体" w:cstheme="minorBidi" w:hint="eastAsia"/>
          <w:b/>
          <w:kern w:val="2"/>
          <w:sz w:val="21"/>
          <w:szCs w:val="22"/>
          <w:lang w:eastAsia="zh-CN"/>
        </w:rPr>
        <w:t>或电子营业执照</w:t>
      </w:r>
      <w:r>
        <w:rPr>
          <w:rFonts w:ascii="宋体" w:eastAsia="宋体" w:hAnsi="宋体" w:cstheme="minorBidi" w:hint="eastAsia"/>
          <w:b/>
          <w:kern w:val="2"/>
          <w:sz w:val="21"/>
          <w:szCs w:val="22"/>
          <w:lang w:eastAsia="zh-CN"/>
        </w:rPr>
        <w:t>加密的投标文件无须盖章或签字，</w:t>
      </w:r>
      <w:r>
        <w:rPr>
          <w:rFonts w:ascii="宋体" w:eastAsia="宋体" w:hAnsi="宋体" w:cstheme="minorBidi" w:hint="eastAsia"/>
          <w:kern w:val="2"/>
          <w:sz w:val="21"/>
          <w:szCs w:val="22"/>
          <w:lang w:eastAsia="zh-CN"/>
        </w:rPr>
        <w:t>专用条款另有要求的除外。</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b/>
          <w:kern w:val="2"/>
          <w:sz w:val="21"/>
          <w:szCs w:val="22"/>
          <w:lang w:eastAsia="zh-CN"/>
        </w:rPr>
        <w:t>23.5</w:t>
      </w:r>
      <w:r>
        <w:rPr>
          <w:rFonts w:ascii="宋体" w:eastAsia="宋体" w:hAnsi="宋体" w:cstheme="minorBidi" w:hint="eastAsia"/>
          <w:kern w:val="2"/>
          <w:sz w:val="21"/>
          <w:szCs w:val="22"/>
          <w:lang w:eastAsia="zh-CN"/>
        </w:rPr>
        <w:t xml:space="preserve"> 各类资格（资质）文件提供扫描件，专用条款另有要求的除外。</w:t>
      </w:r>
      <w:bookmarkEnd w:id="51"/>
    </w:p>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投标文件的递交</w:t>
      </w:r>
    </w:p>
    <w:p>
      <w:pPr>
        <w:widowControl w:val="0"/>
        <w:jc w:val="both"/>
        <w:rPr>
          <w:rFonts w:ascii="黑体" w:eastAsia="黑体" w:hAnsi="宋体"/>
          <w:kern w:val="2"/>
          <w:szCs w:val="22"/>
          <w:lang w:eastAsia="zh-CN"/>
        </w:rPr>
      </w:pPr>
      <w:bookmarkStart w:id="52" w:name="_Hlk72405459"/>
      <w:r>
        <w:rPr>
          <w:rFonts w:ascii="黑体" w:eastAsia="黑体" w:hAnsi="宋体" w:cstheme="minorBidi" w:hint="eastAsia"/>
          <w:kern w:val="2"/>
          <w:szCs w:val="22"/>
          <w:lang w:eastAsia="zh-CN"/>
        </w:rPr>
        <w:t>24．投标文件的保密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24.1在投标文件制作完成后，在投标书编制软件点击【生成标书】按钮进入【填写开标一览表界面】界面，在该界面填写完开标一览表信息后点击【确定】，进入投标文件生成环节。投标文件制作软件会在投标文件生成过程中，提示用户输入密码，输入密码后对</w:t>
      </w:r>
      <w:r>
        <w:rPr>
          <w:rFonts w:ascii="宋体" w:eastAsia="宋体" w:hAnsi="宋体" w:cstheme="minorBidi" w:hint="eastAsia"/>
          <w:kern w:val="2"/>
          <w:sz w:val="21"/>
          <w:szCs w:val="22"/>
          <w:lang w:eastAsia="zh-CN"/>
        </w:rPr>
        <w:t>投</w:t>
      </w:r>
      <w:r>
        <w:rPr>
          <w:rFonts w:ascii="宋体" w:eastAsia="宋体" w:hAnsi="宋体" w:cstheme="minorBidi" w:hint="eastAsia"/>
          <w:kern w:val="2"/>
          <w:sz w:val="21"/>
          <w:szCs w:val="22"/>
          <w:lang w:eastAsia="zh-CN"/>
        </w:rPr>
        <w:t>标文件自动进行加密，此加密程序确保投标文件在到达投标截止时间后才能解密查看。在加密过程中，请按照软件提示进行操作。加密界面如下图所示：</w:t>
      </w:r>
    </w:p>
    <w:p>
      <w:pPr>
        <w:widowControl/>
        <w:jc w:val="left"/>
        <w:rPr>
          <w:rFonts w:ascii="宋体" w:eastAsia="宋体" w:hAnsi="宋体" w:cs="宋体"/>
          <w:szCs w:val="22"/>
          <w:lang w:eastAsia="zh-CN"/>
        </w:rPr>
      </w:pPr>
      <w:r>
        <w:rPr>
          <w:rFonts w:ascii="宋体" w:hAnsi="宋体"/>
        </w:rPr>
        <w:drawing>
          <wp:inline distT="0" distB="0" distL="0" distR="0">
            <wp:extent cx="5278755" cy="2721610"/>
            <wp:effectExtent l="0" t="0" r="17145" b="2540"/>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widowControl w:val="0"/>
        <w:ind w:firstLine="480" w:firstLineChars="200"/>
        <w:jc w:val="both"/>
        <w:rPr>
          <w:rFonts w:ascii="Calibri" w:eastAsia="宋体" w:hAnsi="Calibri"/>
          <w:kern w:val="2"/>
          <w:szCs w:val="22"/>
          <w:lang w:eastAsia="zh-CN"/>
        </w:rPr>
      </w:pPr>
    </w:p>
    <w:p>
      <w:pPr>
        <w:widowControl w:val="0"/>
        <w:jc w:val="both"/>
        <w:rPr>
          <w:rFonts w:ascii="Calibri" w:eastAsia="宋体" w:hAnsi="Calibri"/>
          <w:kern w:val="2"/>
          <w:szCs w:val="22"/>
          <w:lang w:eastAsia="zh-CN"/>
        </w:rPr>
      </w:pPr>
      <w:r>
        <w:rPr>
          <w:rFonts w:ascii="宋体" w:hAnsi="宋体"/>
        </w:rPr>
        <w:drawing>
          <wp:inline distT="0" distB="0" distL="0" distR="0">
            <wp:extent cx="5278755" cy="2732405"/>
            <wp:effectExtent l="0" t="0" r="17145" b="10795"/>
            <wp:docPr id="9" name="图片 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10;&#10;描述已自动生成"/>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widowControl w:val="0"/>
        <w:ind w:firstLine="412" w:firstLineChars="196"/>
        <w:jc w:val="both"/>
        <w:rPr>
          <w:rFonts w:ascii="宋体" w:eastAsia="宋体" w:hAnsi="宋体"/>
          <w:kern w:val="2"/>
          <w:sz w:val="21"/>
          <w:szCs w:val="22"/>
          <w:lang w:eastAsia="zh-CN"/>
        </w:rPr>
      </w:pPr>
    </w:p>
    <w:p>
      <w:pPr>
        <w:widowControl w:val="0"/>
        <w:jc w:val="both"/>
        <w:rPr>
          <w:rFonts w:ascii="宋体" w:eastAsia="宋体" w:hAnsi="宋体"/>
          <w:b/>
          <w:kern w:val="2"/>
          <w:sz w:val="21"/>
          <w:szCs w:val="22"/>
          <w:lang w:eastAsia="zh-CN"/>
        </w:rPr>
      </w:pPr>
      <w:r>
        <w:rPr>
          <w:rFonts w:ascii="宋体" w:eastAsia="宋体" w:hAnsi="宋体" w:cstheme="minorBidi" w:hint="eastAsia"/>
          <w:b/>
          <w:kern w:val="2"/>
          <w:sz w:val="21"/>
          <w:szCs w:val="22"/>
          <w:lang w:eastAsia="zh-CN"/>
        </w:rPr>
        <w:t>24.2若采购项目出现延期情况：</w:t>
      </w:r>
    </w:p>
    <w:p>
      <w:pPr>
        <w:widowControl w:val="0"/>
        <w:ind w:firstLine="420" w:firstLineChars="200"/>
        <w:jc w:val="both"/>
        <w:rPr>
          <w:rFonts w:ascii="黑体" w:eastAsia="黑体" w:hAnsi="宋体"/>
          <w:b/>
          <w:kern w:val="2"/>
          <w:szCs w:val="22"/>
          <w:lang w:eastAsia="zh-CN"/>
        </w:rPr>
      </w:pPr>
      <w:r>
        <w:rPr>
          <w:rFonts w:ascii="宋体" w:eastAsia="宋体" w:hAnsi="宋体" w:cstheme="minorBidi" w:hint="eastAsia"/>
          <w:b/>
          <w:kern w:val="2"/>
          <w:sz w:val="21"/>
          <w:szCs w:val="22"/>
          <w:lang w:eastAsia="zh-CN"/>
        </w:rPr>
        <w:t>如果供下载的招标文件（后缀名为.</w:t>
      </w:r>
      <w:r>
        <w:rPr>
          <w:rFonts w:ascii="Calibri" w:eastAsia="宋体" w:hAnsi="Calibri" w:cstheme="minorBidi"/>
          <w:kern w:val="2"/>
          <w:sz w:val="21"/>
          <w:szCs w:val="22"/>
          <w:lang w:eastAsia="zh-CN"/>
        </w:rPr>
        <w:t xml:space="preserve"> </w:t>
      </w:r>
      <w:r>
        <w:rPr>
          <w:rFonts w:ascii="宋体" w:eastAsia="宋体" w:hAnsi="宋体" w:cstheme="minorBidi"/>
          <w:b/>
          <w:kern w:val="2"/>
          <w:sz w:val="21"/>
          <w:szCs w:val="22"/>
          <w:lang w:eastAsia="zh-CN"/>
        </w:rPr>
        <w:t>szczf</w:t>
      </w:r>
      <w:r>
        <w:rPr>
          <w:rFonts w:ascii="宋体" w:eastAsia="宋体" w:hAnsi="宋体" w:cstheme="minorBidi" w:hint="eastAsia"/>
          <w:b/>
          <w:kern w:val="2"/>
          <w:sz w:val="21"/>
          <w:szCs w:val="22"/>
          <w:lang w:eastAsia="zh-CN"/>
        </w:rPr>
        <w:t>）有更新，投标人必须重新下载招标文件、重新制作投标文件、重新加密投标文件、重新上传投标文件；如果供下载的招标文件（后缀名为.</w:t>
      </w:r>
      <w:r>
        <w:rPr>
          <w:rFonts w:ascii="Calibri" w:eastAsia="宋体" w:hAnsi="Calibri" w:cstheme="minorBidi"/>
          <w:kern w:val="2"/>
          <w:sz w:val="21"/>
          <w:szCs w:val="22"/>
          <w:lang w:eastAsia="zh-CN"/>
        </w:rPr>
        <w:t xml:space="preserve"> </w:t>
      </w:r>
      <w:r>
        <w:rPr>
          <w:rFonts w:ascii="宋体" w:eastAsia="宋体" w:hAnsi="宋体" w:cstheme="minorBidi"/>
          <w:b/>
          <w:kern w:val="2"/>
          <w:sz w:val="21"/>
          <w:szCs w:val="22"/>
          <w:lang w:eastAsia="zh-CN"/>
        </w:rPr>
        <w:t>szczf</w:t>
      </w:r>
      <w:r>
        <w:rPr>
          <w:rFonts w:ascii="宋体" w:eastAsia="宋体" w:hAnsi="宋体" w:cstheme="minorBidi" w:hint="eastAsia"/>
          <w:b/>
          <w:kern w:val="2"/>
          <w:sz w:val="21"/>
          <w:szCs w:val="22"/>
          <w:lang w:eastAsia="zh-CN"/>
        </w:rPr>
        <w:t>）没有更新，投标人必须重新加密投标文件、重新上传投标文件（是否重新制作投标文件根据项目实际情况定）。否则，投标人自行承担投标文件无法解密导致投标无效的后果。</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25．上传投标文件及投标截止日期</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1实行网上投标，</w:t>
      </w:r>
      <w:r>
        <w:rPr>
          <w:rFonts w:ascii="宋体" w:eastAsia="宋体" w:hAnsi="宋体" w:cstheme="minorBidi"/>
          <w:kern w:val="2"/>
          <w:sz w:val="21"/>
          <w:szCs w:val="22"/>
          <w:lang w:eastAsia="zh-CN"/>
        </w:rPr>
        <w:t>投标人必须</w:t>
      </w:r>
      <w:r>
        <w:rPr>
          <w:rFonts w:ascii="宋体" w:eastAsia="宋体" w:hAnsi="宋体" w:cstheme="minorBidi" w:hint="eastAsia"/>
          <w:kern w:val="2"/>
          <w:sz w:val="21"/>
          <w:szCs w:val="22"/>
          <w:lang w:eastAsia="zh-CN"/>
        </w:rPr>
        <w:t>在招标</w:t>
      </w:r>
      <w:r>
        <w:rPr>
          <w:rFonts w:ascii="宋体" w:eastAsia="宋体" w:hAnsi="宋体" w:cstheme="minorBidi"/>
          <w:kern w:val="2"/>
          <w:sz w:val="21"/>
          <w:szCs w:val="22"/>
          <w:lang w:eastAsia="zh-CN"/>
        </w:rPr>
        <w:t>文件规定的投标截止时间前</w:t>
      </w:r>
      <w:r>
        <w:rPr>
          <w:rFonts w:ascii="宋体" w:eastAsia="宋体" w:hAnsi="宋体" w:cstheme="minorBidi" w:hint="eastAsia"/>
          <w:kern w:val="2"/>
          <w:sz w:val="21"/>
          <w:szCs w:val="22"/>
          <w:lang w:eastAsia="zh-CN"/>
        </w:rPr>
        <w:t>用电子密钥登录“深圳政府采购智慧平台用户网上办事子系统（http://zfcg.szggzy.com/TPBidder/memberLogin）”，用“【我的项目】→【项目流程】→【递交投标(应答)文件】”功能点上传投标文件。如上传过程中遇到问题，可拨打</w:t>
      </w:r>
      <w:r>
        <w:rPr>
          <w:rFonts w:ascii="宋体" w:eastAsia="宋体" w:hAnsi="宋体" w:cstheme="minorBidi" w:hint="eastAsia"/>
          <w:kern w:val="2"/>
          <w:sz w:val="21"/>
          <w:szCs w:val="22"/>
          <w:lang w:eastAsia="zh-CN"/>
        </w:rPr>
        <w:t>采购公告中的技术支持电话</w:t>
      </w:r>
      <w:r>
        <w:rPr>
          <w:rFonts w:ascii="宋体" w:eastAsia="宋体" w:hAnsi="宋体" w:cstheme="minorBidi" w:hint="eastAsia"/>
          <w:kern w:val="2"/>
          <w:sz w:val="21"/>
          <w:szCs w:val="22"/>
          <w:lang w:eastAsia="zh-CN"/>
        </w:rPr>
        <w:t>。如多次上传均告失败，请在投标截止时间之前携带加密后的电子投标文件送达至</w:t>
      </w:r>
      <w:r>
        <w:rPr>
          <w:rFonts w:ascii="宋体" w:eastAsia="宋体" w:hAnsi="宋体" w:cstheme="minorBidi" w:hint="eastAsia"/>
          <w:b/>
          <w:bCs/>
          <w:kern w:val="2"/>
          <w:sz w:val="21"/>
          <w:szCs w:val="21"/>
          <w:lang w:eastAsia="zh-CN"/>
        </w:rPr>
        <w:t>深圳公共资源交易中心（深圳交易集团有限公司</w:t>
      </w:r>
      <w:r>
        <w:rPr>
          <w:rFonts w:ascii="宋体" w:eastAsia="宋体" w:hAnsi="宋体" w:cstheme="minorBidi" w:hint="eastAsia"/>
          <w:b/>
          <w:bCs/>
          <w:kern w:val="2"/>
          <w:sz w:val="21"/>
          <w:szCs w:val="21"/>
          <w:lang w:eastAsia="zh-CN"/>
        </w:rPr>
        <w:t>宝安</w:t>
      </w:r>
      <w:r>
        <w:rPr>
          <w:rFonts w:ascii="宋体" w:eastAsia="宋体" w:hAnsi="宋体" w:cstheme="minorBidi" w:hint="eastAsia"/>
          <w:b/>
          <w:bCs/>
          <w:kern w:val="2"/>
          <w:sz w:val="21"/>
          <w:szCs w:val="21"/>
          <w:lang w:eastAsia="zh-CN"/>
        </w:rPr>
        <w:t>分公司）</w:t>
      </w:r>
      <w:r>
        <w:rPr>
          <w:rFonts w:ascii="宋体" w:eastAsia="宋体" w:hAnsi="宋体" w:cstheme="minorBidi" w:hint="eastAsia"/>
          <w:b/>
          <w:bCs/>
          <w:kern w:val="2"/>
          <w:sz w:val="21"/>
          <w:szCs w:val="22"/>
          <w:lang w:eastAsia="zh-CN"/>
        </w:rPr>
        <w:t>一</w:t>
      </w:r>
      <w:r>
        <w:rPr>
          <w:rFonts w:ascii="宋体" w:eastAsia="宋体" w:hAnsi="宋体" w:cstheme="minorBidi" w:hint="eastAsia"/>
          <w:b/>
          <w:bCs/>
          <w:kern w:val="2"/>
          <w:sz w:val="21"/>
          <w:szCs w:val="22"/>
          <w:lang w:eastAsia="zh-CN"/>
        </w:rPr>
        <w:t>楼</w:t>
      </w:r>
      <w:r>
        <w:rPr>
          <w:rFonts w:ascii="宋体" w:eastAsia="宋体" w:hAnsi="宋体" w:cstheme="minorBidi" w:hint="eastAsia"/>
          <w:b/>
          <w:bCs/>
          <w:kern w:val="2"/>
          <w:sz w:val="21"/>
          <w:szCs w:val="22"/>
          <w:lang w:eastAsia="zh-CN"/>
        </w:rPr>
        <w:t>服务大厅</w:t>
      </w:r>
      <w:r>
        <w:rPr>
          <w:rFonts w:ascii="宋体" w:eastAsia="宋体" w:hAnsi="宋体" w:cstheme="minorBidi" w:hint="eastAsia"/>
          <w:b/>
          <w:bCs/>
          <w:kern w:val="2"/>
          <w:sz w:val="21"/>
          <w:szCs w:val="22"/>
          <w:lang w:eastAsia="zh-CN"/>
        </w:rPr>
        <w:t>（地址：</w:t>
      </w:r>
      <w:r>
        <w:rPr>
          <w:rFonts w:ascii="宋体" w:eastAsia="宋体" w:hAnsi="宋体" w:cstheme="minorBidi" w:hint="eastAsia"/>
          <w:b/>
          <w:bCs/>
          <w:kern w:val="2"/>
          <w:sz w:val="21"/>
          <w:szCs w:val="22"/>
          <w:lang w:eastAsia="zh-CN"/>
        </w:rPr>
        <w:t>深圳市宝安区湖滨东路40号</w:t>
      </w:r>
      <w:r>
        <w:rPr>
          <w:rFonts w:ascii="宋体" w:eastAsia="宋体" w:hAnsi="宋体" w:cstheme="minorBidi" w:hint="eastAsia"/>
          <w:b/>
          <w:bCs/>
          <w:kern w:val="2"/>
          <w:sz w:val="21"/>
          <w:szCs w:val="22"/>
          <w:lang w:eastAsia="zh-CN"/>
        </w:rPr>
        <w:t>）</w:t>
      </w:r>
      <w:r>
        <w:rPr>
          <w:rFonts w:ascii="宋体" w:eastAsia="宋体" w:hAnsi="宋体" w:cstheme="minorBidi"/>
          <w:b/>
          <w:bCs/>
          <w:kern w:val="2"/>
          <w:sz w:val="21"/>
          <w:szCs w:val="22"/>
          <w:lang w:eastAsia="zh-CN"/>
        </w:rPr>
        <w:t>协助上传</w:t>
      </w:r>
      <w:r>
        <w:rPr>
          <w:rFonts w:ascii="宋体" w:eastAsia="宋体" w:hAnsi="宋体" w:cstheme="minorBidi" w:hint="eastAsia"/>
          <w:b/>
          <w:bCs/>
          <w:kern w:val="2"/>
          <w:sz w:val="21"/>
          <w:szCs w:val="22"/>
          <w:lang w:eastAsia="zh-CN"/>
        </w:rPr>
        <w:t>，</w:t>
      </w:r>
      <w:r>
        <w:rPr>
          <w:rFonts w:ascii="宋体" w:eastAsia="宋体" w:hAnsi="宋体" w:cstheme="minorBidi"/>
          <w:b/>
          <w:bCs/>
          <w:kern w:val="2"/>
          <w:sz w:val="21"/>
          <w:szCs w:val="22"/>
          <w:lang w:eastAsia="zh-CN"/>
        </w:rPr>
        <w:t>但上传过程</w:t>
      </w:r>
      <w:r>
        <w:rPr>
          <w:rFonts w:ascii="宋体" w:eastAsia="宋体" w:hAnsi="宋体" w:cstheme="minorBidi" w:hint="eastAsia"/>
          <w:b/>
          <w:bCs/>
          <w:kern w:val="2"/>
          <w:sz w:val="21"/>
          <w:szCs w:val="22"/>
          <w:lang w:eastAsia="zh-CN"/>
        </w:rPr>
        <w:t>中</w:t>
      </w:r>
      <w:r>
        <w:rPr>
          <w:rFonts w:ascii="宋体" w:eastAsia="宋体" w:hAnsi="宋体" w:cstheme="minorBidi"/>
          <w:b/>
          <w:bCs/>
          <w:kern w:val="2"/>
          <w:sz w:val="21"/>
          <w:szCs w:val="22"/>
          <w:lang w:eastAsia="zh-CN"/>
        </w:rPr>
        <w:t>投标截止时间到达仍无法上传成功的，由投标人自行负责</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25</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3投标截止时间以后不得上传投标文件。</w:t>
      </w:r>
    </w:p>
    <w:p>
      <w:pPr>
        <w:widowControl w:val="0"/>
        <w:ind w:firstLine="412" w:firstLineChars="196"/>
        <w:jc w:val="both"/>
        <w:rPr>
          <w:rFonts w:ascii="宋体" w:eastAsia="宋体" w:hAnsi="宋体"/>
          <w:kern w:val="2"/>
          <w:sz w:val="21"/>
          <w:szCs w:val="22"/>
          <w:lang w:eastAsia="zh-CN"/>
        </w:rPr>
      </w:pPr>
    </w:p>
    <w:p>
      <w:pPr>
        <w:widowControl w:val="0"/>
        <w:ind w:firstLine="412" w:firstLineChars="196"/>
        <w:jc w:val="both"/>
        <w:rPr>
          <w:rFonts w:ascii="宋体" w:eastAsia="宋体" w:hAnsi="宋体"/>
          <w:kern w:val="2"/>
          <w:sz w:val="21"/>
          <w:szCs w:val="22"/>
          <w:lang w:eastAsia="zh-CN"/>
        </w:rPr>
      </w:pPr>
    </w:p>
    <w:bookmarkEnd w:id="52"/>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26. 样品、现场演示、方案讲解</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26.1 样品、现场演示、方案讲解等事项在招标文件专用条款中进行规定。</w:t>
      </w:r>
    </w:p>
    <w:p>
      <w:pPr>
        <w:widowControl w:val="0"/>
        <w:jc w:val="both"/>
        <w:rPr>
          <w:rFonts w:ascii="黑体" w:eastAsia="黑体" w:hAnsi="宋体"/>
          <w:kern w:val="2"/>
          <w:szCs w:val="22"/>
          <w:lang w:eastAsia="zh-CN"/>
        </w:rPr>
      </w:pPr>
      <w:bookmarkStart w:id="53" w:name="_Hlk72428346"/>
      <w:r>
        <w:rPr>
          <w:rFonts w:ascii="黑体" w:eastAsia="黑体" w:hAnsi="宋体" w:cstheme="minorBidi"/>
          <w:kern w:val="2"/>
          <w:szCs w:val="22"/>
          <w:lang w:eastAsia="zh-CN"/>
        </w:rPr>
        <w:t>2</w:t>
      </w:r>
      <w:r>
        <w:rPr>
          <w:rFonts w:ascii="黑体" w:eastAsia="黑体" w:hAnsi="宋体" w:cstheme="minorBidi" w:hint="eastAsia"/>
          <w:kern w:val="2"/>
          <w:szCs w:val="22"/>
          <w:lang w:eastAsia="zh-CN"/>
        </w:rPr>
        <w:t>7．</w:t>
      </w:r>
      <w:r>
        <w:rPr>
          <w:rFonts w:ascii="黑体" w:eastAsia="黑体" w:hAnsi="宋体" w:cstheme="minorBidi"/>
          <w:kern w:val="2"/>
          <w:szCs w:val="22"/>
          <w:lang w:eastAsia="zh-CN"/>
        </w:rPr>
        <w:t>投标文件的修改和撤销</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1</w:t>
      </w:r>
      <w:r>
        <w:rPr>
          <w:rFonts w:ascii="宋体" w:eastAsia="宋体" w:hAnsi="宋体" w:cstheme="minorBidi"/>
          <w:kern w:val="2"/>
          <w:sz w:val="21"/>
          <w:szCs w:val="22"/>
          <w:lang w:eastAsia="zh-CN"/>
        </w:rPr>
        <w:t>投标方在提交投标文件后可对其投标文件进行修改</w:t>
      </w:r>
      <w:r>
        <w:rPr>
          <w:rFonts w:ascii="宋体" w:eastAsia="宋体" w:hAnsi="宋体" w:cstheme="minorBidi" w:hint="eastAsia"/>
          <w:kern w:val="2"/>
          <w:sz w:val="21"/>
          <w:szCs w:val="22"/>
          <w:lang w:eastAsia="zh-CN"/>
        </w:rPr>
        <w:t>并重新上传投标文件</w:t>
      </w:r>
      <w:r>
        <w:rPr>
          <w:rFonts w:ascii="宋体" w:eastAsia="宋体" w:hAnsi="宋体" w:cstheme="minorBidi"/>
          <w:kern w:val="2"/>
          <w:sz w:val="21"/>
          <w:szCs w:val="22"/>
          <w:lang w:eastAsia="zh-CN"/>
        </w:rPr>
        <w:t>或</w:t>
      </w:r>
      <w:r>
        <w:rPr>
          <w:rFonts w:ascii="宋体" w:eastAsia="宋体" w:hAnsi="宋体" w:cstheme="minorBidi" w:hint="eastAsia"/>
          <w:kern w:val="2"/>
          <w:sz w:val="21"/>
          <w:szCs w:val="22"/>
          <w:lang w:eastAsia="zh-CN"/>
        </w:rPr>
        <w:t>在网上进行</w:t>
      </w:r>
      <w:r>
        <w:rPr>
          <w:rFonts w:ascii="宋体" w:eastAsia="宋体" w:hAnsi="宋体" w:cstheme="minorBidi"/>
          <w:kern w:val="2"/>
          <w:sz w:val="21"/>
          <w:szCs w:val="22"/>
          <w:lang w:eastAsia="zh-CN"/>
        </w:rPr>
        <w:t>撤销</w:t>
      </w:r>
      <w:r>
        <w:rPr>
          <w:rFonts w:ascii="宋体" w:eastAsia="宋体" w:hAnsi="宋体" w:cstheme="minorBidi" w:hint="eastAsia"/>
          <w:kern w:val="2"/>
          <w:sz w:val="21"/>
          <w:szCs w:val="22"/>
          <w:lang w:eastAsia="zh-CN"/>
        </w:rPr>
        <w:t>投标的操作</w:t>
      </w:r>
      <w:r>
        <w:rPr>
          <w:rFonts w:ascii="宋体" w:eastAsia="宋体" w:hAnsi="宋体" w:cstheme="minorBidi"/>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2</w:t>
      </w:r>
      <w:r>
        <w:rPr>
          <w:rFonts w:ascii="宋体" w:eastAsia="宋体" w:hAnsi="宋体" w:cstheme="minorBidi"/>
          <w:kern w:val="2"/>
          <w:sz w:val="21"/>
          <w:szCs w:val="22"/>
          <w:lang w:eastAsia="zh-CN"/>
        </w:rPr>
        <w:t>投标截止时间以后不得修改投标文件。</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2</w:t>
      </w:r>
      <w:r>
        <w:rPr>
          <w:rFonts w:ascii="宋体" w:eastAsia="宋体" w:hAnsi="宋体" w:cstheme="minorBidi" w:hint="eastAsia"/>
          <w:kern w:val="2"/>
          <w:sz w:val="21"/>
          <w:szCs w:val="22"/>
          <w:lang w:eastAsia="zh-CN"/>
        </w:rPr>
        <w:t>7</w:t>
      </w:r>
      <w:r>
        <w:rPr>
          <w:rFonts w:ascii="宋体" w:eastAsia="宋体" w:hAnsi="宋体" w:cstheme="minorBidi"/>
          <w:kern w:val="2"/>
          <w:sz w:val="21"/>
          <w:szCs w:val="22"/>
          <w:lang w:eastAsia="zh-CN"/>
        </w:rPr>
        <w:t>.</w:t>
      </w:r>
      <w:r>
        <w:rPr>
          <w:rFonts w:ascii="宋体" w:eastAsia="宋体" w:hAnsi="宋体" w:cstheme="minorBidi" w:hint="eastAsia"/>
          <w:kern w:val="2"/>
          <w:sz w:val="21"/>
          <w:szCs w:val="22"/>
          <w:lang w:eastAsia="zh-CN"/>
        </w:rPr>
        <w:t>3从投标截止期至投标人在投标文件中确定的投标有效期之间的这段时间内，投标人不得撤回其投标。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27.4政府集中采购机构不退还投标文件，专用条款另有规定的除外。</w:t>
      </w:r>
    </w:p>
    <w:bookmarkEnd w:id="53"/>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开标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28．开标</w:t>
      </w:r>
    </w:p>
    <w:p>
      <w:pPr>
        <w:widowControl w:val="0"/>
        <w:ind w:firstLine="359" w:firstLineChars="171"/>
        <w:jc w:val="both"/>
        <w:rPr>
          <w:rFonts w:ascii="宋体" w:eastAsia="宋体" w:hAnsi="宋体"/>
          <w:kern w:val="2"/>
          <w:sz w:val="21"/>
          <w:szCs w:val="21"/>
          <w:lang w:eastAsia="zh-CN"/>
        </w:rPr>
      </w:pP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widowControl w:val="0"/>
        <w:ind w:firstLine="315" w:firstLineChars="15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widowControl w:val="0"/>
        <w:ind w:firstLine="315" w:firstLineChars="150"/>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评审要求</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29．评审委员会组成</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29.1网上开标结束后召开评审会议，</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由政府集中采购机构依法组建，负责评审活动。</w:t>
      </w:r>
    </w:p>
    <w:p>
      <w:pPr>
        <w:widowControl w:val="0"/>
        <w:ind w:firstLine="412" w:firstLineChars="196"/>
        <w:jc w:val="both"/>
        <w:rPr>
          <w:rFonts w:ascii="宋体" w:eastAsia="宋体" w:hAnsi="宋体"/>
          <w:kern w:val="2"/>
          <w:sz w:val="21"/>
          <w:szCs w:val="22"/>
          <w:lang w:eastAsia="zh-CN"/>
        </w:rPr>
      </w:pPr>
      <w:bookmarkStart w:id="54" w:name="_Hlk72436580"/>
      <w:r>
        <w:rPr>
          <w:rFonts w:ascii="宋体" w:eastAsia="宋体" w:hAnsi="宋体" w:cstheme="minorBidi" w:hint="eastAsia"/>
          <w:kern w:val="2"/>
          <w:sz w:val="21"/>
          <w:szCs w:val="22"/>
          <w:lang w:eastAsia="zh-CN"/>
        </w:rPr>
        <w:t>评审委员会由采购人代表和评审专家组成，成员人数应当为5人以上单数（部分条件下为7人以上单数），其中评审专家不得少于成员总数的三分之二。</w:t>
      </w:r>
      <w:bookmarkEnd w:id="54"/>
      <w:r>
        <w:rPr>
          <w:rFonts w:ascii="宋体" w:eastAsia="宋体" w:hAnsi="宋体" w:cstheme="minorBidi" w:hint="eastAsia"/>
          <w:kern w:val="2"/>
          <w:sz w:val="21"/>
          <w:szCs w:val="22"/>
          <w:lang w:eastAsia="zh-CN"/>
        </w:rPr>
        <w:t>评定</w:t>
      </w:r>
      <w:r>
        <w:rPr>
          <w:rFonts w:ascii="Calibri" w:eastAsia="宋体" w:hAnsi="Calibri" w:cstheme="minorBidi" w:hint="eastAsia"/>
          <w:kern w:val="2"/>
          <w:sz w:val="21"/>
          <w:szCs w:val="22"/>
          <w:lang w:eastAsia="zh-CN"/>
        </w:rPr>
        <w:t>分离项目</w:t>
      </w:r>
      <w:r>
        <w:rPr>
          <w:rFonts w:ascii="Calibri" w:eastAsia="宋体" w:hAnsi="Calibri" w:cstheme="minorBidi"/>
          <w:kern w:val="2"/>
          <w:sz w:val="21"/>
          <w:szCs w:val="22"/>
          <w:lang w:eastAsia="zh-CN"/>
        </w:rPr>
        <w:t>评审专家</w:t>
      </w:r>
      <w:r>
        <w:rPr>
          <w:rFonts w:ascii="Calibri" w:eastAsia="宋体" w:hAnsi="Calibri" w:cstheme="minorBidi" w:hint="eastAsia"/>
          <w:kern w:val="2"/>
          <w:sz w:val="21"/>
          <w:szCs w:val="22"/>
          <w:lang w:eastAsia="zh-CN"/>
        </w:rPr>
        <w:t>均</w:t>
      </w:r>
      <w:r>
        <w:rPr>
          <w:rFonts w:ascii="Calibri" w:eastAsia="宋体" w:hAnsi="Calibri" w:cstheme="minorBidi"/>
          <w:kern w:val="2"/>
          <w:sz w:val="21"/>
          <w:szCs w:val="22"/>
          <w:lang w:eastAsia="zh-CN"/>
        </w:rPr>
        <w:t>由</w:t>
      </w:r>
      <w:r>
        <w:rPr>
          <w:rFonts w:ascii="Calibri" w:eastAsia="宋体" w:hAnsi="Calibri" w:cstheme="minorBidi" w:hint="eastAsia"/>
          <w:kern w:val="2"/>
          <w:sz w:val="21"/>
          <w:szCs w:val="22"/>
          <w:lang w:eastAsia="zh-CN"/>
        </w:rPr>
        <w:t>评审专家组成。</w:t>
      </w:r>
      <w:r>
        <w:rPr>
          <w:rFonts w:ascii="宋体" w:eastAsia="宋体" w:hAnsi="宋体" w:cstheme="minorBidi" w:hint="eastAsia"/>
          <w:kern w:val="2"/>
          <w:sz w:val="21"/>
          <w:szCs w:val="21"/>
          <w:lang w:eastAsia="zh-CN"/>
        </w:rPr>
        <w:t>评审专家一般是</w:t>
      </w:r>
      <w:r>
        <w:rPr>
          <w:rFonts w:ascii="宋体" w:eastAsia="宋体" w:hAnsi="宋体" w:cstheme="minorBidi" w:hint="eastAsia"/>
          <w:kern w:val="2"/>
          <w:sz w:val="21"/>
          <w:szCs w:val="22"/>
          <w:lang w:eastAsia="zh-CN"/>
        </w:rPr>
        <w:t>从深圳市政府采购评审专家库中随机抽取。采购人代表须持本单位签发的《评审授权书》参加评审。</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29.2评审定标应当遵循公平、公正、科学、择优的原则。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29.3评审活动依法进行，任何单位和个人不得非法干预评标过程和结果。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29.4评审过程中不允许违背评标程序或采用招标文件未载明的评标方法或评标因素进行评标。</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29.5 开标后，直到签订合同为止，凡属于对投标文件的审查、澄清、评价和比较的有关资料以及中标候选人的推荐情况、与评审有关的其他任何情况均严格保密（</w:t>
      </w:r>
      <w:r>
        <w:rPr>
          <w:rFonts w:ascii="Calibri" w:eastAsia="宋体" w:hAnsi="Calibri" w:cstheme="minorBidi" w:hint="eastAsia"/>
          <w:kern w:val="2"/>
          <w:sz w:val="21"/>
          <w:szCs w:val="22"/>
          <w:lang w:eastAsia="zh-CN"/>
        </w:rPr>
        <w:t>信息公开的内容除外</w:t>
      </w:r>
      <w:r>
        <w:rPr>
          <w:rFonts w:ascii="宋体" w:eastAsia="宋体" w:hAnsi="宋体" w:cstheme="minorBidi" w:hint="eastAsia"/>
          <w:bCs/>
          <w:kern w:val="2"/>
          <w:sz w:val="21"/>
          <w:szCs w:val="22"/>
          <w:lang w:eastAsia="zh-CN"/>
        </w:rPr>
        <w:t>）。</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30．向评审委员会提供的资料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30.1公开发布的招标文件，包括图纸、服务清单、答疑文件等；</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30.2其他评标必须的资料。</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30.3</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应当认真研究招标文件，至少应了解熟悉以下内容：</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（1）招标的目的；</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（2）招标项目需求的范围和性质；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（3）招标文件规定的投标人的资格、财政预算限额、商务条款；</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（4）招标文件规定的评标程序、评标方法和评标因素；</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（5）招标文件所列示的资格性审查表及符合性审查表。</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31．独立评审</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w:t>
      </w:r>
      <w:r>
        <w:rPr>
          <w:rFonts w:ascii="宋体" w:eastAsia="宋体" w:hAnsi="宋体" w:cstheme="minorBidi"/>
          <w:bCs/>
          <w:kern w:val="2"/>
          <w:sz w:val="21"/>
          <w:szCs w:val="22"/>
          <w:lang w:eastAsia="zh-CN"/>
        </w:rPr>
        <w:t>1</w:t>
      </w:r>
      <w:r>
        <w:rPr>
          <w:rFonts w:ascii="宋体" w:eastAsia="宋体" w:hAnsi="宋体" w:cstheme="minorBidi" w:hint="eastAsia"/>
          <w:bCs/>
          <w:kern w:val="2"/>
          <w:sz w:val="21"/>
          <w:szCs w:val="22"/>
          <w:lang w:eastAsia="zh-CN"/>
        </w:rPr>
        <w:t>.1</w:t>
      </w:r>
      <w:r>
        <w:rPr>
          <w:rFonts w:ascii="宋体" w:eastAsia="宋体" w:hAnsi="宋体" w:cstheme="minorBidi" w:hint="eastAsia"/>
          <w:kern w:val="2"/>
          <w:sz w:val="21"/>
          <w:szCs w:val="21"/>
          <w:lang w:eastAsia="zh-CN"/>
        </w:rPr>
        <w:t>评审委员会</w:t>
      </w:r>
      <w:r>
        <w:rPr>
          <w:rFonts w:ascii="宋体" w:eastAsia="宋体" w:hAnsi="宋体" w:cstheme="minorBidi" w:hint="eastAsia"/>
          <w:bCs/>
          <w:kern w:val="2"/>
          <w:sz w:val="21"/>
          <w:szCs w:val="22"/>
          <w:lang w:eastAsia="zh-CN"/>
        </w:rPr>
        <w:t>成员的评标活动应当独立进行，并应遵循投标文件初审、澄清有关问题、比较与评价、确定中标供应商、编写评审报告的工作程序。</w:t>
      </w:r>
    </w:p>
    <w:p>
      <w:pPr>
        <w:widowControl w:val="0"/>
        <w:ind w:firstLine="412" w:firstLineChars="196"/>
        <w:jc w:val="both"/>
        <w:rPr>
          <w:rFonts w:ascii="宋体" w:eastAsia="宋体" w:hAnsi="宋体"/>
          <w:bCs/>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评审程序及评审方法</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32．投标文件初审</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32.1投标文件初审包括资格性审查和符合性审查。</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资格性审查：依据法律法规和招标文件的规定，对投标文件中的资格证明等进行审查，以确定投标供应商是否具备投标资格。</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符合性审查：依据招标文件的规定，对投标文件的有效性、完整性和对招标文件的响应程度进行审查，以确定是否满足符合性审查的要求。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32.2 投标文件初审内容请详见《资格性审查表》和《符合性审查表》部分。投标人若有一条审查不通过则按投标无效处理。</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 投标文件初审中关于供应商家数的计算:</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eastAsia="宋体" w:hAnsi="宋体" w:cstheme="minorBidi" w:hint="eastAsia"/>
          <w:bCs/>
          <w:kern w:val="2"/>
          <w:sz w:val="21"/>
          <w:szCs w:val="21"/>
          <w:lang w:eastAsia="zh-CN"/>
        </w:rPr>
        <w:t>评审委员会</w:t>
      </w:r>
      <w:r>
        <w:rPr>
          <w:rFonts w:ascii="宋体" w:eastAsia="宋体" w:hAnsi="宋体" w:cstheme="minorBidi" w:hint="eastAsia"/>
          <w:bCs/>
          <w:kern w:val="2"/>
          <w:sz w:val="21"/>
          <w:szCs w:val="22"/>
          <w:lang w:eastAsia="zh-CN"/>
        </w:rPr>
        <w:t>按照招标文件规定的方式确定一个投标人获得中标人推荐资格，招标文件未规定的采取随机抽取方式确定，其他同品牌投标人不作为中标候选人。</w:t>
      </w:r>
    </w:p>
    <w:p>
      <w:pPr>
        <w:widowControl w:val="0"/>
        <w:ind w:firstLine="412" w:firstLineChars="196"/>
        <w:jc w:val="both"/>
        <w:rPr>
          <w:rFonts w:ascii="宋体" w:eastAsia="宋体" w:hAnsi="宋体"/>
          <w:bCs/>
          <w:kern w:val="2"/>
          <w:sz w:val="21"/>
          <w:szCs w:val="22"/>
          <w:lang w:eastAsia="zh-CN"/>
        </w:rPr>
      </w:pPr>
      <w:r>
        <w:rPr>
          <w:rFonts w:ascii="宋体" w:eastAsia="宋体" w:hAnsi="宋体" w:cstheme="minorBidi" w:hint="eastAsia"/>
          <w:bCs/>
          <w:kern w:val="2"/>
          <w:sz w:val="21"/>
          <w:szCs w:val="22"/>
          <w:lang w:eastAsia="zh-CN"/>
        </w:rPr>
        <w:t>32.3.3非单一产品采购项目，采购人应当根据采购项目技术构成、产品价格比重等合理确定核心产品，并在招标文件中载明。多家投标人提供的核心产品品牌相同的，按前两款规定处理。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32.4投标人投标文件作无效处理的情形，具体包括但不限于以下：</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hint="eastAsia"/>
          <w:kern w:val="2"/>
          <w:sz w:val="21"/>
          <w:szCs w:val="22"/>
          <w:lang w:eastAsia="zh-CN"/>
        </w:rPr>
        <w:t>32.4.1</w:t>
      </w:r>
      <w:r>
        <w:rPr>
          <w:rFonts w:ascii="Calibri" w:eastAsia="宋体" w:hAnsi="Calibri" w:cstheme="minorBidi" w:hint="eastAsia"/>
          <w:kern w:val="2"/>
          <w:sz w:val="21"/>
          <w:szCs w:val="22"/>
          <w:lang w:eastAsia="zh-CN"/>
        </w:rPr>
        <w:t>不同投标人的投标文件由同一单位或者同一个人编制，或者由同一个人分阶段参与编制；</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kern w:val="2"/>
          <w:sz w:val="21"/>
          <w:szCs w:val="22"/>
          <w:lang w:eastAsia="zh-CN"/>
        </w:rPr>
        <w:t>32.4.</w:t>
      </w:r>
      <w:r>
        <w:rPr>
          <w:rFonts w:ascii="宋体" w:eastAsia="宋体" w:hAnsi="宋体" w:cstheme="minorBidi" w:hint="eastAsia"/>
          <w:kern w:val="2"/>
          <w:sz w:val="21"/>
          <w:szCs w:val="22"/>
          <w:lang w:eastAsia="zh-CN"/>
        </w:rPr>
        <w:t>2</w:t>
      </w:r>
      <w:r>
        <w:rPr>
          <w:rFonts w:ascii="Calibri" w:eastAsia="宋体" w:hAnsi="Calibri" w:cstheme="minorBidi" w:hint="eastAsia"/>
          <w:kern w:val="2"/>
          <w:sz w:val="21"/>
          <w:szCs w:val="22"/>
          <w:lang w:eastAsia="zh-CN"/>
        </w:rPr>
        <w:t>不同投标人委托同一单位或者个人办理投标事宜；</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32.4.3不同投标人的投标文件载明的项目管理成员或者联系人员为同一人；</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32.4.4不同投标人的投标文件异常一致或者投标报价呈规律性差异；</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32.4.5</w:t>
      </w:r>
      <w:r>
        <w:rPr>
          <w:rFonts w:ascii="宋体" w:eastAsia="宋体" w:hAnsi="宋体" w:cstheme="minorBidi"/>
          <w:kern w:val="2"/>
          <w:sz w:val="21"/>
          <w:szCs w:val="22"/>
          <w:lang w:eastAsia="zh-CN"/>
        </w:rPr>
        <w:t>不同投标供应商的投标文件或部分投标文件相互混装</w:t>
      </w:r>
      <w:r>
        <w:rPr>
          <w:rFonts w:ascii="宋体" w:eastAsia="宋体" w:hAnsi="宋体" w:cstheme="minorBidi" w:hint="eastAsia"/>
          <w:kern w:val="2"/>
          <w:sz w:val="21"/>
          <w:szCs w:val="22"/>
          <w:lang w:eastAsia="zh-CN"/>
        </w:rPr>
        <w:t>；</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32.4.6投标供应商之间相互约定给予未中标的供应商利益补偿；</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32.4.7不同投标供应商的法定代表人、主要经营负责人、项目投标授权代表人、项目负责人、主要技术人员为同一人、属同一单位或者同一单位缴纳社会保险；</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32.4.8不同投标供应商的投标文件内容存在非正常一致；</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32.4.9在同一单位工作人员为两家以上（含两家）供应商进行同一项投标活动；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32.4.10主管部门依照法律、法规认定的其他情形。</w:t>
      </w:r>
    </w:p>
    <w:p>
      <w:pPr>
        <w:widowControl w:val="0"/>
        <w:jc w:val="both"/>
        <w:rPr>
          <w:rFonts w:ascii="宋体" w:eastAsia="宋体" w:hAnsi="宋体" w:hint="eastAsia"/>
          <w:kern w:val="2"/>
          <w:sz w:val="21"/>
          <w:szCs w:val="22"/>
          <w:lang w:eastAsia="zh-CN"/>
        </w:rPr>
      </w:pPr>
      <w:r>
        <w:rPr>
          <w:rFonts w:ascii="宋体" w:eastAsia="宋体" w:hAnsi="宋体" w:cstheme="minorBidi" w:hint="eastAsia"/>
          <w:kern w:val="2"/>
          <w:sz w:val="21"/>
          <w:szCs w:val="22"/>
          <w:lang w:eastAsia="zh-CN"/>
        </w:rPr>
        <w:t>32.5对不属于《资格性审查表》和《符合性审查表》所列的其他情形，除专用条款另有规定和32.4条款所列情形外，不得作为投标无效的理由。</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33．澄清有关问题</w:t>
      </w:r>
    </w:p>
    <w:p>
      <w:pPr>
        <w:widowControl w:val="0"/>
        <w:ind w:firstLine="412" w:firstLineChars="196"/>
        <w:jc w:val="both"/>
        <w:rPr>
          <w:rFonts w:ascii="宋体" w:eastAsia="宋体" w:hAnsi="宋体"/>
          <w:kern w:val="2"/>
          <w:sz w:val="21"/>
          <w:szCs w:val="22"/>
          <w:lang w:eastAsia="zh-CN"/>
        </w:rPr>
      </w:pPr>
      <w:bookmarkStart w:id="55" w:name="_Hlk71407321"/>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3.1</w:t>
      </w:r>
      <w:r>
        <w:rPr>
          <w:rFonts w:ascii="宋体" w:eastAsia="宋体" w:hAnsi="宋体" w:cstheme="minorBidi" w:hint="eastAsia"/>
          <w:kern w:val="2"/>
          <w:sz w:val="21"/>
          <w:szCs w:val="22"/>
          <w:lang w:eastAsia="zh-CN"/>
        </w:rPr>
        <w:t>对招标文件中描述有歧义或前后不一致的地方（不含</w:t>
      </w:r>
      <w:r>
        <w:rPr>
          <w:rFonts w:ascii="Calibri" w:eastAsia="宋体" w:hAnsi="Calibri" w:cstheme="minorBidi"/>
          <w:kern w:val="2"/>
          <w:sz w:val="21"/>
          <w:szCs w:val="21"/>
          <w:lang w:eastAsia="zh-CN"/>
        </w:rPr>
        <w:t>招标文件存在歧义、重大缺陷导致评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工作无法进行</w:t>
      </w:r>
      <w:r>
        <w:rPr>
          <w:rFonts w:ascii="Calibri" w:eastAsia="宋体" w:hAnsi="Calibri" w:cstheme="minorBidi" w:hint="eastAsia"/>
          <w:kern w:val="2"/>
          <w:sz w:val="21"/>
          <w:szCs w:val="21"/>
          <w:lang w:eastAsia="zh-CN"/>
        </w:rPr>
        <w:t>的情况）</w:t>
      </w:r>
      <w:r>
        <w:rPr>
          <w:rFonts w:ascii="宋体" w:eastAsia="宋体" w:hAnsi="宋体" w:cstheme="minorBidi" w:hint="eastAsia"/>
          <w:kern w:val="2"/>
          <w:sz w:val="21"/>
          <w:szCs w:val="22"/>
          <w:lang w:eastAsia="zh-CN"/>
        </w:rPr>
        <w:t>，评审委员会有权进行评判，但对同一条款的评判应适用于每个投标人。</w:t>
      </w:r>
      <w:bookmarkEnd w:id="55"/>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3</w:t>
      </w:r>
      <w:r>
        <w:rPr>
          <w:rFonts w:ascii="宋体" w:eastAsia="宋体" w:hAnsi="宋体" w:cstheme="minorBidi"/>
          <w:kern w:val="2"/>
          <w:sz w:val="21"/>
          <w:szCs w:val="22"/>
          <w:lang w:eastAsia="zh-CN"/>
        </w:rPr>
        <w:t>3.2</w:t>
      </w:r>
      <w:r>
        <w:rPr>
          <w:rFonts w:ascii="Calibri" w:eastAsia="宋体" w:hAnsi="Calibri" w:cstheme="minorBidi"/>
          <w:kern w:val="2"/>
          <w:sz w:val="21"/>
          <w:szCs w:val="21"/>
          <w:lang w:eastAsia="zh-CN"/>
        </w:rPr>
        <w:t>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委员会发现招标文件存在歧义、重大缺陷导致评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工作无法进行，或者招标文件内容违反国家有关强制性规定的，应当停止评</w:t>
      </w:r>
      <w:r>
        <w:rPr>
          <w:rFonts w:ascii="Calibri" w:eastAsia="宋体" w:hAnsi="Calibri" w:cstheme="minorBidi" w:hint="eastAsia"/>
          <w:kern w:val="2"/>
          <w:sz w:val="21"/>
          <w:szCs w:val="21"/>
          <w:lang w:eastAsia="zh-CN"/>
        </w:rPr>
        <w:t>审</w:t>
      </w:r>
      <w:r>
        <w:rPr>
          <w:rFonts w:ascii="Calibri" w:eastAsia="宋体" w:hAnsi="Calibri" w:cstheme="minorBidi"/>
          <w:kern w:val="2"/>
          <w:sz w:val="21"/>
          <w:szCs w:val="21"/>
          <w:lang w:eastAsia="zh-CN"/>
        </w:rPr>
        <w:t>工作，与</w:t>
      </w:r>
      <w:r>
        <w:rPr>
          <w:rFonts w:ascii="Calibri" w:eastAsia="宋体" w:hAnsi="Calibri" w:cstheme="minorBidi" w:hint="eastAsia"/>
          <w:kern w:val="2"/>
          <w:sz w:val="21"/>
          <w:szCs w:val="21"/>
          <w:lang w:eastAsia="zh-CN"/>
        </w:rPr>
        <w:t>政府集中采购机构</w:t>
      </w:r>
      <w:r>
        <w:rPr>
          <w:rFonts w:ascii="Calibri" w:eastAsia="宋体" w:hAnsi="Calibri" w:cstheme="minorBidi"/>
          <w:kern w:val="2"/>
          <w:sz w:val="21"/>
          <w:szCs w:val="21"/>
          <w:lang w:eastAsia="zh-CN"/>
        </w:rPr>
        <w:t>沟通并作书面记录。</w:t>
      </w:r>
      <w:r>
        <w:rPr>
          <w:rFonts w:ascii="Calibri" w:eastAsia="宋体" w:hAnsi="Calibri" w:cstheme="minorBidi" w:hint="eastAsia"/>
          <w:kern w:val="2"/>
          <w:sz w:val="21"/>
          <w:szCs w:val="21"/>
          <w:lang w:eastAsia="zh-CN"/>
        </w:rPr>
        <w:t>经</w:t>
      </w:r>
      <w:r>
        <w:rPr>
          <w:rFonts w:ascii="Calibri" w:eastAsia="宋体" w:hAnsi="Calibri" w:cstheme="minorBidi"/>
          <w:kern w:val="2"/>
          <w:sz w:val="21"/>
          <w:szCs w:val="21"/>
          <w:lang w:eastAsia="zh-CN"/>
        </w:rPr>
        <w:t>确认后，</w:t>
      </w:r>
      <w:r>
        <w:rPr>
          <w:rFonts w:ascii="Calibri" w:eastAsia="宋体" w:hAnsi="Calibri" w:cstheme="minorBidi" w:hint="eastAsia"/>
          <w:kern w:val="2"/>
          <w:sz w:val="21"/>
          <w:szCs w:val="21"/>
          <w:lang w:eastAsia="zh-CN"/>
        </w:rPr>
        <w:t>项目</w:t>
      </w:r>
      <w:r>
        <w:rPr>
          <w:rFonts w:ascii="Calibri" w:eastAsia="宋体" w:hAnsi="Calibri" w:cstheme="minorBidi"/>
          <w:kern w:val="2"/>
          <w:sz w:val="21"/>
          <w:szCs w:val="21"/>
          <w:lang w:eastAsia="zh-CN"/>
        </w:rPr>
        <w:t>应当修改招标文件，重新组织采购活动。</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33.3</w:t>
      </w:r>
      <w:r>
        <w:rPr>
          <w:rFonts w:ascii="宋体" w:eastAsia="宋体" w:hAnsi="宋体" w:cstheme="minorBidi" w:hint="eastAsia"/>
          <w:kern w:val="2"/>
          <w:sz w:val="21"/>
          <w:szCs w:val="22"/>
          <w:lang w:eastAsia="zh-CN"/>
        </w:rPr>
        <w:t>对于投标文件中含义不明确、同类问题表述不一致或者有明显文字和计算错误的内容，评审委员会应当以书面形式要求投标人作出必要的澄清、说明或者补正。</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根据本通用条款第34条，凡属于评审委员会在评审中发现的算术错误进行核实的修改不在此列。</w:t>
      </w:r>
    </w:p>
    <w:p>
      <w:pPr>
        <w:widowControl w:val="0"/>
        <w:jc w:val="both"/>
        <w:rPr>
          <w:rFonts w:ascii="黑体" w:eastAsia="黑体" w:hAnsi="宋体"/>
          <w:kern w:val="2"/>
          <w:szCs w:val="22"/>
          <w:lang w:eastAsia="zh-CN"/>
        </w:rPr>
      </w:pPr>
      <w:bookmarkStart w:id="56" w:name="_Toc73518151"/>
      <w:bookmarkStart w:id="57" w:name="_Toc73521669"/>
      <w:bookmarkStart w:id="58" w:name="_Toc73521581"/>
      <w:bookmarkStart w:id="59" w:name="_Toc73517673"/>
      <w:bookmarkStart w:id="60" w:name="_Toc100052400"/>
      <w:r>
        <w:rPr>
          <w:rFonts w:ascii="黑体" w:eastAsia="黑体" w:hAnsi="宋体" w:cstheme="minorBidi" w:hint="eastAsia"/>
          <w:kern w:val="2"/>
          <w:szCs w:val="22"/>
          <w:lang w:eastAsia="zh-CN"/>
        </w:rPr>
        <w:t>34．错误的修正</w:t>
      </w:r>
      <w:bookmarkEnd w:id="56"/>
      <w:bookmarkEnd w:id="57"/>
      <w:bookmarkEnd w:id="58"/>
      <w:bookmarkEnd w:id="59"/>
      <w:bookmarkEnd w:id="60"/>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投标文件报价出现前后不一致的，除专用条款另有规定外，按照下列规定修正：</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34.1投标文件中开标一览表投标报价内容与投标文件中投标报价相应内容不一致的，以开标一览表为准；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34.2大写金额和小写金额不一致的，以大写金额为准；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34.3单价金额小数点或者百分比有明显错位，以开标一览表的总价为准，并修改单价；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34.4总价金额与按单价汇总金额不一致的，以单价金额计算结果为准。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34.5同时出现两种以上不一致的，按照前款规定的顺序修正。修正后的报价按照本通用条款33条的规定，经投标人确认后产生约束力，投标人不确认的，其投标无效。</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35．投标文件的比较与评价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评审委员会成员对需要共同认定的事项存在争议的，应当按照少数服从多数的原则作出结论。持不同意见的评审委员会成员应当书面作出说明，否则视为无异议。</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36. 实地考察或资料查验</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36.1在评审过程中，评审委员会有权决定是否对本项目投标人进行实地考察或资料查验（原件）。投标人应随时做好接受实地考察或资料查验的准备。</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37．评审方法</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37.1.1最低价法</w:t>
      </w:r>
    </w:p>
    <w:p>
      <w:pPr>
        <w:widowControl w:val="0"/>
        <w:ind w:firstLine="412" w:firstLineChars="196"/>
        <w:jc w:val="both"/>
        <w:rPr>
          <w:rFonts w:ascii="ˎ̥" w:eastAsia="宋体" w:hAnsi="ˎ̥"/>
          <w:kern w:val="2"/>
          <w:sz w:val="21"/>
          <w:szCs w:val="22"/>
          <w:lang w:eastAsia="zh-CN"/>
        </w:rPr>
      </w:pPr>
      <w:bookmarkStart w:id="61" w:name="_Hlk72438142"/>
      <w:r>
        <w:rPr>
          <w:rFonts w:ascii="ˎ̥" w:eastAsia="宋体" w:hAnsi="ˎ̥" w:cstheme="minorBidi"/>
          <w:kern w:val="2"/>
          <w:sz w:val="21"/>
          <w:szCs w:val="22"/>
          <w:lang w:eastAsia="zh-CN"/>
        </w:rPr>
        <w:t>最低价法，是指</w:t>
      </w:r>
      <w:r>
        <w:rPr>
          <w:rFonts w:ascii="ˎ̥" w:eastAsia="宋体" w:hAnsi="ˎ̥" w:cstheme="minorBidi" w:hint="eastAsia"/>
          <w:kern w:val="2"/>
          <w:sz w:val="21"/>
          <w:szCs w:val="22"/>
          <w:lang w:eastAsia="zh-CN"/>
        </w:rPr>
        <w:t>完全</w:t>
      </w:r>
      <w:r>
        <w:rPr>
          <w:rFonts w:ascii="ˎ̥" w:eastAsia="宋体" w:hAnsi="ˎ̥" w:cstheme="minorBidi"/>
          <w:kern w:val="2"/>
          <w:sz w:val="21"/>
          <w:szCs w:val="22"/>
          <w:lang w:eastAsia="zh-CN"/>
        </w:rPr>
        <w:t>满足招标文件实质性要求，</w:t>
      </w:r>
      <w:r>
        <w:rPr>
          <w:rFonts w:ascii="ˎ̥" w:eastAsia="宋体" w:hAnsi="ˎ̥" w:cstheme="minorBidi" w:hint="eastAsia"/>
          <w:kern w:val="2"/>
          <w:sz w:val="21"/>
          <w:szCs w:val="22"/>
          <w:lang w:eastAsia="zh-CN"/>
        </w:rPr>
        <w:t>按照报价由低到高的顺序，依据招标文件中规定的数量或者比例推荐候选中标供应商。</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37.1.2综合评分法</w:t>
      </w:r>
    </w:p>
    <w:p>
      <w:pPr>
        <w:widowControl w:val="0"/>
        <w:ind w:firstLine="412" w:firstLineChars="196"/>
        <w:jc w:val="both"/>
        <w:rPr>
          <w:rFonts w:ascii="ˎ̥" w:eastAsia="宋体" w:hAnsi="ˎ̥"/>
          <w:kern w:val="2"/>
          <w:sz w:val="21"/>
          <w:szCs w:val="22"/>
          <w:lang w:eastAsia="zh-CN"/>
        </w:rPr>
      </w:pPr>
      <w:r>
        <w:rPr>
          <w:rFonts w:ascii="ˎ̥" w:eastAsia="宋体" w:hAnsi="ˎ̥" w:cstheme="minorBidi"/>
          <w:kern w:val="2"/>
          <w:sz w:val="21"/>
          <w:szCs w:val="22"/>
          <w:lang w:eastAsia="zh-CN"/>
        </w:rPr>
        <w:t>综合评分法，是指</w:t>
      </w:r>
      <w:r>
        <w:rPr>
          <w:rFonts w:ascii="ˎ̥" w:eastAsia="宋体" w:hAnsi="ˎ̥" w:cstheme="minorBidi" w:hint="eastAsia"/>
          <w:kern w:val="2"/>
          <w:sz w:val="21"/>
          <w:szCs w:val="22"/>
          <w:lang w:eastAsia="zh-CN"/>
        </w:rPr>
        <w:t>在</w:t>
      </w:r>
      <w:r>
        <w:rPr>
          <w:rFonts w:ascii="ˎ̥" w:eastAsia="宋体" w:hAnsi="ˎ̥" w:cstheme="minorBidi"/>
          <w:kern w:val="2"/>
          <w:sz w:val="21"/>
          <w:szCs w:val="22"/>
          <w:lang w:eastAsia="zh-CN"/>
        </w:rPr>
        <w:t>满足招标文件全部实质性要求</w:t>
      </w:r>
      <w:r>
        <w:rPr>
          <w:rFonts w:ascii="ˎ̥" w:eastAsia="宋体" w:hAnsi="ˎ̥" w:cstheme="minorBidi" w:hint="eastAsia"/>
          <w:kern w:val="2"/>
          <w:sz w:val="21"/>
          <w:szCs w:val="22"/>
          <w:lang w:eastAsia="zh-CN"/>
        </w:rPr>
        <w:t>的前提下</w:t>
      </w:r>
      <w:r>
        <w:rPr>
          <w:rFonts w:ascii="ˎ̥" w:eastAsia="宋体" w:hAnsi="ˎ̥" w:cstheme="minorBidi"/>
          <w:kern w:val="2"/>
          <w:sz w:val="21"/>
          <w:szCs w:val="22"/>
          <w:lang w:eastAsia="zh-CN"/>
        </w:rPr>
        <w:t>，</w:t>
      </w:r>
      <w:r>
        <w:rPr>
          <w:rFonts w:ascii="ˎ̥" w:eastAsia="宋体" w:hAnsi="ˎ̥" w:cstheme="minorBidi" w:hint="eastAsia"/>
          <w:kern w:val="2"/>
          <w:sz w:val="21"/>
          <w:szCs w:val="22"/>
          <w:lang w:eastAsia="zh-CN"/>
        </w:rPr>
        <w:t>按照招标文件中规定的各项因素进行综合评审，评审总得分排名前列的投标人，作为推荐的候选中标供应商。</w:t>
      </w:r>
      <w:bookmarkEnd w:id="61"/>
      <w:r>
        <w:rPr>
          <w:rFonts w:ascii="宋体" w:eastAsia="宋体" w:hAnsi="宋体" w:cstheme="minorBidi" w:hint="eastAsia"/>
          <w:bCs/>
          <w:color w:val="FF0000"/>
          <w:kern w:val="2"/>
          <w:sz w:val="21"/>
          <w:szCs w:val="21"/>
          <w:lang w:eastAsia="zh-CN"/>
        </w:rPr>
        <w:t xml:space="preserve">  </w:t>
      </w:r>
      <w:r>
        <w:rPr>
          <w:rFonts w:ascii="宋体" w:eastAsia="宋体" w:hAnsi="宋体" w:cstheme="minorBidi" w:hint="eastAsia"/>
          <w:bCs/>
          <w:kern w:val="2"/>
          <w:sz w:val="21"/>
          <w:szCs w:val="21"/>
          <w:lang w:eastAsia="zh-CN"/>
        </w:rPr>
        <w:t xml:space="preserve">                                                                                                                                                                                                                                                                                                                                                                                                                                                                                                                                                                                                                                                                                                                                                                                                                                                                                                                                                                                                                                                                                                                                                                                                                                                                                                                                                                                                                                                                                                                                                                                                                                                                                                                                                                                                                                                                                                                                                                                                                                                                                                                                                                                                                                                                                                                                                                                                                                                                                                                                                                                                                                                                                                                                                                                                                                                                                                                                                                                                                           </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37.2 本项目采用的评审方法见本项目招标文件第一册“专用条款”的相关内容。</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37.3重新评审的情形</w:t>
      </w:r>
    </w:p>
    <w:p>
      <w:pPr>
        <w:widowControl w:val="0"/>
        <w:ind w:firstLine="412" w:firstLineChars="196"/>
        <w:jc w:val="both"/>
        <w:rPr>
          <w:rFonts w:ascii="宋体" w:eastAsia="宋体" w:hAnsi="宋体"/>
          <w:b/>
          <w:bCs/>
          <w:kern w:val="2"/>
          <w:sz w:val="21"/>
          <w:szCs w:val="21"/>
          <w:lang w:eastAsia="zh-CN"/>
        </w:rPr>
      </w:pPr>
      <w:r>
        <w:rPr>
          <w:rFonts w:ascii="宋体" w:eastAsia="宋体" w:hAnsi="宋体" w:cs="宋体" w:hint="eastAsia"/>
          <w:sz w:val="21"/>
          <w:szCs w:val="21"/>
          <w:lang w:eastAsia="zh-CN"/>
        </w:rPr>
        <w:t>评审结果汇总完成后，除下列情形外，任何人不得修改评审结果：</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37.3.1分值汇总计算错误的；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37.3.2分项评分超出评分标准范围的；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37.3.3评审委员会成员对客观评审因素评分不一致的；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37.3.4经评审委员会认定评分畸高、畸低的。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投标人对本条第一款情形提出质疑的，采购人或者采购代理机构可以组织原评审委员会进行重新评审，重新评审改变评审结果的，应当书面报告本级财政部门。</w:t>
      </w:r>
    </w:p>
    <w:p>
      <w:pPr>
        <w:widowControl w:val="0"/>
        <w:ind w:firstLine="412" w:firstLineChars="196"/>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 xml:space="preserve"> 37.4重新组建评审委员会的情形</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评审委员会或者其成员存在下列情形导致评审结果无效的，重新组建评审委员会进行评标，并书面报告本级财政部门：</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37.4.1评审委员会组成不符合《政府采购货物和服务招标投标管理办法》规定的；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37.4.2有《政府采购货物和服务招标投标管理办法》第六十二条第一至五项情形的；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37.4.3评审委员会及其成员独立评标受到非法干预的；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37.4.4有政府采购法实施条例第七十五条规定的违法行为的。</w:t>
      </w:r>
    </w:p>
    <w:p>
      <w:pPr>
        <w:widowControl w:val="0"/>
        <w:ind w:firstLine="412" w:firstLineChars="196"/>
        <w:jc w:val="both"/>
        <w:rPr>
          <w:rFonts w:ascii="宋体" w:eastAsia="宋体" w:hAnsi="宋体" w:cs="宋体"/>
          <w:sz w:val="21"/>
          <w:szCs w:val="21"/>
          <w:lang w:eastAsia="zh-CN"/>
        </w:rPr>
      </w:pPr>
      <w:r>
        <w:rPr>
          <w:rFonts w:ascii="宋体" w:eastAsia="宋体" w:hAnsi="宋体" w:cs="宋体" w:hint="eastAsia"/>
          <w:sz w:val="21"/>
          <w:szCs w:val="21"/>
          <w:lang w:eastAsia="zh-CN"/>
        </w:rPr>
        <w:t>有违法违规行为的原评审委员会成员不得参加重新组建的评审委员会。</w:t>
      </w:r>
    </w:p>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定标及公示</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38．定标方法</w:t>
      </w:r>
    </w:p>
    <w:p>
      <w:pPr>
        <w:widowControl w:val="0"/>
        <w:ind w:firstLine="412" w:firstLineChars="196"/>
        <w:jc w:val="both"/>
        <w:rPr>
          <w:rFonts w:ascii="宋体" w:eastAsia="宋体" w:hAnsi="宋体"/>
          <w:kern w:val="2"/>
          <w:sz w:val="21"/>
          <w:szCs w:val="21"/>
          <w:lang w:eastAsia="zh-CN"/>
        </w:rPr>
      </w:pPr>
      <w:bookmarkStart w:id="62" w:name="_Hlk73782795"/>
      <w:r>
        <w:rPr>
          <w:rFonts w:ascii="宋体" w:eastAsia="宋体" w:hAnsi="宋体" w:cstheme="minorBidi" w:hint="eastAsia"/>
          <w:kern w:val="2"/>
          <w:sz w:val="21"/>
          <w:szCs w:val="21"/>
          <w:lang w:eastAsia="zh-CN"/>
        </w:rPr>
        <w:t>38.1非评定分离项目定标方法</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1.1评审委员会依据本项目招标文件所约定的评审方法进行评审和比较，向政府集中采购机构提交书面评审报告，并根据评审方法比较评价结果从优到劣进行排序，确定候选中标供应商。</w:t>
      </w:r>
    </w:p>
    <w:p>
      <w:pPr>
        <w:widowControl w:val="0"/>
        <w:ind w:firstLine="412" w:firstLineChars="196"/>
        <w:jc w:val="both"/>
        <w:rPr>
          <w:rFonts w:ascii="ˎ̥" w:eastAsia="宋体" w:hAnsi="ˎ̥"/>
          <w:kern w:val="2"/>
          <w:sz w:val="21"/>
          <w:szCs w:val="22"/>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1.2</w:t>
      </w:r>
      <w:r>
        <w:rPr>
          <w:rFonts w:ascii="ˎ̥" w:eastAsia="宋体" w:hAnsi="ˎ̥" w:cstheme="minorBidi"/>
          <w:kern w:val="2"/>
          <w:sz w:val="21"/>
          <w:szCs w:val="22"/>
          <w:lang w:eastAsia="zh-CN"/>
        </w:rPr>
        <w:t>采用最低价法的，评</w:t>
      </w:r>
      <w:r>
        <w:rPr>
          <w:rFonts w:ascii="ˎ̥" w:eastAsia="宋体" w:hAnsi="ˎ̥" w:cstheme="minorBidi" w:hint="eastAsia"/>
          <w:kern w:val="2"/>
          <w:sz w:val="21"/>
          <w:szCs w:val="22"/>
          <w:lang w:eastAsia="zh-CN"/>
        </w:rPr>
        <w:t>审</w:t>
      </w:r>
      <w:r>
        <w:rPr>
          <w:rFonts w:ascii="ˎ̥" w:eastAsia="宋体" w:hAnsi="ˎ̥" w:cstheme="minorBidi"/>
          <w:kern w:val="2"/>
          <w:sz w:val="21"/>
          <w:szCs w:val="22"/>
          <w:lang w:eastAsia="zh-CN"/>
        </w:rPr>
        <w:t>结果按投标报价由低到高顺序排列。投标报价相同的并列。投标文件满足招标文件全部实质性要求且投标报价最低的</w:t>
      </w:r>
      <w:r>
        <w:rPr>
          <w:rFonts w:ascii="ˎ̥" w:eastAsia="宋体" w:hAnsi="ˎ̥" w:cstheme="minorBidi" w:hint="eastAsia"/>
          <w:kern w:val="2"/>
          <w:sz w:val="21"/>
          <w:szCs w:val="22"/>
          <w:lang w:eastAsia="zh-CN"/>
        </w:rPr>
        <w:t>投标人为</w:t>
      </w:r>
      <w:bookmarkStart w:id="63" w:name="_Hlk73821177"/>
      <w:r>
        <w:rPr>
          <w:rFonts w:ascii="ˎ̥" w:eastAsia="宋体" w:hAnsi="ˎ̥" w:cstheme="minorBidi" w:hint="eastAsia"/>
          <w:kern w:val="2"/>
          <w:sz w:val="21"/>
          <w:szCs w:val="22"/>
          <w:lang w:eastAsia="zh-CN"/>
        </w:rPr>
        <w:t>唯一候选</w:t>
      </w:r>
      <w:r>
        <w:rPr>
          <w:rFonts w:ascii="ˎ̥" w:eastAsia="宋体" w:hAnsi="ˎ̥" w:cstheme="minorBidi" w:hint="eastAsia"/>
          <w:kern w:val="2"/>
          <w:sz w:val="21"/>
          <w:szCs w:val="22"/>
          <w:lang w:eastAsia="zh-CN"/>
        </w:rPr>
        <w:t>中标供应商</w:t>
      </w:r>
      <w:bookmarkEnd w:id="63"/>
      <w:r>
        <w:rPr>
          <w:rFonts w:ascii="ˎ̥" w:eastAsia="宋体" w:hAnsi="ˎ̥" w:cstheme="minorBidi"/>
          <w:kern w:val="2"/>
          <w:sz w:val="21"/>
          <w:szCs w:val="22"/>
          <w:lang w:eastAsia="zh-CN"/>
        </w:rPr>
        <w:t>。</w:t>
      </w:r>
    </w:p>
    <w:p>
      <w:pPr>
        <w:widowControl w:val="0"/>
        <w:ind w:firstLine="412" w:firstLineChars="196"/>
        <w:jc w:val="both"/>
        <w:rPr>
          <w:rFonts w:ascii="ˎ̥" w:eastAsia="宋体" w:hAnsi="ˎ̥"/>
          <w:kern w:val="2"/>
          <w:sz w:val="21"/>
          <w:szCs w:val="22"/>
          <w:lang w:eastAsia="zh-CN"/>
        </w:rPr>
      </w:pPr>
      <w:r>
        <w:rPr>
          <w:rFonts w:ascii="宋体" w:eastAsia="宋体" w:hAnsi="宋体" w:cstheme="minorBidi" w:hint="eastAsia"/>
          <w:kern w:val="2"/>
          <w:sz w:val="21"/>
          <w:szCs w:val="21"/>
          <w:lang w:eastAsia="zh-CN"/>
        </w:rPr>
        <w:t>38</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1.3</w:t>
      </w:r>
      <w:r>
        <w:rPr>
          <w:rFonts w:ascii="宋体" w:eastAsia="宋体" w:hAnsi="宋体" w:cstheme="minorBidi"/>
          <w:kern w:val="2"/>
          <w:sz w:val="21"/>
          <w:szCs w:val="21"/>
          <w:lang w:eastAsia="zh-CN"/>
        </w:rPr>
        <w:t>采</w:t>
      </w:r>
      <w:r>
        <w:rPr>
          <w:rFonts w:ascii="ˎ̥" w:eastAsia="宋体" w:hAnsi="ˎ̥" w:cstheme="minorBidi"/>
          <w:kern w:val="2"/>
          <w:sz w:val="21"/>
          <w:szCs w:val="22"/>
          <w:lang w:eastAsia="zh-CN"/>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eastAsia="宋体" w:hAnsi="ˎ̥" w:cstheme="minorBidi" w:hint="eastAsia"/>
          <w:kern w:val="2"/>
          <w:sz w:val="21"/>
          <w:szCs w:val="22"/>
          <w:lang w:eastAsia="zh-CN"/>
        </w:rPr>
        <w:t>为唯一</w:t>
      </w:r>
      <w:r>
        <w:rPr>
          <w:rFonts w:ascii="ˎ̥" w:eastAsia="宋体" w:hAnsi="ˎ̥" w:cstheme="minorBidi" w:hint="eastAsia"/>
          <w:kern w:val="2"/>
          <w:sz w:val="21"/>
          <w:szCs w:val="22"/>
          <w:lang w:eastAsia="zh-CN"/>
        </w:rPr>
        <w:t>候选</w:t>
      </w:r>
      <w:r>
        <w:rPr>
          <w:rFonts w:ascii="ˎ̥" w:eastAsia="宋体" w:hAnsi="ˎ̥" w:cstheme="minorBidi" w:hint="eastAsia"/>
          <w:kern w:val="2"/>
          <w:sz w:val="21"/>
          <w:szCs w:val="22"/>
          <w:lang w:eastAsia="zh-CN"/>
        </w:rPr>
        <w:t>中标供应商</w:t>
      </w:r>
      <w:r>
        <w:rPr>
          <w:rFonts w:ascii="ˎ̥" w:eastAsia="宋体" w:hAnsi="ˎ̥" w:cstheme="minorBidi"/>
          <w:kern w:val="2"/>
          <w:sz w:val="21"/>
          <w:szCs w:val="22"/>
          <w:lang w:eastAsia="zh-CN"/>
        </w:rPr>
        <w:t>。</w:t>
      </w:r>
      <w:r>
        <w:rPr>
          <w:rFonts w:ascii="ˎ̥" w:eastAsia="宋体" w:hAnsi="ˎ̥" w:cstheme="minorBidi" w:hint="eastAsia"/>
          <w:kern w:val="2"/>
          <w:sz w:val="21"/>
          <w:szCs w:val="22"/>
          <w:lang w:eastAsia="zh-CN"/>
        </w:rPr>
        <w:t>出现</w:t>
      </w:r>
      <w:r>
        <w:rPr>
          <w:rFonts w:ascii="ˎ̥" w:eastAsia="宋体" w:hAnsi="ˎ̥" w:cstheme="minorBidi"/>
          <w:kern w:val="2"/>
          <w:sz w:val="21"/>
          <w:szCs w:val="22"/>
          <w:lang w:eastAsia="zh-CN"/>
        </w:rPr>
        <w:t>得分且投标报价相同的并列</w:t>
      </w:r>
      <w:r>
        <w:rPr>
          <w:rFonts w:ascii="ˎ̥" w:eastAsia="宋体" w:hAnsi="ˎ̥" w:cstheme="minorBidi" w:hint="eastAsia"/>
          <w:kern w:val="2"/>
          <w:sz w:val="21"/>
          <w:szCs w:val="22"/>
          <w:lang w:eastAsia="zh-CN"/>
        </w:rPr>
        <w:t>情况时，采取随机抽取的方式确定，具体操作办法及流程由评审委员会确定</w:t>
      </w:r>
      <w:r>
        <w:rPr>
          <w:rFonts w:ascii="ˎ̥" w:eastAsia="宋体" w:hAnsi="ˎ̥" w:cstheme="minorBidi" w:hint="eastAsia"/>
          <w:kern w:val="2"/>
          <w:sz w:val="21"/>
          <w:szCs w:val="22"/>
          <w:lang w:eastAsia="zh-CN"/>
        </w:rPr>
        <w:t>（</w:t>
      </w:r>
      <w:r>
        <w:rPr>
          <w:rFonts w:ascii="ˎ̥" w:eastAsia="宋体" w:hAnsi="ˎ̥" w:cstheme="minorBidi" w:hint="eastAsia"/>
          <w:kern w:val="2"/>
          <w:sz w:val="21"/>
          <w:szCs w:val="22"/>
          <w:lang w:eastAsia="zh-CN"/>
        </w:rPr>
        <w:t>如“专用条款”中另有规定的以“专用条款”相关规定内容为准</w:t>
      </w:r>
      <w:r>
        <w:rPr>
          <w:rFonts w:ascii="ˎ̥" w:eastAsia="宋体" w:hAnsi="ˎ̥" w:cstheme="minorBidi" w:hint="eastAsia"/>
          <w:kern w:val="2"/>
          <w:sz w:val="21"/>
          <w:szCs w:val="22"/>
          <w:lang w:eastAsia="zh-CN"/>
        </w:rPr>
        <w:t>）</w:t>
      </w:r>
      <w:r>
        <w:rPr>
          <w:rFonts w:ascii="ˎ̥" w:eastAsia="宋体" w:hAnsi="ˎ̥" w:cstheme="minorBidi" w:hint="eastAsia"/>
          <w:kern w:val="2"/>
          <w:sz w:val="21"/>
          <w:szCs w:val="22"/>
          <w:lang w:eastAsia="zh-CN"/>
        </w:rPr>
        <w:t>。如唯一候选中标供应商被认定投标或中标无效，采购人应当重新开展采购活动</w:t>
      </w:r>
      <w:r>
        <w:rPr>
          <w:rFonts w:ascii="ˎ̥" w:eastAsia="宋体" w:hAnsi="ˎ̥" w:cstheme="minorBidi" w:hint="eastAsia"/>
          <w:kern w:val="2"/>
          <w:sz w:val="21"/>
          <w:szCs w:val="22"/>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38.2评定分离项目定标方法</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widowControl w:val="0"/>
        <w:ind w:firstLine="412" w:firstLineChars="196"/>
        <w:jc w:val="both"/>
        <w:rPr>
          <w:rFonts w:ascii="Calibri" w:eastAsia="宋体" w:hAnsi="Calibri"/>
          <w:kern w:val="2"/>
          <w:sz w:val="21"/>
          <w:szCs w:val="22"/>
          <w:lang w:eastAsia="zh-CN"/>
        </w:rPr>
      </w:pPr>
      <w:r>
        <w:rPr>
          <w:rFonts w:ascii="宋体" w:eastAsia="宋体" w:hAnsi="宋体" w:cstheme="minorBidi"/>
          <w:kern w:val="2"/>
          <w:sz w:val="21"/>
          <w:szCs w:val="21"/>
          <w:lang w:eastAsia="zh-CN"/>
        </w:rPr>
        <w:t xml:space="preserve">38.2.2 </w:t>
      </w:r>
      <w:bookmarkStart w:id="64" w:name="_Hlk71469733"/>
      <w:r>
        <w:rPr>
          <w:rFonts w:ascii="Calibri" w:eastAsia="宋体" w:hAnsi="Calibri" w:cstheme="minorBidi"/>
          <w:kern w:val="2"/>
          <w:sz w:val="21"/>
          <w:szCs w:val="22"/>
          <w:lang w:eastAsia="zh-CN"/>
        </w:rPr>
        <w:t>适用评定分离的政府采购项目，采用综合评分法评</w:t>
      </w:r>
      <w:r>
        <w:rPr>
          <w:rFonts w:ascii="Calibri" w:eastAsia="宋体" w:hAnsi="Calibri" w:cstheme="minorBidi" w:hint="eastAsia"/>
          <w:kern w:val="2"/>
          <w:sz w:val="21"/>
          <w:szCs w:val="22"/>
          <w:lang w:eastAsia="zh-CN"/>
        </w:rPr>
        <w:t>审。</w:t>
      </w:r>
      <w:r>
        <w:rPr>
          <w:rFonts w:ascii="宋体" w:eastAsia="宋体" w:hAnsi="宋体" w:cstheme="minorBidi" w:hint="eastAsia"/>
          <w:kern w:val="2"/>
          <w:sz w:val="21"/>
          <w:szCs w:val="21"/>
          <w:lang w:eastAsia="zh-CN"/>
        </w:rPr>
        <w:t>评审委员会按照评审结果，推荐</w:t>
      </w:r>
      <w:r>
        <w:rPr>
          <w:rFonts w:ascii="Calibri" w:eastAsia="宋体" w:hAnsi="Calibri" w:cstheme="minorBidi"/>
          <w:kern w:val="2"/>
          <w:sz w:val="21"/>
          <w:szCs w:val="22"/>
          <w:lang w:eastAsia="zh-CN"/>
        </w:rPr>
        <w:t>三个合格的候选中标供应商。</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38.2.3</w:t>
      </w:r>
      <w:bookmarkStart w:id="65" w:name="_Hlk71469688"/>
      <w:r>
        <w:rPr>
          <w:rFonts w:ascii="Calibri" w:eastAsia="宋体" w:hAnsi="Calibri" w:cstheme="minorBidi"/>
          <w:kern w:val="2"/>
          <w:sz w:val="21"/>
          <w:szCs w:val="22"/>
          <w:lang w:eastAsia="zh-CN"/>
        </w:rPr>
        <w:t>适用评定分离的政府采购项目，</w:t>
      </w:r>
      <w:r>
        <w:rPr>
          <w:rFonts w:ascii="宋体" w:eastAsia="宋体" w:hAnsi="宋体" w:cstheme="minorBidi" w:hint="eastAsia"/>
          <w:kern w:val="2"/>
          <w:sz w:val="21"/>
          <w:szCs w:val="21"/>
          <w:lang w:eastAsia="zh-CN"/>
        </w:rPr>
        <w:t>按照自定法确定中标供应商：自定法是指采购人组织定标委员会，由定标委员会在三家候选中标供应商中确定中标供应商。</w:t>
      </w:r>
      <w:bookmarkEnd w:id="64"/>
      <w:bookmarkEnd w:id="65"/>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38.2.4</w:t>
      </w:r>
      <w:r>
        <w:rPr>
          <w:rFonts w:ascii="宋体" w:eastAsia="宋体" w:hAnsi="宋体" w:cstheme="minorBidi" w:hint="eastAsia"/>
          <w:kern w:val="2"/>
          <w:sz w:val="21"/>
          <w:szCs w:val="21"/>
          <w:lang w:eastAsia="zh-CN"/>
        </w:rPr>
        <w:t>政府集中采购机构</w:t>
      </w:r>
      <w:r>
        <w:rPr>
          <w:rFonts w:ascii="Calibri" w:eastAsia="宋体" w:hAnsi="Calibri" w:cstheme="minorBidi"/>
          <w:kern w:val="2"/>
          <w:sz w:val="21"/>
          <w:szCs w:val="22"/>
          <w:lang w:eastAsia="zh-CN"/>
        </w:rPr>
        <w:t>应当自评审结束之日起两个工作日内将候选中标供应商名单及其投标文件、评审报告送交采购人</w:t>
      </w:r>
      <w:r>
        <w:rPr>
          <w:rFonts w:ascii="宋体" w:eastAsia="宋体" w:hAnsi="宋体" w:cstheme="minorBidi" w:hint="eastAsia"/>
          <w:kern w:val="2"/>
          <w:sz w:val="21"/>
          <w:szCs w:val="21"/>
          <w:lang w:eastAsia="zh-CN"/>
        </w:rPr>
        <w:t>。</w:t>
      </w:r>
      <w:r>
        <w:rPr>
          <w:rFonts w:ascii="Calibri" w:eastAsia="宋体" w:hAnsi="Calibri" w:cstheme="minorBidi"/>
          <w:kern w:val="2"/>
          <w:sz w:val="21"/>
          <w:szCs w:val="22"/>
          <w:lang w:eastAsia="zh-CN"/>
        </w:rPr>
        <w:t>采购人应当安排专人对定标过程进行书面记录，形成定标报告，作为采购文件的组成部分存档，并及时将定标结果反馈</w:t>
      </w:r>
      <w:r>
        <w:rPr>
          <w:rFonts w:ascii="Calibri" w:eastAsia="宋体" w:hAnsi="Calibri" w:cstheme="minorBidi" w:hint="eastAsia"/>
          <w:kern w:val="2"/>
          <w:sz w:val="21"/>
          <w:szCs w:val="22"/>
          <w:lang w:eastAsia="zh-CN"/>
        </w:rPr>
        <w:t>政府集中采购机构。具体定标程序及相关要求以按照《</w:t>
      </w:r>
      <w:r>
        <w:rPr>
          <w:rFonts w:ascii="Calibri" w:eastAsia="宋体" w:hAnsi="Calibri" w:cstheme="minorBidi"/>
          <w:kern w:val="2"/>
          <w:sz w:val="21"/>
          <w:szCs w:val="22"/>
          <w:lang w:eastAsia="zh-CN"/>
        </w:rPr>
        <w:t>深圳市财政局关于印发</w:t>
      </w:r>
      <w:r>
        <w:rPr>
          <w:rFonts w:ascii="宋体" w:eastAsia="宋体" w:hAnsi="宋体" w:cstheme="minorBidi" w:hint="eastAsia"/>
          <w:kern w:val="2"/>
          <w:sz w:val="21"/>
          <w:szCs w:val="22"/>
          <w:lang w:eastAsia="zh-CN"/>
        </w:rPr>
        <w:t>〈</w:t>
      </w:r>
      <w:r>
        <w:rPr>
          <w:rFonts w:ascii="Calibri" w:eastAsia="宋体" w:hAnsi="Calibri" w:cstheme="minorBidi"/>
          <w:kern w:val="2"/>
          <w:sz w:val="21"/>
          <w:szCs w:val="22"/>
          <w:lang w:eastAsia="zh-CN"/>
        </w:rPr>
        <w:t>深圳市政府采购评标定标分离管理办法</w:t>
      </w:r>
      <w:r>
        <w:rPr>
          <w:rFonts w:ascii="宋体" w:eastAsia="宋体" w:hAnsi="宋体" w:cstheme="minorBidi" w:hint="eastAsia"/>
          <w:kern w:val="2"/>
          <w:sz w:val="21"/>
          <w:szCs w:val="22"/>
          <w:lang w:eastAsia="zh-CN"/>
        </w:rPr>
        <w:t>〉</w:t>
      </w:r>
      <w:r>
        <w:rPr>
          <w:rFonts w:ascii="Calibri" w:eastAsia="宋体" w:hAnsi="Calibri" w:cstheme="minorBidi"/>
          <w:kern w:val="2"/>
          <w:sz w:val="21"/>
          <w:szCs w:val="22"/>
          <w:lang w:eastAsia="zh-CN"/>
        </w:rPr>
        <w:t>的通知</w:t>
      </w:r>
      <w:r>
        <w:rPr>
          <w:rFonts w:ascii="Calibri" w:eastAsia="宋体" w:hAnsi="Calibri" w:cstheme="minorBidi" w:hint="eastAsia"/>
          <w:kern w:val="2"/>
          <w:sz w:val="21"/>
          <w:szCs w:val="22"/>
          <w:lang w:eastAsia="zh-CN"/>
        </w:rPr>
        <w:t>》（深财规【2</w:t>
      </w:r>
      <w:r>
        <w:rPr>
          <w:rFonts w:ascii="Calibri" w:eastAsia="宋体" w:hAnsi="Calibri" w:cstheme="minorBidi"/>
          <w:kern w:val="2"/>
          <w:sz w:val="21"/>
          <w:szCs w:val="22"/>
          <w:lang w:eastAsia="zh-CN"/>
        </w:rPr>
        <w:t>020</w:t>
      </w:r>
      <w:r>
        <w:rPr>
          <w:rFonts w:ascii="Calibri" w:eastAsia="宋体" w:hAnsi="Calibri" w:cstheme="minorBidi" w:hint="eastAsia"/>
          <w:kern w:val="2"/>
          <w:sz w:val="21"/>
          <w:szCs w:val="22"/>
          <w:lang w:eastAsia="zh-CN"/>
        </w:rPr>
        <w:t>】1号）执行。</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说明：采购人及投标供应商应按照上述方法提前做好相关准备。</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38.3专用条款另有规定的，按专用条款相关要求定标。</w:t>
      </w:r>
      <w:bookmarkEnd w:id="62"/>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39．编写评审报告</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40．中标公告</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40.1</w:t>
      </w:r>
      <w:bookmarkStart w:id="66" w:name="_Hlk72438709"/>
      <w:r>
        <w:rPr>
          <w:rFonts w:ascii="宋体" w:eastAsia="宋体" w:hAnsi="宋体" w:cstheme="minorBidi" w:hint="eastAsia"/>
          <w:kern w:val="2"/>
          <w:sz w:val="21"/>
          <w:szCs w:val="21"/>
          <w:lang w:eastAsia="zh-CN"/>
        </w:rPr>
        <w:t>为体现“公开、公平、公正”的原则，评审结束后经采购人确认（确定）评审结果，政府集中采购机构将在</w:t>
      </w:r>
      <w:r>
        <w:rPr>
          <w:rFonts w:ascii="宋体" w:eastAsia="宋体" w:hAnsi="宋体" w:cstheme="minorBidi" w:hint="eastAsia"/>
          <w:b/>
          <w:bCs/>
          <w:kern w:val="2"/>
          <w:sz w:val="21"/>
          <w:szCs w:val="21"/>
          <w:lang w:eastAsia="zh-CN"/>
        </w:rPr>
        <w:t>深圳公共资源交易网（https://szggzy.com/）</w:t>
      </w:r>
      <w:r>
        <w:rPr>
          <w:rFonts w:ascii="宋体" w:eastAsia="宋体" w:hAnsi="宋体" w:cstheme="minorBidi" w:hint="eastAsia"/>
          <w:kern w:val="2"/>
          <w:sz w:val="21"/>
          <w:szCs w:val="21"/>
          <w:lang w:eastAsia="zh-CN"/>
        </w:rPr>
        <w:t>上发布中标结果公告。</w:t>
      </w:r>
      <w:bookmarkEnd w:id="66"/>
      <w:bookmarkStart w:id="67" w:name="_Hlk72438751"/>
      <w:r>
        <w:rPr>
          <w:rFonts w:ascii="宋体" w:eastAsia="宋体" w:hAnsi="宋体" w:cstheme="minorBidi" w:hint="eastAsia"/>
          <w:kern w:val="2"/>
          <w:sz w:val="21"/>
          <w:szCs w:val="21"/>
          <w:lang w:eastAsia="zh-CN"/>
        </w:rPr>
        <w:t>供应商如对评审结果有异议，</w:t>
      </w:r>
      <w:r>
        <w:rPr>
          <w:rFonts w:ascii="宋体" w:eastAsia="宋体" w:hAnsi="宋体" w:cstheme="minorBidi"/>
          <w:kern w:val="2"/>
          <w:sz w:val="21"/>
          <w:szCs w:val="21"/>
          <w:lang w:eastAsia="zh-CN"/>
        </w:rPr>
        <w:t>可在发布公示日期起</w:t>
      </w:r>
      <w:r>
        <w:rPr>
          <w:rFonts w:ascii="宋体" w:eastAsia="宋体" w:hAnsi="宋体" w:cstheme="minorBidi" w:hint="eastAsia"/>
          <w:kern w:val="2"/>
          <w:sz w:val="21"/>
          <w:szCs w:val="21"/>
          <w:lang w:eastAsia="zh-CN"/>
        </w:rPr>
        <w:t>七</w:t>
      </w:r>
      <w:r>
        <w:rPr>
          <w:rFonts w:ascii="宋体" w:eastAsia="宋体" w:hAnsi="宋体" w:cstheme="minorBidi"/>
          <w:kern w:val="2"/>
          <w:sz w:val="21"/>
          <w:szCs w:val="21"/>
          <w:lang w:eastAsia="zh-CN"/>
        </w:rPr>
        <w:t>个工作日内向</w:t>
      </w:r>
      <w:r>
        <w:rPr>
          <w:rFonts w:ascii="宋体" w:eastAsia="宋体" w:hAnsi="宋体" w:cstheme="minorBidi" w:hint="eastAsia"/>
          <w:kern w:val="2"/>
          <w:sz w:val="21"/>
          <w:szCs w:val="21"/>
          <w:lang w:eastAsia="zh-CN"/>
        </w:rPr>
        <w:t>政府集中采购机构</w:t>
      </w:r>
      <w:r>
        <w:rPr>
          <w:rFonts w:ascii="宋体" w:eastAsia="宋体" w:hAnsi="宋体" w:cstheme="minorBidi"/>
          <w:kern w:val="2"/>
          <w:sz w:val="21"/>
          <w:szCs w:val="21"/>
          <w:lang w:eastAsia="zh-CN"/>
        </w:rPr>
        <w:t>提出。 监督电话：0755-83948143。</w:t>
      </w:r>
      <w:r>
        <w:rPr>
          <w:rFonts w:ascii="宋体" w:eastAsia="宋体" w:hAnsi="宋体" w:cstheme="minorBidi" w:hint="eastAsia"/>
          <w:kern w:val="2"/>
          <w:sz w:val="21"/>
          <w:szCs w:val="21"/>
          <w:lang w:eastAsia="zh-CN"/>
        </w:rPr>
        <w:t>若在公示期内未提出质疑，则视为认同该评审结果。</w:t>
      </w:r>
    </w:p>
    <w:bookmarkEnd w:id="67"/>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40.2质疑、投诉供应商应保证质疑、投诉内容的真实性和可靠性，并承担相应的法律责任。</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41．中标通知书</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1</w:t>
      </w:r>
      <w:bookmarkStart w:id="68" w:name="_Hlk72438863"/>
      <w:r>
        <w:rPr>
          <w:rFonts w:ascii="宋体" w:eastAsia="宋体" w:hAnsi="宋体" w:cstheme="minorBidi" w:hint="eastAsia"/>
          <w:kern w:val="2"/>
          <w:sz w:val="21"/>
          <w:szCs w:val="21"/>
          <w:lang w:eastAsia="zh-CN"/>
        </w:rPr>
        <w:t>中标公告公布以后无异常的情况下,中标供应商和采购人可自行在</w:t>
      </w:r>
      <w:r>
        <w:rPr>
          <w:rFonts w:ascii="宋体" w:eastAsia="宋体" w:hAnsi="宋体" w:cstheme="minorBidi" w:hint="eastAsia"/>
          <w:b/>
          <w:bCs/>
          <w:kern w:val="2"/>
          <w:sz w:val="21"/>
          <w:szCs w:val="21"/>
          <w:lang w:eastAsia="zh-CN"/>
        </w:rPr>
        <w:t>“深圳政府采购智慧平台（http://zfcg.szggzy.com/）”</w:t>
      </w:r>
      <w:r>
        <w:rPr>
          <w:rFonts w:ascii="宋体" w:eastAsia="宋体" w:hAnsi="宋体" w:cstheme="minorBidi" w:hint="eastAsia"/>
          <w:kern w:val="2"/>
          <w:sz w:val="21"/>
          <w:szCs w:val="21"/>
          <w:lang w:eastAsia="zh-CN"/>
        </w:rPr>
        <w:t>上打印</w:t>
      </w:r>
      <w:r>
        <w:rPr>
          <w:rFonts w:ascii="宋体" w:eastAsia="宋体" w:hAnsi="宋体" w:cstheme="minorBidi" w:hint="eastAsia"/>
          <w:b/>
          <w:kern w:val="2"/>
          <w:sz w:val="21"/>
          <w:szCs w:val="21"/>
          <w:lang w:eastAsia="zh-CN"/>
        </w:rPr>
        <w:t>《数字中标通知书》</w:t>
      </w:r>
      <w:r>
        <w:rPr>
          <w:rFonts w:ascii="宋体" w:eastAsia="宋体" w:hAnsi="宋体" w:cstheme="minorBidi" w:hint="eastAsia"/>
          <w:kern w:val="2"/>
          <w:sz w:val="21"/>
          <w:szCs w:val="21"/>
          <w:lang w:eastAsia="zh-CN"/>
        </w:rPr>
        <w:t>。</w:t>
      </w:r>
      <w:bookmarkEnd w:id="68"/>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41</w:t>
      </w:r>
      <w:r>
        <w:rPr>
          <w:rFonts w:ascii="宋体" w:eastAsia="宋体" w:hAnsi="宋体" w:cstheme="minorBidi"/>
          <w:kern w:val="2"/>
          <w:sz w:val="21"/>
          <w:szCs w:val="21"/>
          <w:lang w:eastAsia="zh-CN"/>
        </w:rPr>
        <w:t>.2</w:t>
      </w:r>
      <w:r>
        <w:rPr>
          <w:rFonts w:ascii="宋体" w:eastAsia="宋体" w:hAnsi="宋体" w:cstheme="minorBidi" w:hint="eastAsia"/>
          <w:kern w:val="2"/>
          <w:sz w:val="21"/>
          <w:szCs w:val="21"/>
          <w:lang w:eastAsia="zh-CN"/>
        </w:rPr>
        <w:t>中标通知书是合同的重要组成部分。</w:t>
      </w:r>
    </w:p>
    <w:p>
      <w:pPr>
        <w:widowControl w:val="0"/>
        <w:ind w:firstLine="412" w:firstLineChars="196"/>
        <w:jc w:val="both"/>
        <w:rPr>
          <w:rFonts w:ascii="宋体" w:eastAsia="宋体" w:hAnsi="宋体"/>
          <w:kern w:val="2"/>
          <w:sz w:val="21"/>
          <w:szCs w:val="21"/>
          <w:lang w:eastAsia="zh-CN"/>
        </w:rPr>
      </w:pPr>
      <w:bookmarkStart w:id="69" w:name="_Hlk71407340"/>
      <w:r>
        <w:rPr>
          <w:rFonts w:ascii="宋体" w:eastAsia="宋体" w:hAnsi="宋体" w:cstheme="minorBidi" w:hint="eastAsia"/>
          <w:kern w:val="2"/>
          <w:sz w:val="21"/>
          <w:szCs w:val="21"/>
          <w:lang w:eastAsia="zh-CN"/>
        </w:rPr>
        <w:t>41.3因质疑投诉或其它原因导致项目结果变更或采购终止的，政府集中采购机构有权吊销中标通知书。</w:t>
      </w:r>
    </w:p>
    <w:bookmarkEnd w:id="69"/>
    <w:p>
      <w:pPr>
        <w:widowControl w:val="0"/>
        <w:ind w:firstLine="412" w:firstLineChars="196"/>
        <w:jc w:val="both"/>
        <w:rPr>
          <w:rFonts w:ascii="宋体" w:eastAsia="宋体" w:hAnsi="宋体"/>
          <w:kern w:val="2"/>
          <w:sz w:val="21"/>
          <w:szCs w:val="21"/>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公开招标失败的后续处理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42．公开招标失败的处理</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1"/>
          <w:lang w:eastAsia="zh-CN"/>
        </w:rPr>
        <w:t>42.1本项目公开招标过程中若由于投标截止后</w:t>
      </w:r>
      <w:r>
        <w:rPr>
          <w:rFonts w:ascii="宋体" w:eastAsia="宋体" w:hAnsi="宋体" w:cstheme="minorBidi" w:hint="eastAsia"/>
          <w:kern w:val="2"/>
          <w:sz w:val="21"/>
          <w:szCs w:val="22"/>
          <w:lang w:eastAsia="zh-CN"/>
        </w:rPr>
        <w:t>实际递交</w:t>
      </w:r>
      <w:r>
        <w:rPr>
          <w:rFonts w:ascii="宋体" w:eastAsia="宋体" w:hAnsi="宋体" w:cstheme="minorBidi"/>
          <w:kern w:val="2"/>
          <w:sz w:val="21"/>
          <w:szCs w:val="22"/>
          <w:lang w:eastAsia="zh-CN"/>
        </w:rPr>
        <w:t>投标</w:t>
      </w:r>
      <w:r>
        <w:rPr>
          <w:rFonts w:ascii="宋体" w:eastAsia="宋体" w:hAnsi="宋体" w:cstheme="minorBidi" w:hint="eastAsia"/>
          <w:kern w:val="2"/>
          <w:sz w:val="21"/>
          <w:szCs w:val="22"/>
          <w:lang w:eastAsia="zh-CN"/>
        </w:rPr>
        <w:t>文件的供应商数量不足、经</w:t>
      </w:r>
      <w:r>
        <w:rPr>
          <w:rFonts w:ascii="宋体" w:eastAsia="宋体" w:hAnsi="宋体" w:cstheme="minorBidi" w:hint="eastAsia"/>
          <w:kern w:val="2"/>
          <w:sz w:val="21"/>
          <w:szCs w:val="21"/>
          <w:lang w:eastAsia="zh-CN"/>
        </w:rPr>
        <w:t>评审委员会</w:t>
      </w:r>
      <w:r>
        <w:rPr>
          <w:rFonts w:ascii="宋体" w:eastAsia="宋体" w:hAnsi="宋体" w:cstheme="minorBidi" w:hint="eastAsia"/>
          <w:kern w:val="2"/>
          <w:sz w:val="21"/>
          <w:szCs w:val="22"/>
          <w:lang w:eastAsia="zh-CN"/>
        </w:rPr>
        <w:t>评审对招标文件作实质响应的供应商不足等原因造成公开招标失败，可由</w:t>
      </w:r>
      <w:r>
        <w:rPr>
          <w:rFonts w:ascii="宋体" w:eastAsia="宋体" w:hAnsi="宋体" w:cs="宋体" w:hint="eastAsia"/>
          <w:kern w:val="2"/>
          <w:sz w:val="21"/>
          <w:szCs w:val="22"/>
          <w:lang w:eastAsia="zh-CN"/>
        </w:rPr>
        <w:t>政府集中采购机构</w:t>
      </w:r>
      <w:r>
        <w:rPr>
          <w:rFonts w:ascii="宋体" w:eastAsia="宋体" w:hAnsi="宋体" w:cstheme="minorBidi" w:hint="eastAsia"/>
          <w:kern w:val="2"/>
          <w:sz w:val="21"/>
          <w:szCs w:val="22"/>
          <w:lang w:eastAsia="zh-CN"/>
        </w:rPr>
        <w:t>重新组织采购。</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42.2对公开招标失败的项目，评审委员会在出具该项目招标失败结论的同时，可以提出重新采购组织形式的建议，以及进一步完善招标文件的资格、技术、商务要求的修改建议。</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42.3重新组织采购有以下两种组织形式：</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（1）由政府集中采购机构重新组织公开招标；</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（2）根据实际情况需要向同级财政部门提出非公开招标方式申请，经同级财政部门批准，公开招标失败采购项目可转为竞争性谈判或单一来源谈判方式采购。</w:t>
      </w:r>
    </w:p>
    <w:p>
      <w:pPr>
        <w:widowControl w:val="0"/>
        <w:ind w:firstLine="412"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42.4公开招标失败的采购项目重新组织公开招标，由政府集中采购机构重新按公开招标流程组织采购活动。</w:t>
      </w:r>
    </w:p>
    <w:p>
      <w:pPr>
        <w:widowControl w:val="0"/>
        <w:jc w:val="both"/>
        <w:rPr>
          <w:rFonts w:ascii="宋体" w:eastAsia="宋体" w:hAnsi="宋体"/>
          <w:kern w:val="2"/>
          <w:sz w:val="21"/>
          <w:szCs w:val="22"/>
          <w:lang w:eastAsia="zh-CN"/>
        </w:rPr>
      </w:pPr>
      <w:r>
        <w:rPr>
          <w:rFonts w:ascii="黑体" w:eastAsia="黑体" w:hAnsi="宋体" w:cstheme="minorBidi" w:hint="eastAsia"/>
          <w:kern w:val="2"/>
          <w:szCs w:val="22"/>
          <w:lang w:eastAsia="zh-CN"/>
        </w:rPr>
        <w:t xml:space="preserve">    </w:t>
      </w:r>
      <w:r>
        <w:rPr>
          <w:rFonts w:ascii="宋体" w:eastAsia="宋体" w:hAnsi="宋体" w:cstheme="minorBidi" w:hint="eastAsia"/>
          <w:kern w:val="2"/>
          <w:sz w:val="21"/>
          <w:szCs w:val="22"/>
          <w:lang w:eastAsia="zh-CN"/>
        </w:rPr>
        <w:t>42.5公开招标失败的采购项目经同级财政部门批准转为竞争性谈判或单一来源谈判方式采购的，按规定要求组织政府采购工作。</w:t>
      </w:r>
    </w:p>
    <w:p>
      <w:pPr>
        <w:widowControl w:val="0"/>
        <w:jc w:val="both"/>
        <w:rPr>
          <w:rFonts w:ascii="黑体" w:eastAsia="黑体" w:hAnsi="宋体"/>
          <w:kern w:val="2"/>
          <w:szCs w:val="22"/>
          <w:lang w:eastAsia="zh-CN"/>
        </w:rPr>
      </w:pPr>
    </w:p>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bookmarkStart w:id="70" w:name="_Hlk72439043"/>
      <w:r>
        <w:rPr>
          <w:rFonts w:ascii="Cambria" w:eastAsia="宋体" w:hAnsi="Cambria" w:cstheme="majorBidi" w:hint="eastAsia"/>
          <w:b/>
          <w:bCs/>
          <w:kern w:val="2"/>
          <w:sz w:val="28"/>
          <w:szCs w:val="28"/>
          <w:lang w:eastAsia="zh-CN"/>
        </w:rPr>
        <w:t>合同的授予与备案</w:t>
      </w:r>
      <w:bookmarkEnd w:id="70"/>
    </w:p>
    <w:p>
      <w:pPr>
        <w:widowControl w:val="0"/>
        <w:jc w:val="both"/>
        <w:rPr>
          <w:rFonts w:ascii="黑体" w:eastAsia="黑体" w:hAnsi="宋体"/>
          <w:kern w:val="2"/>
          <w:szCs w:val="22"/>
          <w:lang w:eastAsia="zh-CN"/>
        </w:rPr>
      </w:pPr>
      <w:bookmarkStart w:id="71" w:name="_Toc100052408"/>
      <w:bookmarkStart w:id="72" w:name="_Toc73517679"/>
      <w:bookmarkStart w:id="73" w:name="_Toc73518157"/>
      <w:bookmarkStart w:id="74" w:name="_Toc73521674"/>
      <w:bookmarkStart w:id="75" w:name="_Toc73521586"/>
      <w:bookmarkStart w:id="76" w:name="_Hlk72439088"/>
      <w:r>
        <w:rPr>
          <w:rFonts w:ascii="黑体" w:eastAsia="黑体" w:hAnsi="宋体" w:cstheme="minorBidi" w:hint="eastAsia"/>
          <w:kern w:val="2"/>
          <w:szCs w:val="22"/>
          <w:lang w:eastAsia="zh-CN"/>
        </w:rPr>
        <w:t>43．合同授予标准</w:t>
      </w:r>
      <w:bookmarkEnd w:id="71"/>
      <w:bookmarkEnd w:id="72"/>
      <w:bookmarkEnd w:id="73"/>
      <w:bookmarkEnd w:id="74"/>
      <w:bookmarkEnd w:id="75"/>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本项目的合同将授予经本招标文件规定评审确定的中标供应商。</w:t>
      </w:r>
    </w:p>
    <w:p>
      <w:pPr>
        <w:widowControl w:val="0"/>
        <w:jc w:val="both"/>
        <w:rPr>
          <w:rFonts w:ascii="黑体" w:eastAsia="黑体" w:hAnsi="宋体"/>
          <w:kern w:val="2"/>
          <w:szCs w:val="22"/>
          <w:lang w:eastAsia="zh-CN"/>
        </w:rPr>
      </w:pPr>
      <w:bookmarkStart w:id="77" w:name="_Toc73517680"/>
      <w:bookmarkStart w:id="78" w:name="_Toc73518158"/>
      <w:bookmarkStart w:id="79" w:name="_Toc100052409"/>
      <w:bookmarkStart w:id="80" w:name="_Toc73521675"/>
      <w:bookmarkStart w:id="81" w:name="_Toc73521587"/>
      <w:r>
        <w:rPr>
          <w:rFonts w:ascii="黑体" w:eastAsia="黑体" w:hAnsi="宋体" w:cstheme="minorBidi" w:hint="eastAsia"/>
          <w:kern w:val="2"/>
          <w:szCs w:val="22"/>
          <w:lang w:eastAsia="zh-CN"/>
        </w:rPr>
        <w:t>44．</w:t>
      </w:r>
      <w:bookmarkEnd w:id="77"/>
      <w:bookmarkEnd w:id="78"/>
      <w:bookmarkEnd w:id="79"/>
      <w:bookmarkEnd w:id="80"/>
      <w:bookmarkEnd w:id="81"/>
      <w:r>
        <w:rPr>
          <w:rFonts w:ascii="黑体" w:eastAsia="黑体" w:hAnsi="宋体" w:cstheme="minorBidi" w:hint="eastAsia"/>
          <w:kern w:val="2"/>
          <w:szCs w:val="22"/>
          <w:lang w:eastAsia="zh-CN"/>
        </w:rPr>
        <w:t>接受和拒绝任何或所有投标的权力</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widowControl w:val="0"/>
        <w:jc w:val="both"/>
        <w:rPr>
          <w:rFonts w:ascii="黑体" w:eastAsia="黑体" w:hAnsi="宋体"/>
          <w:kern w:val="2"/>
          <w:szCs w:val="22"/>
          <w:lang w:eastAsia="zh-CN"/>
        </w:rPr>
      </w:pPr>
      <w:bookmarkStart w:id="82" w:name="_Toc73521589"/>
      <w:bookmarkStart w:id="83" w:name="_Toc73521677"/>
      <w:bookmarkStart w:id="84" w:name="_Toc100052410"/>
      <w:bookmarkStart w:id="85" w:name="_Toc73518160"/>
      <w:bookmarkStart w:id="86" w:name="_Toc73517682"/>
      <w:r>
        <w:rPr>
          <w:rFonts w:ascii="黑体" w:eastAsia="黑体" w:hAnsi="宋体" w:cstheme="minorBidi" w:hint="eastAsia"/>
          <w:kern w:val="2"/>
          <w:szCs w:val="22"/>
          <w:lang w:eastAsia="zh-CN"/>
        </w:rPr>
        <w:t>45．合同的签订</w:t>
      </w:r>
      <w:bookmarkEnd w:id="82"/>
      <w:bookmarkEnd w:id="83"/>
      <w:bookmarkEnd w:id="84"/>
      <w:bookmarkEnd w:id="85"/>
      <w:bookmarkEnd w:id="86"/>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45.1中标人将于中标通知书发出之日起十个工作日内，按照采购文件（招标文件和投标文件等）内容与采购人签订政府采购合同；合同的实质性内容应当符合招标文件的规定；</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45.2中标人如不按本通用条款第45</w:t>
      </w:r>
      <w:r>
        <w:rPr>
          <w:rFonts w:ascii="宋体" w:eastAsia="宋体" w:hAnsi="宋体" w:cstheme="minorBidi"/>
          <w:kern w:val="2"/>
          <w:sz w:val="21"/>
          <w:szCs w:val="21"/>
          <w:lang w:eastAsia="zh-CN"/>
        </w:rPr>
        <w:t>.1</w:t>
      </w:r>
      <w:r>
        <w:rPr>
          <w:rFonts w:ascii="宋体" w:eastAsia="宋体" w:hAnsi="宋体" w:cstheme="minorBidi" w:hint="eastAsia"/>
          <w:kern w:val="2"/>
          <w:sz w:val="21"/>
          <w:szCs w:val="21"/>
          <w:lang w:eastAsia="zh-CN"/>
        </w:rPr>
        <w:t>款的规定与采购人签订合同，</w:t>
      </w:r>
      <w:r>
        <w:rPr>
          <w:rFonts w:ascii="宋体" w:eastAsia="宋体" w:hAnsi="宋体" w:cs="宋体"/>
          <w:sz w:val="21"/>
          <w:szCs w:val="21"/>
          <w:lang w:eastAsia="zh-CN"/>
        </w:rPr>
        <w:t>情节严重的，由</w:t>
      </w:r>
      <w:r>
        <w:rPr>
          <w:rFonts w:ascii="宋体" w:eastAsia="宋体" w:hAnsi="宋体" w:cs="宋体" w:hint="eastAsia"/>
          <w:sz w:val="21"/>
          <w:szCs w:val="21"/>
          <w:lang w:eastAsia="zh-CN"/>
        </w:rPr>
        <w:t>同级财政</w:t>
      </w:r>
      <w:r>
        <w:rPr>
          <w:rFonts w:ascii="宋体" w:eastAsia="宋体" w:hAnsi="宋体" w:cs="宋体"/>
          <w:sz w:val="21"/>
          <w:szCs w:val="21"/>
          <w:lang w:eastAsia="zh-CN"/>
        </w:rPr>
        <w:t>部门记入供应商诚信档案，予以通报</w:t>
      </w:r>
      <w:r>
        <w:rPr>
          <w:rFonts w:ascii="宋体" w:eastAsia="宋体" w:hAnsi="宋体" w:cstheme="minorBidi" w:hint="eastAsia"/>
          <w:kern w:val="2"/>
          <w:sz w:val="21"/>
          <w:szCs w:val="21"/>
          <w:lang w:eastAsia="zh-CN"/>
        </w:rPr>
        <w:t>；</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45.3中标人应当按照合同约定履行义务，完成中标项目，不得将中标项目转让（转包）给他人。</w:t>
      </w:r>
    </w:p>
    <w:p>
      <w:pPr>
        <w:widowControl w:val="0"/>
        <w:jc w:val="both"/>
        <w:rPr>
          <w:rFonts w:ascii="黑体" w:eastAsia="黑体" w:hAnsi="宋体"/>
          <w:kern w:val="2"/>
          <w:szCs w:val="22"/>
          <w:lang w:eastAsia="zh-CN"/>
        </w:rPr>
      </w:pPr>
      <w:bookmarkStart w:id="87" w:name="_Toc73521590"/>
      <w:bookmarkStart w:id="88" w:name="_Toc100052411"/>
      <w:bookmarkStart w:id="89" w:name="_Toc73518161"/>
      <w:bookmarkStart w:id="90" w:name="_Toc73521678"/>
      <w:bookmarkStart w:id="91" w:name="_Toc73517683"/>
      <w:r>
        <w:rPr>
          <w:rFonts w:ascii="黑体" w:eastAsia="黑体" w:hAnsi="宋体" w:cstheme="minorBidi" w:hint="eastAsia"/>
          <w:kern w:val="2"/>
          <w:szCs w:val="22"/>
          <w:lang w:eastAsia="zh-CN"/>
        </w:rPr>
        <w:t>46．履约担保</w:t>
      </w:r>
      <w:bookmarkEnd w:id="87"/>
      <w:bookmarkEnd w:id="88"/>
      <w:bookmarkEnd w:id="89"/>
      <w:bookmarkEnd w:id="90"/>
      <w:bookmarkEnd w:id="91"/>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46.1在签订项目合同的同时，中标人应按“对通用条款的补充内容”中规定的金额向采购人提交履约担保；</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46.2，允许供应商自主选择以支票、汇票、本票、保函等非现金方式提交履约担保；</w:t>
      </w:r>
      <w:r>
        <w:rPr>
          <w:rFonts w:ascii="Calibri" w:eastAsia="宋体" w:hAnsi="Calibri" w:cstheme="minorBidi"/>
          <w:kern w:val="2"/>
          <w:sz w:val="21"/>
          <w:szCs w:val="22"/>
          <w:lang w:eastAsia="zh-CN"/>
        </w:rPr>
        <w:t>中标</w:t>
      </w:r>
      <w:r>
        <w:rPr>
          <w:rFonts w:ascii="Calibri" w:eastAsia="宋体" w:hAnsi="Calibri" w:cstheme="minorBidi" w:hint="eastAsia"/>
          <w:kern w:val="2"/>
          <w:sz w:val="21"/>
          <w:szCs w:val="22"/>
          <w:lang w:eastAsia="zh-CN"/>
        </w:rPr>
        <w:t>人</w:t>
      </w:r>
      <w:r>
        <w:rPr>
          <w:rFonts w:ascii="Calibri" w:eastAsia="宋体" w:hAnsi="Calibri" w:cstheme="minorBidi"/>
          <w:kern w:val="2"/>
          <w:sz w:val="21"/>
          <w:szCs w:val="22"/>
          <w:lang w:eastAsia="zh-CN"/>
        </w:rPr>
        <w:t>提交履约</w:t>
      </w:r>
      <w:r>
        <w:rPr>
          <w:rFonts w:ascii="Calibri" w:eastAsia="宋体" w:hAnsi="Calibri" w:cstheme="minorBidi" w:hint="eastAsia"/>
          <w:kern w:val="2"/>
          <w:sz w:val="21"/>
          <w:szCs w:val="22"/>
          <w:lang w:eastAsia="zh-CN"/>
        </w:rPr>
        <w:t>担保不是</w:t>
      </w:r>
      <w:r>
        <w:rPr>
          <w:rFonts w:ascii="Calibri" w:eastAsia="宋体" w:hAnsi="Calibri" w:cstheme="minorBidi"/>
          <w:kern w:val="2"/>
          <w:sz w:val="21"/>
          <w:szCs w:val="22"/>
          <w:lang w:eastAsia="zh-CN"/>
        </w:rPr>
        <w:t>合同签订的</w:t>
      </w:r>
      <w:r>
        <w:rPr>
          <w:rFonts w:ascii="Calibri" w:eastAsia="宋体" w:hAnsi="Calibri" w:cstheme="minorBidi" w:hint="eastAsia"/>
          <w:kern w:val="2"/>
          <w:sz w:val="21"/>
          <w:szCs w:val="22"/>
          <w:lang w:eastAsia="zh-CN"/>
        </w:rPr>
        <w:t>前提</w:t>
      </w:r>
      <w:r>
        <w:rPr>
          <w:rFonts w:ascii="Calibri" w:eastAsia="宋体" w:hAnsi="Calibri" w:cstheme="minorBidi"/>
          <w:kern w:val="2"/>
          <w:sz w:val="21"/>
          <w:szCs w:val="22"/>
          <w:lang w:eastAsia="zh-CN"/>
        </w:rPr>
        <w:t>条件，不要求中标</w:t>
      </w:r>
      <w:r>
        <w:rPr>
          <w:rFonts w:ascii="Calibri" w:eastAsia="宋体" w:hAnsi="Calibri" w:cstheme="minorBidi" w:hint="eastAsia"/>
          <w:kern w:val="2"/>
          <w:sz w:val="21"/>
          <w:szCs w:val="22"/>
          <w:lang w:eastAsia="zh-CN"/>
        </w:rPr>
        <w:t>人</w:t>
      </w:r>
      <w:r>
        <w:rPr>
          <w:rFonts w:ascii="Calibri" w:eastAsia="宋体" w:hAnsi="Calibri" w:cstheme="minorBidi"/>
          <w:kern w:val="2"/>
          <w:sz w:val="21"/>
          <w:szCs w:val="22"/>
          <w:lang w:eastAsia="zh-CN"/>
        </w:rPr>
        <w:t>提供除法律、法规明确规定外的其他担保</w:t>
      </w:r>
      <w:r>
        <w:rPr>
          <w:rFonts w:ascii="Calibri" w:eastAsia="宋体" w:hAnsi="Calibri" w:cstheme="minorBidi" w:hint="eastAsia"/>
          <w:kern w:val="2"/>
          <w:sz w:val="21"/>
          <w:szCs w:val="22"/>
          <w:lang w:eastAsia="zh-CN"/>
        </w:rPr>
        <w:t>。</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47. 合同备案</w:t>
      </w:r>
    </w:p>
    <w:p>
      <w:pPr>
        <w:widowControl w:val="0"/>
        <w:jc w:val="both"/>
        <w:rPr>
          <w:rFonts w:ascii="黑体" w:eastAsia="黑体" w:hAnsi="宋体"/>
          <w:kern w:val="2"/>
          <w:szCs w:val="22"/>
          <w:lang w:eastAsia="zh-CN"/>
        </w:rPr>
      </w:pPr>
      <w:r>
        <w:rPr>
          <w:rFonts w:ascii="宋体" w:eastAsia="宋体" w:hAnsi="宋体" w:hint="eastAsia"/>
          <w:kern w:val="2"/>
          <w:sz w:val="21"/>
          <w:szCs w:val="21"/>
          <w:lang w:eastAsia="zh-Hans"/>
        </w:rPr>
        <w:t>采购人与中标供应商自中标通知书发出之日起10个工作日内签订政府采购合同，</w:t>
      </w:r>
      <w:r>
        <w:rPr>
          <w:rFonts w:ascii="宋体" w:eastAsia="宋体" w:hAnsi="宋体" w:hint="eastAsia"/>
          <w:kern w:val="2"/>
          <w:sz w:val="21"/>
          <w:szCs w:val="21"/>
          <w:lang w:eastAsia="zh-CN"/>
        </w:rPr>
        <w:t>并按财政部门规定提交备案。</w:t>
      </w:r>
      <w:r>
        <w:rPr>
          <w:rFonts w:ascii="黑体" w:eastAsia="黑体" w:hAnsi="宋体" w:cstheme="minorBidi" w:hint="eastAsia"/>
          <w:kern w:val="2"/>
          <w:szCs w:val="22"/>
          <w:lang w:eastAsia="zh-CN"/>
        </w:rPr>
        <w:t>48. 合同变更</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合同变更事宜按《深圳市财政局关于优化政府采购合同备案的通知》（深财发保〔2022〕2号）相关规定执行。</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49. 项目验收</w:t>
      </w:r>
    </w:p>
    <w:p>
      <w:pPr>
        <w:widowControl/>
        <w:ind w:right="176" w:firstLine="420"/>
        <w:jc w:val="left"/>
        <w:rPr>
          <w:rFonts w:ascii="宋体" w:eastAsia="宋体" w:hAnsi="宋体"/>
          <w:kern w:val="2"/>
          <w:sz w:val="21"/>
          <w:szCs w:val="22"/>
          <w:lang w:eastAsia="zh-CN"/>
        </w:rPr>
      </w:pPr>
      <w:r>
        <w:rPr>
          <w:rFonts w:ascii="宋体" w:eastAsia="宋体" w:hAnsi="宋体" w:cstheme="minorBidi" w:hint="eastAsia"/>
          <w:kern w:val="2"/>
          <w:sz w:val="21"/>
          <w:szCs w:val="22"/>
          <w:lang w:eastAsia="zh-CN"/>
        </w:rPr>
        <w:t>49.1采购人应当按照招标文件和合同规定的标准和方法，及时组织验收。</w:t>
      </w:r>
      <w:r>
        <w:rPr>
          <w:rFonts w:ascii="宋体" w:eastAsia="宋体" w:hAnsi="宋体" w:cstheme="minorBidi"/>
          <w:kern w:val="2"/>
          <w:sz w:val="21"/>
          <w:szCs w:val="22"/>
          <w:lang w:eastAsia="zh-CN"/>
        </w:rPr>
        <w:t xml:space="preserve"> </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50. 宣传</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凡与政府采购活动有关的宣传或广告，若当中提及政府采购，</w:t>
      </w:r>
      <w:r>
        <w:rPr>
          <w:rFonts w:ascii="宋体" w:eastAsia="宋体" w:hAnsi="宋体" w:cstheme="minorBidi"/>
          <w:kern w:val="2"/>
          <w:sz w:val="21"/>
          <w:szCs w:val="22"/>
          <w:lang w:eastAsia="zh-CN"/>
        </w:rPr>
        <w:t>必须事先将具体对外宣传方案报</w:t>
      </w:r>
      <w:r>
        <w:rPr>
          <w:rFonts w:ascii="宋体" w:eastAsia="宋体" w:hAnsi="宋体" w:cstheme="minorBidi" w:hint="eastAsia"/>
          <w:kern w:val="2"/>
          <w:sz w:val="21"/>
          <w:szCs w:val="22"/>
          <w:lang w:eastAsia="zh-CN"/>
        </w:rPr>
        <w:t>同级财政部门</w:t>
      </w:r>
      <w:r>
        <w:rPr>
          <w:rFonts w:ascii="宋体" w:eastAsia="宋体" w:hAnsi="宋体" w:cstheme="minorBidi"/>
          <w:kern w:val="2"/>
          <w:sz w:val="21"/>
          <w:szCs w:val="22"/>
          <w:lang w:eastAsia="zh-CN"/>
        </w:rPr>
        <w:t>和</w:t>
      </w:r>
      <w:r>
        <w:rPr>
          <w:rFonts w:ascii="宋体" w:eastAsia="宋体" w:hAnsi="宋体" w:cstheme="minorBidi" w:hint="eastAsia"/>
          <w:kern w:val="2"/>
          <w:sz w:val="21"/>
          <w:szCs w:val="22"/>
          <w:lang w:eastAsia="zh-CN"/>
        </w:rPr>
        <w:t>政府集中采购机构</w:t>
      </w:r>
      <w:r>
        <w:rPr>
          <w:rFonts w:ascii="宋体" w:eastAsia="宋体" w:hAnsi="宋体" w:cstheme="minorBidi"/>
          <w:kern w:val="2"/>
          <w:sz w:val="21"/>
          <w:szCs w:val="22"/>
          <w:lang w:eastAsia="zh-CN"/>
        </w:rPr>
        <w:t>，并征得其同意。对外市场宣传包括但不限于以下形式：</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a.名片、宣传册、广告标语等；</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kern w:val="2"/>
          <w:sz w:val="21"/>
          <w:szCs w:val="22"/>
          <w:lang w:eastAsia="zh-CN"/>
        </w:rPr>
        <w:t>b.案例介绍、推广等；</w:t>
      </w:r>
    </w:p>
    <w:p>
      <w:pPr>
        <w:widowControl w:val="0"/>
        <w:ind w:left="240" w:firstLine="412" w:leftChars="100" w:firstLineChars="196"/>
        <w:jc w:val="both"/>
        <w:rPr>
          <w:rFonts w:ascii="宋体" w:eastAsia="宋体" w:hAnsi="宋体"/>
          <w:kern w:val="2"/>
          <w:sz w:val="21"/>
          <w:szCs w:val="22"/>
          <w:lang w:eastAsia="zh-CN"/>
        </w:rPr>
      </w:pPr>
      <w:r>
        <w:rPr>
          <w:rFonts w:ascii="宋体" w:eastAsia="宋体" w:hAnsi="宋体" w:cstheme="minorBidi" w:hint="eastAsia"/>
          <w:kern w:val="2"/>
          <w:sz w:val="21"/>
          <w:szCs w:val="22"/>
          <w:lang w:eastAsia="zh-CN"/>
        </w:rPr>
        <w:t>c.工作</w:t>
      </w:r>
      <w:r>
        <w:rPr>
          <w:rFonts w:ascii="宋体" w:eastAsia="宋体" w:hAnsi="宋体" w:cstheme="minorBidi"/>
          <w:kern w:val="2"/>
          <w:sz w:val="21"/>
          <w:szCs w:val="22"/>
          <w:lang w:eastAsia="zh-CN"/>
        </w:rPr>
        <w:t>人员向其他消费群体宣传。</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51. 供应商违法责任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r>
        <w:rPr>
          <w:rFonts w:ascii="宋体" w:eastAsia="宋体" w:hAnsi="宋体" w:cstheme="minorBidi"/>
          <w:kern w:val="2"/>
          <w:sz w:val="21"/>
          <w:szCs w:val="21"/>
          <w:lang w:eastAsia="zh-CN"/>
        </w:rPr>
        <w:t>1.1</w:t>
      </w:r>
      <w:r>
        <w:rPr>
          <w:rFonts w:ascii="宋体" w:eastAsia="宋体" w:hAnsi="宋体" w:cstheme="minorBidi" w:hint="eastAsia"/>
          <w:kern w:val="2"/>
          <w:sz w:val="21"/>
          <w:szCs w:val="21"/>
          <w:lang w:eastAsia="zh-CN"/>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（1）在采购活动中应当回避而未回避的；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（2）未按本条例规定签订、履行采购合同，造成严重后果的；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（3）隐瞒真实情况，提供虚假资料的；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（4）以非法手段排斥其他供应商参与竞争的；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（5）与其他采购参加人串通投标的；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（6）恶意投诉的；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（7）向采购项目相关人行贿或者提供其他不当利益的；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（8）阻碍、抗拒主管部门监督检查的；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（9）其他违反本条例规定的行为。</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w:t>
      </w:r>
      <w:r>
        <w:rPr>
          <w:rFonts w:ascii="宋体" w:eastAsia="宋体" w:hAnsi="宋体" w:cstheme="minorBidi"/>
          <w:kern w:val="2"/>
          <w:sz w:val="21"/>
          <w:szCs w:val="21"/>
          <w:lang w:eastAsia="zh-CN"/>
        </w:rPr>
        <w:t xml:space="preserve">1.2 </w:t>
      </w:r>
      <w:r>
        <w:rPr>
          <w:rFonts w:ascii="宋体" w:eastAsia="宋体" w:hAnsi="宋体" w:cstheme="minorBidi" w:hint="eastAsia"/>
          <w:kern w:val="2"/>
          <w:sz w:val="21"/>
          <w:szCs w:val="21"/>
          <w:lang w:eastAsia="zh-CN"/>
        </w:rPr>
        <w:t>根据《深圳市财政局关于调整政府采购投标（响应）保证金管理政策的通知 》（深财购〔2021〕51 号）的要求，供应商在政府采购活动中出现《深圳经济特区政府采购条例实施细则》第八十条所列情形的，</w:t>
      </w:r>
      <w:bookmarkStart w:id="92" w:name="_Hlk72440769"/>
      <w:r>
        <w:rPr>
          <w:rFonts w:ascii="宋体" w:eastAsia="宋体" w:hAnsi="宋体" w:cstheme="minorBidi" w:hint="eastAsia"/>
          <w:kern w:val="2"/>
          <w:sz w:val="21"/>
          <w:szCs w:val="21"/>
          <w:lang w:eastAsia="zh-CN"/>
        </w:rPr>
        <w:t>政府集中采购机构或采购人不予退还其交纳的谈判保证金，情节严重的，并由主管部门</w:t>
      </w:r>
      <w:bookmarkEnd w:id="92"/>
      <w:r>
        <w:rPr>
          <w:rFonts w:ascii="宋体" w:eastAsia="宋体" w:hAnsi="宋体" w:cstheme="minorBidi" w:hint="eastAsia"/>
          <w:kern w:val="2"/>
          <w:sz w:val="21"/>
          <w:szCs w:val="21"/>
          <w:lang w:eastAsia="zh-CN"/>
        </w:rPr>
        <w:t>记入供应商诚信档案，予以通报：</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w:t>
      </w:r>
      <w:r>
        <w:rPr>
          <w:rFonts w:ascii="宋体" w:eastAsia="宋体" w:hAnsi="宋体" w:cstheme="minorBidi"/>
          <w:kern w:val="2"/>
          <w:sz w:val="21"/>
          <w:szCs w:val="21"/>
          <w:lang w:eastAsia="zh-CN"/>
        </w:rPr>
        <w:t>）投标截止后，撤销投标的；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2</w:t>
      </w:r>
      <w:r>
        <w:rPr>
          <w:rFonts w:ascii="宋体" w:eastAsia="宋体" w:hAnsi="宋体" w:cstheme="minorBidi"/>
          <w:kern w:val="2"/>
          <w:sz w:val="21"/>
          <w:szCs w:val="21"/>
          <w:lang w:eastAsia="zh-CN"/>
        </w:rPr>
        <w:t>）中标后无正当理由未在规定期限内签订合同的；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3</w:t>
      </w:r>
      <w:r>
        <w:rPr>
          <w:rFonts w:ascii="宋体" w:eastAsia="宋体" w:hAnsi="宋体" w:cstheme="minorBidi"/>
          <w:kern w:val="2"/>
          <w:sz w:val="21"/>
          <w:szCs w:val="21"/>
          <w:lang w:eastAsia="zh-CN"/>
        </w:rPr>
        <w:t>）将中标项目转让给他人、或者在投标文件中未说明且未经采购人、采购招标机构同意，将中标项目分包给他人的；</w:t>
      </w:r>
    </w:p>
    <w:p>
      <w:pPr>
        <w:widowControl w:val="0"/>
        <w:ind w:firstLine="412" w:firstLineChars="196"/>
        <w:jc w:val="both"/>
        <w:rPr>
          <w:rFonts w:ascii="宋体" w:eastAsia="宋体" w:hAnsi="宋体"/>
          <w:kern w:val="2"/>
          <w:sz w:val="21"/>
          <w:szCs w:val="21"/>
          <w:lang w:eastAsia="zh-CN"/>
        </w:rPr>
      </w:pP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4</w:t>
      </w:r>
      <w:r>
        <w:rPr>
          <w:rFonts w:ascii="宋体" w:eastAsia="宋体" w:hAnsi="宋体" w:cstheme="minorBidi"/>
          <w:kern w:val="2"/>
          <w:sz w:val="21"/>
          <w:szCs w:val="21"/>
          <w:lang w:eastAsia="zh-CN"/>
        </w:rPr>
        <w:t>）拒绝履行合同义务的</w:t>
      </w:r>
      <w:r>
        <w:rPr>
          <w:rFonts w:ascii="宋体" w:eastAsia="宋体" w:hAnsi="宋体" w:cstheme="minorBidi" w:hint="eastAsia"/>
          <w:kern w:val="2"/>
          <w:sz w:val="21"/>
          <w:szCs w:val="21"/>
          <w:lang w:eastAsia="zh-CN"/>
        </w:rPr>
        <w:t>。</w:t>
      </w:r>
    </w:p>
    <w:bookmarkEnd w:id="76"/>
    <w:p>
      <w:pPr>
        <w:keepNext/>
        <w:keepLines/>
        <w:widowControl w:val="0"/>
        <w:numPr>
          <w:ilvl w:val="0"/>
          <w:numId w:val="6"/>
        </w:numPr>
        <w:tabs>
          <w:tab w:val="left" w:pos="720"/>
        </w:tabs>
        <w:spacing w:before="156" w:beforeLines="50" w:after="156" w:afterLines="50" w:line="416" w:lineRule="auto"/>
        <w:ind w:left="562" w:hanging="562"/>
        <w:jc w:val="both"/>
        <w:outlineLvl w:val="1"/>
        <w:rPr>
          <w:rFonts w:ascii="Cambria" w:eastAsia="宋体" w:hAnsi="Cambria"/>
          <w:b/>
          <w:bCs/>
          <w:kern w:val="2"/>
          <w:sz w:val="28"/>
          <w:szCs w:val="28"/>
          <w:lang w:eastAsia="zh-CN"/>
        </w:rPr>
      </w:pPr>
      <w:r>
        <w:rPr>
          <w:rFonts w:ascii="Cambria" w:eastAsia="宋体" w:hAnsi="Cambria" w:cstheme="majorBidi" w:hint="eastAsia"/>
          <w:b/>
          <w:bCs/>
          <w:kern w:val="2"/>
          <w:sz w:val="28"/>
          <w:szCs w:val="28"/>
          <w:lang w:eastAsia="zh-CN"/>
        </w:rPr>
        <w:t>质疑处理</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52.质疑提出与答复</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52.1提出质疑</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参与政府采购活动的供应商认为自己的权益在采购活动中受到损害的，应当自知道或者应当知道其权益受到损害之日起七个工作日内向采购人、政府集中采购机构以书面形式提出质疑。</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52.2</w:t>
      </w:r>
      <w:r>
        <w:rPr>
          <w:rFonts w:ascii="宋体" w:eastAsia="宋体" w:hAnsi="宋体" w:cstheme="minorBidi"/>
          <w:kern w:val="2"/>
          <w:sz w:val="21"/>
          <w:szCs w:val="21"/>
          <w:lang w:eastAsia="zh-CN"/>
        </w:rPr>
        <w:t>法律依据</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《中华人民共和国政府采购法》、《中华人民共和国政府采购法实施条例》、</w:t>
      </w:r>
      <w:r>
        <w:rPr>
          <w:rFonts w:ascii="宋体" w:eastAsia="宋体" w:hAnsi="宋体" w:cstheme="minorBidi"/>
          <w:kern w:val="2"/>
          <w:sz w:val="21"/>
          <w:szCs w:val="21"/>
          <w:lang w:eastAsia="zh-CN"/>
        </w:rPr>
        <w:t>《</w:t>
      </w:r>
      <w:r>
        <w:rPr>
          <w:rFonts w:ascii="宋体" w:eastAsia="宋体" w:hAnsi="宋体" w:cstheme="minorBidi" w:hint="eastAsia"/>
          <w:kern w:val="2"/>
          <w:sz w:val="21"/>
          <w:szCs w:val="21"/>
          <w:lang w:eastAsia="zh-CN"/>
        </w:rPr>
        <w:t>深圳经济特区政府采购</w:t>
      </w:r>
      <w:r>
        <w:rPr>
          <w:rFonts w:ascii="宋体" w:eastAsia="宋体" w:hAnsi="宋体" w:cstheme="minorBidi"/>
          <w:kern w:val="2"/>
          <w:sz w:val="21"/>
          <w:szCs w:val="21"/>
          <w:lang w:eastAsia="zh-CN"/>
        </w:rPr>
        <w:t>条例</w:t>
      </w:r>
      <w:r>
        <w:rPr>
          <w:rFonts w:ascii="宋体" w:eastAsia="宋体" w:hAnsi="宋体" w:cstheme="minorBidi" w:hint="eastAsia"/>
          <w:kern w:val="2"/>
          <w:sz w:val="21"/>
          <w:szCs w:val="21"/>
          <w:lang w:eastAsia="zh-CN"/>
        </w:rPr>
        <w:t>》、《深圳经济特区政府采购条例实施细则》、《政府采购质疑和投诉办法》（财政部令第94号）和其他有关法律法规规定。</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w:t>
      </w:r>
      <w:r>
        <w:rPr>
          <w:rFonts w:ascii="宋体" w:eastAsia="宋体" w:hAnsi="宋体" w:cstheme="minorBidi" w:hint="eastAsia"/>
          <w:color w:val="FF0000"/>
          <w:kern w:val="2"/>
          <w:sz w:val="21"/>
          <w:szCs w:val="21"/>
          <w:lang w:eastAsia="zh-CN"/>
        </w:rPr>
        <w:t xml:space="preserve">  </w:t>
      </w:r>
      <w:r>
        <w:rPr>
          <w:rFonts w:ascii="宋体" w:eastAsia="宋体" w:hAnsi="宋体" w:cstheme="minorBidi" w:hint="eastAsia"/>
          <w:kern w:val="2"/>
          <w:sz w:val="21"/>
          <w:szCs w:val="21"/>
          <w:lang w:eastAsia="zh-CN"/>
        </w:rPr>
        <w:t>52.3质疑条件</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52.3.1提出质疑的供应商应当是参与所质疑项目采购活动的供应商；</w:t>
      </w:r>
      <w:bookmarkStart w:id="93" w:name="_Hlk75374941"/>
      <w:r>
        <w:rPr>
          <w:rFonts w:ascii="宋体" w:eastAsia="宋体" w:hAnsi="宋体" w:cstheme="minorBidi" w:hint="eastAsia"/>
          <w:kern w:val="2"/>
          <w:sz w:val="21"/>
          <w:szCs w:val="21"/>
          <w:lang w:eastAsia="zh-CN"/>
        </w:rPr>
        <w:t>以联合体形式参与的，质疑应当由组成联合体的所有成员共同提出</w:t>
      </w:r>
      <w:bookmarkEnd w:id="93"/>
      <w:r>
        <w:rPr>
          <w:rFonts w:ascii="宋体" w:eastAsia="宋体" w:hAnsi="宋体" w:cstheme="minorBidi" w:hint="eastAsia"/>
          <w:kern w:val="2"/>
          <w:sz w:val="21"/>
          <w:szCs w:val="21"/>
          <w:lang w:eastAsia="zh-CN"/>
        </w:rPr>
        <w:t>；</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widowControl w:val="0"/>
        <w:ind w:firstLine="42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52.3.3应提交书面质疑函，质疑函应当包括以下内容：</w:t>
      </w:r>
      <w:r>
        <w:rPr>
          <w:rFonts w:ascii="宋体" w:eastAsia="宋体" w:hAnsi="宋体" w:cstheme="minorBidi"/>
          <w:kern w:val="2"/>
          <w:sz w:val="21"/>
          <w:szCs w:val="21"/>
          <w:lang w:eastAsia="zh-CN"/>
        </w:rPr>
        <w:t xml:space="preserve"> </w:t>
      </w:r>
    </w:p>
    <w:p>
      <w:pPr>
        <w:widowControl w:val="0"/>
        <w:ind w:firstLine="42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（1）供应商的名称（或者姓名）、地址、邮编、邮箱、联系人及联系电话；</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（2）质疑项目的名称、编号；</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（3）具体、明确的质疑对象、质疑事项和质疑请求；</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（4）因质疑事项而受损害的权益；</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（5）事实依据；</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（6）必要的法律依据；</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（7）提出质疑的日期。</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供应商为自然人的，应当由本人签字；供应商为法人或者其他组织的，应当由法定代表人（负责人），或者其授权代理人签字或者盖章，并加盖公章。</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52.4提交</w:t>
      </w:r>
      <w:r>
        <w:rPr>
          <w:rFonts w:ascii="宋体" w:eastAsia="宋体" w:hAnsi="宋体" w:cstheme="minorBidi"/>
          <w:kern w:val="2"/>
          <w:sz w:val="21"/>
          <w:szCs w:val="21"/>
          <w:lang w:eastAsia="zh-CN"/>
        </w:rPr>
        <w:t>材料</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供应商质疑实行实名制。供应商为自然人的，应当提交本人身份证复印件；供应商为法人或者其他组织的，应当根据自身性质提交营业执照复印件或者其他证明文件（如事业单位法人证书等）复印件。</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供应商可以委托代理人进行质疑。</w:t>
      </w:r>
      <w:r>
        <w:rPr>
          <w:rFonts w:ascii="宋体" w:eastAsia="宋体" w:hAnsi="宋体" w:cstheme="minorBidi"/>
          <w:kern w:val="2"/>
          <w:sz w:val="21"/>
          <w:szCs w:val="21"/>
          <w:lang w:eastAsia="zh-CN"/>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52.5收文地点</w:t>
      </w:r>
    </w:p>
    <w:p>
      <w:pPr>
        <w:widowControl w:val="0"/>
        <w:ind w:firstLine="420" w:firstLineChars="200"/>
        <w:jc w:val="both"/>
        <w:rPr>
          <w:rFonts w:ascii="宋体" w:eastAsia="宋体" w:hAnsi="宋体"/>
          <w:b/>
          <w:bCs/>
          <w:kern w:val="2"/>
          <w:sz w:val="21"/>
          <w:szCs w:val="21"/>
          <w:lang w:eastAsia="zh-CN"/>
        </w:rPr>
      </w:pPr>
      <w:r>
        <w:rPr>
          <w:rFonts w:ascii="宋体" w:eastAsia="宋体" w:hAnsi="宋体" w:cstheme="minorBidi" w:hint="eastAsia"/>
          <w:b/>
          <w:bCs/>
          <w:kern w:val="2"/>
          <w:sz w:val="21"/>
          <w:szCs w:val="21"/>
          <w:lang w:eastAsia="zh-CN"/>
        </w:rPr>
        <w:t>地址：深圳公共资源交易中心（深圳交易集团有限公司</w:t>
      </w:r>
      <w:r>
        <w:rPr>
          <w:rFonts w:ascii="宋体" w:eastAsia="宋体" w:hAnsi="宋体" w:cstheme="minorBidi" w:hint="eastAsia"/>
          <w:b/>
          <w:bCs/>
          <w:kern w:val="2"/>
          <w:sz w:val="21"/>
          <w:szCs w:val="21"/>
          <w:lang w:eastAsia="zh-CN"/>
        </w:rPr>
        <w:t>宝安</w:t>
      </w:r>
      <w:r>
        <w:rPr>
          <w:rFonts w:ascii="宋体" w:eastAsia="宋体" w:hAnsi="宋体" w:cstheme="minorBidi" w:hint="eastAsia"/>
          <w:b/>
          <w:bCs/>
          <w:kern w:val="2"/>
          <w:sz w:val="21"/>
          <w:szCs w:val="21"/>
          <w:lang w:eastAsia="zh-CN"/>
        </w:rPr>
        <w:t>分公司）</w:t>
      </w:r>
      <w:r>
        <w:rPr>
          <w:rFonts w:ascii="宋体" w:eastAsia="宋体" w:hAnsi="宋体" w:cstheme="minorBidi" w:hint="eastAsia"/>
          <w:b/>
          <w:bCs/>
          <w:kern w:val="2"/>
          <w:sz w:val="21"/>
          <w:szCs w:val="21"/>
          <w:lang w:eastAsia="zh-CN"/>
        </w:rPr>
        <w:t>一</w:t>
      </w:r>
      <w:r>
        <w:rPr>
          <w:rFonts w:ascii="宋体" w:eastAsia="宋体" w:hAnsi="宋体" w:cstheme="minorBidi" w:hint="eastAsia"/>
          <w:b/>
          <w:bCs/>
          <w:kern w:val="2"/>
          <w:sz w:val="21"/>
          <w:szCs w:val="21"/>
          <w:lang w:eastAsia="zh-CN"/>
        </w:rPr>
        <w:t>楼</w:t>
      </w:r>
      <w:r>
        <w:rPr>
          <w:rFonts w:ascii="宋体" w:eastAsia="宋体" w:hAnsi="宋体" w:cstheme="minorBidi" w:hint="eastAsia"/>
          <w:b/>
          <w:bCs/>
          <w:kern w:val="2"/>
          <w:sz w:val="21"/>
          <w:szCs w:val="21"/>
          <w:lang w:eastAsia="zh-CN"/>
        </w:rPr>
        <w:t>服务大厅</w:t>
      </w:r>
      <w:r>
        <w:rPr>
          <w:rFonts w:ascii="宋体" w:eastAsia="宋体" w:hAnsi="宋体" w:cstheme="minorBidi" w:hint="eastAsia"/>
          <w:b/>
          <w:bCs/>
          <w:kern w:val="2"/>
          <w:sz w:val="21"/>
          <w:szCs w:val="21"/>
          <w:lang w:eastAsia="zh-CN"/>
        </w:rPr>
        <w:t>，质疑咨询电话：0755-</w:t>
      </w:r>
      <w:r>
        <w:rPr>
          <w:rFonts w:ascii="宋体" w:eastAsia="宋体" w:hAnsi="宋体" w:cstheme="minorBidi" w:hint="eastAsia"/>
          <w:b/>
          <w:bCs/>
          <w:kern w:val="2"/>
          <w:sz w:val="21"/>
          <w:szCs w:val="21"/>
          <w:lang w:eastAsia="zh-CN"/>
        </w:rPr>
        <w:t>27758331</w:t>
      </w:r>
      <w:r>
        <w:rPr>
          <w:rFonts w:ascii="宋体" w:eastAsia="宋体" w:hAnsi="宋体" w:cstheme="minorBidi" w:hint="eastAsia"/>
          <w:b/>
          <w:bCs/>
          <w:kern w:val="2"/>
          <w:sz w:val="21"/>
          <w:szCs w:val="21"/>
          <w:lang w:eastAsia="zh-CN"/>
        </w:rPr>
        <w:t>。</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52.6收文办理</w:t>
      </w:r>
      <w:r>
        <w:rPr>
          <w:rFonts w:ascii="宋体" w:eastAsia="宋体" w:hAnsi="宋体" w:cstheme="minorBidi"/>
          <w:kern w:val="2"/>
          <w:sz w:val="21"/>
          <w:szCs w:val="21"/>
          <w:lang w:eastAsia="zh-CN"/>
        </w:rPr>
        <w:t>程序</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widowControl w:val="0"/>
        <w:ind w:firstLine="420" w:firstLineChars="200"/>
        <w:jc w:val="both"/>
        <w:rPr>
          <w:rFonts w:ascii="仿宋" w:eastAsia="仿宋" w:hAnsi="仿宋"/>
          <w:kern w:val="2"/>
          <w:sz w:val="28"/>
          <w:szCs w:val="28"/>
          <w:lang w:eastAsia="zh-CN"/>
        </w:rPr>
      </w:pPr>
      <w:r>
        <w:rPr>
          <w:rFonts w:ascii="宋体" w:eastAsia="宋体" w:hAnsi="宋体" w:cstheme="minorBidi" w:hint="eastAsia"/>
          <w:kern w:val="2"/>
          <w:sz w:val="21"/>
          <w:szCs w:val="21"/>
          <w:lang w:eastAsia="zh-CN"/>
        </w:rPr>
        <w:t>52.6.2供应商提交的质疑材料不符合质疑条件的，视情况处理：</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供应商提交的质疑材料不全或者未按要求签字或者盖章的，政府集中采购机构应当一次性告知供应商需补正的内容和补正期限。</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供应商提交的质疑存在下列情形之一的，不予受理：</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（1）质疑主体不满足要求的；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（2）供应商自身权益未受到损害的；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（3）供应商未在法定质疑期限内提出质疑的；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（4）质疑材料不全或者未按要求签字或者盖章的情况下，要求补正后，逾期未补正或者补正后仍不符合规定的；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（5）其他不符合受理条件情形的。</w:t>
      </w:r>
    </w:p>
    <w:p>
      <w:pPr>
        <w:widowControl w:val="0"/>
        <w:ind w:firstLine="420" w:firstLineChars="20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质疑事项不予受理的，政府集中采购机构应当向供应商出具不符合质疑条件告知书。</w:t>
      </w:r>
    </w:p>
    <w:p>
      <w:pPr>
        <w:widowControl w:val="0"/>
        <w:jc w:val="both"/>
        <w:rPr>
          <w:rFonts w:ascii="宋体" w:eastAsia="宋体" w:hAnsi="宋体"/>
          <w:kern w:val="2"/>
          <w:sz w:val="21"/>
          <w:szCs w:val="21"/>
          <w:lang w:eastAsia="zh-CN"/>
        </w:rPr>
      </w:pPr>
      <w:r>
        <w:rPr>
          <w:rFonts w:ascii="宋体" w:eastAsia="宋体" w:hAnsi="宋体" w:cstheme="minorBidi" w:hint="eastAsia"/>
          <w:color w:val="FF0000"/>
          <w:kern w:val="2"/>
          <w:sz w:val="21"/>
          <w:szCs w:val="21"/>
          <w:lang w:eastAsia="zh-CN"/>
        </w:rPr>
        <w:t xml:space="preserve">  </w:t>
      </w:r>
      <w:r>
        <w:rPr>
          <w:rFonts w:ascii="宋体" w:eastAsia="宋体" w:hAnsi="宋体" w:cstheme="minorBidi" w:hint="eastAsia"/>
          <w:kern w:val="2"/>
          <w:sz w:val="21"/>
          <w:szCs w:val="21"/>
          <w:lang w:eastAsia="zh-CN"/>
        </w:rPr>
        <w:t xml:space="preserve">  52.7质疑答复时限</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自收文之日起七个工作日内。</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52.8投诉</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对质疑答复不满意或者未在规定时间内答复的，提出质疑的供应商可以在答复期满后15个工作日内向本项目预算主管单位投诉。</w:t>
      </w:r>
    </w:p>
    <w:p>
      <w:pPr>
        <w:widowControl w:val="0"/>
        <w:jc w:val="both"/>
        <w:rPr>
          <w:rFonts w:ascii="黑体" w:eastAsia="黑体" w:hAnsi="宋体"/>
          <w:kern w:val="2"/>
          <w:szCs w:val="22"/>
          <w:lang w:eastAsia="zh-CN"/>
        </w:rPr>
      </w:pPr>
      <w:r>
        <w:rPr>
          <w:rFonts w:ascii="黑体" w:eastAsia="黑体" w:hAnsi="宋体" w:cstheme="minorBidi" w:hint="eastAsia"/>
          <w:kern w:val="2"/>
          <w:szCs w:val="22"/>
          <w:lang w:eastAsia="zh-CN"/>
        </w:rPr>
        <w:t>53. 质疑后续处理</w:t>
      </w:r>
    </w:p>
    <w:p>
      <w:pPr>
        <w:widowControl w:val="0"/>
        <w:jc w:val="both"/>
        <w:rPr>
          <w:rFonts w:ascii="宋体" w:eastAsia="宋体" w:hAnsi="宋体"/>
          <w:kern w:val="2"/>
          <w:sz w:val="21"/>
          <w:szCs w:val="21"/>
          <w:lang w:eastAsia="zh-CN"/>
        </w:rPr>
      </w:pPr>
      <w:r>
        <w:rPr>
          <w:rFonts w:ascii="宋体" w:eastAsia="宋体" w:hAnsi="宋体" w:cstheme="minorBidi" w:hint="eastAsia"/>
          <w:kern w:val="2"/>
          <w:sz w:val="21"/>
          <w:szCs w:val="21"/>
          <w:lang w:eastAsia="zh-CN"/>
        </w:rPr>
        <w:t xml:space="preserve">    53.1供应商质疑不成立，或者成立但未对中标、成交结果构成影响的，继续开展采购活动。</w:t>
      </w:r>
    </w:p>
    <w:p>
      <w:pPr>
        <w:widowControl w:val="0"/>
        <w:jc w:val="center"/>
        <w:rPr>
          <w:rFonts w:ascii="Calibri" w:eastAsia="宋体" w:hAnsi="Calibri"/>
          <w:kern w:val="2"/>
          <w:sz w:val="21"/>
          <w:szCs w:val="22"/>
          <w:lang w:eastAsia="zh-CN"/>
        </w:rPr>
      </w:pPr>
      <w:r>
        <w:rPr>
          <w:rFonts w:ascii="宋体" w:eastAsia="宋体" w:hAnsi="宋体" w:cstheme="minorBidi" w:hint="eastAsia"/>
          <w:kern w:val="2"/>
          <w:sz w:val="21"/>
          <w:szCs w:val="21"/>
          <w:lang w:eastAsia="zh-CN"/>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rFonts w:ascii="Calibri" w:eastAsia="宋体" w:hAnsi="Calibri" w:cstheme="minorBidi"/>
          <w:kern w:val="2"/>
          <w:sz w:val="21"/>
          <w:szCs w:val="22"/>
          <w:lang w:eastAsia="zh-CN"/>
        </w:rPr>
        <w:t>---- END ----</w:t>
      </w:r>
    </w:p>
    <w:p>
      <w:pPr>
        <w:widowControl w:val="0"/>
        <w:jc w:val="center"/>
        <w:rPr>
          <w:rFonts w:eastAsia="宋体"/>
          <w:kern w:val="2"/>
          <w:sz w:val="21"/>
          <w:lang w:eastAsia="zh-CN"/>
        </w:rPr>
      </w:pPr>
      <w:r>
        <w:rPr>
          <w:rFonts w:eastAsia="宋体"/>
          <w:kern w:val="2"/>
          <w:sz w:val="21"/>
          <w:lang w:eastAsia="zh-CN"/>
        </w:rPr>
        <w:t>---- END ----</w:t>
      </w:r>
      <w:bookmarkEnd w:id="39"/>
    </w:p>
    <w:p>
      <w:pPr>
        <w:widowControl w:val="0"/>
        <w:jc w:val="both"/>
        <w:rPr>
          <w:rFonts w:ascii="Calibri" w:eastAsia="宋体" w:hAnsi="Calibri"/>
          <w:b/>
          <w:color w:val="FF0000"/>
          <w:kern w:val="2"/>
          <w:sz w:val="52"/>
          <w:szCs w:val="52"/>
          <w:lang w:eastAsia="zh-CN"/>
        </w:rPr>
      </w:pPr>
    </w:p>
    <w:p>
      <w:pPr>
        <w:widowControl w:val="0"/>
        <w:jc w:val="both"/>
        <w:rPr>
          <w:rFonts w:ascii="宋体" w:eastAsia="黑体" w:hAnsi="宋体"/>
          <w:b/>
          <w:bCs/>
          <w:color w:val="0000FF"/>
          <w:kern w:val="44"/>
          <w:sz w:val="36"/>
          <w:szCs w:val="44"/>
          <w:lang w:eastAsia="zh-CN"/>
        </w:rPr>
        <w:sectPr>
          <w:headerReference w:type="even" r:id="rId9"/>
          <w:headerReference w:type="default" r:id="rId10"/>
          <w:footerReference w:type="even" r:id="rId11"/>
          <w:footerReference w:type="default" r:id="rId12"/>
          <w:headerReference w:type="first" r:id="rId13"/>
          <w:footerReference w:type="first" r:id="rId14"/>
          <w:pgSz w:w="11906" w:h="16838"/>
          <w:pgMar w:top="1440" w:right="1417" w:bottom="1440" w:left="1417" w:header="851" w:footer="992" w:gutter="0"/>
          <w:pgBorders>
            <w:top w:val="none" w:sz="0" w:space="0" w:color="auto"/>
            <w:left w:val="none" w:sz="0" w:space="0" w:color="auto"/>
            <w:bottom w:val="none" w:sz="0" w:space="0" w:color="auto"/>
            <w:right w:val="none" w:sz="0" w:space="0" w:color="auto"/>
          </w:pgBorders>
          <w:pgNumType w:start="1"/>
          <w:cols w:num="1" w:space="425"/>
          <w:docGrid w:type="lines" w:linePitch="312" w:charSpace="0"/>
        </w:sectPr>
      </w:pPr>
    </w:p>
    <w:p>
      <w:pPr>
        <w:pBdr>
          <w:top w:val="none" w:sz="0" w:space="0" w:color="auto"/>
          <w:left w:val="single" w:sz="6" w:space="0" w:color="DDDDDD"/>
          <w:bottom w:val="none" w:sz="0" w:space="0" w:color="auto"/>
          <w:right w:val="single" w:sz="6" w:space="0" w:color="DDDDDD"/>
        </w:pBdr>
        <w:spacing w:before="0" w:after="0" w:line="648" w:lineRule="atLeast"/>
        <w:ind w:left="15" w:right="15"/>
        <w:jc w:val="center"/>
        <w:outlineLvl w:val="0"/>
        <w:rPr>
          <w:rFonts w:ascii="FangSong" w:eastAsia="FangSong" w:hAnsi="FangSong" w:cs="FangSong"/>
          <w:b/>
          <w:bCs/>
          <w:color w:val="000000"/>
          <w:sz w:val="48"/>
          <w:szCs w:val="48"/>
          <w:lang w:val="en" w:eastAsia="en"/>
        </w:rPr>
      </w:pPr>
      <w:r>
        <w:rPr>
          <w:rFonts w:ascii="FangSong" w:eastAsia="FangSong" w:hAnsi="FangSong" w:cs="FangSong"/>
          <w:b/>
          <w:bCs/>
          <w:color w:val="000000"/>
          <w:sz w:val="48"/>
          <w:szCs w:val="48"/>
          <w:lang w:val="en" w:eastAsia="en"/>
        </w:rPr>
        <w:t>投标文件格式</w:t>
      </w:r>
    </w:p>
    <w:p>
      <w:pPr>
        <w:pBdr>
          <w:top w:val="none" w:sz="0" w:space="0" w:color="auto"/>
          <w:left w:val="none" w:sz="0" w:space="0" w:color="auto"/>
          <w:bottom w:val="none" w:sz="0" w:space="0" w:color="auto"/>
          <w:right w:val="none" w:sz="0" w:space="0" w:color="auto"/>
        </w:pBdr>
        <w:spacing w:before="0" w:after="0" w:line="504" w:lineRule="atLeast"/>
        <w:ind w:left="15" w:right="15"/>
        <w:jc w:val="center"/>
        <w:rPr>
          <w:rFonts w:ascii="FangSong" w:eastAsia="FangSong" w:hAnsi="FangSong" w:cs="FangSong"/>
          <w:b/>
          <w:bCs/>
          <w:color w:val="333333"/>
          <w:sz w:val="28"/>
          <w:szCs w:val="28"/>
          <w:lang w:val="en" w:eastAsia="en"/>
        </w:rPr>
      </w:pPr>
      <w:r>
        <w:rPr>
          <w:rFonts w:ascii="FangSong" w:eastAsia="FangSong" w:hAnsi="FangSong" w:cs="FangSong"/>
          <w:b/>
          <w:bCs/>
          <w:color w:val="333333"/>
          <w:sz w:val="28"/>
          <w:szCs w:val="28"/>
          <w:lang w:val="en" w:eastAsia="en"/>
        </w:rPr>
        <w:t>和一学校化学实验室、准备室和仪器室设备采购项目-A</w:t>
      </w:r>
    </w:p>
    <w:tbl>
      <w:tblPr>
        <w:tblStyle w:val="typotable"/>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44"/>
        <w:gridCol w:w="749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tblHeader/>
        </w:trPr>
        <w:tc>
          <w:tcPr>
            <w:tcW w:w="9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41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文件夹/文件名称</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投标文件正文（信息公开部分）：</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 xml:space="preserve">投标函； </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政府采购投标及履约承诺函；</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分项报价清单；</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中小企业相关声明函；</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营业执照或事业单位法人证书等；</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经验评价；</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政府采购节能环保产品；</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绿色采购情况；</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其他招标文件要求或投标人认为需要补充的内容（公开）。</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投标文件附件（信息不公开部分）：</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法定代表人（负责人）证明书；</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投标文件签署授权委托书；</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实质性条款响应情况表；</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商务（服务）条款偏离表；</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技术要求偏离表；</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项目组织实施方案的评价</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设计评价</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售后服务评价</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主体框架（长）的检测报告；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教师演示台的检测报告；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化学学生实验台的检测报告；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水柜的检测报告；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LED教室灯的检测报告；</w:t>
            </w:r>
          </w:p>
        </w:tc>
      </w:tr>
      <w:tr>
        <w:tblPrEx>
          <w:tblW w:w="5000" w:type="pct"/>
          <w:tblInd w:w="15" w:type="dxa"/>
          <w:tblLayout w:type="fixed"/>
          <w:tblCellMar>
            <w:top w:w="0" w:type="dxa"/>
            <w:left w:w="0" w:type="dxa"/>
            <w:bottom w:w="0" w:type="dxa"/>
            <w:right w:w="0" w:type="dxa"/>
          </w:tblCellMar>
          <w:tblLook w:val="05E0"/>
        </w:tblPrEx>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2.14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其他招标文件要求或投标人认为需要补充的内容（非公开）。</w:t>
            </w:r>
          </w:p>
        </w:tc>
      </w:tr>
    </w:tbl>
    <w:p>
      <w:pPr>
        <w:pBdr>
          <w:top w:val="none" w:sz="0" w:space="0" w:color="auto"/>
          <w:left w:val="none" w:sz="0" w:space="0" w:color="auto"/>
          <w:bottom w:val="none" w:sz="0" w:space="0" w:color="auto"/>
          <w:right w:val="none" w:sz="0" w:space="0" w:color="auto"/>
        </w:pBdr>
        <w:spacing w:line="432" w:lineRule="atLeast"/>
        <w:rPr>
          <w:rFonts w:ascii="FangSong" w:eastAsia="FangSong" w:hAnsi="FangSong" w:cs="FangSong"/>
          <w:b/>
          <w:bCs/>
          <w:color w:val="333333"/>
          <w:lang w:val="en" w:eastAsia="en"/>
        </w:rPr>
        <w:sectPr>
          <w:pgMar w:header="708" w:footer="708"/>
          <w:cols w:space="708"/>
        </w:sectPr>
      </w:pPr>
    </w:p>
    <w:p>
      <w:pPr>
        <w:pBdr>
          <w:top w:val="none" w:sz="0" w:space="0" w:color="auto"/>
          <w:left w:val="single" w:sz="6" w:space="0" w:color="DDDDDD"/>
          <w:bottom w:val="none" w:sz="0" w:space="0" w:color="auto"/>
          <w:right w:val="single" w:sz="6" w:space="0" w:color="DDDDDD"/>
        </w:pBdr>
        <w:spacing w:before="0" w:after="0" w:line="648" w:lineRule="atLeast"/>
        <w:ind w:left="15" w:right="15"/>
        <w:jc w:val="center"/>
        <w:outlineLvl w:val="0"/>
        <w:rPr>
          <w:rFonts w:ascii="FangSong" w:eastAsia="FangSong" w:hAnsi="FangSong" w:cs="FangSong"/>
          <w:b/>
          <w:bCs/>
          <w:color w:val="000000"/>
          <w:sz w:val="48"/>
          <w:szCs w:val="48"/>
          <w:lang w:val="en" w:eastAsia="en"/>
        </w:rPr>
      </w:pPr>
      <w:r>
        <w:rPr>
          <w:rFonts w:ascii="FangSong" w:eastAsia="FangSong" w:hAnsi="FangSong" w:cs="FangSong"/>
          <w:b/>
          <w:bCs/>
          <w:color w:val="000000"/>
          <w:sz w:val="48"/>
          <w:szCs w:val="48"/>
          <w:lang w:val="en" w:eastAsia="en"/>
        </w:rPr>
        <w:t>评标办法附表</w:t>
      </w: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1.标段基本信息</w:t>
      </w:r>
    </w:p>
    <w:p>
      <w:pPr>
        <w:pBdr>
          <w:top w:val="none" w:sz="0" w:space="0" w:color="auto"/>
          <w:left w:val="none" w:sz="0" w:space="0" w:color="auto"/>
          <w:bottom w:val="none" w:sz="0" w:space="0" w:color="auto"/>
          <w:right w:val="none" w:sz="0" w:space="0" w:color="auto"/>
        </w:pBdr>
        <w:spacing w:after="0" w:line="432" w:lineRule="atLeast"/>
        <w:ind w:left="15" w:right="15"/>
        <w:rPr>
          <w:rFonts w:ascii="FangSong" w:eastAsia="FangSong" w:hAnsi="FangSong" w:cs="FangSong"/>
          <w:color w:val="333333"/>
          <w:lang w:val="en" w:eastAsia="en"/>
        </w:rPr>
      </w:pPr>
      <w:r>
        <w:rPr>
          <w:rFonts w:ascii="FangSong" w:eastAsia="FangSong" w:hAnsi="FangSong" w:cs="FangSong"/>
          <w:color w:val="333333"/>
          <w:lang w:val="en" w:eastAsia="en"/>
        </w:rPr>
        <w:t>标段编号：</w:t>
      </w:r>
      <w:r>
        <w:rPr>
          <w:rFonts w:ascii="Microsoft YaHei" w:eastAsia="Microsoft YaHei" w:hAnsi="Microsoft YaHei" w:cs="Microsoft YaHei"/>
          <w:color w:val="333333"/>
          <w:lang w:val="en" w:eastAsia="en"/>
        </w:rPr>
        <w:t xml:space="preserve"> </w:t>
      </w:r>
      <w:r>
        <w:rPr>
          <w:rFonts w:ascii="FangSong" w:eastAsia="FangSong" w:hAnsi="FangSong" w:cs="FangSong"/>
          <w:color w:val="333333"/>
          <w:u w:val="single" w:color="333333"/>
          <w:lang w:val="en" w:eastAsia="en"/>
        </w:rPr>
        <w:t>BAZXCG-2024-00315-001</w:t>
      </w:r>
      <w:r>
        <w:rPr>
          <w:rFonts w:ascii="FangSong" w:eastAsia="FangSong" w:hAnsi="FangSong" w:cs="FangSong"/>
          <w:color w:val="333333"/>
          <w:u w:val="single" w:color="333333"/>
          <w:lang w:val="en" w:eastAsia="en"/>
        </w:rPr>
        <w:br/>
      </w:r>
      <w:r>
        <w:rPr>
          <w:rFonts w:ascii="FangSong" w:eastAsia="FangSong" w:hAnsi="FangSong" w:cs="FangSong"/>
          <w:color w:val="333333"/>
          <w:lang w:val="en" w:eastAsia="en"/>
        </w:rPr>
        <w:t>标段名称：</w:t>
      </w:r>
      <w:r>
        <w:rPr>
          <w:rFonts w:ascii="Microsoft YaHei" w:eastAsia="Microsoft YaHei" w:hAnsi="Microsoft YaHei" w:cs="Microsoft YaHei"/>
          <w:color w:val="333333"/>
          <w:lang w:val="en" w:eastAsia="en"/>
        </w:rPr>
        <w:t xml:space="preserve"> </w:t>
      </w:r>
      <w:r>
        <w:rPr>
          <w:rFonts w:ascii="FangSong" w:eastAsia="FangSong" w:hAnsi="FangSong" w:cs="FangSong"/>
          <w:color w:val="333333"/>
          <w:u w:val="single" w:color="333333"/>
          <w:lang w:val="en" w:eastAsia="en"/>
        </w:rPr>
        <w:t>和一学校化学实验室、准备室和仪器室设备采购项目-A</w:t>
      </w:r>
      <w:r>
        <w:rPr>
          <w:rFonts w:ascii="FangSong" w:eastAsia="FangSong" w:hAnsi="FangSong" w:cs="FangSong"/>
          <w:color w:val="333333"/>
          <w:u w:val="single" w:color="333333"/>
          <w:lang w:val="en" w:eastAsia="en"/>
        </w:rPr>
        <w:br/>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2.入围参数</w:t>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color w:val="333333"/>
          <w:lang w:val="en" w:eastAsia="en"/>
        </w:rPr>
        <w:t>是否过多投标人淘汰：</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否</w:t>
      </w: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3.评审步骤</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142"/>
        <w:gridCol w:w="6852"/>
        <w:gridCol w:w="114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30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评审步骤</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分值</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资格评审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初步评审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详细评审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70</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报价修正</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价格评审</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30</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综合评分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推荐中标候选人</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bl>
    <w:p>
      <w:pPr>
        <w:pBdr>
          <w:top w:val="none" w:sz="0" w:space="0" w:color="auto"/>
          <w:left w:val="none" w:sz="0" w:space="0" w:color="auto"/>
          <w:bottom w:val="none" w:sz="0" w:space="0" w:color="auto"/>
          <w:right w:val="none" w:sz="0" w:space="0" w:color="auto"/>
        </w:pBdr>
        <w:spacing w:after="0" w:line="432" w:lineRule="atLeast"/>
        <w:ind w:left="15" w:right="15"/>
        <w:rPr>
          <w:rFonts w:ascii="Microsoft YaHei" w:eastAsia="Microsoft YaHei" w:hAnsi="Microsoft YaHei" w:cs="Microsoft YaHei"/>
          <w:color w:val="333333"/>
          <w:lang w:val="en" w:eastAsia="en"/>
        </w:rPr>
      </w:pPr>
    </w:p>
    <w:p>
      <w:pPr>
        <w:pBdr>
          <w:top w:val="none" w:sz="0" w:space="0" w:color="auto"/>
          <w:left w:val="none" w:sz="0" w:space="0" w:color="auto"/>
          <w:bottom w:val="none" w:sz="0" w:space="0" w:color="auto"/>
          <w:right w:val="none" w:sz="0" w:space="0" w:color="auto"/>
        </w:pBdr>
        <w:spacing w:before="0" w:after="288"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333333"/>
          <w:sz w:val="28"/>
          <w:szCs w:val="28"/>
          <w:lang w:val="en" w:eastAsia="en"/>
        </w:rPr>
        <w:t>4.评审条款</w:t>
      </w:r>
    </w:p>
    <w:p>
      <w:pPr>
        <w:pBdr>
          <w:top w:val="none" w:sz="0" w:space="0" w:color="auto"/>
          <w:left w:val="none" w:sz="0" w:space="0" w:color="auto"/>
          <w:bottom w:val="none" w:sz="0" w:space="0" w:color="auto"/>
          <w:right w:val="none" w:sz="0" w:space="0" w:color="auto"/>
        </w:pBdr>
        <w:spacing w:line="432" w:lineRule="atLeast"/>
        <w:ind w:left="15" w:right="15"/>
        <w:rPr>
          <w:rFonts w:ascii="FangSong" w:eastAsia="FangSong" w:hAnsi="FangSong" w:cs="FangSong"/>
          <w:color w:val="333333"/>
          <w:lang w:val="en" w:eastAsia="en"/>
        </w:rPr>
      </w:pPr>
      <w:r>
        <w:rPr>
          <w:rFonts w:ascii="FangSong" w:eastAsia="FangSong" w:hAnsi="FangSong" w:cs="FangSong"/>
          <w:color w:val="333333"/>
          <w:lang w:val="en" w:eastAsia="en"/>
        </w:rPr>
        <w:t>中标候选人：</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委托评标委员会直接定标</w:t>
      </w:r>
      <w:r>
        <w:rPr>
          <w:rFonts w:ascii="FangSong" w:eastAsia="FangSong" w:hAnsi="FangSong" w:cs="FangSong"/>
          <w:color w:val="333333"/>
          <w:lang w:val="en" w:eastAsia="en"/>
        </w:rPr>
        <w:br/>
      </w:r>
      <w:r>
        <w:rPr>
          <w:rFonts w:ascii="FangSong" w:eastAsia="FangSong" w:hAnsi="FangSong" w:cs="FangSong"/>
          <w:color w:val="333333"/>
          <w:lang w:val="en" w:eastAsia="en"/>
        </w:rPr>
        <w:br/>
      </w:r>
      <w:r>
        <w:rPr>
          <w:rFonts w:ascii="FangSong" w:eastAsia="FangSong" w:hAnsi="FangSong" w:cs="FangSong"/>
          <w:b/>
          <w:bCs/>
          <w:color w:val="000000"/>
          <w:lang w:val="en" w:eastAsia="en"/>
        </w:rPr>
        <w:t>4.1 资格评审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按分项自动汇总并发起否决投标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12"/>
        <w:gridCol w:w="3762"/>
        <w:gridCol w:w="376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资质要求</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具有独立法人资格或是具有独立承担民事责任能力的其它组织（提供营业执照或事业单位法人证书等证明资料扫描件，原件备查）。：</w:t>
            </w:r>
            <w:r>
              <w:rPr>
                <w:rFonts w:ascii="FangSong" w:eastAsia="FangSong" w:hAnsi="FangSong" w:cs="FangSong"/>
                <w:color w:val="666666"/>
                <w:lang w:val="en" w:eastAsia="en"/>
              </w:rPr>
              <w:br/>
            </w:r>
            <w:r>
              <w:rPr>
                <w:rFonts w:ascii="FangSong" w:eastAsia="FangSong" w:hAnsi="FangSong" w:cs="FangSong"/>
                <w:color w:val="666666"/>
                <w:lang w:val="en" w:eastAsia="en"/>
              </w:rPr>
              <w:t>具有独立法人资格或是具有独立承担民事责任能力的其它组织（提供营业执照或事业单位法人证书等证明资料扫描件，原件备查）。</w:t>
            </w:r>
            <w:r>
              <w:rPr>
                <w:rFonts w:ascii="FangSong" w:eastAsia="FangSong" w:hAnsi="FangSong" w:cs="FangSong"/>
                <w:color w:val="666666"/>
                <w:lang w:val="en" w:eastAsia="en"/>
              </w:rPr>
              <w:br/>
            </w:r>
            <w:r>
              <w:rPr>
                <w:rFonts w:ascii="FangSong" w:eastAsia="FangSong" w:hAnsi="FangSong" w:cs="FangSong"/>
                <w:color w:val="666666"/>
                <w:lang w:val="en" w:eastAsia="en"/>
              </w:rPr>
              <w:t>本项目不接受联合体投标，不接受投标人选用进口产品参与投标。：</w:t>
            </w:r>
            <w:r>
              <w:rPr>
                <w:rFonts w:ascii="FangSong" w:eastAsia="FangSong" w:hAnsi="FangSong" w:cs="FangSong"/>
                <w:color w:val="666666"/>
                <w:lang w:val="en" w:eastAsia="en"/>
              </w:rPr>
              <w:br/>
            </w:r>
            <w:r>
              <w:rPr>
                <w:rFonts w:ascii="FangSong" w:eastAsia="FangSong" w:hAnsi="FangSong" w:cs="FangSong"/>
                <w:color w:val="666666"/>
                <w:lang w:val="en" w:eastAsia="en"/>
              </w:rPr>
              <w:t>本项目不接受联合体投标，不接受投标人选用进口产品参与投标。</w:t>
            </w:r>
            <w:r>
              <w:rPr>
                <w:rFonts w:ascii="FangSong" w:eastAsia="FangSong" w:hAnsi="FangSong" w:cs="FangSong"/>
                <w:color w:val="666666"/>
                <w:lang w:val="en" w:eastAsia="en"/>
              </w:rPr>
              <w:br/>
            </w:r>
            <w:r>
              <w:rPr>
                <w:rFonts w:ascii="FangSong" w:eastAsia="FangSong" w:hAnsi="FangSong" w:cs="FangSong"/>
                <w:color w:val="666666"/>
                <w:lang w:val="en" w:eastAsia="en"/>
              </w:rPr>
              <w:t>参与本项目政府采购活动时不存在被有关部门禁止参与政府采购活动且在有效期内的情况（由供应商在《政府采购投标及履约承诺函》中作出声明）。：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参与本项目政府采购活动时不存在被有关部门禁止参与政府采购活动且在有效期内的情况（由供应商在《政府采购投标及履约承诺函》中作出声明）。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具备《中华人民共和国政府采购法》第二十二条第一款的条件（由供应商在《政府采购投标及履约承诺函》中作出声明）。：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具备《中华人民共和国政府采购法》第二十二条第一款的条件（由供应商在《政府采购投标及履约承诺函》中作出声明）。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未被列入失信被执行人、重大税收违法案件当事人名单、政府采购严重违法失信行为记录名单（由供应商在《政府采购投标及履约承诺函》中作出声明）。：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未被列入失信被执行人、重大税收违法案件当事人名单、政府采购严重违法失信行为记录名单（由供应商在《政府采购投标及履约承诺函》中作出声明）。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ascii="FangSong" w:eastAsia="FangSong" w:hAnsi="FangSong" w:cs="FangSong"/>
                <w:color w:val="666666"/>
                <w:lang w:val="en" w:eastAsia="en"/>
              </w:rPr>
              <w:br/>
            </w:r>
            <w:r>
              <w:rPr>
                <w:rFonts w:ascii="FangSong" w:eastAsia="FangSong" w:hAnsi="FangSong" w:cs="FangSong"/>
                <w:color w:val="666666"/>
                <w:lang w:val="en" w:eastAsia="en"/>
              </w:rPr>
              <w:t>本项目是（否）专门面向中小企业采购：否。：</w:t>
            </w:r>
            <w:r>
              <w:rPr>
                <w:rFonts w:ascii="FangSong" w:eastAsia="FangSong" w:hAnsi="FangSong" w:cs="FangSong"/>
                <w:color w:val="666666"/>
                <w:lang w:val="en" w:eastAsia="en"/>
              </w:rPr>
              <w:br/>
            </w:r>
            <w:r>
              <w:rPr>
                <w:rFonts w:ascii="FangSong" w:eastAsia="FangSong" w:hAnsi="FangSong" w:cs="FangSong"/>
                <w:color w:val="666666"/>
                <w:lang w:val="en" w:eastAsia="en"/>
              </w:rPr>
              <w:t>本项目是（否）专门面向中小企业采购：否。</w:t>
            </w:r>
          </w:p>
        </w:tc>
      </w:tr>
    </w:tbl>
    <w:p>
      <w:pPr>
        <w:pBdr>
          <w:top w:val="none" w:sz="0" w:space="0" w:color="auto"/>
          <w:left w:val="none" w:sz="0" w:space="0" w:color="auto"/>
          <w:bottom w:val="none" w:sz="0" w:space="0" w:color="auto"/>
          <w:right w:val="none" w:sz="0" w:space="0" w:color="auto"/>
        </w:pBdr>
        <w:spacing w:line="240" w:lineRule="atLeast"/>
        <w:ind w:left="15" w:right="15"/>
        <w:rPr>
          <w:rFonts w:ascii="FangSong" w:eastAsia="FangSong" w:hAnsi="FangSong" w:cs="FangSong"/>
          <w:b/>
          <w:bCs/>
          <w:color w:val="000000"/>
          <w:lang w:val="en" w:eastAsia="en"/>
        </w:rPr>
      </w:pPr>
      <w:r>
        <w:rPr>
          <w:rFonts w:ascii="FangSong" w:eastAsia="FangSong" w:hAnsi="FangSong" w:cs="FangSong"/>
          <w:b/>
          <w:bCs/>
          <w:color w:val="000000"/>
          <w:lang w:val="en" w:eastAsia="en"/>
        </w:rPr>
        <w:t>4.2 初步评审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按分项自动汇总并发起否决投标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1612"/>
        <w:gridCol w:w="3762"/>
        <w:gridCol w:w="3762"/>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75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不得将一个包的内容拆开投标；</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不得将一个包的内容拆开投标；</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对同一项目投标时，不得提供两套以上的投标方案（招标文件另有规定的除外）；</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对同一项目投标时，不得提供两套以上的投标方案（招标文件另有规定的除外）；</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分项报价或投标总价不得高于相应预算金额（或设定的预算金额下的最高限价）；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分项报价或投标总价不得高于相应预算金额（或设定的预算金额下的最高限价）；</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所投货物、服务在技术、商务等方面没有实质性满足招标文件要求（或未响应招标文件中带★号条款或响应有负偏离）的（是否实质性满足招标文件要求，由评审委员会根据实质性条款响应情况做出评判）；</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所投货物、服务在技术、商务等方面没有实质性满足招标文件要求（或未响应招标文件中带★号条款或响应有负偏离）的（是否实质性满足招标文件要求，由评审委员会根据实质性条款响应情况做出评判）；</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未按招标文件所提供的样式填写《投标函》；未按招标文件所提供的《政府采购投标及履约承诺函》进行承诺；未按招标文件对投标文件组成的要求提供投标文件；</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未按招标文件所提供的样式填写《投标函》；未按招标文件所提供的《政府采购投标及履约承诺函》进行承诺；未按招标文件对投标文件组成的要求提供投标文件；</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投标报价有缺漏项目，或者对招标文件规定的项目需求内容或者需求数量进行修改，评审委员会判定投标响应不满足采购需求；</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投标报价有缺漏项目，或者对招标文件规定的项目需求内容或者需求数量进行修改，评审委员会判定投标响应不满足采购需求；</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投标文件存在列放位置错误，导致属于信息公开情形的没有被公开；</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投标文件存在列放位置错误，导致属于信息公开情形的没有被公开；</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投标文件电子文档带病毒；</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投标文件电子文档带病毒；</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投标文件用不属于本公司的电子密钥或电子营业执照进行加密的；</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投标文件用不属于本公司的电子密钥或电子营业执照进行加密的；</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如投标供应商存在不同供应商的董事、股东或其他高级管理人员为同一人的”情形的，应承诺不存在串通投标、恶意串通或者视为串通投标的情形（在《政府采购投标及履约承诺函》中作出声明）；经核实，不同投标供应商的投标文件由同一电子设备编制、加密或者上传的；</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如投标供应商存在不同供应商的董事、股东或其他高级管理人员为同一人的”情形的，应承诺不存在串通投标、恶意串通或者视为串通投标的情形（在《政府采购投标及履约承诺函》中作出声明）；经核实，不同投标供应商的投标文件由同一电子设备编制、加密或者上传的；</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法律、法规、规章、规范性文件规定的其他情形。</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法律、法规、规章、规范性文件规定的其他情形。</w:t>
            </w:r>
          </w:p>
        </w:tc>
      </w:tr>
    </w:tbl>
    <w:p>
      <w:pPr>
        <w:pBdr>
          <w:top w:val="none" w:sz="0" w:space="0" w:color="auto"/>
          <w:left w:val="none" w:sz="0" w:space="0" w:color="auto"/>
          <w:bottom w:val="none" w:sz="0" w:space="0" w:color="auto"/>
          <w:right w:val="none" w:sz="0" w:space="0" w:color="auto"/>
        </w:pBdr>
        <w:spacing w:line="240" w:lineRule="atLeast"/>
        <w:ind w:left="15" w:right="15"/>
        <w:rPr>
          <w:rFonts w:ascii="FangSong" w:eastAsia="FangSong" w:hAnsi="FangSong" w:cs="FangSong"/>
          <w:b/>
          <w:bCs/>
          <w:color w:val="000000"/>
          <w:lang w:val="en" w:eastAsia="en"/>
        </w:rPr>
      </w:pPr>
      <w:r>
        <w:rPr>
          <w:rFonts w:ascii="FangSong" w:eastAsia="FangSong" w:hAnsi="FangSong" w:cs="FangSong"/>
          <w:b/>
          <w:bCs/>
          <w:color w:val="000000"/>
          <w:lang w:val="en" w:eastAsia="en"/>
        </w:rPr>
        <w:t>4.3 详细评审</w:t>
      </w:r>
      <w:r>
        <w:rPr>
          <w:rFonts w:ascii="FangSong" w:eastAsia="FangSong" w:hAnsi="FangSong" w:cs="FangSong"/>
          <w:b/>
          <w:bCs/>
          <w:color w:val="000000"/>
          <w:lang w:val="en" w:eastAsia="en"/>
        </w:rPr>
        <w:br/>
      </w:r>
      <w:r>
        <w:rPr>
          <w:rFonts w:ascii="FangSong" w:eastAsia="FangSong" w:hAnsi="FangSong" w:cs="FangSong"/>
          <w:color w:val="333333"/>
          <w:lang w:val="en" w:eastAsia="en"/>
        </w:rPr>
        <w:t>汇总规则：</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按评委打分直接平均</w:t>
      </w:r>
      <w:r>
        <w:rPr>
          <w:rFonts w:ascii="Microsoft YaHei" w:eastAsia="Microsoft YaHei" w:hAnsi="Microsoft YaHei" w:cs="Microsoft YaHei"/>
          <w:color w:val="333333"/>
          <w:lang w:val="en" w:eastAsia="en"/>
        </w:rPr>
        <w:t xml:space="preserve"> </w:t>
      </w:r>
    </w:p>
    <w:tbl>
      <w:tblPr>
        <w:tblStyle w:val="typotable0"/>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
      <w:tblGrid>
        <w:gridCol w:w="913"/>
        <w:gridCol w:w="3289"/>
        <w:gridCol w:w="3289"/>
        <w:gridCol w:w="914"/>
        <w:gridCol w:w="731"/>
      </w:tblGrid>
      <w:tr>
        <w:tblPrEx>
          <w:tblW w:w="5000" w:type="pct"/>
          <w:tblInd w:w="15" w:type="dxa"/>
          <w:tblBorders>
            <w:top w:val="outset" w:sz="6" w:space="0" w:color="808080"/>
            <w:left w:val="outset" w:sz="6" w:space="0" w:color="808080"/>
            <w:bottom w:val="outset" w:sz="6" w:space="0" w:color="808080"/>
            <w:right w:val="outset" w:sz="6" w:space="0" w:color="808080"/>
          </w:tblBorders>
          <w:tblLayout w:type="fixed"/>
          <w:tblCellMar>
            <w:top w:w="0" w:type="dxa"/>
            <w:left w:w="0" w:type="dxa"/>
            <w:bottom w:w="0" w:type="dxa"/>
            <w:right w:w="0" w:type="dxa"/>
          </w:tblCellMar>
          <w:tblLook w:val="05E0"/>
        </w:tblPrEx>
        <w:trPr>
          <w:cantSplit/>
          <w:tblHeader/>
        </w:trPr>
        <w:tc>
          <w:tcPr>
            <w:tcW w:w="4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序号</w:t>
            </w:r>
          </w:p>
        </w:tc>
        <w:tc>
          <w:tcPr>
            <w:tcW w:w="18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评审要素</w:t>
            </w:r>
          </w:p>
        </w:tc>
        <w:tc>
          <w:tcPr>
            <w:tcW w:w="18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评审标准</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分值</w:t>
            </w:r>
          </w:p>
        </w:tc>
        <w:tc>
          <w:tcPr>
            <w:tcW w:w="500" w:type="pct"/>
            <w:tcBorders>
              <w:top w:val="single" w:sz="6" w:space="0" w:color="DDDDDD"/>
              <w:left w:val="single" w:sz="6" w:space="0" w:color="DDDDDD"/>
              <w:bottom w:val="single" w:sz="6" w:space="0" w:color="DDDDDD"/>
              <w:right w:val="single" w:sz="6" w:space="0" w:color="DDDDDD"/>
            </w:tcBorders>
            <w:shd w:val="clear" w:color="auto" w:fill="F1F1F1"/>
            <w:noWrap/>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432" w:lineRule="atLeast"/>
              <w:jc w:val="center"/>
              <w:rPr>
                <w:rFonts w:ascii="Microsoft YaHei" w:eastAsia="Microsoft YaHei" w:hAnsi="Microsoft YaHei" w:cs="Microsoft YaHei"/>
                <w:color w:val="666666"/>
                <w:lang w:val="en" w:eastAsia="en"/>
              </w:rPr>
            </w:pPr>
            <w:r>
              <w:rPr>
                <w:rFonts w:ascii="FangSong" w:eastAsia="FangSong" w:hAnsi="FangSong" w:cs="FangSong"/>
                <w:color w:val="666666"/>
                <w:lang w:val="en" w:eastAsia="en"/>
              </w:rPr>
              <w:t>权重</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技术部分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▲”号技术参数响应程度评价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考察投标人对招标文件《第一册 专用条款 第三章 用户需求书：五、技术要求部分》内容中的▲”参数响应情况。 （二）评审依据： 以投标文件《技术要求偏离表》为评审依据，完全符合招标要求的，得100分。有1项▲”参数不符合招标要求（或缺漏）的扣8.4分，最低得0分。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35</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非▲”号技术参数响应程度评价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考察投标人对招标文件《第一册 专用条款 第三章 用户需求书：五、技术要求部分》内容中的非▲”参数响应情况。 （二）评审依据： 以投标文件《技术要求偏离表》为评审依据，完全符合招标要求的，得100分。有1项非▲”参数不符合招标要求（或缺漏）的扣0.35分，最低得0分。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13</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4</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项目组织实施方案的评价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投标人提供本项目的组织实施方案，方案中应包含： 1.项目进度计划安排； 2.施工组织计划； 3.验收组织计划； 4.产品培训方案。 （二）评审标准： 方案中含有上述一个内容得15分，最高得60分。在此基础上，对方案的合理性、可行性进行打分： 1.方案清晰周密、合理可行、表述完整、方法得当、技术先进、符合相关规范要求得40分； 2.方案基本可行表述基本完整得20分； 3.未提供或方案计划不切合本项目的实际情况、合理完善性差、可行性差的对应项不得分； 4.产品培训方案。</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设计评价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投标人根据化学实验室平面图纸和货物清单明细中要求的货物对空间进行设计和布局，具体要求如下： 1.需体现主体框架（长）、主体框架（短）、教师演示台、化学学生实验台、功能柱、实验圆凳、水柜、万向吸风罩、LED教室灯、扣板、窗帘、化学元素标语； 以上货物所在的空间进行设计布局，提供平面布局图（1 张）、俯视图（1 张）及效果图 （4张、不同角度展示）的得15分；其他不得分。 （二）评审标准： 在此基础上，专家根据具体响应内容进一步评审 1.内容完整，设计合理、实用性强，图片清晰、整体布置效果完全符合场地实际需求的评价为优，得85分； 2.内容完整，设计较为合理、实用性一般，图片清晰、 整体效果基本符合场地实际需求的评价为良，得35分； 3.内容基本完整，设计合理性较差、实用性较差，图片 清晰、整体效果不符合场地实际需求的评价为中，得25分； 4.未按要求提供或提供图片模糊不清晰导致专家无法判断的不得分。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6</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售后服务评价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投标人提供本项目的售后服务方案，方案中应包含： 1.服务内容； 2.维修应急方案； 3.培训计划； 4.其他特色服务等。 （二）评审标准： 方案中含有上述一个内容得15分，最高得60分。在此基础上，对方案的合理性、可行性进行打分：1.售后服务方案非常详细，保障措施完善可行，得40分； 2.售后服务方案比较具体，保障措施比较完善可行，能够满足招标文件要求的得20分； 3.未提供售后服务方案和措施或方案不详细、可行性较差，无法满足招标文件要求的得0分。</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3</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7</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商务部分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8</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经验评价</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2023年1月1日（以合同签订日期为准）以后，投标人具理化生实验室项目类采购经验的，且履约评价为优或满意（或同等评价），每提供一个得 50 分，最高得100分。 （二）评审标准： 同时提供以下：（1）合同关键页扫描件；（2）设备配置清单扫描件；（3）验收报告[加盖合同甲方公章（或甲方业务章）]；（4）履约评价证明[加盖合同甲方公章（或甲方业务章）]。未按要求提供证明材料（或证明材料无法判断是否符合评分要求）的不得分，原件备查。</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9</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政府采购节能环保产品</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根据《关于印发节能产品政府采购品目清单的通知》（财库〔2019〕19号）以及《关于印发环境标志产品政府采购品目清单的通知》（财库〔2019〕18号）的要求，投标人所投任一产品（以招标文件第三章 用户需求书 二、货物需求明细中货物名称”为准）被列入节能产品政府采购品目清单（已标注★”号属政府强制采购产品需具有节能产品认证证书的除外）或环境标志产品政府采购品目清单，且具有有效期内的节能产品或环境标志产品认证证书的，每提供1项得100分，最高得100分。 （二）评审标准： 1.提供《市场监管总局关于发布参与实施政府采购节能产品、环境标志产品认证机构名录的公告》（2019年第16号）确定的认证机构出具的且处于有效期内的节能产品或环境标志产品认证证书扫描件； 2.未按要求提供证明材料（或证明材料无法判断是否符合评分要求）的不得分，原件备查。</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绿色采购情况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（一）评审内容： 本项目采购内容中需要对相关产品进行商品包装和快递包装，投标人承诺以下内容的得100分： 所进行的商品包装和快递包装满足财政部《商品包装政府采购需求标准（试行）》《快递包装政府采购需求标准（试行）》（财办库〔2020〕123号）的要求，采用环保材料进行包装。 （二）评审标准： 提供相关承诺函（格式自定），未按要求提供证明材料（或证明材料无法判断是否符合评分要求）的不得分，原件备查。</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2</w:t>
            </w: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11</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其他部分</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p>
        </w:tc>
      </w:tr>
      <w:tr>
        <w:tblPrEx>
          <w:tblW w:w="5000" w:type="pct"/>
          <w:tblInd w:w="15" w:type="dxa"/>
          <w:tblLayout w:type="fixed"/>
          <w:tblCellMar>
            <w:top w:w="0" w:type="dxa"/>
            <w:left w:w="0" w:type="dxa"/>
            <w:bottom w:w="0" w:type="dxa"/>
            <w:right w:w="0" w:type="dxa"/>
          </w:tblCellMar>
          <w:tblLook w:val="05E0"/>
        </w:tblPrEx>
        <w:trPr>
          <w:cantSplit/>
        </w:trPr>
        <w:tc>
          <w:tcPr>
            <w:tcW w:w="500" w:type="pct"/>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12</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诚信情况</w:t>
            </w:r>
          </w:p>
        </w:tc>
        <w:tc>
          <w:tcPr>
            <w:tcW w:w="360" w:type="dxa"/>
            <w:tcBorders>
              <w:top w:val="single" w:sz="6" w:space="0" w:color="DDDDDD"/>
              <w:left w:val="single" w:sz="6" w:space="0" w:color="DDDDDD"/>
              <w:bottom w:val="single" w:sz="6" w:space="0" w:color="DDDDDD"/>
              <w:right w:val="single" w:sz="6" w:space="0" w:color="DDDDDD"/>
            </w:tcBorders>
            <w:tcMar>
              <w:top w:w="120" w:type="dxa"/>
              <w:left w:w="248" w:type="dxa"/>
              <w:bottom w:w="120" w:type="dxa"/>
              <w:right w:w="248" w:type="dxa"/>
            </w:tcMar>
            <w:vAlign w:val="center"/>
            <w:hideMark/>
          </w:tcPr>
          <w:p>
            <w:pPr>
              <w:pBdr>
                <w:top w:val="none" w:sz="0" w:space="0" w:color="auto"/>
                <w:left w:val="none" w:sz="0" w:space="0" w:color="auto"/>
                <w:bottom w:val="none" w:sz="0" w:space="0" w:color="auto"/>
                <w:right w:val="none" w:sz="0" w:space="0" w:color="auto"/>
              </w:pBdr>
              <w:spacing w:line="240" w:lineRule="atLeast"/>
              <w:rPr>
                <w:rFonts w:ascii="FangSong" w:eastAsia="FangSong" w:hAnsi="FangSong" w:cs="FangSong"/>
                <w:color w:val="666666"/>
                <w:lang w:val="en" w:eastAsia="en"/>
              </w:rPr>
            </w:pPr>
            <w:r>
              <w:rPr>
                <w:rFonts w:ascii="FangSong" w:eastAsia="FangSong" w:hAnsi="FangSong" w:cs="FangSong"/>
                <w:color w:val="666666"/>
                <w:lang w:val="en" w:eastAsia="en"/>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100</w:t>
            </w:r>
          </w:p>
        </w:tc>
        <w:tc>
          <w:tcPr>
            <w:tcW w:w="3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spacing w:line="240" w:lineRule="atLeast"/>
              <w:jc w:val="center"/>
              <w:rPr>
                <w:rFonts w:ascii="FangSong" w:eastAsia="FangSong" w:hAnsi="FangSong" w:cs="FangSong"/>
                <w:color w:val="666666"/>
                <w:lang w:val="en" w:eastAsia="en"/>
              </w:rPr>
            </w:pPr>
            <w:r>
              <w:rPr>
                <w:rFonts w:ascii="FangSong" w:eastAsia="FangSong" w:hAnsi="FangSong" w:cs="FangSong"/>
                <w:color w:val="666666"/>
                <w:lang w:val="en" w:eastAsia="en"/>
              </w:rPr>
              <w:t>5</w:t>
            </w:r>
          </w:p>
        </w:tc>
      </w:tr>
    </w:tbl>
    <w:p>
      <w:pPr>
        <w:keepLines/>
        <w:pBdr>
          <w:top w:val="none" w:sz="0" w:space="0" w:color="auto"/>
          <w:left w:val="none" w:sz="0" w:space="0" w:color="auto"/>
          <w:bottom w:val="none" w:sz="0" w:space="0" w:color="auto"/>
          <w:right w:val="none" w:sz="0" w:space="0" w:color="auto"/>
        </w:pBdr>
        <w:spacing w:before="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b/>
          <w:bCs/>
          <w:color w:val="000000"/>
          <w:lang w:val="en" w:eastAsia="en"/>
        </w:rPr>
        <w:t>4.5 价格评审</w:t>
      </w:r>
      <w:r>
        <w:rPr>
          <w:rFonts w:ascii="Microsoft YaHei" w:eastAsia="Microsoft YaHei" w:hAnsi="Microsoft YaHei" w:cs="Microsoft YaHei"/>
          <w:color w:val="333333"/>
          <w:lang w:val="en" w:eastAsia="en"/>
        </w:rPr>
        <w:t xml:space="preserve"> </w:t>
      </w:r>
    </w:p>
    <w:p>
      <w:pPr>
        <w:keepLines/>
        <w:pBdr>
          <w:top w:val="none" w:sz="0" w:space="0" w:color="auto"/>
          <w:left w:val="none" w:sz="0" w:space="0" w:color="auto"/>
          <w:bottom w:val="none" w:sz="0" w:space="0" w:color="auto"/>
          <w:right w:val="none" w:sz="0" w:space="0" w:color="auto"/>
        </w:pBdr>
        <w:spacing w:before="0" w:after="0" w:line="432" w:lineRule="atLeast"/>
        <w:ind w:left="15" w:right="15"/>
        <w:rPr>
          <w:rFonts w:ascii="Microsoft YaHei" w:eastAsia="Microsoft YaHei" w:hAnsi="Microsoft YaHei" w:cs="Microsoft YaHei"/>
          <w:color w:val="333333"/>
          <w:lang w:val="en" w:eastAsia="en"/>
        </w:rPr>
      </w:pPr>
      <w:r>
        <w:rPr>
          <w:rFonts w:ascii="FangSong" w:eastAsia="FangSong" w:hAnsi="FangSong" w:cs="FangSong"/>
          <w:color w:val="333333"/>
          <w:lang w:val="en" w:eastAsia="en"/>
        </w:rPr>
        <w:t>4.5.1 投标总价</w:t>
      </w:r>
      <w:r>
        <w:rPr>
          <w:rFonts w:ascii="FangSong" w:eastAsia="FangSong" w:hAnsi="FangSong" w:cs="FangSong"/>
          <w:color w:val="333333"/>
          <w:lang w:val="en" w:eastAsia="en"/>
        </w:rPr>
        <w:br/>
      </w:r>
      <w:r>
        <w:rPr>
          <w:rFonts w:ascii="FangSong" w:eastAsia="FangSong" w:hAnsi="FangSong" w:cs="FangSong"/>
          <w:color w:val="333333"/>
          <w:lang w:val="en" w:eastAsia="en"/>
        </w:rPr>
        <w:t>价格得分满分：</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30</w:t>
      </w:r>
      <w:r>
        <w:rPr>
          <w:rFonts w:ascii="FangSong" w:eastAsia="FangSong" w:hAnsi="FangSong" w:cs="FangSong"/>
          <w:color w:val="333333"/>
          <w:lang w:val="en" w:eastAsia="en"/>
        </w:rPr>
        <w:br/>
      </w:r>
      <w:r>
        <w:rPr>
          <w:rFonts w:ascii="FangSong" w:eastAsia="FangSong" w:hAnsi="FangSong" w:cs="FangSong"/>
          <w:color w:val="333333"/>
          <w:lang w:val="en" w:eastAsia="en"/>
        </w:rPr>
        <w:t>报价打分方式：</w:t>
      </w:r>
      <w:r>
        <w:rPr>
          <w:rFonts w:ascii="Microsoft YaHei" w:eastAsia="Microsoft YaHei" w:hAnsi="Microsoft YaHei" w:cs="Microsoft YaHei"/>
          <w:color w:val="333333"/>
          <w:lang w:val="en" w:eastAsia="en"/>
        </w:rPr>
        <w:t xml:space="preserve"> </w:t>
      </w:r>
      <w:r>
        <w:rPr>
          <w:rFonts w:ascii="FangSong" w:eastAsia="FangSong" w:hAnsi="FangSong" w:cs="FangSong"/>
          <w:color w:val="333333"/>
          <w:lang w:val="en" w:eastAsia="en"/>
        </w:rPr>
        <w:t>自动算分（内插法）</w:t>
      </w:r>
      <w:r>
        <w:rPr>
          <w:rFonts w:ascii="FangSong" w:eastAsia="FangSong" w:hAnsi="FangSong" w:cs="FangSong"/>
          <w:color w:val="333333"/>
          <w:lang w:val="en" w:eastAsia="en"/>
        </w:rPr>
        <w:br/>
      </w:r>
      <w:r>
        <w:rPr>
          <w:rFonts w:ascii="FangSong" w:eastAsia="FangSong" w:hAnsi="FangSong" w:cs="FangSong"/>
          <w:color w:val="333333"/>
          <w:lang w:val="en" w:eastAsia="en"/>
        </w:rPr>
        <w:t>参与基准价计算范围的计算公式：全部投标报价</w:t>
      </w:r>
      <w:r>
        <w:rPr>
          <w:rFonts w:ascii="FangSong" w:eastAsia="FangSong" w:hAnsi="FangSong" w:cs="FangSong"/>
          <w:color w:val="333333"/>
          <w:lang w:val="en" w:eastAsia="en"/>
        </w:rPr>
        <w:br/>
      </w:r>
      <w:r>
        <w:rPr>
          <w:rFonts w:ascii="FangSong" w:eastAsia="FangSong" w:hAnsi="FangSong" w:cs="FangSong"/>
          <w:color w:val="333333"/>
          <w:lang w:val="en" w:eastAsia="en"/>
        </w:rPr>
        <w:t>评标价计算公式：评标价=投标函中的投标报价*价格扣除（上浮）比例：中小微企业（或监狱企业或残疾人福利性单位）价格扣除比例：10%；中小微联合体（协议合同金额占到联合体协议合同总金额30%以上）价格扣除比例：0%；失信供应商价格上浮比例：0%。</w:t>
      </w:r>
      <w:r>
        <w:rPr>
          <w:rFonts w:ascii="FangSong" w:eastAsia="FangSong" w:hAnsi="FangSong" w:cs="FangSong"/>
          <w:color w:val="333333"/>
          <w:lang w:val="en" w:eastAsia="en"/>
        </w:rPr>
        <w:br/>
      </w:r>
      <w:r>
        <w:rPr>
          <w:rFonts w:ascii="FangSong" w:eastAsia="FangSong" w:hAnsi="FangSong" w:cs="FangSong"/>
          <w:color w:val="333333"/>
          <w:lang w:val="en" w:eastAsia="en"/>
        </w:rPr>
        <w:t>基准价计算公式：基准价=最低评标价</w:t>
      </w:r>
      <w:r>
        <w:rPr>
          <w:rFonts w:ascii="FangSong" w:eastAsia="FangSong" w:hAnsi="FangSong" w:cs="FangSong"/>
          <w:color w:val="333333"/>
          <w:lang w:val="en" w:eastAsia="en"/>
        </w:rPr>
        <w:br/>
      </w:r>
      <w:r>
        <w:rPr>
          <w:rFonts w:ascii="FangSong" w:eastAsia="FangSong" w:hAnsi="FangSong" w:cs="FangSong"/>
          <w:color w:val="333333"/>
          <w:lang w:val="en" w:eastAsia="en"/>
        </w:rPr>
        <w:t>报价打分计算公式：得分=（基准价/评标价）*总分</w:t>
      </w:r>
    </w:p>
    <w:sectPr>
      <w:pgMar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60"/>
      <w:docPartObj>
        <w:docPartGallery w:val="autotext"/>
      </w:docPartObj>
    </w:sdtPr>
    <w:sdtContent>
      <w:p>
        <w:pPr>
          <w:pStyle w:val="Footer"/>
          <w:jc w:val="center"/>
        </w:pPr>
        <w:r>
          <w:fldChar w:fldCharType="begin"/>
        </w:r>
        <w:r>
          <w:instrText xml:space="preserve"> PAGE   \* MERGEFORMAT </w:instrText>
        </w:r>
        <w:r>
          <w:fldChar w:fldCharType="separate"/>
        </w:r>
        <w:r>
          <w:rPr>
            <w:lang w:val="zh-CN"/>
          </w:rPr>
          <w:t>78</w:t>
        </w:r>
        <w:r>
          <w:rPr>
            <w:lang w:val="zh-CN"/>
          </w:rPr>
          <w:fldChar w:fldCharType="end"/>
        </w:r>
      </w:p>
    </w:sdtContent>
  </w:sdt>
  <w:p>
    <w:pPr>
      <w:pStyle w:val="Footer"/>
      <w:spacing w:after="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A61C35"/>
    <w:multiLevelType w:val="singleLevel"/>
    <w:tmpl w:val="E9A61C35"/>
    <w:lvl w:ilvl="0">
      <w:start w:val="40"/>
      <w:numFmt w:val="decimal"/>
      <w:suff w:val="nothing"/>
      <w:lvlText w:val="%1、"/>
      <w:lvlJc w:val="left"/>
    </w:lvl>
  </w:abstractNum>
  <w:abstractNum w:abstractNumId="1">
    <w:nsid w:val="ED3AA0E6"/>
    <w:multiLevelType w:val="singleLevel"/>
    <w:tmpl w:val="ED3AA0E6"/>
    <w:lvl w:ilvl="0">
      <w:start w:val="20"/>
      <w:numFmt w:val="decimal"/>
      <w:suff w:val="nothing"/>
      <w:lvlText w:val="%1、"/>
      <w:lvlJc w:val="left"/>
    </w:lvl>
  </w:abstractNum>
  <w:abstractNum w:abstractNumId="2">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CB11FD7"/>
    <w:multiLevelType w:val="multilevel"/>
    <w:tmpl w:val="0CB11FD7"/>
    <w:lvl w:ilvl="0">
      <w:start w:val="1"/>
      <w:numFmt w:val="decimal"/>
      <w:lvlText w:val="%1)"/>
      <w:lvlJc w:val="left"/>
      <w:pPr>
        <w:tabs>
          <w:tab w:val="left" w:pos="1470"/>
        </w:tabs>
        <w:ind w:left="1470" w:hanging="420"/>
      </w:pPr>
      <w:rPr>
        <w:rFonts w:hint="eastAsia"/>
        <w:b w:val="0"/>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D034486"/>
    <w:multiLevelType w:val="singleLevel"/>
    <w:tmpl w:val="4D034486"/>
    <w:lvl w:ilvl="0">
      <w:start w:val="3"/>
      <w:numFmt w:val="chineseCounting"/>
      <w:suff w:val="space"/>
      <w:lvlText w:val="第%1条"/>
      <w:lvlJc w:val="left"/>
      <w:rPr>
        <w:rFonts w:hint="eastAsia"/>
      </w:rPr>
    </w:lvl>
  </w:abstractNum>
  <w:abstractNum w:abstractNumId="5">
    <w:nsid w:val="5EC27779"/>
    <w:multiLevelType w:val="multilevel"/>
    <w:tmpl w:val="5EC27779"/>
    <w:lvl w:ilvl="0">
      <w:start w:val="1"/>
      <w:numFmt w:val="decimal"/>
      <w:lvlText w:val="%1)"/>
      <w:lvlJc w:val="left"/>
      <w:pPr>
        <w:tabs>
          <w:tab w:val="left" w:pos="1470"/>
        </w:tabs>
        <w:ind w:left="1470" w:hanging="420"/>
      </w:pPr>
      <w:rPr>
        <w:rFonts w:asciiTheme="majorEastAsia" w:eastAsiaTheme="majorEastAsia" w:hAnsiTheme="majorEastAsia" w:hint="eastAsia"/>
        <w:sz w:val="28"/>
        <w:szCs w:val="28"/>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1Char"/>
    <w:autoRedefine/>
    <w:qFormat/>
    <w:pPr>
      <w:keepNext/>
      <w:keepLines/>
      <w:widowControl w:val="0"/>
      <w:spacing w:before="340" w:afterLines="25" w:line="578" w:lineRule="auto"/>
      <w:jc w:val="both"/>
      <w:outlineLvl w:val="0"/>
    </w:pPr>
    <w:rPr>
      <w:rFonts w:ascii="Arial" w:eastAsia="宋体" w:hAnsi="Arial"/>
      <w:b/>
      <w:bCs/>
      <w:kern w:val="44"/>
      <w:sz w:val="44"/>
      <w:szCs w:val="44"/>
      <w:lang w:eastAsia="zh-CN"/>
    </w:rPr>
  </w:style>
  <w:style w:type="paragraph" w:styleId="Heading2">
    <w:name w:val="heading 2"/>
    <w:basedOn w:val="Heading3"/>
    <w:next w:val="Heading4"/>
    <w:link w:val="2Char"/>
    <w:autoRedefine/>
    <w:uiPriority w:val="9"/>
    <w:semiHidden/>
    <w:unhideWhenUsed/>
    <w:qFormat/>
    <w:pPr>
      <w:spacing w:line="416" w:lineRule="auto"/>
      <w:outlineLvl w:val="1"/>
    </w:pPr>
    <w:rPr>
      <w:rFonts w:asciiTheme="majorHAnsi" w:eastAsiaTheme="majorEastAsia" w:hAnsiTheme="majorHAnsi" w:cstheme="majorBidi"/>
      <w:sz w:val="32"/>
    </w:rPr>
  </w:style>
  <w:style w:type="paragraph" w:styleId="Heading3">
    <w:name w:val="heading 3"/>
    <w:basedOn w:val="Heading4"/>
    <w:next w:val="Normal"/>
    <w:autoRedefine/>
    <w:uiPriority w:val="9"/>
    <w:qFormat/>
    <w:pPr>
      <w:spacing w:before="260" w:after="260" w:line="240" w:lineRule="auto"/>
      <w:outlineLvl w:val="2"/>
    </w:pPr>
    <w:rPr>
      <w:rFonts w:ascii="宋体" w:eastAsia="宋体" w:hAnsi="宋体"/>
      <w:szCs w:val="32"/>
    </w:rPr>
  </w:style>
  <w:style w:type="paragraph" w:styleId="Heading4">
    <w:name w:val="heading 4"/>
    <w:basedOn w:val="Normal"/>
    <w:next w:val="Normal"/>
    <w:autoRedefine/>
    <w:uiPriority w:val="9"/>
    <w:qFormat/>
    <w:pPr>
      <w:keepNext/>
      <w:keepLines/>
      <w:widowControl w:val="0"/>
      <w:spacing w:before="280" w:after="290" w:line="376" w:lineRule="auto"/>
      <w:jc w:val="both"/>
      <w:outlineLvl w:val="3"/>
    </w:pPr>
    <w:rPr>
      <w:rFonts w:ascii="Arial" w:eastAsia="黑体" w:hAnsi="Arial" w:cstheme="minorBidi"/>
      <w:b/>
      <w:bCs/>
      <w:kern w:val="2"/>
      <w:sz w:val="28"/>
      <w:szCs w:val="28"/>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Char"/>
    <w:autoRedefine/>
    <w:uiPriority w:val="99"/>
    <w:semiHidden/>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DefaultParagraphFont"/>
    <w:link w:val="Header"/>
    <w:autoRedefine/>
    <w:uiPriority w:val="99"/>
    <w:semiHidden/>
    <w:qFormat/>
    <w:rPr>
      <w:rFonts w:eastAsia="宋体"/>
      <w:sz w:val="18"/>
      <w:szCs w:val="18"/>
    </w:rPr>
  </w:style>
  <w:style w:type="paragraph" w:styleId="Footer">
    <w:name w:val="footer"/>
    <w:basedOn w:val="Normal"/>
    <w:link w:val="Char0"/>
    <w:autoRedefine/>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DefaultParagraphFont"/>
    <w:link w:val="Footer"/>
    <w:autoRedefine/>
    <w:uiPriority w:val="99"/>
    <w:qFormat/>
    <w:rPr>
      <w:rFonts w:eastAsia="宋体"/>
      <w:sz w:val="18"/>
      <w:szCs w:val="18"/>
    </w:rPr>
  </w:style>
  <w:style w:type="paragraph" w:styleId="BodyText">
    <w:name w:val="Body Text"/>
    <w:basedOn w:val="Normal"/>
    <w:next w:val="BodyText2"/>
    <w:autoRedefine/>
    <w:qFormat/>
    <w:pPr>
      <w:widowControl w:val="0"/>
      <w:spacing w:line="360" w:lineRule="auto"/>
      <w:jc w:val="both"/>
    </w:pPr>
    <w:rPr>
      <w:rFonts w:asciiTheme="minorHAnsi" w:eastAsiaTheme="minorEastAsia" w:hAnsiTheme="minorHAnsi" w:cstheme="minorBidi"/>
      <w:b/>
      <w:bCs/>
      <w:kern w:val="2"/>
      <w:szCs w:val="22"/>
      <w:lang w:eastAsia="zh-CN"/>
    </w:rPr>
  </w:style>
  <w:style w:type="paragraph" w:styleId="BodyText2">
    <w:name w:val="Body Text 2"/>
    <w:basedOn w:val="Normal"/>
    <w:autoRedefine/>
    <w:qFormat/>
    <w:pPr>
      <w:widowControl w:val="0"/>
      <w:spacing w:line="360" w:lineRule="auto"/>
      <w:jc w:val="both"/>
    </w:pPr>
    <w:rPr>
      <w:rFonts w:asciiTheme="minorHAnsi" w:eastAsiaTheme="minorEastAsia" w:hAnsiTheme="minorHAnsi" w:cstheme="minorBidi"/>
      <w:kern w:val="2"/>
      <w:szCs w:val="22"/>
      <w:lang w:eastAsia="zh-CN"/>
    </w:rPr>
  </w:style>
  <w:style w:type="paragraph" w:styleId="NormalWeb">
    <w:name w:val="Normal (Web)"/>
    <w:basedOn w:val="Normal"/>
    <w:link w:val="Char1"/>
    <w:autoRedefine/>
    <w:uiPriority w:val="99"/>
    <w:qFormat/>
    <w:pPr>
      <w:spacing w:before="100" w:beforeAutospacing="1" w:afterAutospacing="1"/>
    </w:pPr>
    <w:rPr>
      <w:rFonts w:ascii="宋体" w:hAnsi="宋体" w:eastAsiaTheme="minorEastAsia" w:cstheme="minorBidi"/>
      <w:kern w:val="2"/>
      <w:lang w:eastAsia="zh-CN"/>
    </w:rPr>
  </w:style>
  <w:style w:type="character" w:customStyle="1" w:styleId="Char1">
    <w:name w:val="普通(网站) Char"/>
    <w:link w:val="NormalWeb"/>
    <w:autoRedefine/>
    <w:uiPriority w:val="99"/>
    <w:qFormat/>
    <w:rPr>
      <w:rFonts w:ascii="宋体" w:eastAsia="宋体" w:hAnsi="宋体"/>
      <w:sz w:val="24"/>
      <w:szCs w:val="24"/>
    </w:rPr>
  </w:style>
  <w:style w:type="character" w:customStyle="1" w:styleId="1Char">
    <w:name w:val="标题 1 Char"/>
    <w:basedOn w:val="DefaultParagraphFont"/>
    <w:link w:val="Heading1"/>
    <w:autoRedefine/>
    <w:qFormat/>
    <w:rPr>
      <w:rFonts w:ascii="Arial" w:eastAsia="宋体" w:hAnsi="Arial"/>
      <w:b/>
      <w:bCs/>
      <w:kern w:val="44"/>
      <w:sz w:val="44"/>
      <w:szCs w:val="44"/>
    </w:rPr>
  </w:style>
  <w:style w:type="character" w:styleId="Hyperlink">
    <w:name w:val="Hyperlink"/>
    <w:basedOn w:val="DefaultParagraphFont"/>
    <w:autoRedefine/>
    <w:uiPriority w:val="99"/>
    <w:unhideWhenUsed/>
    <w:qFormat/>
    <w:rPr>
      <w:color w:val="0000FF" w:themeColor="hyperlink"/>
      <w:u w:val="single"/>
    </w:rPr>
  </w:style>
  <w:style w:type="paragraph" w:styleId="CommentText">
    <w:name w:val="annotation text"/>
    <w:basedOn w:val="Normal"/>
    <w:link w:val="Char2"/>
    <w:autoRedefine/>
    <w:uiPriority w:val="99"/>
    <w:unhideWhenUsed/>
    <w:qFormat/>
    <w:pPr>
      <w:widowControl w:val="0"/>
    </w:pPr>
    <w:rPr>
      <w:rFonts w:asciiTheme="minorHAnsi" w:eastAsiaTheme="minorEastAsia" w:hAnsiTheme="minorHAnsi" w:cstheme="minorBidi"/>
      <w:kern w:val="2"/>
      <w:sz w:val="21"/>
      <w:szCs w:val="22"/>
      <w:lang w:eastAsia="zh-CN"/>
    </w:rPr>
  </w:style>
  <w:style w:type="character" w:customStyle="1" w:styleId="Char2">
    <w:name w:val="批注文字 Char"/>
    <w:basedOn w:val="DefaultParagraphFont"/>
    <w:link w:val="CommentText"/>
    <w:autoRedefine/>
    <w:uiPriority w:val="99"/>
    <w:qFormat/>
    <w:rPr>
      <w:rFonts w:eastAsia="宋体"/>
    </w:rPr>
  </w:style>
  <w:style w:type="table" w:styleId="TableGrid">
    <w:name w:val="Table Grid"/>
    <w:basedOn w:val="TableNormal"/>
    <w:autoRedefine/>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DefaultParagraphFont"/>
    <w:link w:val="Heading2"/>
    <w:autoRedefine/>
    <w:uiPriority w:val="9"/>
    <w:semiHidden/>
    <w:qFormat/>
    <w:rPr>
      <w:rFonts w:asciiTheme="majorHAnsi" w:eastAsiaTheme="majorEastAsia" w:hAnsiTheme="majorHAnsi" w:cstheme="majorBidi"/>
      <w:b/>
      <w:bCs/>
      <w:sz w:val="32"/>
      <w:szCs w:val="32"/>
    </w:rPr>
  </w:style>
  <w:style w:type="character" w:customStyle="1" w:styleId="font21">
    <w:name w:val="font21"/>
    <w:basedOn w:val="DefaultParagraphFont"/>
    <w:autoRedefine/>
    <w:qFormat/>
    <w:rPr>
      <w:rFonts w:ascii="宋体" w:eastAsia="宋体" w:hAnsi="宋体" w:cs="宋体"/>
      <w:color w:val="000000"/>
      <w:sz w:val="20"/>
      <w:szCs w:val="20"/>
      <w:u w:val="none"/>
    </w:rPr>
  </w:style>
  <w:style w:type="paragraph" w:styleId="NormalIndent">
    <w:name w:val="Normal Indent"/>
    <w:basedOn w:val="Normal"/>
    <w:autoRedefine/>
    <w:qFormat/>
    <w:pPr>
      <w:widowControl w:val="0"/>
      <w:ind w:firstLine="420"/>
      <w:jc w:val="both"/>
    </w:pPr>
    <w:rPr>
      <w:rFonts w:asciiTheme="minorHAnsi" w:eastAsiaTheme="minorEastAsia" w:hAnsiTheme="minorHAnsi" w:cstheme="minorBidi"/>
      <w:kern w:val="2"/>
      <w:sz w:val="21"/>
      <w:szCs w:val="20"/>
      <w:lang w:eastAsia="zh-CN"/>
    </w:rPr>
  </w:style>
  <w:style w:type="table" w:customStyle="1" w:styleId="1">
    <w:name w:val="网格型1"/>
    <w:basedOn w:val="TableNormal"/>
    <w:autoRedefine/>
    <w:uiPriority w:val="39"/>
    <w:qFormat/>
    <w:pPr>
      <w:widowControl w:val="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ypotable">
    <w:name w:val="typo_table"/>
    <w:basedOn w:val="TableNormal"/>
    <w:tblPr/>
  </w:style>
  <w:style w:type="paragraph" w:customStyle="1" w:styleId="typoh1">
    <w:name w:val="typo_h1"/>
    <w:basedOn w:val="Normal"/>
    <w:pPr>
      <w:spacing w:line="648" w:lineRule="atLeast"/>
    </w:pPr>
    <w:rPr>
      <w:rFonts w:ascii="Microsoft YaHei" w:eastAsia="Microsoft YaHei" w:hAnsi="Microsoft YaHei" w:cs="Microsoft YaHei"/>
      <w:color w:val="333333"/>
      <w:sz w:val="48"/>
      <w:szCs w:val="48"/>
    </w:rPr>
  </w:style>
  <w:style w:type="character" w:customStyle="1" w:styleId="base">
    <w:name w:val="base"/>
    <w:basedOn w:val="DefaultParagraphFont"/>
    <w:rPr>
      <w:rFonts w:ascii="FangSong" w:eastAsia="FangSong" w:hAnsi="FangSong" w:cs="FangSong"/>
      <w:b/>
      <w:bCs/>
      <w:sz w:val="28"/>
      <w:szCs w:val="28"/>
    </w:rPr>
  </w:style>
  <w:style w:type="paragraph" w:customStyle="1" w:styleId="typop">
    <w:name w:val="typo_p"/>
    <w:basedOn w:val="Normal"/>
    <w:pPr>
      <w:spacing w:line="432" w:lineRule="atLeast"/>
    </w:pPr>
    <w:rPr>
      <w:rFonts w:ascii="Microsoft YaHei" w:eastAsia="Microsoft YaHei" w:hAnsi="Microsoft YaHei" w:cs="Microsoft YaHei"/>
      <w:color w:val="333333"/>
    </w:rPr>
  </w:style>
  <w:style w:type="character" w:customStyle="1" w:styleId="span">
    <w:name w:val="span"/>
    <w:basedOn w:val="DefaultParagraphFont"/>
    <w:rPr>
      <w:rFonts w:ascii="FangSong" w:eastAsia="FangSong" w:hAnsi="FangSong" w:cs="FangSong"/>
    </w:rPr>
  </w:style>
  <w:style w:type="character" w:customStyle="1" w:styleId="underline">
    <w:name w:val="underline"/>
    <w:basedOn w:val="DefaultParagraphFont"/>
  </w:style>
  <w:style w:type="paragraph" w:customStyle="1" w:styleId="div">
    <w:name w:val="div"/>
    <w:basedOn w:val="Normal"/>
    <w:pPr>
      <w:keepLines/>
      <w:spacing w:line="432" w:lineRule="atLeast"/>
    </w:pPr>
    <w:rPr>
      <w:rFonts w:ascii="Microsoft YaHei" w:eastAsia="Microsoft YaHei" w:hAnsi="Microsoft YaHei" w:cs="Microsoft YaHei"/>
      <w:color w:val="333333"/>
    </w:rPr>
  </w:style>
  <w:style w:type="character" w:customStyle="1" w:styleId="step-methodsstep-itemlabel">
    <w:name w:val="step-methods_step-item_label"/>
    <w:basedOn w:val="DefaultParagraphFont"/>
  </w:style>
  <w:style w:type="table" w:customStyle="1" w:styleId="typotable0">
    <w:name w:val="typo_table_0"/>
    <w:basedOn w:val="TableNormal"/>
    <w:tblPr/>
  </w:style>
  <w:style w:type="character" w:customStyle="1" w:styleId="strong">
    <w:name w:val="strong"/>
    <w:basedOn w:val="DefaultParagraphFont"/>
    <w:rPr>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zggzy.com" TargetMode="External" /><Relationship Id="rId5" Type="http://schemas.openxmlformats.org/officeDocument/2006/relationships/hyperlink" Target="https://baike.so.com/doc/861935-911297.html"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