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Autospacing="1" w:afterAutospacing="1"/>
        <w:jc w:val="center"/>
        <w:textAlignment w:val="auto"/>
        <w:outlineLvl w:val="0"/>
        <w:rPr>
          <w:rFonts w:ascii="黑体" w:hAnsi="宋体" w:eastAsia="黑体" w:cs="黑体"/>
          <w:kern w:val="0"/>
          <w:sz w:val="40"/>
          <w:szCs w:val="40"/>
          <w:highlight w:val="none"/>
        </w:rPr>
      </w:pPr>
      <w:r>
        <w:rPr>
          <w:rFonts w:hint="eastAsia" w:ascii="黑体" w:hAnsi="宋体" w:eastAsia="黑体" w:cs="黑体"/>
          <w:kern w:val="0"/>
          <w:sz w:val="40"/>
          <w:szCs w:val="40"/>
          <w:highlight w:val="none"/>
        </w:rPr>
        <w:t>招标文件信息</w:t>
      </w:r>
    </w:p>
    <w:p>
      <w:pPr>
        <w:tabs>
          <w:tab w:val="left" w:pos="2790"/>
        </w:tabs>
        <w:snapToGrid w:val="0"/>
        <w:spacing w:line="440" w:lineRule="exact"/>
        <w:jc w:val="left"/>
        <w:rPr>
          <w:rFonts w:hint="eastAsia" w:asciiTheme="minorEastAsia" w:hAnsiTheme="minorEastAsia" w:eastAsiaTheme="minorEastAsia"/>
          <w:sz w:val="30"/>
          <w:szCs w:val="30"/>
          <w:highlight w:val="none"/>
          <w:lang w:eastAsia="zh-CN"/>
        </w:rPr>
      </w:pPr>
      <w:r>
        <w:rPr>
          <w:rFonts w:hint="eastAsia" w:asciiTheme="minorEastAsia" w:hAnsiTheme="minorEastAsia"/>
          <w:sz w:val="30"/>
          <w:szCs w:val="30"/>
          <w:highlight w:val="none"/>
        </w:rPr>
        <w:t>项目编号：</w:t>
      </w:r>
      <w:r>
        <w:rPr>
          <w:rFonts w:hint="eastAsia" w:asciiTheme="minorEastAsia" w:hAnsiTheme="minorEastAsia"/>
          <w:sz w:val="30"/>
          <w:szCs w:val="30"/>
          <w:highlight w:val="none"/>
          <w:lang w:eastAsia="zh-CN"/>
        </w:rPr>
        <w:t>BAZXCG-2024-00337</w:t>
      </w:r>
    </w:p>
    <w:p>
      <w:pPr>
        <w:tabs>
          <w:tab w:val="left" w:pos="2790"/>
        </w:tabs>
        <w:snapToGrid w:val="0"/>
        <w:spacing w:line="440" w:lineRule="exact"/>
        <w:jc w:val="left"/>
        <w:rPr>
          <w:rFonts w:hint="eastAsia" w:asciiTheme="minorEastAsia" w:hAnsiTheme="minorEastAsia" w:eastAsiaTheme="minorEastAsia"/>
          <w:sz w:val="30"/>
          <w:szCs w:val="30"/>
          <w:highlight w:val="none"/>
          <w:lang w:eastAsia="zh-CN"/>
        </w:rPr>
      </w:pPr>
      <w:r>
        <w:rPr>
          <w:rFonts w:hint="eastAsia" w:asciiTheme="minorEastAsia" w:hAnsiTheme="minorEastAsia"/>
          <w:sz w:val="30"/>
          <w:szCs w:val="30"/>
          <w:highlight w:val="none"/>
        </w:rPr>
        <w:t>项目名称：</w:t>
      </w:r>
      <w:r>
        <w:rPr>
          <w:rFonts w:hint="eastAsia" w:asciiTheme="minorEastAsia" w:hAnsiTheme="minorEastAsia"/>
          <w:sz w:val="30"/>
          <w:szCs w:val="30"/>
          <w:highlight w:val="none"/>
          <w:lang w:eastAsia="zh-CN"/>
        </w:rPr>
        <w:t>深圳市宝安区福永白石厦第三幼儿园(深圳市宝安区福永空港幼儿园)班组设备</w:t>
      </w:r>
    </w:p>
    <w:p>
      <w:pPr>
        <w:tabs>
          <w:tab w:val="left" w:pos="2790"/>
        </w:tabs>
        <w:snapToGrid w:val="0"/>
        <w:spacing w:line="440" w:lineRule="exact"/>
        <w:jc w:val="left"/>
        <w:rPr>
          <w:rFonts w:hint="eastAsia" w:asciiTheme="minorEastAsia" w:hAnsiTheme="minorEastAsia"/>
          <w:sz w:val="30"/>
          <w:szCs w:val="30"/>
          <w:highlight w:val="none"/>
        </w:rPr>
      </w:pPr>
      <w:r>
        <w:rPr>
          <w:rFonts w:hint="eastAsia" w:asciiTheme="minorEastAsia" w:hAnsiTheme="minorEastAsia"/>
          <w:sz w:val="30"/>
          <w:szCs w:val="30"/>
          <w:highlight w:val="none"/>
        </w:rPr>
        <w:t>包    号：A</w:t>
      </w:r>
    </w:p>
    <w:p>
      <w:pPr>
        <w:tabs>
          <w:tab w:val="left" w:pos="2790"/>
        </w:tabs>
        <w:snapToGrid w:val="0"/>
        <w:spacing w:line="440" w:lineRule="exact"/>
        <w:jc w:val="left"/>
        <w:rPr>
          <w:rFonts w:hint="eastAsia" w:asciiTheme="minorEastAsia" w:hAnsiTheme="minorEastAsia"/>
          <w:sz w:val="30"/>
          <w:szCs w:val="30"/>
          <w:highlight w:val="none"/>
        </w:rPr>
      </w:pPr>
      <w:r>
        <w:rPr>
          <w:rFonts w:hint="eastAsia" w:asciiTheme="minorEastAsia" w:hAnsiTheme="minorEastAsia"/>
          <w:sz w:val="30"/>
          <w:szCs w:val="30"/>
          <w:highlight w:val="none"/>
        </w:rPr>
        <w:t>项目类型：货物类</w:t>
      </w:r>
    </w:p>
    <w:p>
      <w:pPr>
        <w:tabs>
          <w:tab w:val="left" w:pos="2790"/>
        </w:tabs>
        <w:snapToGrid w:val="0"/>
        <w:spacing w:line="440" w:lineRule="exact"/>
        <w:jc w:val="left"/>
        <w:rPr>
          <w:rFonts w:hint="eastAsia" w:asciiTheme="minorEastAsia" w:hAnsiTheme="minorEastAsia"/>
          <w:sz w:val="30"/>
          <w:szCs w:val="30"/>
          <w:highlight w:val="none"/>
        </w:rPr>
      </w:pPr>
      <w:r>
        <w:rPr>
          <w:rFonts w:hint="eastAsia" w:asciiTheme="minorEastAsia" w:hAnsiTheme="minorEastAsia"/>
          <w:sz w:val="30"/>
          <w:szCs w:val="30"/>
          <w:highlight w:val="none"/>
        </w:rPr>
        <w:t>采购方式：公开招标</w:t>
      </w:r>
    </w:p>
    <w:p>
      <w:pPr>
        <w:tabs>
          <w:tab w:val="left" w:pos="2790"/>
        </w:tabs>
        <w:snapToGrid w:val="0"/>
        <w:spacing w:line="440" w:lineRule="exact"/>
        <w:jc w:val="left"/>
        <w:rPr>
          <w:rFonts w:hint="eastAsia" w:asciiTheme="minorEastAsia" w:hAnsiTheme="minorEastAsia"/>
          <w:sz w:val="30"/>
          <w:szCs w:val="30"/>
          <w:highlight w:val="none"/>
        </w:rPr>
      </w:pPr>
      <w:r>
        <w:rPr>
          <w:rFonts w:hint="eastAsia" w:asciiTheme="minorEastAsia" w:hAnsiTheme="minorEastAsia"/>
          <w:sz w:val="30"/>
          <w:szCs w:val="30"/>
          <w:highlight w:val="none"/>
        </w:rPr>
        <w:t>货币类型：人民币</w:t>
      </w:r>
    </w:p>
    <w:p>
      <w:pPr>
        <w:tabs>
          <w:tab w:val="left" w:pos="2790"/>
        </w:tabs>
        <w:snapToGrid w:val="0"/>
        <w:spacing w:line="440" w:lineRule="exact"/>
        <w:jc w:val="left"/>
        <w:rPr>
          <w:rFonts w:asciiTheme="minorEastAsia" w:hAnsiTheme="minorEastAsia"/>
          <w:sz w:val="30"/>
          <w:szCs w:val="30"/>
          <w:highlight w:val="none"/>
        </w:rPr>
      </w:pPr>
      <w:r>
        <w:rPr>
          <w:rFonts w:hint="eastAsia" w:asciiTheme="minorEastAsia" w:hAnsiTheme="minorEastAsia"/>
          <w:sz w:val="30"/>
          <w:szCs w:val="30"/>
          <w:highlight w:val="none"/>
        </w:rPr>
        <w:t>评标方法：综合评分法</w:t>
      </w:r>
    </w:p>
    <w:p>
      <w:pPr>
        <w:keepNext w:val="0"/>
        <w:keepLines w:val="0"/>
        <w:pageBreakBefore w:val="0"/>
        <w:widowControl w:val="0"/>
        <w:tabs>
          <w:tab w:val="left" w:pos="2790"/>
        </w:tabs>
        <w:kinsoku/>
        <w:wordWrap/>
        <w:overflowPunct/>
        <w:topLinePunct w:val="0"/>
        <w:autoSpaceDE/>
        <w:autoSpaceDN/>
        <w:bidi w:val="0"/>
        <w:adjustRightInd/>
        <w:snapToGrid w:val="0"/>
        <w:jc w:val="center"/>
        <w:textAlignment w:val="auto"/>
        <w:outlineLvl w:val="0"/>
        <w:rPr>
          <w:rFonts w:ascii="黑体" w:hAnsi="黑体" w:eastAsia="黑体" w:cs="Times New Roman"/>
          <w:sz w:val="40"/>
          <w:szCs w:val="40"/>
          <w:highlight w:val="none"/>
        </w:rPr>
      </w:pPr>
      <w:r>
        <w:rPr>
          <w:rFonts w:hint="eastAsia" w:ascii="黑体" w:hAnsi="黑体" w:eastAsia="黑体" w:cs="Times New Roman"/>
          <w:sz w:val="40"/>
          <w:szCs w:val="40"/>
          <w:highlight w:val="none"/>
        </w:rPr>
        <w:t>资格性审查表</w:t>
      </w:r>
    </w:p>
    <w:tbl>
      <w:tblPr>
        <w:tblStyle w:val="16"/>
        <w:tblW w:w="946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66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90" w:lineRule="exact"/>
              <w:jc w:val="center"/>
              <w:rPr>
                <w:rFonts w:ascii="宋体" w:hAnsi="宋体" w:eastAsia="宋体" w:cs="宋体"/>
                <w:szCs w:val="21"/>
                <w:highlight w:val="none"/>
              </w:rPr>
            </w:pPr>
            <w:r>
              <w:rPr>
                <w:rFonts w:ascii="宋体" w:hAnsi="宋体" w:eastAsia="宋体" w:cs="Times New Roman"/>
                <w:szCs w:val="21"/>
                <w:highlight w:val="none"/>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90" w:lineRule="exact"/>
              <w:jc w:val="center"/>
              <w:rPr>
                <w:rFonts w:ascii="宋体" w:hAnsi="宋体" w:eastAsia="宋体" w:cs="宋体"/>
                <w:szCs w:val="21"/>
                <w:highlight w:val="none"/>
              </w:rPr>
            </w:pPr>
            <w:r>
              <w:rPr>
                <w:rFonts w:ascii="宋体" w:hAnsi="宋体" w:eastAsia="宋体" w:cs="Times New Roman"/>
                <w:szCs w:val="21"/>
                <w:highlight w:val="none"/>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宋体" w:hAnsi="宋体" w:eastAsia="宋体" w:cs="宋体"/>
                <w:szCs w:val="21"/>
                <w:highlight w:val="none"/>
              </w:rPr>
            </w:pPr>
            <w:r>
              <w:rPr>
                <w:rFonts w:ascii="宋体" w:hAnsi="宋体" w:eastAsia="宋体" w:cs="Times New Roman"/>
                <w:szCs w:val="21"/>
                <w:highlight w:val="none"/>
              </w:rPr>
              <w:t>1</w:t>
            </w:r>
          </w:p>
        </w:tc>
        <w:tc>
          <w:tcPr>
            <w:tcW w:w="8669" w:type="dxa"/>
            <w:tcBorders>
              <w:top w:val="single" w:color="000000" w:sz="8" w:space="0"/>
              <w:left w:val="single" w:color="000000" w:sz="8" w:space="0"/>
              <w:bottom w:val="single" w:color="000000" w:sz="8" w:space="0"/>
              <w:right w:val="single" w:color="000000" w:sz="8" w:space="0"/>
            </w:tcBorders>
          </w:tcPr>
          <w:p>
            <w:pPr>
              <w:spacing w:line="290" w:lineRule="exact"/>
              <w:rPr>
                <w:rFonts w:ascii="宋体" w:hAnsi="宋体" w:eastAsia="宋体" w:cs="宋体"/>
                <w:szCs w:val="21"/>
                <w:highlight w:val="none"/>
              </w:rPr>
            </w:pPr>
            <w:r>
              <w:rPr>
                <w:rFonts w:ascii="宋体" w:hAnsi="宋体" w:eastAsia="宋体" w:cs="宋体"/>
                <w:kern w:val="0"/>
                <w:szCs w:val="21"/>
                <w:highlight w:val="none"/>
              </w:rPr>
              <w:t>投标人不</w:t>
            </w:r>
            <w:r>
              <w:rPr>
                <w:rFonts w:hint="eastAsia" w:ascii="宋体" w:hAnsi="宋体" w:eastAsia="宋体" w:cs="宋体"/>
                <w:kern w:val="0"/>
                <w:szCs w:val="21"/>
                <w:highlight w:val="none"/>
              </w:rPr>
              <w:t>符合</w:t>
            </w:r>
            <w:r>
              <w:rPr>
                <w:rFonts w:ascii="宋体" w:hAnsi="宋体" w:eastAsia="宋体" w:cs="宋体"/>
                <w:kern w:val="0"/>
                <w:szCs w:val="21"/>
                <w:highlight w:val="none"/>
              </w:rPr>
              <w:t>资格要求，或未提交相应的资格证明资料（详见招标公告</w:t>
            </w:r>
            <w:r>
              <w:rPr>
                <w:rFonts w:hint="eastAsia" w:ascii="宋体" w:hAnsi="宋体" w:eastAsia="宋体" w:cs="Times New Roman"/>
                <w:szCs w:val="21"/>
                <w:highlight w:val="none"/>
              </w:rPr>
              <w:t>投标人资格要求，即申请人的资格要求</w:t>
            </w:r>
            <w:r>
              <w:rPr>
                <w:rFonts w:ascii="宋体" w:hAnsi="宋体" w:eastAsia="宋体" w:cs="宋体"/>
                <w:kern w:val="0"/>
                <w:szCs w:val="21"/>
                <w:highlight w:val="none"/>
              </w:rPr>
              <w:t>）。</w:t>
            </w:r>
          </w:p>
        </w:tc>
      </w:tr>
    </w:tbl>
    <w:p>
      <w:pPr>
        <w:tabs>
          <w:tab w:val="left" w:pos="2790"/>
        </w:tabs>
        <w:snapToGrid w:val="0"/>
        <w:jc w:val="center"/>
        <w:rPr>
          <w:rFonts w:ascii="黑体" w:hAnsi="黑体" w:eastAsia="黑体" w:cs="Times New Roman"/>
          <w:sz w:val="40"/>
          <w:szCs w:val="40"/>
          <w:highlight w:val="none"/>
        </w:rPr>
      </w:pPr>
    </w:p>
    <w:p>
      <w:pPr>
        <w:keepNext w:val="0"/>
        <w:keepLines w:val="0"/>
        <w:pageBreakBefore w:val="0"/>
        <w:widowControl w:val="0"/>
        <w:tabs>
          <w:tab w:val="left" w:pos="2790"/>
        </w:tabs>
        <w:kinsoku/>
        <w:wordWrap/>
        <w:overflowPunct/>
        <w:topLinePunct w:val="0"/>
        <w:autoSpaceDE/>
        <w:autoSpaceDN/>
        <w:bidi w:val="0"/>
        <w:adjustRightInd/>
        <w:snapToGrid w:val="0"/>
        <w:jc w:val="center"/>
        <w:textAlignment w:val="auto"/>
        <w:outlineLvl w:val="0"/>
        <w:rPr>
          <w:rFonts w:ascii="黑体" w:hAnsi="黑体" w:eastAsia="黑体" w:cs="Times New Roman"/>
          <w:sz w:val="40"/>
          <w:szCs w:val="40"/>
          <w:highlight w:val="none"/>
        </w:rPr>
      </w:pPr>
      <w:r>
        <w:rPr>
          <w:rFonts w:hint="eastAsia" w:ascii="黑体" w:hAnsi="黑体" w:eastAsia="黑体" w:cs="Times New Roman"/>
          <w:sz w:val="40"/>
          <w:szCs w:val="40"/>
          <w:highlight w:val="none"/>
        </w:rPr>
        <w:t>符合性审查表</w:t>
      </w:r>
    </w:p>
    <w:tbl>
      <w:tblPr>
        <w:tblStyle w:val="16"/>
        <w:tblW w:w="949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70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90" w:lineRule="exact"/>
              <w:jc w:val="center"/>
              <w:rPr>
                <w:rFonts w:ascii="宋体" w:hAnsi="宋体" w:eastAsia="宋体" w:cs="宋体"/>
                <w:szCs w:val="21"/>
                <w:highlight w:val="none"/>
              </w:rPr>
            </w:pPr>
            <w:r>
              <w:rPr>
                <w:rFonts w:ascii="宋体" w:hAnsi="宋体" w:eastAsia="宋体" w:cs="Times New Roman"/>
                <w:szCs w:val="21"/>
                <w:highlight w:val="none"/>
              </w:rPr>
              <w:t>序号</w:t>
            </w:r>
          </w:p>
        </w:tc>
        <w:tc>
          <w:tcPr>
            <w:tcW w:w="8704"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90" w:lineRule="exact"/>
              <w:jc w:val="center"/>
              <w:rPr>
                <w:rFonts w:ascii="宋体" w:hAnsi="宋体" w:eastAsia="宋体" w:cs="宋体"/>
                <w:szCs w:val="21"/>
                <w:highlight w:val="none"/>
              </w:rPr>
            </w:pPr>
            <w:r>
              <w:rPr>
                <w:rFonts w:ascii="宋体" w:hAnsi="宋体" w:eastAsia="宋体" w:cs="Times New Roman"/>
                <w:szCs w:val="21"/>
                <w:highlight w:val="none"/>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highlight w:val="none"/>
              </w:rPr>
            </w:pPr>
            <w:r>
              <w:rPr>
                <w:rFonts w:ascii="Calibri" w:hAnsi="Calibri" w:eastAsia="宋体" w:cs="Times New Roman"/>
                <w:highlight w:val="none"/>
              </w:rPr>
              <w:t>1</w:t>
            </w:r>
          </w:p>
        </w:tc>
        <w:tc>
          <w:tcPr>
            <w:tcW w:w="8704" w:type="dxa"/>
            <w:tcBorders>
              <w:top w:val="single" w:color="000000" w:sz="8" w:space="0"/>
              <w:left w:val="single" w:color="000000" w:sz="8" w:space="0"/>
              <w:bottom w:val="single" w:color="000000" w:sz="8" w:space="0"/>
              <w:right w:val="single" w:color="000000" w:sz="8" w:space="0"/>
            </w:tcBorders>
          </w:tcPr>
          <w:p>
            <w:pPr>
              <w:spacing w:line="290" w:lineRule="exact"/>
              <w:rPr>
                <w:rFonts w:ascii="Calibri" w:hAnsi="Calibri" w:eastAsia="宋体" w:cs="Times New Roman"/>
                <w:b/>
                <w:highlight w:val="none"/>
              </w:rPr>
            </w:pPr>
            <w:r>
              <w:rPr>
                <w:rFonts w:hint="eastAsia"/>
                <w:highlight w:val="none"/>
              </w:rPr>
              <w:t>不得将一个包的内容拆开投标；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highlight w:val="none"/>
              </w:rPr>
            </w:pPr>
            <w:r>
              <w:rPr>
                <w:rFonts w:ascii="Calibri" w:hAnsi="Calibri" w:eastAsia="宋体" w:cs="Times New Roman"/>
                <w:highlight w:val="none"/>
              </w:rPr>
              <w:t>2</w:t>
            </w:r>
          </w:p>
        </w:tc>
        <w:tc>
          <w:tcPr>
            <w:tcW w:w="8704" w:type="dxa"/>
            <w:tcBorders>
              <w:top w:val="single" w:color="000000" w:sz="8" w:space="0"/>
              <w:left w:val="single" w:color="000000" w:sz="8" w:space="0"/>
              <w:bottom w:val="single" w:color="000000" w:sz="8" w:space="0"/>
              <w:right w:val="single" w:color="000000" w:sz="8" w:space="0"/>
            </w:tcBorders>
          </w:tcPr>
          <w:p>
            <w:pPr>
              <w:spacing w:line="290" w:lineRule="exact"/>
              <w:rPr>
                <w:rFonts w:ascii="Calibri" w:hAnsi="Calibri" w:eastAsia="宋体" w:cs="Times New Roman"/>
                <w:highlight w:val="none"/>
              </w:rPr>
            </w:pPr>
            <w:r>
              <w:rPr>
                <w:rFonts w:hint="eastAsia"/>
                <w:highlight w:val="none"/>
              </w:rPr>
              <w:t>对同一项目投标时，不得提供两套以上的投标方案（招标文件另有规定的除外）；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highlight w:val="none"/>
              </w:rPr>
            </w:pPr>
            <w:r>
              <w:rPr>
                <w:rFonts w:ascii="Calibri" w:hAnsi="Calibri" w:eastAsia="宋体" w:cs="Times New Roman"/>
                <w:highlight w:val="none"/>
              </w:rPr>
              <w:t>3</w:t>
            </w:r>
          </w:p>
        </w:tc>
        <w:tc>
          <w:tcPr>
            <w:tcW w:w="8704" w:type="dxa"/>
            <w:tcBorders>
              <w:top w:val="single" w:color="000000" w:sz="8" w:space="0"/>
              <w:left w:val="single" w:color="000000" w:sz="8" w:space="0"/>
              <w:bottom w:val="single" w:color="000000" w:sz="8" w:space="0"/>
              <w:right w:val="single" w:color="000000" w:sz="8" w:space="0"/>
            </w:tcBorders>
          </w:tcPr>
          <w:p>
            <w:pPr>
              <w:spacing w:line="290" w:lineRule="exact"/>
              <w:rPr>
                <w:rFonts w:ascii="Calibri" w:hAnsi="Calibri" w:eastAsia="宋体" w:cs="Times New Roman"/>
                <w:highlight w:val="none"/>
              </w:rPr>
            </w:pPr>
            <w:r>
              <w:rPr>
                <w:rFonts w:hint="eastAsia"/>
                <w:highlight w:val="none"/>
              </w:rPr>
              <w:t>分项报价或投标总价不得高于</w:t>
            </w:r>
            <w:bookmarkStart w:id="0" w:name="_Hlk71832186"/>
            <w:r>
              <w:rPr>
                <w:rFonts w:hint="eastAsia"/>
                <w:highlight w:val="none"/>
              </w:rPr>
              <w:t>相应预算金额（或设定的预算金额下的最高限价）</w:t>
            </w:r>
            <w:bookmarkEnd w:id="0"/>
            <w:r>
              <w:rPr>
                <w:rFonts w:hint="eastAsia" w:ascii="Calibri" w:hAnsi="Calibri" w:eastAsia="宋体" w:cs="Times New Roman"/>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highlight w:val="none"/>
              </w:rPr>
            </w:pPr>
            <w:r>
              <w:rPr>
                <w:rFonts w:ascii="Calibri" w:hAnsi="Calibri" w:eastAsia="宋体" w:cs="Times New Roman"/>
                <w:highlight w:val="none"/>
              </w:rPr>
              <w:t>4</w:t>
            </w:r>
          </w:p>
        </w:tc>
        <w:tc>
          <w:tcPr>
            <w:tcW w:w="8704" w:type="dxa"/>
            <w:tcBorders>
              <w:top w:val="single" w:color="000000" w:sz="8" w:space="0"/>
              <w:left w:val="single" w:color="000000" w:sz="8" w:space="0"/>
              <w:bottom w:val="single" w:color="000000" w:sz="8" w:space="0"/>
              <w:right w:val="single" w:color="000000" w:sz="8" w:space="0"/>
            </w:tcBorders>
          </w:tcPr>
          <w:p>
            <w:pPr>
              <w:spacing w:line="290" w:lineRule="exact"/>
              <w:rPr>
                <w:rFonts w:ascii="Calibri" w:hAnsi="Calibri" w:eastAsia="宋体" w:cs="Times New Roman"/>
                <w:highlight w:val="none"/>
              </w:rPr>
            </w:pPr>
            <w:r>
              <w:rPr>
                <w:rFonts w:hint="eastAsia" w:ascii="Calibri" w:hAnsi="Calibri" w:eastAsia="宋体" w:cs="Times New Roman"/>
                <w:highlight w:val="none"/>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highlight w:val="none"/>
              </w:rPr>
            </w:pPr>
            <w:r>
              <w:rPr>
                <w:rFonts w:ascii="Calibri" w:hAnsi="Calibri" w:eastAsia="宋体" w:cs="Times New Roman"/>
                <w:highlight w:val="none"/>
              </w:rPr>
              <w:t>5</w:t>
            </w:r>
          </w:p>
        </w:tc>
        <w:tc>
          <w:tcPr>
            <w:tcW w:w="8704" w:type="dxa"/>
            <w:tcBorders>
              <w:top w:val="single" w:color="000000" w:sz="8" w:space="0"/>
              <w:left w:val="single" w:color="000000" w:sz="8" w:space="0"/>
              <w:bottom w:val="single" w:color="000000" w:sz="8" w:space="0"/>
              <w:right w:val="single" w:color="000000" w:sz="8" w:space="0"/>
            </w:tcBorders>
          </w:tcPr>
          <w:p>
            <w:pPr>
              <w:spacing w:line="290" w:lineRule="exact"/>
              <w:rPr>
                <w:rFonts w:ascii="Calibri" w:hAnsi="Calibri" w:eastAsia="宋体" w:cs="Times New Roman"/>
                <w:highlight w:val="none"/>
              </w:rPr>
            </w:pPr>
            <w:r>
              <w:rPr>
                <w:rFonts w:hint="eastAsia"/>
                <w:highlight w:val="none"/>
              </w:rPr>
              <w:t>所投货物、服务在技术、商务等方面没有实质性满足招标文件要求</w:t>
            </w:r>
            <w:r>
              <w:rPr>
                <w:rFonts w:hint="eastAsia" w:ascii="Calibri" w:hAnsi="Calibri" w:eastAsia="宋体" w:cs="Times New Roman"/>
                <w:highlight w:val="none"/>
              </w:rPr>
              <w:t>的</w:t>
            </w:r>
            <w:r>
              <w:rPr>
                <w:rFonts w:hint="eastAsia"/>
                <w:highlight w:val="none"/>
              </w:rPr>
              <w:t>（是否实质性满足招标文件要求，由评审委员会根据实质性条款响应情况做出评判</w:t>
            </w:r>
            <w:r>
              <w:rPr>
                <w:rFonts w:hint="eastAsia"/>
                <w:highlight w:val="none"/>
                <w:lang w:eastAsia="zh-CN"/>
              </w:rPr>
              <w:t>；</w:t>
            </w:r>
            <w:r>
              <w:rPr>
                <w:rFonts w:hint="eastAsia"/>
                <w:highlight w:val="none"/>
                <w:lang w:val="en-US" w:eastAsia="zh-CN"/>
              </w:rPr>
              <w:t>若招标文件未设置实质性条款，不得据此做投标无效处理</w:t>
            </w:r>
            <w:r>
              <w:rPr>
                <w:rFonts w:hint="eastAsia"/>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highlight w:val="none"/>
              </w:rPr>
            </w:pPr>
            <w:r>
              <w:rPr>
                <w:rFonts w:ascii="Calibri" w:hAnsi="Calibri" w:eastAsia="宋体" w:cs="Times New Roman"/>
                <w:highlight w:val="none"/>
              </w:rPr>
              <w:t>6</w:t>
            </w:r>
          </w:p>
        </w:tc>
        <w:tc>
          <w:tcPr>
            <w:tcW w:w="8704" w:type="dxa"/>
            <w:tcBorders>
              <w:top w:val="single" w:color="000000" w:sz="8" w:space="0"/>
              <w:left w:val="single" w:color="000000" w:sz="8" w:space="0"/>
              <w:bottom w:val="single" w:color="000000" w:sz="8" w:space="0"/>
              <w:right w:val="single" w:color="000000" w:sz="8" w:space="0"/>
            </w:tcBorders>
          </w:tcPr>
          <w:p>
            <w:pPr>
              <w:spacing w:line="290" w:lineRule="exact"/>
              <w:rPr>
                <w:rFonts w:ascii="Calibri" w:hAnsi="Calibri" w:eastAsia="宋体" w:cs="Times New Roman"/>
                <w:highlight w:val="none"/>
              </w:rPr>
            </w:pPr>
            <w:r>
              <w:rPr>
                <w:rFonts w:hint="eastAsia"/>
                <w:highlight w:val="none"/>
              </w:rPr>
              <w:t>未按招标文件所提供的样式填写《投标函》；未按招标文件所提供的《政府采购投标及履约承诺函》进行承诺；未按招标文件对投标文件组成的要求提供投标文件；</w:t>
            </w:r>
            <w:r>
              <w:rPr>
                <w:rFonts w:ascii="Calibri" w:hAnsi="Calibri" w:eastAsia="宋体" w:cs="Times New Roman"/>
                <w:highlight w:val="none"/>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highlight w:val="none"/>
              </w:rPr>
            </w:pPr>
            <w:r>
              <w:rPr>
                <w:rFonts w:ascii="Calibri" w:hAnsi="Calibri" w:eastAsia="宋体" w:cs="Times New Roman"/>
                <w:highlight w:val="none"/>
              </w:rPr>
              <w:t>7</w:t>
            </w:r>
          </w:p>
        </w:tc>
        <w:tc>
          <w:tcPr>
            <w:tcW w:w="8704" w:type="dxa"/>
            <w:tcBorders>
              <w:top w:val="single" w:color="000000" w:sz="8" w:space="0"/>
              <w:left w:val="single" w:color="000000" w:sz="8" w:space="0"/>
              <w:bottom w:val="single" w:color="000000" w:sz="8" w:space="0"/>
              <w:right w:val="single" w:color="000000" w:sz="8" w:space="0"/>
            </w:tcBorders>
          </w:tcPr>
          <w:p>
            <w:pPr>
              <w:spacing w:line="290" w:lineRule="exact"/>
              <w:rPr>
                <w:rFonts w:ascii="Calibri" w:hAnsi="Calibri" w:eastAsia="宋体" w:cs="Times New Roman"/>
                <w:highlight w:val="none"/>
              </w:rPr>
            </w:pPr>
            <w:r>
              <w:rPr>
                <w:rFonts w:hint="eastAsia"/>
                <w:highlight w:val="none"/>
                <w:lang w:val="en-US" w:eastAsia="zh-CN"/>
              </w:rPr>
              <w:t>采购标的/所投产品/货物清单/报价等任意一类有缺漏项或响应不全，</w:t>
            </w:r>
            <w:r>
              <w:rPr>
                <w:rFonts w:hint="eastAsia"/>
                <w:highlight w:val="none"/>
              </w:rPr>
              <w:t>或者对招标文件规定的项目需求内容或者需求数量进行修改，评审委员会判定投标响应不满足采购需求；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highlight w:val="none"/>
              </w:rPr>
            </w:pPr>
            <w:r>
              <w:rPr>
                <w:rFonts w:ascii="Calibri" w:hAnsi="Calibri" w:eastAsia="宋体" w:cs="Times New Roman"/>
                <w:highlight w:val="none"/>
              </w:rPr>
              <w:t>8</w:t>
            </w:r>
          </w:p>
        </w:tc>
        <w:tc>
          <w:tcPr>
            <w:tcW w:w="8704" w:type="dxa"/>
            <w:tcBorders>
              <w:top w:val="single" w:color="000000" w:sz="8" w:space="0"/>
              <w:left w:val="single" w:color="000000" w:sz="8" w:space="0"/>
              <w:bottom w:val="single" w:color="000000" w:sz="8" w:space="0"/>
              <w:right w:val="single" w:color="000000" w:sz="8" w:space="0"/>
            </w:tcBorders>
          </w:tcPr>
          <w:p>
            <w:pPr>
              <w:widowControl/>
              <w:spacing w:line="290" w:lineRule="exact"/>
              <w:jc w:val="left"/>
              <w:textAlignment w:val="top"/>
              <w:rPr>
                <w:szCs w:val="21"/>
                <w:highlight w:val="none"/>
              </w:rPr>
            </w:pPr>
            <w:r>
              <w:rPr>
                <w:rFonts w:hint="eastAsia"/>
                <w:highlight w:val="none"/>
              </w:rPr>
              <w:t>投标文件存在列放位置错误，导致属于信息公开情形的没有被公开；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highlight w:val="none"/>
              </w:rPr>
            </w:pPr>
            <w:r>
              <w:rPr>
                <w:rFonts w:ascii="Calibri" w:hAnsi="Calibri" w:eastAsia="宋体" w:cs="Times New Roman"/>
                <w:highlight w:val="none"/>
              </w:rPr>
              <w:t>9</w:t>
            </w:r>
          </w:p>
        </w:tc>
        <w:tc>
          <w:tcPr>
            <w:tcW w:w="8704" w:type="dxa"/>
            <w:tcBorders>
              <w:top w:val="single" w:color="000000" w:sz="8" w:space="0"/>
              <w:left w:val="single" w:color="000000" w:sz="8" w:space="0"/>
              <w:bottom w:val="single" w:color="000000" w:sz="8" w:space="0"/>
              <w:right w:val="single" w:color="000000" w:sz="8" w:space="0"/>
            </w:tcBorders>
          </w:tcPr>
          <w:p>
            <w:pPr>
              <w:widowControl/>
              <w:spacing w:line="290" w:lineRule="exact"/>
              <w:jc w:val="left"/>
              <w:textAlignment w:val="top"/>
              <w:rPr>
                <w:szCs w:val="21"/>
                <w:highlight w:val="none"/>
              </w:rPr>
            </w:pPr>
            <w:r>
              <w:rPr>
                <w:rFonts w:hint="eastAsia"/>
                <w:highlight w:val="none"/>
              </w:rPr>
              <w:t>投标文件电子文档</w:t>
            </w:r>
            <w:r>
              <w:rPr>
                <w:rFonts w:hint="eastAsia"/>
                <w:highlight w:val="none"/>
                <w:lang w:val="en-US" w:eastAsia="zh-CN"/>
              </w:rPr>
              <w:t>不得</w:t>
            </w:r>
            <w:r>
              <w:rPr>
                <w:rFonts w:hint="eastAsia"/>
                <w:highlight w:val="none"/>
              </w:rPr>
              <w:t>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highlight w:val="none"/>
              </w:rPr>
            </w:pPr>
            <w:r>
              <w:rPr>
                <w:rFonts w:ascii="Calibri" w:hAnsi="Calibri" w:eastAsia="宋体" w:cs="Times New Roman"/>
                <w:highlight w:val="none"/>
              </w:rPr>
              <w:t>10</w:t>
            </w:r>
          </w:p>
        </w:tc>
        <w:tc>
          <w:tcPr>
            <w:tcW w:w="8704" w:type="dxa"/>
            <w:tcBorders>
              <w:top w:val="single" w:color="000000" w:sz="8" w:space="0"/>
              <w:left w:val="single" w:color="000000" w:sz="8" w:space="0"/>
              <w:bottom w:val="single" w:color="000000" w:sz="8" w:space="0"/>
              <w:right w:val="single" w:color="000000" w:sz="8" w:space="0"/>
            </w:tcBorders>
          </w:tcPr>
          <w:p>
            <w:pPr>
              <w:widowControl/>
              <w:spacing w:line="290" w:lineRule="exact"/>
              <w:jc w:val="left"/>
              <w:textAlignment w:val="top"/>
              <w:rPr>
                <w:rFonts w:ascii="宋体" w:hAnsi="宋体" w:eastAsia="宋体"/>
                <w:szCs w:val="21"/>
                <w:highlight w:val="none"/>
              </w:rPr>
            </w:pPr>
            <w:r>
              <w:rPr>
                <w:rFonts w:hint="eastAsia" w:ascii="宋体" w:hAnsi="宋体" w:eastAsia="宋体"/>
                <w:highlight w:val="none"/>
              </w:rPr>
              <w:t>投标文件用不属于本公司的电子密钥或电子营业执照进行加密的；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hint="default" w:ascii="Calibri" w:hAnsi="Calibri" w:eastAsia="宋体" w:cs="Times New Roman"/>
                <w:highlight w:val="none"/>
                <w:lang w:val="en-US" w:eastAsia="zh-CN"/>
              </w:rPr>
            </w:pPr>
            <w:r>
              <w:rPr>
                <w:rFonts w:hint="eastAsia" w:ascii="Calibri" w:hAnsi="Calibri" w:eastAsia="宋体" w:cs="Times New Roman"/>
                <w:highlight w:val="none"/>
                <w:lang w:val="en-US" w:eastAsia="zh-CN"/>
              </w:rPr>
              <w:t>11</w:t>
            </w:r>
          </w:p>
        </w:tc>
        <w:tc>
          <w:tcPr>
            <w:tcW w:w="8704" w:type="dxa"/>
            <w:tcBorders>
              <w:top w:val="single" w:color="000000" w:sz="8" w:space="0"/>
              <w:left w:val="single" w:color="000000" w:sz="8" w:space="0"/>
              <w:bottom w:val="single" w:color="000000" w:sz="8" w:space="0"/>
              <w:right w:val="single" w:color="000000" w:sz="8" w:space="0"/>
            </w:tcBorders>
          </w:tcPr>
          <w:p>
            <w:pPr>
              <w:widowControl/>
              <w:spacing w:line="290" w:lineRule="exact"/>
              <w:jc w:val="left"/>
              <w:textAlignment w:val="top"/>
              <w:rPr>
                <w:rFonts w:hint="eastAsia"/>
                <w:highlight w:val="none"/>
              </w:rPr>
            </w:pPr>
            <w:r>
              <w:rPr>
                <w:rFonts w:hint="eastAsia" w:ascii="宋体" w:hAnsi="宋体" w:eastAsia="宋体"/>
                <w:highlight w:val="none"/>
              </w:rPr>
              <w:t>经核实，不同投标供应商的投标文件由同一电子设备编制、加密或者上传的；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hint="default" w:ascii="Calibri" w:hAnsi="Calibri" w:eastAsia="宋体" w:cs="Times New Roman"/>
                <w:highlight w:val="none"/>
                <w:lang w:val="en-US" w:eastAsia="zh-CN"/>
              </w:rPr>
            </w:pPr>
            <w:r>
              <w:rPr>
                <w:rFonts w:hint="eastAsia" w:ascii="Calibri" w:hAnsi="Calibri" w:eastAsia="宋体" w:cs="Times New Roman"/>
                <w:highlight w:val="none"/>
                <w:lang w:val="en-US" w:eastAsia="zh-CN"/>
              </w:rPr>
              <w:t>12</w:t>
            </w:r>
          </w:p>
        </w:tc>
        <w:tc>
          <w:tcPr>
            <w:tcW w:w="8704" w:type="dxa"/>
            <w:tcBorders>
              <w:top w:val="single" w:color="000000" w:sz="8" w:space="0"/>
              <w:left w:val="single" w:color="000000" w:sz="8" w:space="0"/>
              <w:bottom w:val="single" w:color="000000" w:sz="8" w:space="0"/>
              <w:right w:val="single" w:color="000000" w:sz="8" w:space="0"/>
            </w:tcBorders>
          </w:tcPr>
          <w:p>
            <w:pPr>
              <w:widowControl/>
              <w:spacing w:line="290" w:lineRule="exact"/>
              <w:jc w:val="left"/>
              <w:textAlignment w:val="top"/>
              <w:rPr>
                <w:szCs w:val="21"/>
                <w:highlight w:val="none"/>
              </w:rPr>
            </w:pPr>
            <w:r>
              <w:rPr>
                <w:rFonts w:hint="eastAsia"/>
                <w:highlight w:val="none"/>
              </w:rPr>
              <w:t>法律、法规、规章、规范性文件规定的其他情形。</w:t>
            </w:r>
          </w:p>
        </w:tc>
      </w:tr>
    </w:tbl>
    <w:p>
      <w:pPr>
        <w:tabs>
          <w:tab w:val="left" w:pos="2790"/>
        </w:tabs>
        <w:snapToGrid w:val="0"/>
        <w:jc w:val="left"/>
        <w:rPr>
          <w:rFonts w:hint="eastAsia"/>
          <w:sz w:val="24"/>
          <w:szCs w:val="24"/>
          <w:highlight w:val="none"/>
        </w:rPr>
      </w:pPr>
    </w:p>
    <w:p>
      <w:pPr>
        <w:tabs>
          <w:tab w:val="left" w:pos="2790"/>
        </w:tabs>
        <w:snapToGrid w:val="0"/>
        <w:jc w:val="left"/>
        <w:rPr>
          <w:rFonts w:hint="eastAsia"/>
          <w:sz w:val="24"/>
          <w:szCs w:val="24"/>
          <w:highlight w:val="none"/>
        </w:rPr>
      </w:pPr>
    </w:p>
    <w:p>
      <w:pPr>
        <w:tabs>
          <w:tab w:val="left" w:pos="2790"/>
        </w:tabs>
        <w:snapToGrid w:val="0"/>
        <w:jc w:val="left"/>
        <w:rPr>
          <w:rFonts w:hint="eastAsia"/>
          <w:sz w:val="24"/>
          <w:szCs w:val="24"/>
          <w:highlight w:val="none"/>
        </w:rPr>
      </w:pPr>
    </w:p>
    <w:p>
      <w:pPr>
        <w:tabs>
          <w:tab w:val="left" w:pos="2790"/>
        </w:tabs>
        <w:snapToGrid w:val="0"/>
        <w:jc w:val="left"/>
        <w:rPr>
          <w:rFonts w:hint="eastAsia"/>
          <w:sz w:val="24"/>
          <w:szCs w:val="24"/>
          <w:highlight w:val="none"/>
        </w:rPr>
      </w:pPr>
    </w:p>
    <w:p>
      <w:pPr>
        <w:pStyle w:val="14"/>
        <w:keepNext w:val="0"/>
        <w:keepLines w:val="0"/>
        <w:pageBreakBefore w:val="0"/>
        <w:widowControl/>
        <w:kinsoku/>
        <w:wordWrap/>
        <w:overflowPunct/>
        <w:topLinePunct w:val="0"/>
        <w:autoSpaceDE/>
        <w:autoSpaceDN/>
        <w:bidi w:val="0"/>
        <w:adjustRightInd/>
        <w:snapToGrid/>
        <w:jc w:val="center"/>
        <w:textAlignment w:val="auto"/>
        <w:outlineLvl w:val="0"/>
        <w:rPr>
          <w:rFonts w:ascii="黑体" w:eastAsia="黑体"/>
          <w:sz w:val="40"/>
          <w:szCs w:val="40"/>
          <w:highlight w:val="none"/>
        </w:rPr>
      </w:pPr>
      <w:r>
        <w:rPr>
          <w:rFonts w:hint="eastAsia" w:ascii="黑体" w:hAnsi="黑体" w:eastAsia="黑体"/>
          <w:sz w:val="40"/>
          <w:szCs w:val="40"/>
          <w:highlight w:val="none"/>
        </w:rPr>
        <w:t>评标信息</w:t>
      </w:r>
    </w:p>
    <w:p>
      <w:pPr>
        <w:rPr>
          <w:rFonts w:hint="default" w:eastAsiaTheme="minorEastAsia"/>
          <w:highlight w:val="none"/>
          <w:lang w:val="en-US" w:eastAsia="zh-CN"/>
        </w:rPr>
      </w:pPr>
      <w:r>
        <w:rPr>
          <w:rFonts w:ascii="宋体" w:hAnsi="宋体"/>
          <w:b/>
          <w:bCs/>
          <w:highlight w:val="none"/>
        </w:rPr>
        <w:t>评标方法：综合评分法</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Cs w:val="21"/>
          <w:highlight w:val="none"/>
        </w:rPr>
      </w:pPr>
      <w:r>
        <w:rPr>
          <w:rFonts w:hint="eastAsia"/>
          <w:highlight w:val="none"/>
        </w:rPr>
        <w:sym w:font="Wingdings" w:char="00A8"/>
      </w:r>
      <w:r>
        <w:rPr>
          <w:rFonts w:hint="eastAsia"/>
          <w:szCs w:val="21"/>
          <w:highlight w:val="none"/>
        </w:rPr>
        <w:t>最低价法，是指投标文件满足招标文件全部实质性要求，且投标报价最低的投标人为中标候选人的评标方法。采用最低价法评标时，除了算术修正和落实政府采购政策需进行的价格扣除外，不能对投标人的投标价格进行任何调整。</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rFonts w:hint="eastAsia" w:eastAsia="宋体"/>
          <w:szCs w:val="21"/>
          <w:highlight w:val="none"/>
          <w:lang w:eastAsia="zh-CN"/>
        </w:rPr>
      </w:pPr>
      <w:r>
        <w:rPr>
          <w:szCs w:val="21"/>
          <w:highlight w:val="none"/>
        </w:rPr>
        <w:sym w:font="Wingdings" w:char="00FE"/>
      </w:r>
      <w:r>
        <w:rPr>
          <w:szCs w:val="21"/>
          <w:highlight w:val="none"/>
        </w:rPr>
        <w:t>综合评分法，</w:t>
      </w:r>
      <w:r>
        <w:rPr>
          <w:rFonts w:hint="eastAsia"/>
          <w:szCs w:val="21"/>
          <w:highlight w:val="none"/>
        </w:rPr>
        <w:t>是指投标文件满足招标文件全部实质性要求，且按照评审因素的量化指标评审得分最高的投标人为中标候选人的评标方法。</w:t>
      </w:r>
    </w:p>
    <w:p>
      <w:pPr>
        <w:spacing w:line="324" w:lineRule="auto"/>
        <w:ind w:firstLine="420"/>
        <w:rPr>
          <w:highlight w:val="none"/>
        </w:rPr>
      </w:pPr>
    </w:p>
    <w:p>
      <w:pPr>
        <w:ind w:firstLine="420"/>
        <w:rPr>
          <w:highlight w:val="none"/>
        </w:rPr>
      </w:pPr>
      <w:r>
        <w:rPr>
          <w:rFonts w:ascii="宋体" w:hAnsi="宋体"/>
          <w:highlight w:val="none"/>
        </w:rPr>
        <w:t>价格分计算方法：</w:t>
      </w:r>
    </w:p>
    <w:p>
      <w:pPr>
        <w:rPr>
          <w:rFonts w:hint="eastAsia" w:eastAsiaTheme="minorEastAsia"/>
          <w:highlight w:val="none"/>
          <w:lang w:eastAsia="zh-CN"/>
        </w:rPr>
      </w:pPr>
      <w:r>
        <w:rPr>
          <w:rFonts w:ascii="宋体" w:hAnsi="宋体"/>
          <w:highlight w:val="none"/>
        </w:rPr>
        <w:t>采用低价优先法计算，即满足招标文件要求且投标价格最低的投标报价为评标基准价，其价格分为满分。其他投标人的价格分统一按照下列公式计算：</w:t>
      </w:r>
      <w:r>
        <w:rPr>
          <w:highlight w:val="none"/>
        </w:rPr>
        <w:t xml:space="preserve"> </w:t>
      </w:r>
    </w:p>
    <w:p>
      <w:pPr>
        <w:rPr>
          <w:rFonts w:hint="eastAsia" w:eastAsiaTheme="minorEastAsia"/>
          <w:highlight w:val="none"/>
          <w:lang w:eastAsia="zh-CN"/>
        </w:rPr>
      </w:pPr>
      <w:r>
        <w:rPr>
          <w:rFonts w:ascii="宋体" w:hAnsi="宋体"/>
          <w:highlight w:val="none"/>
        </w:rPr>
        <w:t>投标报价得分</w:t>
      </w:r>
      <w:r>
        <w:rPr>
          <w:highlight w:val="none"/>
        </w:rPr>
        <w:t>=(</w:t>
      </w:r>
      <w:r>
        <w:rPr>
          <w:rFonts w:ascii="宋体" w:hAnsi="宋体"/>
          <w:highlight w:val="none"/>
        </w:rPr>
        <w:t>评标基准价／投标报价</w:t>
      </w:r>
      <w:r>
        <w:rPr>
          <w:highlight w:val="none"/>
        </w:rPr>
        <w:t xml:space="preserve">)×100 </w:t>
      </w:r>
    </w:p>
    <w:p>
      <w:pPr>
        <w:rPr>
          <w:rFonts w:hint="eastAsia" w:eastAsiaTheme="minorEastAsia"/>
          <w:highlight w:val="none"/>
          <w:lang w:eastAsia="zh-CN"/>
        </w:rPr>
      </w:pPr>
      <w:r>
        <w:rPr>
          <w:rFonts w:ascii="宋体" w:hAnsi="宋体"/>
          <w:highlight w:val="none"/>
        </w:rPr>
        <w:t>评标总得分＝</w:t>
      </w:r>
      <w:r>
        <w:rPr>
          <w:highlight w:val="none"/>
        </w:rPr>
        <w:t>F1×A1</w:t>
      </w:r>
      <w:r>
        <w:rPr>
          <w:rFonts w:ascii="宋体" w:hAnsi="宋体"/>
          <w:highlight w:val="none"/>
        </w:rPr>
        <w:t>＋</w:t>
      </w:r>
      <w:r>
        <w:rPr>
          <w:highlight w:val="none"/>
        </w:rPr>
        <w:t>F2×A2</w:t>
      </w:r>
      <w:r>
        <w:rPr>
          <w:rFonts w:ascii="宋体" w:hAnsi="宋体"/>
          <w:highlight w:val="none"/>
        </w:rPr>
        <w:t>＋</w:t>
      </w:r>
      <w:r>
        <w:rPr>
          <w:highlight w:val="none"/>
        </w:rPr>
        <w:t>……</w:t>
      </w:r>
      <w:r>
        <w:rPr>
          <w:rFonts w:ascii="宋体" w:hAnsi="宋体"/>
          <w:highlight w:val="none"/>
        </w:rPr>
        <w:t>＋</w:t>
      </w:r>
      <w:r>
        <w:rPr>
          <w:highlight w:val="none"/>
        </w:rPr>
        <w:t xml:space="preserve">Fn×An </w:t>
      </w:r>
    </w:p>
    <w:p>
      <w:pPr>
        <w:rPr>
          <w:rFonts w:hint="eastAsia" w:ascii="宋体" w:hAnsi="宋体" w:eastAsiaTheme="minorEastAsia"/>
          <w:highlight w:val="none"/>
          <w:lang w:eastAsia="zh-CN"/>
        </w:rPr>
      </w:pPr>
      <w:r>
        <w:rPr>
          <w:highlight w:val="none"/>
        </w:rPr>
        <w:t>F1</w:t>
      </w:r>
      <w:r>
        <w:rPr>
          <w:rFonts w:ascii="宋体" w:hAnsi="宋体"/>
          <w:highlight w:val="none"/>
        </w:rPr>
        <w:t>、</w:t>
      </w:r>
      <w:r>
        <w:rPr>
          <w:highlight w:val="none"/>
        </w:rPr>
        <w:t>F2……Fn</w:t>
      </w:r>
      <w:r>
        <w:rPr>
          <w:rFonts w:ascii="宋体" w:hAnsi="宋体"/>
          <w:highlight w:val="none"/>
        </w:rPr>
        <w:t xml:space="preserve">分别为各项评审因素的得分； </w:t>
      </w:r>
    </w:p>
    <w:p>
      <w:pPr>
        <w:rPr>
          <w:rFonts w:hint="eastAsia" w:ascii="宋体" w:hAnsi="宋体" w:eastAsiaTheme="minorEastAsia"/>
          <w:highlight w:val="none"/>
          <w:lang w:eastAsia="zh-CN"/>
        </w:rPr>
      </w:pPr>
      <w:r>
        <w:rPr>
          <w:highlight w:val="none"/>
        </w:rPr>
        <w:t>A1</w:t>
      </w:r>
      <w:r>
        <w:rPr>
          <w:rFonts w:ascii="宋体" w:hAnsi="宋体"/>
          <w:highlight w:val="none"/>
        </w:rPr>
        <w:t>、</w:t>
      </w:r>
      <w:r>
        <w:rPr>
          <w:highlight w:val="none"/>
        </w:rPr>
        <w:t>A2</w:t>
      </w:r>
      <w:r>
        <w:rPr>
          <w:rFonts w:ascii="宋体" w:hAnsi="宋体"/>
          <w:highlight w:val="none"/>
        </w:rPr>
        <w:t>、</w:t>
      </w:r>
      <w:r>
        <w:rPr>
          <w:highlight w:val="none"/>
        </w:rPr>
        <w:t xml:space="preserve">……An </w:t>
      </w:r>
      <w:r>
        <w:rPr>
          <w:rFonts w:ascii="宋体" w:hAnsi="宋体"/>
          <w:highlight w:val="none"/>
        </w:rPr>
        <w:t>分别为各项评审因素所占的权重</w:t>
      </w:r>
      <w:r>
        <w:rPr>
          <w:highlight w:val="none"/>
        </w:rPr>
        <w:t>(A1</w:t>
      </w:r>
      <w:r>
        <w:rPr>
          <w:rFonts w:ascii="宋体" w:hAnsi="宋体"/>
          <w:highlight w:val="none"/>
        </w:rPr>
        <w:t>＋</w:t>
      </w:r>
      <w:r>
        <w:rPr>
          <w:highlight w:val="none"/>
        </w:rPr>
        <w:t>A2</w:t>
      </w:r>
      <w:r>
        <w:rPr>
          <w:rFonts w:ascii="宋体" w:hAnsi="宋体"/>
          <w:highlight w:val="none"/>
        </w:rPr>
        <w:t>＋</w:t>
      </w:r>
      <w:r>
        <w:rPr>
          <w:highlight w:val="none"/>
        </w:rPr>
        <w:t>……</w:t>
      </w:r>
      <w:r>
        <w:rPr>
          <w:rFonts w:ascii="宋体" w:hAnsi="宋体"/>
          <w:highlight w:val="none"/>
        </w:rPr>
        <w:t>＋</w:t>
      </w:r>
      <w:r>
        <w:rPr>
          <w:highlight w:val="none"/>
        </w:rPr>
        <w:t>An</w:t>
      </w:r>
      <w:r>
        <w:rPr>
          <w:rFonts w:ascii="宋体" w:hAnsi="宋体"/>
          <w:highlight w:val="none"/>
        </w:rPr>
        <w:t>＝</w:t>
      </w:r>
      <w:r>
        <w:rPr>
          <w:highlight w:val="none"/>
        </w:rPr>
        <w:t>1)</w:t>
      </w:r>
      <w:r>
        <w:rPr>
          <w:rFonts w:ascii="宋体" w:hAnsi="宋体"/>
          <w:highlight w:val="none"/>
        </w:rPr>
        <w:t xml:space="preserve">。 </w:t>
      </w:r>
    </w:p>
    <w:p>
      <w:pPr>
        <w:rPr>
          <w:rFonts w:hint="eastAsia" w:eastAsiaTheme="minorEastAsia"/>
          <w:highlight w:val="none"/>
          <w:lang w:eastAsia="zh-CN"/>
        </w:rPr>
      </w:pPr>
      <w:r>
        <w:rPr>
          <w:rFonts w:ascii="宋体" w:hAnsi="宋体"/>
          <w:highlight w:val="none"/>
        </w:rPr>
        <w:t>评标过程中，不得去掉报价中的最高报价和最低报价。</w:t>
      </w:r>
      <w:r>
        <w:rPr>
          <w:highlight w:val="none"/>
        </w:rPr>
        <w:t xml:space="preserve"> </w:t>
      </w:r>
    </w:p>
    <w:p>
      <w:pPr>
        <w:rPr>
          <w:highlight w:val="none"/>
        </w:rPr>
      </w:pPr>
      <w:r>
        <w:rPr>
          <w:rFonts w:hint="eastAsia"/>
          <w:highlight w:val="none"/>
        </w:rPr>
        <w:t>因落实政府采购政策进行价格调整的，以调整后的价格计算评标基准价和投标报价。</w:t>
      </w:r>
    </w:p>
    <w:tbl>
      <w:tblPr>
        <w:tblStyle w:val="16"/>
        <w:tblW w:w="929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fixed"/>
        <w:tblCellMar>
          <w:top w:w="20" w:type="dxa"/>
          <w:left w:w="108" w:type="dxa"/>
          <w:bottom w:w="20" w:type="dxa"/>
          <w:right w:w="108" w:type="dxa"/>
        </w:tblCellMar>
      </w:tblPr>
      <w:tblGrid>
        <w:gridCol w:w="700"/>
        <w:gridCol w:w="660"/>
        <w:gridCol w:w="1793"/>
        <w:gridCol w:w="639"/>
        <w:gridCol w:w="55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20" w:type="dxa"/>
            <w:left w:w="108" w:type="dxa"/>
            <w:bottom w:w="20" w:type="dxa"/>
            <w:right w:w="108" w:type="dxa"/>
          </w:tblCellMar>
        </w:tblPrEx>
        <w:trPr>
          <w:jc w:val="center"/>
        </w:trPr>
        <w:tc>
          <w:tcPr>
            <w:tcW w:w="7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3092"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评分项</w:t>
            </w:r>
          </w:p>
        </w:tc>
        <w:tc>
          <w:tcPr>
            <w:tcW w:w="55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20" w:type="dxa"/>
            <w:left w:w="108" w:type="dxa"/>
            <w:bottom w:w="20" w:type="dxa"/>
            <w:right w:w="108" w:type="dxa"/>
          </w:tblCellMar>
        </w:tblPrEx>
        <w:trPr>
          <w:jc w:val="center"/>
        </w:trPr>
        <w:tc>
          <w:tcPr>
            <w:tcW w:w="70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Next w:val="0"/>
              <w:keepLines w:val="0"/>
              <w:suppressLineNumbers w:val="0"/>
              <w:snapToGrid w:val="0"/>
              <w:spacing w:before="0" w:beforeAutospacing="0" w:after="0" w:afterAutospacing="0"/>
              <w:ind w:left="0" w:right="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w:t>
            </w:r>
          </w:p>
        </w:tc>
        <w:tc>
          <w:tcPr>
            <w:tcW w:w="3092"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Next w:val="0"/>
              <w:keepLines w:val="0"/>
              <w:suppressLineNumbers w:val="0"/>
              <w:snapToGrid w:val="0"/>
              <w:spacing w:before="0" w:beforeAutospacing="0" w:after="0" w:afterAutospacing="0"/>
              <w:ind w:left="0" w:right="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价格</w:t>
            </w:r>
          </w:p>
        </w:tc>
        <w:tc>
          <w:tcPr>
            <w:tcW w:w="550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Next w:val="0"/>
              <w:keepLines w:val="0"/>
              <w:suppressLineNumbers w:val="0"/>
              <w:snapToGrid w:val="0"/>
              <w:spacing w:before="0" w:beforeAutospacing="0" w:after="0" w:afterAutospacing="0"/>
              <w:ind w:left="0" w:right="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20" w:type="dxa"/>
            <w:left w:w="108" w:type="dxa"/>
            <w:bottom w:w="20" w:type="dxa"/>
            <w:right w:w="108" w:type="dxa"/>
          </w:tblCellMar>
        </w:tblPrEx>
        <w:trPr>
          <w:jc w:val="center"/>
        </w:trPr>
        <w:tc>
          <w:tcPr>
            <w:tcW w:w="700" w:type="dxa"/>
            <w:vMerge w:val="restart"/>
            <w:tcBorders>
              <w:top w:val="single" w:color="000000" w:sz="8" w:space="0"/>
              <w:left w:val="single" w:color="000000" w:sz="8" w:space="0"/>
              <w:right w:val="single" w:color="000000" w:sz="8" w:space="0"/>
            </w:tcBorders>
            <w:shd w:val="clear" w:color="auto" w:fill="FFFFFF"/>
            <w:noWrap w:val="0"/>
            <w:vAlign w:val="top"/>
          </w:tcPr>
          <w:p>
            <w:pPr>
              <w:keepNext w:val="0"/>
              <w:keepLines w:val="0"/>
              <w:suppressLineNumbers w:val="0"/>
              <w:snapToGrid w:val="0"/>
              <w:spacing w:before="0" w:beforeAutospacing="0" w:after="0" w:afterAutospacing="0"/>
              <w:ind w:left="0" w:right="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w:t>
            </w:r>
          </w:p>
        </w:tc>
        <w:tc>
          <w:tcPr>
            <w:tcW w:w="3092"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Next w:val="0"/>
              <w:keepLines w:val="0"/>
              <w:suppressLineNumbers w:val="0"/>
              <w:snapToGrid w:val="0"/>
              <w:spacing w:before="0" w:beforeAutospacing="0" w:after="0" w:afterAutospacing="0"/>
              <w:ind w:left="0" w:right="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技术部分</w:t>
            </w:r>
          </w:p>
        </w:tc>
        <w:tc>
          <w:tcPr>
            <w:tcW w:w="550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Next w:val="0"/>
              <w:keepLines w:val="0"/>
              <w:suppressLineNumbers w:val="0"/>
              <w:snapToGrid w:val="0"/>
              <w:spacing w:before="0" w:beforeAutospacing="0" w:after="0" w:afterAutospacing="0"/>
              <w:ind w:left="0" w:right="0"/>
              <w:jc w:val="center"/>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59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00" w:type="dxa"/>
            <w:vMerge w:val="continue"/>
            <w:tcBorders>
              <w:left w:val="single" w:color="000000" w:sz="8" w:space="0"/>
              <w:right w:val="single" w:color="000000" w:sz="8" w:space="0"/>
            </w:tcBorders>
            <w:shd w:val="clear" w:color="auto" w:fill="FFFFFF"/>
            <w:noWrap w:val="0"/>
            <w:vAlign w:val="center"/>
          </w:tcPr>
          <w:p>
            <w:pPr>
              <w:keepNext w:val="0"/>
              <w:keepLines w:val="0"/>
              <w:suppressLineNumbers w:val="0"/>
              <w:snapToGrid w:val="0"/>
              <w:spacing w:before="0" w:beforeAutospacing="0" w:after="0" w:afterAutospacing="0"/>
              <w:ind w:left="0" w:right="0"/>
              <w:rPr>
                <w:rFonts w:hint="eastAsia" w:ascii="宋体" w:hAnsi="宋体" w:eastAsia="宋体" w:cs="宋体"/>
                <w:b/>
                <w:bCs/>
                <w:sz w:val="21"/>
                <w:szCs w:val="21"/>
                <w:highlight w:val="none"/>
              </w:rPr>
            </w:pPr>
          </w:p>
        </w:tc>
        <w:tc>
          <w:tcPr>
            <w:tcW w:w="66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79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评分因素</w:t>
            </w:r>
          </w:p>
        </w:tc>
        <w:tc>
          <w:tcPr>
            <w:tcW w:w="639"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权重</w:t>
            </w:r>
            <w:r>
              <w:rPr>
                <w:rFonts w:hint="eastAsia" w:ascii="宋体" w:hAnsi="宋体" w:eastAsia="宋体" w:cs="宋体"/>
                <w:bCs/>
                <w:sz w:val="21"/>
                <w:szCs w:val="21"/>
                <w:highlight w:val="none"/>
              </w:rPr>
              <w:t>（%）</w:t>
            </w:r>
          </w:p>
        </w:tc>
        <w:tc>
          <w:tcPr>
            <w:tcW w:w="550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00" w:type="dxa"/>
            <w:vMerge w:val="continue"/>
            <w:tcBorders>
              <w:left w:val="single" w:color="000000" w:sz="8" w:space="0"/>
              <w:right w:val="single" w:color="000000" w:sz="8" w:space="0"/>
            </w:tcBorders>
            <w:shd w:val="clear" w:color="auto" w:fill="FFFFFF"/>
            <w:noWrap w:val="0"/>
            <w:vAlign w:val="center"/>
          </w:tcPr>
          <w:p>
            <w:pPr>
              <w:keepNext w:val="0"/>
              <w:keepLines w:val="0"/>
              <w:suppressLineNumbers w:val="0"/>
              <w:snapToGrid w:val="0"/>
              <w:spacing w:before="0" w:beforeAutospacing="0" w:after="0" w:afterAutospacing="0"/>
              <w:ind w:left="0" w:right="0"/>
              <w:rPr>
                <w:rFonts w:hint="eastAsia" w:ascii="宋体" w:hAnsi="宋体" w:eastAsia="宋体" w:cs="宋体"/>
                <w:b/>
                <w:bCs/>
                <w:sz w:val="21"/>
                <w:szCs w:val="21"/>
                <w:highlight w:val="none"/>
              </w:rPr>
            </w:pPr>
          </w:p>
        </w:tc>
        <w:tc>
          <w:tcPr>
            <w:tcW w:w="6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7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suppressLineNumbers w:val="0"/>
              <w:spacing w:before="0" w:beforeAutospacing="0" w:after="60" w:afterAutospacing="0" w:line="300" w:lineRule="exact"/>
              <w:ind w:left="0" w:right="0"/>
              <w:jc w:val="center"/>
              <w:rPr>
                <w:rFonts w:hint="eastAsia" w:ascii="宋体" w:hAnsi="宋体" w:eastAsia="宋体" w:cs="宋体"/>
                <w:b/>
                <w:sz w:val="21"/>
                <w:szCs w:val="21"/>
                <w:highlight w:val="none"/>
              </w:rPr>
            </w:pPr>
            <w:r>
              <w:rPr>
                <w:rFonts w:hint="eastAsia" w:ascii="宋体" w:hAnsi="宋体" w:eastAsia="宋体"/>
                <w:szCs w:val="21"/>
                <w:highlight w:val="none"/>
              </w:rPr>
              <w:t>非“</w:t>
            </w:r>
            <w:r>
              <w:rPr>
                <w:rFonts w:hint="eastAsia" w:ascii="宋体" w:hAnsi="宋体" w:eastAsia="宋体"/>
                <w:bCs/>
                <w:szCs w:val="21"/>
                <w:highlight w:val="none"/>
              </w:rPr>
              <w:t>▲”参数</w:t>
            </w:r>
            <w:r>
              <w:rPr>
                <w:rFonts w:hint="eastAsia" w:ascii="宋体" w:hAnsi="宋体" w:eastAsia="宋体"/>
                <w:szCs w:val="21"/>
                <w:highlight w:val="none"/>
              </w:rPr>
              <w:t>响应情况评价</w:t>
            </w:r>
          </w:p>
        </w:tc>
        <w:tc>
          <w:tcPr>
            <w:tcW w:w="63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suppressLineNumbers w:val="0"/>
              <w:spacing w:before="0" w:beforeAutospacing="0" w:after="60" w:afterAutospacing="0" w:line="300" w:lineRule="exact"/>
              <w:ind w:left="0" w:right="0"/>
              <w:jc w:val="center"/>
              <w:rPr>
                <w:rFonts w:hint="default" w:ascii="宋体" w:hAnsi="宋体" w:eastAsia="宋体" w:cs="宋体"/>
                <w:sz w:val="21"/>
                <w:szCs w:val="21"/>
                <w:highlight w:val="none"/>
                <w:lang w:val="en-US"/>
              </w:rPr>
            </w:pPr>
            <w:r>
              <w:rPr>
                <w:rFonts w:hint="eastAsia" w:ascii="宋体" w:hAnsi="宋体"/>
                <w:szCs w:val="21"/>
                <w:highlight w:val="none"/>
                <w:lang w:val="en-US" w:eastAsia="zh-CN"/>
              </w:rPr>
              <w:t>10</w:t>
            </w:r>
          </w:p>
        </w:tc>
        <w:tc>
          <w:tcPr>
            <w:tcW w:w="550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Next w:val="0"/>
              <w:keepLines w:val="0"/>
              <w:widowControl/>
              <w:suppressLineNumbers w:val="0"/>
              <w:spacing w:before="0" w:beforeAutospacing="0" w:after="0" w:afterAutospacing="0" w:line="300" w:lineRule="exact"/>
              <w:ind w:left="0" w:right="0"/>
              <w:jc w:val="left"/>
              <w:rPr>
                <w:rFonts w:hint="default" w:ascii="宋体" w:hAnsi="宋体" w:eastAsia="宋体" w:cs="宋体"/>
                <w:b/>
                <w:bCs/>
                <w:kern w:val="0"/>
                <w:szCs w:val="21"/>
                <w:highlight w:val="none"/>
              </w:rPr>
            </w:pPr>
            <w:r>
              <w:rPr>
                <w:rFonts w:hint="eastAsia" w:ascii="宋体" w:hAnsi="宋体" w:eastAsia="宋体" w:cs="宋体"/>
                <w:b/>
                <w:bCs/>
                <w:kern w:val="0"/>
                <w:szCs w:val="21"/>
                <w:highlight w:val="none"/>
              </w:rPr>
              <w:t>（一）评审内容：</w:t>
            </w:r>
          </w:p>
          <w:p>
            <w:pPr>
              <w:keepNext w:val="0"/>
              <w:keepLines w:val="0"/>
              <w:widowControl/>
              <w:suppressLineNumbers w:val="0"/>
              <w:spacing w:before="0" w:beforeAutospacing="0" w:after="0" w:afterAutospacing="0" w:line="300" w:lineRule="exact"/>
              <w:ind w:left="0" w:right="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考察投标人对招标文件</w:t>
            </w:r>
            <w:r>
              <w:rPr>
                <w:rFonts w:hint="eastAsia" w:ascii="宋体" w:hAnsi="宋体" w:eastAsia="宋体" w:cs="宋体"/>
                <w:b/>
                <w:bCs/>
                <w:kern w:val="0"/>
                <w:szCs w:val="21"/>
                <w:highlight w:val="none"/>
              </w:rPr>
              <w:t>《第一册 专用条款 第三章 用户需求书：</w:t>
            </w:r>
            <w:r>
              <w:rPr>
                <w:rFonts w:hint="eastAsia" w:ascii="宋体" w:hAnsi="宋体" w:eastAsia="宋体" w:cs="宋体"/>
                <w:b/>
                <w:bCs/>
                <w:kern w:val="0"/>
                <w:szCs w:val="21"/>
                <w:highlight w:val="none"/>
                <w:lang w:val="en-US" w:eastAsia="zh-CN"/>
              </w:rPr>
              <w:t>五</w:t>
            </w:r>
            <w:r>
              <w:rPr>
                <w:rFonts w:hint="eastAsia" w:ascii="宋体" w:hAnsi="宋体" w:eastAsia="宋体" w:cs="宋体"/>
                <w:b/>
                <w:bCs/>
                <w:kern w:val="0"/>
                <w:szCs w:val="21"/>
                <w:highlight w:val="none"/>
              </w:rPr>
              <w:t>、技术</w:t>
            </w:r>
            <w:r>
              <w:rPr>
                <w:rFonts w:hint="eastAsia" w:ascii="宋体" w:hAnsi="宋体" w:eastAsia="宋体" w:cs="宋体"/>
                <w:b/>
                <w:bCs/>
                <w:kern w:val="0"/>
                <w:szCs w:val="21"/>
                <w:highlight w:val="none"/>
                <w:lang w:val="en-US" w:eastAsia="zh-CN"/>
              </w:rPr>
              <w:t>要求</w:t>
            </w:r>
            <w:r>
              <w:rPr>
                <w:rFonts w:hint="eastAsia" w:ascii="宋体" w:hAnsi="宋体" w:eastAsia="宋体" w:cs="宋体"/>
                <w:b/>
                <w:bCs/>
                <w:kern w:val="0"/>
                <w:szCs w:val="21"/>
                <w:highlight w:val="none"/>
              </w:rPr>
              <w:t>部分》</w:t>
            </w:r>
            <w:r>
              <w:rPr>
                <w:rFonts w:hint="eastAsia" w:ascii="宋体" w:hAnsi="宋体" w:eastAsia="宋体" w:cs="宋体"/>
                <w:kern w:val="0"/>
                <w:szCs w:val="21"/>
                <w:highlight w:val="none"/>
              </w:rPr>
              <w:t>内容中的</w:t>
            </w:r>
            <w:r>
              <w:rPr>
                <w:rFonts w:hint="eastAsia" w:ascii="宋体" w:hAnsi="宋体" w:eastAsia="宋体" w:cs="宋体"/>
                <w:b/>
                <w:kern w:val="0"/>
                <w:szCs w:val="21"/>
                <w:highlight w:val="none"/>
              </w:rPr>
              <w:t>非“▲”参数响应</w:t>
            </w:r>
            <w:r>
              <w:rPr>
                <w:rFonts w:hint="eastAsia" w:ascii="宋体" w:hAnsi="宋体" w:eastAsia="宋体" w:cs="宋体"/>
                <w:kern w:val="0"/>
                <w:szCs w:val="21"/>
                <w:highlight w:val="none"/>
              </w:rPr>
              <w:t>情况。</w:t>
            </w:r>
          </w:p>
          <w:p>
            <w:pPr>
              <w:keepNext w:val="0"/>
              <w:keepLines w:val="0"/>
              <w:suppressLineNumbers w:val="0"/>
              <w:spacing w:before="0" w:beforeAutospacing="0" w:after="0" w:afterAutospacing="0" w:line="300" w:lineRule="exact"/>
              <w:ind w:left="0" w:right="0"/>
              <w:rPr>
                <w:rFonts w:hint="default" w:ascii="宋体" w:hAnsi="宋体" w:eastAsia="宋体" w:cs="宋体"/>
                <w:b/>
                <w:bCs/>
                <w:color w:val="0000FF"/>
                <w:szCs w:val="21"/>
                <w:highlight w:val="none"/>
              </w:rPr>
            </w:pPr>
            <w:r>
              <w:rPr>
                <w:rFonts w:hint="eastAsia" w:ascii="宋体" w:hAnsi="宋体" w:eastAsia="宋体" w:cs="宋体"/>
                <w:b/>
                <w:bCs/>
                <w:color w:val="0000FF"/>
                <w:szCs w:val="21"/>
                <w:highlight w:val="none"/>
              </w:rPr>
              <w:t>（二）评审依据：</w:t>
            </w:r>
          </w:p>
          <w:p>
            <w:pPr>
              <w:keepNext w:val="0"/>
              <w:keepLines w:val="0"/>
              <w:suppressLineNumbers w:val="0"/>
              <w:spacing w:before="0" w:beforeAutospacing="0" w:after="60" w:afterAutospacing="0" w:line="300" w:lineRule="exact"/>
              <w:ind w:left="0" w:right="0"/>
              <w:rPr>
                <w:rFonts w:hint="eastAsia" w:ascii="宋体" w:hAnsi="宋体" w:eastAsia="宋体" w:cs="宋体"/>
                <w:sz w:val="21"/>
                <w:szCs w:val="21"/>
                <w:highlight w:val="none"/>
              </w:rPr>
            </w:pPr>
            <w:r>
              <w:rPr>
                <w:rFonts w:hint="eastAsia" w:ascii="宋体" w:hAnsi="宋体" w:eastAsia="宋体" w:cs="宋体"/>
                <w:color w:val="0000FF"/>
                <w:kern w:val="0"/>
                <w:szCs w:val="21"/>
                <w:highlight w:val="none"/>
              </w:rPr>
              <w:t>以投标文件《技术</w:t>
            </w:r>
            <w:r>
              <w:rPr>
                <w:rFonts w:hint="eastAsia" w:ascii="宋体" w:hAnsi="宋体" w:eastAsia="宋体" w:cs="宋体"/>
                <w:color w:val="0000FF"/>
                <w:kern w:val="0"/>
                <w:szCs w:val="21"/>
                <w:highlight w:val="none"/>
                <w:lang w:val="en-US" w:eastAsia="zh-CN"/>
              </w:rPr>
              <w:t>要求</w:t>
            </w:r>
            <w:r>
              <w:rPr>
                <w:rFonts w:hint="eastAsia" w:ascii="宋体" w:hAnsi="宋体" w:eastAsia="宋体" w:cs="宋体"/>
                <w:color w:val="0000FF"/>
                <w:kern w:val="0"/>
                <w:szCs w:val="21"/>
                <w:highlight w:val="none"/>
              </w:rPr>
              <w:t>偏离表》为评审依据，完全符合招标要求的，得100分。有1项非“▲”参数不符合招标要求（或缺漏）的扣</w:t>
            </w:r>
            <w:r>
              <w:rPr>
                <w:rFonts w:hint="eastAsia" w:ascii="宋体" w:hAnsi="宋体" w:cs="宋体"/>
                <w:color w:val="0000FF"/>
                <w:kern w:val="0"/>
                <w:szCs w:val="21"/>
                <w:highlight w:val="none"/>
                <w:lang w:val="en-US" w:eastAsia="zh-CN"/>
              </w:rPr>
              <w:t>1.93</w:t>
            </w:r>
            <w:r>
              <w:rPr>
                <w:rFonts w:hint="eastAsia" w:ascii="宋体" w:hAnsi="宋体" w:eastAsia="宋体" w:cs="宋体"/>
                <w:color w:val="0000FF"/>
                <w:kern w:val="0"/>
                <w:szCs w:val="21"/>
                <w:highlight w:val="none"/>
              </w:rPr>
              <w:t>分，最低得0分。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00" w:type="dxa"/>
            <w:vMerge w:val="continue"/>
            <w:tcBorders>
              <w:left w:val="single" w:color="000000" w:sz="8" w:space="0"/>
              <w:right w:val="single" w:color="000000" w:sz="8" w:space="0"/>
            </w:tcBorders>
            <w:shd w:val="clear" w:color="auto" w:fill="FFFFFF"/>
            <w:noWrap w:val="0"/>
            <w:vAlign w:val="center"/>
          </w:tcPr>
          <w:p>
            <w:pPr>
              <w:keepNext w:val="0"/>
              <w:keepLines w:val="0"/>
              <w:suppressLineNumbers w:val="0"/>
              <w:snapToGrid w:val="0"/>
              <w:spacing w:before="0" w:beforeAutospacing="0" w:after="0" w:afterAutospacing="0"/>
              <w:ind w:left="0" w:right="0"/>
              <w:rPr>
                <w:rFonts w:hint="eastAsia" w:ascii="宋体" w:hAnsi="宋体" w:eastAsia="宋体" w:cs="宋体"/>
                <w:b/>
                <w:bCs/>
                <w:sz w:val="21"/>
                <w:szCs w:val="21"/>
                <w:highlight w:val="none"/>
              </w:rPr>
            </w:pPr>
          </w:p>
        </w:tc>
        <w:tc>
          <w:tcPr>
            <w:tcW w:w="6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7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suppressLineNumbers w:val="0"/>
              <w:spacing w:before="0" w:beforeAutospacing="0" w:after="60" w:afterAutospacing="0" w:line="300" w:lineRule="exact"/>
              <w:ind w:left="0" w:right="0"/>
              <w:jc w:val="center"/>
              <w:rPr>
                <w:rFonts w:hint="eastAsia" w:ascii="宋体" w:hAnsi="宋体" w:eastAsia="宋体" w:cs="宋体"/>
                <w:b/>
                <w:sz w:val="21"/>
                <w:szCs w:val="21"/>
                <w:highlight w:val="none"/>
              </w:rPr>
            </w:pPr>
            <w:r>
              <w:rPr>
                <w:rFonts w:hint="eastAsia" w:ascii="宋体" w:hAnsi="宋体" w:eastAsia="宋体"/>
                <w:bCs/>
                <w:szCs w:val="21"/>
                <w:highlight w:val="none"/>
              </w:rPr>
              <w:t>“▲”参数响应</w:t>
            </w:r>
            <w:r>
              <w:rPr>
                <w:rFonts w:hint="default" w:ascii="宋体" w:hAnsi="宋体" w:eastAsia="宋体"/>
                <w:bCs/>
                <w:szCs w:val="21"/>
                <w:highlight w:val="none"/>
              </w:rPr>
              <w:t>情况评价</w:t>
            </w:r>
          </w:p>
        </w:tc>
        <w:tc>
          <w:tcPr>
            <w:tcW w:w="63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suppressLineNumbers w:val="0"/>
              <w:spacing w:before="0" w:beforeAutospacing="0" w:after="60" w:afterAutospacing="0" w:line="300" w:lineRule="exact"/>
              <w:ind w:left="0" w:right="0"/>
              <w:jc w:val="center"/>
              <w:rPr>
                <w:rFonts w:hint="default" w:ascii="宋体" w:hAnsi="宋体" w:eastAsia="宋体" w:cs="宋体"/>
                <w:sz w:val="21"/>
                <w:szCs w:val="21"/>
                <w:highlight w:val="none"/>
                <w:lang w:val="en-US"/>
              </w:rPr>
            </w:pPr>
            <w:r>
              <w:rPr>
                <w:rFonts w:hint="eastAsia" w:ascii="宋体" w:hAnsi="宋体"/>
                <w:szCs w:val="21"/>
                <w:highlight w:val="none"/>
                <w:lang w:val="en-US" w:eastAsia="zh-CN"/>
              </w:rPr>
              <w:t>33</w:t>
            </w:r>
          </w:p>
        </w:tc>
        <w:tc>
          <w:tcPr>
            <w:tcW w:w="550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Next w:val="0"/>
              <w:keepLines w:val="0"/>
              <w:widowControl/>
              <w:suppressLineNumbers w:val="0"/>
              <w:spacing w:before="0" w:beforeAutospacing="0" w:after="0" w:afterAutospacing="0" w:line="300" w:lineRule="exact"/>
              <w:ind w:left="0" w:right="0"/>
              <w:jc w:val="left"/>
              <w:rPr>
                <w:rFonts w:hint="default" w:ascii="宋体" w:hAnsi="宋体" w:eastAsia="宋体" w:cs="宋体"/>
                <w:b/>
                <w:bCs/>
                <w:kern w:val="0"/>
                <w:szCs w:val="21"/>
                <w:highlight w:val="none"/>
              </w:rPr>
            </w:pPr>
            <w:r>
              <w:rPr>
                <w:rFonts w:hint="eastAsia" w:ascii="宋体" w:hAnsi="宋体" w:eastAsia="宋体" w:cs="宋体"/>
                <w:b/>
                <w:bCs/>
                <w:kern w:val="0"/>
                <w:szCs w:val="21"/>
                <w:highlight w:val="none"/>
              </w:rPr>
              <w:t>（一）评审内容：</w:t>
            </w:r>
          </w:p>
          <w:p>
            <w:pPr>
              <w:keepNext w:val="0"/>
              <w:keepLines w:val="0"/>
              <w:widowControl/>
              <w:suppressLineNumbers w:val="0"/>
              <w:spacing w:before="0" w:beforeAutospacing="0" w:after="0" w:afterAutospacing="0" w:line="300" w:lineRule="exact"/>
              <w:ind w:left="0" w:right="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考察投标人对招标文件</w:t>
            </w:r>
            <w:r>
              <w:rPr>
                <w:rFonts w:hint="eastAsia" w:ascii="宋体" w:hAnsi="宋体" w:eastAsia="宋体" w:cs="宋体"/>
                <w:b/>
                <w:bCs/>
                <w:kern w:val="0"/>
                <w:szCs w:val="21"/>
                <w:highlight w:val="none"/>
              </w:rPr>
              <w:t>《第一册 专用条款 第三章 用户需求书：</w:t>
            </w:r>
            <w:r>
              <w:rPr>
                <w:rFonts w:hint="eastAsia" w:ascii="宋体" w:hAnsi="宋体" w:eastAsia="宋体" w:cs="宋体"/>
                <w:b/>
                <w:bCs/>
                <w:kern w:val="0"/>
                <w:szCs w:val="21"/>
                <w:highlight w:val="none"/>
                <w:lang w:val="en-US" w:eastAsia="zh-CN"/>
              </w:rPr>
              <w:t>五</w:t>
            </w:r>
            <w:r>
              <w:rPr>
                <w:rFonts w:hint="eastAsia" w:ascii="宋体" w:hAnsi="宋体" w:eastAsia="宋体" w:cs="宋体"/>
                <w:b/>
                <w:bCs/>
                <w:kern w:val="0"/>
                <w:szCs w:val="21"/>
                <w:highlight w:val="none"/>
              </w:rPr>
              <w:t>、技术</w:t>
            </w:r>
            <w:r>
              <w:rPr>
                <w:rFonts w:hint="eastAsia" w:ascii="宋体" w:hAnsi="宋体" w:eastAsia="宋体" w:cs="宋体"/>
                <w:b/>
                <w:bCs/>
                <w:kern w:val="0"/>
                <w:szCs w:val="21"/>
                <w:highlight w:val="none"/>
                <w:lang w:val="en-US" w:eastAsia="zh-CN"/>
              </w:rPr>
              <w:t>要求</w:t>
            </w:r>
            <w:r>
              <w:rPr>
                <w:rFonts w:hint="eastAsia" w:ascii="宋体" w:hAnsi="宋体" w:eastAsia="宋体" w:cs="宋体"/>
                <w:b/>
                <w:bCs/>
                <w:kern w:val="0"/>
                <w:szCs w:val="21"/>
                <w:highlight w:val="none"/>
              </w:rPr>
              <w:t>部分》</w:t>
            </w:r>
            <w:r>
              <w:rPr>
                <w:rFonts w:hint="eastAsia" w:ascii="宋体" w:hAnsi="宋体" w:eastAsia="宋体" w:cs="宋体"/>
                <w:kern w:val="0"/>
                <w:szCs w:val="21"/>
                <w:highlight w:val="none"/>
              </w:rPr>
              <w:t>内容中的</w:t>
            </w:r>
            <w:r>
              <w:rPr>
                <w:rFonts w:hint="eastAsia" w:ascii="宋体" w:hAnsi="宋体" w:eastAsia="宋体" w:cs="宋体"/>
                <w:b/>
                <w:kern w:val="0"/>
                <w:szCs w:val="21"/>
                <w:highlight w:val="none"/>
              </w:rPr>
              <w:t>“▲”参数响应</w:t>
            </w:r>
            <w:r>
              <w:rPr>
                <w:rFonts w:hint="eastAsia" w:ascii="宋体" w:hAnsi="宋体" w:eastAsia="宋体" w:cs="宋体"/>
                <w:kern w:val="0"/>
                <w:szCs w:val="21"/>
                <w:highlight w:val="none"/>
              </w:rPr>
              <w:t>情况。</w:t>
            </w:r>
          </w:p>
          <w:p>
            <w:pPr>
              <w:keepNext w:val="0"/>
              <w:keepLines w:val="0"/>
              <w:suppressLineNumbers w:val="0"/>
              <w:spacing w:before="0" w:beforeAutospacing="0" w:after="0" w:afterAutospacing="0" w:line="300" w:lineRule="exact"/>
              <w:ind w:left="0" w:right="0"/>
              <w:rPr>
                <w:rFonts w:hint="default" w:ascii="宋体" w:hAnsi="宋体" w:eastAsia="宋体" w:cs="宋体"/>
                <w:b/>
                <w:bCs/>
                <w:color w:val="0000FF"/>
                <w:szCs w:val="21"/>
                <w:highlight w:val="none"/>
              </w:rPr>
            </w:pPr>
            <w:r>
              <w:rPr>
                <w:rFonts w:hint="eastAsia" w:ascii="宋体" w:hAnsi="宋体" w:eastAsia="宋体" w:cs="宋体"/>
                <w:b/>
                <w:bCs/>
                <w:color w:val="0000FF"/>
                <w:szCs w:val="21"/>
                <w:highlight w:val="none"/>
              </w:rPr>
              <w:t>（二）评审依据：</w:t>
            </w:r>
          </w:p>
          <w:p>
            <w:pPr>
              <w:keepNext w:val="0"/>
              <w:keepLines w:val="0"/>
              <w:suppressLineNumbers w:val="0"/>
              <w:spacing w:before="0" w:beforeAutospacing="0" w:after="60" w:afterAutospacing="0" w:line="300" w:lineRule="exact"/>
              <w:ind w:left="0" w:right="0"/>
              <w:rPr>
                <w:rFonts w:hint="eastAsia" w:ascii="宋体" w:hAnsi="宋体" w:eastAsia="宋体" w:cs="宋体"/>
                <w:sz w:val="21"/>
                <w:szCs w:val="21"/>
                <w:highlight w:val="none"/>
              </w:rPr>
            </w:pPr>
            <w:r>
              <w:rPr>
                <w:rFonts w:hint="eastAsia" w:ascii="宋体" w:hAnsi="宋体" w:eastAsia="宋体" w:cs="宋体"/>
                <w:color w:val="0000FF"/>
                <w:kern w:val="0"/>
                <w:szCs w:val="21"/>
                <w:highlight w:val="none"/>
              </w:rPr>
              <w:t>以投标文件《技术</w:t>
            </w:r>
            <w:r>
              <w:rPr>
                <w:rFonts w:hint="eastAsia" w:ascii="宋体" w:hAnsi="宋体" w:eastAsia="宋体" w:cs="宋体"/>
                <w:color w:val="0000FF"/>
                <w:kern w:val="0"/>
                <w:szCs w:val="21"/>
                <w:highlight w:val="none"/>
                <w:lang w:val="en-US" w:eastAsia="zh-CN"/>
              </w:rPr>
              <w:t>要求</w:t>
            </w:r>
            <w:r>
              <w:rPr>
                <w:rFonts w:hint="eastAsia" w:ascii="宋体" w:hAnsi="宋体" w:eastAsia="宋体" w:cs="宋体"/>
                <w:color w:val="0000FF"/>
                <w:kern w:val="0"/>
                <w:szCs w:val="21"/>
                <w:highlight w:val="none"/>
              </w:rPr>
              <w:t>偏离表》为评审依据，完全符合招标要求的，得100分。有1项“▲”参数不符合招标要求（或缺漏）的扣</w:t>
            </w:r>
            <w:r>
              <w:rPr>
                <w:rFonts w:hint="eastAsia" w:ascii="宋体" w:hAnsi="宋体" w:cs="宋体"/>
                <w:color w:val="0000FF"/>
                <w:kern w:val="0"/>
                <w:szCs w:val="21"/>
                <w:highlight w:val="none"/>
                <w:lang w:val="en-US" w:eastAsia="zh-CN"/>
              </w:rPr>
              <w:t>9.09</w:t>
            </w:r>
            <w:r>
              <w:rPr>
                <w:rFonts w:hint="eastAsia" w:ascii="宋体" w:hAnsi="宋体" w:eastAsia="宋体" w:cs="宋体"/>
                <w:color w:val="0000FF"/>
                <w:kern w:val="0"/>
                <w:szCs w:val="21"/>
                <w:highlight w:val="none"/>
              </w:rPr>
              <w:t>分，最低得0分。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00" w:type="dxa"/>
            <w:vMerge w:val="continue"/>
            <w:tcBorders>
              <w:left w:val="single" w:color="000000" w:sz="8" w:space="0"/>
              <w:right w:val="single" w:color="000000" w:sz="8" w:space="0"/>
            </w:tcBorders>
            <w:shd w:val="clear" w:color="auto" w:fill="FFFFFF"/>
            <w:noWrap w:val="0"/>
            <w:vAlign w:val="center"/>
          </w:tcPr>
          <w:p>
            <w:pPr>
              <w:keepNext w:val="0"/>
              <w:keepLines w:val="0"/>
              <w:suppressLineNumbers w:val="0"/>
              <w:snapToGrid w:val="0"/>
              <w:spacing w:before="0" w:beforeAutospacing="0" w:after="0" w:afterAutospacing="0"/>
              <w:ind w:left="0" w:right="0"/>
              <w:rPr>
                <w:rFonts w:hint="eastAsia" w:ascii="宋体" w:hAnsi="宋体" w:eastAsia="宋体" w:cs="宋体"/>
                <w:b/>
                <w:bCs/>
                <w:sz w:val="21"/>
                <w:szCs w:val="21"/>
                <w:highlight w:val="none"/>
              </w:rPr>
            </w:pPr>
          </w:p>
        </w:tc>
        <w:tc>
          <w:tcPr>
            <w:tcW w:w="6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7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项目组织实施方案的评价</w:t>
            </w:r>
          </w:p>
        </w:tc>
        <w:tc>
          <w:tcPr>
            <w:tcW w:w="63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b/>
                <w:sz w:val="21"/>
                <w:szCs w:val="21"/>
                <w:highlight w:val="none"/>
              </w:rPr>
            </w:pPr>
            <w:r>
              <w:rPr>
                <w:rFonts w:hint="eastAsia" w:ascii="宋体" w:hAnsi="宋体" w:cs="宋体"/>
                <w:b/>
                <w:sz w:val="21"/>
                <w:szCs w:val="21"/>
                <w:highlight w:val="none"/>
                <w:lang w:val="en-US" w:eastAsia="zh-CN"/>
              </w:rPr>
              <w:t>5</w:t>
            </w:r>
          </w:p>
        </w:tc>
        <w:tc>
          <w:tcPr>
            <w:tcW w:w="550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Next w:val="0"/>
              <w:keepLines w:val="0"/>
              <w:numPr>
                <w:ilvl w:val="0"/>
                <w:numId w:val="1"/>
              </w:numPr>
              <w:suppressLineNumbers w:val="0"/>
              <w:autoSpaceDE w:val="0"/>
              <w:autoSpaceDN w:val="0"/>
              <w:adjustRightInd w:val="0"/>
              <w:spacing w:before="0" w:beforeAutospacing="0" w:after="0" w:afterAutospacing="0" w:line="300" w:lineRule="exact"/>
              <w:ind w:left="0" w:right="0"/>
              <w:jc w:val="left"/>
              <w:rPr>
                <w:rFonts w:hint="eastAsia" w:ascii="宋体" w:hAnsi="宋体" w:cs="宋体"/>
                <w:b/>
                <w:bCs/>
                <w:sz w:val="21"/>
                <w:szCs w:val="21"/>
                <w:highlight w:val="none"/>
                <w:lang w:val="en-US" w:eastAsia="zh-CN"/>
              </w:rPr>
            </w:pPr>
            <w:r>
              <w:rPr>
                <w:rFonts w:hint="eastAsia" w:ascii="宋体" w:hAnsi="宋体" w:eastAsia="宋体" w:cs="宋体"/>
                <w:b/>
                <w:bCs/>
                <w:sz w:val="21"/>
                <w:szCs w:val="21"/>
                <w:highlight w:val="none"/>
              </w:rPr>
              <w:t>评审内容：</w:t>
            </w:r>
            <w:r>
              <w:rPr>
                <w:rFonts w:hint="eastAsia" w:ascii="宋体" w:hAnsi="宋体" w:cs="宋体"/>
                <w:b/>
                <w:bCs/>
                <w:sz w:val="21"/>
                <w:szCs w:val="21"/>
                <w:highlight w:val="none"/>
                <w:lang w:val="en-US" w:eastAsia="zh-CN"/>
              </w:rPr>
              <w:t xml:space="preserve">  </w:t>
            </w:r>
          </w:p>
          <w:p>
            <w:pPr>
              <w:keepNext w:val="0"/>
              <w:keepLines w:val="0"/>
              <w:numPr>
                <w:ilvl w:val="0"/>
                <w:numId w:val="0"/>
              </w:numPr>
              <w:suppressLineNumbers w:val="0"/>
              <w:autoSpaceDE w:val="0"/>
              <w:autoSpaceDN w:val="0"/>
              <w:adjustRightInd w:val="0"/>
              <w:spacing w:before="0" w:beforeAutospacing="0" w:after="0" w:afterAutospacing="0" w:line="300" w:lineRule="exact"/>
              <w:ind w:left="0" w:right="0"/>
              <w:jc w:val="left"/>
              <w:rPr>
                <w:rFonts w:hint="eastAsia" w:ascii="宋体" w:hAnsi="宋体" w:cs="宋体"/>
                <w:sz w:val="21"/>
                <w:szCs w:val="21"/>
                <w:highlight w:val="none"/>
                <w:lang w:eastAsia="zh-CN"/>
              </w:rPr>
            </w:pPr>
            <w:r>
              <w:rPr>
                <w:rFonts w:hint="eastAsia" w:ascii="宋体" w:hAnsi="宋体" w:eastAsia="宋体" w:cs="宋体"/>
                <w:sz w:val="21"/>
                <w:szCs w:val="21"/>
                <w:highlight w:val="none"/>
              </w:rPr>
              <w:t>投标人提供本项目的组织实施方案，方案中应包含</w:t>
            </w:r>
            <w:r>
              <w:rPr>
                <w:rFonts w:hint="eastAsia" w:ascii="宋体" w:hAnsi="宋体" w:cs="宋体"/>
                <w:sz w:val="21"/>
                <w:szCs w:val="21"/>
                <w:highlight w:val="none"/>
                <w:lang w:eastAsia="zh-CN"/>
              </w:rPr>
              <w:t>：</w:t>
            </w:r>
          </w:p>
          <w:p>
            <w:pPr>
              <w:keepNext w:val="0"/>
              <w:keepLines w:val="0"/>
              <w:numPr>
                <w:ilvl w:val="0"/>
                <w:numId w:val="0"/>
              </w:numPr>
              <w:suppressLineNumbers w:val="0"/>
              <w:autoSpaceDE w:val="0"/>
              <w:autoSpaceDN w:val="0"/>
              <w:adjustRightInd w:val="0"/>
              <w:spacing w:before="0" w:beforeAutospacing="0" w:after="0" w:afterAutospacing="0" w:line="300" w:lineRule="exact"/>
              <w:ind w:left="0" w:leftChars="0" w:right="0"/>
              <w:jc w:val="left"/>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1</w:t>
            </w:r>
            <w:r>
              <w:rPr>
                <w:rFonts w:hint="eastAsia" w:ascii="宋体" w:hAnsi="宋体" w:eastAsia="宋体" w:cs="宋体"/>
                <w:b/>
                <w:bCs/>
                <w:sz w:val="21"/>
                <w:szCs w:val="21"/>
                <w:highlight w:val="none"/>
              </w:rPr>
              <w:t>、项目进度计划安排</w:t>
            </w:r>
            <w:r>
              <w:rPr>
                <w:rFonts w:hint="eastAsia" w:ascii="宋体" w:hAnsi="宋体" w:eastAsia="宋体" w:cs="宋体"/>
                <w:b/>
                <w:bCs/>
                <w:sz w:val="21"/>
                <w:szCs w:val="21"/>
                <w:highlight w:val="none"/>
                <w:lang w:eastAsia="zh-CN"/>
              </w:rPr>
              <w:t>；</w:t>
            </w:r>
          </w:p>
          <w:p>
            <w:pPr>
              <w:keepNext w:val="0"/>
              <w:keepLines w:val="0"/>
              <w:numPr>
                <w:ilvl w:val="0"/>
                <w:numId w:val="0"/>
              </w:numPr>
              <w:suppressLineNumbers w:val="0"/>
              <w:autoSpaceDE w:val="0"/>
              <w:autoSpaceDN w:val="0"/>
              <w:adjustRightInd w:val="0"/>
              <w:spacing w:before="0" w:beforeAutospacing="0" w:after="0" w:afterAutospacing="0" w:line="300" w:lineRule="exact"/>
              <w:ind w:left="0" w:leftChars="0" w:right="0"/>
              <w:jc w:val="left"/>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rPr>
              <w:t>2、施工组织计划</w:t>
            </w:r>
            <w:r>
              <w:rPr>
                <w:rFonts w:hint="eastAsia" w:ascii="宋体" w:hAnsi="宋体" w:eastAsia="宋体" w:cs="宋体"/>
                <w:b/>
                <w:bCs/>
                <w:sz w:val="21"/>
                <w:szCs w:val="21"/>
                <w:highlight w:val="none"/>
                <w:lang w:eastAsia="zh-CN"/>
              </w:rPr>
              <w:t>；</w:t>
            </w:r>
          </w:p>
          <w:p>
            <w:pPr>
              <w:keepNext w:val="0"/>
              <w:keepLines w:val="0"/>
              <w:numPr>
                <w:ilvl w:val="0"/>
                <w:numId w:val="0"/>
              </w:numPr>
              <w:suppressLineNumbers w:val="0"/>
              <w:autoSpaceDE w:val="0"/>
              <w:autoSpaceDN w:val="0"/>
              <w:adjustRightInd w:val="0"/>
              <w:spacing w:before="0" w:beforeAutospacing="0" w:after="0" w:afterAutospacing="0" w:line="300" w:lineRule="exact"/>
              <w:ind w:left="0" w:leftChars="0" w:right="0"/>
              <w:jc w:val="left"/>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rPr>
              <w:t>3、验收组织计划</w:t>
            </w:r>
            <w:r>
              <w:rPr>
                <w:rFonts w:hint="eastAsia" w:ascii="宋体" w:hAnsi="宋体" w:eastAsia="宋体" w:cs="宋体"/>
                <w:b/>
                <w:bCs/>
                <w:sz w:val="21"/>
                <w:szCs w:val="21"/>
                <w:highlight w:val="none"/>
                <w:lang w:eastAsia="zh-CN"/>
              </w:rPr>
              <w:t>；</w:t>
            </w:r>
          </w:p>
          <w:p>
            <w:pPr>
              <w:keepNext w:val="0"/>
              <w:keepLines w:val="0"/>
              <w:numPr>
                <w:ilvl w:val="0"/>
                <w:numId w:val="0"/>
              </w:numPr>
              <w:suppressLineNumbers w:val="0"/>
              <w:autoSpaceDE w:val="0"/>
              <w:autoSpaceDN w:val="0"/>
              <w:adjustRightInd w:val="0"/>
              <w:spacing w:before="0" w:beforeAutospacing="0" w:after="0" w:afterAutospacing="0" w:line="300" w:lineRule="exact"/>
              <w:ind w:left="0" w:leftChars="0" w:right="0"/>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4、产品培训方案</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 xml:space="preserve"> </w:t>
            </w:r>
          </w:p>
          <w:p>
            <w:pPr>
              <w:keepNext w:val="0"/>
              <w:keepLines w:val="0"/>
              <w:numPr>
                <w:ilvl w:val="0"/>
                <w:numId w:val="0"/>
              </w:numPr>
              <w:suppressLineNumbers w:val="0"/>
              <w:autoSpaceDE w:val="0"/>
              <w:autoSpaceDN w:val="0"/>
              <w:adjustRightInd w:val="0"/>
              <w:spacing w:before="0" w:beforeAutospacing="0" w:after="0" w:afterAutospacing="0" w:line="300" w:lineRule="exact"/>
              <w:ind w:left="0" w:leftChars="0" w:right="0"/>
              <w:jc w:val="left"/>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lang w:eastAsia="zh-CN"/>
              </w:rPr>
              <w:t>（</w:t>
            </w:r>
            <w:r>
              <w:rPr>
                <w:rFonts w:hint="eastAsia" w:ascii="宋体" w:hAnsi="宋体" w:eastAsia="宋体" w:cs="宋体"/>
                <w:b/>
                <w:bCs/>
                <w:color w:val="0000FF"/>
                <w:sz w:val="21"/>
                <w:szCs w:val="21"/>
                <w:highlight w:val="none"/>
                <w:lang w:val="en-US" w:eastAsia="zh-CN"/>
              </w:rPr>
              <w:t>二</w:t>
            </w:r>
            <w:r>
              <w:rPr>
                <w:rFonts w:hint="eastAsia" w:ascii="宋体" w:hAnsi="宋体" w:eastAsia="宋体" w:cs="宋体"/>
                <w:b/>
                <w:bCs/>
                <w:color w:val="0000FF"/>
                <w:sz w:val="21"/>
                <w:szCs w:val="21"/>
                <w:highlight w:val="none"/>
                <w:lang w:eastAsia="zh-CN"/>
              </w:rPr>
              <w:t>）</w:t>
            </w:r>
            <w:r>
              <w:rPr>
                <w:rFonts w:hint="eastAsia" w:ascii="宋体" w:hAnsi="宋体" w:eastAsia="宋体" w:cs="宋体"/>
                <w:b/>
                <w:bCs/>
                <w:color w:val="0000FF"/>
                <w:sz w:val="21"/>
                <w:szCs w:val="21"/>
                <w:highlight w:val="none"/>
              </w:rPr>
              <w:t>评审标准：</w:t>
            </w:r>
          </w:p>
          <w:p>
            <w:pPr>
              <w:keepNext w:val="0"/>
              <w:keepLines w:val="0"/>
              <w:numPr>
                <w:ilvl w:val="0"/>
                <w:numId w:val="0"/>
              </w:numPr>
              <w:suppressLineNumbers w:val="0"/>
              <w:autoSpaceDE w:val="0"/>
              <w:autoSpaceDN w:val="0"/>
              <w:adjustRightInd w:val="0"/>
              <w:spacing w:before="0" w:beforeAutospacing="0" w:after="0" w:afterAutospacing="0" w:line="300" w:lineRule="exact"/>
              <w:ind w:left="0" w:leftChars="0" w:right="0"/>
              <w:jc w:val="left"/>
              <w:rPr>
                <w:rFonts w:hint="default" w:ascii="宋体" w:hAnsi="宋体" w:eastAsia="宋体" w:cs="宋体"/>
                <w:color w:val="0000FF"/>
                <w:sz w:val="21"/>
                <w:szCs w:val="21"/>
                <w:highlight w:val="none"/>
                <w:lang w:val="en-US" w:eastAsia="zh-CN"/>
              </w:rPr>
            </w:pPr>
            <w:r>
              <w:rPr>
                <w:rFonts w:hint="eastAsia" w:ascii="宋体" w:hAnsi="宋体" w:eastAsia="宋体" w:cs="宋体"/>
                <w:color w:val="0000FF"/>
                <w:sz w:val="21"/>
                <w:szCs w:val="21"/>
                <w:highlight w:val="none"/>
              </w:rPr>
              <w:t>方案中含有上述一个内容得15分</w:t>
            </w:r>
            <w:r>
              <w:rPr>
                <w:rFonts w:hint="eastAsia" w:ascii="宋体" w:hAnsi="宋体" w:cs="宋体"/>
                <w:color w:val="0000FF"/>
                <w:sz w:val="21"/>
                <w:szCs w:val="21"/>
                <w:highlight w:val="none"/>
                <w:lang w:eastAsia="zh-CN"/>
              </w:rPr>
              <w:t>，</w:t>
            </w:r>
            <w:r>
              <w:rPr>
                <w:rFonts w:hint="eastAsia" w:ascii="宋体" w:hAnsi="宋体" w:cs="宋体"/>
                <w:color w:val="0000FF"/>
                <w:sz w:val="21"/>
                <w:szCs w:val="21"/>
                <w:highlight w:val="none"/>
                <w:lang w:val="en-US" w:eastAsia="zh-CN"/>
              </w:rPr>
              <w:t>最高60分。</w:t>
            </w:r>
          </w:p>
          <w:p>
            <w:pPr>
              <w:keepNext w:val="0"/>
              <w:keepLines w:val="0"/>
              <w:numPr>
                <w:ilvl w:val="0"/>
                <w:numId w:val="0"/>
              </w:numPr>
              <w:suppressLineNumbers w:val="0"/>
              <w:autoSpaceDE w:val="0"/>
              <w:autoSpaceDN w:val="0"/>
              <w:adjustRightInd w:val="0"/>
              <w:spacing w:before="0" w:beforeAutospacing="0" w:after="0" w:afterAutospacing="0" w:line="300" w:lineRule="exact"/>
              <w:ind w:left="0" w:leftChars="0" w:right="0"/>
              <w:jc w:val="left"/>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在此基础上，对方案的合理性、可行性进行打分。</w:t>
            </w:r>
          </w:p>
          <w:p>
            <w:pPr>
              <w:keepNext w:val="0"/>
              <w:keepLines w:val="0"/>
              <w:numPr>
                <w:ilvl w:val="0"/>
                <w:numId w:val="0"/>
              </w:numPr>
              <w:suppressLineNumbers w:val="0"/>
              <w:autoSpaceDE w:val="0"/>
              <w:autoSpaceDN w:val="0"/>
              <w:adjustRightInd w:val="0"/>
              <w:spacing w:before="0" w:beforeAutospacing="0" w:after="0" w:afterAutospacing="0" w:line="300" w:lineRule="exact"/>
              <w:ind w:left="0" w:leftChars="0" w:right="0" w:firstLine="0" w:firstLineChars="0"/>
              <w:jc w:val="left"/>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1、方案清晰周密、合理可行、表述完整、方法得当、技术先进、符合相关规范要求得40分。</w:t>
            </w:r>
          </w:p>
          <w:p>
            <w:pPr>
              <w:keepNext w:val="0"/>
              <w:keepLines w:val="0"/>
              <w:numPr>
                <w:ilvl w:val="0"/>
                <w:numId w:val="0"/>
              </w:numPr>
              <w:suppressLineNumbers w:val="0"/>
              <w:autoSpaceDE w:val="0"/>
              <w:autoSpaceDN w:val="0"/>
              <w:adjustRightInd w:val="0"/>
              <w:spacing w:before="0" w:beforeAutospacing="0" w:after="0" w:afterAutospacing="0" w:line="300" w:lineRule="exact"/>
              <w:ind w:left="0" w:leftChars="0" w:right="0" w:firstLine="0" w:firstLineChars="0"/>
              <w:jc w:val="left"/>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 xml:space="preserve">2、方案基本可行表述基本完整得20分。 </w:t>
            </w:r>
          </w:p>
          <w:p>
            <w:pPr>
              <w:keepNext w:val="0"/>
              <w:keepLines w:val="0"/>
              <w:numPr>
                <w:ilvl w:val="0"/>
                <w:numId w:val="0"/>
              </w:numPr>
              <w:suppressLineNumbers w:val="0"/>
              <w:autoSpaceDE w:val="0"/>
              <w:autoSpaceDN w:val="0"/>
              <w:adjustRightInd w:val="0"/>
              <w:spacing w:before="0" w:beforeAutospacing="0" w:after="0" w:afterAutospacing="0" w:line="300" w:lineRule="exact"/>
              <w:ind w:left="0" w:leftChars="0" w:right="0" w:firstLine="0" w:firstLineChars="0"/>
              <w:jc w:val="left"/>
              <w:rPr>
                <w:rFonts w:hint="eastAsia" w:ascii="宋体" w:hAnsi="宋体" w:eastAsia="宋体" w:cs="宋体"/>
                <w:sz w:val="21"/>
                <w:szCs w:val="21"/>
                <w:highlight w:val="none"/>
              </w:rPr>
            </w:pPr>
            <w:r>
              <w:rPr>
                <w:rFonts w:hint="eastAsia" w:ascii="宋体" w:hAnsi="宋体" w:eastAsia="宋体" w:cs="宋体"/>
                <w:color w:val="0000FF"/>
                <w:sz w:val="21"/>
                <w:szCs w:val="21"/>
                <w:highlight w:val="none"/>
              </w:rPr>
              <w:t>3、未提供或方案计划不切合本项目的实际情况、合理完善性差、可行性差的对应项不得分。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00" w:type="dxa"/>
            <w:vMerge w:val="continue"/>
            <w:tcBorders>
              <w:left w:val="single" w:color="000000" w:sz="8" w:space="0"/>
              <w:right w:val="single" w:color="000000" w:sz="8" w:space="0"/>
            </w:tcBorders>
            <w:shd w:val="clear" w:color="auto" w:fill="FFFFFF"/>
            <w:noWrap w:val="0"/>
            <w:vAlign w:val="center"/>
          </w:tcPr>
          <w:p>
            <w:pPr>
              <w:keepNext w:val="0"/>
              <w:keepLines w:val="0"/>
              <w:suppressLineNumbers w:val="0"/>
              <w:snapToGrid w:val="0"/>
              <w:spacing w:before="0" w:beforeAutospacing="0" w:after="0" w:afterAutospacing="0"/>
              <w:ind w:left="0" w:right="0"/>
              <w:rPr>
                <w:rFonts w:hint="eastAsia" w:ascii="宋体" w:hAnsi="宋体" w:eastAsia="宋体" w:cs="宋体"/>
                <w:b/>
                <w:bCs/>
                <w:sz w:val="21"/>
                <w:szCs w:val="21"/>
                <w:highlight w:val="none"/>
              </w:rPr>
            </w:pPr>
          </w:p>
        </w:tc>
        <w:tc>
          <w:tcPr>
            <w:tcW w:w="6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4</w:t>
            </w:r>
          </w:p>
        </w:tc>
        <w:tc>
          <w:tcPr>
            <w:tcW w:w="17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售后服务评价</w:t>
            </w:r>
          </w:p>
        </w:tc>
        <w:tc>
          <w:tcPr>
            <w:tcW w:w="63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9</w:t>
            </w:r>
          </w:p>
        </w:tc>
        <w:tc>
          <w:tcPr>
            <w:tcW w:w="550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Next w:val="0"/>
              <w:keepLines w:val="0"/>
              <w:suppressLineNumbers w:val="0"/>
              <w:snapToGrid w:val="0"/>
              <w:spacing w:before="0" w:beforeAutospacing="0" w:after="0" w:afterAutospacing="0"/>
              <w:ind w:left="0" w:right="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（一）评审内容：</w:t>
            </w:r>
          </w:p>
          <w:p>
            <w:pPr>
              <w:keepNext w:val="0"/>
              <w:keepLines w:val="0"/>
              <w:suppressLineNumbers w:val="0"/>
              <w:snapToGrid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投标人提供本项目的售后服务方案，方案中应包含 </w:t>
            </w:r>
          </w:p>
          <w:p>
            <w:pPr>
              <w:keepNext w:val="0"/>
              <w:keepLines w:val="0"/>
              <w:suppressLineNumbers w:val="0"/>
              <w:snapToGrid w:val="0"/>
              <w:spacing w:before="0" w:beforeAutospacing="0" w:after="0" w:afterAutospacing="0"/>
              <w:ind w:left="0" w:right="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1、服务内容</w:t>
            </w:r>
            <w:r>
              <w:rPr>
                <w:rFonts w:hint="eastAsia" w:ascii="宋体" w:hAnsi="宋体" w:cs="宋体"/>
                <w:b/>
                <w:bCs/>
                <w:sz w:val="21"/>
                <w:szCs w:val="21"/>
                <w:highlight w:val="none"/>
                <w:lang w:eastAsia="zh-CN"/>
              </w:rPr>
              <w:t>；</w:t>
            </w:r>
            <w:r>
              <w:rPr>
                <w:rFonts w:hint="eastAsia" w:ascii="宋体" w:hAnsi="宋体" w:eastAsia="宋体" w:cs="宋体"/>
                <w:b/>
                <w:bCs/>
                <w:sz w:val="21"/>
                <w:szCs w:val="21"/>
                <w:highlight w:val="none"/>
              </w:rPr>
              <w:t xml:space="preserve"> </w:t>
            </w:r>
          </w:p>
          <w:p>
            <w:pPr>
              <w:keepNext w:val="0"/>
              <w:keepLines w:val="0"/>
              <w:suppressLineNumbers w:val="0"/>
              <w:snapToGrid w:val="0"/>
              <w:spacing w:before="0" w:beforeAutospacing="0" w:after="0" w:afterAutospacing="0"/>
              <w:ind w:left="0" w:right="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2、维修应急方案</w:t>
            </w:r>
            <w:r>
              <w:rPr>
                <w:rFonts w:hint="eastAsia" w:ascii="宋体" w:hAnsi="宋体" w:cs="宋体"/>
                <w:b/>
                <w:bCs/>
                <w:sz w:val="21"/>
                <w:szCs w:val="21"/>
                <w:highlight w:val="none"/>
                <w:lang w:eastAsia="zh-CN"/>
              </w:rPr>
              <w:t>；</w:t>
            </w:r>
            <w:r>
              <w:rPr>
                <w:rFonts w:hint="eastAsia" w:ascii="宋体" w:hAnsi="宋体" w:eastAsia="宋体" w:cs="宋体"/>
                <w:b/>
                <w:bCs/>
                <w:sz w:val="21"/>
                <w:szCs w:val="21"/>
                <w:highlight w:val="none"/>
              </w:rPr>
              <w:t xml:space="preserve"> </w:t>
            </w:r>
          </w:p>
          <w:p>
            <w:pPr>
              <w:keepNext w:val="0"/>
              <w:keepLines w:val="0"/>
              <w:suppressLineNumbers w:val="0"/>
              <w:snapToGrid w:val="0"/>
              <w:spacing w:before="0" w:beforeAutospacing="0" w:after="0" w:afterAutospacing="0"/>
              <w:ind w:left="0" w:right="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3、培训计划</w:t>
            </w:r>
            <w:r>
              <w:rPr>
                <w:rFonts w:hint="eastAsia" w:ascii="宋体" w:hAnsi="宋体" w:cs="宋体"/>
                <w:b/>
                <w:bCs/>
                <w:sz w:val="21"/>
                <w:szCs w:val="21"/>
                <w:highlight w:val="none"/>
                <w:lang w:eastAsia="zh-CN"/>
              </w:rPr>
              <w:t>；</w:t>
            </w:r>
            <w:r>
              <w:rPr>
                <w:rFonts w:hint="eastAsia" w:ascii="宋体" w:hAnsi="宋体" w:eastAsia="宋体" w:cs="宋体"/>
                <w:b/>
                <w:bCs/>
                <w:sz w:val="21"/>
                <w:szCs w:val="21"/>
                <w:highlight w:val="none"/>
              </w:rPr>
              <w:t xml:space="preserve"> </w:t>
            </w:r>
          </w:p>
          <w:p>
            <w:pPr>
              <w:keepNext w:val="0"/>
              <w:keepLines w:val="0"/>
              <w:suppressLineNumbers w:val="0"/>
              <w:snapToGrid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b/>
                <w:bCs/>
                <w:sz w:val="21"/>
                <w:szCs w:val="21"/>
                <w:highlight w:val="none"/>
              </w:rPr>
              <w:t>4、其他特色服务等</w:t>
            </w:r>
            <w:r>
              <w:rPr>
                <w:rFonts w:hint="eastAsia" w:ascii="宋体" w:hAnsi="宋体" w:cs="宋体"/>
                <w:b/>
                <w:bCs/>
                <w:sz w:val="21"/>
                <w:szCs w:val="21"/>
                <w:highlight w:val="none"/>
                <w:lang w:eastAsia="zh-CN"/>
              </w:rPr>
              <w:t>。</w:t>
            </w:r>
            <w:r>
              <w:rPr>
                <w:rFonts w:hint="eastAsia" w:ascii="宋体" w:hAnsi="宋体" w:eastAsia="宋体" w:cs="宋体"/>
                <w:sz w:val="21"/>
                <w:szCs w:val="21"/>
                <w:highlight w:val="none"/>
              </w:rPr>
              <w:t xml:space="preserve"> </w:t>
            </w:r>
          </w:p>
          <w:p>
            <w:pPr>
              <w:keepNext w:val="0"/>
              <w:keepLines w:val="0"/>
              <w:suppressLineNumbers w:val="0"/>
              <w:snapToGrid w:val="0"/>
              <w:spacing w:before="0" w:beforeAutospacing="0" w:after="0" w:afterAutospacing="0"/>
              <w:ind w:left="0" w:right="0"/>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（二）评审标准：</w:t>
            </w:r>
          </w:p>
          <w:p>
            <w:pPr>
              <w:keepNext w:val="0"/>
              <w:keepLines w:val="0"/>
              <w:suppressLineNumbers w:val="0"/>
              <w:snapToGrid w:val="0"/>
              <w:spacing w:before="0" w:beforeAutospacing="0" w:after="0" w:afterAutospacing="0"/>
              <w:ind w:left="0" w:right="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方案中含有上述一个内容得15分，最高</w:t>
            </w:r>
            <w:r>
              <w:rPr>
                <w:rFonts w:hint="eastAsia" w:ascii="宋体" w:hAnsi="宋体" w:cs="宋体"/>
                <w:color w:val="0000FF"/>
                <w:sz w:val="21"/>
                <w:szCs w:val="21"/>
                <w:highlight w:val="none"/>
                <w:lang w:val="en-US" w:eastAsia="zh-CN"/>
              </w:rPr>
              <w:t>60</w:t>
            </w:r>
            <w:r>
              <w:rPr>
                <w:rFonts w:hint="eastAsia" w:ascii="宋体" w:hAnsi="宋体" w:eastAsia="宋体" w:cs="宋体"/>
                <w:color w:val="0000FF"/>
                <w:sz w:val="21"/>
                <w:szCs w:val="21"/>
                <w:highlight w:val="none"/>
              </w:rPr>
              <w:t>分。</w:t>
            </w:r>
          </w:p>
          <w:p>
            <w:pPr>
              <w:keepNext w:val="0"/>
              <w:keepLines w:val="0"/>
              <w:suppressLineNumbers w:val="0"/>
              <w:snapToGrid w:val="0"/>
              <w:spacing w:before="0" w:beforeAutospacing="0" w:after="0" w:afterAutospacing="0"/>
              <w:ind w:left="0" w:right="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 xml:space="preserve">在此基础上，对方案的合理性、可行性进行打分。 </w:t>
            </w:r>
          </w:p>
          <w:p>
            <w:pPr>
              <w:keepNext w:val="0"/>
              <w:keepLines w:val="0"/>
              <w:suppressLineNumbers w:val="0"/>
              <w:snapToGrid w:val="0"/>
              <w:spacing w:before="0" w:beforeAutospacing="0" w:after="0" w:afterAutospacing="0"/>
              <w:ind w:left="0" w:right="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 xml:space="preserve">(1)售后服务方案非常详细，保障措施完善可行，得40分； </w:t>
            </w:r>
          </w:p>
          <w:p>
            <w:pPr>
              <w:keepNext w:val="0"/>
              <w:keepLines w:val="0"/>
              <w:suppressLineNumbers w:val="0"/>
              <w:snapToGrid w:val="0"/>
              <w:spacing w:before="0" w:beforeAutospacing="0" w:after="0" w:afterAutospacing="0"/>
              <w:ind w:left="0" w:right="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(2)售后服务方案比较具体，保障措施比较完善可行，能够满足招标文件要求的得20分；</w:t>
            </w:r>
          </w:p>
          <w:p>
            <w:pPr>
              <w:keepNext w:val="0"/>
              <w:keepLines w:val="0"/>
              <w:suppressLineNumbers w:val="0"/>
              <w:snapToGrid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color w:val="0000FF"/>
                <w:sz w:val="21"/>
                <w:szCs w:val="21"/>
                <w:highlight w:val="none"/>
              </w:rPr>
              <w:t xml:space="preserve"> (3)未提供售后服务方案和措施或方案不详细、可行性较差，无法满足招标文件要求的得0分。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00" w:type="dxa"/>
            <w:vMerge w:val="continue"/>
            <w:tcBorders>
              <w:left w:val="single" w:color="000000" w:sz="8" w:space="0"/>
              <w:right w:val="single" w:color="000000" w:sz="8" w:space="0"/>
            </w:tcBorders>
            <w:shd w:val="clear" w:color="auto" w:fill="FFFFFF"/>
            <w:noWrap w:val="0"/>
            <w:vAlign w:val="center"/>
          </w:tcPr>
          <w:p>
            <w:pPr>
              <w:keepNext w:val="0"/>
              <w:keepLines w:val="0"/>
              <w:suppressLineNumbers w:val="0"/>
              <w:snapToGrid w:val="0"/>
              <w:spacing w:before="0" w:beforeAutospacing="0" w:after="0" w:afterAutospacing="0"/>
              <w:ind w:left="0" w:right="0"/>
              <w:rPr>
                <w:rFonts w:hint="eastAsia" w:ascii="宋体" w:hAnsi="宋体" w:eastAsia="宋体" w:cs="宋体"/>
                <w:b/>
                <w:bCs/>
                <w:sz w:val="21"/>
                <w:szCs w:val="21"/>
                <w:highlight w:val="none"/>
              </w:rPr>
            </w:pPr>
          </w:p>
        </w:tc>
        <w:tc>
          <w:tcPr>
            <w:tcW w:w="6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suppressLineNumbers w:val="0"/>
              <w:snapToGrid w:val="0"/>
              <w:spacing w:before="0" w:beforeAutospacing="0" w:after="0" w:afterAutospacing="0"/>
              <w:ind w:left="0" w:right="0"/>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5</w:t>
            </w:r>
          </w:p>
        </w:tc>
        <w:tc>
          <w:tcPr>
            <w:tcW w:w="17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绿色采购</w:t>
            </w:r>
            <w:r>
              <w:rPr>
                <w:rFonts w:hint="eastAsia" w:ascii="宋体" w:hAnsi="宋体" w:eastAsia="宋体" w:cs="宋体"/>
                <w:sz w:val="21"/>
                <w:szCs w:val="21"/>
                <w:highlight w:val="none"/>
                <w:lang w:val="en-US" w:eastAsia="zh-CN"/>
              </w:rPr>
              <w:t>情况</w:t>
            </w:r>
          </w:p>
        </w:tc>
        <w:tc>
          <w:tcPr>
            <w:tcW w:w="63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cs="宋体"/>
                <w:sz w:val="21"/>
                <w:szCs w:val="21"/>
                <w:highlight w:val="none"/>
                <w:lang w:val="en-US" w:eastAsia="zh-CN"/>
              </w:rPr>
            </w:pPr>
            <w:r>
              <w:rPr>
                <w:rFonts w:hint="eastAsia" w:ascii="宋体" w:hAnsi="宋体" w:cs="宋体"/>
                <w:b/>
                <w:sz w:val="21"/>
                <w:szCs w:val="21"/>
                <w:highlight w:val="none"/>
                <w:lang w:val="en-US" w:eastAsia="zh-CN"/>
              </w:rPr>
              <w:t>1</w:t>
            </w:r>
          </w:p>
        </w:tc>
        <w:tc>
          <w:tcPr>
            <w:tcW w:w="550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Next w:val="0"/>
              <w:keepLines w:val="0"/>
              <w:suppressLineNumbers w:val="0"/>
              <w:autoSpaceDE w:val="0"/>
              <w:autoSpaceDN w:val="0"/>
              <w:adjustRightInd w:val="0"/>
              <w:spacing w:before="0" w:beforeAutospacing="0" w:after="0" w:afterAutospacing="0" w:line="300" w:lineRule="exact"/>
              <w:ind w:left="0" w:right="0"/>
              <w:jc w:val="both"/>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一、评审内容：</w:t>
            </w:r>
          </w:p>
          <w:p>
            <w:pPr>
              <w:keepNext w:val="0"/>
              <w:keepLines w:val="0"/>
              <w:suppressLineNumbers w:val="0"/>
              <w:autoSpaceDE w:val="0"/>
              <w:autoSpaceDN w:val="0"/>
              <w:adjustRightInd w:val="0"/>
              <w:spacing w:before="0" w:beforeAutospacing="0" w:after="0" w:afterAutospacing="0" w:line="300" w:lineRule="exact"/>
              <w:ind w:left="0" w:right="0"/>
              <w:jc w:val="both"/>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w:t>
            </w:r>
            <w:r>
              <w:rPr>
                <w:rFonts w:hint="eastAsia" w:ascii="宋体" w:hAnsi="宋体" w:eastAsia="宋体" w:cs="宋体"/>
                <w:sz w:val="21"/>
                <w:szCs w:val="21"/>
                <w:highlight w:val="none"/>
              </w:rPr>
              <w:t>项目采购内容中需要对相关产品进行商品包装和快递包装，投标人承诺</w:t>
            </w:r>
            <w:r>
              <w:rPr>
                <w:rFonts w:hint="eastAsia" w:ascii="宋体" w:hAnsi="宋体" w:eastAsia="宋体" w:cs="宋体"/>
                <w:sz w:val="21"/>
                <w:szCs w:val="21"/>
                <w:highlight w:val="none"/>
                <w:lang w:val="en-US" w:eastAsia="zh-CN"/>
              </w:rPr>
              <w:t>以下内容的得100分：</w:t>
            </w:r>
          </w:p>
          <w:p>
            <w:pPr>
              <w:keepNext w:val="0"/>
              <w:keepLines w:val="0"/>
              <w:suppressLineNumbers w:val="0"/>
              <w:autoSpaceDE w:val="0"/>
              <w:autoSpaceDN w:val="0"/>
              <w:adjustRightInd w:val="0"/>
              <w:spacing w:before="0" w:beforeAutospacing="0" w:after="0" w:afterAutospacing="0" w:line="300" w:lineRule="exact"/>
              <w:ind w:left="0" w:right="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所进行的商品包装和快递包装满足财政部《商品包装政府采购需求标准（试行）》《快递包装政府采购需求标准（试行）》（财办库〔2020〕123号）的要求，采用环保材料进行包装。</w:t>
            </w:r>
          </w:p>
          <w:p>
            <w:pPr>
              <w:keepNext w:val="0"/>
              <w:keepLines w:val="0"/>
              <w:suppressLineNumbers w:val="0"/>
              <w:snapToGrid w:val="0"/>
              <w:spacing w:before="0" w:beforeAutospacing="0" w:after="0" w:afterAutospacing="0"/>
              <w:ind w:left="0" w:right="0"/>
              <w:jc w:val="both"/>
              <w:rPr>
                <w:rFonts w:hint="default" w:ascii="宋体" w:hAnsi="宋体" w:eastAsia="宋体" w:cs="宋体"/>
                <w:b/>
                <w:bCs/>
                <w:color w:val="0000CC"/>
                <w:sz w:val="21"/>
                <w:szCs w:val="21"/>
                <w:highlight w:val="none"/>
                <w:lang w:val="en-US" w:eastAsia="zh-CN"/>
              </w:rPr>
            </w:pPr>
            <w:r>
              <w:rPr>
                <w:rFonts w:hint="eastAsia" w:ascii="宋体" w:hAnsi="宋体" w:eastAsia="宋体" w:cs="宋体"/>
                <w:b/>
                <w:bCs/>
                <w:color w:val="0000CC"/>
                <w:sz w:val="21"/>
                <w:szCs w:val="21"/>
                <w:highlight w:val="none"/>
                <w:lang w:val="en-US" w:eastAsia="zh-CN"/>
              </w:rPr>
              <w:t>二、评审依据：</w:t>
            </w:r>
          </w:p>
          <w:p>
            <w:pPr>
              <w:keepNext w:val="0"/>
              <w:keepLines w:val="0"/>
              <w:suppressLineNumbers w:val="0"/>
              <w:snapToGrid w:val="0"/>
              <w:spacing w:before="0" w:beforeAutospacing="0" w:after="0" w:afterAutospacing="0"/>
              <w:ind w:left="0" w:leftChars="0" w:right="0" w:rightChars="0"/>
              <w:jc w:val="both"/>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val="en-US" w:eastAsia="zh-CN"/>
              </w:rPr>
              <w:t>提供相关承诺函（格式自定），未按要求提供证明材料（或证明材料无法判断是否符合评分要求）的不得分，原件备查。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20" w:type="dxa"/>
            <w:left w:w="108" w:type="dxa"/>
            <w:bottom w:w="20" w:type="dxa"/>
            <w:right w:w="108" w:type="dxa"/>
          </w:tblCellMar>
        </w:tblPrEx>
        <w:trPr>
          <w:jc w:val="center"/>
        </w:trPr>
        <w:tc>
          <w:tcPr>
            <w:tcW w:w="700" w:type="dxa"/>
            <w:vMerge w:val="continue"/>
            <w:tcBorders>
              <w:left w:val="single" w:color="000000" w:sz="8" w:space="0"/>
              <w:right w:val="single" w:color="000000" w:sz="8" w:space="0"/>
            </w:tcBorders>
            <w:shd w:val="clear" w:color="auto" w:fill="FFFFFF"/>
            <w:noWrap w:val="0"/>
            <w:vAlign w:val="center"/>
          </w:tcPr>
          <w:p>
            <w:pPr>
              <w:keepNext w:val="0"/>
              <w:keepLines w:val="0"/>
              <w:suppressLineNumbers w:val="0"/>
              <w:snapToGrid w:val="0"/>
              <w:spacing w:before="0" w:beforeAutospacing="0" w:after="0" w:afterAutospacing="0"/>
              <w:ind w:left="0" w:right="0"/>
              <w:rPr>
                <w:rFonts w:hint="eastAsia" w:ascii="宋体" w:hAnsi="宋体" w:eastAsia="宋体" w:cs="宋体"/>
                <w:b/>
                <w:bCs/>
                <w:sz w:val="21"/>
                <w:szCs w:val="21"/>
                <w:highlight w:val="none"/>
              </w:rPr>
            </w:pPr>
          </w:p>
        </w:tc>
        <w:tc>
          <w:tcPr>
            <w:tcW w:w="6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suppressLineNumbers w:val="0"/>
              <w:snapToGrid w:val="0"/>
              <w:spacing w:before="0" w:beforeAutospacing="0" w:after="0" w:afterAutospacing="0"/>
              <w:ind w:left="0" w:right="0"/>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6</w:t>
            </w:r>
          </w:p>
        </w:tc>
        <w:tc>
          <w:tcPr>
            <w:tcW w:w="17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政府采购节能环保产品</w:t>
            </w:r>
          </w:p>
        </w:tc>
        <w:tc>
          <w:tcPr>
            <w:tcW w:w="63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1</w:t>
            </w:r>
          </w:p>
        </w:tc>
        <w:tc>
          <w:tcPr>
            <w:tcW w:w="550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Next w:val="0"/>
              <w:keepLines w:val="0"/>
              <w:suppressLineNumbers w:val="0"/>
              <w:snapToGrid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一、评审内容：</w:t>
            </w:r>
          </w:p>
          <w:p>
            <w:pPr>
              <w:keepNext w:val="0"/>
              <w:keepLines w:val="0"/>
              <w:suppressLineNumbers w:val="0"/>
              <w:snapToGrid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根据《关于印发节能产品政府采购品目清单的通知》（财库〔2019〕19号）以及《关于印发环境标志产品政府采购品目清单的通知》（财库〔2019〕18号）的要求，投标人所投任一产品（以招标文件第三章 用户需求书 二、货物需求明细中“货物名称”为准）被列入节能产品政府采购品目清单（已标注“★”号属政府强制采购产品需具有节能产品认证证书的除外）或环境标志产品政府采购品目清单，且具有有效期内的节能产品或环境标志产品认证证书的，每提供1项得100分，最高得100分。</w:t>
            </w:r>
          </w:p>
          <w:p>
            <w:pPr>
              <w:keepNext w:val="0"/>
              <w:keepLines w:val="0"/>
              <w:suppressLineNumbers w:val="0"/>
              <w:snapToGrid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二、评审依据：</w:t>
            </w:r>
          </w:p>
          <w:p>
            <w:pPr>
              <w:keepNext w:val="0"/>
              <w:keepLines w:val="0"/>
              <w:suppressLineNumbers w:val="0"/>
              <w:snapToGrid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1、提供《市场监管总局关于发布参与实施政府采购节能产品、环境标志产品认证机构名录的公告》（2019年第16号）确定的认证机构出具的且处于有效期内的节能产品或环境标志产品认证证书扫描件；</w:t>
            </w:r>
          </w:p>
          <w:p>
            <w:pPr>
              <w:keepNext w:val="0"/>
              <w:keepLines w:val="0"/>
              <w:suppressLineNumbers w:val="0"/>
              <w:snapToGrid w:val="0"/>
              <w:spacing w:before="0" w:beforeAutospacing="0" w:after="0" w:afterAutospacing="0"/>
              <w:ind w:left="0" w:leftChars="0" w:right="0" w:rightChars="0"/>
              <w:rPr>
                <w:rFonts w:hint="eastAsia" w:ascii="宋体" w:hAnsi="宋体" w:eastAsia="宋体" w:cs="宋体"/>
                <w:color w:val="0000FF"/>
                <w:sz w:val="21"/>
                <w:szCs w:val="21"/>
                <w:highlight w:val="none"/>
              </w:rPr>
            </w:pPr>
            <w:r>
              <w:rPr>
                <w:rFonts w:hint="eastAsia" w:ascii="宋体" w:hAnsi="宋体" w:eastAsia="宋体" w:cs="宋体"/>
                <w:sz w:val="21"/>
                <w:szCs w:val="21"/>
                <w:highlight w:val="none"/>
              </w:rPr>
              <w:t>2、未按要求提供证明材料（或证明材料无法判断是否符合评分要求）的不得分，原件备查。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00" w:type="dxa"/>
            <w:vMerge w:val="restart"/>
            <w:tcBorders>
              <w:top w:val="single" w:color="000000" w:sz="8" w:space="0"/>
              <w:left w:val="single" w:color="000000" w:sz="8" w:space="0"/>
              <w:right w:val="single" w:color="000000" w:sz="8" w:space="0"/>
            </w:tcBorders>
            <w:shd w:val="clear" w:color="auto" w:fill="FFFFFF"/>
            <w:noWrap w:val="0"/>
            <w:vAlign w:val="top"/>
          </w:tcPr>
          <w:p>
            <w:pPr>
              <w:keepNext w:val="0"/>
              <w:keepLines w:val="0"/>
              <w:suppressLineNumbers w:val="0"/>
              <w:snapToGrid w:val="0"/>
              <w:spacing w:before="0" w:beforeAutospacing="0" w:after="0" w:afterAutospacing="0"/>
              <w:ind w:left="0" w:right="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w:t>
            </w:r>
          </w:p>
        </w:tc>
        <w:tc>
          <w:tcPr>
            <w:tcW w:w="3092"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Next w:val="0"/>
              <w:keepLines w:val="0"/>
              <w:suppressLineNumbers w:val="0"/>
              <w:snapToGrid w:val="0"/>
              <w:spacing w:before="0" w:beforeAutospacing="0" w:after="0" w:afterAutospacing="0"/>
              <w:ind w:left="0" w:right="0"/>
              <w:jc w:val="center"/>
              <w:rPr>
                <w:rFonts w:hint="eastAsia" w:ascii="宋体" w:hAnsi="宋体" w:eastAsia="宋体" w:cs="宋体"/>
                <w:b/>
                <w:bCs/>
                <w:sz w:val="21"/>
                <w:szCs w:val="21"/>
                <w:highlight w:val="none"/>
              </w:rPr>
            </w:pPr>
            <w:r>
              <w:rPr>
                <w:rFonts w:hint="eastAsia" w:ascii="宋体" w:hAnsi="宋体"/>
                <w:b/>
                <w:bCs/>
                <w:szCs w:val="21"/>
                <w:highlight w:val="none"/>
                <w:lang w:val="en-US" w:eastAsia="zh-CN"/>
              </w:rPr>
              <w:t>商务</w:t>
            </w:r>
            <w:r>
              <w:rPr>
                <w:rFonts w:hint="eastAsia" w:ascii="宋体" w:hAnsi="宋体" w:eastAsia="宋体" w:cs="宋体"/>
                <w:b/>
                <w:bCs/>
                <w:sz w:val="21"/>
                <w:szCs w:val="21"/>
                <w:highlight w:val="none"/>
              </w:rPr>
              <w:t>部分</w:t>
            </w:r>
          </w:p>
        </w:tc>
        <w:tc>
          <w:tcPr>
            <w:tcW w:w="550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Next w:val="0"/>
              <w:keepLines w:val="0"/>
              <w:suppressLineNumbers w:val="0"/>
              <w:snapToGrid w:val="0"/>
              <w:spacing w:before="0" w:beforeAutospacing="0" w:after="0" w:afterAutospacing="0"/>
              <w:ind w:left="0" w:right="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00" w:type="dxa"/>
            <w:vMerge w:val="continue"/>
            <w:tcBorders>
              <w:left w:val="single" w:color="000000" w:sz="8" w:space="0"/>
              <w:right w:val="single" w:color="000000" w:sz="8" w:space="0"/>
            </w:tcBorders>
            <w:shd w:val="clear" w:color="auto" w:fill="FFFFFF"/>
            <w:noWrap w:val="0"/>
            <w:vAlign w:val="center"/>
          </w:tcPr>
          <w:p>
            <w:pPr>
              <w:keepNext w:val="0"/>
              <w:keepLines w:val="0"/>
              <w:suppressLineNumbers w:val="0"/>
              <w:snapToGrid w:val="0"/>
              <w:spacing w:before="0" w:beforeAutospacing="0" w:after="0" w:afterAutospacing="0"/>
              <w:ind w:left="0" w:right="0"/>
              <w:rPr>
                <w:rFonts w:hint="eastAsia" w:ascii="宋体" w:hAnsi="宋体" w:eastAsia="宋体" w:cs="宋体"/>
                <w:b/>
                <w:bCs/>
                <w:sz w:val="21"/>
                <w:szCs w:val="21"/>
                <w:highlight w:val="none"/>
              </w:rPr>
            </w:pPr>
          </w:p>
        </w:tc>
        <w:tc>
          <w:tcPr>
            <w:tcW w:w="66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79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评分因素</w:t>
            </w:r>
          </w:p>
        </w:tc>
        <w:tc>
          <w:tcPr>
            <w:tcW w:w="639"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权重</w:t>
            </w:r>
            <w:r>
              <w:rPr>
                <w:rFonts w:hint="eastAsia" w:ascii="宋体" w:hAnsi="宋体" w:eastAsia="宋体" w:cs="宋体"/>
                <w:bCs/>
                <w:sz w:val="21"/>
                <w:szCs w:val="21"/>
                <w:highlight w:val="none"/>
              </w:rPr>
              <w:t>（%）</w:t>
            </w:r>
          </w:p>
        </w:tc>
        <w:tc>
          <w:tcPr>
            <w:tcW w:w="550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20" w:type="dxa"/>
            <w:left w:w="108" w:type="dxa"/>
            <w:bottom w:w="20" w:type="dxa"/>
            <w:right w:w="108" w:type="dxa"/>
          </w:tblCellMar>
        </w:tblPrEx>
        <w:trPr>
          <w:jc w:val="center"/>
        </w:trPr>
        <w:tc>
          <w:tcPr>
            <w:tcW w:w="700" w:type="dxa"/>
            <w:vMerge w:val="continue"/>
            <w:tcBorders>
              <w:left w:val="single" w:color="000000" w:sz="8" w:space="0"/>
              <w:right w:val="single" w:color="000000" w:sz="8" w:space="0"/>
            </w:tcBorders>
            <w:shd w:val="clear" w:color="auto" w:fill="FFFFFF"/>
            <w:noWrap w:val="0"/>
            <w:vAlign w:val="center"/>
          </w:tcPr>
          <w:p>
            <w:pPr>
              <w:keepNext w:val="0"/>
              <w:keepLines w:val="0"/>
              <w:suppressLineNumbers w:val="0"/>
              <w:snapToGrid w:val="0"/>
              <w:spacing w:before="0" w:beforeAutospacing="0" w:after="0" w:afterAutospacing="0"/>
              <w:ind w:left="0" w:right="0"/>
              <w:rPr>
                <w:rFonts w:hint="eastAsia" w:ascii="宋体" w:hAnsi="宋体" w:eastAsia="宋体" w:cs="宋体"/>
                <w:b/>
                <w:bCs/>
                <w:sz w:val="21"/>
                <w:szCs w:val="21"/>
                <w:highlight w:val="none"/>
              </w:rPr>
            </w:pPr>
          </w:p>
        </w:tc>
        <w:tc>
          <w:tcPr>
            <w:tcW w:w="6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7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经验评价</w:t>
            </w:r>
          </w:p>
        </w:tc>
        <w:tc>
          <w:tcPr>
            <w:tcW w:w="63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6</w:t>
            </w:r>
          </w:p>
        </w:tc>
        <w:tc>
          <w:tcPr>
            <w:tcW w:w="550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Next w:val="0"/>
              <w:keepLines w:val="0"/>
              <w:suppressLineNumbers w:val="0"/>
              <w:snapToGrid w:val="0"/>
              <w:spacing w:before="0" w:beforeAutospacing="0" w:after="0" w:afterAutospacing="0"/>
              <w:ind w:left="0" w:right="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（一）评审内容：</w:t>
            </w:r>
          </w:p>
          <w:p>
            <w:pPr>
              <w:keepNext w:val="0"/>
              <w:keepLines w:val="0"/>
              <w:suppressLineNumbers w:val="0"/>
              <w:snapToGrid w:val="0"/>
              <w:spacing w:before="0" w:beforeAutospacing="0" w:after="0" w:afterAutospacing="0"/>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2021年1月1日（以合同签订日期为准）以后，投标人具有班组</w:t>
            </w:r>
            <w:r>
              <w:rPr>
                <w:rFonts w:hint="eastAsia" w:ascii="宋体" w:hAnsi="宋体" w:cs="宋体"/>
                <w:sz w:val="21"/>
                <w:szCs w:val="21"/>
                <w:highlight w:val="none"/>
                <w:lang w:val="en-US" w:eastAsia="zh-CN"/>
              </w:rPr>
              <w:t>或</w:t>
            </w:r>
            <w:r>
              <w:rPr>
                <w:rFonts w:hint="eastAsia" w:ascii="宋体" w:hAnsi="宋体" w:eastAsia="宋体" w:cs="宋体"/>
                <w:sz w:val="21"/>
                <w:szCs w:val="21"/>
                <w:highlight w:val="none"/>
                <w:lang w:val="en-US" w:eastAsia="zh-CN"/>
              </w:rPr>
              <w:t>家具项目经验，且履约评价为优或满意（或同等评价），每提供一个得20分，最高得100分。</w:t>
            </w:r>
          </w:p>
          <w:p>
            <w:pPr>
              <w:keepNext w:val="0"/>
              <w:keepLines w:val="0"/>
              <w:suppressLineNumbers w:val="0"/>
              <w:snapToGrid w:val="0"/>
              <w:spacing w:before="0" w:beforeAutospacing="0" w:after="0" w:afterAutospacing="0"/>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（二）评审标准：</w:t>
            </w:r>
          </w:p>
          <w:p>
            <w:pPr>
              <w:pStyle w:val="8"/>
              <w:keepNext w:val="0"/>
              <w:keepLines w:val="0"/>
              <w:suppressLineNumbers w:val="0"/>
              <w:spacing w:before="0" w:beforeAutospacing="0" w:after="0" w:afterAutospacing="0" w:line="320" w:lineRule="exact"/>
              <w:ind w:left="0" w:right="0"/>
              <w:rPr>
                <w:rFonts w:hint="default" w:ascii="宋体" w:hAnsi="宋体" w:eastAsia="宋体" w:cs="微软雅黑"/>
                <w:b w:val="0"/>
                <w:bCs w:val="0"/>
                <w:color w:val="0000FF"/>
                <w:kern w:val="0"/>
                <w:sz w:val="21"/>
                <w:szCs w:val="21"/>
                <w:highlight w:val="none"/>
                <w:lang w:bidi="ar"/>
              </w:rPr>
            </w:pPr>
            <w:r>
              <w:rPr>
                <w:rFonts w:hint="eastAsia" w:ascii="宋体" w:hAnsi="宋体" w:eastAsia="宋体" w:cs="微软雅黑"/>
                <w:b w:val="0"/>
                <w:bCs w:val="0"/>
                <w:color w:val="0000FF"/>
                <w:kern w:val="0"/>
                <w:sz w:val="21"/>
                <w:szCs w:val="21"/>
                <w:highlight w:val="none"/>
                <w:lang w:bidi="ar"/>
              </w:rPr>
              <w:t>1、同时提供以下：</w:t>
            </w:r>
          </w:p>
          <w:p>
            <w:pPr>
              <w:keepNext w:val="0"/>
              <w:keepLines w:val="0"/>
              <w:suppressLineNumbers w:val="0"/>
              <w:snapToGrid w:val="0"/>
              <w:spacing w:before="0" w:beforeAutospacing="0" w:after="0" w:afterAutospacing="0"/>
              <w:ind w:left="0" w:right="0"/>
              <w:rPr>
                <w:rFonts w:hint="eastAsia" w:ascii="宋体" w:hAnsi="宋体" w:eastAsia="宋体" w:cs="微软雅黑"/>
                <w:b w:val="0"/>
                <w:bCs w:val="0"/>
                <w:color w:val="0000FF"/>
                <w:kern w:val="0"/>
                <w:sz w:val="21"/>
                <w:szCs w:val="21"/>
                <w:highlight w:val="none"/>
                <w:lang w:val="en-US" w:eastAsia="zh-CN" w:bidi="ar"/>
              </w:rPr>
            </w:pPr>
            <w:r>
              <w:rPr>
                <w:rFonts w:hint="eastAsia" w:ascii="宋体" w:hAnsi="宋体" w:eastAsia="宋体" w:cs="微软雅黑"/>
                <w:b w:val="0"/>
                <w:bCs w:val="0"/>
                <w:color w:val="0000FF"/>
                <w:kern w:val="0"/>
                <w:sz w:val="21"/>
                <w:szCs w:val="21"/>
                <w:highlight w:val="none"/>
                <w:lang w:val="en-US" w:eastAsia="zh-CN" w:bidi="ar"/>
              </w:rPr>
              <w:t>（1）合同关键页扫描件；（2）设备配置清单扫描件；（3）验收报告[加盖合同甲方公章（或甲方业务章）]；（4）履约评价证明[加盖合同甲方公章（或甲方业务章）]。</w:t>
            </w:r>
          </w:p>
          <w:p>
            <w:pPr>
              <w:keepNext w:val="0"/>
              <w:keepLines w:val="0"/>
              <w:suppressLineNumbers w:val="0"/>
              <w:snapToGrid w:val="0"/>
              <w:spacing w:before="0" w:beforeAutospacing="0" w:after="0" w:afterAutospacing="0"/>
              <w:ind w:left="0" w:right="0"/>
              <w:rPr>
                <w:rFonts w:hint="default" w:ascii="宋体" w:hAnsi="宋体" w:eastAsia="宋体" w:cs="微软雅黑"/>
                <w:b w:val="0"/>
                <w:bCs w:val="0"/>
                <w:color w:val="0000FF"/>
                <w:kern w:val="0"/>
                <w:sz w:val="21"/>
                <w:szCs w:val="21"/>
                <w:highlight w:val="none"/>
                <w:lang w:val="en-US" w:eastAsia="zh-CN" w:bidi="ar"/>
              </w:rPr>
            </w:pPr>
            <w:r>
              <w:rPr>
                <w:rFonts w:hint="eastAsia" w:ascii="宋体" w:hAnsi="宋体" w:eastAsia="宋体" w:cs="微软雅黑"/>
                <w:b w:val="0"/>
                <w:bCs w:val="0"/>
                <w:color w:val="0000FF"/>
                <w:kern w:val="0"/>
                <w:sz w:val="21"/>
                <w:szCs w:val="21"/>
                <w:highlight w:val="none"/>
                <w:lang w:val="en-US" w:eastAsia="zh-CN" w:bidi="ar"/>
              </w:rPr>
              <w:t>2、未按要求提供证明材料（或证明材料无法判断是否符合评分要求）的不得分，原件备查。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00"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Next w:val="0"/>
              <w:keepLines w:val="0"/>
              <w:suppressLineNumbers w:val="0"/>
              <w:snapToGrid w:val="0"/>
              <w:spacing w:before="0" w:beforeAutospacing="0" w:after="0" w:afterAutospacing="0"/>
              <w:ind w:left="0" w:right="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4</w:t>
            </w:r>
          </w:p>
        </w:tc>
        <w:tc>
          <w:tcPr>
            <w:tcW w:w="3092"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Next w:val="0"/>
              <w:keepLines w:val="0"/>
              <w:suppressLineNumbers w:val="0"/>
              <w:snapToGrid w:val="0"/>
              <w:spacing w:before="0" w:beforeAutospacing="0" w:after="0" w:afterAutospacing="0"/>
              <w:ind w:left="0" w:right="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其他部分</w:t>
            </w:r>
          </w:p>
        </w:tc>
        <w:tc>
          <w:tcPr>
            <w:tcW w:w="550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Next w:val="0"/>
              <w:keepLines w:val="0"/>
              <w:suppressLineNumbers w:val="0"/>
              <w:snapToGrid w:val="0"/>
              <w:spacing w:before="0" w:beforeAutospacing="0" w:after="0" w:afterAutospacing="0"/>
              <w:ind w:left="0" w:right="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suppressLineNumbers w:val="0"/>
              <w:snapToGrid w:val="0"/>
              <w:spacing w:before="0" w:beforeAutospacing="0" w:after="0" w:afterAutospacing="0"/>
              <w:ind w:left="0" w:right="0"/>
              <w:rPr>
                <w:rFonts w:hint="eastAsia" w:ascii="宋体" w:hAnsi="宋体" w:eastAsia="宋体" w:cs="宋体"/>
                <w:b/>
                <w:bCs/>
                <w:sz w:val="21"/>
                <w:szCs w:val="21"/>
                <w:highlight w:val="none"/>
              </w:rPr>
            </w:pPr>
          </w:p>
        </w:tc>
        <w:tc>
          <w:tcPr>
            <w:tcW w:w="66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79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评分因素</w:t>
            </w:r>
          </w:p>
        </w:tc>
        <w:tc>
          <w:tcPr>
            <w:tcW w:w="639"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权重</w:t>
            </w:r>
            <w:r>
              <w:rPr>
                <w:rFonts w:hint="eastAsia" w:ascii="宋体" w:hAnsi="宋体" w:eastAsia="宋体" w:cs="宋体"/>
                <w:bCs/>
                <w:sz w:val="21"/>
                <w:szCs w:val="21"/>
                <w:highlight w:val="none"/>
              </w:rPr>
              <w:t>（%）</w:t>
            </w:r>
          </w:p>
        </w:tc>
        <w:tc>
          <w:tcPr>
            <w:tcW w:w="550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90" w:hRule="atLeast"/>
          <w:jc w:val="center"/>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suppressLineNumbers w:val="0"/>
              <w:snapToGrid w:val="0"/>
              <w:spacing w:before="0" w:beforeAutospacing="0" w:after="0" w:afterAutospacing="0"/>
              <w:ind w:left="0" w:right="0"/>
              <w:rPr>
                <w:rFonts w:hint="eastAsia" w:ascii="宋体" w:hAnsi="宋体" w:eastAsia="宋体" w:cs="宋体"/>
                <w:b/>
                <w:bCs/>
                <w:sz w:val="21"/>
                <w:szCs w:val="21"/>
                <w:highlight w:val="none"/>
              </w:rPr>
            </w:pPr>
          </w:p>
        </w:tc>
        <w:tc>
          <w:tcPr>
            <w:tcW w:w="6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7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诚信情况</w:t>
            </w:r>
          </w:p>
        </w:tc>
        <w:tc>
          <w:tcPr>
            <w:tcW w:w="63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550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Next w:val="0"/>
              <w:keepLines w:val="0"/>
              <w:suppressLineNumbers w:val="0"/>
              <w:snapToGrid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投标人在参与政府采购活动中存在诚信相关问题且在主管部门相关处理措施实施期限内的，本项不得分，否则得满分。投标人无需提供任何证明材料，由政府集中采购机构工作人员查询后向评审委员会提供相关信息。</w:t>
            </w:r>
          </w:p>
        </w:tc>
      </w:tr>
    </w:tbl>
    <w:p>
      <w:pPr>
        <w:rPr>
          <w:highlight w:val="none"/>
        </w:rPr>
      </w:pPr>
    </w:p>
    <w:p>
      <w:pPr>
        <w:jc w:val="center"/>
        <w:rPr>
          <w:b/>
          <w:sz w:val="84"/>
          <w:szCs w:val="84"/>
          <w:highlight w:val="none"/>
        </w:rPr>
      </w:pPr>
    </w:p>
    <w:p>
      <w:pPr>
        <w:jc w:val="center"/>
        <w:rPr>
          <w:b/>
          <w:sz w:val="84"/>
          <w:szCs w:val="84"/>
          <w:highlight w:val="none"/>
        </w:rPr>
      </w:pPr>
    </w:p>
    <w:p>
      <w:pPr>
        <w:jc w:val="center"/>
        <w:rPr>
          <w:b/>
          <w:sz w:val="84"/>
          <w:szCs w:val="84"/>
          <w:highlight w:val="none"/>
        </w:rPr>
      </w:pPr>
    </w:p>
    <w:p>
      <w:pPr>
        <w:jc w:val="center"/>
        <w:rPr>
          <w:b/>
          <w:sz w:val="84"/>
          <w:szCs w:val="84"/>
          <w:highlight w:val="none"/>
        </w:rPr>
      </w:pPr>
    </w:p>
    <w:p>
      <w:pPr>
        <w:jc w:val="center"/>
        <w:rPr>
          <w:b/>
          <w:sz w:val="84"/>
          <w:szCs w:val="84"/>
          <w:highlight w:val="none"/>
        </w:rPr>
      </w:pPr>
    </w:p>
    <w:p>
      <w:pPr>
        <w:jc w:val="center"/>
        <w:rPr>
          <w:b/>
          <w:sz w:val="84"/>
          <w:szCs w:val="84"/>
          <w:highlight w:val="none"/>
        </w:rPr>
      </w:pPr>
    </w:p>
    <w:p>
      <w:pPr>
        <w:jc w:val="center"/>
        <w:rPr>
          <w:b/>
          <w:sz w:val="84"/>
          <w:szCs w:val="84"/>
          <w:highlight w:val="none"/>
        </w:rPr>
      </w:pPr>
    </w:p>
    <w:p>
      <w:pPr>
        <w:jc w:val="center"/>
        <w:rPr>
          <w:b/>
          <w:sz w:val="84"/>
          <w:szCs w:val="84"/>
          <w:highlight w:val="none"/>
        </w:rPr>
      </w:pPr>
    </w:p>
    <w:p>
      <w:pPr>
        <w:jc w:val="center"/>
        <w:rPr>
          <w:b/>
          <w:sz w:val="84"/>
          <w:szCs w:val="84"/>
          <w:highlight w:val="none"/>
        </w:rPr>
      </w:pPr>
    </w:p>
    <w:p>
      <w:pPr>
        <w:jc w:val="center"/>
        <w:rPr>
          <w:b/>
          <w:sz w:val="120"/>
          <w:szCs w:val="120"/>
          <w:highlight w:val="none"/>
        </w:rPr>
      </w:pPr>
      <w:r>
        <w:rPr>
          <w:rFonts w:hint="eastAsia"/>
          <w:b/>
          <w:sz w:val="120"/>
          <w:szCs w:val="120"/>
          <w:highlight w:val="none"/>
        </w:rPr>
        <w:t>政府采购</w:t>
      </w:r>
    </w:p>
    <w:p>
      <w:pPr>
        <w:jc w:val="center"/>
        <w:rPr>
          <w:b/>
          <w:sz w:val="120"/>
          <w:szCs w:val="120"/>
          <w:highlight w:val="none"/>
        </w:rPr>
      </w:pPr>
      <w:r>
        <w:rPr>
          <w:rFonts w:hint="eastAsia"/>
          <w:b/>
          <w:sz w:val="120"/>
          <w:szCs w:val="120"/>
          <w:highlight w:val="none"/>
        </w:rPr>
        <w:t>招标文件</w:t>
      </w:r>
    </w:p>
    <w:p>
      <w:pPr>
        <w:jc w:val="center"/>
        <w:rPr>
          <w:b/>
          <w:sz w:val="52"/>
          <w:szCs w:val="52"/>
          <w:highlight w:val="none"/>
        </w:rPr>
      </w:pPr>
      <w:r>
        <w:rPr>
          <w:rFonts w:hint="eastAsia"/>
          <w:b/>
          <w:sz w:val="52"/>
          <w:szCs w:val="52"/>
          <w:highlight w:val="none"/>
        </w:rPr>
        <w:t>（货物类）</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jc w:val="center"/>
        <w:rPr>
          <w:b/>
          <w:sz w:val="44"/>
          <w:szCs w:val="44"/>
          <w:highlight w:val="none"/>
        </w:rPr>
      </w:pPr>
      <w:r>
        <w:rPr>
          <w:rFonts w:hint="eastAsia" w:ascii="宋体" w:hAnsi="宋体"/>
          <w:b/>
          <w:sz w:val="44"/>
          <w:szCs w:val="44"/>
          <w:highlight w:val="none"/>
        </w:rPr>
        <w:t>深圳公共资源交易中心</w:t>
      </w:r>
    </w:p>
    <w:p>
      <w:pPr>
        <w:jc w:val="center"/>
        <w:rPr>
          <w:b/>
          <w:sz w:val="44"/>
          <w:szCs w:val="44"/>
          <w:highlight w:val="none"/>
        </w:rPr>
      </w:pPr>
      <w:r>
        <w:rPr>
          <w:rFonts w:hint="eastAsia" w:ascii="宋体" w:hAnsi="宋体"/>
          <w:b/>
          <w:sz w:val="44"/>
          <w:szCs w:val="44"/>
          <w:highlight w:val="none"/>
        </w:rPr>
        <w:t>（</w:t>
      </w:r>
      <w:r>
        <w:rPr>
          <w:b/>
          <w:sz w:val="44"/>
          <w:szCs w:val="44"/>
          <w:highlight w:val="none"/>
        </w:rPr>
        <w:t>20</w:t>
      </w:r>
      <w:r>
        <w:rPr>
          <w:rFonts w:hint="eastAsia"/>
          <w:b/>
          <w:sz w:val="44"/>
          <w:szCs w:val="44"/>
          <w:highlight w:val="none"/>
        </w:rPr>
        <w:t>2</w:t>
      </w:r>
      <w:r>
        <w:rPr>
          <w:rFonts w:hint="eastAsia"/>
          <w:b/>
          <w:sz w:val="44"/>
          <w:szCs w:val="44"/>
          <w:highlight w:val="none"/>
          <w:lang w:val="en-US" w:eastAsia="zh-CN"/>
        </w:rPr>
        <w:t>4</w:t>
      </w:r>
      <w:r>
        <w:rPr>
          <w:rFonts w:hint="eastAsia" w:ascii="宋体" w:hAnsi="宋体"/>
          <w:b/>
          <w:sz w:val="44"/>
          <w:szCs w:val="44"/>
          <w:highlight w:val="none"/>
        </w:rPr>
        <w:t>）</w:t>
      </w:r>
    </w:p>
    <w:p>
      <w:pPr>
        <w:ind w:firstLine="6786" w:firstLineChars="1300"/>
        <w:jc w:val="center"/>
        <w:rPr>
          <w:bCs/>
          <w:color w:val="FF0000"/>
          <w:highlight w:val="none"/>
        </w:rPr>
      </w:pPr>
      <w:r>
        <w:rPr>
          <w:rFonts w:hint="eastAsia"/>
          <w:b/>
          <w:color w:val="FF0000"/>
          <w:sz w:val="52"/>
          <w:szCs w:val="52"/>
          <w:highlight w:val="none"/>
        </w:rPr>
        <w:br w:type="page"/>
      </w:r>
    </w:p>
    <w:p>
      <w:pPr>
        <w:keepNext w:val="0"/>
        <w:keepLines w:val="0"/>
        <w:pageBreakBefore w:val="0"/>
        <w:widowControl w:val="0"/>
        <w:kinsoku/>
        <w:wordWrap/>
        <w:overflowPunct/>
        <w:topLinePunct w:val="0"/>
        <w:autoSpaceDE/>
        <w:autoSpaceDN/>
        <w:bidi w:val="0"/>
        <w:adjustRightInd/>
        <w:snapToGrid/>
        <w:ind w:firstLine="3654" w:firstLineChars="1300"/>
        <w:textAlignment w:val="auto"/>
        <w:outlineLvl w:val="0"/>
        <w:rPr>
          <w:rFonts w:ascii="宋体" w:hAnsi="宋体"/>
          <w:color w:val="FF0000"/>
          <w:szCs w:val="21"/>
          <w:highlight w:val="none"/>
        </w:rPr>
      </w:pPr>
      <w:bookmarkStart w:id="1" w:name="_Hlk73564573"/>
      <w:r>
        <w:rPr>
          <w:rFonts w:hint="eastAsia" w:ascii="宋体" w:hAnsi="宋体" w:eastAsia="黑体"/>
          <w:b/>
          <w:bCs/>
          <w:color w:val="FF0000"/>
          <w:kern w:val="44"/>
          <w:sz w:val="28"/>
          <w:szCs w:val="44"/>
          <w:highlight w:val="none"/>
        </w:rPr>
        <w:t>警示条款</w:t>
      </w:r>
    </w:p>
    <w:bookmarkEnd w:id="1"/>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ascii="宋体" w:hAnsi="宋体"/>
          <w:color w:val="FF0000"/>
          <w:sz w:val="21"/>
          <w:szCs w:val="21"/>
          <w:highlight w:val="none"/>
        </w:rPr>
      </w:pPr>
      <w:r>
        <w:rPr>
          <w:rFonts w:hint="eastAsia" w:ascii="宋体" w:hAnsi="宋体"/>
          <w:color w:val="FF0000"/>
          <w:sz w:val="21"/>
          <w:szCs w:val="21"/>
          <w:highlight w:val="none"/>
        </w:rPr>
        <w:t>一、</w:t>
      </w:r>
      <w:r>
        <w:rPr>
          <w:rFonts w:hint="eastAsia" w:ascii="宋体" w:hAnsi="宋体"/>
          <w:b/>
          <w:bCs/>
          <w:color w:val="FF0000"/>
          <w:sz w:val="21"/>
          <w:szCs w:val="21"/>
          <w:highlight w:val="none"/>
        </w:rPr>
        <w:t>《深圳经济特区政府采购条例》第五十七条</w:t>
      </w:r>
      <w:r>
        <w:rPr>
          <w:rFonts w:hint="eastAsia" w:ascii="宋体" w:hAnsi="宋体"/>
          <w:color w:val="FF0000"/>
          <w:sz w:val="21"/>
          <w:szCs w:val="21"/>
          <w:highlight w:val="none"/>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ascii="宋体" w:hAnsi="宋体"/>
          <w:color w:val="FF0000"/>
          <w:sz w:val="21"/>
          <w:szCs w:val="21"/>
          <w:highlight w:val="none"/>
        </w:rPr>
      </w:pPr>
      <w:r>
        <w:rPr>
          <w:rFonts w:hint="eastAsia" w:ascii="宋体" w:hAnsi="宋体"/>
          <w:color w:val="FF0000"/>
          <w:sz w:val="21"/>
          <w:szCs w:val="21"/>
          <w:highlight w:val="none"/>
        </w:rPr>
        <w:t>（一）在采购活动中应当回避而未回避的；</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ascii="宋体" w:hAnsi="宋体"/>
          <w:color w:val="FF0000"/>
          <w:sz w:val="21"/>
          <w:szCs w:val="21"/>
          <w:highlight w:val="none"/>
        </w:rPr>
      </w:pPr>
      <w:r>
        <w:rPr>
          <w:rFonts w:hint="eastAsia" w:ascii="宋体" w:hAnsi="宋体"/>
          <w:color w:val="FF0000"/>
          <w:sz w:val="21"/>
          <w:szCs w:val="21"/>
          <w:highlight w:val="none"/>
        </w:rPr>
        <w:t>（二）未按本条例规定签订、履行采购合同，造成严重后果的；</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ascii="宋体" w:hAnsi="宋体"/>
          <w:color w:val="FF0000"/>
          <w:sz w:val="21"/>
          <w:szCs w:val="21"/>
          <w:highlight w:val="none"/>
        </w:rPr>
      </w:pPr>
      <w:r>
        <w:rPr>
          <w:rFonts w:hint="eastAsia" w:ascii="宋体" w:hAnsi="宋体"/>
          <w:color w:val="FF0000"/>
          <w:sz w:val="21"/>
          <w:szCs w:val="21"/>
          <w:highlight w:val="none"/>
        </w:rPr>
        <w:t>（三）隐瞒真实情况，提供虚假资料的；</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ascii="宋体" w:hAnsi="宋体"/>
          <w:color w:val="FF0000"/>
          <w:sz w:val="21"/>
          <w:szCs w:val="21"/>
          <w:highlight w:val="none"/>
        </w:rPr>
      </w:pPr>
      <w:r>
        <w:rPr>
          <w:rFonts w:hint="eastAsia" w:ascii="宋体" w:hAnsi="宋体"/>
          <w:color w:val="FF0000"/>
          <w:sz w:val="21"/>
          <w:szCs w:val="21"/>
          <w:highlight w:val="none"/>
        </w:rPr>
        <w:t>（四）以非法手段排斥其他供应商参与竞争的；</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ascii="宋体" w:hAnsi="宋体"/>
          <w:color w:val="FF0000"/>
          <w:sz w:val="21"/>
          <w:szCs w:val="21"/>
          <w:highlight w:val="none"/>
        </w:rPr>
      </w:pPr>
      <w:r>
        <w:rPr>
          <w:rFonts w:hint="eastAsia" w:ascii="宋体" w:hAnsi="宋体"/>
          <w:color w:val="FF0000"/>
          <w:sz w:val="21"/>
          <w:szCs w:val="21"/>
          <w:highlight w:val="none"/>
        </w:rPr>
        <w:t>（五）与其他采购参加人串通投标的；</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ascii="宋体" w:hAnsi="宋体"/>
          <w:color w:val="FF0000"/>
          <w:sz w:val="21"/>
          <w:szCs w:val="21"/>
          <w:highlight w:val="none"/>
        </w:rPr>
      </w:pPr>
      <w:r>
        <w:rPr>
          <w:rFonts w:hint="eastAsia" w:ascii="宋体" w:hAnsi="宋体"/>
          <w:color w:val="FF0000"/>
          <w:sz w:val="21"/>
          <w:szCs w:val="21"/>
          <w:highlight w:val="none"/>
        </w:rPr>
        <w:t>（六）恶意投诉的；</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ascii="宋体" w:hAnsi="宋体"/>
          <w:color w:val="FF0000"/>
          <w:sz w:val="21"/>
          <w:szCs w:val="21"/>
          <w:highlight w:val="none"/>
        </w:rPr>
      </w:pPr>
      <w:r>
        <w:rPr>
          <w:rFonts w:hint="eastAsia" w:ascii="宋体" w:hAnsi="宋体"/>
          <w:color w:val="FF0000"/>
          <w:sz w:val="21"/>
          <w:szCs w:val="21"/>
          <w:highlight w:val="none"/>
        </w:rPr>
        <w:t>（七）向采购项目相关人行贿或者提供其他不当利益的；</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ascii="宋体" w:hAnsi="宋体"/>
          <w:color w:val="FF0000"/>
          <w:sz w:val="21"/>
          <w:szCs w:val="21"/>
          <w:highlight w:val="none"/>
        </w:rPr>
      </w:pPr>
      <w:r>
        <w:rPr>
          <w:rFonts w:hint="eastAsia" w:ascii="宋体" w:hAnsi="宋体"/>
          <w:color w:val="FF0000"/>
          <w:sz w:val="21"/>
          <w:szCs w:val="21"/>
          <w:highlight w:val="none"/>
        </w:rPr>
        <w:t>（八）阻碍、抗拒主管部门监督检查的；</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ascii="宋体" w:hAnsi="宋体"/>
          <w:color w:val="FF0000"/>
          <w:sz w:val="21"/>
          <w:szCs w:val="21"/>
          <w:highlight w:val="none"/>
        </w:rPr>
      </w:pPr>
      <w:r>
        <w:rPr>
          <w:rFonts w:hint="eastAsia" w:ascii="宋体" w:hAnsi="宋体"/>
          <w:color w:val="FF0000"/>
          <w:sz w:val="21"/>
          <w:szCs w:val="21"/>
          <w:highlight w:val="none"/>
        </w:rPr>
        <w:t>（九）其他违反本条例规定的行为。</w:t>
      </w:r>
    </w:p>
    <w:p>
      <w:pPr>
        <w:keepNext w:val="0"/>
        <w:keepLines w:val="0"/>
        <w:pageBreakBefore w:val="0"/>
        <w:widowControl w:val="0"/>
        <w:kinsoku/>
        <w:wordWrap/>
        <w:overflowPunct/>
        <w:topLinePunct w:val="0"/>
        <w:autoSpaceDE/>
        <w:autoSpaceDN/>
        <w:bidi w:val="0"/>
        <w:adjustRightInd/>
        <w:snapToGrid w:val="0"/>
        <w:ind w:firstLine="422" w:firstLineChars="200"/>
        <w:textAlignment w:val="auto"/>
        <w:rPr>
          <w:rFonts w:ascii="宋体" w:hAnsi="宋体"/>
          <w:color w:val="FF0000"/>
          <w:sz w:val="21"/>
          <w:szCs w:val="21"/>
          <w:highlight w:val="none"/>
        </w:rPr>
      </w:pPr>
      <w:r>
        <w:rPr>
          <w:rFonts w:hint="eastAsia" w:ascii="宋体" w:hAnsi="宋体"/>
          <w:b/>
          <w:bCs/>
          <w:color w:val="FF0000"/>
          <w:sz w:val="21"/>
          <w:szCs w:val="21"/>
          <w:highlight w:val="none"/>
        </w:rPr>
        <w:t>二、《深圳经济特区政府采购条例实施细则》第七十五条</w:t>
      </w:r>
      <w:r>
        <w:rPr>
          <w:rFonts w:hint="eastAsia" w:ascii="宋体" w:hAnsi="宋体"/>
          <w:b/>
          <w:bCs/>
          <w:color w:val="FF0000"/>
          <w:sz w:val="21"/>
          <w:szCs w:val="21"/>
          <w:highlight w:val="none"/>
          <w:lang w:val="en-US" w:eastAsia="zh-CN"/>
        </w:rPr>
        <w:t xml:space="preserve"> </w:t>
      </w:r>
      <w:r>
        <w:rPr>
          <w:rFonts w:hint="eastAsia" w:ascii="宋体" w:hAnsi="宋体"/>
          <w:color w:val="FF0000"/>
          <w:sz w:val="21"/>
          <w:szCs w:val="21"/>
          <w:highlight w:val="none"/>
        </w:rPr>
        <w:t>供应商有下列情形</w:t>
      </w:r>
      <w:r>
        <w:rPr>
          <w:rFonts w:hint="eastAsia" w:ascii="宋体" w:hAnsi="宋体"/>
          <w:color w:val="FF0000"/>
          <w:sz w:val="21"/>
          <w:szCs w:val="21"/>
          <w:highlight w:val="none"/>
          <w:lang w:val="en-US" w:eastAsia="zh-CN"/>
        </w:rPr>
        <w:t>之一</w:t>
      </w:r>
      <w:r>
        <w:rPr>
          <w:rFonts w:hint="eastAsia" w:ascii="宋体" w:hAnsi="宋体"/>
          <w:color w:val="FF0000"/>
          <w:sz w:val="21"/>
          <w:szCs w:val="21"/>
          <w:highlight w:val="none"/>
        </w:rPr>
        <w:t>的，属于采购条例所称的串通投标行为，按照采购条例第五十七条有关规定处理：（一）投标供应商之间相互约定给予未中标的供应商利益补偿</w:t>
      </w:r>
      <w:r>
        <w:rPr>
          <w:rFonts w:hint="eastAsia" w:ascii="宋体" w:hAnsi="宋体"/>
          <w:color w:val="FF0000"/>
          <w:sz w:val="21"/>
          <w:szCs w:val="21"/>
          <w:highlight w:val="none"/>
          <w:lang w:eastAsia="zh-CN"/>
        </w:rPr>
        <w:t>。</w:t>
      </w:r>
      <w:r>
        <w:rPr>
          <w:rFonts w:hint="eastAsia" w:ascii="宋体" w:hAnsi="宋体"/>
          <w:color w:val="FF0000"/>
          <w:sz w:val="21"/>
          <w:szCs w:val="21"/>
          <w:highlight w:val="none"/>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1"/>
          <w:szCs w:val="21"/>
          <w:highlight w:val="none"/>
          <w:lang w:eastAsia="zh-CN"/>
        </w:rPr>
        <w:t>。</w:t>
      </w:r>
      <w:r>
        <w:rPr>
          <w:rFonts w:hint="eastAsia" w:ascii="宋体" w:hAnsi="宋体"/>
          <w:color w:val="FF0000"/>
          <w:sz w:val="21"/>
          <w:szCs w:val="21"/>
          <w:highlight w:val="none"/>
        </w:rPr>
        <w:t>（三）不同投标供应商的投标文件由同一单位或者同一人编制，或者由同一人分阶段参与编制的</w:t>
      </w:r>
      <w:r>
        <w:rPr>
          <w:rFonts w:hint="eastAsia" w:ascii="宋体" w:hAnsi="宋体"/>
          <w:color w:val="FF0000"/>
          <w:sz w:val="21"/>
          <w:szCs w:val="21"/>
          <w:highlight w:val="none"/>
          <w:lang w:eastAsia="zh-CN"/>
        </w:rPr>
        <w:t>。</w:t>
      </w:r>
      <w:r>
        <w:rPr>
          <w:rFonts w:hint="eastAsia" w:ascii="宋体" w:hAnsi="宋体"/>
          <w:color w:val="FF0000"/>
          <w:sz w:val="21"/>
          <w:szCs w:val="21"/>
          <w:highlight w:val="none"/>
        </w:rPr>
        <w:t>（四）不同投标供应商的投标文件或部分投标文件相互混装</w:t>
      </w:r>
      <w:r>
        <w:rPr>
          <w:rFonts w:hint="eastAsia" w:ascii="宋体" w:hAnsi="宋体"/>
          <w:color w:val="FF0000"/>
          <w:sz w:val="21"/>
          <w:szCs w:val="21"/>
          <w:highlight w:val="none"/>
          <w:lang w:eastAsia="zh-CN"/>
        </w:rPr>
        <w:t>。</w:t>
      </w:r>
      <w:r>
        <w:rPr>
          <w:rFonts w:hint="eastAsia" w:ascii="宋体" w:hAnsi="宋体"/>
          <w:color w:val="FF0000"/>
          <w:sz w:val="21"/>
          <w:szCs w:val="21"/>
          <w:highlight w:val="none"/>
        </w:rPr>
        <w:t>（五）不同投标供应商的投标文件内容存在非正常一致</w:t>
      </w:r>
      <w:r>
        <w:rPr>
          <w:rFonts w:hint="eastAsia" w:ascii="宋体" w:hAnsi="宋体"/>
          <w:color w:val="FF0000"/>
          <w:sz w:val="21"/>
          <w:szCs w:val="21"/>
          <w:highlight w:val="none"/>
          <w:lang w:eastAsia="zh-CN"/>
        </w:rPr>
        <w:t>。</w:t>
      </w:r>
      <w:r>
        <w:rPr>
          <w:rFonts w:hint="eastAsia" w:ascii="宋体" w:hAnsi="宋体"/>
          <w:color w:val="FF0000"/>
          <w:sz w:val="21"/>
          <w:szCs w:val="21"/>
          <w:highlight w:val="none"/>
        </w:rPr>
        <w:t>（六）由同一单位工作人员为两家以上（含两家）供应商进行同一项投标活动的</w:t>
      </w:r>
      <w:r>
        <w:rPr>
          <w:rFonts w:hint="eastAsia" w:ascii="宋体" w:hAnsi="宋体"/>
          <w:color w:val="FF0000"/>
          <w:sz w:val="21"/>
          <w:szCs w:val="21"/>
          <w:highlight w:val="none"/>
          <w:lang w:eastAsia="zh-CN"/>
        </w:rPr>
        <w:t>。</w:t>
      </w:r>
      <w:r>
        <w:rPr>
          <w:rFonts w:hint="eastAsia" w:ascii="宋体" w:hAnsi="宋体"/>
          <w:color w:val="FF0000"/>
          <w:sz w:val="21"/>
          <w:szCs w:val="21"/>
          <w:highlight w:val="none"/>
        </w:rPr>
        <w:t>（七）主管部门依照法律、法规认定的其他情形。</w:t>
      </w:r>
    </w:p>
    <w:p>
      <w:pPr>
        <w:keepNext w:val="0"/>
        <w:keepLines w:val="0"/>
        <w:pageBreakBefore w:val="0"/>
        <w:widowControl w:val="0"/>
        <w:kinsoku/>
        <w:wordWrap/>
        <w:overflowPunct/>
        <w:topLinePunct w:val="0"/>
        <w:autoSpaceDE/>
        <w:autoSpaceDN/>
        <w:bidi w:val="0"/>
        <w:adjustRightInd/>
        <w:snapToGrid w:val="0"/>
        <w:ind w:firstLine="422" w:firstLineChars="200"/>
        <w:textAlignment w:val="auto"/>
        <w:rPr>
          <w:rFonts w:ascii="宋体" w:hAnsi="宋体"/>
          <w:color w:val="FF0000"/>
          <w:sz w:val="21"/>
          <w:szCs w:val="21"/>
          <w:highlight w:val="none"/>
        </w:rPr>
      </w:pPr>
      <w:r>
        <w:rPr>
          <w:rFonts w:hint="eastAsia" w:ascii="宋体" w:hAnsi="宋体"/>
          <w:b/>
          <w:bCs/>
          <w:color w:val="FF0000"/>
          <w:sz w:val="21"/>
          <w:szCs w:val="21"/>
          <w:highlight w:val="none"/>
        </w:rPr>
        <w:t>三、《深圳经济特区政府采购条例实施细则》第七十七条</w:t>
      </w:r>
      <w:r>
        <w:rPr>
          <w:rFonts w:hint="eastAsia" w:ascii="宋体" w:hAnsi="宋体"/>
          <w:b/>
          <w:bCs/>
          <w:color w:val="FF0000"/>
          <w:sz w:val="21"/>
          <w:szCs w:val="21"/>
          <w:highlight w:val="none"/>
          <w:lang w:val="en-US" w:eastAsia="zh-CN"/>
        </w:rPr>
        <w:t xml:space="preserve"> </w:t>
      </w:r>
      <w:r>
        <w:rPr>
          <w:rFonts w:hint="eastAsia" w:ascii="宋体" w:hAnsi="宋体"/>
          <w:color w:val="FF0000"/>
          <w:sz w:val="21"/>
          <w:szCs w:val="21"/>
          <w:highlight w:val="none"/>
        </w:rPr>
        <w:t>供应商有下列情形之一的，属于隐瞒真实情况，提供虚假资料，按照采购条例第五十七</w:t>
      </w:r>
      <w:r>
        <w:rPr>
          <w:rFonts w:hint="eastAsia" w:ascii="宋体" w:hAnsi="宋体"/>
          <w:color w:val="FF0000"/>
          <w:sz w:val="21"/>
          <w:szCs w:val="21"/>
          <w:highlight w:val="none"/>
          <w:lang w:val="en-US" w:eastAsia="zh-CN"/>
        </w:rPr>
        <w:t>条</w:t>
      </w:r>
      <w:r>
        <w:rPr>
          <w:rFonts w:hint="eastAsia" w:ascii="宋体" w:hAnsi="宋体"/>
          <w:color w:val="FF0000"/>
          <w:sz w:val="21"/>
          <w:szCs w:val="21"/>
          <w:highlight w:val="none"/>
        </w:rPr>
        <w:t>的有关规定处理：（一）通过转让或者租借等方式从其他单位获取资格或者资质证书投标的</w:t>
      </w:r>
      <w:r>
        <w:rPr>
          <w:rFonts w:hint="eastAsia" w:ascii="宋体" w:hAnsi="宋体"/>
          <w:color w:val="FF0000"/>
          <w:sz w:val="21"/>
          <w:szCs w:val="21"/>
          <w:highlight w:val="none"/>
          <w:lang w:eastAsia="zh-CN"/>
        </w:rPr>
        <w:t>。</w:t>
      </w:r>
      <w:r>
        <w:rPr>
          <w:rFonts w:hint="eastAsia" w:ascii="宋体" w:hAnsi="宋体"/>
          <w:color w:val="FF0000"/>
          <w:sz w:val="21"/>
          <w:szCs w:val="21"/>
          <w:highlight w:val="none"/>
        </w:rPr>
        <w:t>（二）由其他单位或者其他单位负责人在投标供应商编制的投标文件上加盖印章或者签字的</w:t>
      </w:r>
      <w:r>
        <w:rPr>
          <w:rFonts w:hint="eastAsia" w:ascii="宋体" w:hAnsi="宋体"/>
          <w:color w:val="FF0000"/>
          <w:sz w:val="21"/>
          <w:szCs w:val="21"/>
          <w:highlight w:val="none"/>
          <w:lang w:eastAsia="zh-CN"/>
        </w:rPr>
        <w:t>。</w:t>
      </w:r>
      <w:r>
        <w:rPr>
          <w:rFonts w:hint="eastAsia" w:ascii="宋体" w:hAnsi="宋体"/>
          <w:color w:val="FF0000"/>
          <w:sz w:val="21"/>
          <w:szCs w:val="21"/>
          <w:highlight w:val="none"/>
        </w:rPr>
        <w:t>（三）项目负责人或者主要技术人员不是本单位人员的</w:t>
      </w:r>
      <w:r>
        <w:rPr>
          <w:rFonts w:hint="eastAsia" w:ascii="宋体" w:hAnsi="宋体"/>
          <w:color w:val="FF0000"/>
          <w:sz w:val="21"/>
          <w:szCs w:val="21"/>
          <w:highlight w:val="none"/>
          <w:lang w:eastAsia="zh-CN"/>
        </w:rPr>
        <w:t>。</w:t>
      </w:r>
      <w:r>
        <w:rPr>
          <w:rFonts w:hint="eastAsia" w:ascii="宋体" w:hAnsi="宋体"/>
          <w:color w:val="FF0000"/>
          <w:sz w:val="21"/>
          <w:szCs w:val="21"/>
          <w:highlight w:val="none"/>
        </w:rPr>
        <w:t>（四）投标保证金不是从投标供应商基本账户转出的</w:t>
      </w:r>
      <w:r>
        <w:rPr>
          <w:rFonts w:hint="eastAsia" w:ascii="宋体" w:hAnsi="宋体"/>
          <w:color w:val="FF0000"/>
          <w:sz w:val="21"/>
          <w:szCs w:val="21"/>
          <w:highlight w:val="none"/>
          <w:lang w:eastAsia="zh-CN"/>
        </w:rPr>
        <w:t>。</w:t>
      </w:r>
      <w:r>
        <w:rPr>
          <w:rFonts w:hint="eastAsia" w:ascii="宋体" w:hAnsi="宋体"/>
          <w:color w:val="FF0000"/>
          <w:sz w:val="21"/>
          <w:szCs w:val="21"/>
          <w:highlight w:val="none"/>
        </w:rPr>
        <w:t>（五）其他隐瞒真实情况、提供虚假资料的行为。</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ascii="宋体" w:hAnsi="宋体"/>
          <w:color w:val="FF0000"/>
          <w:sz w:val="21"/>
          <w:szCs w:val="21"/>
          <w:highlight w:val="none"/>
        </w:rPr>
      </w:pPr>
      <w:r>
        <w:rPr>
          <w:rFonts w:hint="eastAsia" w:ascii="宋体" w:hAnsi="宋体"/>
          <w:color w:val="FF0000"/>
          <w:sz w:val="21"/>
          <w:szCs w:val="21"/>
          <w:highlight w:val="none"/>
        </w:rPr>
        <w:t>投标供应商不能提供项目负责人或者主要技术人员的劳动合同、社会保险等劳动关系证明材料的，视为存在前款第（三）项规定的情形。</w:t>
      </w:r>
    </w:p>
    <w:p>
      <w:pPr>
        <w:keepNext w:val="0"/>
        <w:keepLines w:val="0"/>
        <w:pageBreakBefore w:val="0"/>
        <w:widowControl w:val="0"/>
        <w:kinsoku/>
        <w:wordWrap/>
        <w:overflowPunct/>
        <w:topLinePunct w:val="0"/>
        <w:autoSpaceDE/>
        <w:autoSpaceDN/>
        <w:bidi w:val="0"/>
        <w:adjustRightInd/>
        <w:snapToGrid w:val="0"/>
        <w:ind w:firstLine="422" w:firstLineChars="200"/>
        <w:textAlignment w:val="auto"/>
        <w:rPr>
          <w:rFonts w:hint="eastAsia"/>
          <w:b/>
          <w:color w:val="FF0000"/>
          <w:sz w:val="21"/>
          <w:szCs w:val="21"/>
          <w:highlight w:val="none"/>
        </w:rPr>
      </w:pPr>
      <w:r>
        <w:rPr>
          <w:rFonts w:hint="eastAsia"/>
          <w:b/>
          <w:color w:val="FF0000"/>
          <w:sz w:val="21"/>
          <w:szCs w:val="21"/>
          <w:highlight w:val="none"/>
        </w:rPr>
        <w:t>四、请投标供应商阅读《政府采购违法行为风险知悉确认书》（内容详见“投标文件附件（信息不公开部分）”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b w:val="0"/>
          <w:bCs/>
          <w:color w:val="FF0000"/>
          <w:sz w:val="21"/>
          <w:szCs w:val="21"/>
          <w:highlight w:val="none"/>
          <w:lang w:val="en-US" w:eastAsia="zh-CN"/>
        </w:rPr>
      </w:pPr>
      <w:r>
        <w:rPr>
          <w:rFonts w:hint="eastAsia"/>
          <w:b w:val="0"/>
          <w:bCs/>
          <w:color w:val="FF0000"/>
          <w:sz w:val="21"/>
          <w:szCs w:val="21"/>
          <w:highlight w:val="none"/>
          <w:lang w:val="en-US" w:eastAsia="zh-CN"/>
        </w:rPr>
        <w:t>五、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b w:val="0"/>
          <w:bCs/>
          <w:color w:val="FF0000"/>
          <w:sz w:val="21"/>
          <w:szCs w:val="21"/>
          <w:highlight w:val="none"/>
          <w:lang w:val="en-US" w:eastAsia="zh-CN"/>
        </w:rPr>
      </w:pPr>
      <w:r>
        <w:rPr>
          <w:rFonts w:hint="eastAsia"/>
          <w:b w:val="0"/>
          <w:bCs/>
          <w:color w:val="FF0000"/>
          <w:sz w:val="21"/>
          <w:szCs w:val="21"/>
          <w:highlight w:val="none"/>
          <w:lang w:val="en-US" w:eastAsia="zh-CN"/>
        </w:rPr>
        <w:t>为避免出现不同供应商投标文件的文件制作机器码、文件创建标识码、IP地址一致的异常情况，建议各供应商编制、上传投标文件时不要使用公共电脑设备或公共网络。</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b w:val="0"/>
          <w:bCs/>
          <w:color w:val="FF0000"/>
          <w:sz w:val="21"/>
          <w:szCs w:val="21"/>
          <w:highlight w:val="none"/>
          <w:lang w:val="en-US" w:eastAsia="zh-CN"/>
        </w:rPr>
      </w:pPr>
      <w:r>
        <w:rPr>
          <w:rFonts w:hint="eastAsia"/>
          <w:b w:val="0"/>
          <w:bCs/>
          <w:color w:val="FF0000"/>
          <w:sz w:val="21"/>
          <w:szCs w:val="21"/>
          <w:highlight w:val="none"/>
          <w:lang w:val="en-US"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1"/>
          <w:szCs w:val="21"/>
          <w:highlight w:val="none"/>
        </w:rPr>
        <w:t>取消参与本市政府采购资格</w:t>
      </w:r>
      <w:r>
        <w:rPr>
          <w:rFonts w:hint="eastAsia" w:hAnsi="宋体"/>
          <w:color w:val="FF0000"/>
          <w:sz w:val="21"/>
          <w:szCs w:val="21"/>
          <w:highlight w:val="none"/>
          <w:lang w:eastAsia="zh-CN"/>
        </w:rPr>
        <w:t>、</w:t>
      </w:r>
      <w:r>
        <w:rPr>
          <w:rFonts w:hint="eastAsia" w:ascii="宋体" w:hAnsi="宋体"/>
          <w:color w:val="FF0000"/>
          <w:sz w:val="21"/>
          <w:szCs w:val="21"/>
          <w:highlight w:val="none"/>
        </w:rPr>
        <w:t>依法吊销其营业</w:t>
      </w:r>
      <w:r>
        <w:rPr>
          <w:rFonts w:hint="eastAsia" w:hAnsi="宋体"/>
          <w:color w:val="FF0000"/>
          <w:sz w:val="21"/>
          <w:szCs w:val="21"/>
          <w:highlight w:val="none"/>
          <w:lang w:val="en-US" w:eastAsia="zh-CN"/>
        </w:rPr>
        <w:t>执照等行政处罚，</w:t>
      </w:r>
      <w:r>
        <w:rPr>
          <w:rFonts w:hint="eastAsia" w:ascii="宋体" w:hAnsi="宋体"/>
          <w:color w:val="FF0000"/>
          <w:sz w:val="21"/>
          <w:szCs w:val="21"/>
          <w:highlight w:val="none"/>
        </w:rPr>
        <w:t>构成犯罪的，依法追究刑事责任</w:t>
      </w:r>
      <w:r>
        <w:rPr>
          <w:rFonts w:hint="eastAsia"/>
          <w:b w:val="0"/>
          <w:bCs/>
          <w:color w:val="FF0000"/>
          <w:sz w:val="21"/>
          <w:szCs w:val="21"/>
          <w:highlight w:val="none"/>
          <w:lang w:val="en-US" w:eastAsia="zh-CN"/>
        </w:rPr>
        <w:t>，请各供应商独立编制、上传投标文件，妥善保管和使用电子秘钥。</w:t>
      </w:r>
    </w:p>
    <w:p>
      <w:pPr>
        <w:snapToGrid w:val="0"/>
        <w:spacing w:line="360" w:lineRule="exact"/>
        <w:jc w:val="left"/>
        <w:rPr>
          <w:rFonts w:ascii="宋体" w:hAnsi="宋体" w:eastAsia="宋体" w:cs="宋体"/>
          <w:color w:val="000000"/>
          <w:kern w:val="0"/>
          <w:sz w:val="24"/>
          <w:szCs w:val="24"/>
          <w:highlight w:val="none"/>
        </w:rPr>
      </w:pPr>
    </w:p>
    <w:p>
      <w:pPr>
        <w:snapToGrid w:val="0"/>
        <w:spacing w:line="360" w:lineRule="exact"/>
        <w:jc w:val="left"/>
        <w:rPr>
          <w:rFonts w:ascii="宋体" w:hAnsi="宋体" w:eastAsia="宋体" w:cs="宋体"/>
          <w:color w:val="000000"/>
          <w:kern w:val="0"/>
          <w:sz w:val="24"/>
          <w:szCs w:val="24"/>
          <w:highlight w:val="none"/>
        </w:rPr>
      </w:pP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ascii="Arial" w:hAnsi="Arial" w:eastAsia="宋体" w:cs="Times New Roman"/>
          <w:b/>
          <w:bCs/>
          <w:kern w:val="44"/>
          <w:sz w:val="32"/>
          <w:szCs w:val="32"/>
          <w:highlight w:val="none"/>
        </w:rPr>
      </w:pPr>
      <w:r>
        <w:rPr>
          <w:rFonts w:hint="eastAsia" w:ascii="Arial" w:hAnsi="Arial" w:eastAsia="宋体" w:cs="Times New Roman"/>
          <w:b/>
          <w:bCs/>
          <w:kern w:val="44"/>
          <w:sz w:val="32"/>
          <w:szCs w:val="32"/>
          <w:highlight w:val="none"/>
        </w:rPr>
        <w:t>目   录</w:t>
      </w:r>
    </w:p>
    <w:p>
      <w:pPr>
        <w:rPr>
          <w:b/>
          <w:sz w:val="24"/>
          <w:szCs w:val="24"/>
          <w:highlight w:val="none"/>
        </w:rPr>
      </w:pPr>
      <w:r>
        <w:rPr>
          <w:rFonts w:hint="eastAsia"/>
          <w:b/>
          <w:sz w:val="24"/>
          <w:szCs w:val="24"/>
          <w:highlight w:val="none"/>
        </w:rPr>
        <w:t>第一册  专用条款</w:t>
      </w:r>
    </w:p>
    <w:p>
      <w:pPr>
        <w:ind w:left="630" w:leftChars="300" w:firstLine="411" w:firstLineChars="196"/>
        <w:rPr>
          <w:rFonts w:ascii="宋体" w:hAnsi="宋体"/>
          <w:szCs w:val="21"/>
          <w:highlight w:val="none"/>
        </w:rPr>
      </w:pPr>
      <w:r>
        <w:rPr>
          <w:rFonts w:hint="eastAsia" w:ascii="宋体" w:hAnsi="宋体"/>
          <w:szCs w:val="21"/>
          <w:highlight w:val="none"/>
        </w:rPr>
        <w:tab/>
      </w:r>
      <w:r>
        <w:rPr>
          <w:rFonts w:hint="eastAsia" w:ascii="宋体" w:hAnsi="宋体"/>
          <w:szCs w:val="21"/>
          <w:highlight w:val="none"/>
        </w:rPr>
        <w:t>关键信息</w:t>
      </w:r>
    </w:p>
    <w:p>
      <w:pPr>
        <w:ind w:left="630" w:leftChars="300" w:firstLine="411" w:firstLineChars="196"/>
        <w:rPr>
          <w:rFonts w:ascii="宋体" w:hAnsi="宋体"/>
          <w:szCs w:val="21"/>
          <w:highlight w:val="none"/>
        </w:rPr>
      </w:pPr>
      <w:r>
        <w:rPr>
          <w:rFonts w:hint="eastAsia" w:ascii="宋体" w:hAnsi="宋体"/>
          <w:szCs w:val="21"/>
          <w:highlight w:val="none"/>
        </w:rPr>
        <w:t>第一章  招标公告</w:t>
      </w:r>
    </w:p>
    <w:p>
      <w:pPr>
        <w:ind w:left="630" w:leftChars="300" w:firstLine="411" w:firstLineChars="196"/>
        <w:rPr>
          <w:rFonts w:ascii="宋体" w:hAnsi="宋体"/>
          <w:szCs w:val="21"/>
          <w:highlight w:val="none"/>
        </w:rPr>
      </w:pPr>
      <w:r>
        <w:rPr>
          <w:rFonts w:hint="eastAsia" w:ascii="宋体" w:hAnsi="宋体"/>
          <w:szCs w:val="21"/>
          <w:highlight w:val="none"/>
        </w:rPr>
        <w:t>第二章  对通用条款的补充内容及其他关键信息</w:t>
      </w:r>
    </w:p>
    <w:p>
      <w:pPr>
        <w:ind w:left="630" w:leftChars="300" w:firstLine="411" w:firstLineChars="196"/>
        <w:rPr>
          <w:rFonts w:ascii="宋体" w:hAnsi="宋体"/>
          <w:szCs w:val="21"/>
          <w:highlight w:val="none"/>
        </w:rPr>
      </w:pPr>
      <w:r>
        <w:rPr>
          <w:rFonts w:hint="eastAsia" w:ascii="宋体" w:hAnsi="宋体"/>
          <w:szCs w:val="21"/>
          <w:highlight w:val="none"/>
        </w:rPr>
        <w:t xml:space="preserve">第三章 </w:t>
      </w:r>
      <w:r>
        <w:rPr>
          <w:rFonts w:ascii="宋体" w:hAnsi="宋体"/>
          <w:szCs w:val="21"/>
          <w:highlight w:val="none"/>
        </w:rPr>
        <w:t xml:space="preserve"> </w:t>
      </w:r>
      <w:r>
        <w:rPr>
          <w:rFonts w:hint="eastAsia" w:ascii="宋体" w:hAnsi="宋体"/>
          <w:szCs w:val="21"/>
          <w:highlight w:val="none"/>
        </w:rPr>
        <w:t>用户需求书</w:t>
      </w:r>
    </w:p>
    <w:p>
      <w:pPr>
        <w:ind w:left="630" w:leftChars="300" w:firstLine="411" w:firstLineChars="196"/>
        <w:rPr>
          <w:rFonts w:ascii="宋体" w:hAnsi="宋体"/>
          <w:szCs w:val="21"/>
          <w:highlight w:val="none"/>
        </w:rPr>
      </w:pPr>
      <w:r>
        <w:rPr>
          <w:rFonts w:hint="eastAsia" w:ascii="宋体" w:hAnsi="宋体"/>
          <w:szCs w:val="21"/>
          <w:highlight w:val="none"/>
        </w:rPr>
        <w:t xml:space="preserve">第四章 </w:t>
      </w:r>
      <w:r>
        <w:rPr>
          <w:rFonts w:ascii="宋体" w:hAnsi="宋体"/>
          <w:szCs w:val="21"/>
          <w:highlight w:val="none"/>
        </w:rPr>
        <w:t xml:space="preserve"> </w:t>
      </w:r>
      <w:r>
        <w:rPr>
          <w:rFonts w:hint="eastAsia" w:ascii="宋体" w:hAnsi="宋体"/>
          <w:szCs w:val="21"/>
          <w:highlight w:val="none"/>
        </w:rPr>
        <w:t>投标文件组成要求及格式</w:t>
      </w:r>
    </w:p>
    <w:p>
      <w:pPr>
        <w:ind w:left="630" w:leftChars="300" w:firstLine="411" w:firstLineChars="196"/>
        <w:rPr>
          <w:rFonts w:ascii="宋体" w:hAnsi="宋体"/>
          <w:szCs w:val="21"/>
          <w:highlight w:val="none"/>
        </w:rPr>
      </w:pPr>
      <w:r>
        <w:rPr>
          <w:rFonts w:hint="eastAsia" w:ascii="宋体" w:hAnsi="宋体"/>
          <w:szCs w:val="21"/>
          <w:highlight w:val="none"/>
        </w:rPr>
        <w:t>第五章  合同条款及格式</w:t>
      </w:r>
    </w:p>
    <w:p>
      <w:pPr>
        <w:rPr>
          <w:b/>
          <w:sz w:val="24"/>
          <w:highlight w:val="none"/>
        </w:rPr>
      </w:pPr>
    </w:p>
    <w:p>
      <w:pPr>
        <w:rPr>
          <w:b/>
          <w:sz w:val="24"/>
          <w:szCs w:val="24"/>
          <w:highlight w:val="none"/>
        </w:rPr>
      </w:pPr>
      <w:r>
        <w:rPr>
          <w:rFonts w:hint="eastAsia"/>
          <w:b/>
          <w:sz w:val="24"/>
          <w:szCs w:val="24"/>
          <w:highlight w:val="none"/>
        </w:rPr>
        <w:t>第二册  通用条款</w:t>
      </w:r>
    </w:p>
    <w:p>
      <w:pPr>
        <w:ind w:left="630" w:leftChars="300" w:firstLine="411" w:firstLineChars="196"/>
        <w:rPr>
          <w:rFonts w:ascii="宋体" w:hAnsi="宋体"/>
          <w:szCs w:val="21"/>
          <w:highlight w:val="none"/>
        </w:rPr>
      </w:pPr>
      <w:r>
        <w:rPr>
          <w:rFonts w:hint="eastAsia" w:ascii="宋体" w:hAnsi="宋体"/>
          <w:szCs w:val="21"/>
          <w:highlight w:val="none"/>
        </w:rPr>
        <w:t>第一章  总则</w:t>
      </w:r>
    </w:p>
    <w:p>
      <w:pPr>
        <w:ind w:left="630" w:leftChars="300" w:firstLine="411" w:firstLineChars="196"/>
        <w:rPr>
          <w:rFonts w:ascii="宋体" w:hAnsi="宋体"/>
          <w:szCs w:val="21"/>
          <w:highlight w:val="none"/>
        </w:rPr>
      </w:pPr>
      <w:r>
        <w:rPr>
          <w:rFonts w:hint="eastAsia" w:ascii="宋体" w:hAnsi="宋体"/>
          <w:szCs w:val="21"/>
          <w:highlight w:val="none"/>
        </w:rPr>
        <w:t>第二章  招标文件</w:t>
      </w:r>
    </w:p>
    <w:p>
      <w:pPr>
        <w:ind w:left="630" w:leftChars="300" w:firstLine="411" w:firstLineChars="196"/>
        <w:rPr>
          <w:rFonts w:ascii="宋体" w:hAnsi="宋体"/>
          <w:szCs w:val="21"/>
          <w:highlight w:val="none"/>
        </w:rPr>
      </w:pPr>
      <w:r>
        <w:rPr>
          <w:rFonts w:hint="eastAsia" w:ascii="宋体" w:hAnsi="宋体"/>
          <w:szCs w:val="21"/>
          <w:highlight w:val="none"/>
        </w:rPr>
        <w:t>第三章  投标文件的编制</w:t>
      </w:r>
    </w:p>
    <w:p>
      <w:pPr>
        <w:ind w:left="630" w:leftChars="300" w:firstLine="411" w:firstLineChars="196"/>
        <w:rPr>
          <w:rFonts w:ascii="宋体" w:hAnsi="宋体"/>
          <w:szCs w:val="21"/>
          <w:highlight w:val="none"/>
        </w:rPr>
      </w:pPr>
      <w:r>
        <w:rPr>
          <w:rFonts w:hint="eastAsia" w:ascii="宋体" w:hAnsi="宋体"/>
          <w:szCs w:val="21"/>
          <w:highlight w:val="none"/>
        </w:rPr>
        <w:t>第四章  投标文件的递交</w:t>
      </w:r>
    </w:p>
    <w:p>
      <w:pPr>
        <w:ind w:left="630" w:leftChars="300" w:firstLine="411" w:firstLineChars="196"/>
        <w:rPr>
          <w:rFonts w:ascii="宋体" w:hAnsi="宋体"/>
          <w:szCs w:val="21"/>
          <w:highlight w:val="none"/>
        </w:rPr>
      </w:pPr>
      <w:r>
        <w:rPr>
          <w:rFonts w:hint="eastAsia" w:ascii="宋体" w:hAnsi="宋体"/>
          <w:szCs w:val="21"/>
          <w:highlight w:val="none"/>
        </w:rPr>
        <w:t>第五章  开标</w:t>
      </w:r>
    </w:p>
    <w:p>
      <w:pPr>
        <w:ind w:left="630" w:leftChars="300" w:firstLine="411" w:firstLineChars="196"/>
        <w:rPr>
          <w:rFonts w:ascii="宋体" w:hAnsi="宋体"/>
          <w:szCs w:val="21"/>
          <w:highlight w:val="none"/>
        </w:rPr>
      </w:pPr>
      <w:r>
        <w:rPr>
          <w:rFonts w:hint="eastAsia" w:ascii="宋体" w:hAnsi="宋体"/>
          <w:szCs w:val="21"/>
          <w:highlight w:val="none"/>
        </w:rPr>
        <w:t>第六章  评审要求</w:t>
      </w:r>
    </w:p>
    <w:p>
      <w:pPr>
        <w:ind w:left="630" w:leftChars="300" w:firstLine="411" w:firstLineChars="196"/>
        <w:rPr>
          <w:rFonts w:ascii="宋体" w:hAnsi="宋体"/>
          <w:szCs w:val="21"/>
          <w:highlight w:val="none"/>
        </w:rPr>
      </w:pPr>
      <w:r>
        <w:rPr>
          <w:rFonts w:hint="eastAsia" w:ascii="宋体" w:hAnsi="宋体"/>
          <w:szCs w:val="21"/>
          <w:highlight w:val="none"/>
        </w:rPr>
        <w:t>第七章  评审程序及评审方法</w:t>
      </w:r>
    </w:p>
    <w:p>
      <w:pPr>
        <w:ind w:left="630" w:leftChars="300" w:firstLine="411" w:firstLineChars="196"/>
        <w:rPr>
          <w:rFonts w:ascii="宋体" w:hAnsi="宋体"/>
          <w:szCs w:val="21"/>
          <w:highlight w:val="none"/>
        </w:rPr>
      </w:pPr>
      <w:r>
        <w:rPr>
          <w:rFonts w:hint="eastAsia" w:ascii="宋体" w:hAnsi="宋体"/>
          <w:szCs w:val="21"/>
          <w:highlight w:val="none"/>
        </w:rPr>
        <w:t>第八章  定标及公示</w:t>
      </w:r>
    </w:p>
    <w:p>
      <w:pPr>
        <w:ind w:left="630" w:leftChars="300" w:firstLine="411" w:firstLineChars="196"/>
        <w:rPr>
          <w:rFonts w:ascii="宋体" w:hAnsi="宋体"/>
          <w:szCs w:val="21"/>
          <w:highlight w:val="none"/>
        </w:rPr>
      </w:pPr>
      <w:r>
        <w:rPr>
          <w:rFonts w:hint="eastAsia" w:ascii="宋体" w:hAnsi="宋体"/>
          <w:szCs w:val="21"/>
          <w:highlight w:val="none"/>
        </w:rPr>
        <w:t>第九章  公开招标失败的后续处理</w:t>
      </w:r>
    </w:p>
    <w:p>
      <w:pPr>
        <w:ind w:left="630" w:leftChars="300" w:firstLine="411" w:firstLineChars="196"/>
        <w:rPr>
          <w:rFonts w:ascii="宋体" w:hAnsi="宋体"/>
          <w:szCs w:val="21"/>
          <w:highlight w:val="none"/>
        </w:rPr>
      </w:pPr>
      <w:r>
        <w:rPr>
          <w:rFonts w:hint="eastAsia" w:ascii="宋体" w:hAnsi="宋体"/>
          <w:szCs w:val="21"/>
          <w:highlight w:val="none"/>
        </w:rPr>
        <w:t>第十章  合同的授予与备案</w:t>
      </w:r>
    </w:p>
    <w:p>
      <w:pPr>
        <w:rPr>
          <w:highlight w:val="none"/>
        </w:rPr>
      </w:pPr>
      <w:r>
        <w:rPr>
          <w:rFonts w:hint="eastAsia"/>
          <w:highlight w:val="none"/>
        </w:rPr>
        <w:t xml:space="preserve">          第十一章  质疑处理</w:t>
      </w:r>
    </w:p>
    <w:p>
      <w:pPr>
        <w:rPr>
          <w:highlight w:val="none"/>
        </w:rPr>
      </w:pPr>
    </w:p>
    <w:p>
      <w:pPr>
        <w:rPr>
          <w:highlight w:val="none"/>
        </w:rPr>
      </w:pPr>
    </w:p>
    <w:p>
      <w:pPr>
        <w:widowControl/>
        <w:jc w:val="left"/>
        <w:rPr>
          <w:highlight w:val="none"/>
        </w:rPr>
      </w:pPr>
      <w:r>
        <w:rPr>
          <w:highlight w:val="none"/>
        </w:rPr>
        <w:br w:type="page"/>
      </w:r>
    </w:p>
    <w:p>
      <w:pPr>
        <w:pStyle w:val="2"/>
        <w:spacing w:after="78"/>
        <w:jc w:val="center"/>
        <w:rPr>
          <w:sz w:val="32"/>
          <w:szCs w:val="32"/>
          <w:highlight w:val="none"/>
        </w:rPr>
      </w:pPr>
      <w:r>
        <w:rPr>
          <w:rFonts w:hint="eastAsia"/>
          <w:sz w:val="32"/>
          <w:szCs w:val="32"/>
          <w:highlight w:val="none"/>
        </w:rPr>
        <w:t>第一册  专用条款</w:t>
      </w:r>
    </w:p>
    <w:p>
      <w:pPr>
        <w:keepNext/>
        <w:keepLines/>
        <w:adjustRightInd w:val="0"/>
        <w:spacing w:before="260" w:after="260"/>
        <w:jc w:val="center"/>
        <w:textAlignment w:val="baseline"/>
        <w:outlineLvl w:val="1"/>
        <w:rPr>
          <w:rFonts w:ascii="宋体" w:hAnsi="宋体" w:eastAsia="宋体" w:cs="Times New Roman"/>
          <w:b/>
          <w:bCs/>
          <w:kern w:val="0"/>
          <w:sz w:val="28"/>
          <w:szCs w:val="28"/>
          <w:highlight w:val="none"/>
        </w:rPr>
      </w:pPr>
      <w:r>
        <w:rPr>
          <w:rFonts w:hint="eastAsia" w:ascii="宋体" w:hAnsi="宋体" w:eastAsia="宋体" w:cs="Times New Roman"/>
          <w:b/>
          <w:bCs/>
          <w:kern w:val="0"/>
          <w:sz w:val="28"/>
          <w:szCs w:val="28"/>
          <w:highlight w:val="none"/>
        </w:rPr>
        <w:t>第一章  招标公告</w:t>
      </w:r>
    </w:p>
    <w:p>
      <w:pPr>
        <w:snapToGrid w:val="0"/>
        <w:spacing w:line="300" w:lineRule="exact"/>
        <w:rPr>
          <w:rFonts w:ascii="Arial" w:hAnsi="Arial" w:eastAsia="宋体" w:cs="Times New Roman"/>
          <w:szCs w:val="21"/>
          <w:highlight w:val="none"/>
        </w:rPr>
      </w:pPr>
      <w:r>
        <w:rPr>
          <w:rFonts w:hint="eastAsia" w:ascii="Arial" w:hAnsi="Arial" w:eastAsia="宋体" w:cs="Times New Roman"/>
          <w:b/>
          <w:bCs/>
          <w:szCs w:val="21"/>
          <w:highlight w:val="none"/>
        </w:rPr>
        <w:t>申请人的资格要求：</w:t>
      </w:r>
    </w:p>
    <w:p>
      <w:pPr>
        <w:keepNext w:val="0"/>
        <w:keepLines w:val="0"/>
        <w:pageBreakBefore w:val="0"/>
        <w:widowControl w:val="0"/>
        <w:kinsoku/>
        <w:wordWrap/>
        <w:overflowPunct/>
        <w:topLinePunct w:val="0"/>
        <w:autoSpaceDE/>
        <w:autoSpaceDN/>
        <w:bidi w:val="0"/>
        <w:adjustRightInd/>
        <w:snapToGrid w:val="0"/>
        <w:spacing w:line="360" w:lineRule="exact"/>
        <w:ind w:firstLine="465"/>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1）具有独立承担民事责任的能力（提供营业执照或事业单位法人证书等证明资料扫描件，原件备查</w:t>
      </w:r>
      <w:r>
        <w:rPr>
          <w:rFonts w:hint="eastAsia" w:asciiTheme="minorEastAsia" w:hAnsiTheme="minorEastAsia" w:cstheme="minorEastAsia"/>
          <w:bCs/>
          <w:sz w:val="24"/>
          <w:szCs w:val="24"/>
          <w:highlight w:val="none"/>
          <w:lang w:eastAsia="zh-CN"/>
        </w:rPr>
        <w:t>。</w:t>
      </w:r>
      <w:r>
        <w:rPr>
          <w:rFonts w:hint="eastAsia" w:asciiTheme="minorEastAsia" w:hAnsiTheme="minorEastAsia" w:eastAsiaTheme="minorEastAsia" w:cstheme="minorEastAsia"/>
          <w:bCs/>
          <w:sz w:val="24"/>
          <w:szCs w:val="24"/>
          <w:highlight w:val="none"/>
        </w:rPr>
        <w:t>分支机构参与投标的，</w:t>
      </w:r>
      <w:r>
        <w:rPr>
          <w:rFonts w:hint="eastAsia" w:asciiTheme="minorEastAsia" w:hAnsiTheme="minorEastAsia" w:cstheme="minorEastAsia"/>
          <w:bCs/>
          <w:sz w:val="24"/>
          <w:szCs w:val="24"/>
          <w:highlight w:val="none"/>
          <w:lang w:val="en-US" w:eastAsia="zh-CN"/>
        </w:rPr>
        <w:t>须同时</w:t>
      </w:r>
      <w:r>
        <w:rPr>
          <w:rFonts w:hint="eastAsia" w:asciiTheme="minorEastAsia" w:hAnsiTheme="minorEastAsia" w:eastAsiaTheme="minorEastAsia" w:cstheme="minorEastAsia"/>
          <w:bCs/>
          <w:sz w:val="24"/>
          <w:szCs w:val="24"/>
          <w:highlight w:val="none"/>
        </w:rPr>
        <w:t>提供</w:t>
      </w:r>
      <w:r>
        <w:rPr>
          <w:rFonts w:hint="eastAsia" w:asciiTheme="minorEastAsia" w:hAnsiTheme="minorEastAsia" w:cstheme="minorEastAsia"/>
          <w:bCs/>
          <w:sz w:val="24"/>
          <w:szCs w:val="24"/>
          <w:highlight w:val="none"/>
          <w:lang w:eastAsia="zh-CN"/>
        </w:rPr>
        <w:t>：</w:t>
      </w:r>
      <w:r>
        <w:rPr>
          <w:rFonts w:hint="eastAsia" w:asciiTheme="minorEastAsia" w:hAnsiTheme="minorEastAsia" w:cstheme="minorEastAsia"/>
          <w:bCs/>
          <w:sz w:val="24"/>
          <w:szCs w:val="24"/>
          <w:highlight w:val="none"/>
          <w:lang w:val="en-US" w:eastAsia="zh-CN"/>
        </w:rPr>
        <w:t>①分支机构</w:t>
      </w:r>
      <w:r>
        <w:rPr>
          <w:rFonts w:hint="eastAsia" w:asciiTheme="minorEastAsia" w:hAnsiTheme="minorEastAsia" w:eastAsiaTheme="minorEastAsia" w:cstheme="minorEastAsia"/>
          <w:bCs/>
          <w:sz w:val="24"/>
          <w:szCs w:val="24"/>
          <w:highlight w:val="none"/>
        </w:rPr>
        <w:t>营业执照或事业单位法人证书等证明资料扫描件</w:t>
      </w:r>
      <w:r>
        <w:rPr>
          <w:rFonts w:hint="eastAsia" w:asciiTheme="minorEastAsia" w:hAnsiTheme="minorEastAsia" w:cstheme="minorEastAsia"/>
          <w:bCs/>
          <w:sz w:val="24"/>
          <w:szCs w:val="24"/>
          <w:highlight w:val="none"/>
          <w:lang w:val="en-US" w:eastAsia="zh-CN"/>
        </w:rPr>
        <w:t>；②</w:t>
      </w:r>
      <w:r>
        <w:rPr>
          <w:rFonts w:hint="eastAsia" w:asciiTheme="minorEastAsia" w:hAnsiTheme="minorEastAsia" w:eastAsiaTheme="minorEastAsia" w:cstheme="minorEastAsia"/>
          <w:bCs/>
          <w:sz w:val="24"/>
          <w:szCs w:val="24"/>
          <w:highlight w:val="none"/>
        </w:rPr>
        <w:t>总公司授权文件且授权</w:t>
      </w:r>
      <w:r>
        <w:rPr>
          <w:rFonts w:hint="eastAsia" w:asciiTheme="minorEastAsia" w:hAnsiTheme="minorEastAsia" w:cstheme="minorEastAsia"/>
          <w:bCs/>
          <w:sz w:val="24"/>
          <w:szCs w:val="24"/>
          <w:highlight w:val="none"/>
          <w:lang w:val="en-US" w:eastAsia="zh-CN"/>
        </w:rPr>
        <w:t>文件</w:t>
      </w:r>
      <w:r>
        <w:rPr>
          <w:rFonts w:hint="eastAsia" w:asciiTheme="minorEastAsia" w:hAnsiTheme="minorEastAsia" w:eastAsiaTheme="minorEastAsia" w:cstheme="minorEastAsia"/>
          <w:bCs/>
          <w:sz w:val="24"/>
          <w:szCs w:val="24"/>
          <w:highlight w:val="none"/>
        </w:rPr>
        <w:t>载明其民事责任由总公司承担）。</w:t>
      </w:r>
    </w:p>
    <w:p>
      <w:pPr>
        <w:keepNext w:val="0"/>
        <w:keepLines w:val="0"/>
        <w:pageBreakBefore w:val="0"/>
        <w:widowControl w:val="0"/>
        <w:kinsoku/>
        <w:wordWrap/>
        <w:overflowPunct/>
        <w:topLinePunct w:val="0"/>
        <w:autoSpaceDE/>
        <w:autoSpaceDN/>
        <w:bidi w:val="0"/>
        <w:adjustRightInd/>
        <w:snapToGrid w:val="0"/>
        <w:spacing w:line="360" w:lineRule="exact"/>
        <w:ind w:firstLine="465"/>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2）本项目不接受联合体投标</w:t>
      </w:r>
      <w:r>
        <w:rPr>
          <w:rFonts w:hint="eastAsia" w:asciiTheme="minorEastAsia" w:hAnsiTheme="minorEastAsia" w:eastAsiaTheme="minorEastAsia" w:cstheme="minorEastAsia"/>
          <w:bCs/>
          <w:sz w:val="24"/>
          <w:szCs w:val="24"/>
          <w:highlight w:val="none"/>
          <w:lang w:eastAsia="zh-CN"/>
        </w:rPr>
        <w:t>，</w:t>
      </w:r>
      <w:r>
        <w:rPr>
          <w:rFonts w:hint="eastAsia" w:asciiTheme="minorEastAsia" w:hAnsiTheme="minorEastAsia" w:eastAsiaTheme="minorEastAsia" w:cstheme="minorEastAsia"/>
          <w:bCs/>
          <w:sz w:val="24"/>
          <w:szCs w:val="24"/>
          <w:highlight w:val="none"/>
        </w:rPr>
        <w:t>不接受投标人选用进口产品参与投标。</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rPr>
        <w:t>3</w:t>
      </w:r>
      <w:r>
        <w:rPr>
          <w:rFonts w:hint="eastAsia" w:asciiTheme="minorEastAsia" w:hAnsiTheme="minorEastAsia" w:eastAsiaTheme="minorEastAsia" w:cstheme="minorEastAsia"/>
          <w:bCs/>
          <w:sz w:val="24"/>
          <w:szCs w:val="24"/>
          <w:highlight w:val="none"/>
          <w:lang w:eastAsia="zh-CN"/>
        </w:rPr>
        <w:t>）</w:t>
      </w:r>
      <w:r>
        <w:rPr>
          <w:rFonts w:hint="eastAsia" w:asciiTheme="minorEastAsia" w:hAnsiTheme="minorEastAsia" w:eastAsiaTheme="minorEastAsia" w:cstheme="minorEastAsia"/>
          <w:bCs/>
          <w:sz w:val="24"/>
          <w:szCs w:val="24"/>
          <w:highlight w:val="none"/>
        </w:rPr>
        <w:t>参与本项目政府采购活动时不存在被有关部门禁止参与政府采购活动且在有效期内的情况（由供应商在《政府采购投标及履约承诺函》中作出声明）</w:t>
      </w:r>
      <w:r>
        <w:rPr>
          <w:rFonts w:hint="eastAsia" w:asciiTheme="minorEastAsia" w:hAnsiTheme="minorEastAsia" w:eastAsiaTheme="minorEastAsia" w:cstheme="minorEastAsia"/>
          <w:bCs/>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val="en-US" w:eastAsia="zh-CN"/>
        </w:rPr>
        <w:t>4</w:t>
      </w:r>
      <w:r>
        <w:rPr>
          <w:rFonts w:hint="eastAsia" w:asciiTheme="minorEastAsia" w:hAnsiTheme="minorEastAsia" w:eastAsiaTheme="minorEastAsia" w:cstheme="minorEastAsia"/>
          <w:bCs/>
          <w:sz w:val="24"/>
          <w:szCs w:val="24"/>
          <w:highlight w:val="none"/>
          <w:lang w:eastAsia="zh-CN"/>
        </w:rPr>
        <w:t>）</w:t>
      </w:r>
      <w:r>
        <w:rPr>
          <w:rFonts w:hint="eastAsia" w:asciiTheme="minorEastAsia" w:hAnsiTheme="minorEastAsia" w:eastAsiaTheme="minorEastAsia" w:cstheme="minorEastAsia"/>
          <w:bCs/>
          <w:sz w:val="24"/>
          <w:szCs w:val="24"/>
          <w:highlight w:val="none"/>
        </w:rPr>
        <w:t>具备《中华人民共和国政府采购法》第二十二条第一款的条件（由供应商在《政府采购投标及履约承诺函》中作出声明）</w:t>
      </w:r>
      <w:r>
        <w:rPr>
          <w:rFonts w:hint="eastAsia" w:asciiTheme="minorEastAsia" w:hAnsiTheme="minorEastAsia" w:eastAsiaTheme="minorEastAsia" w:cstheme="minorEastAsia"/>
          <w:bCs/>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val="en-US" w:eastAsia="zh-CN"/>
        </w:rPr>
        <w:t>5</w:t>
      </w:r>
      <w:r>
        <w:rPr>
          <w:rFonts w:hint="eastAsia" w:asciiTheme="minorEastAsia" w:hAnsiTheme="minorEastAsia" w:eastAsiaTheme="minorEastAsia" w:cstheme="minorEastAsia"/>
          <w:bCs/>
          <w:sz w:val="24"/>
          <w:szCs w:val="24"/>
          <w:highlight w:val="none"/>
          <w:lang w:eastAsia="zh-CN"/>
        </w:rPr>
        <w:t>）</w:t>
      </w:r>
      <w:r>
        <w:rPr>
          <w:rFonts w:hint="eastAsia" w:asciiTheme="minorEastAsia" w:hAnsiTheme="minorEastAsia" w:eastAsiaTheme="minorEastAsia" w:cstheme="minorEastAsia"/>
          <w:bCs/>
          <w:sz w:val="24"/>
          <w:szCs w:val="24"/>
          <w:highlight w:val="none"/>
        </w:rPr>
        <w:t>未被列入失信被执行人、重大税收违法案件当事人名单、政府采购严重违法失信行为记录名单（由供应商在《政府采购投标及履约承诺函》中作出声明）</w:t>
      </w:r>
      <w:r>
        <w:rPr>
          <w:rFonts w:hint="eastAsia" w:asciiTheme="minorEastAsia" w:hAnsiTheme="minorEastAsia" w:eastAsiaTheme="minorEastAsia" w:cstheme="minorEastAsia"/>
          <w:bCs/>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360" w:lineRule="exact"/>
        <w:ind w:firstLine="465"/>
        <w:textAlignment w:val="auto"/>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rPr>
        <w:t>6）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r>
        <w:rPr>
          <w:rFonts w:hint="eastAsia" w:asciiTheme="minorEastAsia" w:hAnsiTheme="minorEastAsia" w:eastAsiaTheme="minorEastAsia" w:cstheme="minorEastAsia"/>
          <w:bCs/>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lang w:val="en-US" w:eastAsia="zh-CN"/>
        </w:rPr>
        <w:t>7</w:t>
      </w:r>
      <w:r>
        <w:rPr>
          <w:rFonts w:hint="eastAsia" w:asciiTheme="minorEastAsia" w:hAnsiTheme="minorEastAsia" w:eastAsiaTheme="minorEastAsia" w:cstheme="minorEastAsia"/>
          <w:bCs/>
          <w:sz w:val="24"/>
          <w:szCs w:val="24"/>
          <w:highlight w:val="none"/>
        </w:rPr>
        <w:t>）本项目是（否）专门面向中小企业采购：</w:t>
      </w:r>
      <w:r>
        <w:rPr>
          <w:rFonts w:hint="eastAsia" w:asciiTheme="minorEastAsia" w:hAnsiTheme="minorEastAsia" w:eastAsiaTheme="minorEastAsia" w:cstheme="minorEastAsia"/>
          <w:bCs/>
          <w:sz w:val="24"/>
          <w:szCs w:val="24"/>
          <w:highlight w:val="none"/>
          <w:lang w:val="en-US" w:eastAsia="zh-CN"/>
        </w:rPr>
        <w:t>否。</w:t>
      </w:r>
    </w:p>
    <w:p>
      <w:pPr>
        <w:keepNext w:val="0"/>
        <w:keepLines w:val="0"/>
        <w:pageBreakBefore w:val="0"/>
        <w:widowControl w:val="0"/>
        <w:kinsoku/>
        <w:wordWrap/>
        <w:overflowPunct/>
        <w:topLinePunct w:val="0"/>
        <w:autoSpaceDE/>
        <w:autoSpaceDN/>
        <w:bidi w:val="0"/>
        <w:adjustRightInd/>
        <w:snapToGrid w:val="0"/>
        <w:spacing w:line="360" w:lineRule="exact"/>
        <w:ind w:firstLine="465"/>
        <w:textAlignment w:val="auto"/>
        <w:rPr>
          <w:rFonts w:hint="eastAsia" w:asciiTheme="minorEastAsia" w:hAnsiTheme="minorEastAsia" w:eastAsiaTheme="minorEastAsia" w:cstheme="minorEastAsia"/>
          <w:b/>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Theme="minorEastAsia" w:hAnsiTheme="minorEastAsia" w:eastAsiaTheme="minorEastAsia" w:cstheme="minorEastAsia"/>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（2）供应商投标（上传投标文件）必须先行办理注册手续。</w:t>
      </w:r>
    </w:p>
    <w:p>
      <w:pPr>
        <w:snapToGrid w:val="0"/>
        <w:spacing w:line="300" w:lineRule="auto"/>
        <w:ind w:firstLine="480" w:firstLineChars="200"/>
        <w:rPr>
          <w:rFonts w:ascii="Arial" w:hAnsi="Arial" w:eastAsia="宋体" w:cs="Times New Roman"/>
          <w:sz w:val="24"/>
          <w:szCs w:val="24"/>
          <w:highlight w:val="none"/>
        </w:rPr>
      </w:pPr>
    </w:p>
    <w:p>
      <w:pPr>
        <w:spacing w:afterLines="25"/>
        <w:jc w:val="center"/>
        <w:rPr>
          <w:b/>
          <w:color w:val="FF0000"/>
          <w:sz w:val="30"/>
          <w:szCs w:val="30"/>
          <w:highlight w:val="none"/>
        </w:rPr>
      </w:pPr>
      <w:r>
        <w:rPr>
          <w:rFonts w:hint="eastAsia" w:ascii="Arial" w:hAnsi="Arial" w:eastAsia="宋体" w:cs="Times New Roman"/>
          <w:b/>
          <w:color w:val="FF0000"/>
          <w:sz w:val="30"/>
          <w:szCs w:val="30"/>
          <w:highlight w:val="none"/>
        </w:rPr>
        <w:t>完整公告内容以网站公布信息为准，详见：</w:t>
      </w:r>
      <w:r>
        <w:rPr>
          <w:rFonts w:hint="eastAsia"/>
          <w:b/>
          <w:color w:val="FF0000"/>
          <w:sz w:val="30"/>
          <w:szCs w:val="30"/>
          <w:highlight w:val="none"/>
        </w:rPr>
        <w:t>深圳公共资源交易网（https://www.szggzy.com/jygg/list.html?id=zfcg）</w:t>
      </w:r>
    </w:p>
    <w:p>
      <w:pPr>
        <w:spacing w:afterLines="25"/>
        <w:rPr>
          <w:rFonts w:ascii="Arial" w:hAnsi="Arial" w:eastAsia="宋体" w:cs="Times New Roman"/>
          <w:b/>
          <w:color w:val="FF0000"/>
          <w:sz w:val="30"/>
          <w:szCs w:val="30"/>
          <w:highlight w:val="none"/>
        </w:rPr>
      </w:pPr>
    </w:p>
    <w:p>
      <w:pPr>
        <w:keepNext/>
        <w:keepLines/>
        <w:spacing w:before="260" w:after="260" w:line="416" w:lineRule="auto"/>
        <w:jc w:val="center"/>
        <w:outlineLvl w:val="1"/>
        <w:rPr>
          <w:rFonts w:ascii="宋体" w:hAnsi="宋体" w:eastAsia="宋体" w:cs="Times New Roman"/>
          <w:b/>
          <w:bCs/>
          <w:kern w:val="0"/>
          <w:sz w:val="28"/>
          <w:szCs w:val="28"/>
          <w:highlight w:val="none"/>
        </w:rPr>
      </w:pPr>
      <w:r>
        <w:rPr>
          <w:rFonts w:hint="eastAsia" w:ascii="宋体" w:hAnsi="宋体" w:eastAsia="宋体" w:cs="Times New Roman"/>
          <w:b/>
          <w:bCs/>
          <w:kern w:val="0"/>
          <w:sz w:val="28"/>
          <w:szCs w:val="28"/>
          <w:highlight w:val="none"/>
        </w:rPr>
        <w:t xml:space="preserve">第二章 </w:t>
      </w:r>
      <w:bookmarkStart w:id="2" w:name="_Hlk71926094"/>
      <w:r>
        <w:rPr>
          <w:rFonts w:hint="eastAsia" w:ascii="宋体" w:hAnsi="宋体" w:eastAsia="宋体" w:cs="Times New Roman"/>
          <w:b/>
          <w:bCs/>
          <w:kern w:val="0"/>
          <w:sz w:val="28"/>
          <w:szCs w:val="28"/>
          <w:highlight w:val="none"/>
        </w:rPr>
        <w:t>对通用条款的补充内容及其他关键信息</w:t>
      </w:r>
      <w:bookmarkEnd w:id="2"/>
    </w:p>
    <w:p>
      <w:pPr>
        <w:keepNext/>
        <w:keepLines/>
        <w:adjustRightInd w:val="0"/>
        <w:spacing w:beforeLines="50" w:afterLines="50"/>
        <w:jc w:val="center"/>
        <w:textAlignment w:val="baseline"/>
        <w:outlineLvl w:val="2"/>
        <w:rPr>
          <w:rFonts w:hint="eastAsia" w:ascii="宋体" w:hAnsi="宋体" w:eastAsia="宋体" w:cs="Times New Roman"/>
          <w:b/>
          <w:bCs/>
          <w:kern w:val="0"/>
          <w:sz w:val="24"/>
          <w:szCs w:val="24"/>
          <w:highlight w:val="none"/>
        </w:rPr>
      </w:pPr>
      <w:bookmarkStart w:id="3" w:name="_Toc100052364"/>
      <w:bookmarkStart w:id="4" w:name="_Toc60560625"/>
      <w:bookmarkStart w:id="5" w:name="_Toc73517639"/>
      <w:bookmarkStart w:id="6" w:name="_Toc60631620"/>
      <w:bookmarkStart w:id="7" w:name="_Toc73521547"/>
      <w:bookmarkStart w:id="8" w:name="_Toc73518117"/>
      <w:bookmarkStart w:id="9" w:name="_Toc73521635"/>
      <w:bookmarkStart w:id="10" w:name="_Toc101074876"/>
      <w:r>
        <w:rPr>
          <w:rFonts w:hint="eastAsia" w:ascii="宋体" w:hAnsi="宋体" w:eastAsia="宋体" w:cs="Times New Roman"/>
          <w:b/>
          <w:bCs/>
          <w:kern w:val="0"/>
          <w:sz w:val="24"/>
          <w:szCs w:val="24"/>
          <w:highlight w:val="none"/>
        </w:rPr>
        <w:t>一、对通用条款的补充内容</w:t>
      </w:r>
    </w:p>
    <w:tbl>
      <w:tblPr>
        <w:tblStyle w:val="16"/>
        <w:tblW w:w="95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8"/>
        <w:gridCol w:w="1755"/>
        <w:gridCol w:w="679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b/>
                <w:bCs/>
                <w:highlight w:val="none"/>
              </w:rPr>
            </w:pPr>
            <w:r>
              <w:rPr>
                <w:rFonts w:hint="eastAsia" w:ascii="宋体" w:hAnsi="宋体"/>
                <w:b/>
                <w:bCs/>
                <w:highlight w:val="none"/>
              </w:rPr>
              <w:t>通用条款序号</w:t>
            </w:r>
          </w:p>
        </w:tc>
        <w:tc>
          <w:tcPr>
            <w:tcW w:w="1755" w:type="dxa"/>
            <w:vAlign w:val="center"/>
          </w:tcPr>
          <w:p>
            <w:pPr>
              <w:jc w:val="center"/>
              <w:rPr>
                <w:rFonts w:ascii="宋体" w:hAnsi="宋体"/>
                <w:b/>
                <w:bCs/>
                <w:highlight w:val="none"/>
              </w:rPr>
            </w:pPr>
            <w:r>
              <w:rPr>
                <w:rFonts w:hint="eastAsia" w:ascii="宋体" w:hAnsi="宋体"/>
                <w:b/>
                <w:bCs/>
                <w:highlight w:val="none"/>
              </w:rPr>
              <w:t>涉及事项</w:t>
            </w:r>
          </w:p>
        </w:tc>
        <w:tc>
          <w:tcPr>
            <w:tcW w:w="6795" w:type="dxa"/>
            <w:vAlign w:val="center"/>
          </w:tcPr>
          <w:p>
            <w:pPr>
              <w:jc w:val="center"/>
              <w:rPr>
                <w:rFonts w:ascii="宋体" w:hAnsi="宋体"/>
                <w:b/>
                <w:bCs/>
                <w:highlight w:val="none"/>
              </w:rPr>
            </w:pPr>
            <w:r>
              <w:rPr>
                <w:rFonts w:hint="eastAsia" w:ascii="宋体" w:hAnsi="宋体"/>
                <w:b/>
                <w:bCs/>
                <w:highlight w:val="none"/>
              </w:rPr>
              <w:t xml:space="preserve">具 </w:t>
            </w:r>
            <w:r>
              <w:rPr>
                <w:rFonts w:ascii="宋体" w:hAnsi="宋体"/>
                <w:b/>
                <w:bCs/>
                <w:highlight w:val="none"/>
              </w:rPr>
              <w:t xml:space="preserve"> </w:t>
            </w:r>
            <w:r>
              <w:rPr>
                <w:rFonts w:hint="eastAsia" w:ascii="宋体" w:hAnsi="宋体"/>
                <w:b/>
                <w:bCs/>
                <w:highlight w:val="none"/>
              </w:rPr>
              <w:t xml:space="preserve">体 </w:t>
            </w:r>
            <w:r>
              <w:rPr>
                <w:rFonts w:ascii="宋体" w:hAnsi="宋体"/>
                <w:b/>
                <w:bCs/>
                <w:highlight w:val="none"/>
              </w:rPr>
              <w:t xml:space="preserve"> </w:t>
            </w:r>
            <w:r>
              <w:rPr>
                <w:rFonts w:hint="eastAsia" w:ascii="宋体" w:hAnsi="宋体"/>
                <w:b/>
                <w:bCs/>
                <w:highlight w:val="none"/>
              </w:rPr>
              <w:t xml:space="preserve">补 </w:t>
            </w:r>
            <w:r>
              <w:rPr>
                <w:rFonts w:ascii="宋体" w:hAnsi="宋体"/>
                <w:b/>
                <w:bCs/>
                <w:highlight w:val="none"/>
              </w:rPr>
              <w:t xml:space="preserve"> </w:t>
            </w:r>
            <w:r>
              <w:rPr>
                <w:rFonts w:hint="eastAsia" w:ascii="宋体" w:hAnsi="宋体"/>
                <w:b/>
                <w:bCs/>
                <w:highlight w:val="none"/>
              </w:rPr>
              <w:t xml:space="preserve">充 </w:t>
            </w:r>
            <w:r>
              <w:rPr>
                <w:rFonts w:ascii="宋体" w:hAnsi="宋体"/>
                <w:b/>
                <w:bCs/>
                <w:highlight w:val="none"/>
              </w:rPr>
              <w:t xml:space="preserve"> </w:t>
            </w:r>
            <w:r>
              <w:rPr>
                <w:rFonts w:hint="eastAsia" w:ascii="宋体" w:hAnsi="宋体"/>
                <w:b/>
                <w:bCs/>
                <w:highlight w:val="none"/>
              </w:rPr>
              <w:t xml:space="preserve">内 </w:t>
            </w:r>
            <w:r>
              <w:rPr>
                <w:rFonts w:ascii="宋体" w:hAnsi="宋体"/>
                <w:b/>
                <w:bCs/>
                <w:highlight w:val="none"/>
              </w:rPr>
              <w:t xml:space="preserve"> </w:t>
            </w:r>
            <w:r>
              <w:rPr>
                <w:rFonts w:hint="eastAsia" w:ascii="宋体" w:hAnsi="宋体"/>
                <w:b/>
                <w:bCs/>
                <w:highlight w:val="none"/>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3</w:t>
            </w:r>
            <w:r>
              <w:rPr>
                <w:rFonts w:ascii="宋体" w:hAnsi="宋体"/>
                <w:highlight w:val="none"/>
              </w:rPr>
              <w:t>.1</w:t>
            </w:r>
          </w:p>
        </w:tc>
        <w:tc>
          <w:tcPr>
            <w:tcW w:w="1755" w:type="dxa"/>
            <w:vAlign w:val="center"/>
          </w:tcPr>
          <w:p>
            <w:pPr>
              <w:jc w:val="center"/>
              <w:rPr>
                <w:highlight w:val="none"/>
              </w:rPr>
            </w:pPr>
            <w:r>
              <w:rPr>
                <w:rFonts w:hint="eastAsia"/>
                <w:highlight w:val="none"/>
              </w:rPr>
              <w:t>采购人</w:t>
            </w:r>
          </w:p>
        </w:tc>
        <w:tc>
          <w:tcPr>
            <w:tcW w:w="6795" w:type="dxa"/>
            <w:vAlign w:val="center"/>
          </w:tcPr>
          <w:p>
            <w:pPr>
              <w:jc w:val="left"/>
              <w:rPr>
                <w:rFonts w:ascii="宋体" w:hAnsi="宋体"/>
                <w:highlight w:val="none"/>
              </w:rPr>
            </w:pPr>
            <w:r>
              <w:rPr>
                <w:rFonts w:hint="eastAsia" w:ascii="宋体" w:hAnsi="宋体" w:eastAsia="宋体" w:cs="Arial"/>
                <w:b/>
                <w:szCs w:val="21"/>
                <w:highlight w:val="none"/>
              </w:rPr>
              <w:t>深圳市宝安区福永白石厦第三幼儿园(深圳市宝安区福永空港幼儿园)</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3</w:t>
            </w:r>
            <w:r>
              <w:rPr>
                <w:rFonts w:ascii="宋体" w:hAnsi="宋体"/>
                <w:highlight w:val="none"/>
              </w:rPr>
              <w:t>.2</w:t>
            </w:r>
          </w:p>
        </w:tc>
        <w:tc>
          <w:tcPr>
            <w:tcW w:w="1755" w:type="dxa"/>
            <w:vAlign w:val="center"/>
          </w:tcPr>
          <w:p>
            <w:pPr>
              <w:jc w:val="center"/>
              <w:rPr>
                <w:rFonts w:ascii="宋体" w:hAnsi="宋体"/>
                <w:highlight w:val="none"/>
              </w:rPr>
            </w:pPr>
            <w:r>
              <w:rPr>
                <w:rFonts w:hint="eastAsia" w:ascii="宋体" w:hAnsi="宋体"/>
                <w:highlight w:val="none"/>
              </w:rPr>
              <w:t>政府集中采购机构</w:t>
            </w:r>
          </w:p>
        </w:tc>
        <w:tc>
          <w:tcPr>
            <w:tcW w:w="6795" w:type="dxa"/>
            <w:vAlign w:val="center"/>
          </w:tcPr>
          <w:p>
            <w:pPr>
              <w:jc w:val="left"/>
              <w:rPr>
                <w:rFonts w:ascii="宋体" w:hAnsi="宋体"/>
                <w:highlight w:val="none"/>
              </w:rPr>
            </w:pPr>
            <w:r>
              <w:rPr>
                <w:rFonts w:hint="eastAsia" w:ascii="宋体" w:hAnsi="宋体" w:eastAsia="宋体" w:cs="Arial"/>
                <w:szCs w:val="21"/>
                <w:highlight w:val="none"/>
              </w:rPr>
              <w:t>本文件所述的“政府集中采购机构”</w:t>
            </w:r>
            <w:r>
              <w:rPr>
                <w:rFonts w:ascii="宋体" w:hAnsi="宋体" w:eastAsia="宋体" w:cs="Arial"/>
                <w:szCs w:val="21"/>
                <w:highlight w:val="none"/>
              </w:rPr>
              <w:t>指</w:t>
            </w:r>
            <w:r>
              <w:rPr>
                <w:rFonts w:hint="eastAsia" w:ascii="宋体" w:hAnsi="宋体" w:eastAsia="宋体" w:cs="Arial"/>
                <w:b/>
                <w:bCs/>
                <w:szCs w:val="21"/>
                <w:highlight w:val="none"/>
              </w:rPr>
              <w:t>深圳公共资源交易中心</w:t>
            </w:r>
            <w:r>
              <w:rPr>
                <w:rFonts w:hint="eastAsia" w:ascii="Arial" w:hAnsi="Arial" w:eastAsia="宋体" w:cs="Times New Roman"/>
                <w:szCs w:val="24"/>
                <w:highlight w:val="none"/>
              </w:rPr>
              <w:t>。本项目具体由深圳公共资源交易中心（深圳交易集团有限公司宝安分公司）执行</w:t>
            </w:r>
            <w:r>
              <w:rPr>
                <w:rFonts w:hint="eastAsia" w:ascii="Arial" w:hAnsi="Arial" w:eastAsia="宋体" w:cs="Times New Roman"/>
                <w:bCs/>
                <w:szCs w:val="24"/>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5</w:t>
            </w:r>
            <w:r>
              <w:rPr>
                <w:rFonts w:ascii="宋体" w:hAnsi="宋体"/>
                <w:highlight w:val="none"/>
              </w:rPr>
              <w:t>.3</w:t>
            </w:r>
          </w:p>
        </w:tc>
        <w:tc>
          <w:tcPr>
            <w:tcW w:w="1755" w:type="dxa"/>
            <w:vAlign w:val="center"/>
          </w:tcPr>
          <w:p>
            <w:pPr>
              <w:jc w:val="center"/>
              <w:rPr>
                <w:rFonts w:ascii="宋体" w:hAnsi="宋体"/>
                <w:highlight w:val="none"/>
              </w:rPr>
            </w:pPr>
            <w:r>
              <w:rPr>
                <w:rFonts w:hint="eastAsia" w:ascii="宋体" w:hAnsi="宋体"/>
                <w:highlight w:val="none"/>
              </w:rPr>
              <w:t>联合体投标</w:t>
            </w:r>
          </w:p>
        </w:tc>
        <w:tc>
          <w:tcPr>
            <w:tcW w:w="6795" w:type="dxa"/>
            <w:vAlign w:val="center"/>
          </w:tcPr>
          <w:p>
            <w:pPr>
              <w:jc w:val="left"/>
              <w:rPr>
                <w:rFonts w:hint="default" w:ascii="宋体" w:hAnsi="宋体" w:eastAsiaTheme="minorEastAsia"/>
                <w:highlight w:val="none"/>
                <w:lang w:val="en-US" w:eastAsia="zh-CN"/>
              </w:rPr>
            </w:pPr>
            <w:r>
              <w:rPr>
                <w:rFonts w:hint="eastAsia" w:ascii="宋体" w:hAnsi="宋体"/>
                <w:highlight w:val="none"/>
                <w:lang w:val="en-US" w:eastAsia="zh-CN"/>
              </w:rPr>
              <w:t>详见本项目招标公告申请人的资格要求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9</w:t>
            </w:r>
          </w:p>
        </w:tc>
        <w:tc>
          <w:tcPr>
            <w:tcW w:w="1755" w:type="dxa"/>
            <w:vAlign w:val="center"/>
          </w:tcPr>
          <w:p>
            <w:pPr>
              <w:jc w:val="center"/>
              <w:rPr>
                <w:rFonts w:ascii="宋体" w:hAnsi="宋体"/>
                <w:highlight w:val="none"/>
              </w:rPr>
            </w:pPr>
            <w:r>
              <w:rPr>
                <w:rFonts w:hint="eastAsia" w:ascii="宋体" w:hAnsi="宋体"/>
                <w:highlight w:val="none"/>
              </w:rPr>
              <w:t>踏勘现场</w:t>
            </w:r>
          </w:p>
        </w:tc>
        <w:tc>
          <w:tcPr>
            <w:tcW w:w="6795" w:type="dxa"/>
            <w:vAlign w:val="center"/>
          </w:tcPr>
          <w:p>
            <w:pPr>
              <w:snapToGrid w:val="0"/>
              <w:jc w:val="left"/>
              <w:rPr>
                <w:rFonts w:ascii="宋体" w:hAnsi="宋体"/>
                <w:highlight w:val="none"/>
              </w:rPr>
            </w:pPr>
            <w:r>
              <w:rPr>
                <w:rFonts w:hint="eastAsia" w:ascii="宋体" w:hAnsi="宋体" w:eastAsia="宋体" w:cs="Arial"/>
                <w:szCs w:val="21"/>
                <w:highlight w:val="none"/>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1</w:t>
            </w:r>
            <w:r>
              <w:rPr>
                <w:rFonts w:ascii="宋体" w:hAnsi="宋体"/>
                <w:highlight w:val="none"/>
              </w:rPr>
              <w:t>0</w:t>
            </w:r>
          </w:p>
        </w:tc>
        <w:tc>
          <w:tcPr>
            <w:tcW w:w="1755" w:type="dxa"/>
            <w:vAlign w:val="center"/>
          </w:tcPr>
          <w:p>
            <w:pPr>
              <w:jc w:val="center"/>
              <w:rPr>
                <w:rFonts w:ascii="宋体" w:hAnsi="宋体"/>
                <w:highlight w:val="none"/>
              </w:rPr>
            </w:pPr>
            <w:r>
              <w:rPr>
                <w:rFonts w:hint="eastAsia" w:ascii="宋体" w:hAnsi="宋体"/>
                <w:highlight w:val="none"/>
              </w:rPr>
              <w:t>标前会议</w:t>
            </w:r>
          </w:p>
        </w:tc>
        <w:tc>
          <w:tcPr>
            <w:tcW w:w="6795" w:type="dxa"/>
            <w:vAlign w:val="center"/>
          </w:tcPr>
          <w:p>
            <w:pPr>
              <w:jc w:val="left"/>
              <w:rPr>
                <w:rFonts w:ascii="宋体" w:hAnsi="宋体"/>
                <w:highlight w:val="none"/>
              </w:rPr>
            </w:pPr>
            <w:r>
              <w:rPr>
                <w:rFonts w:hint="eastAsia" w:ascii="宋体" w:hAnsi="宋体" w:eastAsia="宋体" w:cs="Arial"/>
                <w:szCs w:val="21"/>
                <w:highlight w:val="none"/>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1</w:t>
            </w:r>
            <w:r>
              <w:rPr>
                <w:rFonts w:ascii="宋体" w:hAnsi="宋体"/>
                <w:highlight w:val="none"/>
              </w:rPr>
              <w:t>2</w:t>
            </w:r>
            <w:r>
              <w:rPr>
                <w:rFonts w:hint="eastAsia" w:ascii="宋体" w:hAnsi="宋体"/>
                <w:highlight w:val="none"/>
              </w:rPr>
              <w:t>/1</w:t>
            </w:r>
            <w:r>
              <w:rPr>
                <w:rFonts w:ascii="宋体" w:hAnsi="宋体"/>
                <w:highlight w:val="none"/>
              </w:rPr>
              <w:t>3</w:t>
            </w:r>
          </w:p>
        </w:tc>
        <w:tc>
          <w:tcPr>
            <w:tcW w:w="1755" w:type="dxa"/>
            <w:vAlign w:val="center"/>
          </w:tcPr>
          <w:p>
            <w:pPr>
              <w:jc w:val="center"/>
              <w:rPr>
                <w:rFonts w:ascii="宋体" w:hAnsi="宋体"/>
                <w:highlight w:val="none"/>
              </w:rPr>
            </w:pPr>
            <w:r>
              <w:rPr>
                <w:rFonts w:hint="eastAsia" w:ascii="宋体" w:hAnsi="宋体"/>
                <w:highlight w:val="none"/>
              </w:rPr>
              <w:t>招标文件的澄清和修改</w:t>
            </w:r>
          </w:p>
        </w:tc>
        <w:tc>
          <w:tcPr>
            <w:tcW w:w="6795" w:type="dxa"/>
            <w:vAlign w:val="center"/>
          </w:tcPr>
          <w:p>
            <w:pPr>
              <w:jc w:val="left"/>
              <w:rPr>
                <w:rFonts w:hint="eastAsia" w:ascii="宋体" w:hAnsi="宋体" w:eastAsiaTheme="minorEastAsia"/>
                <w:highlight w:val="none"/>
                <w:lang w:eastAsia="zh-CN"/>
              </w:rPr>
            </w:pPr>
            <w:r>
              <w:rPr>
                <w:rFonts w:hint="eastAsia" w:ascii="宋体" w:hAnsi="宋体"/>
                <w:highlight w:val="none"/>
              </w:rPr>
              <w:t>对招标文件澄清/修改时间不晚于投标截止日三日前，投标人有义务在招标期间在政府集中采购机构网站浏览与本项目有关的澄清和修改信息</w:t>
            </w:r>
            <w:r>
              <w:rPr>
                <w:rFonts w:hint="eastAsia" w:ascii="宋体" w:hAnsi="宋体"/>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2</w:t>
            </w:r>
            <w:r>
              <w:rPr>
                <w:rFonts w:ascii="宋体" w:hAnsi="宋体"/>
                <w:highlight w:val="none"/>
              </w:rPr>
              <w:t>0</w:t>
            </w:r>
          </w:p>
        </w:tc>
        <w:tc>
          <w:tcPr>
            <w:tcW w:w="1755" w:type="dxa"/>
            <w:vAlign w:val="center"/>
          </w:tcPr>
          <w:p>
            <w:pPr>
              <w:jc w:val="center"/>
              <w:rPr>
                <w:rFonts w:ascii="宋体" w:hAnsi="宋体"/>
                <w:highlight w:val="none"/>
              </w:rPr>
            </w:pPr>
            <w:r>
              <w:rPr>
                <w:rFonts w:hint="eastAsia" w:ascii="宋体" w:hAnsi="宋体"/>
                <w:highlight w:val="none"/>
              </w:rPr>
              <w:t>投标有效期</w:t>
            </w:r>
          </w:p>
        </w:tc>
        <w:tc>
          <w:tcPr>
            <w:tcW w:w="6795" w:type="dxa"/>
            <w:vAlign w:val="center"/>
          </w:tcPr>
          <w:p>
            <w:pPr>
              <w:jc w:val="left"/>
              <w:rPr>
                <w:rFonts w:ascii="宋体" w:hAnsi="宋体"/>
                <w:highlight w:val="none"/>
              </w:rPr>
            </w:pPr>
            <w:r>
              <w:rPr>
                <w:rFonts w:hint="eastAsia" w:ascii="宋体" w:hAnsi="宋体" w:eastAsia="宋体" w:cs="Arial"/>
                <w:szCs w:val="21"/>
                <w:highlight w:val="none"/>
              </w:rPr>
              <w:t>投标有效期：从投标截止之日起</w:t>
            </w:r>
            <w:r>
              <w:rPr>
                <w:rFonts w:hint="eastAsia" w:ascii="宋体" w:hAnsi="宋体" w:eastAsia="宋体" w:cs="Times New Roman"/>
                <w:b/>
                <w:color w:val="0000FF"/>
                <w:sz w:val="24"/>
                <w:szCs w:val="24"/>
                <w:highlight w:val="none"/>
                <w:u w:val="single"/>
              </w:rPr>
              <w:t xml:space="preserve"> 120 </w:t>
            </w:r>
            <w:r>
              <w:rPr>
                <w:rFonts w:hint="eastAsia" w:ascii="宋体" w:hAnsi="宋体" w:eastAsia="宋体" w:cs="Arial"/>
                <w:szCs w:val="21"/>
                <w:highlight w:val="none"/>
              </w:rPr>
              <w:t>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2</w:t>
            </w:r>
            <w:r>
              <w:rPr>
                <w:rFonts w:ascii="宋体" w:hAnsi="宋体"/>
                <w:highlight w:val="none"/>
              </w:rPr>
              <w:t>2</w:t>
            </w:r>
          </w:p>
        </w:tc>
        <w:tc>
          <w:tcPr>
            <w:tcW w:w="1755" w:type="dxa"/>
            <w:vAlign w:val="center"/>
          </w:tcPr>
          <w:p>
            <w:pPr>
              <w:jc w:val="center"/>
              <w:rPr>
                <w:rFonts w:ascii="宋体" w:hAnsi="宋体"/>
                <w:highlight w:val="none"/>
              </w:rPr>
            </w:pPr>
            <w:r>
              <w:rPr>
                <w:rFonts w:hint="eastAsia" w:ascii="宋体" w:hAnsi="宋体"/>
                <w:highlight w:val="none"/>
              </w:rPr>
              <w:t>投标人的替代方案</w:t>
            </w:r>
          </w:p>
        </w:tc>
        <w:tc>
          <w:tcPr>
            <w:tcW w:w="6795" w:type="dxa"/>
            <w:vAlign w:val="center"/>
          </w:tcPr>
          <w:p>
            <w:pPr>
              <w:jc w:val="left"/>
              <w:rPr>
                <w:rFonts w:ascii="宋体" w:hAnsi="宋体"/>
                <w:highlight w:val="none"/>
              </w:rPr>
            </w:pPr>
            <w:r>
              <w:rPr>
                <w:rFonts w:hint="eastAsia" w:ascii="宋体" w:hAnsi="宋体"/>
                <w:highlight w:val="none"/>
                <w:lang w:val="en-US" w:eastAsia="zh-CN"/>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2</w:t>
            </w:r>
            <w:r>
              <w:rPr>
                <w:rFonts w:ascii="宋体" w:hAnsi="宋体"/>
                <w:highlight w:val="none"/>
              </w:rPr>
              <w:t>5</w:t>
            </w:r>
          </w:p>
        </w:tc>
        <w:tc>
          <w:tcPr>
            <w:tcW w:w="1755" w:type="dxa"/>
            <w:vAlign w:val="center"/>
          </w:tcPr>
          <w:p>
            <w:pPr>
              <w:jc w:val="center"/>
              <w:rPr>
                <w:rFonts w:ascii="宋体" w:hAnsi="宋体"/>
                <w:highlight w:val="none"/>
              </w:rPr>
            </w:pPr>
            <w:r>
              <w:rPr>
                <w:rFonts w:hint="eastAsia" w:ascii="宋体" w:hAnsi="宋体"/>
                <w:highlight w:val="none"/>
              </w:rPr>
              <w:t>投标文件的大小</w:t>
            </w:r>
          </w:p>
        </w:tc>
        <w:tc>
          <w:tcPr>
            <w:tcW w:w="6795" w:type="dxa"/>
            <w:vAlign w:val="center"/>
          </w:tcPr>
          <w:p>
            <w:pPr>
              <w:jc w:val="left"/>
              <w:rPr>
                <w:rFonts w:ascii="宋体" w:hAnsi="宋体"/>
                <w:highlight w:val="none"/>
              </w:rPr>
            </w:pPr>
            <w:r>
              <w:rPr>
                <w:rFonts w:hint="eastAsia" w:ascii="宋体" w:hAnsi="宋体" w:eastAsia="宋体" w:cs="Arial"/>
                <w:szCs w:val="21"/>
                <w:highlight w:val="none"/>
              </w:rPr>
              <w:t>投标文件大小不得超过 100MB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2</w:t>
            </w:r>
            <w:r>
              <w:rPr>
                <w:rFonts w:ascii="宋体" w:hAnsi="宋体"/>
                <w:highlight w:val="none"/>
              </w:rPr>
              <w:t>6</w:t>
            </w:r>
          </w:p>
        </w:tc>
        <w:tc>
          <w:tcPr>
            <w:tcW w:w="1755" w:type="dxa"/>
            <w:vAlign w:val="center"/>
          </w:tcPr>
          <w:p>
            <w:pPr>
              <w:jc w:val="center"/>
              <w:rPr>
                <w:rFonts w:ascii="宋体" w:hAnsi="宋体"/>
                <w:highlight w:val="none"/>
              </w:rPr>
            </w:pPr>
            <w:bookmarkStart w:id="11" w:name="_Hlk71664860"/>
            <w:r>
              <w:rPr>
                <w:rFonts w:hint="eastAsia" w:ascii="宋体" w:hAnsi="宋体"/>
                <w:highlight w:val="none"/>
              </w:rPr>
              <w:t>样品、现场演示、方案讲解</w:t>
            </w:r>
            <w:bookmarkEnd w:id="11"/>
          </w:p>
        </w:tc>
        <w:tc>
          <w:tcPr>
            <w:tcW w:w="6795" w:type="dxa"/>
            <w:vAlign w:val="center"/>
          </w:tcPr>
          <w:p>
            <w:pPr>
              <w:jc w:val="left"/>
              <w:rPr>
                <w:rFonts w:ascii="宋体" w:hAnsi="宋体"/>
                <w:highlight w:val="none"/>
              </w:rPr>
            </w:pPr>
            <w:r>
              <w:rPr>
                <w:rFonts w:hint="eastAsia" w:ascii="宋体" w:hAnsi="宋体"/>
                <w:highlight w:val="none"/>
              </w:rPr>
              <w:t>不要求提供样品；不组织现场演示；不组织方案讲解。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3</w:t>
            </w:r>
            <w:r>
              <w:rPr>
                <w:rFonts w:ascii="宋体" w:hAnsi="宋体"/>
                <w:highlight w:val="none"/>
              </w:rPr>
              <w:t>7</w:t>
            </w:r>
          </w:p>
        </w:tc>
        <w:tc>
          <w:tcPr>
            <w:tcW w:w="1755" w:type="dxa"/>
            <w:vAlign w:val="center"/>
          </w:tcPr>
          <w:p>
            <w:pPr>
              <w:jc w:val="center"/>
              <w:rPr>
                <w:rFonts w:ascii="宋体" w:hAnsi="宋体"/>
                <w:highlight w:val="none"/>
              </w:rPr>
            </w:pPr>
            <w:r>
              <w:rPr>
                <w:rFonts w:hint="eastAsia" w:ascii="宋体" w:hAnsi="宋体"/>
                <w:highlight w:val="none"/>
              </w:rPr>
              <w:t>评审方法</w:t>
            </w:r>
          </w:p>
        </w:tc>
        <w:tc>
          <w:tcPr>
            <w:tcW w:w="6795" w:type="dxa"/>
            <w:vAlign w:val="center"/>
          </w:tcPr>
          <w:p>
            <w:pPr>
              <w:jc w:val="left"/>
              <w:rPr>
                <w:rFonts w:ascii="宋体" w:hAnsi="宋体"/>
                <w:highlight w:val="none"/>
              </w:rPr>
            </w:pPr>
            <w:r>
              <w:rPr>
                <w:rFonts w:ascii="宋体" w:hAnsi="宋体"/>
                <w:b/>
                <w:bCs/>
                <w:highlight w:val="none"/>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3</w:t>
            </w:r>
            <w:r>
              <w:rPr>
                <w:rFonts w:ascii="宋体" w:hAnsi="宋体"/>
                <w:highlight w:val="none"/>
              </w:rPr>
              <w:t>8</w:t>
            </w:r>
          </w:p>
        </w:tc>
        <w:tc>
          <w:tcPr>
            <w:tcW w:w="1755" w:type="dxa"/>
            <w:vAlign w:val="center"/>
          </w:tcPr>
          <w:p>
            <w:pPr>
              <w:jc w:val="center"/>
              <w:rPr>
                <w:rFonts w:ascii="宋体" w:hAnsi="宋体"/>
                <w:highlight w:val="none"/>
              </w:rPr>
            </w:pPr>
            <w:r>
              <w:rPr>
                <w:rFonts w:hint="eastAsia" w:ascii="宋体" w:hAnsi="宋体"/>
                <w:highlight w:val="none"/>
              </w:rPr>
              <w:t>定标方法</w:t>
            </w:r>
          </w:p>
        </w:tc>
        <w:tc>
          <w:tcPr>
            <w:tcW w:w="6795" w:type="dxa"/>
            <w:vAlign w:val="center"/>
          </w:tcPr>
          <w:p>
            <w:pPr>
              <w:jc w:val="left"/>
              <w:rPr>
                <w:rFonts w:hint="eastAsia" w:ascii="宋体" w:hAnsi="宋体"/>
                <w:b/>
                <w:bCs/>
                <w:highlight w:val="none"/>
              </w:rPr>
            </w:pPr>
            <w:r>
              <w:rPr>
                <w:rFonts w:hint="eastAsia" w:ascii="宋体" w:hAnsi="宋体" w:eastAsia="宋体" w:cs="Times New Roman"/>
                <w:b/>
                <w:bCs/>
                <w:szCs w:val="21"/>
                <w:highlight w:val="none"/>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4</w:t>
            </w:r>
            <w:r>
              <w:rPr>
                <w:rFonts w:ascii="宋体" w:hAnsi="宋体"/>
                <w:highlight w:val="none"/>
              </w:rPr>
              <w:t>6</w:t>
            </w:r>
          </w:p>
        </w:tc>
        <w:tc>
          <w:tcPr>
            <w:tcW w:w="1755" w:type="dxa"/>
            <w:vAlign w:val="center"/>
          </w:tcPr>
          <w:p>
            <w:pPr>
              <w:jc w:val="center"/>
              <w:rPr>
                <w:rFonts w:ascii="宋体" w:hAnsi="宋体"/>
                <w:highlight w:val="none"/>
              </w:rPr>
            </w:pPr>
            <w:r>
              <w:rPr>
                <w:rFonts w:hint="eastAsia" w:ascii="宋体" w:hAnsi="宋体"/>
                <w:highlight w:val="none"/>
              </w:rPr>
              <w:t>履约担保</w:t>
            </w:r>
          </w:p>
        </w:tc>
        <w:tc>
          <w:tcPr>
            <w:tcW w:w="6795" w:type="dxa"/>
            <w:vAlign w:val="center"/>
          </w:tcPr>
          <w:p>
            <w:pPr>
              <w:jc w:val="left"/>
              <w:rPr>
                <w:rFonts w:ascii="宋体" w:hAnsi="宋体"/>
                <w:highlight w:val="none"/>
              </w:rPr>
            </w:pPr>
            <w:r>
              <w:rPr>
                <w:rFonts w:hint="eastAsia" w:ascii="宋体" w:hAnsi="宋体"/>
                <w:highlight w:val="none"/>
              </w:rPr>
              <w:t>不</w:t>
            </w:r>
            <w:r>
              <w:rPr>
                <w:rFonts w:hint="eastAsia" w:ascii="宋体" w:hAnsi="宋体"/>
                <w:highlight w:val="none"/>
                <w:lang w:val="en-US" w:eastAsia="zh-CN"/>
              </w:rPr>
              <w:t>需要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eastAsiaTheme="minorEastAsia" w:cstheme="minorBidi"/>
                <w:kern w:val="2"/>
                <w:sz w:val="21"/>
                <w:szCs w:val="22"/>
                <w:highlight w:val="none"/>
                <w:lang w:val="en-US" w:eastAsia="zh-CN" w:bidi="ar-SA"/>
              </w:rPr>
            </w:pPr>
            <w:r>
              <w:rPr>
                <w:rFonts w:hint="eastAsia" w:ascii="宋体" w:hAnsi="宋体"/>
                <w:highlight w:val="none"/>
                <w:lang w:val="en-US" w:eastAsia="zh-CN"/>
              </w:rPr>
              <w:t>52.8</w:t>
            </w:r>
          </w:p>
        </w:tc>
        <w:tc>
          <w:tcPr>
            <w:tcW w:w="1755" w:type="dxa"/>
            <w:vAlign w:val="center"/>
          </w:tcPr>
          <w:p>
            <w:pPr>
              <w:jc w:val="center"/>
              <w:rPr>
                <w:rFonts w:hint="eastAsia" w:ascii="宋体" w:hAnsi="宋体" w:eastAsiaTheme="minorEastAsia" w:cstheme="minorBidi"/>
                <w:kern w:val="2"/>
                <w:sz w:val="21"/>
                <w:szCs w:val="22"/>
                <w:highlight w:val="none"/>
                <w:lang w:val="en-US" w:eastAsia="zh-CN" w:bidi="ar-SA"/>
              </w:rPr>
            </w:pPr>
            <w:r>
              <w:rPr>
                <w:rFonts w:hint="eastAsia" w:ascii="宋体" w:hAnsi="宋体"/>
                <w:highlight w:val="none"/>
                <w:lang w:val="en-US" w:eastAsia="zh-CN"/>
              </w:rPr>
              <w:t>投诉</w:t>
            </w:r>
          </w:p>
        </w:tc>
        <w:tc>
          <w:tcPr>
            <w:tcW w:w="6795" w:type="dxa"/>
            <w:vAlign w:val="center"/>
          </w:tcPr>
          <w:p>
            <w:pPr>
              <w:jc w:val="left"/>
              <w:rPr>
                <w:rFonts w:hint="eastAsia" w:ascii="宋体" w:hAnsi="宋体" w:eastAsiaTheme="minorEastAsia" w:cstheme="minorBidi"/>
                <w:kern w:val="2"/>
                <w:sz w:val="21"/>
                <w:szCs w:val="22"/>
                <w:highlight w:val="none"/>
                <w:lang w:val="en-US" w:eastAsia="zh-CN" w:bidi="ar-SA"/>
              </w:rPr>
            </w:pPr>
            <w:r>
              <w:rPr>
                <w:rFonts w:hint="eastAsia" w:ascii="宋体" w:hAnsi="宋体"/>
                <w:highlight w:val="none"/>
              </w:rPr>
              <w:t>对被质疑人的答复不满意或者被质疑人未在规定时间内答复的，提出质疑的供应商可以在答复期满后十五个工作日内向本项目预算主管单位（深圳市宝安区教育局）投诉。供应商投诉的事项应当是经过质疑的事项。</w:t>
            </w:r>
          </w:p>
        </w:tc>
      </w:tr>
      <w:bookmarkEnd w:id="3"/>
      <w:bookmarkEnd w:id="4"/>
      <w:bookmarkEnd w:id="5"/>
      <w:bookmarkEnd w:id="6"/>
      <w:bookmarkEnd w:id="7"/>
      <w:bookmarkEnd w:id="8"/>
      <w:bookmarkEnd w:id="9"/>
      <w:bookmarkEnd w:id="10"/>
    </w:tbl>
    <w:p>
      <w:pPr>
        <w:widowControl/>
        <w:jc w:val="center"/>
        <w:rPr>
          <w:szCs w:val="21"/>
          <w:highlight w:val="none"/>
        </w:rPr>
      </w:pPr>
      <w:r>
        <w:rPr>
          <w:rFonts w:hint="eastAsia"/>
          <w:szCs w:val="21"/>
          <w:highlight w:val="none"/>
        </w:rPr>
        <w:t>备注：本表是通用条款相关条款的补充和明确，如与通用条款内容相冲突的，以本表为准。</w:t>
      </w:r>
    </w:p>
    <w:p>
      <w:pPr>
        <w:keepNext/>
        <w:keepLines/>
        <w:adjustRightInd w:val="0"/>
        <w:spacing w:beforeLines="50" w:afterLines="50"/>
        <w:jc w:val="center"/>
        <w:textAlignment w:val="baseline"/>
        <w:outlineLvl w:val="2"/>
        <w:rPr>
          <w:rFonts w:ascii="宋体" w:hAnsi="宋体" w:eastAsia="宋体" w:cs="Times New Roman"/>
          <w:b/>
          <w:bCs/>
          <w:kern w:val="0"/>
          <w:sz w:val="24"/>
          <w:szCs w:val="24"/>
          <w:highlight w:val="none"/>
        </w:rPr>
      </w:pPr>
      <w:r>
        <w:rPr>
          <w:rFonts w:hint="eastAsia" w:ascii="宋体" w:hAnsi="宋体" w:eastAsia="宋体" w:cs="Times New Roman"/>
          <w:b/>
          <w:bCs/>
          <w:kern w:val="0"/>
          <w:sz w:val="24"/>
          <w:szCs w:val="24"/>
          <w:highlight w:val="none"/>
        </w:rPr>
        <w:t>二、其他关键信息</w:t>
      </w:r>
    </w:p>
    <w:p>
      <w:pPr>
        <w:tabs>
          <w:tab w:val="left" w:pos="720"/>
        </w:tabs>
        <w:rPr>
          <w:rFonts w:ascii="黑体" w:hAnsi="宋体" w:eastAsia="黑体"/>
          <w:sz w:val="24"/>
          <w:highlight w:val="none"/>
        </w:rPr>
      </w:pPr>
      <w:r>
        <w:rPr>
          <w:rFonts w:hint="eastAsia" w:ascii="黑体" w:hAnsi="宋体" w:eastAsia="黑体"/>
          <w:sz w:val="24"/>
          <w:highlight w:val="none"/>
        </w:rPr>
        <w:t>（一）</w:t>
      </w:r>
      <w:r>
        <w:rPr>
          <w:rFonts w:hint="eastAsia" w:ascii="黑体" w:hAnsi="宋体" w:eastAsia="黑体"/>
          <w:bCs/>
          <w:sz w:val="24"/>
          <w:highlight w:val="none"/>
        </w:rPr>
        <w:t>与“对通用条款的补充内容”章节相关的事项</w:t>
      </w:r>
    </w:p>
    <w:p>
      <w:pPr>
        <w:tabs>
          <w:tab w:val="left" w:pos="720"/>
        </w:tabs>
        <w:rPr>
          <w:rFonts w:hint="eastAsia" w:ascii="黑体" w:hAnsi="宋体" w:eastAsia="黑体"/>
          <w:bCs/>
          <w:sz w:val="24"/>
          <w:highlight w:val="none"/>
          <w:lang w:val="en-US" w:eastAsia="zh-CN"/>
        </w:rPr>
      </w:pPr>
      <w:r>
        <w:rPr>
          <w:rFonts w:hint="eastAsia" w:ascii="黑体" w:hAnsi="宋体" w:eastAsia="黑体"/>
          <w:bCs/>
          <w:sz w:val="24"/>
          <w:highlight w:val="none"/>
          <w:lang w:val="en-US" w:eastAsia="zh-CN"/>
        </w:rPr>
        <w:t>1、评标定标信息</w:t>
      </w:r>
    </w:p>
    <w:p>
      <w:pPr>
        <w:jc w:val="center"/>
        <w:rPr>
          <w:highlight w:val="none"/>
        </w:rPr>
      </w:pPr>
      <w:r>
        <w:rPr>
          <w:rFonts w:hint="eastAsia"/>
          <w:b/>
          <w:highlight w:val="none"/>
        </w:rPr>
        <w:t>非评定分离项目</w:t>
      </w:r>
    </w:p>
    <w:tbl>
      <w:tblPr>
        <w:tblStyle w:val="17"/>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3235"/>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rPr>
                <w:highlight w:val="none"/>
              </w:rPr>
            </w:pPr>
            <w:r>
              <w:rPr>
                <w:rFonts w:hint="eastAsia"/>
                <w:highlight w:val="none"/>
              </w:rPr>
              <w:t>评标方法</w:t>
            </w:r>
          </w:p>
        </w:tc>
        <w:tc>
          <w:tcPr>
            <w:tcW w:w="3235" w:type="dxa"/>
          </w:tcPr>
          <w:p>
            <w:pPr>
              <w:jc w:val="center"/>
              <w:rPr>
                <w:rFonts w:hint="default" w:eastAsia="宋体"/>
                <w:highlight w:val="none"/>
                <w:lang w:val="en-US" w:eastAsia="zh-CN"/>
              </w:rPr>
            </w:pPr>
            <w:r>
              <w:rPr>
                <w:rFonts w:hint="eastAsia"/>
                <w:highlight w:val="none"/>
              </w:rPr>
              <w:sym w:font="Wingdings" w:char="00FE"/>
            </w:r>
            <w:r>
              <w:rPr>
                <w:rFonts w:hint="eastAsia"/>
                <w:highlight w:val="none"/>
              </w:rPr>
              <w:t>综合评分法</w:t>
            </w:r>
          </w:p>
        </w:tc>
        <w:tc>
          <w:tcPr>
            <w:tcW w:w="2450" w:type="dxa"/>
          </w:tcPr>
          <w:p>
            <w:pPr>
              <w:jc w:val="center"/>
              <w:rPr>
                <w:rFonts w:hint="eastAsia"/>
                <w:highlight w:val="none"/>
              </w:rPr>
            </w:pPr>
            <w:r>
              <w:rPr>
                <w:rFonts w:hint="eastAsia" w:ascii="Times New Roman" w:eastAsia="宋体"/>
                <w:highlight w:val="none"/>
                <w:lang w:val="en-US" w:eastAsia="zh-CN"/>
              </w:rPr>
              <w:sym w:font="Wingdings" w:char="00A8"/>
            </w:r>
            <w:r>
              <w:rPr>
                <w:rFonts w:hint="eastAsia" w:ascii="Times New Roman" w:eastAsia="宋体"/>
                <w:highlight w:val="none"/>
                <w:lang w:val="en-US" w:eastAsia="zh-CN"/>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rPr>
                <w:highlight w:val="none"/>
              </w:rPr>
            </w:pPr>
            <w:r>
              <w:rPr>
                <w:rFonts w:hint="eastAsia"/>
                <w:highlight w:val="none"/>
              </w:rPr>
              <w:t>候选中标供应商家数</w:t>
            </w:r>
          </w:p>
        </w:tc>
        <w:tc>
          <w:tcPr>
            <w:tcW w:w="3235" w:type="dxa"/>
          </w:tcPr>
          <w:p>
            <w:pPr>
              <w:jc w:val="center"/>
              <w:rPr>
                <w:rFonts w:hint="default" w:eastAsia="宋体"/>
                <w:highlight w:val="none"/>
                <w:lang w:val="en-US" w:eastAsia="zh-CN"/>
              </w:rPr>
            </w:pPr>
            <w:r>
              <w:rPr>
                <w:rFonts w:hint="eastAsia"/>
                <w:highlight w:val="none"/>
              </w:rPr>
              <w:t>1</w:t>
            </w:r>
          </w:p>
        </w:tc>
        <w:tc>
          <w:tcPr>
            <w:tcW w:w="2450" w:type="dxa"/>
          </w:tcPr>
          <w:p>
            <w:pPr>
              <w:jc w:val="center"/>
              <w:rPr>
                <w:rFonts w:hint="eastAsia"/>
                <w:highlight w:val="none"/>
              </w:rPr>
            </w:pPr>
            <w:r>
              <w:rPr>
                <w:rFonts w:hint="eastAsia"/>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rPr>
                <w:highlight w:val="none"/>
              </w:rPr>
            </w:pPr>
            <w:r>
              <w:rPr>
                <w:rFonts w:hint="eastAsia"/>
                <w:highlight w:val="none"/>
              </w:rPr>
              <w:t>中标供应商家数</w:t>
            </w:r>
          </w:p>
        </w:tc>
        <w:tc>
          <w:tcPr>
            <w:tcW w:w="3235" w:type="dxa"/>
          </w:tcPr>
          <w:p>
            <w:pPr>
              <w:jc w:val="center"/>
              <w:rPr>
                <w:highlight w:val="none"/>
              </w:rPr>
            </w:pPr>
            <w:r>
              <w:rPr>
                <w:rFonts w:hint="eastAsia"/>
                <w:highlight w:val="none"/>
              </w:rPr>
              <w:t>1</w:t>
            </w:r>
          </w:p>
        </w:tc>
        <w:tc>
          <w:tcPr>
            <w:tcW w:w="2450" w:type="dxa"/>
          </w:tcPr>
          <w:p>
            <w:pPr>
              <w:jc w:val="center"/>
              <w:rPr>
                <w:rFonts w:hint="eastAsia"/>
                <w:highlight w:val="none"/>
              </w:rPr>
            </w:pPr>
            <w:r>
              <w:rPr>
                <w:rFonts w:hint="eastAsia"/>
                <w:highlight w:val="none"/>
              </w:rPr>
              <w:t>1</w:t>
            </w:r>
          </w:p>
        </w:tc>
      </w:tr>
    </w:tbl>
    <w:p>
      <w:pPr>
        <w:pStyle w:val="10"/>
        <w:rPr>
          <w:highlight w:val="none"/>
        </w:rPr>
      </w:pPr>
    </w:p>
    <w:p>
      <w:pPr>
        <w:tabs>
          <w:tab w:val="left" w:pos="720"/>
        </w:tabs>
        <w:rPr>
          <w:rFonts w:hint="eastAsia" w:ascii="黑体" w:hAnsi="宋体" w:eastAsia="黑体"/>
          <w:bCs/>
          <w:sz w:val="24"/>
          <w:highlight w:val="none"/>
          <w:lang w:val="en-US" w:eastAsia="zh-CN"/>
        </w:rPr>
      </w:pPr>
    </w:p>
    <w:p>
      <w:pPr>
        <w:tabs>
          <w:tab w:val="left" w:pos="720"/>
        </w:tabs>
        <w:rPr>
          <w:rFonts w:ascii="黑体" w:hAnsi="宋体" w:eastAsia="黑体"/>
          <w:bCs/>
          <w:sz w:val="24"/>
          <w:highlight w:val="none"/>
        </w:rPr>
      </w:pPr>
      <w:r>
        <w:rPr>
          <w:rFonts w:hint="eastAsia" w:ascii="黑体" w:hAnsi="宋体" w:eastAsia="黑体"/>
          <w:bCs/>
          <w:sz w:val="24"/>
          <w:highlight w:val="none"/>
          <w:lang w:val="en-US" w:eastAsia="zh-CN"/>
        </w:rPr>
        <w:t>2</w:t>
      </w:r>
      <w:r>
        <w:rPr>
          <w:rFonts w:hint="eastAsia" w:ascii="黑体" w:hAnsi="宋体" w:eastAsia="黑体"/>
          <w:bCs/>
          <w:sz w:val="24"/>
          <w:highlight w:val="none"/>
        </w:rPr>
        <w:t>、关于包组的定义</w:t>
      </w:r>
    </w:p>
    <w:p>
      <w:pPr>
        <w:tabs>
          <w:tab w:val="left" w:pos="720"/>
        </w:tabs>
        <w:ind w:firstLine="420" w:firstLineChars="200"/>
        <w:rPr>
          <w:rFonts w:ascii="宋体" w:hAnsi="宋体"/>
          <w:highlight w:val="none"/>
        </w:rPr>
      </w:pPr>
      <w:r>
        <w:rPr>
          <w:rFonts w:hint="eastAsia" w:ascii="宋体" w:hAnsi="宋体"/>
          <w:highlight w:val="none"/>
        </w:rPr>
        <w:t>本招标文件中的“包”是最小的“标的单位”，投标人可对本“招标文件”中所列的所有货物或服务项进行投标，投标人可只对其中一个包或几个包货物或服务内容进行投标（如有的话），但不得将一个包中的内容拆开投标，否则将导致其投标被拒绝。某一包组投标截止时投标人不足三家，或有效投标少于三家，该包组废标，对该包组重新招标或采用其它方式采购。某一包组中标供应商放弃中标资格的，或者中标供应商的中标资格被依法确认无效的，根据实际情况按相关法律规定处理，该包组中标结果改变不影响其他包组结果。</w:t>
      </w:r>
    </w:p>
    <w:p>
      <w:pPr>
        <w:tabs>
          <w:tab w:val="left" w:pos="720"/>
        </w:tabs>
        <w:rPr>
          <w:rFonts w:ascii="黑体" w:hAnsi="宋体" w:eastAsia="黑体"/>
          <w:sz w:val="24"/>
          <w:highlight w:val="none"/>
        </w:rPr>
      </w:pPr>
      <w:r>
        <w:rPr>
          <w:rFonts w:hint="eastAsia" w:ascii="黑体" w:hAnsi="宋体" w:eastAsia="黑体"/>
          <w:sz w:val="24"/>
          <w:highlight w:val="none"/>
          <w:lang w:val="en-US" w:eastAsia="zh-CN"/>
        </w:rPr>
        <w:t>3</w:t>
      </w:r>
      <w:r>
        <w:rPr>
          <w:rFonts w:hint="eastAsia" w:ascii="黑体" w:hAnsi="宋体" w:eastAsia="黑体"/>
          <w:sz w:val="24"/>
          <w:highlight w:val="none"/>
        </w:rPr>
        <w:t>、关于涉及采取随机抽取方式确定中标候选人（候选中标供应商）的规则</w:t>
      </w:r>
    </w:p>
    <w:p>
      <w:pPr>
        <w:tabs>
          <w:tab w:val="left" w:pos="720"/>
        </w:tabs>
        <w:ind w:firstLine="420" w:firstLineChars="200"/>
        <w:rPr>
          <w:rFonts w:ascii="宋体" w:hAnsi="宋体"/>
          <w:highlight w:val="none"/>
        </w:rPr>
      </w:pPr>
      <w:r>
        <w:rPr>
          <w:rFonts w:hint="eastAsia" w:ascii="宋体" w:hAnsi="宋体"/>
          <w:highlight w:val="none"/>
        </w:rPr>
        <w:t>（1）采购人代表从1-50号球中抽取一个球：抽到01-25号范围内的球，则抽签号码最小的投标人中签；抽到26-50号范围内的球，则抽签号码最大的投标人中签。各投标人按照《综合得分表》顺序依次抽签。如出现两家或以上投标人最大</w:t>
      </w:r>
      <w:r>
        <w:rPr>
          <w:rFonts w:hint="eastAsia" w:ascii="宋体" w:hAnsi="宋体"/>
          <w:szCs w:val="21"/>
          <w:highlight w:val="none"/>
        </w:rPr>
        <w:t>、小</w:t>
      </w:r>
      <w:r>
        <w:rPr>
          <w:rFonts w:hint="eastAsia" w:ascii="宋体" w:hAnsi="宋体"/>
          <w:highlight w:val="none"/>
        </w:rPr>
        <w:t>且同号的情况，则对同号的投标人重新摇签确定中签。抽签过程中遇抽签机器卡球的，被卡球方当轮重新抽签。</w:t>
      </w:r>
    </w:p>
    <w:p>
      <w:pPr>
        <w:ind w:firstLine="470" w:firstLineChars="196"/>
        <w:rPr>
          <w:rFonts w:ascii="宋体" w:hAnsi="宋体"/>
          <w:szCs w:val="21"/>
          <w:highlight w:val="none"/>
        </w:rPr>
      </w:pPr>
      <w:r>
        <w:rPr>
          <w:rFonts w:hint="eastAsia" w:ascii="黑体" w:hAnsi="宋体" w:eastAsia="黑体"/>
          <w:sz w:val="24"/>
          <w:highlight w:val="none"/>
        </w:rPr>
        <w:t>备注：</w:t>
      </w:r>
      <w:r>
        <w:rPr>
          <w:rFonts w:hint="eastAsia" w:ascii="宋体" w:hAnsi="宋体"/>
          <w:szCs w:val="21"/>
          <w:highlight w:val="none"/>
        </w:rPr>
        <w:t>（a）建议各投标供</w:t>
      </w:r>
      <w:bookmarkStart w:id="90" w:name="_GoBack"/>
      <w:bookmarkEnd w:id="90"/>
      <w:r>
        <w:rPr>
          <w:rFonts w:hint="eastAsia" w:ascii="宋体" w:hAnsi="宋体"/>
          <w:szCs w:val="21"/>
          <w:highlight w:val="none"/>
        </w:rPr>
        <w:t>应商代表于本项目开标时间起60分钟内到达招标机构服务大厅等候抽签，如抽签程序启动时投标供应商代表未到达，该投标供应商视为自动授权本项目评审委员会代其执行抽签，投标供应商自行承担由此产生的后果。（b）各投标供应商应派法定代表人或投标文件授权的投标代理人作为代表（携带本人身份证）参与本项目抽签,如委派其他人员抽签的,须携带本人身份证、本公司法定代表人授权证明书到现场核验身份。未能按要求提供证明材料的，该投标供应商视为自动授权本项目评审委员会代其执行抽签，投标供应商自行承担由此产生的后果。</w:t>
      </w:r>
    </w:p>
    <w:p>
      <w:pPr>
        <w:ind w:firstLine="420" w:firstLineChars="200"/>
        <w:rPr>
          <w:rFonts w:ascii="宋体" w:hAnsi="宋体"/>
          <w:szCs w:val="21"/>
          <w:highlight w:val="none"/>
        </w:rPr>
      </w:pPr>
      <w:r>
        <w:rPr>
          <w:rFonts w:hint="eastAsia" w:ascii="宋体" w:hAnsi="宋体"/>
          <w:szCs w:val="21"/>
          <w:highlight w:val="none"/>
        </w:rPr>
        <w:t>（2）评定分离项目如涉及采取抽签方式确定候选中标供应商：（a）排名第一超过三家，则排名第一的投标人中抽签号码最大、小的三家依次入围；（b）排名第一为两家，直接入围，排名第二的超过一家，则排名第二的投标人中抽签号码最大、小的一家入围；（c）排名第一为一家，直接入围，排名第二的超过两家，则排名第二的投标人中抽签号码最大、小的两家依次入围；（d）排名第一与排名第二均为一家，直接入围，排名第三的超过一家，则排名第三的投标人中抽签号码最大、小的一家入围；（e）如确定入围或依次确定入围时出现同号的投标人数量超出拟确定的候选中标供应商差额数量的，则对同号的投标人重新摇签确定入围。</w:t>
      </w:r>
    </w:p>
    <w:p>
      <w:pPr>
        <w:tabs>
          <w:tab w:val="left" w:pos="720"/>
        </w:tabs>
        <w:rPr>
          <w:rFonts w:ascii="黑体" w:hAnsi="宋体" w:eastAsia="黑体"/>
          <w:sz w:val="24"/>
          <w:highlight w:val="none"/>
        </w:rPr>
      </w:pPr>
    </w:p>
    <w:p>
      <w:pPr>
        <w:tabs>
          <w:tab w:val="left" w:pos="720"/>
        </w:tabs>
        <w:rPr>
          <w:rFonts w:ascii="黑体" w:hAnsi="宋体" w:eastAsia="黑体"/>
          <w:sz w:val="24"/>
          <w:highlight w:val="none"/>
        </w:rPr>
      </w:pPr>
      <w:r>
        <w:rPr>
          <w:rFonts w:hint="eastAsia" w:ascii="黑体" w:hAnsi="宋体" w:eastAsia="黑体"/>
          <w:sz w:val="24"/>
          <w:highlight w:val="none"/>
        </w:rPr>
        <w:t>（二）其他事项</w:t>
      </w:r>
    </w:p>
    <w:p>
      <w:pPr>
        <w:tabs>
          <w:tab w:val="left" w:pos="720"/>
        </w:tabs>
        <w:rPr>
          <w:rFonts w:ascii="黑体" w:hAnsi="宋体" w:eastAsia="黑体"/>
          <w:sz w:val="24"/>
          <w:highlight w:val="none"/>
        </w:rPr>
      </w:pPr>
      <w:r>
        <w:rPr>
          <w:rFonts w:hint="eastAsia" w:ascii="黑体" w:hAnsi="宋体" w:eastAsia="黑体"/>
          <w:sz w:val="24"/>
          <w:highlight w:val="none"/>
        </w:rPr>
        <w:t>1、关于享受优惠政策的主体、价格扣除比例及采购标的所属行业</w:t>
      </w:r>
    </w:p>
    <w:p>
      <w:pPr>
        <w:ind w:firstLine="411" w:firstLineChars="196"/>
        <w:rPr>
          <w:rFonts w:hint="eastAsia" w:ascii="宋体" w:hAnsi="宋体"/>
          <w:highlight w:val="none"/>
        </w:rPr>
      </w:pPr>
      <w:r>
        <w:rPr>
          <w:rFonts w:hint="eastAsia" w:ascii="宋体" w:hAnsi="宋体"/>
          <w:highlight w:val="none"/>
        </w:rPr>
        <w:t>（1）</w:t>
      </w:r>
      <w:r>
        <w:rPr>
          <w:rFonts w:hint="eastAsia"/>
          <w:highlight w:val="none"/>
          <w:lang w:val="en-US" w:eastAsia="zh-CN"/>
        </w:rPr>
        <w:t>专门面向中小企业采购的项目（包括联合体或分包预留中小企业份额的项目），不再执行价格扣除比例。</w:t>
      </w:r>
    </w:p>
    <w:p>
      <w:pPr>
        <w:ind w:firstLine="411" w:firstLineChars="196"/>
        <w:rPr>
          <w:rFonts w:ascii="Arial" w:hAnsi="Arial" w:eastAsia="宋体" w:cs="Times New Roman"/>
          <w:b/>
          <w:color w:val="0000FF"/>
          <w:szCs w:val="21"/>
          <w:highlight w:val="none"/>
        </w:rPr>
      </w:pPr>
      <w:r>
        <w:rPr>
          <w:rFonts w:hint="eastAsia" w:ascii="宋体" w:hAnsi="宋体"/>
          <w:highlight w:val="none"/>
          <w:lang w:eastAsia="zh-CN"/>
        </w:rPr>
        <w:t>（</w:t>
      </w:r>
      <w:r>
        <w:rPr>
          <w:rFonts w:hint="eastAsia" w:ascii="宋体" w:hAnsi="宋体"/>
          <w:highlight w:val="none"/>
          <w:lang w:val="en-US" w:eastAsia="zh-CN"/>
        </w:rPr>
        <w:t>2</w:t>
      </w:r>
      <w:r>
        <w:rPr>
          <w:rFonts w:hint="eastAsia" w:ascii="宋体" w:hAnsi="宋体"/>
          <w:highlight w:val="none"/>
          <w:lang w:eastAsia="zh-CN"/>
        </w:rPr>
        <w:t>）</w:t>
      </w:r>
      <w:r>
        <w:rPr>
          <w:rFonts w:hint="eastAsia"/>
          <w:highlight w:val="none"/>
          <w:lang w:val="en-US" w:eastAsia="zh-CN"/>
        </w:rPr>
        <w:t>非</w:t>
      </w:r>
      <w:r>
        <w:rPr>
          <w:rFonts w:hint="eastAsia" w:ascii="Times New Roman" w:eastAsia="宋体"/>
          <w:highlight w:val="none"/>
          <w:lang w:val="en-US" w:eastAsia="zh-CN"/>
        </w:rPr>
        <w:t>专门面向中小企业采购的项目，</w:t>
      </w:r>
      <w:r>
        <w:rPr>
          <w:rFonts w:hint="eastAsia"/>
          <w:highlight w:val="none"/>
          <w:lang w:val="en-US" w:eastAsia="zh-CN"/>
        </w:rPr>
        <w:t>应</w:t>
      </w:r>
      <w:r>
        <w:rPr>
          <w:rFonts w:hint="eastAsia" w:ascii="Times New Roman" w:eastAsia="宋体"/>
          <w:highlight w:val="none"/>
          <w:lang w:val="en-US" w:eastAsia="zh-CN"/>
        </w:rPr>
        <w:t>执行价格扣除比例</w:t>
      </w:r>
      <w:r>
        <w:rPr>
          <w:rFonts w:hint="eastAsia"/>
          <w:highlight w:val="none"/>
          <w:lang w:val="en-US" w:eastAsia="zh-CN"/>
        </w:rPr>
        <w:t>：</w:t>
      </w:r>
      <w:r>
        <w:rPr>
          <w:rFonts w:hint="eastAsia" w:ascii="宋体" w:hAnsi="宋体"/>
          <w:highlight w:val="none"/>
        </w:rPr>
        <w:t>投标人提供的货物（以招标文件用户需求书“货物</w:t>
      </w:r>
      <w:r>
        <w:rPr>
          <w:rFonts w:hint="eastAsia" w:ascii="宋体" w:hAnsi="宋体"/>
          <w:highlight w:val="none"/>
          <w:lang w:val="en-US" w:eastAsia="zh-CN"/>
        </w:rPr>
        <w:t>需求</w:t>
      </w:r>
      <w:r>
        <w:rPr>
          <w:rFonts w:hint="eastAsia" w:ascii="宋体" w:hAnsi="宋体"/>
          <w:highlight w:val="none"/>
        </w:rPr>
        <w:t>明细”的“货物名称”一栏为准）全部均由优惠主体制造的，对其投标总价给予</w:t>
      </w:r>
      <w:r>
        <w:rPr>
          <w:rFonts w:hint="eastAsia" w:ascii="宋体" w:hAnsi="宋体" w:eastAsia="宋体" w:cs="Times New Roman"/>
          <w:b/>
          <w:sz w:val="24"/>
          <w:szCs w:val="24"/>
          <w:highlight w:val="none"/>
          <w:u w:val="single"/>
          <w:lang w:val="en-US" w:eastAsia="zh-CN"/>
        </w:rPr>
        <w:t>10%</w:t>
      </w:r>
      <w:r>
        <w:rPr>
          <w:rFonts w:hint="eastAsia" w:ascii="宋体" w:hAnsi="宋体"/>
          <w:highlight w:val="none"/>
        </w:rPr>
        <w:t>的扣除，用扣除后的价格参与评审。满足多项优惠政策的企业，不重复享受多项价格扣除政策。</w:t>
      </w:r>
      <w:r>
        <w:rPr>
          <w:rFonts w:hint="eastAsia" w:ascii="Arial" w:hAnsi="Arial" w:eastAsia="宋体" w:cs="Times New Roman"/>
          <w:b/>
          <w:strike w:val="0"/>
          <w:dstrike w:val="0"/>
          <w:szCs w:val="21"/>
          <w:highlight w:val="none"/>
        </w:rPr>
        <w:t>政策调整后价格仅作为评审依据，不作为中标价格。</w:t>
      </w:r>
    </w:p>
    <w:p>
      <w:p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r>
        <w:rPr>
          <w:rFonts w:hint="eastAsia" w:asciiTheme="minorEastAsia" w:hAnsiTheme="minorEastAsia" w:cstheme="minorEastAsia"/>
          <w:b/>
          <w:bCs/>
          <w:sz w:val="21"/>
          <w:szCs w:val="21"/>
          <w:highlight w:val="none"/>
          <w:lang w:eastAsia="zh-CN"/>
        </w:rPr>
        <w:t>（</w:t>
      </w:r>
      <w:r>
        <w:rPr>
          <w:rFonts w:hint="eastAsia" w:asciiTheme="minorEastAsia" w:hAnsiTheme="minorEastAsia" w:cstheme="minorEastAsia"/>
          <w:b/>
          <w:bCs/>
          <w:sz w:val="21"/>
          <w:szCs w:val="21"/>
          <w:highlight w:val="none"/>
          <w:lang w:val="en-US" w:eastAsia="zh-CN"/>
        </w:rPr>
        <w:t>a</w:t>
      </w:r>
      <w:r>
        <w:rPr>
          <w:rFonts w:hint="eastAsia" w:asciiTheme="minorEastAsia" w:hAnsiTheme="minorEastAsia" w:cstheme="minorEastAsia"/>
          <w:b/>
          <w:bCs/>
          <w:sz w:val="21"/>
          <w:szCs w:val="21"/>
          <w:highlight w:val="none"/>
          <w:lang w:eastAsia="zh-CN"/>
        </w:rPr>
        <w:t>）</w:t>
      </w:r>
      <w:r>
        <w:rPr>
          <w:rFonts w:hint="eastAsia" w:asciiTheme="minorEastAsia" w:hAnsiTheme="minorEastAsia" w:eastAsiaTheme="minorEastAsia" w:cstheme="minorEastAsia"/>
          <w:sz w:val="21"/>
          <w:szCs w:val="21"/>
          <w:highlight w:val="none"/>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宋体" w:hAnsi="宋体"/>
          <w:highlight w:val="none"/>
        </w:rPr>
        <w:t>根据《财政部 司法部关于政府采购支持监狱企业发展有关问题的通知》(财库〔2014〕68号)，在政府采购活动中，监狱企业视同小型、微型企业；根据《关于促进残疾人就业政府采购政策的通知》(财库〔2017〕141号)，在政府采购活动中，残疾人福利性单位视同小型、微型企业；</w:t>
      </w:r>
      <w:r>
        <w:rPr>
          <w:rFonts w:hint="eastAsia" w:asciiTheme="minorEastAsia" w:hAnsiTheme="minorEastAsia" w:cstheme="minorEastAsia"/>
          <w:b/>
          <w:bCs/>
          <w:sz w:val="21"/>
          <w:szCs w:val="21"/>
          <w:highlight w:val="none"/>
          <w:lang w:val="en-US" w:eastAsia="zh-CN"/>
        </w:rPr>
        <w:t>(b)</w:t>
      </w:r>
      <w:r>
        <w:rPr>
          <w:rFonts w:hint="eastAsia" w:asciiTheme="minorEastAsia" w:hAnsiTheme="minorEastAsia" w:eastAsiaTheme="minorEastAsia" w:cstheme="minorEastAsia"/>
          <w:sz w:val="21"/>
          <w:szCs w:val="21"/>
          <w:highlight w:val="none"/>
        </w:rPr>
        <w:t>优惠主体制造是指货物由优惠主体生产且使用该优惠主体商号或者注册商标；投标人提供的货物既有优惠主体制造货物，又有非优惠主体制造货物的，不给予价格扣除。</w:t>
      </w:r>
    </w:p>
    <w:p>
      <w:p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w:t>
      </w:r>
      <w:bookmarkStart w:id="12" w:name="_Hlk71970739"/>
      <w:r>
        <w:rPr>
          <w:rFonts w:hint="eastAsia" w:asciiTheme="minorEastAsia" w:hAnsiTheme="minorEastAsia" w:eastAsiaTheme="minorEastAsia" w:cstheme="minorEastAsia"/>
          <w:sz w:val="21"/>
          <w:szCs w:val="21"/>
          <w:highlight w:val="none"/>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eastAsiaTheme="minorEastAsia" w:cstheme="minorEastAsia"/>
          <w:b/>
          <w:bCs/>
          <w:color w:val="FF0000"/>
          <w:sz w:val="21"/>
          <w:szCs w:val="21"/>
          <w:highlight w:val="none"/>
        </w:rPr>
        <w:t>《中小企业声明函》中相关企业所属行业应当与采购标的所属行业相一致。</w:t>
      </w:r>
      <w:r>
        <w:rPr>
          <w:rFonts w:hint="eastAsia" w:asciiTheme="minorEastAsia" w:hAnsiTheme="minorEastAsia" w:eastAsiaTheme="minorEastAsia" w:cstheme="minorEastAsia"/>
          <w:sz w:val="21"/>
          <w:szCs w:val="21"/>
          <w:highlight w:val="none"/>
        </w:rPr>
        <w:t>本项目</w:t>
      </w:r>
      <w:bookmarkStart w:id="13" w:name="_Hlk71924718"/>
      <w:r>
        <w:rPr>
          <w:rFonts w:hint="eastAsia" w:asciiTheme="minorEastAsia" w:hAnsiTheme="minorEastAsia" w:eastAsiaTheme="minorEastAsia" w:cstheme="minorEastAsia"/>
          <w:sz w:val="21"/>
          <w:szCs w:val="21"/>
          <w:highlight w:val="none"/>
        </w:rPr>
        <w:t>采购标的（货物）对应的中小企业划分标准所属行业</w:t>
      </w:r>
      <w:bookmarkEnd w:id="13"/>
      <w:r>
        <w:rPr>
          <w:rFonts w:hint="eastAsia" w:asciiTheme="minorEastAsia" w:hAnsiTheme="minorEastAsia" w:eastAsiaTheme="minorEastAsia" w:cstheme="minorEastAsia"/>
          <w:sz w:val="21"/>
          <w:szCs w:val="21"/>
          <w:highlight w:val="none"/>
        </w:rPr>
        <w:t>为</w:t>
      </w:r>
      <w:r>
        <w:rPr>
          <w:rFonts w:hint="eastAsia" w:asciiTheme="minorEastAsia" w:hAnsiTheme="minorEastAsia" w:eastAsiaTheme="minorEastAsia" w:cstheme="minorEastAsia"/>
          <w:color w:val="FF0000"/>
          <w:sz w:val="21"/>
          <w:szCs w:val="21"/>
          <w:highlight w:val="none"/>
          <w:u w:val="single"/>
        </w:rPr>
        <w:t xml:space="preserve">  </w:t>
      </w:r>
      <w:r>
        <w:rPr>
          <w:rFonts w:hint="eastAsia" w:asciiTheme="minorEastAsia" w:hAnsiTheme="minorEastAsia" w:cstheme="minorEastAsia"/>
          <w:b/>
          <w:bCs/>
          <w:color w:val="FF0000"/>
          <w:sz w:val="24"/>
          <w:szCs w:val="24"/>
          <w:highlight w:val="none"/>
          <w:u w:val="single"/>
          <w:lang w:val="en-US" w:eastAsia="zh-CN"/>
        </w:rPr>
        <w:t>工业</w:t>
      </w:r>
      <w:r>
        <w:rPr>
          <w:rFonts w:hint="eastAsia" w:asciiTheme="minorEastAsia" w:hAnsiTheme="minorEastAsia" w:eastAsiaTheme="minorEastAsia" w:cstheme="minorEastAsia"/>
          <w:color w:val="FF0000"/>
          <w:sz w:val="21"/>
          <w:szCs w:val="21"/>
          <w:highlight w:val="none"/>
          <w:u w:val="single"/>
        </w:rPr>
        <w:t xml:space="preserve">  </w:t>
      </w:r>
      <w:r>
        <w:rPr>
          <w:rFonts w:hint="eastAsia" w:asciiTheme="minorEastAsia" w:hAnsiTheme="minorEastAsia" w:eastAsiaTheme="minorEastAsia" w:cstheme="minorEastAsia"/>
          <w:sz w:val="21"/>
          <w:szCs w:val="21"/>
          <w:highlight w:val="none"/>
        </w:rPr>
        <w:t>。</w:t>
      </w:r>
      <w:bookmarkEnd w:id="12"/>
    </w:p>
    <w:p>
      <w:p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w:t>
      </w:r>
      <w:r>
        <w:rPr>
          <w:rFonts w:hint="eastAsia" w:asciiTheme="minorEastAsia" w:hAnsiTheme="minorEastAsia" w:cstheme="minorEastAsia"/>
          <w:sz w:val="21"/>
          <w:szCs w:val="21"/>
          <w:highlight w:val="none"/>
          <w:lang w:val="en-US" w:eastAsia="zh-CN"/>
        </w:rPr>
        <w:t>四</w:t>
      </w:r>
      <w:r>
        <w:rPr>
          <w:rFonts w:hint="eastAsia" w:asciiTheme="minorEastAsia" w:hAnsiTheme="minorEastAsia" w:eastAsiaTheme="minorEastAsia" w:cstheme="minorEastAsia"/>
          <w:sz w:val="21"/>
          <w:szCs w:val="21"/>
          <w:highlight w:val="none"/>
        </w:rPr>
        <w:t>章“投标文件组成要求及格式”中“中小企业声明函、残疾人福利性单位声明函及监狱企业声明函”章节提供的格式）。</w:t>
      </w:r>
    </w:p>
    <w:p>
      <w:pPr>
        <w:tabs>
          <w:tab w:val="left" w:pos="720"/>
        </w:tabs>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）享受价格扣除获得政府采购合同的，小微企业不得将合同分包给大中型企业。</w:t>
      </w:r>
    </w:p>
    <w:p>
      <w:pPr>
        <w:tabs>
          <w:tab w:val="left" w:pos="720"/>
        </w:tabs>
        <w:ind w:firstLine="480" w:firstLineChars="200"/>
        <w:rPr>
          <w:rFonts w:ascii="黑体" w:hAnsi="宋体" w:eastAsia="黑体"/>
          <w:sz w:val="24"/>
          <w:highlight w:val="none"/>
        </w:rPr>
      </w:pPr>
    </w:p>
    <w:p>
      <w:pPr>
        <w:spacing w:line="360" w:lineRule="auto"/>
        <w:rPr>
          <w:rFonts w:ascii="宋体" w:hAnsi="宋体" w:eastAsia="宋体" w:cs="宋体"/>
          <w:b/>
          <w:bCs/>
          <w:szCs w:val="24"/>
          <w:highlight w:val="none"/>
        </w:rPr>
      </w:pPr>
      <w:r>
        <w:rPr>
          <w:rFonts w:hint="eastAsia" w:ascii="宋体" w:hAnsi="宋体" w:eastAsia="宋体" w:cs="宋体"/>
          <w:b/>
          <w:bCs/>
          <w:szCs w:val="24"/>
          <w:highlight w:val="none"/>
        </w:rPr>
        <w:t>2.关于政府采购订单融资政策</w:t>
      </w:r>
    </w:p>
    <w:p>
      <w:pPr>
        <w:ind w:firstLine="420" w:firstLineChars="200"/>
        <w:rPr>
          <w:rFonts w:ascii="宋体" w:hAnsi="宋体" w:eastAsia="宋体" w:cs="Times New Roman"/>
          <w:b/>
          <w:szCs w:val="24"/>
          <w:highlight w:val="none"/>
        </w:rPr>
      </w:pPr>
      <w:r>
        <w:rPr>
          <w:rFonts w:hint="eastAsia" w:ascii="Times New Roman" w:hAnsi="Times New Roman" w:eastAsia="宋体" w:cs="Times New Roman"/>
          <w:color w:val="FF0000"/>
          <w:szCs w:val="24"/>
          <w:highlight w:val="none"/>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tabs>
          <w:tab w:val="left" w:pos="720"/>
        </w:tabs>
        <w:rPr>
          <w:rFonts w:ascii="黑体" w:hAnsi="宋体" w:eastAsia="黑体"/>
          <w:sz w:val="24"/>
          <w:highlight w:val="none"/>
        </w:rPr>
      </w:pPr>
    </w:p>
    <w:p>
      <w:pPr>
        <w:tabs>
          <w:tab w:val="left" w:pos="720"/>
        </w:tabs>
        <w:rPr>
          <w:rFonts w:hint="eastAsia" w:ascii="宋体" w:hAnsi="宋体"/>
          <w:b/>
          <w:bCs/>
          <w:color w:val="FF0000"/>
          <w:highlight w:val="none"/>
          <w:lang w:eastAsia="zh-CN"/>
        </w:rPr>
      </w:pPr>
      <w:r>
        <w:rPr>
          <w:rFonts w:hint="eastAsia" w:ascii="宋体" w:hAnsi="宋体"/>
          <w:b/>
          <w:bCs/>
          <w:color w:val="FF0000"/>
          <w:highlight w:val="none"/>
        </w:rPr>
        <w:t>3、</w:t>
      </w:r>
      <w:r>
        <w:rPr>
          <w:rFonts w:ascii="宋体" w:hAnsi="宋体"/>
          <w:b/>
          <w:bCs/>
          <w:color w:val="FF0000"/>
          <w:highlight w:val="none"/>
        </w:rPr>
        <w:t>本项目为代理服务项目，将向中标</w:t>
      </w:r>
      <w:r>
        <w:rPr>
          <w:rFonts w:hint="eastAsia" w:ascii="宋体" w:hAnsi="宋体"/>
          <w:b/>
          <w:bCs/>
          <w:color w:val="FF0000"/>
          <w:highlight w:val="none"/>
        </w:rPr>
        <w:t>（成交）</w:t>
      </w:r>
      <w:r>
        <w:rPr>
          <w:rFonts w:ascii="宋体" w:hAnsi="宋体"/>
          <w:b/>
          <w:bCs/>
          <w:color w:val="FF0000"/>
          <w:highlight w:val="none"/>
        </w:rPr>
        <w:t>供应商收取代理服务费</w:t>
      </w:r>
      <w:r>
        <w:rPr>
          <w:rFonts w:hint="eastAsia" w:ascii="宋体" w:hAnsi="宋体"/>
          <w:b/>
          <w:bCs/>
          <w:color w:val="FF0000"/>
          <w:highlight w:val="none"/>
          <w:lang w:eastAsia="zh-CN"/>
        </w:rPr>
        <w:t>。</w:t>
      </w:r>
    </w:p>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中标</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成交</w:t>
      </w:r>
      <w:r>
        <w:rPr>
          <w:rFonts w:hint="eastAsia" w:ascii="宋体" w:hAnsi="宋体"/>
          <w:color w:val="FF0000"/>
          <w:szCs w:val="21"/>
          <w:highlight w:val="none"/>
          <w:lang w:eastAsia="zh-CN"/>
        </w:rPr>
        <w:t>）</w:t>
      </w:r>
      <w:r>
        <w:rPr>
          <w:rFonts w:hint="eastAsia" w:ascii="宋体" w:hAnsi="宋体"/>
          <w:color w:val="FF0000"/>
          <w:szCs w:val="21"/>
          <w:highlight w:val="none"/>
        </w:rPr>
        <w:t>供应商在领取《中标</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成交</w:t>
      </w:r>
      <w:r>
        <w:rPr>
          <w:rFonts w:hint="eastAsia" w:ascii="宋体" w:hAnsi="宋体"/>
          <w:color w:val="FF0000"/>
          <w:szCs w:val="21"/>
          <w:highlight w:val="none"/>
          <w:lang w:eastAsia="zh-CN"/>
        </w:rPr>
        <w:t>）</w:t>
      </w:r>
      <w:r>
        <w:rPr>
          <w:rFonts w:hint="eastAsia" w:ascii="宋体" w:hAnsi="宋体"/>
          <w:color w:val="FF0000"/>
          <w:szCs w:val="21"/>
          <w:highlight w:val="none"/>
        </w:rPr>
        <w:t>通知书》之前须向深圳公共资源交易中心（深圳交易集团有限公司</w:t>
      </w:r>
      <w:r>
        <w:rPr>
          <w:rFonts w:hint="eastAsia" w:ascii="宋体" w:hAnsi="宋体"/>
          <w:color w:val="FF0000"/>
          <w:szCs w:val="21"/>
          <w:highlight w:val="none"/>
          <w:lang w:val="en-US" w:eastAsia="zh-CN"/>
        </w:rPr>
        <w:t>宝安</w:t>
      </w:r>
      <w:r>
        <w:rPr>
          <w:rFonts w:hint="eastAsia" w:ascii="宋体" w:hAnsi="宋体"/>
          <w:color w:val="FF0000"/>
          <w:szCs w:val="21"/>
          <w:highlight w:val="none"/>
        </w:rPr>
        <w:t>分公司）交纳代理服务费。若因中标</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成交</w:t>
      </w:r>
      <w:r>
        <w:rPr>
          <w:rFonts w:hint="eastAsia" w:ascii="宋体" w:hAnsi="宋体"/>
          <w:color w:val="FF0000"/>
          <w:szCs w:val="21"/>
          <w:highlight w:val="none"/>
          <w:lang w:eastAsia="zh-CN"/>
        </w:rPr>
        <w:t>）</w:t>
      </w:r>
      <w:r>
        <w:rPr>
          <w:rFonts w:hint="eastAsia" w:ascii="宋体" w:hAnsi="宋体"/>
          <w:color w:val="FF0000"/>
          <w:szCs w:val="21"/>
          <w:highlight w:val="none"/>
        </w:rPr>
        <w:t>供应商交纳代理服务费所产生的时间影响到合同签订的，由中标</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成交</w:t>
      </w:r>
      <w:r>
        <w:rPr>
          <w:rFonts w:hint="eastAsia" w:ascii="宋体" w:hAnsi="宋体"/>
          <w:color w:val="FF0000"/>
          <w:szCs w:val="21"/>
          <w:highlight w:val="none"/>
          <w:lang w:eastAsia="zh-CN"/>
        </w:rPr>
        <w:t>）</w:t>
      </w:r>
      <w:r>
        <w:rPr>
          <w:rFonts w:hint="eastAsia" w:ascii="宋体" w:hAnsi="宋体"/>
          <w:color w:val="FF0000"/>
          <w:szCs w:val="21"/>
          <w:highlight w:val="none"/>
        </w:rPr>
        <w:t>供应商自行承担责任。代理服务费标准参照</w:t>
      </w:r>
      <w:r>
        <w:rPr>
          <w:rFonts w:hint="eastAsia" w:ascii="宋体" w:hAnsi="宋体"/>
          <w:color w:val="FF0000"/>
          <w:szCs w:val="21"/>
          <w:highlight w:val="none"/>
          <w:lang w:val="en-US" w:eastAsia="zh-CN"/>
        </w:rPr>
        <w:t>下列</w:t>
      </w:r>
      <w:r>
        <w:rPr>
          <w:rFonts w:hint="eastAsia" w:ascii="宋体" w:hAnsi="宋体"/>
          <w:color w:val="FF0000"/>
          <w:szCs w:val="21"/>
          <w:highlight w:val="none"/>
        </w:rPr>
        <w:t>标准收取。本项目类型为</w:t>
      </w:r>
      <w:r>
        <w:rPr>
          <w:rFonts w:hint="eastAsia" w:ascii="宋体" w:hAnsi="宋体"/>
          <w:b/>
          <w:bCs/>
          <w:color w:val="FF0000"/>
          <w:szCs w:val="21"/>
          <w:highlight w:val="none"/>
          <w:u w:val="single"/>
        </w:rPr>
        <w:t>货物采购</w:t>
      </w:r>
      <w:r>
        <w:rPr>
          <w:rFonts w:hint="eastAsia" w:ascii="宋体" w:hAnsi="宋体"/>
          <w:color w:val="FF0000"/>
          <w:szCs w:val="21"/>
          <w:highlight w:val="none"/>
        </w:rPr>
        <w:t>：</w:t>
      </w:r>
    </w:p>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w:t>
      </w:r>
      <w:r>
        <w:rPr>
          <w:rFonts w:hint="eastAsia" w:ascii="宋体" w:hAnsi="宋体"/>
          <w:color w:val="FF0000"/>
          <w:szCs w:val="21"/>
          <w:highlight w:val="none"/>
          <w:lang w:val="en-US" w:eastAsia="zh-CN"/>
        </w:rPr>
        <w:t>1</w:t>
      </w:r>
      <w:r>
        <w:rPr>
          <w:rFonts w:hint="eastAsia" w:ascii="宋体" w:hAnsi="宋体"/>
          <w:color w:val="FF0000"/>
          <w:szCs w:val="21"/>
          <w:highlight w:val="none"/>
        </w:rPr>
        <w:t>）代理服务费以《中标</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成交</w:t>
      </w:r>
      <w:r>
        <w:rPr>
          <w:rFonts w:hint="eastAsia" w:ascii="宋体" w:hAnsi="宋体"/>
          <w:color w:val="FF0000"/>
          <w:szCs w:val="21"/>
          <w:highlight w:val="none"/>
          <w:lang w:eastAsia="zh-CN"/>
        </w:rPr>
        <w:t>）</w:t>
      </w:r>
      <w:r>
        <w:rPr>
          <w:rFonts w:hint="eastAsia" w:ascii="宋体" w:hAnsi="宋体"/>
          <w:color w:val="FF0000"/>
          <w:szCs w:val="21"/>
          <w:highlight w:val="none"/>
        </w:rPr>
        <w:t>通知书》确定的中标</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成交</w:t>
      </w:r>
      <w:r>
        <w:rPr>
          <w:rFonts w:hint="eastAsia" w:ascii="宋体" w:hAnsi="宋体"/>
          <w:color w:val="FF0000"/>
          <w:szCs w:val="21"/>
          <w:highlight w:val="none"/>
          <w:lang w:eastAsia="zh-CN"/>
        </w:rPr>
        <w:t>）</w:t>
      </w:r>
      <w:r>
        <w:rPr>
          <w:rFonts w:hint="eastAsia" w:ascii="宋体" w:hAnsi="宋体"/>
          <w:color w:val="FF0000"/>
          <w:szCs w:val="21"/>
          <w:highlight w:val="none"/>
        </w:rPr>
        <w:t>金额作为计算基数，按差额定率累进法计算。</w:t>
      </w:r>
    </w:p>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w:t>
      </w:r>
      <w:r>
        <w:rPr>
          <w:rFonts w:hint="eastAsia" w:ascii="宋体" w:hAnsi="宋体"/>
          <w:color w:val="FF0000"/>
          <w:szCs w:val="21"/>
          <w:highlight w:val="none"/>
          <w:lang w:val="en-US" w:eastAsia="zh-CN"/>
        </w:rPr>
        <w:t>2</w:t>
      </w:r>
      <w:r>
        <w:rPr>
          <w:rFonts w:hint="eastAsia" w:ascii="宋体" w:hAnsi="宋体"/>
          <w:color w:val="FF0000"/>
          <w:szCs w:val="21"/>
          <w:highlight w:val="none"/>
        </w:rPr>
        <w:t>）中标</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成交</w:t>
      </w:r>
      <w:r>
        <w:rPr>
          <w:rFonts w:hint="eastAsia" w:ascii="宋体" w:hAnsi="宋体"/>
          <w:color w:val="FF0000"/>
          <w:szCs w:val="21"/>
          <w:highlight w:val="none"/>
          <w:lang w:eastAsia="zh-CN"/>
        </w:rPr>
        <w:t>）</w:t>
      </w:r>
      <w:r>
        <w:rPr>
          <w:rFonts w:hint="eastAsia" w:ascii="宋体" w:hAnsi="宋体"/>
          <w:color w:val="FF0000"/>
          <w:szCs w:val="21"/>
          <w:highlight w:val="none"/>
        </w:rPr>
        <w:t>金额的各部分费率如下表：</w:t>
      </w:r>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中标</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成交</w:t>
            </w:r>
            <w:r>
              <w:rPr>
                <w:rFonts w:hint="eastAsia" w:ascii="宋体" w:hAnsi="宋体"/>
                <w:color w:val="FF0000"/>
                <w:szCs w:val="21"/>
                <w:highlight w:val="none"/>
                <w:lang w:eastAsia="zh-CN"/>
              </w:rPr>
              <w:t>）</w:t>
            </w:r>
            <w:r>
              <w:rPr>
                <w:rFonts w:hint="eastAsia" w:ascii="宋体" w:hAnsi="宋体"/>
                <w:color w:val="FF0000"/>
                <w:szCs w:val="21"/>
                <w:highlight w:val="none"/>
              </w:rPr>
              <w:t>金额</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货物采购</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服务采购</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100万元以下</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1.5%</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1.5%</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100万元（含）-500万元</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1.1%</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0.8%</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500万元（含）-1000万元</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0.8%</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0.45%</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1000万元（含）-5000万元</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0.5%</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0.25%</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5000万元（含）-1亿元</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0.25%</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0.1%</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1亿元（含）-5亿元</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0.05%</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0.05%</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5亿元（含）-10亿元</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0.035%</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0.035%</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10亿元（含）-50亿元</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0.008%</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0.008%</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50亿元（含）-100亿元</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0.006%</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0.006%</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100亿元（含）以上</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0.004%</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0.004%</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0.004%</w:t>
            </w:r>
          </w:p>
        </w:tc>
      </w:tr>
    </w:tbl>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 xml:space="preserve">备注：1.每宗交易代理服务费不低于 </w:t>
      </w:r>
      <w:r>
        <w:rPr>
          <w:rFonts w:hint="eastAsia" w:ascii="宋体" w:hAnsi="宋体"/>
          <w:color w:val="FF0000"/>
          <w:szCs w:val="21"/>
          <w:highlight w:val="none"/>
          <w:lang w:val="en-US" w:eastAsia="zh-CN"/>
        </w:rPr>
        <w:t>5</w:t>
      </w:r>
      <w:r>
        <w:rPr>
          <w:rFonts w:hint="eastAsia" w:ascii="宋体" w:hAnsi="宋体"/>
          <w:color w:val="FF0000"/>
          <w:szCs w:val="21"/>
          <w:highlight w:val="none"/>
        </w:rPr>
        <w:t>000 元；</w:t>
      </w:r>
    </w:p>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2.对于报总价的采购类项目，中标（成交）价为中标（成交）金额；对于报单价或折扣或费率的采购类项目，中标（成交）价为预算上限金额或经委托方与代理方确定的支付上限金额</w:t>
      </w:r>
      <w:r>
        <w:rPr>
          <w:rFonts w:hint="eastAsia" w:ascii="宋体" w:hAnsi="宋体"/>
          <w:color w:val="FF0000"/>
          <w:szCs w:val="21"/>
          <w:highlight w:val="none"/>
          <w:lang w:eastAsia="zh-CN"/>
        </w:rPr>
        <w:t>。</w:t>
      </w:r>
    </w:p>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如某货物采购项目，中标（成交）金额为600万元，总共交纳的代理服务费的具体计算过程如下：</w:t>
      </w:r>
    </w:p>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标准代理服务费＝（100万以下部分的代理服务费）+（100万～500万部分的代理服务费）+（500万～600万部分的代理服务费）＝100万元×1.5%+（500-100）万元×1.1%+（600-500）万元×0.8%=1.5万元+4.4万元+0.8万元＝6.7万元</w:t>
      </w:r>
    </w:p>
    <w:p>
      <w:pPr>
        <w:widowControl/>
        <w:ind w:firstLine="420"/>
        <w:jc w:val="left"/>
        <w:rPr>
          <w:rFonts w:ascii="宋体" w:hAnsi="宋体" w:eastAsia="黑体" w:cs="Times New Roman"/>
          <w:bCs/>
          <w:kern w:val="44"/>
          <w:szCs w:val="21"/>
          <w:highlight w:val="none"/>
        </w:rPr>
      </w:pPr>
      <w:r>
        <w:rPr>
          <w:rFonts w:hint="eastAsia" w:ascii="宋体" w:hAnsi="宋体"/>
          <w:color w:val="FF0000"/>
          <w:szCs w:val="21"/>
          <w:highlight w:val="none"/>
        </w:rPr>
        <w:t>（</w:t>
      </w:r>
      <w:r>
        <w:rPr>
          <w:rFonts w:hint="eastAsia" w:ascii="宋体" w:hAnsi="宋体"/>
          <w:color w:val="FF0000"/>
          <w:szCs w:val="21"/>
          <w:highlight w:val="none"/>
          <w:lang w:val="en-US" w:eastAsia="zh-CN"/>
        </w:rPr>
        <w:t>3</w:t>
      </w:r>
      <w:r>
        <w:rPr>
          <w:rFonts w:hint="eastAsia" w:ascii="宋体" w:hAnsi="宋体"/>
          <w:color w:val="FF0000"/>
          <w:szCs w:val="21"/>
          <w:highlight w:val="none"/>
        </w:rPr>
        <w:t>）中标（成交）供应商成交后，必须按规定采用银行对公转账方式向深圳交易集团有限公司直接交纳代理服务费，交纳信息及要求按照缴款（付款）通知书执行。</w:t>
      </w:r>
    </w:p>
    <w:p>
      <w:pPr>
        <w:widowControl/>
        <w:ind w:firstLine="420"/>
        <w:jc w:val="left"/>
        <w:rPr>
          <w:rFonts w:ascii="宋体" w:hAnsi="宋体"/>
          <w:color w:val="FF0000"/>
          <w:szCs w:val="21"/>
          <w:highlight w:val="none"/>
        </w:rPr>
      </w:pPr>
    </w:p>
    <w:p>
      <w:pPr>
        <w:widowControl/>
        <w:ind w:firstLine="420"/>
        <w:jc w:val="left"/>
        <w:rPr>
          <w:rFonts w:ascii="宋体" w:hAnsi="宋体" w:eastAsia="黑体" w:cs="Times New Roman"/>
          <w:bCs/>
          <w:kern w:val="44"/>
          <w:szCs w:val="21"/>
          <w:highlight w:val="none"/>
        </w:rPr>
      </w:pPr>
    </w:p>
    <w:p>
      <w:pPr>
        <w:widowControl/>
        <w:jc w:val="left"/>
        <w:rPr>
          <w:rFonts w:ascii="宋体" w:hAnsi="宋体" w:eastAsia="黑体" w:cs="Times New Roman"/>
          <w:bCs/>
          <w:kern w:val="44"/>
          <w:sz w:val="28"/>
          <w:szCs w:val="44"/>
          <w:highlight w:val="none"/>
        </w:rPr>
      </w:pPr>
      <w:r>
        <w:rPr>
          <w:rFonts w:ascii="宋体" w:hAnsi="宋体" w:eastAsia="黑体" w:cs="Times New Roman"/>
          <w:bCs/>
          <w:kern w:val="44"/>
          <w:sz w:val="28"/>
          <w:szCs w:val="44"/>
          <w:highlight w:val="none"/>
        </w:rPr>
        <w:br w:type="page"/>
      </w:r>
    </w:p>
    <w:p>
      <w:pPr>
        <w:keepNext/>
        <w:keepLines/>
        <w:adjustRightInd w:val="0"/>
        <w:spacing w:before="260" w:after="260"/>
        <w:jc w:val="center"/>
        <w:textAlignment w:val="baseline"/>
        <w:outlineLvl w:val="1"/>
        <w:rPr>
          <w:rFonts w:ascii="宋体" w:hAnsi="宋体" w:eastAsia="宋体" w:cs="Times New Roman"/>
          <w:b/>
          <w:bCs/>
          <w:kern w:val="0"/>
          <w:sz w:val="28"/>
          <w:szCs w:val="28"/>
          <w:highlight w:val="none"/>
        </w:rPr>
      </w:pPr>
      <w:r>
        <w:rPr>
          <w:rFonts w:hint="eastAsia" w:ascii="宋体" w:hAnsi="宋体" w:eastAsia="宋体" w:cs="Times New Roman"/>
          <w:b/>
          <w:bCs/>
          <w:kern w:val="0"/>
          <w:sz w:val="28"/>
          <w:szCs w:val="28"/>
          <w:highlight w:val="none"/>
        </w:rPr>
        <w:t>第三章 用户需求书</w:t>
      </w:r>
    </w:p>
    <w:p>
      <w:pPr>
        <w:keepNext/>
        <w:keepLines/>
        <w:tabs>
          <w:tab w:val="left" w:pos="1680"/>
        </w:tabs>
        <w:spacing w:before="260" w:afterLines="25"/>
        <w:jc w:val="center"/>
        <w:outlineLvl w:val="2"/>
        <w:rPr>
          <w:rFonts w:ascii="Arial" w:hAnsi="Arial" w:eastAsia="宋体" w:cs="Times New Roman"/>
          <w:b/>
          <w:sz w:val="32"/>
          <w:szCs w:val="32"/>
          <w:highlight w:val="none"/>
        </w:rPr>
      </w:pPr>
      <w:r>
        <w:rPr>
          <w:rFonts w:hint="eastAsia" w:ascii="Arial" w:hAnsi="Arial" w:eastAsia="宋体" w:cs="Times New Roman"/>
          <w:b/>
          <w:sz w:val="32"/>
          <w:szCs w:val="32"/>
          <w:highlight w:val="none"/>
        </w:rPr>
        <w:t>一、项目基本信息</w:t>
      </w:r>
    </w:p>
    <w:tbl>
      <w:tblPr>
        <w:tblStyle w:val="16"/>
        <w:tblW w:w="8931" w:type="dxa"/>
        <w:jc w:val="center"/>
        <w:tblLayout w:type="fixed"/>
        <w:tblCellMar>
          <w:top w:w="15" w:type="dxa"/>
          <w:left w:w="15" w:type="dxa"/>
          <w:bottom w:w="15" w:type="dxa"/>
          <w:right w:w="15" w:type="dxa"/>
        </w:tblCellMar>
      </w:tblPr>
      <w:tblGrid>
        <w:gridCol w:w="710"/>
        <w:gridCol w:w="2693"/>
        <w:gridCol w:w="2906"/>
        <w:gridCol w:w="2622"/>
      </w:tblGrid>
      <w:tr>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0" w:themeFill="text2" w:themeFillTint="33"/>
            <w:vAlign w:val="center"/>
          </w:tcPr>
          <w:p>
            <w:pPr>
              <w:jc w:val="center"/>
              <w:rPr>
                <w:b w:val="0"/>
                <w:bCs w:val="0"/>
                <w:highlight w:val="none"/>
              </w:rPr>
            </w:pPr>
            <w:r>
              <w:rPr>
                <w:rFonts w:hint="eastAsia"/>
                <w:b w:val="0"/>
                <w:bCs w:val="0"/>
                <w:highlight w:val="none"/>
              </w:rPr>
              <w:t>序号</w:t>
            </w:r>
          </w:p>
        </w:tc>
        <w:tc>
          <w:tcPr>
            <w:tcW w:w="2693" w:type="dxa"/>
            <w:tcBorders>
              <w:top w:val="single" w:color="000000" w:sz="4" w:space="0"/>
              <w:left w:val="single" w:color="auto" w:sz="4" w:space="0"/>
              <w:bottom w:val="single" w:color="000000" w:sz="4" w:space="0"/>
              <w:right w:val="single" w:color="000000" w:sz="4" w:space="0"/>
            </w:tcBorders>
            <w:shd w:val="clear" w:color="auto" w:fill="C6D9F0" w:themeFill="text2" w:themeFillTint="33"/>
            <w:vAlign w:val="center"/>
          </w:tcPr>
          <w:p>
            <w:pPr>
              <w:jc w:val="center"/>
              <w:rPr>
                <w:b w:val="0"/>
                <w:bCs w:val="0"/>
                <w:highlight w:val="none"/>
              </w:rPr>
            </w:pPr>
            <w:r>
              <w:rPr>
                <w:rFonts w:hint="eastAsia"/>
                <w:b w:val="0"/>
                <w:bCs w:val="0"/>
                <w:highlight w:val="none"/>
              </w:rPr>
              <w:t>采购计划编号</w:t>
            </w:r>
          </w:p>
        </w:tc>
        <w:tc>
          <w:tcPr>
            <w:tcW w:w="2906"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pPr>
              <w:jc w:val="center"/>
              <w:rPr>
                <w:b w:val="0"/>
                <w:bCs w:val="0"/>
                <w:highlight w:val="none"/>
              </w:rPr>
            </w:pPr>
            <w:r>
              <w:rPr>
                <w:rFonts w:hint="eastAsia"/>
                <w:b w:val="0"/>
                <w:bCs w:val="0"/>
                <w:highlight w:val="none"/>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pPr>
              <w:jc w:val="center"/>
              <w:rPr>
                <w:b w:val="0"/>
                <w:bCs w:val="0"/>
                <w:highlight w:val="none"/>
              </w:rPr>
            </w:pPr>
            <w:r>
              <w:rPr>
                <w:rFonts w:hint="eastAsia" w:asciiTheme="minorEastAsia" w:hAnsiTheme="minorEastAsia"/>
                <w:b w:val="0"/>
                <w:bCs w:val="0"/>
                <w:sz w:val="24"/>
                <w:szCs w:val="24"/>
                <w:highlight w:val="none"/>
              </w:rPr>
              <w:t>财政预算限额（元）</w:t>
            </w:r>
          </w:p>
        </w:tc>
      </w:tr>
      <w:tr>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pPr>
              <w:jc w:val="center"/>
              <w:rPr>
                <w:rFonts w:asciiTheme="minorEastAsia" w:hAnsiTheme="minorEastAsia"/>
                <w:b w:val="0"/>
                <w:bCs w:val="0"/>
                <w:sz w:val="24"/>
                <w:szCs w:val="24"/>
                <w:highlight w:val="none"/>
              </w:rPr>
            </w:pPr>
            <w:r>
              <w:rPr>
                <w:rFonts w:hint="eastAsia" w:asciiTheme="minorEastAsia" w:hAnsiTheme="minorEastAsia"/>
                <w:b w:val="0"/>
                <w:bCs w:val="0"/>
                <w:sz w:val="24"/>
                <w:szCs w:val="24"/>
                <w:highlight w:val="none"/>
              </w:rPr>
              <w:t>1</w:t>
            </w:r>
          </w:p>
        </w:tc>
        <w:tc>
          <w:tcPr>
            <w:tcW w:w="2693" w:type="dxa"/>
            <w:tcBorders>
              <w:top w:val="single" w:color="000000" w:sz="4" w:space="0"/>
              <w:left w:val="single" w:color="auto" w:sz="4" w:space="0"/>
              <w:bottom w:val="single" w:color="000000" w:sz="4" w:space="0"/>
              <w:right w:val="single" w:color="000000" w:sz="4" w:space="0"/>
            </w:tcBorders>
            <w:vAlign w:val="center"/>
          </w:tcPr>
          <w:p>
            <w:pPr>
              <w:jc w:val="center"/>
              <w:rPr>
                <w:rFonts w:asciiTheme="minorEastAsia" w:hAnsiTheme="minorEastAsia"/>
                <w:b w:val="0"/>
                <w:bCs w:val="0"/>
                <w:sz w:val="24"/>
                <w:szCs w:val="24"/>
                <w:highlight w:val="none"/>
              </w:rPr>
            </w:pPr>
            <w:r>
              <w:rPr>
                <w:rFonts w:hint="eastAsia" w:asciiTheme="minorEastAsia" w:hAnsiTheme="minorEastAsia"/>
                <w:b w:val="0"/>
                <w:bCs w:val="0"/>
                <w:sz w:val="24"/>
                <w:szCs w:val="24"/>
                <w:highlight w:val="none"/>
              </w:rPr>
              <w:t>BAJYJ2024052806016A</w:t>
            </w:r>
          </w:p>
        </w:tc>
        <w:tc>
          <w:tcPr>
            <w:tcW w:w="2906" w:type="dxa"/>
            <w:tcBorders>
              <w:top w:val="single" w:color="000000" w:sz="4" w:space="0"/>
              <w:left w:val="single" w:color="000000" w:sz="4" w:space="0"/>
              <w:right w:val="single" w:color="000000" w:sz="4" w:space="0"/>
            </w:tcBorders>
            <w:vAlign w:val="center"/>
          </w:tcPr>
          <w:p>
            <w:pPr>
              <w:jc w:val="center"/>
              <w:rPr>
                <w:rFonts w:hint="eastAsia" w:eastAsiaTheme="minorEastAsia"/>
                <w:b w:val="0"/>
                <w:bCs w:val="0"/>
                <w:highlight w:val="none"/>
                <w:lang w:eastAsia="zh-CN"/>
              </w:rPr>
            </w:pPr>
            <w:r>
              <w:rPr>
                <w:rFonts w:hint="eastAsia" w:asciiTheme="minorEastAsia" w:hAnsiTheme="minorEastAsia"/>
                <w:b w:val="0"/>
                <w:bCs w:val="0"/>
                <w:sz w:val="24"/>
                <w:szCs w:val="24"/>
                <w:highlight w:val="none"/>
                <w:lang w:eastAsia="zh-CN"/>
              </w:rPr>
              <w:t>深圳市宝安区福永白石厦第三幼儿园(深圳市宝安区福永空港幼儿园)班组设备</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800,000.00</w:t>
            </w:r>
          </w:p>
        </w:tc>
      </w:tr>
      <w:tr>
        <w:tblPrEx>
          <w:tblCellMar>
            <w:top w:w="15" w:type="dxa"/>
            <w:left w:w="15" w:type="dxa"/>
            <w:bottom w:w="15" w:type="dxa"/>
            <w:right w:w="15" w:type="dxa"/>
          </w:tblCellMar>
        </w:tblPrEx>
        <w:trPr>
          <w:trHeight w:val="172" w:hRule="atLeast"/>
          <w:jc w:val="center"/>
        </w:trPr>
        <w:tc>
          <w:tcPr>
            <w:tcW w:w="6309" w:type="dxa"/>
            <w:gridSpan w:val="3"/>
            <w:tcBorders>
              <w:top w:val="single" w:color="000000" w:sz="4" w:space="0"/>
              <w:left w:val="single" w:color="000000" w:sz="4" w:space="0"/>
              <w:bottom w:val="single" w:color="auto" w:sz="4" w:space="0"/>
              <w:right w:val="single" w:color="000000" w:sz="4" w:space="0"/>
            </w:tcBorders>
            <w:vAlign w:val="center"/>
          </w:tcPr>
          <w:p>
            <w:pPr>
              <w:jc w:val="center"/>
              <w:rPr>
                <w:rFonts w:hint="eastAsia" w:eastAsiaTheme="minorEastAsia"/>
                <w:b w:val="0"/>
                <w:bCs w:val="0"/>
                <w:highlight w:val="none"/>
                <w:lang w:val="en-US" w:eastAsia="zh-CN"/>
              </w:rPr>
            </w:pPr>
            <w:r>
              <w:rPr>
                <w:rFonts w:hint="eastAsia"/>
                <w:b w:val="0"/>
                <w:bCs w:val="0"/>
                <w:highlight w:val="none"/>
                <w:lang w:val="en-US" w:eastAsia="zh-CN"/>
              </w:rPr>
              <w:t>合计（元）</w:t>
            </w:r>
          </w:p>
        </w:tc>
        <w:tc>
          <w:tcPr>
            <w:tcW w:w="2622" w:type="dxa"/>
            <w:tcBorders>
              <w:top w:val="single" w:color="000000" w:sz="4" w:space="0"/>
              <w:left w:val="single" w:color="000000" w:sz="4" w:space="0"/>
              <w:bottom w:val="single" w:color="auto" w:sz="4" w:space="0"/>
              <w:right w:val="single" w:color="000000" w:sz="4" w:space="0"/>
            </w:tcBorders>
            <w:vAlign w:val="center"/>
          </w:tcPr>
          <w:p>
            <w:pPr>
              <w:jc w:val="center"/>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800,000.00</w:t>
            </w:r>
          </w:p>
        </w:tc>
      </w:tr>
    </w:tbl>
    <w:p>
      <w:pPr>
        <w:jc w:val="both"/>
        <w:rPr>
          <w:sz w:val="24"/>
          <w:szCs w:val="24"/>
          <w:highlight w:val="none"/>
        </w:rPr>
      </w:pPr>
      <w:r>
        <w:rPr>
          <w:rFonts w:hint="eastAsia" w:ascii="Arial" w:hAnsi="Arial" w:eastAsia="宋体" w:cs="Times New Roman"/>
          <w:b/>
          <w:color w:val="FF0000"/>
          <w:sz w:val="24"/>
          <w:szCs w:val="24"/>
          <w:highlight w:val="none"/>
        </w:rPr>
        <w:t>本项目控制金额为人民币</w:t>
      </w:r>
      <w:r>
        <w:rPr>
          <w:rFonts w:hint="eastAsia" w:ascii="Arial" w:hAnsi="Arial" w:eastAsia="宋体" w:cs="Times New Roman"/>
          <w:b/>
          <w:color w:val="0000FF"/>
          <w:sz w:val="24"/>
          <w:szCs w:val="24"/>
          <w:highlight w:val="none"/>
          <w:lang w:val="en-US" w:eastAsia="zh-CN"/>
        </w:rPr>
        <w:t>800,000.00元</w:t>
      </w:r>
      <w:r>
        <w:rPr>
          <w:rFonts w:hint="eastAsia" w:ascii="Arial" w:hAnsi="Arial" w:eastAsia="宋体" w:cs="Times New Roman"/>
          <w:b/>
          <w:color w:val="FF0000"/>
          <w:sz w:val="24"/>
          <w:szCs w:val="24"/>
          <w:highlight w:val="none"/>
        </w:rPr>
        <w:t>，投标报价超出控制金额将作投标无效处理。</w:t>
      </w:r>
    </w:p>
    <w:p>
      <w:pPr>
        <w:keepNext/>
        <w:keepLines/>
        <w:tabs>
          <w:tab w:val="left" w:pos="1680"/>
        </w:tabs>
        <w:spacing w:before="260" w:afterLines="25"/>
        <w:jc w:val="center"/>
        <w:outlineLvl w:val="2"/>
        <w:rPr>
          <w:rFonts w:ascii="Arial" w:hAnsi="Arial" w:eastAsia="宋体" w:cs="Times New Roman"/>
          <w:b/>
          <w:sz w:val="32"/>
          <w:szCs w:val="32"/>
          <w:highlight w:val="none"/>
        </w:rPr>
      </w:pPr>
      <w:r>
        <w:rPr>
          <w:rFonts w:hint="eastAsia" w:ascii="Arial" w:hAnsi="Arial" w:eastAsia="宋体" w:cs="Times New Roman"/>
          <w:b/>
          <w:sz w:val="32"/>
          <w:szCs w:val="32"/>
          <w:highlight w:val="none"/>
        </w:rPr>
        <w:t>二、货物需求明细</w:t>
      </w:r>
    </w:p>
    <w:p>
      <w:pPr>
        <w:rPr>
          <w:highlight w:val="none"/>
        </w:rPr>
      </w:pPr>
      <w:r>
        <w:rPr>
          <w:rFonts w:hint="eastAsia" w:ascii="宋体" w:hAnsi="宋体"/>
          <w:b/>
          <w:color w:val="FF0000"/>
          <w:sz w:val="32"/>
          <w:szCs w:val="32"/>
          <w:highlight w:val="none"/>
        </w:rPr>
        <w:t>本项目核心产品为：</w:t>
      </w:r>
      <w:r>
        <w:rPr>
          <w:rFonts w:hint="eastAsia" w:ascii="宋体" w:hAnsi="宋体"/>
          <w:b/>
          <w:color w:val="FF0000"/>
          <w:sz w:val="32"/>
          <w:szCs w:val="32"/>
          <w:highlight w:val="none"/>
          <w:u w:val="single"/>
        </w:rPr>
        <w:t xml:space="preserve">  晨谈柜  </w:t>
      </w:r>
    </w:p>
    <w:tbl>
      <w:tblPr>
        <w:tblStyle w:val="16"/>
        <w:tblW w:w="4998" w:type="pct"/>
        <w:jc w:val="center"/>
        <w:tblLayout w:type="autofit"/>
        <w:tblCellMar>
          <w:top w:w="15" w:type="dxa"/>
          <w:left w:w="15" w:type="dxa"/>
          <w:bottom w:w="15" w:type="dxa"/>
          <w:right w:w="15" w:type="dxa"/>
        </w:tblCellMar>
      </w:tblPr>
      <w:tblGrid>
        <w:gridCol w:w="625"/>
        <w:gridCol w:w="3475"/>
        <w:gridCol w:w="692"/>
        <w:gridCol w:w="762"/>
        <w:gridCol w:w="1389"/>
        <w:gridCol w:w="1390"/>
      </w:tblGrid>
      <w:tr>
        <w:tblPrEx>
          <w:tblCellMar>
            <w:top w:w="15" w:type="dxa"/>
            <w:left w:w="15" w:type="dxa"/>
            <w:bottom w:w="15" w:type="dxa"/>
            <w:right w:w="15" w:type="dxa"/>
          </w:tblCellMar>
        </w:tblPrEx>
        <w:trPr>
          <w:trHeight w:val="552" w:hRule="atLeast"/>
          <w:jc w:val="center"/>
        </w:trPr>
        <w:tc>
          <w:tcPr>
            <w:tcW w:w="375" w:type="pct"/>
            <w:tcBorders>
              <w:top w:val="single" w:color="000000" w:sz="4" w:space="0"/>
              <w:left w:val="single" w:color="000000" w:sz="4" w:space="0"/>
              <w:bottom w:val="single" w:color="000000" w:sz="4" w:space="0"/>
              <w:right w:val="single" w:color="auto" w:sz="4" w:space="0"/>
            </w:tcBorders>
            <w:shd w:val="clear" w:color="auto" w:fill="C6D9F0" w:themeFill="text2" w:themeFillTint="33"/>
            <w:vAlign w:val="center"/>
          </w:tcPr>
          <w:p>
            <w:pPr>
              <w:jc w:val="center"/>
              <w:rPr>
                <w:b w:val="0"/>
                <w:bCs w:val="0"/>
                <w:highlight w:val="none"/>
              </w:rPr>
            </w:pPr>
            <w:r>
              <w:rPr>
                <w:rFonts w:hint="eastAsia"/>
                <w:b w:val="0"/>
                <w:bCs w:val="0"/>
                <w:highlight w:val="none"/>
              </w:rPr>
              <w:t>序号</w:t>
            </w:r>
          </w:p>
        </w:tc>
        <w:tc>
          <w:tcPr>
            <w:tcW w:w="2084" w:type="pct"/>
            <w:tcBorders>
              <w:top w:val="single" w:color="000000" w:sz="4" w:space="0"/>
              <w:left w:val="single" w:color="auto" w:sz="4" w:space="0"/>
              <w:bottom w:val="single" w:color="000000" w:sz="4" w:space="0"/>
              <w:right w:val="single" w:color="000000" w:sz="4" w:space="0"/>
            </w:tcBorders>
            <w:shd w:val="clear" w:color="auto" w:fill="C6D9F0" w:themeFill="text2" w:themeFillTint="33"/>
            <w:vAlign w:val="center"/>
          </w:tcPr>
          <w:p>
            <w:pPr>
              <w:jc w:val="center"/>
              <w:rPr>
                <w:b w:val="0"/>
                <w:bCs w:val="0"/>
                <w:highlight w:val="none"/>
              </w:rPr>
            </w:pPr>
            <w:r>
              <w:rPr>
                <w:rFonts w:hint="eastAsia"/>
                <w:b w:val="0"/>
                <w:bCs w:val="0"/>
                <w:highlight w:val="none"/>
                <w:lang w:val="en-US" w:eastAsia="zh-CN"/>
              </w:rPr>
              <w:t>货物</w:t>
            </w:r>
            <w:r>
              <w:rPr>
                <w:rFonts w:hint="eastAsia"/>
                <w:b w:val="0"/>
                <w:bCs w:val="0"/>
                <w:highlight w:val="none"/>
              </w:rPr>
              <w:t>名称（标的名称）</w:t>
            </w:r>
          </w:p>
        </w:tc>
        <w:tc>
          <w:tcPr>
            <w:tcW w:w="415" w:type="pct"/>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pPr>
              <w:jc w:val="center"/>
              <w:rPr>
                <w:b w:val="0"/>
                <w:bCs w:val="0"/>
                <w:highlight w:val="none"/>
              </w:rPr>
            </w:pPr>
            <w:r>
              <w:rPr>
                <w:rFonts w:hint="eastAsia"/>
                <w:b w:val="0"/>
                <w:bCs w:val="0"/>
                <w:highlight w:val="none"/>
              </w:rPr>
              <w:t>数量</w:t>
            </w:r>
          </w:p>
        </w:tc>
        <w:tc>
          <w:tcPr>
            <w:tcW w:w="457" w:type="pct"/>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pPr>
              <w:jc w:val="center"/>
              <w:rPr>
                <w:b w:val="0"/>
                <w:bCs w:val="0"/>
                <w:highlight w:val="none"/>
              </w:rPr>
            </w:pPr>
            <w:r>
              <w:rPr>
                <w:rFonts w:hint="eastAsia"/>
                <w:b w:val="0"/>
                <w:bCs w:val="0"/>
                <w:highlight w:val="none"/>
              </w:rPr>
              <w:t>单位</w:t>
            </w:r>
          </w:p>
        </w:tc>
        <w:tc>
          <w:tcPr>
            <w:tcW w:w="833" w:type="pct"/>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pPr>
              <w:jc w:val="center"/>
              <w:rPr>
                <w:b w:val="0"/>
                <w:bCs w:val="0"/>
                <w:highlight w:val="none"/>
              </w:rPr>
            </w:pPr>
            <w:r>
              <w:rPr>
                <w:rFonts w:hint="eastAsia"/>
                <w:b w:val="0"/>
                <w:bCs w:val="0"/>
                <w:highlight w:val="none"/>
              </w:rPr>
              <w:t>备注</w:t>
            </w:r>
          </w:p>
        </w:tc>
        <w:tc>
          <w:tcPr>
            <w:tcW w:w="833" w:type="pct"/>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pPr>
              <w:jc w:val="center"/>
              <w:rPr>
                <w:b w:val="0"/>
                <w:bCs w:val="0"/>
                <w:highlight w:val="none"/>
              </w:rPr>
            </w:pPr>
            <w:r>
              <w:rPr>
                <w:rFonts w:hint="eastAsia"/>
                <w:b w:val="0"/>
                <w:bCs w:val="0"/>
                <w:highlight w:val="none"/>
              </w:rPr>
              <w:t>所属行业</w:t>
            </w:r>
          </w:p>
        </w:tc>
      </w:tr>
      <w:tr>
        <w:tblPrEx>
          <w:tblCellMar>
            <w:top w:w="15" w:type="dxa"/>
            <w:left w:w="15" w:type="dxa"/>
            <w:bottom w:w="15" w:type="dxa"/>
            <w:right w:w="15" w:type="dxa"/>
          </w:tblCellMar>
        </w:tblPrEx>
        <w:trPr>
          <w:trHeight w:val="317" w:hRule="atLeast"/>
          <w:jc w:val="center"/>
        </w:trPr>
        <w:tc>
          <w:tcPr>
            <w:tcW w:w="6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eastAsiaTheme="minorEastAsia"/>
                <w:b w:val="0"/>
                <w:bCs w:val="0"/>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w:t>
            </w:r>
          </w:p>
        </w:tc>
        <w:tc>
          <w:tcPr>
            <w:tcW w:w="34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幼儿桌</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张</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833" w:type="pct"/>
            <w:tcBorders>
              <w:top w:val="single" w:color="000000" w:sz="4" w:space="0"/>
              <w:left w:val="single" w:color="000000" w:sz="4" w:space="0"/>
              <w:bottom w:val="single" w:color="000000" w:sz="4" w:space="0"/>
              <w:right w:val="single" w:color="000000" w:sz="4" w:space="0"/>
            </w:tcBorders>
            <w:vAlign w:val="center"/>
          </w:tcPr>
          <w:p>
            <w:pPr>
              <w:jc w:val="center"/>
              <w:rPr>
                <w:b w:val="0"/>
                <w:bCs w:val="0"/>
                <w:highlight w:val="none"/>
              </w:rPr>
            </w:pPr>
          </w:p>
        </w:tc>
        <w:tc>
          <w:tcPr>
            <w:tcW w:w="833" w:type="pct"/>
            <w:vMerge w:val="restart"/>
            <w:tcBorders>
              <w:top w:val="single" w:color="000000" w:sz="4" w:space="0"/>
              <w:left w:val="single" w:color="000000" w:sz="4" w:space="0"/>
              <w:right w:val="single" w:color="000000" w:sz="4" w:space="0"/>
            </w:tcBorders>
            <w:vAlign w:val="center"/>
          </w:tcPr>
          <w:p>
            <w:pPr>
              <w:jc w:val="center"/>
              <w:rPr>
                <w:rFonts w:hint="eastAsia" w:eastAsiaTheme="minorEastAsia"/>
                <w:b w:val="0"/>
                <w:bCs w:val="0"/>
                <w:highlight w:val="none"/>
                <w:lang w:val="en-US" w:eastAsia="zh-CN"/>
              </w:rPr>
            </w:pPr>
            <w:r>
              <w:rPr>
                <w:rFonts w:hint="eastAsia"/>
                <w:b w:val="0"/>
                <w:bCs w:val="0"/>
                <w:highlight w:val="none"/>
                <w:lang w:val="en-US" w:eastAsia="zh-CN"/>
              </w:rPr>
              <w:t>工业</w:t>
            </w:r>
          </w:p>
        </w:tc>
      </w:tr>
      <w:tr>
        <w:tblPrEx>
          <w:tblCellMar>
            <w:top w:w="15" w:type="dxa"/>
            <w:left w:w="15" w:type="dxa"/>
            <w:bottom w:w="15" w:type="dxa"/>
            <w:right w:w="15" w:type="dxa"/>
          </w:tblCellMar>
        </w:tblPrEx>
        <w:trPr>
          <w:trHeight w:val="172" w:hRule="atLeast"/>
          <w:jc w:val="center"/>
        </w:trPr>
        <w:tc>
          <w:tcPr>
            <w:tcW w:w="6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eastAsiaTheme="minorEastAsia"/>
                <w:b w:val="0"/>
                <w:bCs w:val="0"/>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2</w:t>
            </w:r>
          </w:p>
        </w:tc>
        <w:tc>
          <w:tcPr>
            <w:tcW w:w="34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圆桌</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张</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833" w:type="pct"/>
            <w:tcBorders>
              <w:top w:val="single" w:color="000000" w:sz="4" w:space="0"/>
              <w:left w:val="single" w:color="000000" w:sz="4" w:space="0"/>
              <w:bottom w:val="single" w:color="000000" w:sz="4" w:space="0"/>
              <w:right w:val="single" w:color="000000" w:sz="4" w:space="0"/>
            </w:tcBorders>
            <w:vAlign w:val="center"/>
          </w:tcPr>
          <w:p>
            <w:pPr>
              <w:jc w:val="center"/>
              <w:rPr>
                <w:b w:val="0"/>
                <w:bCs w:val="0"/>
                <w:highlight w:val="none"/>
              </w:rPr>
            </w:pPr>
          </w:p>
        </w:tc>
        <w:tc>
          <w:tcPr>
            <w:tcW w:w="833" w:type="pct"/>
            <w:vMerge w:val="continue"/>
            <w:tcBorders>
              <w:left w:val="single" w:color="000000" w:sz="4" w:space="0"/>
              <w:right w:val="single" w:color="000000" w:sz="4" w:space="0"/>
            </w:tcBorders>
            <w:vAlign w:val="center"/>
          </w:tcPr>
          <w:p>
            <w:pPr>
              <w:jc w:val="center"/>
              <w:rPr>
                <w:b w:val="0"/>
                <w:bCs w:val="0"/>
                <w:highlight w:val="none"/>
              </w:rPr>
            </w:pPr>
          </w:p>
        </w:tc>
      </w:tr>
      <w:tr>
        <w:tblPrEx>
          <w:tblCellMar>
            <w:top w:w="15" w:type="dxa"/>
            <w:left w:w="15" w:type="dxa"/>
            <w:bottom w:w="15" w:type="dxa"/>
            <w:right w:w="15" w:type="dxa"/>
          </w:tblCellMar>
        </w:tblPrEx>
        <w:trPr>
          <w:trHeight w:val="172" w:hRule="atLeast"/>
          <w:jc w:val="center"/>
        </w:trPr>
        <w:tc>
          <w:tcPr>
            <w:tcW w:w="6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b w:val="0"/>
                <w:bCs w:val="0"/>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3</w:t>
            </w:r>
          </w:p>
        </w:tc>
        <w:tc>
          <w:tcPr>
            <w:tcW w:w="34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eastAsiaTheme="minorEastAsia"/>
                <w:b w:val="0"/>
                <w:bCs w:val="0"/>
                <w:sz w:val="22"/>
                <w:szCs w:val="22"/>
                <w:highlight w:val="none"/>
                <w:lang w:eastAsia="zh-CN"/>
              </w:rPr>
            </w:pPr>
            <w:r>
              <w:rPr>
                <w:rFonts w:hint="eastAsia" w:ascii="宋体" w:hAnsi="宋体" w:eastAsia="宋体" w:cs="宋体"/>
                <w:i w:val="0"/>
                <w:iCs w:val="0"/>
                <w:color w:val="000000"/>
                <w:kern w:val="0"/>
                <w:sz w:val="22"/>
                <w:szCs w:val="22"/>
                <w:highlight w:val="none"/>
                <w:u w:val="none"/>
                <w:lang w:val="en-US" w:eastAsia="zh-CN" w:bidi="ar"/>
              </w:rPr>
              <w:t>半圆桌</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张</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833" w:type="pct"/>
            <w:tcBorders>
              <w:top w:val="single" w:color="000000" w:sz="4" w:space="0"/>
              <w:left w:val="single" w:color="000000" w:sz="4" w:space="0"/>
              <w:bottom w:val="single" w:color="000000" w:sz="4" w:space="0"/>
              <w:right w:val="single" w:color="000000" w:sz="4" w:space="0"/>
            </w:tcBorders>
            <w:vAlign w:val="center"/>
          </w:tcPr>
          <w:p>
            <w:pPr>
              <w:jc w:val="center"/>
              <w:rPr>
                <w:b w:val="0"/>
                <w:bCs w:val="0"/>
                <w:highlight w:val="none"/>
              </w:rPr>
            </w:pPr>
          </w:p>
        </w:tc>
        <w:tc>
          <w:tcPr>
            <w:tcW w:w="833" w:type="pct"/>
            <w:vMerge w:val="continue"/>
            <w:tcBorders>
              <w:left w:val="single" w:color="000000" w:sz="4" w:space="0"/>
              <w:right w:val="single" w:color="000000" w:sz="4" w:space="0"/>
            </w:tcBorders>
            <w:vAlign w:val="center"/>
          </w:tcPr>
          <w:p>
            <w:pPr>
              <w:jc w:val="center"/>
              <w:rPr>
                <w:b w:val="0"/>
                <w:bCs w:val="0"/>
                <w:highlight w:val="none"/>
              </w:rPr>
            </w:pPr>
          </w:p>
        </w:tc>
      </w:tr>
      <w:tr>
        <w:tblPrEx>
          <w:tblCellMar>
            <w:top w:w="15" w:type="dxa"/>
            <w:left w:w="15" w:type="dxa"/>
            <w:bottom w:w="15" w:type="dxa"/>
            <w:right w:w="15" w:type="dxa"/>
          </w:tblCellMar>
        </w:tblPrEx>
        <w:trPr>
          <w:trHeight w:val="172" w:hRule="atLeast"/>
          <w:jc w:val="center"/>
        </w:trPr>
        <w:tc>
          <w:tcPr>
            <w:tcW w:w="6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b w:val="0"/>
                <w:bCs w:val="0"/>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4</w:t>
            </w:r>
          </w:p>
        </w:tc>
        <w:tc>
          <w:tcPr>
            <w:tcW w:w="34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b w:val="0"/>
                <w:bCs w:val="0"/>
                <w:sz w:val="22"/>
                <w:szCs w:val="22"/>
                <w:highlight w:val="none"/>
                <w:lang w:eastAsia="zh-CN"/>
              </w:rPr>
            </w:pPr>
            <w:r>
              <w:rPr>
                <w:rFonts w:hint="eastAsia" w:ascii="宋体" w:hAnsi="宋体" w:eastAsia="宋体" w:cs="宋体"/>
                <w:i w:val="0"/>
                <w:iCs w:val="0"/>
                <w:color w:val="000000"/>
                <w:kern w:val="0"/>
                <w:sz w:val="22"/>
                <w:szCs w:val="22"/>
                <w:highlight w:val="none"/>
                <w:u w:val="none"/>
                <w:lang w:val="en-US" w:eastAsia="zh-CN" w:bidi="ar"/>
              </w:rPr>
              <w:t>梯形桌</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张</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833" w:type="pct"/>
            <w:tcBorders>
              <w:top w:val="single" w:color="000000" w:sz="4" w:space="0"/>
              <w:left w:val="single" w:color="000000" w:sz="4" w:space="0"/>
              <w:bottom w:val="single" w:color="000000" w:sz="4" w:space="0"/>
              <w:right w:val="single" w:color="000000" w:sz="4" w:space="0"/>
            </w:tcBorders>
            <w:vAlign w:val="center"/>
          </w:tcPr>
          <w:p>
            <w:pPr>
              <w:jc w:val="center"/>
              <w:rPr>
                <w:b w:val="0"/>
                <w:bCs w:val="0"/>
                <w:highlight w:val="none"/>
              </w:rPr>
            </w:pPr>
          </w:p>
        </w:tc>
        <w:tc>
          <w:tcPr>
            <w:tcW w:w="833" w:type="pct"/>
            <w:vMerge w:val="continue"/>
            <w:tcBorders>
              <w:left w:val="single" w:color="000000" w:sz="4" w:space="0"/>
              <w:right w:val="single" w:color="000000" w:sz="4" w:space="0"/>
            </w:tcBorders>
            <w:vAlign w:val="center"/>
          </w:tcPr>
          <w:p>
            <w:pPr>
              <w:jc w:val="center"/>
              <w:rPr>
                <w:b w:val="0"/>
                <w:bCs w:val="0"/>
                <w:highlight w:val="none"/>
              </w:rPr>
            </w:pPr>
          </w:p>
        </w:tc>
      </w:tr>
      <w:tr>
        <w:tblPrEx>
          <w:tblCellMar>
            <w:top w:w="15" w:type="dxa"/>
            <w:left w:w="15" w:type="dxa"/>
            <w:bottom w:w="15" w:type="dxa"/>
            <w:right w:w="15" w:type="dxa"/>
          </w:tblCellMar>
        </w:tblPrEx>
        <w:trPr>
          <w:trHeight w:val="172" w:hRule="atLeast"/>
          <w:jc w:val="center"/>
        </w:trPr>
        <w:tc>
          <w:tcPr>
            <w:tcW w:w="6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b w:val="0"/>
                <w:bCs w:val="0"/>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5</w:t>
            </w:r>
          </w:p>
        </w:tc>
        <w:tc>
          <w:tcPr>
            <w:tcW w:w="34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b w:val="0"/>
                <w:bCs w:val="0"/>
                <w:sz w:val="22"/>
                <w:szCs w:val="22"/>
                <w:highlight w:val="none"/>
                <w:lang w:eastAsia="zh-CN"/>
              </w:rPr>
            </w:pPr>
            <w:r>
              <w:rPr>
                <w:rFonts w:hint="eastAsia" w:ascii="宋体" w:hAnsi="宋体" w:eastAsia="宋体" w:cs="宋体"/>
                <w:i w:val="0"/>
                <w:iCs w:val="0"/>
                <w:color w:val="000000"/>
                <w:kern w:val="0"/>
                <w:sz w:val="22"/>
                <w:szCs w:val="22"/>
                <w:highlight w:val="none"/>
                <w:u w:val="none"/>
                <w:lang w:val="en-US" w:eastAsia="zh-CN" w:bidi="ar"/>
              </w:rPr>
              <w:t>幼儿椅</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张</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324</w:t>
            </w:r>
          </w:p>
        </w:tc>
        <w:tc>
          <w:tcPr>
            <w:tcW w:w="833" w:type="pct"/>
            <w:tcBorders>
              <w:top w:val="single" w:color="000000" w:sz="4" w:space="0"/>
              <w:left w:val="single" w:color="000000" w:sz="4" w:space="0"/>
              <w:bottom w:val="single" w:color="000000" w:sz="4" w:space="0"/>
              <w:right w:val="single" w:color="000000" w:sz="4" w:space="0"/>
            </w:tcBorders>
            <w:vAlign w:val="center"/>
          </w:tcPr>
          <w:p>
            <w:pPr>
              <w:jc w:val="center"/>
              <w:rPr>
                <w:b w:val="0"/>
                <w:bCs w:val="0"/>
                <w:highlight w:val="none"/>
              </w:rPr>
            </w:pPr>
          </w:p>
        </w:tc>
        <w:tc>
          <w:tcPr>
            <w:tcW w:w="833" w:type="pct"/>
            <w:vMerge w:val="continue"/>
            <w:tcBorders>
              <w:left w:val="single" w:color="000000" w:sz="4" w:space="0"/>
              <w:right w:val="single" w:color="000000" w:sz="4" w:space="0"/>
            </w:tcBorders>
            <w:vAlign w:val="center"/>
          </w:tcPr>
          <w:p>
            <w:pPr>
              <w:jc w:val="center"/>
              <w:rPr>
                <w:b w:val="0"/>
                <w:bCs w:val="0"/>
                <w:highlight w:val="none"/>
              </w:rPr>
            </w:pPr>
          </w:p>
        </w:tc>
      </w:tr>
      <w:tr>
        <w:tblPrEx>
          <w:tblCellMar>
            <w:top w:w="15" w:type="dxa"/>
            <w:left w:w="15" w:type="dxa"/>
            <w:bottom w:w="15" w:type="dxa"/>
            <w:right w:w="15" w:type="dxa"/>
          </w:tblCellMar>
        </w:tblPrEx>
        <w:trPr>
          <w:trHeight w:val="172" w:hRule="atLeast"/>
          <w:jc w:val="center"/>
        </w:trPr>
        <w:tc>
          <w:tcPr>
            <w:tcW w:w="6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b w:val="0"/>
                <w:bCs w:val="0"/>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6</w:t>
            </w:r>
          </w:p>
        </w:tc>
        <w:tc>
          <w:tcPr>
            <w:tcW w:w="34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b w:val="0"/>
                <w:bCs w:val="0"/>
                <w:sz w:val="22"/>
                <w:szCs w:val="22"/>
                <w:highlight w:val="none"/>
                <w:lang w:eastAsia="zh-CN"/>
              </w:rPr>
            </w:pPr>
            <w:r>
              <w:rPr>
                <w:rFonts w:hint="eastAsia" w:ascii="宋体" w:hAnsi="宋体" w:eastAsia="宋体" w:cs="宋体"/>
                <w:i w:val="0"/>
                <w:iCs w:val="0"/>
                <w:color w:val="000000"/>
                <w:kern w:val="0"/>
                <w:sz w:val="22"/>
                <w:szCs w:val="22"/>
                <w:highlight w:val="none"/>
                <w:u w:val="none"/>
                <w:lang w:val="en-US" w:eastAsia="zh-CN" w:bidi="ar"/>
              </w:rPr>
              <w:t>幼儿柜</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833" w:type="pct"/>
            <w:tcBorders>
              <w:top w:val="single" w:color="000000" w:sz="4" w:space="0"/>
              <w:left w:val="single" w:color="000000" w:sz="4" w:space="0"/>
              <w:bottom w:val="single" w:color="000000" w:sz="4" w:space="0"/>
              <w:right w:val="single" w:color="000000" w:sz="4" w:space="0"/>
            </w:tcBorders>
            <w:vAlign w:val="center"/>
          </w:tcPr>
          <w:p>
            <w:pPr>
              <w:jc w:val="center"/>
              <w:rPr>
                <w:b w:val="0"/>
                <w:bCs w:val="0"/>
                <w:highlight w:val="none"/>
              </w:rPr>
            </w:pPr>
          </w:p>
        </w:tc>
        <w:tc>
          <w:tcPr>
            <w:tcW w:w="833" w:type="pct"/>
            <w:vMerge w:val="continue"/>
            <w:tcBorders>
              <w:left w:val="single" w:color="000000" w:sz="4" w:space="0"/>
              <w:right w:val="single" w:color="000000" w:sz="4" w:space="0"/>
            </w:tcBorders>
            <w:vAlign w:val="center"/>
          </w:tcPr>
          <w:p>
            <w:pPr>
              <w:jc w:val="center"/>
              <w:rPr>
                <w:b w:val="0"/>
                <w:bCs w:val="0"/>
                <w:highlight w:val="none"/>
              </w:rPr>
            </w:pPr>
          </w:p>
        </w:tc>
      </w:tr>
      <w:tr>
        <w:tblPrEx>
          <w:tblCellMar>
            <w:top w:w="15" w:type="dxa"/>
            <w:left w:w="15" w:type="dxa"/>
            <w:bottom w:w="15" w:type="dxa"/>
            <w:right w:w="15" w:type="dxa"/>
          </w:tblCellMar>
        </w:tblPrEx>
        <w:trPr>
          <w:trHeight w:val="172" w:hRule="atLeast"/>
          <w:jc w:val="center"/>
        </w:trPr>
        <w:tc>
          <w:tcPr>
            <w:tcW w:w="6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b w:val="0"/>
                <w:bCs w:val="0"/>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7</w:t>
            </w:r>
          </w:p>
        </w:tc>
        <w:tc>
          <w:tcPr>
            <w:tcW w:w="34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b w:val="0"/>
                <w:bCs w:val="0"/>
                <w:sz w:val="22"/>
                <w:szCs w:val="22"/>
                <w:highlight w:val="none"/>
                <w:lang w:eastAsia="zh-CN"/>
              </w:rPr>
            </w:pPr>
            <w:r>
              <w:rPr>
                <w:rFonts w:hint="eastAsia" w:ascii="宋体" w:hAnsi="宋体" w:eastAsia="宋体" w:cs="宋体"/>
                <w:i w:val="0"/>
                <w:iCs w:val="0"/>
                <w:color w:val="000000"/>
                <w:kern w:val="0"/>
                <w:sz w:val="22"/>
                <w:szCs w:val="22"/>
                <w:highlight w:val="none"/>
                <w:u w:val="none"/>
                <w:lang w:val="en-US" w:eastAsia="zh-CN" w:bidi="ar"/>
              </w:rPr>
              <w:t>3层矮柜</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833" w:type="pct"/>
            <w:tcBorders>
              <w:top w:val="single" w:color="000000" w:sz="4" w:space="0"/>
              <w:left w:val="single" w:color="000000" w:sz="4" w:space="0"/>
              <w:bottom w:val="single" w:color="000000" w:sz="4" w:space="0"/>
              <w:right w:val="single" w:color="000000" w:sz="4" w:space="0"/>
            </w:tcBorders>
            <w:vAlign w:val="center"/>
          </w:tcPr>
          <w:p>
            <w:pPr>
              <w:jc w:val="center"/>
              <w:rPr>
                <w:b w:val="0"/>
                <w:bCs w:val="0"/>
                <w:highlight w:val="none"/>
              </w:rPr>
            </w:pPr>
          </w:p>
        </w:tc>
        <w:tc>
          <w:tcPr>
            <w:tcW w:w="833" w:type="pct"/>
            <w:vMerge w:val="continue"/>
            <w:tcBorders>
              <w:left w:val="single" w:color="000000" w:sz="4" w:space="0"/>
              <w:right w:val="single" w:color="000000" w:sz="4" w:space="0"/>
            </w:tcBorders>
            <w:vAlign w:val="center"/>
          </w:tcPr>
          <w:p>
            <w:pPr>
              <w:jc w:val="center"/>
              <w:rPr>
                <w:b w:val="0"/>
                <w:bCs w:val="0"/>
                <w:highlight w:val="none"/>
              </w:rPr>
            </w:pPr>
          </w:p>
        </w:tc>
      </w:tr>
      <w:tr>
        <w:tblPrEx>
          <w:tblCellMar>
            <w:top w:w="15" w:type="dxa"/>
            <w:left w:w="15" w:type="dxa"/>
            <w:bottom w:w="15" w:type="dxa"/>
            <w:right w:w="15" w:type="dxa"/>
          </w:tblCellMar>
        </w:tblPrEx>
        <w:trPr>
          <w:trHeight w:val="172" w:hRule="atLeast"/>
          <w:jc w:val="center"/>
        </w:trPr>
        <w:tc>
          <w:tcPr>
            <w:tcW w:w="6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b w:val="0"/>
                <w:bCs w:val="0"/>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8</w:t>
            </w:r>
          </w:p>
        </w:tc>
        <w:tc>
          <w:tcPr>
            <w:tcW w:w="34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b w:val="0"/>
                <w:bCs w:val="0"/>
                <w:sz w:val="22"/>
                <w:szCs w:val="22"/>
                <w:highlight w:val="none"/>
                <w:lang w:eastAsia="zh-CN"/>
              </w:rPr>
            </w:pPr>
            <w:r>
              <w:rPr>
                <w:rFonts w:hint="eastAsia" w:ascii="宋体" w:hAnsi="宋体" w:eastAsia="宋体" w:cs="宋体"/>
                <w:i w:val="0"/>
                <w:iCs w:val="0"/>
                <w:color w:val="000000"/>
                <w:kern w:val="0"/>
                <w:sz w:val="22"/>
                <w:szCs w:val="22"/>
                <w:highlight w:val="none"/>
                <w:u w:val="none"/>
                <w:lang w:val="en-US" w:eastAsia="zh-CN" w:bidi="ar"/>
              </w:rPr>
              <w:t>6格分区矮柜</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833" w:type="pct"/>
            <w:tcBorders>
              <w:top w:val="single" w:color="000000" w:sz="4" w:space="0"/>
              <w:left w:val="single" w:color="000000" w:sz="4" w:space="0"/>
              <w:bottom w:val="single" w:color="000000" w:sz="4" w:space="0"/>
              <w:right w:val="single" w:color="000000" w:sz="4" w:space="0"/>
            </w:tcBorders>
            <w:vAlign w:val="center"/>
          </w:tcPr>
          <w:p>
            <w:pPr>
              <w:jc w:val="center"/>
              <w:rPr>
                <w:b w:val="0"/>
                <w:bCs w:val="0"/>
                <w:highlight w:val="none"/>
              </w:rPr>
            </w:pPr>
          </w:p>
        </w:tc>
        <w:tc>
          <w:tcPr>
            <w:tcW w:w="833" w:type="pct"/>
            <w:vMerge w:val="continue"/>
            <w:tcBorders>
              <w:left w:val="single" w:color="000000" w:sz="4" w:space="0"/>
              <w:right w:val="single" w:color="000000" w:sz="4" w:space="0"/>
            </w:tcBorders>
            <w:vAlign w:val="center"/>
          </w:tcPr>
          <w:p>
            <w:pPr>
              <w:jc w:val="center"/>
              <w:rPr>
                <w:b w:val="0"/>
                <w:bCs w:val="0"/>
                <w:highlight w:val="none"/>
              </w:rPr>
            </w:pPr>
          </w:p>
        </w:tc>
      </w:tr>
      <w:tr>
        <w:tblPrEx>
          <w:tblCellMar>
            <w:top w:w="15" w:type="dxa"/>
            <w:left w:w="15" w:type="dxa"/>
            <w:bottom w:w="15" w:type="dxa"/>
            <w:right w:w="15" w:type="dxa"/>
          </w:tblCellMar>
        </w:tblPrEx>
        <w:trPr>
          <w:trHeight w:val="172" w:hRule="atLeast"/>
          <w:jc w:val="center"/>
        </w:trPr>
        <w:tc>
          <w:tcPr>
            <w:tcW w:w="6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b w:val="0"/>
                <w:bCs w:val="0"/>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9</w:t>
            </w:r>
          </w:p>
        </w:tc>
        <w:tc>
          <w:tcPr>
            <w:tcW w:w="34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b w:val="0"/>
                <w:bCs w:val="0"/>
                <w:sz w:val="22"/>
                <w:szCs w:val="22"/>
                <w:highlight w:val="none"/>
                <w:lang w:eastAsia="zh-CN"/>
              </w:rPr>
            </w:pPr>
            <w:r>
              <w:rPr>
                <w:rFonts w:hint="eastAsia" w:ascii="宋体" w:hAnsi="宋体" w:eastAsia="宋体" w:cs="宋体"/>
                <w:i w:val="0"/>
                <w:iCs w:val="0"/>
                <w:color w:val="000000"/>
                <w:kern w:val="0"/>
                <w:sz w:val="22"/>
                <w:szCs w:val="22"/>
                <w:highlight w:val="none"/>
                <w:u w:val="none"/>
                <w:lang w:val="en-US" w:eastAsia="zh-CN" w:bidi="ar"/>
              </w:rPr>
              <w:t>8格万用高柜</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833" w:type="pct"/>
            <w:tcBorders>
              <w:top w:val="single" w:color="000000" w:sz="4" w:space="0"/>
              <w:left w:val="single" w:color="000000" w:sz="4" w:space="0"/>
              <w:bottom w:val="single" w:color="000000" w:sz="4" w:space="0"/>
              <w:right w:val="single" w:color="000000" w:sz="4" w:space="0"/>
            </w:tcBorders>
            <w:vAlign w:val="center"/>
          </w:tcPr>
          <w:p>
            <w:pPr>
              <w:jc w:val="center"/>
              <w:rPr>
                <w:b w:val="0"/>
                <w:bCs w:val="0"/>
                <w:highlight w:val="none"/>
              </w:rPr>
            </w:pPr>
          </w:p>
        </w:tc>
        <w:tc>
          <w:tcPr>
            <w:tcW w:w="833" w:type="pct"/>
            <w:vMerge w:val="continue"/>
            <w:tcBorders>
              <w:left w:val="single" w:color="000000" w:sz="4" w:space="0"/>
              <w:right w:val="single" w:color="000000" w:sz="4" w:space="0"/>
            </w:tcBorders>
            <w:vAlign w:val="center"/>
          </w:tcPr>
          <w:p>
            <w:pPr>
              <w:jc w:val="center"/>
              <w:rPr>
                <w:b w:val="0"/>
                <w:bCs w:val="0"/>
                <w:highlight w:val="none"/>
              </w:rPr>
            </w:pPr>
          </w:p>
        </w:tc>
      </w:tr>
      <w:tr>
        <w:tblPrEx>
          <w:tblCellMar>
            <w:top w:w="15" w:type="dxa"/>
            <w:left w:w="15" w:type="dxa"/>
            <w:bottom w:w="15" w:type="dxa"/>
            <w:right w:w="15" w:type="dxa"/>
          </w:tblCellMar>
        </w:tblPrEx>
        <w:trPr>
          <w:trHeight w:val="172" w:hRule="atLeast"/>
          <w:jc w:val="center"/>
        </w:trPr>
        <w:tc>
          <w:tcPr>
            <w:tcW w:w="6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b w:val="0"/>
                <w:bCs w:val="0"/>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10</w:t>
            </w:r>
          </w:p>
        </w:tc>
        <w:tc>
          <w:tcPr>
            <w:tcW w:w="34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b w:val="0"/>
                <w:bCs w:val="0"/>
                <w:sz w:val="22"/>
                <w:szCs w:val="22"/>
                <w:highlight w:val="none"/>
                <w:lang w:eastAsia="zh-CN"/>
              </w:rPr>
            </w:pPr>
            <w:r>
              <w:rPr>
                <w:rFonts w:hint="eastAsia" w:ascii="宋体" w:hAnsi="宋体" w:eastAsia="宋体" w:cs="宋体"/>
                <w:i w:val="0"/>
                <w:iCs w:val="0"/>
                <w:color w:val="000000"/>
                <w:kern w:val="0"/>
                <w:sz w:val="22"/>
                <w:szCs w:val="22"/>
                <w:highlight w:val="none"/>
                <w:u w:val="none"/>
                <w:lang w:val="en-US" w:eastAsia="zh-CN" w:bidi="ar"/>
              </w:rPr>
              <w:t>弧形矮柜</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833" w:type="pct"/>
            <w:tcBorders>
              <w:top w:val="single" w:color="000000" w:sz="4" w:space="0"/>
              <w:left w:val="single" w:color="000000" w:sz="4" w:space="0"/>
              <w:bottom w:val="single" w:color="000000" w:sz="4" w:space="0"/>
              <w:right w:val="single" w:color="000000" w:sz="4" w:space="0"/>
            </w:tcBorders>
            <w:vAlign w:val="center"/>
          </w:tcPr>
          <w:p>
            <w:pPr>
              <w:jc w:val="center"/>
              <w:rPr>
                <w:b w:val="0"/>
                <w:bCs w:val="0"/>
                <w:highlight w:val="none"/>
              </w:rPr>
            </w:pPr>
          </w:p>
        </w:tc>
        <w:tc>
          <w:tcPr>
            <w:tcW w:w="833" w:type="pct"/>
            <w:vMerge w:val="continue"/>
            <w:tcBorders>
              <w:left w:val="single" w:color="000000" w:sz="4" w:space="0"/>
              <w:right w:val="single" w:color="000000" w:sz="4" w:space="0"/>
            </w:tcBorders>
            <w:vAlign w:val="center"/>
          </w:tcPr>
          <w:p>
            <w:pPr>
              <w:jc w:val="center"/>
              <w:rPr>
                <w:b w:val="0"/>
                <w:bCs w:val="0"/>
                <w:highlight w:val="none"/>
              </w:rPr>
            </w:pPr>
          </w:p>
        </w:tc>
      </w:tr>
      <w:tr>
        <w:tblPrEx>
          <w:tblCellMar>
            <w:top w:w="15" w:type="dxa"/>
            <w:left w:w="15" w:type="dxa"/>
            <w:bottom w:w="15" w:type="dxa"/>
            <w:right w:w="15" w:type="dxa"/>
          </w:tblCellMar>
        </w:tblPrEx>
        <w:trPr>
          <w:trHeight w:val="172" w:hRule="atLeast"/>
          <w:jc w:val="center"/>
        </w:trPr>
        <w:tc>
          <w:tcPr>
            <w:tcW w:w="6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b w:val="0"/>
                <w:bCs w:val="0"/>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11</w:t>
            </w:r>
          </w:p>
        </w:tc>
        <w:tc>
          <w:tcPr>
            <w:tcW w:w="34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b w:val="0"/>
                <w:bCs w:val="0"/>
                <w:sz w:val="22"/>
                <w:szCs w:val="22"/>
                <w:highlight w:val="none"/>
                <w:lang w:eastAsia="zh-CN"/>
              </w:rPr>
            </w:pPr>
            <w:r>
              <w:rPr>
                <w:rFonts w:hint="eastAsia" w:ascii="宋体" w:hAnsi="宋体" w:eastAsia="宋体" w:cs="宋体"/>
                <w:i w:val="0"/>
                <w:iCs w:val="0"/>
                <w:color w:val="000000"/>
                <w:kern w:val="0"/>
                <w:sz w:val="22"/>
                <w:szCs w:val="22"/>
                <w:highlight w:val="none"/>
                <w:u w:val="none"/>
                <w:lang w:val="en-US" w:eastAsia="zh-CN" w:bidi="ar"/>
              </w:rPr>
              <w:t>转角矮柜</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833" w:type="pct"/>
            <w:tcBorders>
              <w:top w:val="single" w:color="000000" w:sz="4" w:space="0"/>
              <w:left w:val="single" w:color="000000" w:sz="4" w:space="0"/>
              <w:bottom w:val="single" w:color="000000" w:sz="4" w:space="0"/>
              <w:right w:val="single" w:color="000000" w:sz="4" w:space="0"/>
            </w:tcBorders>
            <w:vAlign w:val="center"/>
          </w:tcPr>
          <w:p>
            <w:pPr>
              <w:jc w:val="center"/>
              <w:rPr>
                <w:b w:val="0"/>
                <w:bCs w:val="0"/>
                <w:highlight w:val="none"/>
              </w:rPr>
            </w:pPr>
          </w:p>
        </w:tc>
        <w:tc>
          <w:tcPr>
            <w:tcW w:w="833" w:type="pct"/>
            <w:vMerge w:val="continue"/>
            <w:tcBorders>
              <w:left w:val="single" w:color="000000" w:sz="4" w:space="0"/>
              <w:right w:val="single" w:color="000000" w:sz="4" w:space="0"/>
            </w:tcBorders>
            <w:vAlign w:val="center"/>
          </w:tcPr>
          <w:p>
            <w:pPr>
              <w:jc w:val="center"/>
              <w:rPr>
                <w:b w:val="0"/>
                <w:bCs w:val="0"/>
                <w:highlight w:val="none"/>
              </w:rPr>
            </w:pPr>
          </w:p>
        </w:tc>
      </w:tr>
      <w:tr>
        <w:tblPrEx>
          <w:tblCellMar>
            <w:top w:w="15" w:type="dxa"/>
            <w:left w:w="15" w:type="dxa"/>
            <w:bottom w:w="15" w:type="dxa"/>
            <w:right w:w="15" w:type="dxa"/>
          </w:tblCellMar>
        </w:tblPrEx>
        <w:trPr>
          <w:trHeight w:val="172" w:hRule="atLeast"/>
          <w:jc w:val="center"/>
        </w:trPr>
        <w:tc>
          <w:tcPr>
            <w:tcW w:w="6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b w:val="0"/>
                <w:bCs w:val="0"/>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12</w:t>
            </w:r>
          </w:p>
        </w:tc>
        <w:tc>
          <w:tcPr>
            <w:tcW w:w="34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b w:val="0"/>
                <w:bCs w:val="0"/>
                <w:sz w:val="22"/>
                <w:szCs w:val="22"/>
                <w:highlight w:val="none"/>
                <w:lang w:eastAsia="zh-CN"/>
              </w:rPr>
            </w:pPr>
            <w:r>
              <w:rPr>
                <w:rFonts w:hint="eastAsia" w:ascii="宋体" w:hAnsi="宋体" w:eastAsia="宋体" w:cs="宋体"/>
                <w:i w:val="0"/>
                <w:iCs w:val="0"/>
                <w:color w:val="000000"/>
                <w:kern w:val="0"/>
                <w:sz w:val="22"/>
                <w:szCs w:val="22"/>
                <w:highlight w:val="none"/>
                <w:u w:val="none"/>
                <w:lang w:val="en-US" w:eastAsia="zh-CN" w:bidi="ar"/>
              </w:rPr>
              <w:t>3层高柜</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833" w:type="pct"/>
            <w:tcBorders>
              <w:top w:val="single" w:color="000000" w:sz="4" w:space="0"/>
              <w:left w:val="single" w:color="000000" w:sz="4" w:space="0"/>
              <w:bottom w:val="single" w:color="000000" w:sz="4" w:space="0"/>
              <w:right w:val="single" w:color="000000" w:sz="4" w:space="0"/>
            </w:tcBorders>
            <w:vAlign w:val="center"/>
          </w:tcPr>
          <w:p>
            <w:pPr>
              <w:jc w:val="center"/>
              <w:rPr>
                <w:b w:val="0"/>
                <w:bCs w:val="0"/>
                <w:highlight w:val="none"/>
              </w:rPr>
            </w:pPr>
          </w:p>
        </w:tc>
        <w:tc>
          <w:tcPr>
            <w:tcW w:w="833" w:type="pct"/>
            <w:vMerge w:val="continue"/>
            <w:tcBorders>
              <w:left w:val="single" w:color="000000" w:sz="4" w:space="0"/>
              <w:right w:val="single" w:color="000000" w:sz="4" w:space="0"/>
            </w:tcBorders>
            <w:vAlign w:val="center"/>
          </w:tcPr>
          <w:p>
            <w:pPr>
              <w:jc w:val="center"/>
              <w:rPr>
                <w:b w:val="0"/>
                <w:bCs w:val="0"/>
                <w:highlight w:val="none"/>
              </w:rPr>
            </w:pPr>
          </w:p>
        </w:tc>
      </w:tr>
      <w:tr>
        <w:tblPrEx>
          <w:tblCellMar>
            <w:top w:w="15" w:type="dxa"/>
            <w:left w:w="15" w:type="dxa"/>
            <w:bottom w:w="15" w:type="dxa"/>
            <w:right w:w="15" w:type="dxa"/>
          </w:tblCellMar>
        </w:tblPrEx>
        <w:trPr>
          <w:trHeight w:val="172" w:hRule="atLeast"/>
          <w:jc w:val="center"/>
        </w:trPr>
        <w:tc>
          <w:tcPr>
            <w:tcW w:w="6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b w:val="0"/>
                <w:bCs w:val="0"/>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13</w:t>
            </w:r>
          </w:p>
        </w:tc>
        <w:tc>
          <w:tcPr>
            <w:tcW w:w="34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b w:val="0"/>
                <w:bCs w:val="0"/>
                <w:sz w:val="22"/>
                <w:szCs w:val="22"/>
                <w:highlight w:val="none"/>
                <w:lang w:eastAsia="zh-CN"/>
              </w:rPr>
            </w:pPr>
            <w:r>
              <w:rPr>
                <w:rFonts w:hint="eastAsia" w:ascii="宋体" w:hAnsi="宋体" w:eastAsia="宋体" w:cs="宋体"/>
                <w:i w:val="0"/>
                <w:iCs w:val="0"/>
                <w:color w:val="000000"/>
                <w:kern w:val="0"/>
                <w:sz w:val="22"/>
                <w:szCs w:val="22"/>
                <w:highlight w:val="none"/>
                <w:u w:val="none"/>
                <w:lang w:val="en-US" w:eastAsia="zh-CN" w:bidi="ar"/>
              </w:rPr>
              <w:t>阶梯组合柜</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833" w:type="pct"/>
            <w:tcBorders>
              <w:top w:val="single" w:color="000000" w:sz="4" w:space="0"/>
              <w:left w:val="single" w:color="000000" w:sz="4" w:space="0"/>
              <w:bottom w:val="single" w:color="000000" w:sz="4" w:space="0"/>
              <w:right w:val="single" w:color="000000" w:sz="4" w:space="0"/>
            </w:tcBorders>
            <w:vAlign w:val="center"/>
          </w:tcPr>
          <w:p>
            <w:pPr>
              <w:jc w:val="center"/>
              <w:rPr>
                <w:b w:val="0"/>
                <w:bCs w:val="0"/>
                <w:highlight w:val="none"/>
              </w:rPr>
            </w:pPr>
          </w:p>
        </w:tc>
        <w:tc>
          <w:tcPr>
            <w:tcW w:w="833" w:type="pct"/>
            <w:vMerge w:val="continue"/>
            <w:tcBorders>
              <w:left w:val="single" w:color="000000" w:sz="4" w:space="0"/>
              <w:right w:val="single" w:color="000000" w:sz="4" w:space="0"/>
            </w:tcBorders>
            <w:vAlign w:val="center"/>
          </w:tcPr>
          <w:p>
            <w:pPr>
              <w:jc w:val="center"/>
              <w:rPr>
                <w:b w:val="0"/>
                <w:bCs w:val="0"/>
                <w:highlight w:val="none"/>
              </w:rPr>
            </w:pPr>
          </w:p>
        </w:tc>
      </w:tr>
      <w:tr>
        <w:tblPrEx>
          <w:tblCellMar>
            <w:top w:w="15" w:type="dxa"/>
            <w:left w:w="15" w:type="dxa"/>
            <w:bottom w:w="15" w:type="dxa"/>
            <w:right w:w="15" w:type="dxa"/>
          </w:tblCellMar>
        </w:tblPrEx>
        <w:trPr>
          <w:trHeight w:val="172" w:hRule="atLeast"/>
          <w:jc w:val="center"/>
        </w:trPr>
        <w:tc>
          <w:tcPr>
            <w:tcW w:w="6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b w:val="0"/>
                <w:bCs w:val="0"/>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14</w:t>
            </w:r>
          </w:p>
        </w:tc>
        <w:tc>
          <w:tcPr>
            <w:tcW w:w="34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b w:val="0"/>
                <w:bCs w:val="0"/>
                <w:sz w:val="22"/>
                <w:szCs w:val="22"/>
                <w:highlight w:val="none"/>
                <w:lang w:eastAsia="zh-CN"/>
              </w:rPr>
            </w:pPr>
            <w:r>
              <w:rPr>
                <w:rFonts w:hint="eastAsia" w:ascii="宋体" w:hAnsi="宋体" w:eastAsia="宋体" w:cs="宋体"/>
                <w:i w:val="0"/>
                <w:iCs w:val="0"/>
                <w:color w:val="000000"/>
                <w:kern w:val="0"/>
                <w:sz w:val="22"/>
                <w:szCs w:val="22"/>
                <w:highlight w:val="none"/>
                <w:u w:val="none"/>
                <w:lang w:val="en-US" w:eastAsia="zh-CN" w:bidi="ar"/>
              </w:rPr>
              <w:t>2层弧形转角矮柜</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833" w:type="pct"/>
            <w:tcBorders>
              <w:top w:val="single" w:color="000000" w:sz="4" w:space="0"/>
              <w:left w:val="single" w:color="000000" w:sz="4" w:space="0"/>
              <w:bottom w:val="single" w:color="000000" w:sz="4" w:space="0"/>
              <w:right w:val="single" w:color="000000" w:sz="4" w:space="0"/>
            </w:tcBorders>
            <w:vAlign w:val="center"/>
          </w:tcPr>
          <w:p>
            <w:pPr>
              <w:jc w:val="center"/>
              <w:rPr>
                <w:b w:val="0"/>
                <w:bCs w:val="0"/>
                <w:highlight w:val="none"/>
              </w:rPr>
            </w:pPr>
          </w:p>
        </w:tc>
        <w:tc>
          <w:tcPr>
            <w:tcW w:w="833" w:type="pct"/>
            <w:vMerge w:val="continue"/>
            <w:tcBorders>
              <w:left w:val="single" w:color="000000" w:sz="4" w:space="0"/>
              <w:right w:val="single" w:color="000000" w:sz="4" w:space="0"/>
            </w:tcBorders>
            <w:vAlign w:val="center"/>
          </w:tcPr>
          <w:p>
            <w:pPr>
              <w:jc w:val="center"/>
              <w:rPr>
                <w:b w:val="0"/>
                <w:bCs w:val="0"/>
                <w:highlight w:val="none"/>
              </w:rPr>
            </w:pPr>
          </w:p>
        </w:tc>
      </w:tr>
      <w:tr>
        <w:tblPrEx>
          <w:tblCellMar>
            <w:top w:w="15" w:type="dxa"/>
            <w:left w:w="15" w:type="dxa"/>
            <w:bottom w:w="15" w:type="dxa"/>
            <w:right w:w="15" w:type="dxa"/>
          </w:tblCellMar>
        </w:tblPrEx>
        <w:trPr>
          <w:trHeight w:val="172" w:hRule="atLeast"/>
          <w:jc w:val="center"/>
        </w:trPr>
        <w:tc>
          <w:tcPr>
            <w:tcW w:w="6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b w:val="0"/>
                <w:bCs w:val="0"/>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15</w:t>
            </w:r>
          </w:p>
        </w:tc>
        <w:tc>
          <w:tcPr>
            <w:tcW w:w="34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b w:val="0"/>
                <w:bCs w:val="0"/>
                <w:sz w:val="22"/>
                <w:szCs w:val="22"/>
                <w:highlight w:val="none"/>
                <w:lang w:eastAsia="zh-CN"/>
              </w:rPr>
            </w:pPr>
            <w:r>
              <w:rPr>
                <w:rFonts w:hint="eastAsia" w:ascii="宋体" w:hAnsi="宋体" w:eastAsia="宋体" w:cs="宋体"/>
                <w:i w:val="0"/>
                <w:iCs w:val="0"/>
                <w:color w:val="000000"/>
                <w:kern w:val="0"/>
                <w:sz w:val="22"/>
                <w:szCs w:val="22"/>
                <w:highlight w:val="none"/>
                <w:u w:val="none"/>
                <w:lang w:val="en-US" w:eastAsia="zh-CN" w:bidi="ar"/>
              </w:rPr>
              <w:t>5格分区矮柜</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833" w:type="pct"/>
            <w:tcBorders>
              <w:top w:val="single" w:color="000000" w:sz="4" w:space="0"/>
              <w:left w:val="single" w:color="000000" w:sz="4" w:space="0"/>
              <w:bottom w:val="single" w:color="000000" w:sz="4" w:space="0"/>
              <w:right w:val="single" w:color="000000" w:sz="4" w:space="0"/>
            </w:tcBorders>
            <w:vAlign w:val="center"/>
          </w:tcPr>
          <w:p>
            <w:pPr>
              <w:jc w:val="center"/>
              <w:rPr>
                <w:b w:val="0"/>
                <w:bCs w:val="0"/>
                <w:highlight w:val="none"/>
              </w:rPr>
            </w:pPr>
          </w:p>
        </w:tc>
        <w:tc>
          <w:tcPr>
            <w:tcW w:w="833" w:type="pct"/>
            <w:vMerge w:val="continue"/>
            <w:tcBorders>
              <w:left w:val="single" w:color="000000" w:sz="4" w:space="0"/>
              <w:right w:val="single" w:color="000000" w:sz="4" w:space="0"/>
            </w:tcBorders>
            <w:vAlign w:val="center"/>
          </w:tcPr>
          <w:p>
            <w:pPr>
              <w:jc w:val="center"/>
              <w:rPr>
                <w:b w:val="0"/>
                <w:bCs w:val="0"/>
                <w:highlight w:val="none"/>
              </w:rPr>
            </w:pPr>
          </w:p>
        </w:tc>
      </w:tr>
      <w:tr>
        <w:tblPrEx>
          <w:tblCellMar>
            <w:top w:w="15" w:type="dxa"/>
            <w:left w:w="15" w:type="dxa"/>
            <w:bottom w:w="15" w:type="dxa"/>
            <w:right w:w="15" w:type="dxa"/>
          </w:tblCellMar>
        </w:tblPrEx>
        <w:trPr>
          <w:trHeight w:val="172" w:hRule="atLeast"/>
          <w:jc w:val="center"/>
        </w:trPr>
        <w:tc>
          <w:tcPr>
            <w:tcW w:w="6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b w:val="0"/>
                <w:bCs w:val="0"/>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16</w:t>
            </w:r>
          </w:p>
        </w:tc>
        <w:tc>
          <w:tcPr>
            <w:tcW w:w="34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b w:val="0"/>
                <w:bCs w:val="0"/>
                <w:sz w:val="22"/>
                <w:szCs w:val="22"/>
                <w:highlight w:val="none"/>
                <w:lang w:eastAsia="zh-CN"/>
              </w:rPr>
            </w:pPr>
            <w:r>
              <w:rPr>
                <w:rFonts w:hint="eastAsia" w:ascii="宋体" w:hAnsi="宋体" w:eastAsia="宋体" w:cs="宋体"/>
                <w:i w:val="0"/>
                <w:iCs w:val="0"/>
                <w:color w:val="000000"/>
                <w:kern w:val="0"/>
                <w:sz w:val="22"/>
                <w:szCs w:val="22"/>
                <w:highlight w:val="none"/>
                <w:u w:val="none"/>
                <w:lang w:val="en-US" w:eastAsia="zh-CN" w:bidi="ar"/>
              </w:rPr>
              <w:t>3层短柜高柜</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833" w:type="pct"/>
            <w:tcBorders>
              <w:top w:val="single" w:color="000000" w:sz="4" w:space="0"/>
              <w:left w:val="single" w:color="000000" w:sz="4" w:space="0"/>
              <w:bottom w:val="single" w:color="000000" w:sz="4" w:space="0"/>
              <w:right w:val="single" w:color="000000" w:sz="4" w:space="0"/>
            </w:tcBorders>
            <w:vAlign w:val="center"/>
          </w:tcPr>
          <w:p>
            <w:pPr>
              <w:jc w:val="center"/>
              <w:rPr>
                <w:b w:val="0"/>
                <w:bCs w:val="0"/>
                <w:highlight w:val="none"/>
              </w:rPr>
            </w:pPr>
          </w:p>
        </w:tc>
        <w:tc>
          <w:tcPr>
            <w:tcW w:w="833" w:type="pct"/>
            <w:vMerge w:val="continue"/>
            <w:tcBorders>
              <w:left w:val="single" w:color="000000" w:sz="4" w:space="0"/>
              <w:right w:val="single" w:color="000000" w:sz="4" w:space="0"/>
            </w:tcBorders>
            <w:vAlign w:val="center"/>
          </w:tcPr>
          <w:p>
            <w:pPr>
              <w:jc w:val="center"/>
              <w:rPr>
                <w:b w:val="0"/>
                <w:bCs w:val="0"/>
                <w:highlight w:val="none"/>
              </w:rPr>
            </w:pPr>
          </w:p>
        </w:tc>
      </w:tr>
      <w:tr>
        <w:tblPrEx>
          <w:tblCellMar>
            <w:top w:w="15" w:type="dxa"/>
            <w:left w:w="15" w:type="dxa"/>
            <w:bottom w:w="15" w:type="dxa"/>
            <w:right w:w="15" w:type="dxa"/>
          </w:tblCellMar>
        </w:tblPrEx>
        <w:trPr>
          <w:trHeight w:val="172" w:hRule="atLeast"/>
          <w:jc w:val="center"/>
        </w:trPr>
        <w:tc>
          <w:tcPr>
            <w:tcW w:w="6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b w:val="0"/>
                <w:bCs w:val="0"/>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17</w:t>
            </w:r>
          </w:p>
        </w:tc>
        <w:tc>
          <w:tcPr>
            <w:tcW w:w="34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b w:val="0"/>
                <w:bCs w:val="0"/>
                <w:sz w:val="22"/>
                <w:szCs w:val="22"/>
                <w:highlight w:val="none"/>
                <w:lang w:eastAsia="zh-CN"/>
              </w:rPr>
            </w:pPr>
            <w:r>
              <w:rPr>
                <w:rFonts w:hint="eastAsia" w:ascii="宋体" w:hAnsi="宋体" w:eastAsia="宋体" w:cs="宋体"/>
                <w:i w:val="0"/>
                <w:iCs w:val="0"/>
                <w:color w:val="000000"/>
                <w:kern w:val="0"/>
                <w:sz w:val="22"/>
                <w:szCs w:val="22"/>
                <w:highlight w:val="none"/>
                <w:u w:val="none"/>
                <w:lang w:val="en-US" w:eastAsia="zh-CN" w:bidi="ar"/>
              </w:rPr>
              <w:t>晾干柜</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833" w:type="pct"/>
            <w:tcBorders>
              <w:top w:val="single" w:color="000000" w:sz="4" w:space="0"/>
              <w:left w:val="single" w:color="000000" w:sz="4" w:space="0"/>
              <w:bottom w:val="single" w:color="000000" w:sz="4" w:space="0"/>
              <w:right w:val="single" w:color="000000" w:sz="4" w:space="0"/>
            </w:tcBorders>
            <w:vAlign w:val="center"/>
          </w:tcPr>
          <w:p>
            <w:pPr>
              <w:jc w:val="center"/>
              <w:rPr>
                <w:b w:val="0"/>
                <w:bCs w:val="0"/>
                <w:highlight w:val="none"/>
              </w:rPr>
            </w:pPr>
          </w:p>
        </w:tc>
        <w:tc>
          <w:tcPr>
            <w:tcW w:w="833" w:type="pct"/>
            <w:vMerge w:val="continue"/>
            <w:tcBorders>
              <w:left w:val="single" w:color="000000" w:sz="4" w:space="0"/>
              <w:right w:val="single" w:color="000000" w:sz="4" w:space="0"/>
            </w:tcBorders>
            <w:vAlign w:val="center"/>
          </w:tcPr>
          <w:p>
            <w:pPr>
              <w:jc w:val="center"/>
              <w:rPr>
                <w:b w:val="0"/>
                <w:bCs w:val="0"/>
                <w:highlight w:val="none"/>
              </w:rPr>
            </w:pPr>
          </w:p>
        </w:tc>
      </w:tr>
      <w:tr>
        <w:tblPrEx>
          <w:tblCellMar>
            <w:top w:w="15" w:type="dxa"/>
            <w:left w:w="15" w:type="dxa"/>
            <w:bottom w:w="15" w:type="dxa"/>
            <w:right w:w="15" w:type="dxa"/>
          </w:tblCellMar>
        </w:tblPrEx>
        <w:trPr>
          <w:trHeight w:val="172" w:hRule="atLeast"/>
          <w:jc w:val="center"/>
        </w:trPr>
        <w:tc>
          <w:tcPr>
            <w:tcW w:w="6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b w:val="0"/>
                <w:bCs w:val="0"/>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18</w:t>
            </w:r>
          </w:p>
        </w:tc>
        <w:tc>
          <w:tcPr>
            <w:tcW w:w="34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b w:val="0"/>
                <w:bCs w:val="0"/>
                <w:sz w:val="22"/>
                <w:szCs w:val="22"/>
                <w:highlight w:val="none"/>
                <w:lang w:eastAsia="zh-CN"/>
              </w:rPr>
            </w:pPr>
            <w:r>
              <w:rPr>
                <w:rFonts w:hint="eastAsia" w:ascii="宋体" w:hAnsi="宋体" w:cs="宋体"/>
                <w:i w:val="0"/>
                <w:iCs w:val="0"/>
                <w:color w:val="000000"/>
                <w:kern w:val="0"/>
                <w:sz w:val="22"/>
                <w:szCs w:val="22"/>
                <w:highlight w:val="none"/>
                <w:u w:val="none"/>
                <w:lang w:val="en-US" w:eastAsia="zh-CN" w:bidi="ar"/>
              </w:rPr>
              <w:t>用具</w:t>
            </w:r>
            <w:r>
              <w:rPr>
                <w:rFonts w:hint="eastAsia" w:ascii="宋体" w:hAnsi="宋体" w:eastAsia="宋体" w:cs="宋体"/>
                <w:i w:val="0"/>
                <w:iCs w:val="0"/>
                <w:color w:val="000000"/>
                <w:kern w:val="0"/>
                <w:sz w:val="22"/>
                <w:szCs w:val="22"/>
                <w:highlight w:val="none"/>
                <w:u w:val="none"/>
                <w:lang w:val="en-US" w:eastAsia="zh-CN" w:bidi="ar"/>
              </w:rPr>
              <w:t>收纳柜</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833" w:type="pct"/>
            <w:tcBorders>
              <w:top w:val="single" w:color="000000" w:sz="4" w:space="0"/>
              <w:left w:val="single" w:color="000000" w:sz="4" w:space="0"/>
              <w:bottom w:val="single" w:color="000000" w:sz="4" w:space="0"/>
              <w:right w:val="single" w:color="000000" w:sz="4" w:space="0"/>
            </w:tcBorders>
            <w:vAlign w:val="center"/>
          </w:tcPr>
          <w:p>
            <w:pPr>
              <w:jc w:val="center"/>
              <w:rPr>
                <w:b w:val="0"/>
                <w:bCs w:val="0"/>
                <w:highlight w:val="none"/>
              </w:rPr>
            </w:pPr>
          </w:p>
        </w:tc>
        <w:tc>
          <w:tcPr>
            <w:tcW w:w="833" w:type="pct"/>
            <w:vMerge w:val="continue"/>
            <w:tcBorders>
              <w:left w:val="single" w:color="000000" w:sz="4" w:space="0"/>
              <w:right w:val="single" w:color="000000" w:sz="4" w:space="0"/>
            </w:tcBorders>
            <w:vAlign w:val="center"/>
          </w:tcPr>
          <w:p>
            <w:pPr>
              <w:jc w:val="center"/>
              <w:rPr>
                <w:b w:val="0"/>
                <w:bCs w:val="0"/>
                <w:highlight w:val="none"/>
              </w:rPr>
            </w:pPr>
          </w:p>
        </w:tc>
      </w:tr>
      <w:tr>
        <w:tblPrEx>
          <w:tblCellMar>
            <w:top w:w="15" w:type="dxa"/>
            <w:left w:w="15" w:type="dxa"/>
            <w:bottom w:w="15" w:type="dxa"/>
            <w:right w:w="15" w:type="dxa"/>
          </w:tblCellMar>
        </w:tblPrEx>
        <w:trPr>
          <w:trHeight w:val="172" w:hRule="atLeast"/>
          <w:jc w:val="center"/>
        </w:trPr>
        <w:tc>
          <w:tcPr>
            <w:tcW w:w="6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b w:val="0"/>
                <w:bCs w:val="0"/>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19</w:t>
            </w:r>
          </w:p>
        </w:tc>
        <w:tc>
          <w:tcPr>
            <w:tcW w:w="34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b w:val="0"/>
                <w:bCs w:val="0"/>
                <w:sz w:val="22"/>
                <w:szCs w:val="22"/>
                <w:highlight w:val="none"/>
                <w:lang w:eastAsia="zh-CN"/>
              </w:rPr>
            </w:pPr>
            <w:r>
              <w:rPr>
                <w:rFonts w:hint="eastAsia" w:ascii="宋体" w:hAnsi="宋体" w:eastAsia="宋体" w:cs="宋体"/>
                <w:i w:val="0"/>
                <w:iCs w:val="0"/>
                <w:color w:val="000000"/>
                <w:kern w:val="0"/>
                <w:sz w:val="22"/>
                <w:szCs w:val="22"/>
                <w:highlight w:val="none"/>
                <w:u w:val="none"/>
                <w:lang w:val="en-US" w:eastAsia="zh-CN" w:bidi="ar"/>
              </w:rPr>
              <w:t>实验柜</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张</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833" w:type="pct"/>
            <w:tcBorders>
              <w:top w:val="single" w:color="000000" w:sz="4" w:space="0"/>
              <w:left w:val="single" w:color="000000" w:sz="4" w:space="0"/>
              <w:bottom w:val="single" w:color="000000" w:sz="4" w:space="0"/>
              <w:right w:val="single" w:color="000000" w:sz="4" w:space="0"/>
            </w:tcBorders>
            <w:vAlign w:val="center"/>
          </w:tcPr>
          <w:p>
            <w:pPr>
              <w:jc w:val="center"/>
              <w:rPr>
                <w:b w:val="0"/>
                <w:bCs w:val="0"/>
                <w:highlight w:val="none"/>
              </w:rPr>
            </w:pPr>
          </w:p>
        </w:tc>
        <w:tc>
          <w:tcPr>
            <w:tcW w:w="833" w:type="pct"/>
            <w:vMerge w:val="continue"/>
            <w:tcBorders>
              <w:left w:val="single" w:color="000000" w:sz="4" w:space="0"/>
              <w:right w:val="single" w:color="000000" w:sz="4" w:space="0"/>
            </w:tcBorders>
            <w:vAlign w:val="center"/>
          </w:tcPr>
          <w:p>
            <w:pPr>
              <w:jc w:val="center"/>
              <w:rPr>
                <w:b w:val="0"/>
                <w:bCs w:val="0"/>
                <w:highlight w:val="none"/>
              </w:rPr>
            </w:pPr>
          </w:p>
        </w:tc>
      </w:tr>
      <w:tr>
        <w:tblPrEx>
          <w:tblCellMar>
            <w:top w:w="15" w:type="dxa"/>
            <w:left w:w="15" w:type="dxa"/>
            <w:bottom w:w="15" w:type="dxa"/>
            <w:right w:w="15" w:type="dxa"/>
          </w:tblCellMar>
        </w:tblPrEx>
        <w:trPr>
          <w:trHeight w:val="172" w:hRule="atLeast"/>
          <w:jc w:val="center"/>
        </w:trPr>
        <w:tc>
          <w:tcPr>
            <w:tcW w:w="6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b w:val="0"/>
                <w:bCs w:val="0"/>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20</w:t>
            </w:r>
          </w:p>
        </w:tc>
        <w:tc>
          <w:tcPr>
            <w:tcW w:w="34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b w:val="0"/>
                <w:bCs w:val="0"/>
                <w:sz w:val="22"/>
                <w:szCs w:val="22"/>
                <w:highlight w:val="none"/>
                <w:lang w:eastAsia="zh-CN"/>
              </w:rPr>
            </w:pPr>
            <w:r>
              <w:rPr>
                <w:rFonts w:hint="eastAsia" w:ascii="宋体" w:hAnsi="宋体" w:eastAsia="宋体" w:cs="宋体"/>
                <w:i w:val="0"/>
                <w:iCs w:val="0"/>
                <w:color w:val="000000"/>
                <w:kern w:val="0"/>
                <w:sz w:val="22"/>
                <w:szCs w:val="22"/>
                <w:highlight w:val="none"/>
                <w:u w:val="none"/>
                <w:lang w:val="en-US" w:eastAsia="zh-CN" w:bidi="ar"/>
              </w:rPr>
              <w:t>书架</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833" w:type="pct"/>
            <w:tcBorders>
              <w:top w:val="single" w:color="000000" w:sz="4" w:space="0"/>
              <w:left w:val="single" w:color="000000" w:sz="4" w:space="0"/>
              <w:bottom w:val="single" w:color="000000" w:sz="4" w:space="0"/>
              <w:right w:val="single" w:color="000000" w:sz="4" w:space="0"/>
            </w:tcBorders>
            <w:vAlign w:val="center"/>
          </w:tcPr>
          <w:p>
            <w:pPr>
              <w:jc w:val="center"/>
              <w:rPr>
                <w:b w:val="0"/>
                <w:bCs w:val="0"/>
                <w:highlight w:val="none"/>
              </w:rPr>
            </w:pPr>
          </w:p>
        </w:tc>
        <w:tc>
          <w:tcPr>
            <w:tcW w:w="833" w:type="pct"/>
            <w:vMerge w:val="continue"/>
            <w:tcBorders>
              <w:left w:val="single" w:color="000000" w:sz="4" w:space="0"/>
              <w:right w:val="single" w:color="000000" w:sz="4" w:space="0"/>
            </w:tcBorders>
            <w:vAlign w:val="center"/>
          </w:tcPr>
          <w:p>
            <w:pPr>
              <w:jc w:val="center"/>
              <w:rPr>
                <w:b w:val="0"/>
                <w:bCs w:val="0"/>
                <w:highlight w:val="none"/>
              </w:rPr>
            </w:pPr>
          </w:p>
        </w:tc>
      </w:tr>
      <w:tr>
        <w:tblPrEx>
          <w:tblCellMar>
            <w:top w:w="15" w:type="dxa"/>
            <w:left w:w="15" w:type="dxa"/>
            <w:bottom w:w="15" w:type="dxa"/>
            <w:right w:w="15" w:type="dxa"/>
          </w:tblCellMar>
        </w:tblPrEx>
        <w:trPr>
          <w:trHeight w:val="172" w:hRule="atLeast"/>
          <w:jc w:val="center"/>
        </w:trPr>
        <w:tc>
          <w:tcPr>
            <w:tcW w:w="6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b w:val="0"/>
                <w:bCs w:val="0"/>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21</w:t>
            </w:r>
          </w:p>
        </w:tc>
        <w:tc>
          <w:tcPr>
            <w:tcW w:w="34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b w:val="0"/>
                <w:bCs w:val="0"/>
                <w:sz w:val="22"/>
                <w:szCs w:val="22"/>
                <w:highlight w:val="none"/>
                <w:lang w:eastAsia="zh-CN"/>
              </w:rPr>
            </w:pPr>
            <w:r>
              <w:rPr>
                <w:rFonts w:hint="eastAsia" w:ascii="宋体" w:hAnsi="宋体" w:eastAsia="宋体" w:cs="宋体"/>
                <w:i w:val="0"/>
                <w:iCs w:val="0"/>
                <w:color w:val="000000"/>
                <w:kern w:val="0"/>
                <w:sz w:val="22"/>
                <w:szCs w:val="22"/>
                <w:highlight w:val="none"/>
                <w:u w:val="none"/>
                <w:lang w:val="en-US" w:eastAsia="zh-CN" w:bidi="ar"/>
              </w:rPr>
              <w:t>柜1</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833" w:type="pct"/>
            <w:tcBorders>
              <w:top w:val="single" w:color="000000" w:sz="4" w:space="0"/>
              <w:left w:val="single" w:color="000000" w:sz="4" w:space="0"/>
              <w:bottom w:val="single" w:color="000000" w:sz="4" w:space="0"/>
              <w:right w:val="single" w:color="000000" w:sz="4" w:space="0"/>
            </w:tcBorders>
            <w:vAlign w:val="center"/>
          </w:tcPr>
          <w:p>
            <w:pPr>
              <w:jc w:val="center"/>
              <w:rPr>
                <w:b w:val="0"/>
                <w:bCs w:val="0"/>
                <w:highlight w:val="none"/>
              </w:rPr>
            </w:pPr>
          </w:p>
        </w:tc>
        <w:tc>
          <w:tcPr>
            <w:tcW w:w="833" w:type="pct"/>
            <w:vMerge w:val="continue"/>
            <w:tcBorders>
              <w:left w:val="single" w:color="000000" w:sz="4" w:space="0"/>
              <w:right w:val="single" w:color="000000" w:sz="4" w:space="0"/>
            </w:tcBorders>
            <w:vAlign w:val="center"/>
          </w:tcPr>
          <w:p>
            <w:pPr>
              <w:jc w:val="center"/>
              <w:rPr>
                <w:b w:val="0"/>
                <w:bCs w:val="0"/>
                <w:highlight w:val="none"/>
              </w:rPr>
            </w:pPr>
          </w:p>
        </w:tc>
      </w:tr>
      <w:tr>
        <w:tblPrEx>
          <w:tblCellMar>
            <w:top w:w="15" w:type="dxa"/>
            <w:left w:w="15" w:type="dxa"/>
            <w:bottom w:w="15" w:type="dxa"/>
            <w:right w:w="15" w:type="dxa"/>
          </w:tblCellMar>
        </w:tblPrEx>
        <w:trPr>
          <w:trHeight w:val="172" w:hRule="atLeast"/>
          <w:jc w:val="center"/>
        </w:trPr>
        <w:tc>
          <w:tcPr>
            <w:tcW w:w="6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b w:val="0"/>
                <w:bCs w:val="0"/>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22</w:t>
            </w:r>
          </w:p>
        </w:tc>
        <w:tc>
          <w:tcPr>
            <w:tcW w:w="34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b w:val="0"/>
                <w:bCs w:val="0"/>
                <w:sz w:val="22"/>
                <w:szCs w:val="22"/>
                <w:highlight w:val="none"/>
                <w:lang w:eastAsia="zh-CN"/>
              </w:rPr>
            </w:pPr>
            <w:r>
              <w:rPr>
                <w:rFonts w:hint="eastAsia" w:ascii="宋体" w:hAnsi="宋体" w:eastAsia="宋体" w:cs="宋体"/>
                <w:i w:val="0"/>
                <w:iCs w:val="0"/>
                <w:color w:val="000000"/>
                <w:kern w:val="0"/>
                <w:sz w:val="22"/>
                <w:szCs w:val="22"/>
                <w:highlight w:val="none"/>
                <w:u w:val="none"/>
                <w:lang w:val="en-US" w:eastAsia="zh-CN" w:bidi="ar"/>
              </w:rPr>
              <w:t>柜2</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833" w:type="pct"/>
            <w:tcBorders>
              <w:top w:val="single" w:color="000000" w:sz="4" w:space="0"/>
              <w:left w:val="single" w:color="000000" w:sz="4" w:space="0"/>
              <w:bottom w:val="single" w:color="000000" w:sz="4" w:space="0"/>
              <w:right w:val="single" w:color="000000" w:sz="4" w:space="0"/>
            </w:tcBorders>
            <w:vAlign w:val="center"/>
          </w:tcPr>
          <w:p>
            <w:pPr>
              <w:jc w:val="center"/>
              <w:rPr>
                <w:b w:val="0"/>
                <w:bCs w:val="0"/>
                <w:highlight w:val="none"/>
              </w:rPr>
            </w:pPr>
          </w:p>
        </w:tc>
        <w:tc>
          <w:tcPr>
            <w:tcW w:w="833" w:type="pct"/>
            <w:vMerge w:val="continue"/>
            <w:tcBorders>
              <w:left w:val="single" w:color="000000" w:sz="4" w:space="0"/>
              <w:right w:val="single" w:color="000000" w:sz="4" w:space="0"/>
            </w:tcBorders>
            <w:vAlign w:val="center"/>
          </w:tcPr>
          <w:p>
            <w:pPr>
              <w:jc w:val="center"/>
              <w:rPr>
                <w:b w:val="0"/>
                <w:bCs w:val="0"/>
                <w:highlight w:val="none"/>
              </w:rPr>
            </w:pPr>
          </w:p>
        </w:tc>
      </w:tr>
      <w:tr>
        <w:tblPrEx>
          <w:tblCellMar>
            <w:top w:w="15" w:type="dxa"/>
            <w:left w:w="15" w:type="dxa"/>
            <w:bottom w:w="15" w:type="dxa"/>
            <w:right w:w="15" w:type="dxa"/>
          </w:tblCellMar>
        </w:tblPrEx>
        <w:trPr>
          <w:trHeight w:val="172" w:hRule="atLeast"/>
          <w:jc w:val="center"/>
        </w:trPr>
        <w:tc>
          <w:tcPr>
            <w:tcW w:w="6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b w:val="0"/>
                <w:bCs w:val="0"/>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23</w:t>
            </w:r>
          </w:p>
        </w:tc>
        <w:tc>
          <w:tcPr>
            <w:tcW w:w="34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b w:val="0"/>
                <w:bCs w:val="0"/>
                <w:sz w:val="22"/>
                <w:szCs w:val="22"/>
                <w:highlight w:val="none"/>
                <w:lang w:eastAsia="zh-CN"/>
              </w:rPr>
            </w:pPr>
            <w:r>
              <w:rPr>
                <w:rFonts w:hint="eastAsia" w:ascii="宋体" w:hAnsi="宋体" w:eastAsia="宋体" w:cs="宋体"/>
                <w:i w:val="0"/>
                <w:iCs w:val="0"/>
                <w:color w:val="000000"/>
                <w:kern w:val="0"/>
                <w:sz w:val="22"/>
                <w:szCs w:val="22"/>
                <w:highlight w:val="none"/>
                <w:u w:val="none"/>
                <w:lang w:val="en-US" w:eastAsia="zh-CN" w:bidi="ar"/>
              </w:rPr>
              <w:t>柜3</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833" w:type="pct"/>
            <w:tcBorders>
              <w:top w:val="single" w:color="000000" w:sz="4" w:space="0"/>
              <w:left w:val="single" w:color="000000" w:sz="4" w:space="0"/>
              <w:bottom w:val="single" w:color="000000" w:sz="4" w:space="0"/>
              <w:right w:val="single" w:color="000000" w:sz="4" w:space="0"/>
            </w:tcBorders>
            <w:vAlign w:val="center"/>
          </w:tcPr>
          <w:p>
            <w:pPr>
              <w:jc w:val="center"/>
              <w:rPr>
                <w:b w:val="0"/>
                <w:bCs w:val="0"/>
                <w:highlight w:val="none"/>
              </w:rPr>
            </w:pPr>
          </w:p>
        </w:tc>
        <w:tc>
          <w:tcPr>
            <w:tcW w:w="833" w:type="pct"/>
            <w:vMerge w:val="continue"/>
            <w:tcBorders>
              <w:left w:val="single" w:color="000000" w:sz="4" w:space="0"/>
              <w:right w:val="single" w:color="000000" w:sz="4" w:space="0"/>
            </w:tcBorders>
            <w:vAlign w:val="center"/>
          </w:tcPr>
          <w:p>
            <w:pPr>
              <w:jc w:val="center"/>
              <w:rPr>
                <w:b w:val="0"/>
                <w:bCs w:val="0"/>
                <w:highlight w:val="none"/>
              </w:rPr>
            </w:pPr>
          </w:p>
        </w:tc>
      </w:tr>
      <w:tr>
        <w:tblPrEx>
          <w:tblCellMar>
            <w:top w:w="15" w:type="dxa"/>
            <w:left w:w="15" w:type="dxa"/>
            <w:bottom w:w="15" w:type="dxa"/>
            <w:right w:w="15" w:type="dxa"/>
          </w:tblCellMar>
        </w:tblPrEx>
        <w:trPr>
          <w:trHeight w:val="172" w:hRule="atLeast"/>
          <w:jc w:val="center"/>
        </w:trPr>
        <w:tc>
          <w:tcPr>
            <w:tcW w:w="6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b w:val="0"/>
                <w:bCs w:val="0"/>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24</w:t>
            </w:r>
          </w:p>
        </w:tc>
        <w:tc>
          <w:tcPr>
            <w:tcW w:w="34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b w:val="0"/>
                <w:bCs w:val="0"/>
                <w:sz w:val="22"/>
                <w:szCs w:val="22"/>
                <w:highlight w:val="none"/>
                <w:lang w:eastAsia="zh-CN"/>
              </w:rPr>
            </w:pPr>
            <w:r>
              <w:rPr>
                <w:rFonts w:hint="eastAsia" w:ascii="宋体" w:hAnsi="宋体" w:eastAsia="宋体" w:cs="宋体"/>
                <w:i w:val="0"/>
                <w:iCs w:val="0"/>
                <w:color w:val="000000"/>
                <w:kern w:val="0"/>
                <w:sz w:val="22"/>
                <w:szCs w:val="22"/>
                <w:highlight w:val="none"/>
                <w:u w:val="none"/>
                <w:lang w:val="en-US" w:eastAsia="zh-CN" w:bidi="ar"/>
              </w:rPr>
              <w:t>书架</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833" w:type="pct"/>
            <w:tcBorders>
              <w:top w:val="single" w:color="000000" w:sz="4" w:space="0"/>
              <w:left w:val="single" w:color="000000" w:sz="4" w:space="0"/>
              <w:bottom w:val="single" w:color="000000" w:sz="4" w:space="0"/>
              <w:right w:val="single" w:color="000000" w:sz="4" w:space="0"/>
            </w:tcBorders>
            <w:vAlign w:val="center"/>
          </w:tcPr>
          <w:p>
            <w:pPr>
              <w:jc w:val="center"/>
              <w:rPr>
                <w:b w:val="0"/>
                <w:bCs w:val="0"/>
                <w:highlight w:val="none"/>
              </w:rPr>
            </w:pPr>
          </w:p>
        </w:tc>
        <w:tc>
          <w:tcPr>
            <w:tcW w:w="833" w:type="pct"/>
            <w:vMerge w:val="continue"/>
            <w:tcBorders>
              <w:left w:val="single" w:color="000000" w:sz="4" w:space="0"/>
              <w:right w:val="single" w:color="000000" w:sz="4" w:space="0"/>
            </w:tcBorders>
            <w:vAlign w:val="center"/>
          </w:tcPr>
          <w:p>
            <w:pPr>
              <w:jc w:val="center"/>
              <w:rPr>
                <w:b w:val="0"/>
                <w:bCs w:val="0"/>
                <w:highlight w:val="none"/>
              </w:rPr>
            </w:pPr>
          </w:p>
        </w:tc>
      </w:tr>
      <w:tr>
        <w:tblPrEx>
          <w:tblCellMar>
            <w:top w:w="15" w:type="dxa"/>
            <w:left w:w="15" w:type="dxa"/>
            <w:bottom w:w="15" w:type="dxa"/>
            <w:right w:w="15" w:type="dxa"/>
          </w:tblCellMar>
        </w:tblPrEx>
        <w:trPr>
          <w:trHeight w:val="172" w:hRule="atLeast"/>
          <w:jc w:val="center"/>
        </w:trPr>
        <w:tc>
          <w:tcPr>
            <w:tcW w:w="6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b w:val="0"/>
                <w:bCs w:val="0"/>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25</w:t>
            </w:r>
          </w:p>
        </w:tc>
        <w:tc>
          <w:tcPr>
            <w:tcW w:w="34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b w:val="0"/>
                <w:bCs w:val="0"/>
                <w:sz w:val="22"/>
                <w:szCs w:val="22"/>
                <w:highlight w:val="none"/>
                <w:lang w:eastAsia="zh-CN"/>
              </w:rPr>
            </w:pPr>
            <w:r>
              <w:rPr>
                <w:rFonts w:hint="eastAsia" w:ascii="宋体" w:hAnsi="宋体" w:eastAsia="宋体" w:cs="宋体"/>
                <w:i w:val="0"/>
                <w:iCs w:val="0"/>
                <w:color w:val="000000"/>
                <w:kern w:val="0"/>
                <w:sz w:val="22"/>
                <w:szCs w:val="22"/>
                <w:highlight w:val="none"/>
                <w:u w:val="none"/>
                <w:lang w:val="en-US" w:eastAsia="zh-CN" w:bidi="ar"/>
              </w:rPr>
              <w:t>小屋收纳柜</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833" w:type="pct"/>
            <w:tcBorders>
              <w:top w:val="single" w:color="000000" w:sz="4" w:space="0"/>
              <w:left w:val="single" w:color="000000" w:sz="4" w:space="0"/>
              <w:bottom w:val="single" w:color="000000" w:sz="4" w:space="0"/>
              <w:right w:val="single" w:color="000000" w:sz="4" w:space="0"/>
            </w:tcBorders>
            <w:vAlign w:val="center"/>
          </w:tcPr>
          <w:p>
            <w:pPr>
              <w:jc w:val="center"/>
              <w:rPr>
                <w:b w:val="0"/>
                <w:bCs w:val="0"/>
                <w:highlight w:val="none"/>
              </w:rPr>
            </w:pPr>
          </w:p>
        </w:tc>
        <w:tc>
          <w:tcPr>
            <w:tcW w:w="833" w:type="pct"/>
            <w:vMerge w:val="continue"/>
            <w:tcBorders>
              <w:left w:val="single" w:color="000000" w:sz="4" w:space="0"/>
              <w:right w:val="single" w:color="000000" w:sz="4" w:space="0"/>
            </w:tcBorders>
            <w:vAlign w:val="center"/>
          </w:tcPr>
          <w:p>
            <w:pPr>
              <w:jc w:val="center"/>
              <w:rPr>
                <w:b w:val="0"/>
                <w:bCs w:val="0"/>
                <w:highlight w:val="none"/>
              </w:rPr>
            </w:pPr>
          </w:p>
        </w:tc>
      </w:tr>
      <w:tr>
        <w:tblPrEx>
          <w:tblCellMar>
            <w:top w:w="15" w:type="dxa"/>
            <w:left w:w="15" w:type="dxa"/>
            <w:bottom w:w="15" w:type="dxa"/>
            <w:right w:w="15" w:type="dxa"/>
          </w:tblCellMar>
        </w:tblPrEx>
        <w:trPr>
          <w:trHeight w:val="172" w:hRule="atLeast"/>
          <w:jc w:val="center"/>
        </w:trPr>
        <w:tc>
          <w:tcPr>
            <w:tcW w:w="6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b w:val="0"/>
                <w:bCs w:val="0"/>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26</w:t>
            </w:r>
          </w:p>
        </w:tc>
        <w:tc>
          <w:tcPr>
            <w:tcW w:w="34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b w:val="0"/>
                <w:bCs w:val="0"/>
                <w:sz w:val="22"/>
                <w:szCs w:val="22"/>
                <w:highlight w:val="none"/>
                <w:lang w:eastAsia="zh-CN"/>
              </w:rPr>
            </w:pPr>
            <w:r>
              <w:rPr>
                <w:rFonts w:hint="eastAsia" w:ascii="宋体" w:hAnsi="宋体" w:eastAsia="宋体" w:cs="宋体"/>
                <w:i w:val="0"/>
                <w:iCs w:val="0"/>
                <w:color w:val="000000"/>
                <w:kern w:val="0"/>
                <w:sz w:val="22"/>
                <w:szCs w:val="22"/>
                <w:highlight w:val="none"/>
                <w:u w:val="none"/>
                <w:lang w:val="en-US" w:eastAsia="zh-CN" w:bidi="ar"/>
              </w:rPr>
              <w:t>月亮桌</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张</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833" w:type="pct"/>
            <w:tcBorders>
              <w:top w:val="single" w:color="000000" w:sz="4" w:space="0"/>
              <w:left w:val="single" w:color="000000" w:sz="4" w:space="0"/>
              <w:bottom w:val="single" w:color="000000" w:sz="4" w:space="0"/>
              <w:right w:val="single" w:color="000000" w:sz="4" w:space="0"/>
            </w:tcBorders>
            <w:vAlign w:val="center"/>
          </w:tcPr>
          <w:p>
            <w:pPr>
              <w:jc w:val="center"/>
              <w:rPr>
                <w:b w:val="0"/>
                <w:bCs w:val="0"/>
                <w:highlight w:val="none"/>
              </w:rPr>
            </w:pPr>
          </w:p>
        </w:tc>
        <w:tc>
          <w:tcPr>
            <w:tcW w:w="833" w:type="pct"/>
            <w:vMerge w:val="continue"/>
            <w:tcBorders>
              <w:left w:val="single" w:color="000000" w:sz="4" w:space="0"/>
              <w:right w:val="single" w:color="000000" w:sz="4" w:space="0"/>
            </w:tcBorders>
            <w:vAlign w:val="center"/>
          </w:tcPr>
          <w:p>
            <w:pPr>
              <w:jc w:val="center"/>
              <w:rPr>
                <w:b w:val="0"/>
                <w:bCs w:val="0"/>
                <w:highlight w:val="none"/>
              </w:rPr>
            </w:pPr>
          </w:p>
        </w:tc>
      </w:tr>
      <w:tr>
        <w:tblPrEx>
          <w:tblCellMar>
            <w:top w:w="15" w:type="dxa"/>
            <w:left w:w="15" w:type="dxa"/>
            <w:bottom w:w="15" w:type="dxa"/>
            <w:right w:w="15" w:type="dxa"/>
          </w:tblCellMar>
        </w:tblPrEx>
        <w:trPr>
          <w:trHeight w:val="172" w:hRule="atLeast"/>
          <w:jc w:val="center"/>
        </w:trPr>
        <w:tc>
          <w:tcPr>
            <w:tcW w:w="6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b w:val="0"/>
                <w:bCs w:val="0"/>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27</w:t>
            </w:r>
          </w:p>
        </w:tc>
        <w:tc>
          <w:tcPr>
            <w:tcW w:w="34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b w:val="0"/>
                <w:bCs w:val="0"/>
                <w:sz w:val="22"/>
                <w:szCs w:val="22"/>
                <w:highlight w:val="none"/>
                <w:lang w:eastAsia="zh-CN"/>
              </w:rPr>
            </w:pPr>
            <w:r>
              <w:rPr>
                <w:rFonts w:hint="eastAsia" w:ascii="宋体" w:hAnsi="宋体" w:eastAsia="宋体" w:cs="宋体"/>
                <w:i w:val="0"/>
                <w:iCs w:val="0"/>
                <w:color w:val="000000"/>
                <w:kern w:val="0"/>
                <w:sz w:val="22"/>
                <w:szCs w:val="22"/>
                <w:highlight w:val="none"/>
                <w:u w:val="none"/>
                <w:lang w:val="en-US" w:eastAsia="zh-CN" w:bidi="ar"/>
              </w:rPr>
              <w:t>小推车</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833" w:type="pct"/>
            <w:tcBorders>
              <w:top w:val="single" w:color="000000" w:sz="4" w:space="0"/>
              <w:left w:val="single" w:color="000000" w:sz="4" w:space="0"/>
              <w:bottom w:val="single" w:color="000000" w:sz="4" w:space="0"/>
              <w:right w:val="single" w:color="000000" w:sz="4" w:space="0"/>
            </w:tcBorders>
            <w:vAlign w:val="center"/>
          </w:tcPr>
          <w:p>
            <w:pPr>
              <w:jc w:val="center"/>
              <w:rPr>
                <w:b w:val="0"/>
                <w:bCs w:val="0"/>
                <w:highlight w:val="none"/>
              </w:rPr>
            </w:pPr>
          </w:p>
        </w:tc>
        <w:tc>
          <w:tcPr>
            <w:tcW w:w="833" w:type="pct"/>
            <w:vMerge w:val="continue"/>
            <w:tcBorders>
              <w:left w:val="single" w:color="000000" w:sz="4" w:space="0"/>
              <w:right w:val="single" w:color="000000" w:sz="4" w:space="0"/>
            </w:tcBorders>
            <w:vAlign w:val="center"/>
          </w:tcPr>
          <w:p>
            <w:pPr>
              <w:jc w:val="center"/>
              <w:rPr>
                <w:b w:val="0"/>
                <w:bCs w:val="0"/>
                <w:highlight w:val="none"/>
              </w:rPr>
            </w:pPr>
          </w:p>
        </w:tc>
      </w:tr>
      <w:tr>
        <w:tblPrEx>
          <w:tblCellMar>
            <w:top w:w="15" w:type="dxa"/>
            <w:left w:w="15" w:type="dxa"/>
            <w:bottom w:w="15" w:type="dxa"/>
            <w:right w:w="15" w:type="dxa"/>
          </w:tblCellMar>
        </w:tblPrEx>
        <w:trPr>
          <w:trHeight w:val="172" w:hRule="atLeast"/>
          <w:jc w:val="center"/>
        </w:trPr>
        <w:tc>
          <w:tcPr>
            <w:tcW w:w="6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b w:val="0"/>
                <w:bCs w:val="0"/>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28</w:t>
            </w:r>
          </w:p>
        </w:tc>
        <w:tc>
          <w:tcPr>
            <w:tcW w:w="34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b w:val="0"/>
                <w:bCs w:val="0"/>
                <w:sz w:val="22"/>
                <w:szCs w:val="22"/>
                <w:highlight w:val="none"/>
                <w:lang w:eastAsia="zh-CN"/>
              </w:rPr>
            </w:pPr>
            <w:r>
              <w:rPr>
                <w:rFonts w:hint="eastAsia" w:ascii="宋体" w:hAnsi="宋体" w:eastAsia="宋体" w:cs="宋体"/>
                <w:i w:val="0"/>
                <w:iCs w:val="0"/>
                <w:color w:val="000000"/>
                <w:kern w:val="0"/>
                <w:sz w:val="22"/>
                <w:szCs w:val="22"/>
                <w:highlight w:val="none"/>
                <w:u w:val="none"/>
                <w:lang w:val="en-US" w:eastAsia="zh-CN" w:bidi="ar"/>
              </w:rPr>
              <w:t>造型柜</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833" w:type="pct"/>
            <w:tcBorders>
              <w:top w:val="single" w:color="000000" w:sz="4" w:space="0"/>
              <w:left w:val="single" w:color="000000" w:sz="4" w:space="0"/>
              <w:bottom w:val="single" w:color="000000" w:sz="4" w:space="0"/>
              <w:right w:val="single" w:color="000000" w:sz="4" w:space="0"/>
            </w:tcBorders>
            <w:vAlign w:val="center"/>
          </w:tcPr>
          <w:p>
            <w:pPr>
              <w:jc w:val="center"/>
              <w:rPr>
                <w:b w:val="0"/>
                <w:bCs w:val="0"/>
                <w:highlight w:val="none"/>
              </w:rPr>
            </w:pPr>
          </w:p>
        </w:tc>
        <w:tc>
          <w:tcPr>
            <w:tcW w:w="833" w:type="pct"/>
            <w:vMerge w:val="continue"/>
            <w:tcBorders>
              <w:left w:val="single" w:color="000000" w:sz="4" w:space="0"/>
              <w:right w:val="single" w:color="000000" w:sz="4" w:space="0"/>
            </w:tcBorders>
            <w:vAlign w:val="center"/>
          </w:tcPr>
          <w:p>
            <w:pPr>
              <w:jc w:val="center"/>
              <w:rPr>
                <w:b w:val="0"/>
                <w:bCs w:val="0"/>
                <w:highlight w:val="none"/>
              </w:rPr>
            </w:pPr>
          </w:p>
        </w:tc>
      </w:tr>
      <w:tr>
        <w:tblPrEx>
          <w:tblCellMar>
            <w:top w:w="15" w:type="dxa"/>
            <w:left w:w="15" w:type="dxa"/>
            <w:bottom w:w="15" w:type="dxa"/>
            <w:right w:w="15" w:type="dxa"/>
          </w:tblCellMar>
        </w:tblPrEx>
        <w:trPr>
          <w:trHeight w:val="172" w:hRule="atLeast"/>
          <w:jc w:val="center"/>
        </w:trPr>
        <w:tc>
          <w:tcPr>
            <w:tcW w:w="6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b w:val="0"/>
                <w:bCs w:val="0"/>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29</w:t>
            </w:r>
          </w:p>
        </w:tc>
        <w:tc>
          <w:tcPr>
            <w:tcW w:w="34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b w:val="0"/>
                <w:bCs w:val="0"/>
                <w:sz w:val="22"/>
                <w:szCs w:val="22"/>
                <w:highlight w:val="none"/>
                <w:lang w:eastAsia="zh-CN"/>
              </w:rPr>
            </w:pPr>
            <w:r>
              <w:rPr>
                <w:rFonts w:hint="eastAsia" w:ascii="宋体" w:hAnsi="宋体" w:eastAsia="宋体" w:cs="宋体"/>
                <w:i w:val="0"/>
                <w:iCs w:val="0"/>
                <w:color w:val="000000"/>
                <w:kern w:val="0"/>
                <w:sz w:val="22"/>
                <w:szCs w:val="22"/>
                <w:highlight w:val="none"/>
                <w:u w:val="none"/>
                <w:lang w:val="en-US" w:eastAsia="zh-CN" w:bidi="ar"/>
              </w:rPr>
              <w:t>分类收纳柜</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833" w:type="pct"/>
            <w:tcBorders>
              <w:top w:val="single" w:color="000000" w:sz="4" w:space="0"/>
              <w:left w:val="single" w:color="000000" w:sz="4" w:space="0"/>
              <w:bottom w:val="single" w:color="000000" w:sz="4" w:space="0"/>
              <w:right w:val="single" w:color="000000" w:sz="4" w:space="0"/>
            </w:tcBorders>
            <w:vAlign w:val="center"/>
          </w:tcPr>
          <w:p>
            <w:pPr>
              <w:jc w:val="center"/>
              <w:rPr>
                <w:b w:val="0"/>
                <w:bCs w:val="0"/>
                <w:highlight w:val="none"/>
              </w:rPr>
            </w:pPr>
          </w:p>
        </w:tc>
        <w:tc>
          <w:tcPr>
            <w:tcW w:w="833" w:type="pct"/>
            <w:vMerge w:val="continue"/>
            <w:tcBorders>
              <w:left w:val="single" w:color="000000" w:sz="4" w:space="0"/>
              <w:right w:val="single" w:color="000000" w:sz="4" w:space="0"/>
            </w:tcBorders>
            <w:vAlign w:val="center"/>
          </w:tcPr>
          <w:p>
            <w:pPr>
              <w:jc w:val="center"/>
              <w:rPr>
                <w:b w:val="0"/>
                <w:bCs w:val="0"/>
                <w:highlight w:val="none"/>
              </w:rPr>
            </w:pPr>
          </w:p>
        </w:tc>
      </w:tr>
      <w:tr>
        <w:tblPrEx>
          <w:tblCellMar>
            <w:top w:w="15" w:type="dxa"/>
            <w:left w:w="15" w:type="dxa"/>
            <w:bottom w:w="15" w:type="dxa"/>
            <w:right w:w="15" w:type="dxa"/>
          </w:tblCellMar>
        </w:tblPrEx>
        <w:trPr>
          <w:trHeight w:val="172" w:hRule="atLeast"/>
          <w:jc w:val="center"/>
        </w:trPr>
        <w:tc>
          <w:tcPr>
            <w:tcW w:w="6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b w:val="0"/>
                <w:bCs w:val="0"/>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30</w:t>
            </w:r>
          </w:p>
        </w:tc>
        <w:tc>
          <w:tcPr>
            <w:tcW w:w="34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b w:val="0"/>
                <w:bCs w:val="0"/>
                <w:sz w:val="22"/>
                <w:szCs w:val="22"/>
                <w:highlight w:val="none"/>
                <w:lang w:eastAsia="zh-CN"/>
              </w:rPr>
            </w:pPr>
            <w:r>
              <w:rPr>
                <w:rFonts w:hint="eastAsia" w:ascii="宋体" w:hAnsi="宋体" w:cs="宋体"/>
                <w:i w:val="0"/>
                <w:iCs w:val="0"/>
                <w:color w:val="000000"/>
                <w:kern w:val="0"/>
                <w:sz w:val="22"/>
                <w:szCs w:val="22"/>
                <w:highlight w:val="none"/>
                <w:u w:val="none"/>
                <w:lang w:val="en-US" w:eastAsia="zh-CN" w:bidi="ar"/>
              </w:rPr>
              <w:t>作品展示柜</w:t>
            </w:r>
            <w:r>
              <w:rPr>
                <w:rFonts w:hint="eastAsia" w:ascii="宋体" w:hAnsi="宋体" w:eastAsia="宋体" w:cs="宋体"/>
                <w:i w:val="0"/>
                <w:iCs w:val="0"/>
                <w:color w:val="000000"/>
                <w:kern w:val="0"/>
                <w:sz w:val="22"/>
                <w:szCs w:val="22"/>
                <w:highlight w:val="none"/>
                <w:u w:val="none"/>
                <w:lang w:val="en-US" w:eastAsia="zh-CN" w:bidi="ar"/>
              </w:rPr>
              <w:t>A</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833" w:type="pct"/>
            <w:tcBorders>
              <w:top w:val="single" w:color="000000" w:sz="4" w:space="0"/>
              <w:left w:val="single" w:color="000000" w:sz="4" w:space="0"/>
              <w:bottom w:val="single" w:color="000000" w:sz="4" w:space="0"/>
              <w:right w:val="single" w:color="000000" w:sz="4" w:space="0"/>
            </w:tcBorders>
            <w:vAlign w:val="center"/>
          </w:tcPr>
          <w:p>
            <w:pPr>
              <w:jc w:val="center"/>
              <w:rPr>
                <w:b w:val="0"/>
                <w:bCs w:val="0"/>
                <w:highlight w:val="none"/>
              </w:rPr>
            </w:pPr>
          </w:p>
        </w:tc>
        <w:tc>
          <w:tcPr>
            <w:tcW w:w="833" w:type="pct"/>
            <w:vMerge w:val="continue"/>
            <w:tcBorders>
              <w:left w:val="single" w:color="000000" w:sz="4" w:space="0"/>
              <w:right w:val="single" w:color="000000" w:sz="4" w:space="0"/>
            </w:tcBorders>
            <w:vAlign w:val="center"/>
          </w:tcPr>
          <w:p>
            <w:pPr>
              <w:jc w:val="center"/>
              <w:rPr>
                <w:b w:val="0"/>
                <w:bCs w:val="0"/>
                <w:highlight w:val="none"/>
              </w:rPr>
            </w:pPr>
          </w:p>
        </w:tc>
      </w:tr>
      <w:tr>
        <w:tblPrEx>
          <w:tblCellMar>
            <w:top w:w="15" w:type="dxa"/>
            <w:left w:w="15" w:type="dxa"/>
            <w:bottom w:w="15" w:type="dxa"/>
            <w:right w:w="15" w:type="dxa"/>
          </w:tblCellMar>
        </w:tblPrEx>
        <w:trPr>
          <w:trHeight w:val="172" w:hRule="atLeast"/>
          <w:jc w:val="center"/>
        </w:trPr>
        <w:tc>
          <w:tcPr>
            <w:tcW w:w="6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b w:val="0"/>
                <w:bCs w:val="0"/>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31</w:t>
            </w:r>
          </w:p>
        </w:tc>
        <w:tc>
          <w:tcPr>
            <w:tcW w:w="34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b w:val="0"/>
                <w:bCs w:val="0"/>
                <w:sz w:val="22"/>
                <w:szCs w:val="22"/>
                <w:highlight w:val="none"/>
                <w:lang w:eastAsia="zh-CN"/>
              </w:rPr>
            </w:pPr>
            <w:r>
              <w:rPr>
                <w:rFonts w:hint="eastAsia" w:ascii="宋体" w:hAnsi="宋体" w:cs="宋体"/>
                <w:i w:val="0"/>
                <w:iCs w:val="0"/>
                <w:color w:val="000000"/>
                <w:kern w:val="0"/>
                <w:sz w:val="22"/>
                <w:szCs w:val="22"/>
                <w:highlight w:val="none"/>
                <w:u w:val="none"/>
                <w:lang w:val="en-US" w:eastAsia="zh-CN" w:bidi="ar"/>
              </w:rPr>
              <w:t>作品展示柜B</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833" w:type="pct"/>
            <w:tcBorders>
              <w:top w:val="single" w:color="000000" w:sz="4" w:space="0"/>
              <w:left w:val="single" w:color="000000" w:sz="4" w:space="0"/>
              <w:bottom w:val="single" w:color="000000" w:sz="4" w:space="0"/>
              <w:right w:val="single" w:color="000000" w:sz="4" w:space="0"/>
            </w:tcBorders>
            <w:vAlign w:val="center"/>
          </w:tcPr>
          <w:p>
            <w:pPr>
              <w:jc w:val="center"/>
              <w:rPr>
                <w:b w:val="0"/>
                <w:bCs w:val="0"/>
                <w:highlight w:val="none"/>
              </w:rPr>
            </w:pPr>
          </w:p>
        </w:tc>
        <w:tc>
          <w:tcPr>
            <w:tcW w:w="833" w:type="pct"/>
            <w:vMerge w:val="continue"/>
            <w:tcBorders>
              <w:left w:val="single" w:color="000000" w:sz="4" w:space="0"/>
              <w:right w:val="single" w:color="000000" w:sz="4" w:space="0"/>
            </w:tcBorders>
            <w:vAlign w:val="center"/>
          </w:tcPr>
          <w:p>
            <w:pPr>
              <w:jc w:val="center"/>
              <w:rPr>
                <w:b w:val="0"/>
                <w:bCs w:val="0"/>
                <w:highlight w:val="none"/>
              </w:rPr>
            </w:pPr>
          </w:p>
        </w:tc>
      </w:tr>
      <w:tr>
        <w:tblPrEx>
          <w:tblCellMar>
            <w:top w:w="15" w:type="dxa"/>
            <w:left w:w="15" w:type="dxa"/>
            <w:bottom w:w="15" w:type="dxa"/>
            <w:right w:w="15" w:type="dxa"/>
          </w:tblCellMar>
        </w:tblPrEx>
        <w:trPr>
          <w:trHeight w:val="172" w:hRule="atLeast"/>
          <w:jc w:val="center"/>
        </w:trPr>
        <w:tc>
          <w:tcPr>
            <w:tcW w:w="6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b w:val="0"/>
                <w:bCs w:val="0"/>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32</w:t>
            </w:r>
          </w:p>
        </w:tc>
        <w:tc>
          <w:tcPr>
            <w:tcW w:w="34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b w:val="0"/>
                <w:bCs w:val="0"/>
                <w:sz w:val="22"/>
                <w:szCs w:val="22"/>
                <w:highlight w:val="none"/>
                <w:lang w:eastAsia="zh-CN"/>
              </w:rPr>
            </w:pPr>
            <w:r>
              <w:rPr>
                <w:rFonts w:hint="eastAsia" w:ascii="宋体" w:hAnsi="宋体" w:cs="宋体"/>
                <w:i w:val="0"/>
                <w:iCs w:val="0"/>
                <w:color w:val="000000"/>
                <w:kern w:val="0"/>
                <w:sz w:val="22"/>
                <w:szCs w:val="22"/>
                <w:highlight w:val="none"/>
                <w:u w:val="none"/>
                <w:lang w:val="en-US" w:eastAsia="zh-CN" w:bidi="ar"/>
              </w:rPr>
              <w:t>作品展示柜</w:t>
            </w:r>
            <w:r>
              <w:rPr>
                <w:rFonts w:hint="eastAsia" w:ascii="宋体" w:hAnsi="宋体" w:eastAsia="宋体" w:cs="宋体"/>
                <w:i w:val="0"/>
                <w:iCs w:val="0"/>
                <w:color w:val="000000"/>
                <w:kern w:val="0"/>
                <w:sz w:val="22"/>
                <w:szCs w:val="22"/>
                <w:highlight w:val="none"/>
                <w:u w:val="none"/>
                <w:lang w:val="en-US" w:eastAsia="zh-CN" w:bidi="ar"/>
              </w:rPr>
              <w:t>C</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833" w:type="pct"/>
            <w:tcBorders>
              <w:top w:val="single" w:color="000000" w:sz="4" w:space="0"/>
              <w:left w:val="single" w:color="000000" w:sz="4" w:space="0"/>
              <w:bottom w:val="single" w:color="000000" w:sz="4" w:space="0"/>
              <w:right w:val="single" w:color="000000" w:sz="4" w:space="0"/>
            </w:tcBorders>
            <w:vAlign w:val="center"/>
          </w:tcPr>
          <w:p>
            <w:pPr>
              <w:jc w:val="center"/>
              <w:rPr>
                <w:b w:val="0"/>
                <w:bCs w:val="0"/>
                <w:highlight w:val="none"/>
              </w:rPr>
            </w:pPr>
          </w:p>
        </w:tc>
        <w:tc>
          <w:tcPr>
            <w:tcW w:w="833" w:type="pct"/>
            <w:vMerge w:val="continue"/>
            <w:tcBorders>
              <w:left w:val="single" w:color="000000" w:sz="4" w:space="0"/>
              <w:right w:val="single" w:color="000000" w:sz="4" w:space="0"/>
            </w:tcBorders>
            <w:vAlign w:val="center"/>
          </w:tcPr>
          <w:p>
            <w:pPr>
              <w:jc w:val="center"/>
              <w:rPr>
                <w:b w:val="0"/>
                <w:bCs w:val="0"/>
                <w:highlight w:val="none"/>
              </w:rPr>
            </w:pPr>
          </w:p>
        </w:tc>
      </w:tr>
      <w:tr>
        <w:tblPrEx>
          <w:tblCellMar>
            <w:top w:w="15" w:type="dxa"/>
            <w:left w:w="15" w:type="dxa"/>
            <w:bottom w:w="15" w:type="dxa"/>
            <w:right w:w="15" w:type="dxa"/>
          </w:tblCellMar>
        </w:tblPrEx>
        <w:trPr>
          <w:trHeight w:val="172" w:hRule="atLeast"/>
          <w:jc w:val="center"/>
        </w:trPr>
        <w:tc>
          <w:tcPr>
            <w:tcW w:w="6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b w:val="0"/>
                <w:bCs w:val="0"/>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33</w:t>
            </w:r>
          </w:p>
        </w:tc>
        <w:tc>
          <w:tcPr>
            <w:tcW w:w="34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b w:val="0"/>
                <w:bCs w:val="0"/>
                <w:sz w:val="22"/>
                <w:szCs w:val="22"/>
                <w:highlight w:val="none"/>
                <w:lang w:eastAsia="zh-CN"/>
              </w:rPr>
            </w:pPr>
            <w:r>
              <w:rPr>
                <w:rFonts w:hint="eastAsia" w:ascii="宋体" w:hAnsi="宋体" w:eastAsia="宋体" w:cs="宋体"/>
                <w:i w:val="0"/>
                <w:iCs w:val="0"/>
                <w:color w:val="000000"/>
                <w:kern w:val="0"/>
                <w:sz w:val="22"/>
                <w:szCs w:val="22"/>
                <w:highlight w:val="none"/>
                <w:u w:val="none"/>
                <w:lang w:val="en-US" w:eastAsia="zh-CN" w:bidi="ar"/>
              </w:rPr>
              <w:t>双层书柜</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833" w:type="pct"/>
            <w:tcBorders>
              <w:top w:val="single" w:color="000000" w:sz="4" w:space="0"/>
              <w:left w:val="single" w:color="000000" w:sz="4" w:space="0"/>
              <w:bottom w:val="single" w:color="000000" w:sz="4" w:space="0"/>
              <w:right w:val="single" w:color="000000" w:sz="4" w:space="0"/>
            </w:tcBorders>
            <w:vAlign w:val="center"/>
          </w:tcPr>
          <w:p>
            <w:pPr>
              <w:jc w:val="center"/>
              <w:rPr>
                <w:b w:val="0"/>
                <w:bCs w:val="0"/>
                <w:highlight w:val="none"/>
              </w:rPr>
            </w:pPr>
          </w:p>
        </w:tc>
        <w:tc>
          <w:tcPr>
            <w:tcW w:w="833" w:type="pct"/>
            <w:vMerge w:val="continue"/>
            <w:tcBorders>
              <w:left w:val="single" w:color="000000" w:sz="4" w:space="0"/>
              <w:right w:val="single" w:color="000000" w:sz="4" w:space="0"/>
            </w:tcBorders>
            <w:vAlign w:val="center"/>
          </w:tcPr>
          <w:p>
            <w:pPr>
              <w:jc w:val="center"/>
              <w:rPr>
                <w:b w:val="0"/>
                <w:bCs w:val="0"/>
                <w:highlight w:val="none"/>
              </w:rPr>
            </w:pPr>
          </w:p>
        </w:tc>
      </w:tr>
      <w:tr>
        <w:tblPrEx>
          <w:tblCellMar>
            <w:top w:w="15" w:type="dxa"/>
            <w:left w:w="15" w:type="dxa"/>
            <w:bottom w:w="15" w:type="dxa"/>
            <w:right w:w="15" w:type="dxa"/>
          </w:tblCellMar>
        </w:tblPrEx>
        <w:trPr>
          <w:trHeight w:val="172" w:hRule="atLeast"/>
          <w:jc w:val="center"/>
        </w:trPr>
        <w:tc>
          <w:tcPr>
            <w:tcW w:w="6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b w:val="0"/>
                <w:bCs w:val="0"/>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34</w:t>
            </w:r>
          </w:p>
        </w:tc>
        <w:tc>
          <w:tcPr>
            <w:tcW w:w="34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b w:val="0"/>
                <w:bCs w:val="0"/>
                <w:sz w:val="22"/>
                <w:szCs w:val="22"/>
                <w:highlight w:val="none"/>
                <w:lang w:eastAsia="zh-CN"/>
              </w:rPr>
            </w:pPr>
            <w:r>
              <w:rPr>
                <w:rFonts w:hint="eastAsia" w:ascii="宋体" w:hAnsi="宋体" w:eastAsia="宋体" w:cs="宋体"/>
                <w:i w:val="0"/>
                <w:iCs w:val="0"/>
                <w:color w:val="000000"/>
                <w:kern w:val="0"/>
                <w:sz w:val="22"/>
                <w:szCs w:val="22"/>
                <w:highlight w:val="none"/>
                <w:u w:val="none"/>
                <w:lang w:val="en-US" w:eastAsia="zh-CN" w:bidi="ar"/>
              </w:rPr>
              <w:t>双面书架</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833" w:type="pct"/>
            <w:tcBorders>
              <w:top w:val="single" w:color="000000" w:sz="4" w:space="0"/>
              <w:left w:val="single" w:color="000000" w:sz="4" w:space="0"/>
              <w:bottom w:val="single" w:color="000000" w:sz="4" w:space="0"/>
              <w:right w:val="single" w:color="000000" w:sz="4" w:space="0"/>
            </w:tcBorders>
            <w:vAlign w:val="center"/>
          </w:tcPr>
          <w:p>
            <w:pPr>
              <w:jc w:val="center"/>
              <w:rPr>
                <w:b w:val="0"/>
                <w:bCs w:val="0"/>
                <w:highlight w:val="none"/>
              </w:rPr>
            </w:pPr>
          </w:p>
        </w:tc>
        <w:tc>
          <w:tcPr>
            <w:tcW w:w="833" w:type="pct"/>
            <w:vMerge w:val="continue"/>
            <w:tcBorders>
              <w:left w:val="single" w:color="000000" w:sz="4" w:space="0"/>
              <w:right w:val="single" w:color="000000" w:sz="4" w:space="0"/>
            </w:tcBorders>
            <w:vAlign w:val="center"/>
          </w:tcPr>
          <w:p>
            <w:pPr>
              <w:jc w:val="center"/>
              <w:rPr>
                <w:b w:val="0"/>
                <w:bCs w:val="0"/>
                <w:highlight w:val="none"/>
              </w:rPr>
            </w:pPr>
          </w:p>
        </w:tc>
      </w:tr>
      <w:tr>
        <w:tblPrEx>
          <w:tblCellMar>
            <w:top w:w="15" w:type="dxa"/>
            <w:left w:w="15" w:type="dxa"/>
            <w:bottom w:w="15" w:type="dxa"/>
            <w:right w:w="15" w:type="dxa"/>
          </w:tblCellMar>
        </w:tblPrEx>
        <w:trPr>
          <w:trHeight w:val="172" w:hRule="atLeast"/>
          <w:jc w:val="center"/>
        </w:trPr>
        <w:tc>
          <w:tcPr>
            <w:tcW w:w="6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b w:val="0"/>
                <w:bCs w:val="0"/>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35</w:t>
            </w:r>
          </w:p>
        </w:tc>
        <w:tc>
          <w:tcPr>
            <w:tcW w:w="34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b w:val="0"/>
                <w:bCs w:val="0"/>
                <w:sz w:val="22"/>
                <w:szCs w:val="22"/>
                <w:highlight w:val="none"/>
                <w:lang w:eastAsia="zh-CN"/>
              </w:rPr>
            </w:pPr>
            <w:r>
              <w:rPr>
                <w:rFonts w:hint="eastAsia" w:ascii="宋体" w:hAnsi="宋体" w:cs="宋体"/>
                <w:i w:val="0"/>
                <w:iCs w:val="0"/>
                <w:color w:val="000000"/>
                <w:kern w:val="0"/>
                <w:sz w:val="22"/>
                <w:szCs w:val="22"/>
                <w:highlight w:val="none"/>
                <w:u w:val="none"/>
                <w:lang w:val="en-US" w:eastAsia="zh-CN" w:bidi="ar"/>
              </w:rPr>
              <w:t>画</w:t>
            </w:r>
            <w:r>
              <w:rPr>
                <w:rFonts w:hint="eastAsia" w:ascii="宋体" w:hAnsi="宋体" w:eastAsia="宋体" w:cs="宋体"/>
                <w:i w:val="0"/>
                <w:iCs w:val="0"/>
                <w:color w:val="000000"/>
                <w:kern w:val="0"/>
                <w:sz w:val="22"/>
                <w:szCs w:val="22"/>
                <w:highlight w:val="none"/>
                <w:u w:val="none"/>
                <w:lang w:val="en-US" w:eastAsia="zh-CN" w:bidi="ar"/>
              </w:rPr>
              <w:t>架</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833" w:type="pct"/>
            <w:tcBorders>
              <w:top w:val="single" w:color="000000" w:sz="4" w:space="0"/>
              <w:left w:val="single" w:color="000000" w:sz="4" w:space="0"/>
              <w:bottom w:val="single" w:color="000000" w:sz="4" w:space="0"/>
              <w:right w:val="single" w:color="000000" w:sz="4" w:space="0"/>
            </w:tcBorders>
            <w:vAlign w:val="center"/>
          </w:tcPr>
          <w:p>
            <w:pPr>
              <w:jc w:val="center"/>
              <w:rPr>
                <w:b w:val="0"/>
                <w:bCs w:val="0"/>
                <w:highlight w:val="none"/>
              </w:rPr>
            </w:pPr>
          </w:p>
        </w:tc>
        <w:tc>
          <w:tcPr>
            <w:tcW w:w="833" w:type="pct"/>
            <w:vMerge w:val="continue"/>
            <w:tcBorders>
              <w:left w:val="single" w:color="000000" w:sz="4" w:space="0"/>
              <w:right w:val="single" w:color="000000" w:sz="4" w:space="0"/>
            </w:tcBorders>
            <w:vAlign w:val="center"/>
          </w:tcPr>
          <w:p>
            <w:pPr>
              <w:jc w:val="center"/>
              <w:rPr>
                <w:b w:val="0"/>
                <w:bCs w:val="0"/>
                <w:highlight w:val="none"/>
              </w:rPr>
            </w:pPr>
          </w:p>
        </w:tc>
      </w:tr>
      <w:tr>
        <w:tblPrEx>
          <w:tblCellMar>
            <w:top w:w="15" w:type="dxa"/>
            <w:left w:w="15" w:type="dxa"/>
            <w:bottom w:w="15" w:type="dxa"/>
            <w:right w:w="15" w:type="dxa"/>
          </w:tblCellMar>
        </w:tblPrEx>
        <w:trPr>
          <w:trHeight w:val="172" w:hRule="atLeast"/>
          <w:jc w:val="center"/>
        </w:trPr>
        <w:tc>
          <w:tcPr>
            <w:tcW w:w="6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b w:val="0"/>
                <w:bCs w:val="0"/>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36</w:t>
            </w:r>
          </w:p>
        </w:tc>
        <w:tc>
          <w:tcPr>
            <w:tcW w:w="34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b w:val="0"/>
                <w:bCs w:val="0"/>
                <w:sz w:val="22"/>
                <w:szCs w:val="22"/>
                <w:highlight w:val="none"/>
                <w:lang w:eastAsia="zh-CN"/>
              </w:rPr>
            </w:pPr>
            <w:r>
              <w:rPr>
                <w:rFonts w:hint="eastAsia" w:ascii="宋体" w:hAnsi="宋体" w:eastAsia="宋体" w:cs="宋体"/>
                <w:i w:val="0"/>
                <w:iCs w:val="0"/>
                <w:color w:val="000000"/>
                <w:kern w:val="0"/>
                <w:sz w:val="22"/>
                <w:szCs w:val="22"/>
                <w:highlight w:val="none"/>
                <w:u w:val="none"/>
                <w:lang w:val="en-US" w:eastAsia="zh-CN" w:bidi="ar"/>
              </w:rPr>
              <w:t>椅子</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张</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833" w:type="pct"/>
            <w:tcBorders>
              <w:top w:val="single" w:color="000000" w:sz="4" w:space="0"/>
              <w:left w:val="single" w:color="000000" w:sz="4" w:space="0"/>
              <w:bottom w:val="single" w:color="000000" w:sz="4" w:space="0"/>
              <w:right w:val="single" w:color="000000" w:sz="4" w:space="0"/>
            </w:tcBorders>
            <w:vAlign w:val="center"/>
          </w:tcPr>
          <w:p>
            <w:pPr>
              <w:jc w:val="center"/>
              <w:rPr>
                <w:b w:val="0"/>
                <w:bCs w:val="0"/>
                <w:highlight w:val="none"/>
              </w:rPr>
            </w:pPr>
          </w:p>
        </w:tc>
        <w:tc>
          <w:tcPr>
            <w:tcW w:w="833" w:type="pct"/>
            <w:vMerge w:val="continue"/>
            <w:tcBorders>
              <w:left w:val="single" w:color="000000" w:sz="4" w:space="0"/>
              <w:right w:val="single" w:color="000000" w:sz="4" w:space="0"/>
            </w:tcBorders>
            <w:vAlign w:val="center"/>
          </w:tcPr>
          <w:p>
            <w:pPr>
              <w:jc w:val="center"/>
              <w:rPr>
                <w:b w:val="0"/>
                <w:bCs w:val="0"/>
                <w:highlight w:val="none"/>
              </w:rPr>
            </w:pPr>
          </w:p>
        </w:tc>
      </w:tr>
      <w:tr>
        <w:tblPrEx>
          <w:tblCellMar>
            <w:top w:w="15" w:type="dxa"/>
            <w:left w:w="15" w:type="dxa"/>
            <w:bottom w:w="15" w:type="dxa"/>
            <w:right w:w="15" w:type="dxa"/>
          </w:tblCellMar>
        </w:tblPrEx>
        <w:trPr>
          <w:trHeight w:val="172" w:hRule="atLeast"/>
          <w:jc w:val="center"/>
        </w:trPr>
        <w:tc>
          <w:tcPr>
            <w:tcW w:w="6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b w:val="0"/>
                <w:bCs w:val="0"/>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37</w:t>
            </w:r>
          </w:p>
        </w:tc>
        <w:tc>
          <w:tcPr>
            <w:tcW w:w="34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b w:val="0"/>
                <w:bCs w:val="0"/>
                <w:sz w:val="22"/>
                <w:szCs w:val="22"/>
                <w:highlight w:val="none"/>
                <w:lang w:eastAsia="zh-CN"/>
              </w:rPr>
            </w:pPr>
            <w:r>
              <w:rPr>
                <w:rFonts w:hint="eastAsia" w:ascii="宋体" w:hAnsi="宋体" w:eastAsia="宋体" w:cs="宋体"/>
                <w:i w:val="0"/>
                <w:iCs w:val="0"/>
                <w:color w:val="000000"/>
                <w:kern w:val="0"/>
                <w:sz w:val="22"/>
                <w:szCs w:val="22"/>
                <w:highlight w:val="none"/>
                <w:u w:val="none"/>
                <w:lang w:val="en-US" w:eastAsia="zh-CN" w:bidi="ar"/>
              </w:rPr>
              <w:t>定制柜1</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833" w:type="pct"/>
            <w:tcBorders>
              <w:top w:val="single" w:color="000000" w:sz="4" w:space="0"/>
              <w:left w:val="single" w:color="000000" w:sz="4" w:space="0"/>
              <w:bottom w:val="single" w:color="000000" w:sz="4" w:space="0"/>
              <w:right w:val="single" w:color="000000" w:sz="4" w:space="0"/>
            </w:tcBorders>
            <w:vAlign w:val="center"/>
          </w:tcPr>
          <w:p>
            <w:pPr>
              <w:jc w:val="center"/>
              <w:rPr>
                <w:b w:val="0"/>
                <w:bCs w:val="0"/>
                <w:highlight w:val="none"/>
              </w:rPr>
            </w:pPr>
          </w:p>
        </w:tc>
        <w:tc>
          <w:tcPr>
            <w:tcW w:w="833" w:type="pct"/>
            <w:vMerge w:val="continue"/>
            <w:tcBorders>
              <w:left w:val="single" w:color="000000" w:sz="4" w:space="0"/>
              <w:right w:val="single" w:color="000000" w:sz="4" w:space="0"/>
            </w:tcBorders>
            <w:vAlign w:val="center"/>
          </w:tcPr>
          <w:p>
            <w:pPr>
              <w:jc w:val="center"/>
              <w:rPr>
                <w:b w:val="0"/>
                <w:bCs w:val="0"/>
                <w:highlight w:val="none"/>
              </w:rPr>
            </w:pPr>
          </w:p>
        </w:tc>
      </w:tr>
      <w:tr>
        <w:tblPrEx>
          <w:tblCellMar>
            <w:top w:w="15" w:type="dxa"/>
            <w:left w:w="15" w:type="dxa"/>
            <w:bottom w:w="15" w:type="dxa"/>
            <w:right w:w="15" w:type="dxa"/>
          </w:tblCellMar>
        </w:tblPrEx>
        <w:trPr>
          <w:trHeight w:val="172" w:hRule="atLeast"/>
          <w:jc w:val="center"/>
        </w:trPr>
        <w:tc>
          <w:tcPr>
            <w:tcW w:w="6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b w:val="0"/>
                <w:bCs w:val="0"/>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38</w:t>
            </w:r>
          </w:p>
        </w:tc>
        <w:tc>
          <w:tcPr>
            <w:tcW w:w="34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b w:val="0"/>
                <w:bCs w:val="0"/>
                <w:sz w:val="22"/>
                <w:szCs w:val="22"/>
                <w:highlight w:val="none"/>
                <w:lang w:eastAsia="zh-CN"/>
              </w:rPr>
            </w:pPr>
            <w:r>
              <w:rPr>
                <w:rFonts w:hint="eastAsia" w:ascii="宋体" w:hAnsi="宋体" w:eastAsia="宋体" w:cs="宋体"/>
                <w:i w:val="0"/>
                <w:iCs w:val="0"/>
                <w:color w:val="000000"/>
                <w:kern w:val="0"/>
                <w:sz w:val="22"/>
                <w:szCs w:val="22"/>
                <w:highlight w:val="none"/>
                <w:u w:val="none"/>
                <w:lang w:val="en-US" w:eastAsia="zh-CN" w:bidi="ar"/>
              </w:rPr>
              <w:t>定制柜2</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833" w:type="pct"/>
            <w:tcBorders>
              <w:top w:val="single" w:color="000000" w:sz="4" w:space="0"/>
              <w:left w:val="single" w:color="000000" w:sz="4" w:space="0"/>
              <w:bottom w:val="single" w:color="000000" w:sz="4" w:space="0"/>
              <w:right w:val="single" w:color="000000" w:sz="4" w:space="0"/>
            </w:tcBorders>
            <w:vAlign w:val="center"/>
          </w:tcPr>
          <w:p>
            <w:pPr>
              <w:jc w:val="center"/>
              <w:rPr>
                <w:b w:val="0"/>
                <w:bCs w:val="0"/>
                <w:highlight w:val="none"/>
              </w:rPr>
            </w:pPr>
          </w:p>
        </w:tc>
        <w:tc>
          <w:tcPr>
            <w:tcW w:w="833" w:type="pct"/>
            <w:vMerge w:val="continue"/>
            <w:tcBorders>
              <w:left w:val="single" w:color="000000" w:sz="4" w:space="0"/>
              <w:right w:val="single" w:color="000000" w:sz="4" w:space="0"/>
            </w:tcBorders>
            <w:vAlign w:val="center"/>
          </w:tcPr>
          <w:p>
            <w:pPr>
              <w:jc w:val="center"/>
              <w:rPr>
                <w:b w:val="0"/>
                <w:bCs w:val="0"/>
                <w:highlight w:val="none"/>
              </w:rPr>
            </w:pPr>
          </w:p>
        </w:tc>
      </w:tr>
      <w:tr>
        <w:tblPrEx>
          <w:tblCellMar>
            <w:top w:w="15" w:type="dxa"/>
            <w:left w:w="15" w:type="dxa"/>
            <w:bottom w:w="15" w:type="dxa"/>
            <w:right w:w="15" w:type="dxa"/>
          </w:tblCellMar>
        </w:tblPrEx>
        <w:trPr>
          <w:trHeight w:val="172" w:hRule="atLeast"/>
          <w:jc w:val="center"/>
        </w:trPr>
        <w:tc>
          <w:tcPr>
            <w:tcW w:w="6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b w:val="0"/>
                <w:bCs w:val="0"/>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39</w:t>
            </w:r>
          </w:p>
        </w:tc>
        <w:tc>
          <w:tcPr>
            <w:tcW w:w="34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b w:val="0"/>
                <w:bCs w:val="0"/>
                <w:sz w:val="22"/>
                <w:szCs w:val="22"/>
                <w:highlight w:val="none"/>
                <w:lang w:eastAsia="zh-CN"/>
              </w:rPr>
            </w:pPr>
            <w:r>
              <w:rPr>
                <w:rFonts w:hint="eastAsia" w:ascii="宋体" w:hAnsi="宋体" w:eastAsia="宋体" w:cs="宋体"/>
                <w:i w:val="0"/>
                <w:iCs w:val="0"/>
                <w:color w:val="000000"/>
                <w:kern w:val="0"/>
                <w:sz w:val="22"/>
                <w:szCs w:val="22"/>
                <w:highlight w:val="none"/>
                <w:u w:val="none"/>
                <w:lang w:val="en-US" w:eastAsia="zh-CN" w:bidi="ar"/>
              </w:rPr>
              <w:t>定制柜3</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833" w:type="pct"/>
            <w:tcBorders>
              <w:top w:val="single" w:color="000000" w:sz="4" w:space="0"/>
              <w:left w:val="single" w:color="000000" w:sz="4" w:space="0"/>
              <w:bottom w:val="single" w:color="000000" w:sz="4" w:space="0"/>
              <w:right w:val="single" w:color="000000" w:sz="4" w:space="0"/>
            </w:tcBorders>
            <w:vAlign w:val="center"/>
          </w:tcPr>
          <w:p>
            <w:pPr>
              <w:jc w:val="center"/>
              <w:rPr>
                <w:b w:val="0"/>
                <w:bCs w:val="0"/>
                <w:highlight w:val="none"/>
              </w:rPr>
            </w:pPr>
          </w:p>
        </w:tc>
        <w:tc>
          <w:tcPr>
            <w:tcW w:w="833" w:type="pct"/>
            <w:vMerge w:val="continue"/>
            <w:tcBorders>
              <w:left w:val="single" w:color="000000" w:sz="4" w:space="0"/>
              <w:right w:val="single" w:color="000000" w:sz="4" w:space="0"/>
            </w:tcBorders>
            <w:vAlign w:val="center"/>
          </w:tcPr>
          <w:p>
            <w:pPr>
              <w:jc w:val="center"/>
              <w:rPr>
                <w:b w:val="0"/>
                <w:bCs w:val="0"/>
                <w:highlight w:val="none"/>
              </w:rPr>
            </w:pPr>
          </w:p>
        </w:tc>
      </w:tr>
      <w:tr>
        <w:tblPrEx>
          <w:tblCellMar>
            <w:top w:w="15" w:type="dxa"/>
            <w:left w:w="15" w:type="dxa"/>
            <w:bottom w:w="15" w:type="dxa"/>
            <w:right w:w="15" w:type="dxa"/>
          </w:tblCellMar>
        </w:tblPrEx>
        <w:trPr>
          <w:trHeight w:val="172" w:hRule="atLeast"/>
          <w:jc w:val="center"/>
        </w:trPr>
        <w:tc>
          <w:tcPr>
            <w:tcW w:w="6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b w:val="0"/>
                <w:bCs w:val="0"/>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40</w:t>
            </w:r>
          </w:p>
        </w:tc>
        <w:tc>
          <w:tcPr>
            <w:tcW w:w="34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b w:val="0"/>
                <w:bCs w:val="0"/>
                <w:sz w:val="22"/>
                <w:szCs w:val="22"/>
                <w:highlight w:val="none"/>
                <w:lang w:eastAsia="zh-CN"/>
              </w:rPr>
            </w:pPr>
            <w:r>
              <w:rPr>
                <w:rFonts w:hint="eastAsia" w:ascii="宋体" w:hAnsi="宋体" w:eastAsia="宋体" w:cs="宋体"/>
                <w:i w:val="0"/>
                <w:iCs w:val="0"/>
                <w:color w:val="000000"/>
                <w:kern w:val="0"/>
                <w:sz w:val="22"/>
                <w:szCs w:val="22"/>
                <w:highlight w:val="none"/>
                <w:u w:val="none"/>
                <w:lang w:val="en-US" w:eastAsia="zh-CN" w:bidi="ar"/>
              </w:rPr>
              <w:t>定制柜4</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833" w:type="pct"/>
            <w:tcBorders>
              <w:top w:val="single" w:color="000000" w:sz="4" w:space="0"/>
              <w:left w:val="single" w:color="000000" w:sz="4" w:space="0"/>
              <w:bottom w:val="single" w:color="000000" w:sz="4" w:space="0"/>
              <w:right w:val="single" w:color="000000" w:sz="4" w:space="0"/>
            </w:tcBorders>
            <w:vAlign w:val="center"/>
          </w:tcPr>
          <w:p>
            <w:pPr>
              <w:jc w:val="center"/>
              <w:rPr>
                <w:b w:val="0"/>
                <w:bCs w:val="0"/>
                <w:highlight w:val="none"/>
              </w:rPr>
            </w:pPr>
          </w:p>
        </w:tc>
        <w:tc>
          <w:tcPr>
            <w:tcW w:w="833" w:type="pct"/>
            <w:vMerge w:val="continue"/>
            <w:tcBorders>
              <w:left w:val="single" w:color="000000" w:sz="4" w:space="0"/>
              <w:right w:val="single" w:color="000000" w:sz="4" w:space="0"/>
            </w:tcBorders>
            <w:vAlign w:val="center"/>
          </w:tcPr>
          <w:p>
            <w:pPr>
              <w:jc w:val="center"/>
              <w:rPr>
                <w:b w:val="0"/>
                <w:bCs w:val="0"/>
                <w:highlight w:val="none"/>
              </w:rPr>
            </w:pPr>
          </w:p>
        </w:tc>
      </w:tr>
      <w:tr>
        <w:tblPrEx>
          <w:tblCellMar>
            <w:top w:w="15" w:type="dxa"/>
            <w:left w:w="15" w:type="dxa"/>
            <w:bottom w:w="15" w:type="dxa"/>
            <w:right w:w="15" w:type="dxa"/>
          </w:tblCellMar>
        </w:tblPrEx>
        <w:trPr>
          <w:trHeight w:val="172" w:hRule="atLeast"/>
          <w:jc w:val="center"/>
        </w:trPr>
        <w:tc>
          <w:tcPr>
            <w:tcW w:w="6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b w:val="0"/>
                <w:bCs w:val="0"/>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41</w:t>
            </w:r>
          </w:p>
        </w:tc>
        <w:tc>
          <w:tcPr>
            <w:tcW w:w="34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b w:val="0"/>
                <w:bCs w:val="0"/>
                <w:sz w:val="22"/>
                <w:szCs w:val="22"/>
                <w:highlight w:val="none"/>
                <w:lang w:eastAsia="zh-CN"/>
              </w:rPr>
            </w:pPr>
            <w:r>
              <w:rPr>
                <w:rFonts w:hint="eastAsia" w:ascii="宋体" w:hAnsi="宋体" w:eastAsia="宋体" w:cs="宋体"/>
                <w:i w:val="0"/>
                <w:iCs w:val="0"/>
                <w:color w:val="000000"/>
                <w:kern w:val="0"/>
                <w:sz w:val="22"/>
                <w:szCs w:val="22"/>
                <w:highlight w:val="none"/>
                <w:u w:val="none"/>
                <w:lang w:val="en-US" w:eastAsia="zh-CN" w:bidi="ar"/>
              </w:rPr>
              <w:t>棉被柜1</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833" w:type="pct"/>
            <w:tcBorders>
              <w:top w:val="single" w:color="000000" w:sz="4" w:space="0"/>
              <w:left w:val="single" w:color="000000" w:sz="4" w:space="0"/>
              <w:bottom w:val="single" w:color="000000" w:sz="4" w:space="0"/>
              <w:right w:val="single" w:color="000000" w:sz="4" w:space="0"/>
            </w:tcBorders>
            <w:vAlign w:val="center"/>
          </w:tcPr>
          <w:p>
            <w:pPr>
              <w:jc w:val="center"/>
              <w:rPr>
                <w:b w:val="0"/>
                <w:bCs w:val="0"/>
                <w:highlight w:val="none"/>
              </w:rPr>
            </w:pPr>
          </w:p>
        </w:tc>
        <w:tc>
          <w:tcPr>
            <w:tcW w:w="833" w:type="pct"/>
            <w:vMerge w:val="continue"/>
            <w:tcBorders>
              <w:left w:val="single" w:color="000000" w:sz="4" w:space="0"/>
              <w:right w:val="single" w:color="000000" w:sz="4" w:space="0"/>
            </w:tcBorders>
            <w:vAlign w:val="center"/>
          </w:tcPr>
          <w:p>
            <w:pPr>
              <w:jc w:val="center"/>
              <w:rPr>
                <w:b w:val="0"/>
                <w:bCs w:val="0"/>
                <w:highlight w:val="none"/>
              </w:rPr>
            </w:pPr>
          </w:p>
        </w:tc>
      </w:tr>
      <w:tr>
        <w:tblPrEx>
          <w:tblCellMar>
            <w:top w:w="15" w:type="dxa"/>
            <w:left w:w="15" w:type="dxa"/>
            <w:bottom w:w="15" w:type="dxa"/>
            <w:right w:w="15" w:type="dxa"/>
          </w:tblCellMar>
        </w:tblPrEx>
        <w:trPr>
          <w:trHeight w:val="172" w:hRule="atLeast"/>
          <w:jc w:val="center"/>
        </w:trPr>
        <w:tc>
          <w:tcPr>
            <w:tcW w:w="6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b w:val="0"/>
                <w:bCs w:val="0"/>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42</w:t>
            </w:r>
          </w:p>
        </w:tc>
        <w:tc>
          <w:tcPr>
            <w:tcW w:w="34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b w:val="0"/>
                <w:bCs w:val="0"/>
                <w:sz w:val="22"/>
                <w:szCs w:val="22"/>
                <w:highlight w:val="none"/>
                <w:lang w:eastAsia="zh-CN"/>
              </w:rPr>
            </w:pPr>
            <w:r>
              <w:rPr>
                <w:rFonts w:hint="eastAsia" w:ascii="宋体" w:hAnsi="宋体" w:eastAsia="宋体" w:cs="宋体"/>
                <w:i w:val="0"/>
                <w:iCs w:val="0"/>
                <w:color w:val="000000"/>
                <w:kern w:val="0"/>
                <w:sz w:val="22"/>
                <w:szCs w:val="22"/>
                <w:highlight w:val="none"/>
                <w:u w:val="none"/>
                <w:lang w:val="en-US" w:eastAsia="zh-CN" w:bidi="ar"/>
              </w:rPr>
              <w:t>棉被柜2</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833" w:type="pct"/>
            <w:tcBorders>
              <w:top w:val="single" w:color="000000" w:sz="4" w:space="0"/>
              <w:left w:val="single" w:color="000000" w:sz="4" w:space="0"/>
              <w:bottom w:val="single" w:color="000000" w:sz="4" w:space="0"/>
              <w:right w:val="single" w:color="000000" w:sz="4" w:space="0"/>
            </w:tcBorders>
            <w:vAlign w:val="center"/>
          </w:tcPr>
          <w:p>
            <w:pPr>
              <w:jc w:val="center"/>
              <w:rPr>
                <w:b w:val="0"/>
                <w:bCs w:val="0"/>
                <w:highlight w:val="none"/>
              </w:rPr>
            </w:pPr>
          </w:p>
        </w:tc>
        <w:tc>
          <w:tcPr>
            <w:tcW w:w="833" w:type="pct"/>
            <w:vMerge w:val="continue"/>
            <w:tcBorders>
              <w:left w:val="single" w:color="000000" w:sz="4" w:space="0"/>
              <w:right w:val="single" w:color="000000" w:sz="4" w:space="0"/>
            </w:tcBorders>
            <w:vAlign w:val="center"/>
          </w:tcPr>
          <w:p>
            <w:pPr>
              <w:jc w:val="center"/>
              <w:rPr>
                <w:b w:val="0"/>
                <w:bCs w:val="0"/>
                <w:highlight w:val="none"/>
              </w:rPr>
            </w:pPr>
          </w:p>
        </w:tc>
      </w:tr>
      <w:tr>
        <w:tblPrEx>
          <w:tblCellMar>
            <w:top w:w="15" w:type="dxa"/>
            <w:left w:w="15" w:type="dxa"/>
            <w:bottom w:w="15" w:type="dxa"/>
            <w:right w:w="15" w:type="dxa"/>
          </w:tblCellMar>
        </w:tblPrEx>
        <w:trPr>
          <w:trHeight w:val="172" w:hRule="atLeast"/>
          <w:jc w:val="center"/>
        </w:trPr>
        <w:tc>
          <w:tcPr>
            <w:tcW w:w="6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b w:val="0"/>
                <w:bCs w:val="0"/>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43</w:t>
            </w:r>
          </w:p>
        </w:tc>
        <w:tc>
          <w:tcPr>
            <w:tcW w:w="34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b w:val="0"/>
                <w:bCs w:val="0"/>
                <w:sz w:val="22"/>
                <w:szCs w:val="22"/>
                <w:highlight w:val="none"/>
                <w:lang w:eastAsia="zh-CN"/>
              </w:rPr>
            </w:pPr>
            <w:r>
              <w:rPr>
                <w:rFonts w:hint="eastAsia" w:ascii="宋体" w:hAnsi="宋体" w:eastAsia="宋体" w:cs="宋体"/>
                <w:i w:val="0"/>
                <w:iCs w:val="0"/>
                <w:color w:val="000000"/>
                <w:kern w:val="0"/>
                <w:sz w:val="22"/>
                <w:szCs w:val="22"/>
                <w:highlight w:val="none"/>
                <w:u w:val="none"/>
                <w:lang w:val="en-US" w:eastAsia="zh-CN" w:bidi="ar"/>
              </w:rPr>
              <w:t>棉被柜3</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833" w:type="pct"/>
            <w:tcBorders>
              <w:top w:val="single" w:color="000000" w:sz="4" w:space="0"/>
              <w:left w:val="single" w:color="000000" w:sz="4" w:space="0"/>
              <w:bottom w:val="single" w:color="000000" w:sz="4" w:space="0"/>
              <w:right w:val="single" w:color="000000" w:sz="4" w:space="0"/>
            </w:tcBorders>
            <w:vAlign w:val="center"/>
          </w:tcPr>
          <w:p>
            <w:pPr>
              <w:jc w:val="center"/>
              <w:rPr>
                <w:b w:val="0"/>
                <w:bCs w:val="0"/>
                <w:highlight w:val="none"/>
              </w:rPr>
            </w:pPr>
          </w:p>
        </w:tc>
        <w:tc>
          <w:tcPr>
            <w:tcW w:w="833" w:type="pct"/>
            <w:vMerge w:val="continue"/>
            <w:tcBorders>
              <w:left w:val="single" w:color="000000" w:sz="4" w:space="0"/>
              <w:right w:val="single" w:color="000000" w:sz="4" w:space="0"/>
            </w:tcBorders>
            <w:vAlign w:val="center"/>
          </w:tcPr>
          <w:p>
            <w:pPr>
              <w:jc w:val="center"/>
              <w:rPr>
                <w:b w:val="0"/>
                <w:bCs w:val="0"/>
                <w:highlight w:val="none"/>
              </w:rPr>
            </w:pPr>
          </w:p>
        </w:tc>
      </w:tr>
      <w:tr>
        <w:tblPrEx>
          <w:tblCellMar>
            <w:top w:w="15" w:type="dxa"/>
            <w:left w:w="15" w:type="dxa"/>
            <w:bottom w:w="15" w:type="dxa"/>
            <w:right w:w="15" w:type="dxa"/>
          </w:tblCellMar>
        </w:tblPrEx>
        <w:trPr>
          <w:trHeight w:val="172" w:hRule="atLeast"/>
          <w:jc w:val="center"/>
        </w:trPr>
        <w:tc>
          <w:tcPr>
            <w:tcW w:w="6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b w:val="0"/>
                <w:bCs w:val="0"/>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44</w:t>
            </w:r>
          </w:p>
        </w:tc>
        <w:tc>
          <w:tcPr>
            <w:tcW w:w="34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b w:val="0"/>
                <w:bCs w:val="0"/>
                <w:sz w:val="22"/>
                <w:szCs w:val="22"/>
                <w:highlight w:val="none"/>
                <w:lang w:eastAsia="zh-CN"/>
              </w:rPr>
            </w:pPr>
            <w:r>
              <w:rPr>
                <w:rFonts w:hint="eastAsia" w:ascii="宋体" w:hAnsi="宋体" w:eastAsia="宋体" w:cs="宋体"/>
                <w:i w:val="0"/>
                <w:iCs w:val="0"/>
                <w:color w:val="000000"/>
                <w:kern w:val="0"/>
                <w:sz w:val="22"/>
                <w:szCs w:val="22"/>
                <w:highlight w:val="none"/>
                <w:u w:val="none"/>
                <w:lang w:val="en-US" w:eastAsia="zh-CN" w:bidi="ar"/>
              </w:rPr>
              <w:t>棉被柜4</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833" w:type="pct"/>
            <w:tcBorders>
              <w:top w:val="single" w:color="000000" w:sz="4" w:space="0"/>
              <w:left w:val="single" w:color="000000" w:sz="4" w:space="0"/>
              <w:bottom w:val="single" w:color="000000" w:sz="4" w:space="0"/>
              <w:right w:val="single" w:color="000000" w:sz="4" w:space="0"/>
            </w:tcBorders>
            <w:vAlign w:val="center"/>
          </w:tcPr>
          <w:p>
            <w:pPr>
              <w:jc w:val="center"/>
              <w:rPr>
                <w:b w:val="0"/>
                <w:bCs w:val="0"/>
                <w:highlight w:val="none"/>
              </w:rPr>
            </w:pPr>
          </w:p>
        </w:tc>
        <w:tc>
          <w:tcPr>
            <w:tcW w:w="833" w:type="pct"/>
            <w:vMerge w:val="continue"/>
            <w:tcBorders>
              <w:left w:val="single" w:color="000000" w:sz="4" w:space="0"/>
              <w:right w:val="single" w:color="000000" w:sz="4" w:space="0"/>
            </w:tcBorders>
            <w:vAlign w:val="center"/>
          </w:tcPr>
          <w:p>
            <w:pPr>
              <w:jc w:val="center"/>
              <w:rPr>
                <w:b w:val="0"/>
                <w:bCs w:val="0"/>
                <w:highlight w:val="none"/>
              </w:rPr>
            </w:pPr>
          </w:p>
        </w:tc>
      </w:tr>
      <w:tr>
        <w:tblPrEx>
          <w:tblCellMar>
            <w:top w:w="15" w:type="dxa"/>
            <w:left w:w="15" w:type="dxa"/>
            <w:bottom w:w="15" w:type="dxa"/>
            <w:right w:w="15" w:type="dxa"/>
          </w:tblCellMar>
        </w:tblPrEx>
        <w:trPr>
          <w:trHeight w:val="172" w:hRule="atLeast"/>
          <w:jc w:val="center"/>
        </w:trPr>
        <w:tc>
          <w:tcPr>
            <w:tcW w:w="6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b w:val="0"/>
                <w:bCs w:val="0"/>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45</w:t>
            </w:r>
          </w:p>
        </w:tc>
        <w:tc>
          <w:tcPr>
            <w:tcW w:w="34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b w:val="0"/>
                <w:bCs w:val="0"/>
                <w:sz w:val="22"/>
                <w:szCs w:val="22"/>
                <w:highlight w:val="none"/>
                <w:lang w:eastAsia="zh-CN"/>
              </w:rPr>
            </w:pPr>
            <w:r>
              <w:rPr>
                <w:rFonts w:hint="eastAsia" w:ascii="宋体" w:hAnsi="宋体" w:eastAsia="宋体" w:cs="宋体"/>
                <w:i w:val="0"/>
                <w:iCs w:val="0"/>
                <w:color w:val="000000"/>
                <w:kern w:val="0"/>
                <w:sz w:val="22"/>
                <w:szCs w:val="22"/>
                <w:highlight w:val="none"/>
                <w:u w:val="none"/>
                <w:lang w:val="en-US" w:eastAsia="zh-CN" w:bidi="ar"/>
              </w:rPr>
              <w:t>晨谈柜</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833" w:type="pct"/>
            <w:tcBorders>
              <w:top w:val="single" w:color="000000" w:sz="4" w:space="0"/>
              <w:left w:val="single" w:color="000000" w:sz="4" w:space="0"/>
              <w:bottom w:val="single" w:color="000000" w:sz="4" w:space="0"/>
              <w:right w:val="single" w:color="000000" w:sz="4" w:space="0"/>
            </w:tcBorders>
            <w:vAlign w:val="center"/>
          </w:tcPr>
          <w:p>
            <w:pPr>
              <w:jc w:val="center"/>
              <w:rPr>
                <w:b w:val="0"/>
                <w:bCs w:val="0"/>
                <w:highlight w:val="none"/>
              </w:rPr>
            </w:pPr>
          </w:p>
        </w:tc>
        <w:tc>
          <w:tcPr>
            <w:tcW w:w="833" w:type="pct"/>
            <w:vMerge w:val="continue"/>
            <w:tcBorders>
              <w:left w:val="single" w:color="000000" w:sz="4" w:space="0"/>
              <w:right w:val="single" w:color="000000" w:sz="4" w:space="0"/>
            </w:tcBorders>
            <w:vAlign w:val="center"/>
          </w:tcPr>
          <w:p>
            <w:pPr>
              <w:jc w:val="center"/>
              <w:rPr>
                <w:b w:val="0"/>
                <w:bCs w:val="0"/>
                <w:highlight w:val="none"/>
              </w:rPr>
            </w:pPr>
          </w:p>
        </w:tc>
      </w:tr>
      <w:tr>
        <w:tblPrEx>
          <w:tblCellMar>
            <w:top w:w="15" w:type="dxa"/>
            <w:left w:w="15" w:type="dxa"/>
            <w:bottom w:w="15" w:type="dxa"/>
            <w:right w:w="15" w:type="dxa"/>
          </w:tblCellMar>
        </w:tblPrEx>
        <w:trPr>
          <w:trHeight w:val="172" w:hRule="atLeast"/>
          <w:jc w:val="center"/>
        </w:trPr>
        <w:tc>
          <w:tcPr>
            <w:tcW w:w="6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b w:val="0"/>
                <w:bCs w:val="0"/>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46</w:t>
            </w:r>
          </w:p>
        </w:tc>
        <w:tc>
          <w:tcPr>
            <w:tcW w:w="34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b w:val="0"/>
                <w:bCs w:val="0"/>
                <w:sz w:val="22"/>
                <w:szCs w:val="22"/>
                <w:highlight w:val="none"/>
                <w:lang w:eastAsia="zh-CN"/>
              </w:rPr>
            </w:pPr>
            <w:r>
              <w:rPr>
                <w:rFonts w:hint="eastAsia" w:ascii="宋体" w:hAnsi="宋体" w:eastAsia="宋体" w:cs="宋体"/>
                <w:i w:val="0"/>
                <w:iCs w:val="0"/>
                <w:color w:val="000000"/>
                <w:kern w:val="0"/>
                <w:sz w:val="22"/>
                <w:szCs w:val="22"/>
                <w:highlight w:val="none"/>
                <w:u w:val="none"/>
                <w:lang w:val="en-US" w:eastAsia="zh-CN" w:bidi="ar"/>
              </w:rPr>
              <w:t>午休床</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张</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290</w:t>
            </w:r>
          </w:p>
        </w:tc>
        <w:tc>
          <w:tcPr>
            <w:tcW w:w="833" w:type="pct"/>
            <w:tcBorders>
              <w:top w:val="single" w:color="000000" w:sz="4" w:space="0"/>
              <w:left w:val="single" w:color="000000" w:sz="4" w:space="0"/>
              <w:bottom w:val="single" w:color="000000" w:sz="4" w:space="0"/>
              <w:right w:val="single" w:color="000000" w:sz="4" w:space="0"/>
            </w:tcBorders>
            <w:vAlign w:val="center"/>
          </w:tcPr>
          <w:p>
            <w:pPr>
              <w:jc w:val="center"/>
              <w:rPr>
                <w:b w:val="0"/>
                <w:bCs w:val="0"/>
                <w:highlight w:val="none"/>
              </w:rPr>
            </w:pPr>
          </w:p>
        </w:tc>
        <w:tc>
          <w:tcPr>
            <w:tcW w:w="833" w:type="pct"/>
            <w:vMerge w:val="continue"/>
            <w:tcBorders>
              <w:left w:val="single" w:color="000000" w:sz="4" w:space="0"/>
              <w:right w:val="single" w:color="000000" w:sz="4" w:space="0"/>
            </w:tcBorders>
            <w:vAlign w:val="center"/>
          </w:tcPr>
          <w:p>
            <w:pPr>
              <w:jc w:val="center"/>
              <w:rPr>
                <w:b w:val="0"/>
                <w:bCs w:val="0"/>
                <w:highlight w:val="none"/>
              </w:rPr>
            </w:pPr>
          </w:p>
        </w:tc>
      </w:tr>
      <w:tr>
        <w:tblPrEx>
          <w:tblCellMar>
            <w:top w:w="15" w:type="dxa"/>
            <w:left w:w="15" w:type="dxa"/>
            <w:bottom w:w="15" w:type="dxa"/>
            <w:right w:w="15" w:type="dxa"/>
          </w:tblCellMar>
        </w:tblPrEx>
        <w:trPr>
          <w:trHeight w:val="172" w:hRule="atLeast"/>
          <w:jc w:val="center"/>
        </w:trPr>
        <w:tc>
          <w:tcPr>
            <w:tcW w:w="6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b w:val="0"/>
                <w:bCs w:val="0"/>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47</w:t>
            </w:r>
          </w:p>
        </w:tc>
        <w:tc>
          <w:tcPr>
            <w:tcW w:w="34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b w:val="0"/>
                <w:bCs w:val="0"/>
                <w:sz w:val="22"/>
                <w:szCs w:val="22"/>
                <w:highlight w:val="none"/>
                <w:lang w:eastAsia="zh-CN"/>
              </w:rPr>
            </w:pPr>
            <w:r>
              <w:rPr>
                <w:rFonts w:hint="eastAsia" w:ascii="宋体" w:hAnsi="宋体" w:eastAsia="宋体" w:cs="宋体"/>
                <w:i w:val="0"/>
                <w:iCs w:val="0"/>
                <w:color w:val="000000"/>
                <w:kern w:val="0"/>
                <w:sz w:val="22"/>
                <w:szCs w:val="22"/>
                <w:highlight w:val="none"/>
                <w:u w:val="none"/>
                <w:lang w:val="en-US" w:eastAsia="zh-CN" w:bidi="ar"/>
              </w:rPr>
              <w:t>美术桌</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张</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833" w:type="pct"/>
            <w:tcBorders>
              <w:top w:val="single" w:color="000000" w:sz="4" w:space="0"/>
              <w:left w:val="single" w:color="000000" w:sz="4" w:space="0"/>
              <w:bottom w:val="single" w:color="000000" w:sz="4" w:space="0"/>
              <w:right w:val="single" w:color="000000" w:sz="4" w:space="0"/>
            </w:tcBorders>
            <w:vAlign w:val="center"/>
          </w:tcPr>
          <w:p>
            <w:pPr>
              <w:jc w:val="center"/>
              <w:rPr>
                <w:b w:val="0"/>
                <w:bCs w:val="0"/>
                <w:highlight w:val="none"/>
              </w:rPr>
            </w:pPr>
          </w:p>
        </w:tc>
        <w:tc>
          <w:tcPr>
            <w:tcW w:w="833" w:type="pct"/>
            <w:vMerge w:val="continue"/>
            <w:tcBorders>
              <w:left w:val="single" w:color="000000" w:sz="4" w:space="0"/>
              <w:right w:val="single" w:color="000000" w:sz="4" w:space="0"/>
            </w:tcBorders>
            <w:vAlign w:val="center"/>
          </w:tcPr>
          <w:p>
            <w:pPr>
              <w:jc w:val="center"/>
              <w:rPr>
                <w:b w:val="0"/>
                <w:bCs w:val="0"/>
                <w:highlight w:val="none"/>
              </w:rPr>
            </w:pPr>
          </w:p>
        </w:tc>
      </w:tr>
      <w:tr>
        <w:tblPrEx>
          <w:tblCellMar>
            <w:top w:w="15" w:type="dxa"/>
            <w:left w:w="15" w:type="dxa"/>
            <w:bottom w:w="15" w:type="dxa"/>
            <w:right w:w="15" w:type="dxa"/>
          </w:tblCellMar>
        </w:tblPrEx>
        <w:trPr>
          <w:trHeight w:val="172" w:hRule="atLeast"/>
          <w:jc w:val="center"/>
        </w:trPr>
        <w:tc>
          <w:tcPr>
            <w:tcW w:w="6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b w:val="0"/>
                <w:bCs w:val="0"/>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48</w:t>
            </w:r>
          </w:p>
        </w:tc>
        <w:tc>
          <w:tcPr>
            <w:tcW w:w="34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b w:val="0"/>
                <w:bCs w:val="0"/>
                <w:sz w:val="22"/>
                <w:szCs w:val="22"/>
                <w:highlight w:val="none"/>
                <w:lang w:eastAsia="zh-CN"/>
              </w:rPr>
            </w:pPr>
            <w:r>
              <w:rPr>
                <w:rFonts w:hint="eastAsia" w:ascii="宋体" w:hAnsi="宋体" w:eastAsia="宋体" w:cs="宋体"/>
                <w:i w:val="0"/>
                <w:iCs w:val="0"/>
                <w:color w:val="000000"/>
                <w:kern w:val="0"/>
                <w:sz w:val="22"/>
                <w:szCs w:val="22"/>
                <w:highlight w:val="none"/>
                <w:u w:val="none"/>
                <w:lang w:val="en-US" w:eastAsia="zh-CN" w:bidi="ar"/>
              </w:rPr>
              <w:t>毛巾架</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833" w:type="pct"/>
            <w:tcBorders>
              <w:top w:val="single" w:color="000000" w:sz="4" w:space="0"/>
              <w:left w:val="single" w:color="000000" w:sz="4" w:space="0"/>
              <w:bottom w:val="single" w:color="000000" w:sz="4" w:space="0"/>
              <w:right w:val="single" w:color="000000" w:sz="4" w:space="0"/>
            </w:tcBorders>
            <w:vAlign w:val="center"/>
          </w:tcPr>
          <w:p>
            <w:pPr>
              <w:jc w:val="center"/>
              <w:rPr>
                <w:b w:val="0"/>
                <w:bCs w:val="0"/>
                <w:highlight w:val="none"/>
              </w:rPr>
            </w:pPr>
          </w:p>
        </w:tc>
        <w:tc>
          <w:tcPr>
            <w:tcW w:w="833" w:type="pct"/>
            <w:vMerge w:val="continue"/>
            <w:tcBorders>
              <w:left w:val="single" w:color="000000" w:sz="4" w:space="0"/>
              <w:right w:val="single" w:color="000000" w:sz="4" w:space="0"/>
            </w:tcBorders>
            <w:vAlign w:val="center"/>
          </w:tcPr>
          <w:p>
            <w:pPr>
              <w:jc w:val="center"/>
              <w:rPr>
                <w:b w:val="0"/>
                <w:bCs w:val="0"/>
                <w:highlight w:val="none"/>
              </w:rPr>
            </w:pPr>
          </w:p>
        </w:tc>
      </w:tr>
      <w:tr>
        <w:tblPrEx>
          <w:tblCellMar>
            <w:top w:w="15" w:type="dxa"/>
            <w:left w:w="15" w:type="dxa"/>
            <w:bottom w:w="15" w:type="dxa"/>
            <w:right w:w="15" w:type="dxa"/>
          </w:tblCellMar>
        </w:tblPrEx>
        <w:trPr>
          <w:trHeight w:val="172" w:hRule="atLeast"/>
          <w:jc w:val="center"/>
        </w:trPr>
        <w:tc>
          <w:tcPr>
            <w:tcW w:w="6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b w:val="0"/>
                <w:bCs w:val="0"/>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49</w:t>
            </w:r>
          </w:p>
        </w:tc>
        <w:tc>
          <w:tcPr>
            <w:tcW w:w="34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b w:val="0"/>
                <w:bCs w:val="0"/>
                <w:sz w:val="22"/>
                <w:szCs w:val="22"/>
                <w:highlight w:val="none"/>
                <w:lang w:eastAsia="zh-CN"/>
              </w:rPr>
            </w:pPr>
            <w:r>
              <w:rPr>
                <w:rFonts w:hint="eastAsia" w:ascii="宋体" w:hAnsi="宋体" w:eastAsia="宋体" w:cs="宋体"/>
                <w:i w:val="0"/>
                <w:iCs w:val="0"/>
                <w:color w:val="000000"/>
                <w:kern w:val="0"/>
                <w:sz w:val="22"/>
                <w:szCs w:val="22"/>
                <w:highlight w:val="none"/>
                <w:u w:val="none"/>
                <w:lang w:val="en-US" w:eastAsia="zh-CN" w:bidi="ar"/>
              </w:rPr>
              <w:t>木制小沙发</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张</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833" w:type="pct"/>
            <w:tcBorders>
              <w:top w:val="single" w:color="000000" w:sz="4" w:space="0"/>
              <w:left w:val="single" w:color="000000" w:sz="4" w:space="0"/>
              <w:bottom w:val="single" w:color="000000" w:sz="4" w:space="0"/>
              <w:right w:val="single" w:color="000000" w:sz="4" w:space="0"/>
            </w:tcBorders>
            <w:vAlign w:val="center"/>
          </w:tcPr>
          <w:p>
            <w:pPr>
              <w:jc w:val="center"/>
              <w:rPr>
                <w:b w:val="0"/>
                <w:bCs w:val="0"/>
                <w:highlight w:val="none"/>
              </w:rPr>
            </w:pPr>
          </w:p>
        </w:tc>
        <w:tc>
          <w:tcPr>
            <w:tcW w:w="833" w:type="pct"/>
            <w:vMerge w:val="continue"/>
            <w:tcBorders>
              <w:left w:val="single" w:color="000000" w:sz="4" w:space="0"/>
              <w:right w:val="single" w:color="000000" w:sz="4" w:space="0"/>
            </w:tcBorders>
            <w:vAlign w:val="center"/>
          </w:tcPr>
          <w:p>
            <w:pPr>
              <w:jc w:val="center"/>
              <w:rPr>
                <w:b w:val="0"/>
                <w:bCs w:val="0"/>
                <w:highlight w:val="none"/>
              </w:rPr>
            </w:pPr>
          </w:p>
        </w:tc>
      </w:tr>
      <w:tr>
        <w:tblPrEx>
          <w:tblCellMar>
            <w:top w:w="15" w:type="dxa"/>
            <w:left w:w="15" w:type="dxa"/>
            <w:bottom w:w="15" w:type="dxa"/>
            <w:right w:w="15" w:type="dxa"/>
          </w:tblCellMar>
        </w:tblPrEx>
        <w:trPr>
          <w:trHeight w:val="172" w:hRule="atLeast"/>
          <w:jc w:val="center"/>
        </w:trPr>
        <w:tc>
          <w:tcPr>
            <w:tcW w:w="6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b w:val="0"/>
                <w:bCs w:val="0"/>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50</w:t>
            </w:r>
          </w:p>
        </w:tc>
        <w:tc>
          <w:tcPr>
            <w:tcW w:w="34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b w:val="0"/>
                <w:bCs w:val="0"/>
                <w:sz w:val="22"/>
                <w:szCs w:val="22"/>
                <w:highlight w:val="none"/>
                <w:lang w:eastAsia="zh-CN"/>
              </w:rPr>
            </w:pPr>
            <w:r>
              <w:rPr>
                <w:rFonts w:hint="eastAsia" w:ascii="宋体" w:hAnsi="宋体" w:eastAsia="宋体" w:cs="宋体"/>
                <w:i w:val="0"/>
                <w:iCs w:val="0"/>
                <w:color w:val="000000"/>
                <w:kern w:val="0"/>
                <w:sz w:val="22"/>
                <w:szCs w:val="22"/>
                <w:highlight w:val="none"/>
                <w:u w:val="none"/>
                <w:lang w:val="en-US" w:eastAsia="zh-CN" w:bidi="ar"/>
              </w:rPr>
              <w:t>木制双人小沙发</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张</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833" w:type="pct"/>
            <w:tcBorders>
              <w:top w:val="single" w:color="000000" w:sz="4" w:space="0"/>
              <w:left w:val="single" w:color="000000" w:sz="4" w:space="0"/>
              <w:bottom w:val="single" w:color="000000" w:sz="4" w:space="0"/>
              <w:right w:val="single" w:color="000000" w:sz="4" w:space="0"/>
            </w:tcBorders>
            <w:vAlign w:val="center"/>
          </w:tcPr>
          <w:p>
            <w:pPr>
              <w:jc w:val="center"/>
              <w:rPr>
                <w:b w:val="0"/>
                <w:bCs w:val="0"/>
                <w:highlight w:val="none"/>
              </w:rPr>
            </w:pPr>
          </w:p>
        </w:tc>
        <w:tc>
          <w:tcPr>
            <w:tcW w:w="833" w:type="pct"/>
            <w:vMerge w:val="continue"/>
            <w:tcBorders>
              <w:left w:val="single" w:color="000000" w:sz="4" w:space="0"/>
              <w:right w:val="single" w:color="000000" w:sz="4" w:space="0"/>
            </w:tcBorders>
            <w:vAlign w:val="center"/>
          </w:tcPr>
          <w:p>
            <w:pPr>
              <w:jc w:val="center"/>
              <w:rPr>
                <w:b w:val="0"/>
                <w:bCs w:val="0"/>
                <w:highlight w:val="none"/>
              </w:rPr>
            </w:pPr>
          </w:p>
        </w:tc>
      </w:tr>
      <w:tr>
        <w:tblPrEx>
          <w:tblCellMar>
            <w:top w:w="15" w:type="dxa"/>
            <w:left w:w="15" w:type="dxa"/>
            <w:bottom w:w="15" w:type="dxa"/>
            <w:right w:w="15" w:type="dxa"/>
          </w:tblCellMar>
        </w:tblPrEx>
        <w:trPr>
          <w:trHeight w:val="172" w:hRule="atLeast"/>
          <w:jc w:val="center"/>
        </w:trPr>
        <w:tc>
          <w:tcPr>
            <w:tcW w:w="6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b w:val="0"/>
                <w:bCs w:val="0"/>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51</w:t>
            </w:r>
          </w:p>
        </w:tc>
        <w:tc>
          <w:tcPr>
            <w:tcW w:w="34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b w:val="0"/>
                <w:bCs w:val="0"/>
                <w:sz w:val="22"/>
                <w:szCs w:val="22"/>
                <w:highlight w:val="none"/>
                <w:lang w:eastAsia="zh-CN"/>
              </w:rPr>
            </w:pPr>
            <w:r>
              <w:rPr>
                <w:rFonts w:hint="eastAsia" w:ascii="宋体" w:hAnsi="宋体" w:eastAsia="宋体" w:cs="宋体"/>
                <w:i w:val="0"/>
                <w:iCs w:val="0"/>
                <w:color w:val="000000"/>
                <w:kern w:val="0"/>
                <w:sz w:val="22"/>
                <w:szCs w:val="22"/>
                <w:highlight w:val="none"/>
                <w:u w:val="none"/>
                <w:lang w:val="en-US" w:eastAsia="zh-CN" w:bidi="ar"/>
              </w:rPr>
              <w:t>单人小沙发</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张</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833" w:type="pct"/>
            <w:tcBorders>
              <w:top w:val="single" w:color="000000" w:sz="4" w:space="0"/>
              <w:left w:val="single" w:color="000000" w:sz="4" w:space="0"/>
              <w:bottom w:val="single" w:color="000000" w:sz="4" w:space="0"/>
              <w:right w:val="single" w:color="000000" w:sz="4" w:space="0"/>
            </w:tcBorders>
            <w:vAlign w:val="center"/>
          </w:tcPr>
          <w:p>
            <w:pPr>
              <w:jc w:val="center"/>
              <w:rPr>
                <w:b w:val="0"/>
                <w:bCs w:val="0"/>
                <w:highlight w:val="none"/>
              </w:rPr>
            </w:pPr>
          </w:p>
        </w:tc>
        <w:tc>
          <w:tcPr>
            <w:tcW w:w="833" w:type="pct"/>
            <w:vMerge w:val="continue"/>
            <w:tcBorders>
              <w:left w:val="single" w:color="000000" w:sz="4" w:space="0"/>
              <w:right w:val="single" w:color="000000" w:sz="4" w:space="0"/>
            </w:tcBorders>
            <w:vAlign w:val="center"/>
          </w:tcPr>
          <w:p>
            <w:pPr>
              <w:jc w:val="center"/>
              <w:rPr>
                <w:b w:val="0"/>
                <w:bCs w:val="0"/>
                <w:highlight w:val="none"/>
              </w:rPr>
            </w:pPr>
          </w:p>
        </w:tc>
      </w:tr>
      <w:tr>
        <w:tblPrEx>
          <w:tblCellMar>
            <w:top w:w="15" w:type="dxa"/>
            <w:left w:w="15" w:type="dxa"/>
            <w:bottom w:w="15" w:type="dxa"/>
            <w:right w:w="15" w:type="dxa"/>
          </w:tblCellMar>
        </w:tblPrEx>
        <w:trPr>
          <w:trHeight w:val="172" w:hRule="atLeast"/>
          <w:jc w:val="center"/>
        </w:trPr>
        <w:tc>
          <w:tcPr>
            <w:tcW w:w="6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b w:val="0"/>
                <w:bCs w:val="0"/>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52</w:t>
            </w:r>
          </w:p>
        </w:tc>
        <w:tc>
          <w:tcPr>
            <w:tcW w:w="34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b w:val="0"/>
                <w:bCs w:val="0"/>
                <w:sz w:val="22"/>
                <w:szCs w:val="22"/>
                <w:highlight w:val="none"/>
                <w:lang w:eastAsia="zh-CN"/>
              </w:rPr>
            </w:pPr>
            <w:r>
              <w:rPr>
                <w:rFonts w:hint="eastAsia" w:ascii="宋体" w:hAnsi="宋体" w:eastAsia="宋体" w:cs="宋体"/>
                <w:i w:val="0"/>
                <w:iCs w:val="0"/>
                <w:color w:val="000000"/>
                <w:kern w:val="0"/>
                <w:sz w:val="22"/>
                <w:szCs w:val="22"/>
                <w:highlight w:val="none"/>
                <w:u w:val="none"/>
                <w:lang w:val="en-US" w:eastAsia="zh-CN" w:bidi="ar"/>
              </w:rPr>
              <w:t>双人小沙发</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张</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val="0"/>
                <w:highlight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833" w:type="pct"/>
            <w:tcBorders>
              <w:top w:val="single" w:color="000000" w:sz="4" w:space="0"/>
              <w:left w:val="single" w:color="000000" w:sz="4" w:space="0"/>
              <w:bottom w:val="single" w:color="000000" w:sz="4" w:space="0"/>
              <w:right w:val="single" w:color="000000" w:sz="4" w:space="0"/>
            </w:tcBorders>
            <w:vAlign w:val="center"/>
          </w:tcPr>
          <w:p>
            <w:pPr>
              <w:jc w:val="center"/>
              <w:rPr>
                <w:b w:val="0"/>
                <w:bCs w:val="0"/>
                <w:highlight w:val="none"/>
              </w:rPr>
            </w:pPr>
          </w:p>
        </w:tc>
        <w:tc>
          <w:tcPr>
            <w:tcW w:w="833" w:type="pct"/>
            <w:vMerge w:val="continue"/>
            <w:tcBorders>
              <w:left w:val="single" w:color="000000" w:sz="4" w:space="0"/>
              <w:bottom w:val="single" w:color="000000" w:sz="4" w:space="0"/>
              <w:right w:val="single" w:color="000000" w:sz="4" w:space="0"/>
            </w:tcBorders>
            <w:vAlign w:val="center"/>
          </w:tcPr>
          <w:p>
            <w:pPr>
              <w:jc w:val="center"/>
              <w:rPr>
                <w:b w:val="0"/>
                <w:bCs w:val="0"/>
                <w:highlight w:val="none"/>
              </w:rPr>
            </w:pPr>
          </w:p>
        </w:tc>
      </w:tr>
    </w:tbl>
    <w:p>
      <w:pPr>
        <w:rPr>
          <w:color w:val="FF0000"/>
          <w:highlight w:val="none"/>
        </w:rPr>
      </w:pPr>
      <w:r>
        <w:rPr>
          <w:rFonts w:hint="eastAsia"/>
          <w:color w:val="FF0000"/>
          <w:highlight w:val="none"/>
        </w:rPr>
        <w:t>备注：</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FF0000"/>
          <w:highlight w:val="none"/>
        </w:rPr>
      </w:pPr>
      <w:r>
        <w:rPr>
          <w:rFonts w:hint="eastAsia"/>
          <w:color w:val="FF0000"/>
          <w:highlight w:val="none"/>
          <w:lang w:val="en-US" w:eastAsia="zh-CN"/>
        </w:rPr>
        <w:t>1、</w:t>
      </w:r>
      <w:r>
        <w:rPr>
          <w:rFonts w:hint="eastAsia"/>
          <w:color w:val="FF0000"/>
          <w:highlight w:val="none"/>
        </w:rPr>
        <w:t>“备注”栏注明有“接受进口”或“允许进口”的产品允许投标人选用进口产品参与投标，但不排斥国内产品投标；未注明“接受进口”或“允许进口”的产品均不接受进口产品投标。</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color w:val="FF0000"/>
          <w:highlight w:val="none"/>
        </w:rPr>
      </w:pPr>
      <w:r>
        <w:rPr>
          <w:rFonts w:hint="eastAsia"/>
          <w:color w:val="FF0000"/>
          <w:highlight w:val="none"/>
          <w:lang w:val="en-US" w:eastAsia="zh-CN"/>
        </w:rPr>
        <w:t>2、</w:t>
      </w:r>
      <w:r>
        <w:rPr>
          <w:rFonts w:hint="eastAsia"/>
          <w:color w:val="FF0000"/>
          <w:highlight w:val="none"/>
        </w:rPr>
        <w:t>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FF0000"/>
          <w:highlight w:val="none"/>
        </w:rPr>
      </w:pPr>
      <w:r>
        <w:rPr>
          <w:rFonts w:hint="eastAsia"/>
          <w:color w:val="FF0000"/>
          <w:highlight w:val="none"/>
          <w:lang w:val="en-US" w:eastAsia="zh-CN"/>
        </w:rPr>
        <w:t>3、</w:t>
      </w:r>
      <w:r>
        <w:rPr>
          <w:rFonts w:hint="eastAsia"/>
          <w:color w:val="FF0000"/>
          <w:highlight w:val="none"/>
        </w:rPr>
        <w:t>如注明有单价控制金额的产品，投标人对该产品的报价不得超过控制金额，否则将作投标无效处理。</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FF0000"/>
          <w:highlight w:val="none"/>
        </w:rPr>
      </w:pPr>
      <w:r>
        <w:rPr>
          <w:rFonts w:hint="eastAsia"/>
          <w:color w:val="FF0000"/>
          <w:highlight w:val="none"/>
          <w:lang w:val="en-US" w:eastAsia="zh-CN"/>
        </w:rPr>
        <w:t>4、</w:t>
      </w:r>
      <w:r>
        <w:rPr>
          <w:rFonts w:hint="eastAsia"/>
          <w:color w:val="FF0000"/>
          <w:highlight w:val="none"/>
        </w:rPr>
        <w:t>根据《政府采购货物和服务招标投标管理办法》（财政部令第87号）第三十一条规定，单一产品项目或非单一产品项目中的核心产品均应明确品牌，投标人未填报品牌的将作投标无效处理。</w:t>
      </w:r>
    </w:p>
    <w:p>
      <w:pPr>
        <w:ind w:firstLine="420" w:firstLineChars="200"/>
        <w:rPr>
          <w:color w:val="FF0000"/>
          <w:highlight w:val="none"/>
        </w:rPr>
      </w:pPr>
    </w:p>
    <w:p>
      <w:pPr>
        <w:ind w:firstLine="420" w:firstLineChars="200"/>
        <w:rPr>
          <w:color w:val="FF0000"/>
          <w:highlight w:val="none"/>
        </w:rPr>
      </w:pPr>
    </w:p>
    <w:p>
      <w:pPr>
        <w:pStyle w:val="3"/>
        <w:jc w:val="center"/>
        <w:rPr>
          <w:highlight w:val="none"/>
        </w:rPr>
      </w:pPr>
      <w:bookmarkStart w:id="14" w:name="_Toc128884461"/>
      <w:r>
        <w:rPr>
          <w:rFonts w:hint="eastAsia"/>
          <w:highlight w:val="none"/>
        </w:rPr>
        <w:t>三、实质性条款</w:t>
      </w:r>
    </w:p>
    <w:tbl>
      <w:tblPr>
        <w:tblStyle w:val="16"/>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5" w:type="dxa"/>
            <w:vAlign w:val="center"/>
          </w:tcPr>
          <w:p>
            <w:pPr>
              <w:rPr>
                <w:highlight w:val="none"/>
              </w:rPr>
            </w:pPr>
            <w:r>
              <w:rPr>
                <w:rFonts w:hint="eastAsia"/>
                <w:highlight w:val="none"/>
              </w:rPr>
              <w:t>序号</w:t>
            </w:r>
          </w:p>
        </w:tc>
        <w:tc>
          <w:tcPr>
            <w:tcW w:w="7483" w:type="dxa"/>
            <w:vAlign w:val="center"/>
          </w:tcPr>
          <w:p>
            <w:pPr>
              <w:jc w:val="center"/>
              <w:rPr>
                <w:highlight w:val="none"/>
              </w:rPr>
            </w:pPr>
            <w:r>
              <w:rPr>
                <w:rFonts w:hint="eastAsia"/>
                <w:highlight w:val="none"/>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pPr>
              <w:jc w:val="center"/>
              <w:rPr>
                <w:highlight w:val="none"/>
              </w:rPr>
            </w:pPr>
            <w:r>
              <w:rPr>
                <w:rFonts w:hint="eastAsia"/>
                <w:highlight w:val="none"/>
              </w:rPr>
              <w:t>1</w:t>
            </w:r>
          </w:p>
        </w:tc>
        <w:tc>
          <w:tcPr>
            <w:tcW w:w="7483" w:type="dxa"/>
          </w:tcPr>
          <w:p>
            <w:pPr>
              <w:jc w:val="center"/>
              <w:rPr>
                <w:rFonts w:hint="eastAsia" w:eastAsiaTheme="minorEastAsia"/>
                <w:highlight w:val="none"/>
                <w:lang w:eastAsia="zh-CN"/>
              </w:rPr>
            </w:pPr>
            <w:r>
              <w:rPr>
                <w:rFonts w:hint="eastAsia"/>
                <w:highlight w:val="none"/>
              </w:rPr>
              <w:t>本项目招标文件中所有带★号条款</w:t>
            </w:r>
            <w:r>
              <w:rPr>
                <w:rFonts w:hint="eastAsia"/>
                <w:highlight w:val="none"/>
                <w:lang w:val="en-US" w:eastAsia="zh-CN"/>
              </w:rPr>
              <w:t>内容</w:t>
            </w:r>
          </w:p>
        </w:tc>
      </w:tr>
      <w:bookmarkEnd w:id="14"/>
    </w:tbl>
    <w:p>
      <w:pPr>
        <w:rPr>
          <w:rFonts w:hint="default"/>
          <w:highlight w:val="none"/>
          <w:lang w:val="en-US"/>
        </w:rPr>
      </w:pPr>
      <w:r>
        <w:rPr>
          <w:rFonts w:hint="eastAsia"/>
          <w:b/>
          <w:color w:val="FF0000"/>
          <w:highlight w:val="none"/>
        </w:rPr>
        <w:t>注</w:t>
      </w:r>
      <w:r>
        <w:rPr>
          <w:rFonts w:hint="eastAsia"/>
          <w:highlight w:val="none"/>
        </w:rPr>
        <w:t>：</w:t>
      </w:r>
      <w:r>
        <w:rPr>
          <w:rFonts w:hint="eastAsia"/>
          <w:b/>
          <w:color w:val="FF0000"/>
          <w:highlight w:val="none"/>
        </w:rPr>
        <w:t>上表所列内容为不可负偏离条款，负偏离将视为未实质性满足招标文件要求</w:t>
      </w:r>
      <w:r>
        <w:rPr>
          <w:rFonts w:hint="eastAsia"/>
          <w:b/>
          <w:color w:val="FF0000"/>
          <w:highlight w:val="none"/>
          <w:lang w:eastAsia="zh-CN"/>
        </w:rPr>
        <w:t>，</w:t>
      </w:r>
      <w:r>
        <w:rPr>
          <w:rFonts w:hint="eastAsia"/>
          <w:b/>
          <w:color w:val="FF0000"/>
          <w:highlight w:val="none"/>
        </w:rPr>
        <w:t>作投标无效处理。投标人是否满足</w:t>
      </w:r>
      <w:r>
        <w:rPr>
          <w:rFonts w:hint="eastAsia"/>
          <w:b/>
          <w:color w:val="FF0000"/>
          <w:highlight w:val="none"/>
          <w:lang w:val="en-US" w:eastAsia="zh-CN"/>
        </w:rPr>
        <w:t>以上实质性</w:t>
      </w:r>
      <w:r>
        <w:rPr>
          <w:rFonts w:hint="eastAsia"/>
          <w:b/>
          <w:color w:val="FF0000"/>
          <w:highlight w:val="none"/>
        </w:rPr>
        <w:t>条款要求，</w:t>
      </w:r>
      <w:r>
        <w:rPr>
          <w:rFonts w:hint="eastAsia"/>
          <w:b/>
          <w:color w:val="FF0000"/>
          <w:highlight w:val="none"/>
          <w:lang w:val="en-US" w:eastAsia="zh-CN"/>
        </w:rPr>
        <w:t>以</w:t>
      </w:r>
      <w:r>
        <w:rPr>
          <w:rFonts w:hint="eastAsia"/>
          <w:b/>
          <w:color w:val="FF0000"/>
          <w:highlight w:val="none"/>
          <w:lang w:eastAsia="zh-CN"/>
        </w:rPr>
        <w:t>《</w:t>
      </w:r>
      <w:r>
        <w:rPr>
          <w:rFonts w:hint="eastAsia"/>
          <w:b/>
          <w:color w:val="FF0000"/>
          <w:highlight w:val="none"/>
        </w:rPr>
        <w:t>实质性条款响应情况表</w:t>
      </w:r>
      <w:r>
        <w:rPr>
          <w:rFonts w:hint="eastAsia"/>
          <w:b/>
          <w:color w:val="FF0000"/>
          <w:highlight w:val="none"/>
          <w:lang w:eastAsia="zh-CN"/>
        </w:rPr>
        <w:t>》</w:t>
      </w:r>
      <w:r>
        <w:rPr>
          <w:rFonts w:hint="eastAsia"/>
          <w:b/>
          <w:color w:val="FF0000"/>
          <w:highlight w:val="none"/>
          <w:lang w:val="en-US" w:eastAsia="zh-CN"/>
        </w:rPr>
        <w:t>响应为准。</w:t>
      </w:r>
      <w:r>
        <w:rPr>
          <w:rFonts w:hint="eastAsia"/>
          <w:b/>
          <w:color w:val="FF0000"/>
          <w:highlight w:val="none"/>
        </w:rPr>
        <w:t>如投标人中标后被发现不能满足</w:t>
      </w:r>
      <w:r>
        <w:rPr>
          <w:rFonts w:hint="eastAsia"/>
          <w:b/>
          <w:color w:val="FF0000"/>
          <w:highlight w:val="none"/>
          <w:lang w:val="en-US" w:eastAsia="zh-CN"/>
        </w:rPr>
        <w:t>以上实质性</w:t>
      </w:r>
      <w:r>
        <w:rPr>
          <w:rFonts w:hint="eastAsia"/>
          <w:b/>
          <w:color w:val="FF0000"/>
          <w:highlight w:val="none"/>
        </w:rPr>
        <w:t>条款要求的，采购单位有权拒绝签订合同，一切后果由投标人承担。</w:t>
      </w:r>
    </w:p>
    <w:p>
      <w:pPr>
        <w:pStyle w:val="9"/>
        <w:rPr>
          <w:highlight w:val="none"/>
        </w:rPr>
      </w:pPr>
    </w:p>
    <w:p>
      <w:pPr>
        <w:ind w:firstLine="420" w:firstLineChars="200"/>
        <w:rPr>
          <w:highlight w:val="none"/>
        </w:rPr>
      </w:pPr>
    </w:p>
    <w:p>
      <w:pPr>
        <w:rPr>
          <w:highlight w:val="none"/>
        </w:rPr>
      </w:pPr>
    </w:p>
    <w:p>
      <w:pPr>
        <w:ind w:firstLine="420" w:firstLineChars="200"/>
        <w:rPr>
          <w:highlight w:val="none"/>
        </w:rPr>
      </w:pPr>
    </w:p>
    <w:p>
      <w:pPr>
        <w:rPr>
          <w:b/>
          <w:color w:val="FF0000"/>
          <w:highlight w:val="none"/>
        </w:rPr>
      </w:pPr>
    </w:p>
    <w:p>
      <w:pPr>
        <w:rPr>
          <w:b/>
          <w:color w:val="FF0000"/>
          <w:highlight w:val="none"/>
        </w:rPr>
      </w:pPr>
    </w:p>
    <w:p>
      <w:pPr>
        <w:keepNext/>
        <w:keepLines/>
        <w:tabs>
          <w:tab w:val="left" w:pos="1680"/>
        </w:tabs>
        <w:spacing w:before="260" w:afterLines="25"/>
        <w:jc w:val="center"/>
        <w:outlineLvl w:val="2"/>
        <w:rPr>
          <w:rFonts w:hint="eastAsia" w:ascii="Arial" w:hAnsi="Arial" w:eastAsia="宋体" w:cs="Times New Roman"/>
          <w:b/>
          <w:bCs/>
          <w:color w:val="FF0000"/>
          <w:sz w:val="32"/>
          <w:szCs w:val="32"/>
          <w:highlight w:val="none"/>
          <w:lang w:eastAsia="zh-CN"/>
        </w:rPr>
      </w:pPr>
      <w:r>
        <w:rPr>
          <w:rFonts w:hint="eastAsia"/>
          <w:b/>
          <w:color w:val="FF0000"/>
          <w:sz w:val="32"/>
          <w:szCs w:val="32"/>
          <w:highlight w:val="none"/>
        </w:rPr>
        <w:t>★</w:t>
      </w:r>
      <w:r>
        <w:rPr>
          <w:rFonts w:hint="eastAsia"/>
          <w:b/>
          <w:color w:val="FF0000"/>
          <w:sz w:val="32"/>
          <w:szCs w:val="32"/>
          <w:highlight w:val="none"/>
          <w:lang w:val="en-US" w:eastAsia="zh-CN"/>
        </w:rPr>
        <w:t>四</w:t>
      </w:r>
      <w:r>
        <w:rPr>
          <w:rFonts w:hint="eastAsia" w:ascii="Arial" w:hAnsi="Arial" w:eastAsia="宋体" w:cs="Times New Roman"/>
          <w:b/>
          <w:bCs/>
          <w:color w:val="FF0000"/>
          <w:sz w:val="32"/>
          <w:szCs w:val="32"/>
          <w:highlight w:val="none"/>
        </w:rPr>
        <w:t>、商务和服务条款</w:t>
      </w:r>
      <w:r>
        <w:rPr>
          <w:rFonts w:hint="eastAsia" w:ascii="Arial" w:hAnsi="Arial" w:eastAsia="宋体" w:cs="Times New Roman"/>
          <w:b/>
          <w:bCs/>
          <w:color w:val="FF0000"/>
          <w:sz w:val="32"/>
          <w:szCs w:val="32"/>
          <w:highlight w:val="none"/>
          <w:lang w:val="en-US" w:eastAsia="zh-CN"/>
        </w:rPr>
        <w:t>要求</w:t>
      </w:r>
    </w:p>
    <w:p>
      <w:pPr>
        <w:keepNext/>
        <w:keepLines/>
        <w:tabs>
          <w:tab w:val="left" w:pos="1680"/>
        </w:tabs>
        <w:spacing w:before="260" w:afterLines="25"/>
        <w:jc w:val="both"/>
        <w:outlineLvl w:val="2"/>
        <w:rPr>
          <w:rFonts w:hint="eastAsia" w:ascii="Arial" w:hAnsi="Arial" w:cs="Times New Roman" w:eastAsiaTheme="minorEastAsia"/>
          <w:b/>
          <w:bCs/>
          <w:color w:val="FF0000"/>
          <w:sz w:val="32"/>
          <w:szCs w:val="32"/>
          <w:highlight w:val="none"/>
          <w:lang w:eastAsia="zh-CN"/>
        </w:rPr>
      </w:pPr>
      <w:r>
        <w:rPr>
          <w:rFonts w:hint="eastAsia"/>
          <w:b/>
          <w:color w:val="FF0000"/>
          <w:highlight w:val="none"/>
        </w:rPr>
        <w:t>本部分内容为项目正常开展的基本要求，均为★号条款要求</w:t>
      </w:r>
      <w:r>
        <w:rPr>
          <w:rFonts w:hint="eastAsia"/>
          <w:b/>
          <w:color w:val="FF0000"/>
          <w:highlight w:val="none"/>
          <w:lang w:eastAsia="zh-CN"/>
        </w:rPr>
        <w:t>。</w:t>
      </w:r>
    </w:p>
    <w:tbl>
      <w:tblPr>
        <w:tblStyle w:val="16"/>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7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pPr>
              <w:spacing w:afterLines="25" w:line="300" w:lineRule="auto"/>
              <w:jc w:val="center"/>
              <w:rPr>
                <w:rFonts w:ascii="宋体" w:hAnsi="宋体" w:eastAsia="宋体" w:cs="宋体"/>
                <w:b/>
                <w:szCs w:val="21"/>
                <w:highlight w:val="none"/>
              </w:rPr>
            </w:pPr>
            <w:r>
              <w:rPr>
                <w:rFonts w:hint="eastAsia" w:ascii="宋体" w:hAnsi="宋体" w:eastAsia="宋体" w:cs="宋体"/>
                <w:b/>
                <w:color w:val="FF0000"/>
                <w:szCs w:val="21"/>
                <w:highlight w:val="none"/>
              </w:rPr>
              <w:t>报价要求</w:t>
            </w:r>
          </w:p>
        </w:tc>
        <w:tc>
          <w:tcPr>
            <w:tcW w:w="7797" w:type="dxa"/>
            <w:tcBorders>
              <w:top w:val="single" w:color="auto" w:sz="4" w:space="0"/>
              <w:left w:val="single" w:color="auto" w:sz="4" w:space="0"/>
              <w:bottom w:val="single" w:color="auto" w:sz="4" w:space="0"/>
              <w:right w:val="single" w:color="auto" w:sz="4" w:space="0"/>
            </w:tcBorders>
          </w:tcPr>
          <w:p>
            <w:pPr>
              <w:snapToGrid w:val="0"/>
              <w:ind w:firstLine="420"/>
              <w:rPr>
                <w:rFonts w:ascii="宋体" w:hAnsi="宋体" w:eastAsia="宋体" w:cs="宋体"/>
                <w:color w:val="FF0000"/>
                <w:szCs w:val="21"/>
                <w:highlight w:val="none"/>
              </w:rPr>
            </w:pPr>
            <w:r>
              <w:rPr>
                <w:rFonts w:hint="eastAsia" w:ascii="宋体" w:hAnsi="宋体" w:eastAsia="宋体" w:cs="宋体"/>
                <w:color w:val="FF0000"/>
                <w:szCs w:val="21"/>
                <w:highlight w:val="none"/>
              </w:rPr>
              <w:t>投标报价以人民币报价，为工地交货价。货物总价内包含但不限于的相关的费用有：原材料和配件费、深化设计、生产加工、安装、调试，通过有关主管部门的验收，运至合同指定地点的包装、运输、装卸、安装，技术培训，检查、检验，及保修、利润、风险金、国家规定的各项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pPr>
              <w:spacing w:afterLines="25" w:line="300" w:lineRule="auto"/>
              <w:jc w:val="center"/>
              <w:rPr>
                <w:rFonts w:ascii="宋体" w:hAnsi="宋体" w:eastAsia="宋体" w:cs="宋体"/>
                <w:b/>
                <w:szCs w:val="21"/>
                <w:highlight w:val="none"/>
              </w:rPr>
            </w:pPr>
            <w:r>
              <w:rPr>
                <w:rFonts w:hint="eastAsia" w:ascii="宋体" w:hAnsi="宋体" w:eastAsia="宋体" w:cs="宋体"/>
                <w:b/>
                <w:szCs w:val="21"/>
                <w:highlight w:val="none"/>
              </w:rPr>
              <w:t>交货地点</w:t>
            </w:r>
          </w:p>
        </w:tc>
        <w:tc>
          <w:tcPr>
            <w:tcW w:w="7797" w:type="dxa"/>
            <w:tcBorders>
              <w:top w:val="single" w:color="auto" w:sz="4" w:space="0"/>
              <w:left w:val="single" w:color="auto" w:sz="4" w:space="0"/>
              <w:bottom w:val="single" w:color="auto" w:sz="4" w:space="0"/>
              <w:right w:val="single" w:color="auto" w:sz="4" w:space="0"/>
            </w:tcBorders>
          </w:tcPr>
          <w:p>
            <w:pPr>
              <w:spacing w:afterLines="25" w:line="300" w:lineRule="auto"/>
              <w:rPr>
                <w:rFonts w:ascii="宋体" w:hAnsi="宋体" w:eastAsia="宋体" w:cs="宋体"/>
                <w:color w:val="FF0000"/>
                <w:szCs w:val="21"/>
                <w:highlight w:val="none"/>
              </w:rPr>
            </w:pPr>
            <w:r>
              <w:rPr>
                <w:rFonts w:hint="eastAsia" w:ascii="宋体" w:hAnsi="宋体" w:eastAsia="宋体" w:cs="宋体"/>
                <w:color w:val="FF0000"/>
                <w:szCs w:val="21"/>
                <w:highlight w:val="none"/>
              </w:rPr>
              <w:t>深圳市宝安区福永白石厦第三幼儿园（深圳市宝安区福永空港幼儿园）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pPr>
              <w:spacing w:afterLines="25" w:line="300" w:lineRule="auto"/>
              <w:jc w:val="center"/>
              <w:rPr>
                <w:rFonts w:ascii="宋体" w:hAnsi="宋体" w:eastAsia="宋体" w:cs="Times New Roman"/>
                <w:b/>
                <w:bCs/>
                <w:szCs w:val="21"/>
                <w:highlight w:val="none"/>
              </w:rPr>
            </w:pPr>
            <w:r>
              <w:rPr>
                <w:rFonts w:hint="eastAsia" w:ascii="宋体" w:hAnsi="宋体" w:eastAsia="宋体" w:cs="Times New Roman"/>
                <w:b/>
                <w:bCs/>
                <w:szCs w:val="21"/>
                <w:highlight w:val="none"/>
              </w:rPr>
              <w:t>交货期或完工期</w:t>
            </w:r>
          </w:p>
        </w:tc>
        <w:tc>
          <w:tcPr>
            <w:tcW w:w="7797" w:type="dxa"/>
            <w:tcBorders>
              <w:top w:val="single" w:color="auto" w:sz="4" w:space="0"/>
              <w:left w:val="single" w:color="auto" w:sz="4" w:space="0"/>
              <w:bottom w:val="single" w:color="auto" w:sz="4" w:space="0"/>
              <w:right w:val="single" w:color="auto" w:sz="4" w:space="0"/>
            </w:tcBorders>
          </w:tcPr>
          <w:p>
            <w:pPr>
              <w:spacing w:afterLines="25" w:line="300" w:lineRule="auto"/>
              <w:rPr>
                <w:rFonts w:ascii="宋体" w:hAnsi="宋体" w:eastAsia="宋体" w:cs="宋体"/>
                <w:color w:val="FF0000"/>
                <w:szCs w:val="21"/>
                <w:highlight w:val="none"/>
              </w:rPr>
            </w:pPr>
            <w:r>
              <w:rPr>
                <w:rFonts w:hint="eastAsia" w:ascii="宋体" w:hAnsi="宋体" w:eastAsia="宋体" w:cs="宋体"/>
                <w:color w:val="FF0000"/>
                <w:szCs w:val="21"/>
                <w:highlight w:val="none"/>
              </w:rPr>
              <w:t>本项目要求在进场施工日起 30  个日历日内完工，进场施工时间由采购人确定。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pPr>
              <w:spacing w:afterLines="25" w:line="300" w:lineRule="auto"/>
              <w:jc w:val="center"/>
              <w:rPr>
                <w:rFonts w:ascii="宋体" w:hAnsi="宋体" w:eastAsia="宋体" w:cs="Times New Roman"/>
                <w:b/>
                <w:bCs/>
                <w:szCs w:val="21"/>
                <w:highlight w:val="none"/>
              </w:rPr>
            </w:pPr>
            <w:r>
              <w:rPr>
                <w:rFonts w:hint="eastAsia" w:ascii="Arial" w:hAnsi="Arial" w:eastAsia="宋体" w:cs="Times New Roman"/>
                <w:b/>
                <w:szCs w:val="24"/>
                <w:highlight w:val="none"/>
              </w:rPr>
              <w:t>付款方式</w:t>
            </w:r>
          </w:p>
        </w:tc>
        <w:tc>
          <w:tcPr>
            <w:tcW w:w="7797" w:type="dxa"/>
            <w:tcBorders>
              <w:top w:val="single" w:color="auto" w:sz="4" w:space="0"/>
              <w:left w:val="single" w:color="auto" w:sz="4" w:space="0"/>
              <w:bottom w:val="single" w:color="auto" w:sz="4" w:space="0"/>
              <w:right w:val="single" w:color="auto" w:sz="4" w:space="0"/>
            </w:tcBorders>
          </w:tcPr>
          <w:p>
            <w:pPr>
              <w:spacing w:afterLines="25" w:line="300" w:lineRule="auto"/>
              <w:rPr>
                <w:rFonts w:ascii="新宋体" w:hAnsi="新宋体" w:eastAsia="新宋体" w:cs="Times New Roman"/>
                <w:color w:val="FF0000"/>
                <w:kern w:val="0"/>
                <w:szCs w:val="21"/>
                <w:highlight w:val="none"/>
              </w:rPr>
            </w:pPr>
            <w:r>
              <w:rPr>
                <w:rFonts w:hint="eastAsia" w:ascii="新宋体" w:hAnsi="新宋体" w:eastAsia="新宋体" w:cs="Times New Roman"/>
                <w:color w:val="FF0000"/>
                <w:kern w:val="0"/>
                <w:szCs w:val="21"/>
                <w:highlight w:val="none"/>
              </w:rPr>
              <w:t>本项目完成并经验收合格后，对于满足合同约定支付条件的，采购人应当自收到发票后15日内将资金支付到合同约定的中标供应商账户。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843" w:type="dxa"/>
            <w:tcBorders>
              <w:top w:val="single" w:color="auto" w:sz="4" w:space="0"/>
              <w:left w:val="single" w:color="auto" w:sz="4" w:space="0"/>
              <w:right w:val="single" w:color="auto" w:sz="4" w:space="0"/>
            </w:tcBorders>
            <w:vAlign w:val="center"/>
          </w:tcPr>
          <w:p>
            <w:pPr>
              <w:spacing w:afterLines="25" w:line="300" w:lineRule="auto"/>
              <w:jc w:val="center"/>
              <w:rPr>
                <w:rFonts w:ascii="宋体" w:hAnsi="宋体" w:eastAsia="宋体" w:cs="Times New Roman"/>
                <w:b/>
                <w:bCs/>
                <w:szCs w:val="21"/>
                <w:highlight w:val="none"/>
              </w:rPr>
            </w:pPr>
            <w:r>
              <w:rPr>
                <w:rFonts w:hint="eastAsia" w:ascii="宋体" w:hAnsi="宋体" w:eastAsia="宋体" w:cs="Times New Roman"/>
                <w:b/>
                <w:szCs w:val="21"/>
                <w:highlight w:val="none"/>
              </w:rPr>
              <w:t>验收方式</w:t>
            </w:r>
          </w:p>
        </w:tc>
        <w:tc>
          <w:tcPr>
            <w:tcW w:w="7797" w:type="dxa"/>
            <w:tcBorders>
              <w:top w:val="single" w:color="auto" w:sz="4" w:space="0"/>
              <w:left w:val="single" w:color="auto" w:sz="4" w:space="0"/>
              <w:right w:val="single" w:color="auto" w:sz="4" w:space="0"/>
            </w:tcBorders>
          </w:tcPr>
          <w:p>
            <w:pPr>
              <w:spacing w:afterLines="25" w:line="300" w:lineRule="auto"/>
              <w:rPr>
                <w:rFonts w:ascii="宋体" w:hAnsi="宋体" w:eastAsia="宋体" w:cs="Times New Roman"/>
                <w:bCs/>
                <w:color w:val="FF0000"/>
                <w:szCs w:val="21"/>
                <w:highlight w:val="none"/>
              </w:rPr>
            </w:pPr>
            <w:r>
              <w:rPr>
                <w:rFonts w:hint="eastAsia" w:ascii="宋体" w:hAnsi="宋体" w:eastAsia="宋体" w:cs="Times New Roman"/>
                <w:bCs/>
                <w:color w:val="FF0000"/>
                <w:szCs w:val="21"/>
                <w:highlight w:val="none"/>
              </w:rPr>
              <w:t>由采购单位组织验收小组进行验收。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843" w:type="dxa"/>
            <w:tcBorders>
              <w:top w:val="single" w:color="auto" w:sz="4" w:space="0"/>
              <w:left w:val="single" w:color="auto" w:sz="4" w:space="0"/>
              <w:right w:val="single" w:color="auto" w:sz="4" w:space="0"/>
            </w:tcBorders>
            <w:vAlign w:val="center"/>
          </w:tcPr>
          <w:p>
            <w:pPr>
              <w:spacing w:afterLines="25" w:line="300" w:lineRule="auto"/>
              <w:jc w:val="center"/>
              <w:rPr>
                <w:rFonts w:ascii="宋体" w:hAnsi="宋体" w:eastAsia="宋体" w:cs="Times New Roman"/>
                <w:b/>
                <w:szCs w:val="21"/>
                <w:highlight w:val="none"/>
              </w:rPr>
            </w:pPr>
            <w:r>
              <w:rPr>
                <w:rFonts w:hint="eastAsia" w:ascii="宋体" w:hAnsi="宋体" w:eastAsia="宋体" w:cs="Times New Roman"/>
                <w:b/>
                <w:bCs/>
                <w:szCs w:val="21"/>
                <w:highlight w:val="none"/>
              </w:rPr>
              <w:t>包装及运输要求</w:t>
            </w:r>
          </w:p>
        </w:tc>
        <w:tc>
          <w:tcPr>
            <w:tcW w:w="7797" w:type="dxa"/>
            <w:tcBorders>
              <w:top w:val="single" w:color="auto" w:sz="4" w:space="0"/>
              <w:left w:val="single" w:color="auto" w:sz="4" w:space="0"/>
              <w:right w:val="single" w:color="auto" w:sz="4" w:space="0"/>
            </w:tcBorders>
          </w:tcPr>
          <w:p>
            <w:pPr>
              <w:spacing w:afterLines="25" w:line="300" w:lineRule="auto"/>
              <w:rPr>
                <w:rFonts w:ascii="宋体" w:hAnsi="宋体" w:eastAsia="宋体" w:cs="Times New Roman"/>
                <w:bCs/>
                <w:color w:val="FF0000"/>
                <w:szCs w:val="21"/>
                <w:highlight w:val="none"/>
              </w:rPr>
            </w:pPr>
            <w:r>
              <w:rPr>
                <w:rFonts w:hint="eastAsia" w:ascii="宋体" w:hAnsi="宋体" w:eastAsia="宋体" w:cs="Times New Roman"/>
                <w:bCs/>
                <w:color w:val="FF0000"/>
                <w:szCs w:val="21"/>
                <w:highlight w:val="none"/>
              </w:rPr>
              <w:t>本次采购的设备和材料必须是全新的，包装方式按照原厂出厂原标准，中标人立确保运抵采购人处货物的完好性，包装费用由中标人承担。中标人承担由于其包装或其防护措施不妥而引起货物锈蚀、损坏和丢失等任何损失，并承担因此而发生的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bCs/>
                <w:szCs w:val="21"/>
                <w:highlight w:val="none"/>
              </w:rPr>
            </w:pPr>
            <w:r>
              <w:rPr>
                <w:rFonts w:hint="eastAsia" w:ascii="宋体" w:hAnsi="宋体" w:eastAsia="宋体" w:cs="Times New Roman"/>
                <w:b/>
                <w:bCs/>
                <w:szCs w:val="21"/>
                <w:highlight w:val="none"/>
              </w:rPr>
              <w:t>售后服务要求</w:t>
            </w:r>
          </w:p>
        </w:tc>
        <w:tc>
          <w:tcPr>
            <w:tcW w:w="7797" w:type="dxa"/>
            <w:tcBorders>
              <w:top w:val="single" w:color="auto" w:sz="4" w:space="0"/>
              <w:left w:val="single" w:color="auto" w:sz="4" w:space="0"/>
              <w:bottom w:val="single" w:color="auto" w:sz="4" w:space="0"/>
              <w:right w:val="single" w:color="auto" w:sz="4" w:space="0"/>
            </w:tcBorders>
          </w:tcPr>
          <w:p>
            <w:pPr>
              <w:spacing w:afterLines="25" w:line="300" w:lineRule="exact"/>
              <w:rPr>
                <w:rFonts w:hint="eastAsia" w:ascii="宋体" w:hAnsi="宋体" w:eastAsia="宋体" w:cs="Arial"/>
                <w:color w:val="FF0000"/>
                <w:szCs w:val="21"/>
                <w:highlight w:val="none"/>
              </w:rPr>
            </w:pPr>
            <w:r>
              <w:rPr>
                <w:rFonts w:hint="eastAsia" w:ascii="宋体" w:hAnsi="宋体" w:eastAsia="宋体" w:cs="Arial"/>
                <w:color w:val="FF0000"/>
                <w:szCs w:val="21"/>
                <w:highlight w:val="none"/>
              </w:rPr>
              <w:t>（1）要求中标方对本项目所采购的各项货物及货物集成提供 3 年的质保期，易耗品除外。</w:t>
            </w:r>
          </w:p>
          <w:p>
            <w:pPr>
              <w:spacing w:afterLines="25" w:line="300" w:lineRule="exact"/>
              <w:rPr>
                <w:rFonts w:ascii="宋体" w:hAnsi="宋体" w:eastAsia="宋体" w:cs="Arial"/>
                <w:color w:val="FF0000"/>
                <w:szCs w:val="21"/>
                <w:highlight w:val="none"/>
              </w:rPr>
            </w:pPr>
            <w:r>
              <w:rPr>
                <w:rFonts w:hint="eastAsia" w:ascii="宋体" w:hAnsi="宋体" w:eastAsia="宋体" w:cs="Arial"/>
                <w:color w:val="FF0000"/>
                <w:szCs w:val="21"/>
                <w:highlight w:val="none"/>
              </w:rPr>
              <w:t>（2）要求中标方在交货完成后一周内，免费向用户方进行技术培训工作。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b/>
                <w:bCs/>
                <w:szCs w:val="21"/>
                <w:highlight w:val="none"/>
              </w:rPr>
            </w:pPr>
            <w:r>
              <w:rPr>
                <w:rFonts w:hint="eastAsia" w:ascii="宋体" w:hAnsi="宋体" w:eastAsia="宋体" w:cs="Times New Roman"/>
                <w:b/>
                <w:bCs/>
                <w:szCs w:val="21"/>
                <w:highlight w:val="none"/>
              </w:rPr>
              <w:t>其他要求</w:t>
            </w:r>
          </w:p>
        </w:tc>
        <w:tc>
          <w:tcPr>
            <w:tcW w:w="779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Times New Roman"/>
                <w:bCs/>
                <w:color w:val="FF0000"/>
                <w:szCs w:val="21"/>
                <w:highlight w:val="none"/>
              </w:rPr>
            </w:pPr>
            <w:r>
              <w:rPr>
                <w:rFonts w:hint="eastAsia" w:ascii="宋体" w:hAnsi="宋体" w:eastAsia="宋体" w:cs="Times New Roman"/>
                <w:bCs/>
                <w:color w:val="FF0000"/>
                <w:szCs w:val="21"/>
                <w:highlight w:val="none"/>
              </w:rPr>
              <w:t>（</w:t>
            </w:r>
            <w:r>
              <w:rPr>
                <w:rFonts w:hint="eastAsia" w:ascii="宋体" w:hAnsi="宋体" w:eastAsia="宋体" w:cs="Times New Roman"/>
                <w:bCs/>
                <w:color w:val="FF0000"/>
                <w:szCs w:val="21"/>
                <w:highlight w:val="none"/>
                <w:lang w:val="en-US" w:eastAsia="zh-CN"/>
              </w:rPr>
              <w:t>1</w:t>
            </w:r>
            <w:r>
              <w:rPr>
                <w:rFonts w:hint="eastAsia" w:ascii="宋体" w:hAnsi="宋体" w:eastAsia="宋体" w:cs="Times New Roman"/>
                <w:bCs/>
                <w:color w:val="FF0000"/>
                <w:szCs w:val="21"/>
                <w:highlight w:val="none"/>
              </w:rPr>
              <w:t>）中标供应商在签订合同时应提供投标文件打印稿贰份，并加盖公章（一份交给监理公司，一份交给学校），同时提供投标文件的OFFICE文档。</w:t>
            </w:r>
          </w:p>
          <w:p>
            <w:pPr>
              <w:rPr>
                <w:rFonts w:hint="eastAsia" w:ascii="宋体" w:hAnsi="宋体" w:eastAsia="宋体" w:cs="Times New Roman"/>
                <w:bCs/>
                <w:color w:val="FF0000"/>
                <w:szCs w:val="21"/>
                <w:highlight w:val="none"/>
              </w:rPr>
            </w:pPr>
            <w:r>
              <w:rPr>
                <w:rFonts w:hint="eastAsia" w:ascii="宋体" w:hAnsi="宋体" w:eastAsia="宋体" w:cs="Times New Roman"/>
                <w:bCs/>
                <w:color w:val="FF0000"/>
                <w:szCs w:val="21"/>
                <w:highlight w:val="none"/>
              </w:rPr>
              <w:t>（</w:t>
            </w:r>
            <w:r>
              <w:rPr>
                <w:rFonts w:hint="eastAsia" w:ascii="宋体" w:hAnsi="宋体" w:eastAsia="宋体" w:cs="Times New Roman"/>
                <w:bCs/>
                <w:color w:val="FF0000"/>
                <w:szCs w:val="21"/>
                <w:highlight w:val="none"/>
                <w:lang w:val="en-US" w:eastAsia="zh-CN"/>
              </w:rPr>
              <w:t>2</w:t>
            </w:r>
            <w:r>
              <w:rPr>
                <w:rFonts w:hint="eastAsia" w:ascii="宋体" w:hAnsi="宋体" w:eastAsia="宋体" w:cs="Times New Roman"/>
                <w:bCs/>
                <w:color w:val="FF0000"/>
                <w:szCs w:val="21"/>
                <w:highlight w:val="none"/>
              </w:rPr>
              <w:t>）根据政府采购相关规定，本项目不涉及政府集中采购目录中的任何货物。供应商以任何形式的政府集中采购目录中的货物投标，一经核实，将导致投标无效；若在验收阶段发现的，将导致项目不能通过验收，相关后果由中标公司承担。</w:t>
            </w:r>
          </w:p>
          <w:p>
            <w:pPr>
              <w:rPr>
                <w:rFonts w:hint="eastAsia" w:ascii="宋体" w:hAnsi="宋体" w:eastAsia="宋体" w:cs="Times New Roman"/>
                <w:bCs/>
                <w:color w:val="FF0000"/>
                <w:szCs w:val="21"/>
                <w:highlight w:val="none"/>
              </w:rPr>
            </w:pPr>
            <w:r>
              <w:rPr>
                <w:rFonts w:hint="eastAsia" w:ascii="宋体" w:hAnsi="宋体" w:eastAsia="宋体" w:cs="Times New Roman"/>
                <w:bCs/>
                <w:color w:val="FF0000"/>
                <w:szCs w:val="21"/>
                <w:highlight w:val="none"/>
              </w:rPr>
              <w:t>（</w:t>
            </w:r>
            <w:r>
              <w:rPr>
                <w:rFonts w:hint="eastAsia" w:ascii="宋体" w:hAnsi="宋体" w:eastAsia="宋体" w:cs="Times New Roman"/>
                <w:bCs/>
                <w:color w:val="FF0000"/>
                <w:szCs w:val="21"/>
                <w:highlight w:val="none"/>
                <w:lang w:val="en-US" w:eastAsia="zh-CN"/>
              </w:rPr>
              <w:t>3</w:t>
            </w:r>
            <w:r>
              <w:rPr>
                <w:rFonts w:hint="eastAsia" w:ascii="宋体" w:hAnsi="宋体" w:eastAsia="宋体" w:cs="Times New Roman"/>
                <w:bCs/>
                <w:color w:val="FF0000"/>
                <w:szCs w:val="21"/>
                <w:highlight w:val="none"/>
              </w:rPr>
              <w:t>）上报验收报告时，除了表格中写明的材料外，还需要提交验收记录表、产品三证（产品合格证、供货凭证（含生产厂家或代理商证明）、产品检测证明（含第三方有资质检测机构出具的有效检测报告）、合同及附件；有害物质限量检测报告（现场抽样）。</w:t>
            </w:r>
          </w:p>
          <w:p>
            <w:pPr>
              <w:rPr>
                <w:rFonts w:hint="eastAsia" w:ascii="宋体" w:hAnsi="宋体" w:eastAsia="宋体" w:cs="Times New Roman"/>
                <w:bCs/>
                <w:color w:val="FF0000"/>
                <w:szCs w:val="21"/>
                <w:highlight w:val="none"/>
              </w:rPr>
            </w:pPr>
            <w:r>
              <w:rPr>
                <w:rFonts w:hint="eastAsia" w:ascii="宋体" w:hAnsi="宋体" w:eastAsia="宋体" w:cs="Times New Roman"/>
                <w:bCs/>
                <w:color w:val="FF0000"/>
                <w:szCs w:val="21"/>
                <w:highlight w:val="none"/>
              </w:rPr>
              <w:t>（</w:t>
            </w:r>
            <w:r>
              <w:rPr>
                <w:rFonts w:hint="eastAsia" w:ascii="宋体" w:hAnsi="宋体" w:eastAsia="宋体" w:cs="Times New Roman"/>
                <w:bCs/>
                <w:color w:val="FF0000"/>
                <w:szCs w:val="21"/>
                <w:highlight w:val="none"/>
                <w:lang w:val="en-US" w:eastAsia="zh-CN"/>
              </w:rPr>
              <w:t>4</w:t>
            </w:r>
            <w:r>
              <w:rPr>
                <w:rFonts w:hint="eastAsia" w:ascii="宋体" w:hAnsi="宋体" w:eastAsia="宋体" w:cs="Times New Roman"/>
                <w:bCs/>
                <w:color w:val="FF0000"/>
                <w:szCs w:val="21"/>
                <w:highlight w:val="none"/>
              </w:rPr>
              <w:t>）投标商必须确保中标后提供的货物为正规渠道供货，不存在违反国家法律、法规的情况。</w:t>
            </w:r>
          </w:p>
          <w:p>
            <w:pPr>
              <w:rPr>
                <w:rFonts w:hint="eastAsia" w:ascii="宋体" w:hAnsi="宋体" w:eastAsia="宋体" w:cs="Times New Roman"/>
                <w:bCs/>
                <w:color w:val="FF0000"/>
                <w:szCs w:val="21"/>
                <w:highlight w:val="none"/>
              </w:rPr>
            </w:pPr>
            <w:r>
              <w:rPr>
                <w:rFonts w:hint="eastAsia" w:ascii="宋体" w:hAnsi="宋体" w:eastAsia="宋体" w:cs="Times New Roman"/>
                <w:bCs/>
                <w:color w:val="FF0000"/>
                <w:szCs w:val="21"/>
                <w:highlight w:val="none"/>
                <w:lang w:eastAsia="zh-CN"/>
              </w:rPr>
              <w:t>（</w:t>
            </w:r>
            <w:r>
              <w:rPr>
                <w:rFonts w:hint="eastAsia" w:ascii="宋体" w:hAnsi="宋体" w:eastAsia="宋体" w:cs="Times New Roman"/>
                <w:bCs/>
                <w:color w:val="FF0000"/>
                <w:szCs w:val="21"/>
                <w:highlight w:val="none"/>
                <w:lang w:val="en-US" w:eastAsia="zh-CN"/>
              </w:rPr>
              <w:t>5</w:t>
            </w:r>
            <w:r>
              <w:rPr>
                <w:rFonts w:hint="eastAsia" w:ascii="宋体" w:hAnsi="宋体" w:eastAsia="宋体" w:cs="Times New Roman"/>
                <w:bCs/>
                <w:color w:val="FF0000"/>
                <w:szCs w:val="21"/>
                <w:highlight w:val="none"/>
                <w:lang w:eastAsia="zh-CN"/>
              </w:rPr>
              <w:t>）</w:t>
            </w:r>
            <w:r>
              <w:rPr>
                <w:rFonts w:hint="eastAsia" w:ascii="宋体" w:hAnsi="宋体" w:eastAsia="宋体" w:cs="Times New Roman"/>
                <w:bCs/>
                <w:color w:val="FF0000"/>
                <w:szCs w:val="21"/>
                <w:highlight w:val="none"/>
              </w:rPr>
              <w:t>对于单纯家具（含课桌椅）项目、含家具或装修的功能室项目在验收时还需提供以下材料：</w:t>
            </w:r>
          </w:p>
          <w:p>
            <w:pPr>
              <w:rPr>
                <w:rFonts w:ascii="宋体" w:hAnsi="宋体" w:eastAsia="宋体" w:cs="Times New Roman"/>
                <w:bCs/>
                <w:color w:val="FF0000"/>
                <w:szCs w:val="21"/>
                <w:highlight w:val="none"/>
              </w:rPr>
            </w:pPr>
            <w:r>
              <w:rPr>
                <w:rFonts w:hint="eastAsia" w:ascii="宋体" w:hAnsi="宋体" w:eastAsia="宋体" w:cs="Times New Roman"/>
                <w:bCs/>
                <w:color w:val="FF0000"/>
                <w:szCs w:val="21"/>
                <w:highlight w:val="none"/>
              </w:rPr>
              <w:t>①家具（含课桌椅）类货物应提供有害物质检测报告。根据深圳经济特区技术规范《家具成品及原辅材料中有害物质限量》（SZJG52-2016）的规定，需根据现场抽样并对以下项目进行检验且合格，检测由中标方负责：</w:t>
            </w:r>
          </w:p>
          <w:tbl>
            <w:tblPr>
              <w:tblStyle w:val="16"/>
              <w:tblW w:w="7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2004"/>
              <w:gridCol w:w="1559"/>
              <w:gridCol w:w="1134"/>
              <w:gridCol w:w="2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blHeader/>
                <w:jc w:val="center"/>
              </w:trPr>
              <w:tc>
                <w:tcPr>
                  <w:tcW w:w="780" w:type="dxa"/>
                  <w:noWrap w:val="0"/>
                  <w:vAlign w:val="center"/>
                </w:tcPr>
                <w:p>
                  <w:pPr>
                    <w:rPr>
                      <w:rFonts w:hint="eastAsia" w:ascii="宋体" w:hAnsi="宋体" w:eastAsia="宋体" w:cs="Times New Roman"/>
                      <w:bCs/>
                      <w:color w:val="FF0000"/>
                      <w:szCs w:val="21"/>
                      <w:highlight w:val="none"/>
                    </w:rPr>
                  </w:pPr>
                  <w:r>
                    <w:rPr>
                      <w:rFonts w:hint="eastAsia" w:ascii="宋体" w:hAnsi="宋体" w:eastAsia="宋体" w:cs="Times New Roman"/>
                      <w:bCs/>
                      <w:color w:val="FF0000"/>
                      <w:szCs w:val="21"/>
                      <w:highlight w:val="none"/>
                    </w:rPr>
                    <w:t>序号</w:t>
                  </w:r>
                </w:p>
              </w:tc>
              <w:tc>
                <w:tcPr>
                  <w:tcW w:w="2004" w:type="dxa"/>
                  <w:noWrap w:val="0"/>
                  <w:vAlign w:val="center"/>
                </w:tcPr>
                <w:p>
                  <w:pPr>
                    <w:rPr>
                      <w:rFonts w:hint="eastAsia" w:ascii="宋体" w:hAnsi="宋体" w:eastAsia="宋体" w:cs="Times New Roman"/>
                      <w:bCs/>
                      <w:color w:val="FF0000"/>
                      <w:szCs w:val="21"/>
                      <w:highlight w:val="none"/>
                    </w:rPr>
                  </w:pPr>
                  <w:r>
                    <w:rPr>
                      <w:rFonts w:hint="eastAsia" w:ascii="宋体" w:hAnsi="宋体" w:eastAsia="宋体" w:cs="Times New Roman"/>
                      <w:bCs/>
                      <w:color w:val="FF0000"/>
                      <w:szCs w:val="21"/>
                      <w:highlight w:val="none"/>
                    </w:rPr>
                    <w:t>检验项目</w:t>
                  </w:r>
                </w:p>
              </w:tc>
              <w:tc>
                <w:tcPr>
                  <w:tcW w:w="1559" w:type="dxa"/>
                  <w:noWrap w:val="0"/>
                  <w:vAlign w:val="center"/>
                </w:tcPr>
                <w:p>
                  <w:pPr>
                    <w:rPr>
                      <w:rFonts w:hint="eastAsia" w:ascii="宋体" w:hAnsi="宋体" w:eastAsia="宋体" w:cs="Times New Roman"/>
                      <w:bCs/>
                      <w:color w:val="FF0000"/>
                      <w:szCs w:val="21"/>
                      <w:highlight w:val="none"/>
                    </w:rPr>
                  </w:pPr>
                  <w:r>
                    <w:rPr>
                      <w:rFonts w:hint="eastAsia" w:ascii="宋体" w:hAnsi="宋体" w:eastAsia="宋体" w:cs="Times New Roman"/>
                      <w:bCs/>
                      <w:color w:val="FF0000"/>
                      <w:szCs w:val="21"/>
                      <w:highlight w:val="none"/>
                    </w:rPr>
                    <w:t>依据法律法规或标准条款</w:t>
                  </w:r>
                </w:p>
              </w:tc>
              <w:tc>
                <w:tcPr>
                  <w:tcW w:w="1134" w:type="dxa"/>
                  <w:noWrap w:val="0"/>
                  <w:vAlign w:val="center"/>
                </w:tcPr>
                <w:p>
                  <w:pPr>
                    <w:rPr>
                      <w:rFonts w:hint="eastAsia" w:ascii="宋体" w:hAnsi="宋体" w:eastAsia="宋体" w:cs="Times New Roman"/>
                      <w:bCs/>
                      <w:color w:val="FF0000"/>
                      <w:szCs w:val="21"/>
                      <w:highlight w:val="none"/>
                    </w:rPr>
                  </w:pPr>
                  <w:r>
                    <w:rPr>
                      <w:rFonts w:hint="eastAsia" w:ascii="宋体" w:hAnsi="宋体" w:eastAsia="宋体" w:cs="Times New Roman"/>
                      <w:bCs/>
                      <w:color w:val="FF0000"/>
                      <w:szCs w:val="21"/>
                      <w:highlight w:val="none"/>
                    </w:rPr>
                    <w:t>强制性/推荐性</w:t>
                  </w:r>
                </w:p>
              </w:tc>
              <w:tc>
                <w:tcPr>
                  <w:tcW w:w="2068" w:type="dxa"/>
                  <w:noWrap w:val="0"/>
                  <w:vAlign w:val="center"/>
                </w:tcPr>
                <w:p>
                  <w:pPr>
                    <w:rPr>
                      <w:rFonts w:hint="eastAsia" w:ascii="宋体" w:hAnsi="宋体" w:eastAsia="宋体" w:cs="Times New Roman"/>
                      <w:bCs/>
                      <w:color w:val="FF0000"/>
                      <w:szCs w:val="21"/>
                      <w:highlight w:val="none"/>
                    </w:rPr>
                  </w:pPr>
                  <w:r>
                    <w:rPr>
                      <w:rFonts w:hint="eastAsia" w:ascii="宋体" w:hAnsi="宋体" w:eastAsia="宋体" w:cs="Times New Roman"/>
                      <w:bCs/>
                      <w:color w:val="FF0000"/>
                      <w:szCs w:val="21"/>
                      <w:highlight w:val="none"/>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80" w:type="dxa"/>
                  <w:noWrap w:val="0"/>
                  <w:vAlign w:val="top"/>
                </w:tcPr>
                <w:p>
                  <w:pPr>
                    <w:rPr>
                      <w:rFonts w:hint="eastAsia" w:ascii="宋体" w:hAnsi="宋体" w:eastAsia="宋体" w:cs="Times New Roman"/>
                      <w:bCs/>
                      <w:color w:val="FF0000"/>
                      <w:szCs w:val="21"/>
                      <w:highlight w:val="none"/>
                    </w:rPr>
                  </w:pPr>
                  <w:r>
                    <w:rPr>
                      <w:rFonts w:hint="eastAsia" w:ascii="宋体" w:hAnsi="宋体" w:eastAsia="宋体" w:cs="Times New Roman"/>
                      <w:bCs/>
                      <w:color w:val="FF0000"/>
                      <w:szCs w:val="21"/>
                      <w:highlight w:val="none"/>
                    </w:rPr>
                    <w:t>1</w:t>
                  </w:r>
                </w:p>
              </w:tc>
              <w:tc>
                <w:tcPr>
                  <w:tcW w:w="2004" w:type="dxa"/>
                  <w:noWrap w:val="0"/>
                  <w:vAlign w:val="center"/>
                </w:tcPr>
                <w:p>
                  <w:pPr>
                    <w:rPr>
                      <w:rFonts w:hint="eastAsia" w:ascii="宋体" w:hAnsi="宋体" w:eastAsia="宋体" w:cs="Times New Roman"/>
                      <w:bCs/>
                      <w:color w:val="FF0000"/>
                      <w:szCs w:val="21"/>
                      <w:highlight w:val="none"/>
                    </w:rPr>
                  </w:pPr>
                  <w:r>
                    <w:rPr>
                      <w:rFonts w:hint="eastAsia" w:ascii="宋体" w:hAnsi="宋体" w:eastAsia="宋体" w:cs="Times New Roman"/>
                      <w:bCs/>
                      <w:color w:val="FF0000"/>
                      <w:szCs w:val="21"/>
                      <w:highlight w:val="none"/>
                    </w:rPr>
                    <w:t>甲醛释放量</w:t>
                  </w:r>
                </w:p>
              </w:tc>
              <w:tc>
                <w:tcPr>
                  <w:tcW w:w="1559" w:type="dxa"/>
                  <w:noWrap w:val="0"/>
                  <w:vAlign w:val="center"/>
                </w:tcPr>
                <w:p>
                  <w:pPr>
                    <w:rPr>
                      <w:rFonts w:hint="eastAsia" w:ascii="宋体" w:hAnsi="宋体" w:eastAsia="宋体" w:cs="Times New Roman"/>
                      <w:bCs/>
                      <w:color w:val="FF0000"/>
                      <w:szCs w:val="21"/>
                      <w:highlight w:val="none"/>
                    </w:rPr>
                  </w:pPr>
                  <w:r>
                    <w:rPr>
                      <w:rFonts w:hint="eastAsia" w:ascii="宋体" w:hAnsi="宋体" w:eastAsia="宋体" w:cs="Times New Roman"/>
                      <w:bCs/>
                      <w:color w:val="FF0000"/>
                      <w:szCs w:val="21"/>
                      <w:highlight w:val="none"/>
                    </w:rPr>
                    <w:t>SZJG52-2016</w:t>
                  </w:r>
                </w:p>
              </w:tc>
              <w:tc>
                <w:tcPr>
                  <w:tcW w:w="1134" w:type="dxa"/>
                  <w:noWrap w:val="0"/>
                  <w:vAlign w:val="center"/>
                </w:tcPr>
                <w:p>
                  <w:pPr>
                    <w:rPr>
                      <w:rFonts w:hint="eastAsia" w:ascii="宋体" w:hAnsi="宋体" w:eastAsia="宋体" w:cs="Times New Roman"/>
                      <w:bCs/>
                      <w:color w:val="FF0000"/>
                      <w:szCs w:val="21"/>
                      <w:highlight w:val="none"/>
                    </w:rPr>
                  </w:pPr>
                  <w:r>
                    <w:rPr>
                      <w:rFonts w:hint="eastAsia" w:ascii="宋体" w:hAnsi="宋体" w:eastAsia="宋体" w:cs="Times New Roman"/>
                      <w:bCs/>
                      <w:color w:val="FF0000"/>
                      <w:szCs w:val="21"/>
                      <w:highlight w:val="none"/>
                    </w:rPr>
                    <w:t>强制性</w:t>
                  </w:r>
                </w:p>
              </w:tc>
              <w:tc>
                <w:tcPr>
                  <w:tcW w:w="2068" w:type="dxa"/>
                  <w:noWrap w:val="0"/>
                  <w:vAlign w:val="center"/>
                </w:tcPr>
                <w:p>
                  <w:pPr>
                    <w:rPr>
                      <w:rFonts w:hint="eastAsia" w:ascii="宋体" w:hAnsi="宋体" w:eastAsia="宋体" w:cs="Times New Roman"/>
                      <w:bCs/>
                      <w:color w:val="FF0000"/>
                      <w:szCs w:val="21"/>
                      <w:highlight w:val="none"/>
                    </w:rPr>
                  </w:pPr>
                  <w:r>
                    <w:rPr>
                      <w:rFonts w:hint="eastAsia" w:ascii="宋体" w:hAnsi="宋体" w:eastAsia="宋体" w:cs="Times New Roman"/>
                      <w:bCs/>
                      <w:color w:val="FF0000"/>
                      <w:szCs w:val="21"/>
                      <w:highlight w:val="none"/>
                    </w:rPr>
                    <w:t>SZJG52-2016 GB/T31106-2014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80" w:type="dxa"/>
                  <w:noWrap w:val="0"/>
                  <w:vAlign w:val="top"/>
                </w:tcPr>
                <w:p>
                  <w:pPr>
                    <w:rPr>
                      <w:rFonts w:hint="eastAsia" w:ascii="宋体" w:hAnsi="宋体" w:eastAsia="宋体" w:cs="Times New Roman"/>
                      <w:bCs/>
                      <w:color w:val="FF0000"/>
                      <w:szCs w:val="21"/>
                      <w:highlight w:val="none"/>
                    </w:rPr>
                  </w:pPr>
                  <w:r>
                    <w:rPr>
                      <w:rFonts w:hint="eastAsia" w:ascii="宋体" w:hAnsi="宋体" w:eastAsia="宋体" w:cs="Times New Roman"/>
                      <w:bCs/>
                      <w:color w:val="FF0000"/>
                      <w:szCs w:val="21"/>
                      <w:highlight w:val="none"/>
                    </w:rPr>
                    <w:t>2</w:t>
                  </w:r>
                </w:p>
              </w:tc>
              <w:tc>
                <w:tcPr>
                  <w:tcW w:w="2004" w:type="dxa"/>
                  <w:noWrap w:val="0"/>
                  <w:vAlign w:val="center"/>
                </w:tcPr>
                <w:p>
                  <w:pPr>
                    <w:rPr>
                      <w:rFonts w:hint="eastAsia" w:ascii="宋体" w:hAnsi="宋体" w:eastAsia="宋体" w:cs="Times New Roman"/>
                      <w:bCs/>
                      <w:color w:val="FF0000"/>
                      <w:szCs w:val="21"/>
                      <w:highlight w:val="none"/>
                    </w:rPr>
                  </w:pPr>
                  <w:r>
                    <w:rPr>
                      <w:rFonts w:hint="eastAsia" w:ascii="宋体" w:hAnsi="宋体" w:eastAsia="宋体" w:cs="Times New Roman"/>
                      <w:bCs/>
                      <w:color w:val="FF0000"/>
                      <w:szCs w:val="21"/>
                      <w:highlight w:val="none"/>
                    </w:rPr>
                    <w:t>苯释放量</w:t>
                  </w:r>
                </w:p>
              </w:tc>
              <w:tc>
                <w:tcPr>
                  <w:tcW w:w="1559" w:type="dxa"/>
                  <w:noWrap w:val="0"/>
                  <w:vAlign w:val="center"/>
                </w:tcPr>
                <w:p>
                  <w:pPr>
                    <w:rPr>
                      <w:rFonts w:hint="eastAsia" w:ascii="宋体" w:hAnsi="宋体" w:eastAsia="宋体" w:cs="Times New Roman"/>
                      <w:bCs/>
                      <w:color w:val="FF0000"/>
                      <w:szCs w:val="21"/>
                      <w:highlight w:val="none"/>
                    </w:rPr>
                  </w:pPr>
                  <w:r>
                    <w:rPr>
                      <w:rFonts w:hint="eastAsia" w:ascii="宋体" w:hAnsi="宋体" w:eastAsia="宋体" w:cs="Times New Roman"/>
                      <w:bCs/>
                      <w:color w:val="FF0000"/>
                      <w:szCs w:val="21"/>
                      <w:highlight w:val="none"/>
                    </w:rPr>
                    <w:t>SZJG52-2016</w:t>
                  </w:r>
                </w:p>
              </w:tc>
              <w:tc>
                <w:tcPr>
                  <w:tcW w:w="1134" w:type="dxa"/>
                  <w:noWrap w:val="0"/>
                  <w:vAlign w:val="center"/>
                </w:tcPr>
                <w:p>
                  <w:pPr>
                    <w:rPr>
                      <w:rFonts w:hint="eastAsia" w:ascii="宋体" w:hAnsi="宋体" w:eastAsia="宋体" w:cs="Times New Roman"/>
                      <w:bCs/>
                      <w:color w:val="FF0000"/>
                      <w:szCs w:val="21"/>
                      <w:highlight w:val="none"/>
                    </w:rPr>
                  </w:pPr>
                  <w:r>
                    <w:rPr>
                      <w:rFonts w:hint="eastAsia" w:ascii="宋体" w:hAnsi="宋体" w:eastAsia="宋体" w:cs="Times New Roman"/>
                      <w:bCs/>
                      <w:color w:val="FF0000"/>
                      <w:szCs w:val="21"/>
                      <w:highlight w:val="none"/>
                    </w:rPr>
                    <w:t>强制性</w:t>
                  </w:r>
                </w:p>
              </w:tc>
              <w:tc>
                <w:tcPr>
                  <w:tcW w:w="2068" w:type="dxa"/>
                  <w:noWrap w:val="0"/>
                  <w:vAlign w:val="center"/>
                </w:tcPr>
                <w:p>
                  <w:pPr>
                    <w:rPr>
                      <w:rFonts w:hint="eastAsia" w:ascii="宋体" w:hAnsi="宋体" w:eastAsia="宋体" w:cs="Times New Roman"/>
                      <w:bCs/>
                      <w:color w:val="FF0000"/>
                      <w:szCs w:val="21"/>
                      <w:highlight w:val="none"/>
                    </w:rPr>
                  </w:pPr>
                  <w:r>
                    <w:rPr>
                      <w:rFonts w:hint="eastAsia" w:ascii="宋体" w:hAnsi="宋体" w:eastAsia="宋体" w:cs="Times New Roman"/>
                      <w:bCs/>
                      <w:color w:val="FF0000"/>
                      <w:szCs w:val="21"/>
                      <w:highlight w:val="none"/>
                    </w:rPr>
                    <w:t>SZJG52-2016 GB/T31106-2014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80" w:type="dxa"/>
                  <w:noWrap w:val="0"/>
                  <w:vAlign w:val="top"/>
                </w:tcPr>
                <w:p>
                  <w:pPr>
                    <w:rPr>
                      <w:rFonts w:hint="eastAsia" w:ascii="宋体" w:hAnsi="宋体" w:eastAsia="宋体" w:cs="Times New Roman"/>
                      <w:bCs/>
                      <w:color w:val="FF0000"/>
                      <w:szCs w:val="21"/>
                      <w:highlight w:val="none"/>
                    </w:rPr>
                  </w:pPr>
                  <w:r>
                    <w:rPr>
                      <w:rFonts w:hint="eastAsia" w:ascii="宋体" w:hAnsi="宋体" w:eastAsia="宋体" w:cs="Times New Roman"/>
                      <w:bCs/>
                      <w:color w:val="FF0000"/>
                      <w:szCs w:val="21"/>
                      <w:highlight w:val="none"/>
                    </w:rPr>
                    <w:t>3</w:t>
                  </w:r>
                </w:p>
              </w:tc>
              <w:tc>
                <w:tcPr>
                  <w:tcW w:w="2004" w:type="dxa"/>
                  <w:noWrap w:val="0"/>
                  <w:vAlign w:val="center"/>
                </w:tcPr>
                <w:p>
                  <w:pPr>
                    <w:rPr>
                      <w:rFonts w:hint="eastAsia" w:ascii="宋体" w:hAnsi="宋体" w:eastAsia="宋体" w:cs="Times New Roman"/>
                      <w:bCs/>
                      <w:color w:val="FF0000"/>
                      <w:szCs w:val="21"/>
                      <w:highlight w:val="none"/>
                    </w:rPr>
                  </w:pPr>
                  <w:r>
                    <w:rPr>
                      <w:rFonts w:hint="eastAsia" w:ascii="宋体" w:hAnsi="宋体" w:eastAsia="宋体" w:cs="Times New Roman"/>
                      <w:bCs/>
                      <w:color w:val="FF0000"/>
                      <w:szCs w:val="21"/>
                      <w:highlight w:val="none"/>
                    </w:rPr>
                    <w:t>甲苯释放量</w:t>
                  </w:r>
                </w:p>
              </w:tc>
              <w:tc>
                <w:tcPr>
                  <w:tcW w:w="1559" w:type="dxa"/>
                  <w:noWrap w:val="0"/>
                  <w:vAlign w:val="center"/>
                </w:tcPr>
                <w:p>
                  <w:pPr>
                    <w:rPr>
                      <w:rFonts w:hint="eastAsia" w:ascii="宋体" w:hAnsi="宋体" w:eastAsia="宋体" w:cs="Times New Roman"/>
                      <w:bCs/>
                      <w:color w:val="FF0000"/>
                      <w:szCs w:val="21"/>
                      <w:highlight w:val="none"/>
                    </w:rPr>
                  </w:pPr>
                  <w:r>
                    <w:rPr>
                      <w:rFonts w:hint="eastAsia" w:ascii="宋体" w:hAnsi="宋体" w:eastAsia="宋体" w:cs="Times New Roman"/>
                      <w:bCs/>
                      <w:color w:val="FF0000"/>
                      <w:szCs w:val="21"/>
                      <w:highlight w:val="none"/>
                    </w:rPr>
                    <w:t>SZJG52-2016</w:t>
                  </w:r>
                </w:p>
              </w:tc>
              <w:tc>
                <w:tcPr>
                  <w:tcW w:w="1134" w:type="dxa"/>
                  <w:noWrap w:val="0"/>
                  <w:vAlign w:val="center"/>
                </w:tcPr>
                <w:p>
                  <w:pPr>
                    <w:rPr>
                      <w:rFonts w:hint="eastAsia" w:ascii="宋体" w:hAnsi="宋体" w:eastAsia="宋体" w:cs="Times New Roman"/>
                      <w:bCs/>
                      <w:color w:val="FF0000"/>
                      <w:szCs w:val="21"/>
                      <w:highlight w:val="none"/>
                    </w:rPr>
                  </w:pPr>
                  <w:r>
                    <w:rPr>
                      <w:rFonts w:hint="eastAsia" w:ascii="宋体" w:hAnsi="宋体" w:eastAsia="宋体" w:cs="Times New Roman"/>
                      <w:bCs/>
                      <w:color w:val="FF0000"/>
                      <w:szCs w:val="21"/>
                      <w:highlight w:val="none"/>
                    </w:rPr>
                    <w:t>强制性</w:t>
                  </w:r>
                </w:p>
              </w:tc>
              <w:tc>
                <w:tcPr>
                  <w:tcW w:w="2068" w:type="dxa"/>
                  <w:noWrap w:val="0"/>
                  <w:vAlign w:val="center"/>
                </w:tcPr>
                <w:p>
                  <w:pPr>
                    <w:rPr>
                      <w:rFonts w:hint="eastAsia" w:ascii="宋体" w:hAnsi="宋体" w:eastAsia="宋体" w:cs="Times New Roman"/>
                      <w:bCs/>
                      <w:color w:val="FF0000"/>
                      <w:szCs w:val="21"/>
                      <w:highlight w:val="none"/>
                    </w:rPr>
                  </w:pPr>
                  <w:r>
                    <w:rPr>
                      <w:rFonts w:hint="eastAsia" w:ascii="宋体" w:hAnsi="宋体" w:eastAsia="宋体" w:cs="Times New Roman"/>
                      <w:bCs/>
                      <w:color w:val="FF0000"/>
                      <w:szCs w:val="21"/>
                      <w:highlight w:val="none"/>
                    </w:rPr>
                    <w:t>SZJG52-2016 GB/T31106-2014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80" w:type="dxa"/>
                  <w:noWrap w:val="0"/>
                  <w:vAlign w:val="top"/>
                </w:tcPr>
                <w:p>
                  <w:pPr>
                    <w:rPr>
                      <w:rFonts w:hint="eastAsia" w:ascii="宋体" w:hAnsi="宋体" w:eastAsia="宋体" w:cs="Times New Roman"/>
                      <w:bCs/>
                      <w:color w:val="FF0000"/>
                      <w:szCs w:val="21"/>
                      <w:highlight w:val="none"/>
                    </w:rPr>
                  </w:pPr>
                  <w:r>
                    <w:rPr>
                      <w:rFonts w:hint="eastAsia" w:ascii="宋体" w:hAnsi="宋体" w:eastAsia="宋体" w:cs="Times New Roman"/>
                      <w:bCs/>
                      <w:color w:val="FF0000"/>
                      <w:szCs w:val="21"/>
                      <w:highlight w:val="none"/>
                    </w:rPr>
                    <w:t>4</w:t>
                  </w:r>
                </w:p>
              </w:tc>
              <w:tc>
                <w:tcPr>
                  <w:tcW w:w="2004" w:type="dxa"/>
                  <w:noWrap w:val="0"/>
                  <w:vAlign w:val="center"/>
                </w:tcPr>
                <w:p>
                  <w:pPr>
                    <w:rPr>
                      <w:rFonts w:hint="eastAsia" w:ascii="宋体" w:hAnsi="宋体" w:eastAsia="宋体" w:cs="Times New Roman"/>
                      <w:bCs/>
                      <w:color w:val="FF0000"/>
                      <w:szCs w:val="21"/>
                      <w:highlight w:val="none"/>
                    </w:rPr>
                  </w:pPr>
                  <w:r>
                    <w:rPr>
                      <w:rFonts w:hint="eastAsia" w:ascii="宋体" w:hAnsi="宋体" w:eastAsia="宋体" w:cs="Times New Roman"/>
                      <w:bCs/>
                      <w:color w:val="FF0000"/>
                      <w:szCs w:val="21"/>
                      <w:highlight w:val="none"/>
                    </w:rPr>
                    <w:t>二甲苯释放量</w:t>
                  </w:r>
                </w:p>
              </w:tc>
              <w:tc>
                <w:tcPr>
                  <w:tcW w:w="1559" w:type="dxa"/>
                  <w:noWrap w:val="0"/>
                  <w:vAlign w:val="center"/>
                </w:tcPr>
                <w:p>
                  <w:pPr>
                    <w:rPr>
                      <w:rFonts w:hint="eastAsia" w:ascii="宋体" w:hAnsi="宋体" w:eastAsia="宋体" w:cs="Times New Roman"/>
                      <w:bCs/>
                      <w:color w:val="FF0000"/>
                      <w:szCs w:val="21"/>
                      <w:highlight w:val="none"/>
                    </w:rPr>
                  </w:pPr>
                  <w:r>
                    <w:rPr>
                      <w:rFonts w:hint="eastAsia" w:ascii="宋体" w:hAnsi="宋体" w:eastAsia="宋体" w:cs="Times New Roman"/>
                      <w:bCs/>
                      <w:color w:val="FF0000"/>
                      <w:szCs w:val="21"/>
                      <w:highlight w:val="none"/>
                    </w:rPr>
                    <w:t>SZJG52-2016</w:t>
                  </w:r>
                </w:p>
              </w:tc>
              <w:tc>
                <w:tcPr>
                  <w:tcW w:w="1134" w:type="dxa"/>
                  <w:noWrap w:val="0"/>
                  <w:vAlign w:val="center"/>
                </w:tcPr>
                <w:p>
                  <w:pPr>
                    <w:rPr>
                      <w:rFonts w:hint="eastAsia" w:ascii="宋体" w:hAnsi="宋体" w:eastAsia="宋体" w:cs="Times New Roman"/>
                      <w:bCs/>
                      <w:color w:val="FF0000"/>
                      <w:szCs w:val="21"/>
                      <w:highlight w:val="none"/>
                    </w:rPr>
                  </w:pPr>
                  <w:r>
                    <w:rPr>
                      <w:rFonts w:hint="eastAsia" w:ascii="宋体" w:hAnsi="宋体" w:eastAsia="宋体" w:cs="Times New Roman"/>
                      <w:bCs/>
                      <w:color w:val="FF0000"/>
                      <w:szCs w:val="21"/>
                      <w:highlight w:val="none"/>
                    </w:rPr>
                    <w:t>强制性</w:t>
                  </w:r>
                </w:p>
              </w:tc>
              <w:tc>
                <w:tcPr>
                  <w:tcW w:w="2068" w:type="dxa"/>
                  <w:noWrap w:val="0"/>
                  <w:vAlign w:val="center"/>
                </w:tcPr>
                <w:p>
                  <w:pPr>
                    <w:rPr>
                      <w:rFonts w:hint="eastAsia" w:ascii="宋体" w:hAnsi="宋体" w:eastAsia="宋体" w:cs="Times New Roman"/>
                      <w:bCs/>
                      <w:color w:val="FF0000"/>
                      <w:szCs w:val="21"/>
                      <w:highlight w:val="none"/>
                    </w:rPr>
                  </w:pPr>
                  <w:r>
                    <w:rPr>
                      <w:rFonts w:hint="eastAsia" w:ascii="宋体" w:hAnsi="宋体" w:eastAsia="宋体" w:cs="Times New Roman"/>
                      <w:bCs/>
                      <w:color w:val="FF0000"/>
                      <w:szCs w:val="21"/>
                      <w:highlight w:val="none"/>
                    </w:rPr>
                    <w:t>SZJG52-2016 GB/T31106-2014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80" w:type="dxa"/>
                  <w:noWrap w:val="0"/>
                  <w:vAlign w:val="top"/>
                </w:tcPr>
                <w:p>
                  <w:pPr>
                    <w:rPr>
                      <w:rFonts w:hint="eastAsia" w:ascii="宋体" w:hAnsi="宋体" w:eastAsia="宋体" w:cs="Times New Roman"/>
                      <w:bCs/>
                      <w:color w:val="FF0000"/>
                      <w:szCs w:val="21"/>
                      <w:highlight w:val="none"/>
                    </w:rPr>
                  </w:pPr>
                  <w:r>
                    <w:rPr>
                      <w:rFonts w:hint="eastAsia" w:ascii="宋体" w:hAnsi="宋体" w:eastAsia="宋体" w:cs="Times New Roman"/>
                      <w:bCs/>
                      <w:color w:val="FF0000"/>
                      <w:szCs w:val="21"/>
                      <w:highlight w:val="none"/>
                    </w:rPr>
                    <w:t>5</w:t>
                  </w:r>
                </w:p>
              </w:tc>
              <w:tc>
                <w:tcPr>
                  <w:tcW w:w="2004" w:type="dxa"/>
                  <w:noWrap w:val="0"/>
                  <w:vAlign w:val="center"/>
                </w:tcPr>
                <w:p>
                  <w:pPr>
                    <w:rPr>
                      <w:rFonts w:hint="eastAsia" w:ascii="宋体" w:hAnsi="宋体" w:eastAsia="宋体" w:cs="Times New Roman"/>
                      <w:bCs/>
                      <w:color w:val="FF0000"/>
                      <w:szCs w:val="21"/>
                      <w:highlight w:val="none"/>
                    </w:rPr>
                  </w:pPr>
                  <w:r>
                    <w:rPr>
                      <w:rFonts w:hint="eastAsia" w:ascii="宋体" w:hAnsi="宋体" w:eastAsia="宋体" w:cs="Times New Roman"/>
                      <w:bCs/>
                      <w:color w:val="FF0000"/>
                      <w:szCs w:val="21"/>
                      <w:highlight w:val="none"/>
                    </w:rPr>
                    <w:t>总挥发性有机化合物（TVOC）释放量</w:t>
                  </w:r>
                </w:p>
              </w:tc>
              <w:tc>
                <w:tcPr>
                  <w:tcW w:w="1559" w:type="dxa"/>
                  <w:noWrap w:val="0"/>
                  <w:vAlign w:val="center"/>
                </w:tcPr>
                <w:p>
                  <w:pPr>
                    <w:rPr>
                      <w:rFonts w:hint="eastAsia" w:ascii="宋体" w:hAnsi="宋体" w:eastAsia="宋体" w:cs="Times New Roman"/>
                      <w:bCs/>
                      <w:color w:val="FF0000"/>
                      <w:szCs w:val="21"/>
                      <w:highlight w:val="none"/>
                    </w:rPr>
                  </w:pPr>
                  <w:r>
                    <w:rPr>
                      <w:rFonts w:hint="eastAsia" w:ascii="宋体" w:hAnsi="宋体" w:eastAsia="宋体" w:cs="Times New Roman"/>
                      <w:bCs/>
                      <w:color w:val="FF0000"/>
                      <w:szCs w:val="21"/>
                      <w:highlight w:val="none"/>
                    </w:rPr>
                    <w:t>SZJG52-2016</w:t>
                  </w:r>
                </w:p>
              </w:tc>
              <w:tc>
                <w:tcPr>
                  <w:tcW w:w="1134" w:type="dxa"/>
                  <w:noWrap w:val="0"/>
                  <w:vAlign w:val="center"/>
                </w:tcPr>
                <w:p>
                  <w:pPr>
                    <w:rPr>
                      <w:rFonts w:hint="eastAsia" w:ascii="宋体" w:hAnsi="宋体" w:eastAsia="宋体" w:cs="Times New Roman"/>
                      <w:bCs/>
                      <w:color w:val="FF0000"/>
                      <w:szCs w:val="21"/>
                      <w:highlight w:val="none"/>
                    </w:rPr>
                  </w:pPr>
                  <w:r>
                    <w:rPr>
                      <w:rFonts w:hint="eastAsia" w:ascii="宋体" w:hAnsi="宋体" w:eastAsia="宋体" w:cs="Times New Roman"/>
                      <w:bCs/>
                      <w:color w:val="FF0000"/>
                      <w:szCs w:val="21"/>
                      <w:highlight w:val="none"/>
                    </w:rPr>
                    <w:t>强制性</w:t>
                  </w:r>
                </w:p>
              </w:tc>
              <w:tc>
                <w:tcPr>
                  <w:tcW w:w="2068" w:type="dxa"/>
                  <w:noWrap w:val="0"/>
                  <w:vAlign w:val="center"/>
                </w:tcPr>
                <w:p>
                  <w:pPr>
                    <w:rPr>
                      <w:rFonts w:hint="eastAsia" w:ascii="宋体" w:hAnsi="宋体" w:eastAsia="宋体" w:cs="Times New Roman"/>
                      <w:bCs/>
                      <w:color w:val="FF0000"/>
                      <w:szCs w:val="21"/>
                      <w:highlight w:val="none"/>
                    </w:rPr>
                  </w:pPr>
                  <w:r>
                    <w:rPr>
                      <w:rFonts w:hint="eastAsia" w:ascii="宋体" w:hAnsi="宋体" w:eastAsia="宋体" w:cs="Times New Roman"/>
                      <w:bCs/>
                      <w:color w:val="FF0000"/>
                      <w:szCs w:val="21"/>
                      <w:highlight w:val="none"/>
                    </w:rPr>
                    <w:t>SZJG52-2016 GB/T31106-2014</w:t>
                  </w:r>
                </w:p>
              </w:tc>
            </w:tr>
          </w:tbl>
          <w:p>
            <w:pPr>
              <w:rPr>
                <w:rFonts w:ascii="宋体" w:hAnsi="宋体" w:eastAsia="宋体" w:cs="Times New Roman"/>
                <w:bCs/>
                <w:color w:val="FF0000"/>
                <w:szCs w:val="21"/>
                <w:highlight w:val="none"/>
              </w:rPr>
            </w:pPr>
          </w:p>
        </w:tc>
      </w:tr>
    </w:tbl>
    <w:p>
      <w:pPr>
        <w:spacing w:afterLines="25" w:line="300" w:lineRule="auto"/>
        <w:rPr>
          <w:rFonts w:ascii="Arial" w:hAnsi="Arial" w:eastAsia="宋体" w:cs="Times New Roman"/>
          <w:szCs w:val="24"/>
          <w:highlight w:val="none"/>
        </w:rPr>
      </w:pPr>
    </w:p>
    <w:p>
      <w:pPr>
        <w:widowControl/>
        <w:jc w:val="left"/>
        <w:rPr>
          <w:rFonts w:ascii="Arial" w:hAnsi="Arial" w:eastAsia="宋体" w:cs="Times New Roman"/>
          <w:szCs w:val="24"/>
          <w:highlight w:val="none"/>
        </w:rPr>
      </w:pPr>
    </w:p>
    <w:p>
      <w:pPr>
        <w:keepNext/>
        <w:keepLines/>
        <w:tabs>
          <w:tab w:val="left" w:pos="1680"/>
        </w:tabs>
        <w:spacing w:before="260" w:afterLines="25"/>
        <w:jc w:val="center"/>
        <w:outlineLvl w:val="2"/>
        <w:rPr>
          <w:rFonts w:ascii="Arial" w:hAnsi="Arial" w:eastAsia="宋体" w:cs="Times New Roman"/>
          <w:b/>
          <w:bCs/>
          <w:sz w:val="32"/>
          <w:szCs w:val="32"/>
          <w:highlight w:val="none"/>
        </w:rPr>
      </w:pPr>
      <w:r>
        <w:rPr>
          <w:rFonts w:hint="eastAsia" w:ascii="Arial" w:hAnsi="Arial" w:eastAsia="宋体" w:cs="Times New Roman"/>
          <w:b/>
          <w:bCs/>
          <w:sz w:val="32"/>
          <w:szCs w:val="32"/>
          <w:highlight w:val="none"/>
          <w:lang w:val="en-US" w:eastAsia="zh-CN"/>
        </w:rPr>
        <w:t>五</w:t>
      </w:r>
      <w:r>
        <w:rPr>
          <w:rFonts w:hint="eastAsia" w:ascii="Arial" w:hAnsi="Arial" w:eastAsia="宋体" w:cs="Times New Roman"/>
          <w:b/>
          <w:bCs/>
          <w:sz w:val="32"/>
          <w:szCs w:val="32"/>
          <w:highlight w:val="none"/>
        </w:rPr>
        <w:t>、技术</w:t>
      </w:r>
      <w:r>
        <w:rPr>
          <w:rFonts w:hint="eastAsia" w:ascii="Arial" w:hAnsi="Arial" w:eastAsia="宋体" w:cs="Times New Roman"/>
          <w:b/>
          <w:bCs/>
          <w:sz w:val="32"/>
          <w:szCs w:val="32"/>
          <w:highlight w:val="none"/>
          <w:lang w:val="en-US" w:eastAsia="zh-CN"/>
        </w:rPr>
        <w:t>要求</w:t>
      </w:r>
      <w:r>
        <w:rPr>
          <w:rFonts w:hint="eastAsia" w:ascii="Arial" w:hAnsi="Arial" w:eastAsia="宋体" w:cs="Times New Roman"/>
          <w:b/>
          <w:bCs/>
          <w:sz w:val="32"/>
          <w:szCs w:val="32"/>
          <w:highlight w:val="none"/>
        </w:rPr>
        <w:t>部分</w:t>
      </w:r>
    </w:p>
    <w:p>
      <w:pPr>
        <w:rPr>
          <w:rFonts w:ascii="宋体" w:hAnsi="宋体" w:eastAsia="宋体" w:cs="Times New Roman"/>
          <w:b/>
          <w:color w:val="FF0000"/>
          <w:szCs w:val="21"/>
          <w:highlight w:val="none"/>
        </w:rPr>
      </w:pPr>
      <w:r>
        <w:rPr>
          <w:rFonts w:hint="eastAsia" w:ascii="宋体" w:hAnsi="宋体" w:eastAsia="宋体" w:cs="Times New Roman"/>
          <w:b/>
          <w:color w:val="FF0000"/>
          <w:szCs w:val="21"/>
          <w:highlight w:val="none"/>
        </w:rPr>
        <w:t>1、带</w:t>
      </w:r>
      <w:r>
        <w:rPr>
          <w:rFonts w:hint="eastAsia" w:ascii="宋体" w:hAnsi="宋体" w:eastAsia="宋体" w:cs="Times New Roman"/>
          <w:b/>
          <w:bCs/>
          <w:color w:val="FF0000"/>
          <w:szCs w:val="21"/>
          <w:highlight w:val="none"/>
        </w:rPr>
        <w:t>★</w:t>
      </w:r>
      <w:r>
        <w:rPr>
          <w:rFonts w:hint="eastAsia" w:ascii="宋体" w:hAnsi="宋体" w:eastAsia="宋体" w:cs="Times New Roman"/>
          <w:b/>
          <w:color w:val="FF0000"/>
          <w:szCs w:val="21"/>
          <w:highlight w:val="none"/>
        </w:rPr>
        <w:t>号要求为不可偏离要求，如出现负偏离，将导致投标无效。带▲号参数为重要参数，其他参数（非▲号参数）为普通参数，如出现负偏离，将按照评分准则做扣分处理。如注明要求提供相关佐证材料的，需以佐证材料作为是否偏离的依据。</w:t>
      </w:r>
    </w:p>
    <w:p>
      <w:pPr>
        <w:spacing w:after="78"/>
        <w:jc w:val="left"/>
        <w:rPr>
          <w:rFonts w:ascii="Calibri" w:hAnsi="Calibri" w:eastAsia="宋体" w:cs="Times New Roman"/>
          <w:color w:val="FF0000"/>
          <w:szCs w:val="21"/>
          <w:highlight w:val="none"/>
        </w:rPr>
      </w:pPr>
      <w:r>
        <w:rPr>
          <w:rFonts w:hint="eastAsia" w:ascii="Calibri" w:hAnsi="Calibri" w:eastAsia="宋体" w:cs="Times New Roman"/>
          <w:color w:val="FF0000"/>
          <w:szCs w:val="21"/>
          <w:highlight w:val="none"/>
        </w:rPr>
        <w:t>2、所列的技术</w:t>
      </w:r>
      <w:r>
        <w:rPr>
          <w:rFonts w:ascii="Calibri" w:hAnsi="Calibri" w:eastAsia="宋体" w:cs="Times New Roman"/>
          <w:color w:val="FF0000"/>
          <w:szCs w:val="21"/>
          <w:highlight w:val="none"/>
        </w:rPr>
        <w:t>参数</w:t>
      </w:r>
      <w:r>
        <w:rPr>
          <w:rFonts w:hint="eastAsia" w:ascii="Calibri" w:hAnsi="Calibri" w:eastAsia="宋体" w:cs="Times New Roman"/>
          <w:color w:val="FF0000"/>
          <w:szCs w:val="21"/>
          <w:highlight w:val="none"/>
        </w:rPr>
        <w:t>需求中如出现品牌信息仅供参考，不作为参数要求，目的只为投标人更清楚地了解采购需求，投标人可提供其他品牌设备投标。</w:t>
      </w:r>
    </w:p>
    <w:p>
      <w:pPr>
        <w:spacing w:after="78"/>
        <w:jc w:val="left"/>
        <w:rPr>
          <w:rFonts w:ascii="Calibri" w:hAnsi="Calibri" w:eastAsia="宋体" w:cs="Times New Roman"/>
          <w:color w:val="FF0000"/>
          <w:szCs w:val="21"/>
          <w:highlight w:val="none"/>
        </w:rPr>
      </w:pPr>
      <w:r>
        <w:rPr>
          <w:rFonts w:hint="eastAsia" w:ascii="Calibri" w:hAnsi="Calibri" w:eastAsia="宋体" w:cs="Times New Roman"/>
          <w:color w:val="FF0000"/>
          <w:szCs w:val="21"/>
          <w:highlight w:val="none"/>
        </w:rPr>
        <w:t>3、如有</w:t>
      </w:r>
      <w:r>
        <w:rPr>
          <w:rFonts w:ascii="Calibri" w:hAnsi="Calibri" w:eastAsia="宋体" w:cs="Times New Roman"/>
          <w:color w:val="FF0000"/>
          <w:szCs w:val="21"/>
          <w:highlight w:val="none"/>
        </w:rPr>
        <w:t>方案表述中有出现类似可实现、</w:t>
      </w:r>
      <w:r>
        <w:rPr>
          <w:rFonts w:hint="eastAsia" w:ascii="Calibri" w:hAnsi="Calibri" w:eastAsia="宋体" w:cs="Times New Roman"/>
          <w:color w:val="FF0000"/>
          <w:szCs w:val="21"/>
          <w:highlight w:val="none"/>
        </w:rPr>
        <w:t>实现</w:t>
      </w:r>
      <w:r>
        <w:rPr>
          <w:rFonts w:ascii="Calibri" w:hAnsi="Calibri" w:eastAsia="宋体" w:cs="Times New Roman"/>
          <w:color w:val="FF0000"/>
          <w:szCs w:val="21"/>
          <w:highlight w:val="none"/>
        </w:rPr>
        <w:t>、</w:t>
      </w:r>
      <w:r>
        <w:rPr>
          <w:rFonts w:hint="eastAsia" w:ascii="Calibri" w:hAnsi="Calibri" w:eastAsia="宋体" w:cs="Times New Roman"/>
          <w:color w:val="FF0000"/>
          <w:szCs w:val="21"/>
          <w:highlight w:val="none"/>
        </w:rPr>
        <w:t>可</w:t>
      </w:r>
      <w:r>
        <w:rPr>
          <w:rFonts w:ascii="Calibri" w:hAnsi="Calibri" w:eastAsia="宋体" w:cs="Times New Roman"/>
          <w:color w:val="FF0000"/>
          <w:szCs w:val="21"/>
          <w:highlight w:val="none"/>
        </w:rPr>
        <w:t>支持、支持</w:t>
      </w:r>
      <w:r>
        <w:rPr>
          <w:rFonts w:hint="eastAsia" w:ascii="Calibri" w:hAnsi="Calibri" w:eastAsia="宋体" w:cs="Times New Roman"/>
          <w:color w:val="FF0000"/>
          <w:szCs w:val="21"/>
          <w:highlight w:val="none"/>
        </w:rPr>
        <w:t>等</w:t>
      </w:r>
      <w:r>
        <w:rPr>
          <w:rFonts w:ascii="Calibri" w:hAnsi="Calibri" w:eastAsia="宋体" w:cs="Times New Roman"/>
          <w:color w:val="FF0000"/>
          <w:szCs w:val="21"/>
          <w:highlight w:val="none"/>
        </w:rPr>
        <w:t>描述的，均表示方案需要实现的功能或</w:t>
      </w:r>
      <w:r>
        <w:rPr>
          <w:rFonts w:hint="eastAsia" w:ascii="Calibri" w:hAnsi="Calibri" w:eastAsia="宋体" w:cs="Times New Roman"/>
          <w:color w:val="FF0000"/>
          <w:szCs w:val="21"/>
          <w:highlight w:val="none"/>
        </w:rPr>
        <w:t>应满足的</w:t>
      </w:r>
      <w:r>
        <w:rPr>
          <w:rFonts w:ascii="Calibri" w:hAnsi="Calibri" w:eastAsia="宋体" w:cs="Times New Roman"/>
          <w:color w:val="FF0000"/>
          <w:szCs w:val="21"/>
          <w:highlight w:val="none"/>
        </w:rPr>
        <w:t>要求，即项目在验收时无须增加其他</w:t>
      </w:r>
      <w:r>
        <w:rPr>
          <w:rFonts w:hint="eastAsia" w:ascii="Calibri" w:hAnsi="Calibri" w:eastAsia="宋体" w:cs="Times New Roman"/>
          <w:color w:val="FF0000"/>
          <w:szCs w:val="21"/>
          <w:highlight w:val="none"/>
        </w:rPr>
        <w:t>额外</w:t>
      </w:r>
      <w:r>
        <w:rPr>
          <w:rFonts w:ascii="Calibri" w:hAnsi="Calibri" w:eastAsia="宋体" w:cs="Times New Roman"/>
          <w:color w:val="FF0000"/>
          <w:szCs w:val="21"/>
          <w:highlight w:val="none"/>
        </w:rPr>
        <w:t>设备</w:t>
      </w:r>
      <w:r>
        <w:rPr>
          <w:rFonts w:hint="eastAsia" w:ascii="Calibri" w:hAnsi="Calibri" w:eastAsia="宋体" w:cs="Times New Roman"/>
          <w:color w:val="FF0000"/>
          <w:szCs w:val="21"/>
          <w:highlight w:val="none"/>
        </w:rPr>
        <w:t>或</w:t>
      </w:r>
      <w:r>
        <w:rPr>
          <w:rFonts w:ascii="Calibri" w:hAnsi="Calibri" w:eastAsia="宋体" w:cs="Times New Roman"/>
          <w:color w:val="FF0000"/>
          <w:szCs w:val="21"/>
          <w:highlight w:val="none"/>
        </w:rPr>
        <w:t>系统</w:t>
      </w:r>
      <w:r>
        <w:rPr>
          <w:rFonts w:hint="eastAsia" w:ascii="Calibri" w:hAnsi="Calibri" w:eastAsia="宋体" w:cs="Times New Roman"/>
          <w:color w:val="FF0000"/>
          <w:szCs w:val="21"/>
          <w:highlight w:val="none"/>
        </w:rPr>
        <w:t>，</w:t>
      </w:r>
      <w:r>
        <w:rPr>
          <w:rFonts w:ascii="Calibri" w:hAnsi="Calibri" w:eastAsia="宋体" w:cs="Times New Roman"/>
          <w:color w:val="FF0000"/>
          <w:szCs w:val="21"/>
          <w:highlight w:val="none"/>
        </w:rPr>
        <w:t>使用本项目中的设备或</w:t>
      </w:r>
      <w:r>
        <w:rPr>
          <w:rFonts w:hint="eastAsia" w:ascii="Calibri" w:hAnsi="Calibri" w:eastAsia="宋体" w:cs="Times New Roman"/>
          <w:color w:val="FF0000"/>
          <w:szCs w:val="21"/>
          <w:highlight w:val="none"/>
        </w:rPr>
        <w:t>系统</w:t>
      </w:r>
      <w:r>
        <w:rPr>
          <w:rFonts w:ascii="Calibri" w:hAnsi="Calibri" w:eastAsia="宋体" w:cs="Times New Roman"/>
          <w:color w:val="FF0000"/>
          <w:szCs w:val="21"/>
          <w:highlight w:val="none"/>
        </w:rPr>
        <w:t>即能实现</w:t>
      </w:r>
      <w:r>
        <w:rPr>
          <w:rFonts w:hint="eastAsia" w:ascii="Calibri" w:hAnsi="Calibri" w:eastAsia="宋体" w:cs="Times New Roman"/>
          <w:color w:val="FF0000"/>
          <w:szCs w:val="21"/>
          <w:highlight w:val="none"/>
        </w:rPr>
        <w:t>相应功能</w:t>
      </w:r>
      <w:r>
        <w:rPr>
          <w:rFonts w:ascii="Calibri" w:hAnsi="Calibri" w:eastAsia="宋体" w:cs="Times New Roman"/>
          <w:color w:val="FF0000"/>
          <w:szCs w:val="21"/>
          <w:highlight w:val="none"/>
        </w:rPr>
        <w:t>或</w:t>
      </w:r>
      <w:r>
        <w:rPr>
          <w:rFonts w:hint="eastAsia" w:ascii="Calibri" w:hAnsi="Calibri" w:eastAsia="宋体" w:cs="Times New Roman"/>
          <w:color w:val="FF0000"/>
          <w:szCs w:val="21"/>
          <w:highlight w:val="none"/>
        </w:rPr>
        <w:t>满足相关</w:t>
      </w:r>
      <w:r>
        <w:rPr>
          <w:rFonts w:ascii="Calibri" w:hAnsi="Calibri" w:eastAsia="宋体" w:cs="Times New Roman"/>
          <w:color w:val="FF0000"/>
          <w:szCs w:val="21"/>
          <w:highlight w:val="none"/>
        </w:rPr>
        <w:t>要求。</w:t>
      </w:r>
    </w:p>
    <w:p>
      <w:pPr>
        <w:spacing w:after="78"/>
        <w:jc w:val="left"/>
        <w:rPr>
          <w:rFonts w:hint="default" w:ascii="Calibri" w:hAnsi="Calibri" w:eastAsia="宋体" w:cs="Times New Roman"/>
          <w:color w:val="FF0000"/>
          <w:szCs w:val="21"/>
          <w:highlight w:val="none"/>
          <w:lang w:val="en-US" w:eastAsia="zh-CN"/>
        </w:rPr>
      </w:pPr>
      <w:r>
        <w:rPr>
          <w:rFonts w:hint="default" w:ascii="Calibri" w:hAnsi="Calibri" w:eastAsia="宋体" w:cs="Times New Roman"/>
          <w:color w:val="FF0000"/>
          <w:szCs w:val="21"/>
          <w:highlight w:val="none"/>
          <w:lang w:val="en-US" w:eastAsia="zh-CN"/>
        </w:rPr>
        <w:t>4、针对招标文件产品技术参数如涉及相关既定值、单向范围值、区间范围值的，投标技术参数响应方式举例说明如下：</w:t>
      </w:r>
    </w:p>
    <w:p>
      <w:pPr>
        <w:spacing w:after="78"/>
        <w:jc w:val="left"/>
        <w:rPr>
          <w:rFonts w:hint="default" w:ascii="Calibri" w:hAnsi="Calibri" w:eastAsia="宋体" w:cs="Times New Roman"/>
          <w:color w:val="FF0000"/>
          <w:szCs w:val="21"/>
          <w:highlight w:val="none"/>
          <w:lang w:val="en-US" w:eastAsia="zh-CN"/>
        </w:rPr>
      </w:pPr>
      <w:r>
        <w:rPr>
          <w:rFonts w:hint="default" w:ascii="Calibri" w:hAnsi="Calibri" w:eastAsia="宋体" w:cs="Times New Roman"/>
          <w:color w:val="FF0000"/>
          <w:szCs w:val="21"/>
          <w:highlight w:val="none"/>
          <w:lang w:val="en-US" w:eastAsia="zh-CN"/>
        </w:rPr>
        <w:t>（1）涉及相关既定值的，例：招标技术参数要求值为“20L”，投标技术参数响应值与“20L”不一致的，均视为负偏离；</w:t>
      </w:r>
    </w:p>
    <w:p>
      <w:pPr>
        <w:spacing w:after="78"/>
        <w:jc w:val="left"/>
        <w:rPr>
          <w:rFonts w:hint="default" w:ascii="Calibri" w:hAnsi="Calibri" w:eastAsia="宋体" w:cs="Times New Roman"/>
          <w:color w:val="FF0000"/>
          <w:szCs w:val="21"/>
          <w:highlight w:val="none"/>
          <w:lang w:val="en-US" w:eastAsia="zh-CN"/>
        </w:rPr>
      </w:pPr>
      <w:r>
        <w:rPr>
          <w:rFonts w:hint="default" w:ascii="Calibri" w:hAnsi="Calibri" w:eastAsia="宋体" w:cs="Times New Roman"/>
          <w:color w:val="FF0000"/>
          <w:szCs w:val="21"/>
          <w:highlight w:val="none"/>
          <w:lang w:val="en-US" w:eastAsia="zh-CN"/>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pPr>
        <w:spacing w:after="78"/>
        <w:jc w:val="left"/>
        <w:rPr>
          <w:rFonts w:hint="default" w:ascii="Calibri" w:hAnsi="Calibri" w:eastAsia="宋体" w:cs="Times New Roman"/>
          <w:color w:val="FF0000"/>
          <w:szCs w:val="21"/>
          <w:highlight w:val="none"/>
          <w:lang w:val="en-US" w:eastAsia="zh-CN"/>
        </w:rPr>
      </w:pPr>
      <w:r>
        <w:rPr>
          <w:rFonts w:hint="default" w:ascii="Calibri" w:hAnsi="Calibri" w:eastAsia="宋体" w:cs="Times New Roman"/>
          <w:color w:val="FF0000"/>
          <w:szCs w:val="21"/>
          <w:highlight w:val="none"/>
          <w:lang w:val="en-US" w:eastAsia="zh-CN"/>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p>
      <w:pPr>
        <w:spacing w:after="78"/>
        <w:jc w:val="left"/>
        <w:rPr>
          <w:rFonts w:hint="default" w:ascii="Calibri" w:hAnsi="Calibri" w:eastAsia="宋体" w:cs="Times New Roman"/>
          <w:color w:val="FF0000"/>
          <w:szCs w:val="21"/>
          <w:highlight w:val="none"/>
          <w:lang w:val="en-US" w:eastAsia="zh-CN"/>
        </w:rPr>
      </w:pPr>
    </w:p>
    <w:tbl>
      <w:tblPr>
        <w:tblStyle w:val="1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476"/>
        <w:gridCol w:w="5891"/>
        <w:gridCol w:w="5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设备名称</w:t>
            </w:r>
          </w:p>
        </w:tc>
        <w:tc>
          <w:tcPr>
            <w:tcW w:w="3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技术参数要求</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1"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幼儿桌</w:t>
            </w:r>
          </w:p>
        </w:tc>
        <w:tc>
          <w:tcPr>
            <w:tcW w:w="3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设备及组件尺寸允许误差±5%）尺寸：L120xW60cm，高度可选H49cm、H52cm、H55cm，采用立水工艺，结构支撑性强，防止桌面下沉。所有螺丝位无毛刺不刮手，桌角及边沿采用R30mm圆角/圆边处理以及安全防撞设计，最大程度的避免儿童磕碰伤害，结构稳固。桌面采用厚度30mm的橡胶木拼板搭配防火板贴面加工而成，耐刮耐磨，长时间使用不褪色、不容易开裂；长立水尺寸：L1062xW60xH20mm，短立水尺寸：L462xW60xH20mm。桌脚采橡胶木实木，厚实纹路清晰，尺寸为48x48mm，边沿均采用圆边处理（外侧边R25mm,其他三边R10mm）；底部安装塑料脚垫，脚垫尺寸H6.5mm，直径19mm，软性防滑，可有效保护地面刮花并降低噪音。产品整体采用环保的水性漆，全封闭涂装工艺，漆面光泽高透，颜色均匀，附着能力强，通透度高。桌面封边采用环保的水性木蜡油封边，成分天然，分子机构细小，成膜牢固，密封性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b/>
                <w:bCs/>
                <w:i w:val="0"/>
                <w:iCs w:val="0"/>
                <w:color w:val="4472C4"/>
                <w:kern w:val="0"/>
                <w:sz w:val="18"/>
                <w:szCs w:val="18"/>
                <w:highlight w:val="none"/>
                <w:u w:val="none"/>
                <w:lang w:val="en-US" w:eastAsia="zh-CN" w:bidi="ar"/>
              </w:rPr>
              <w:t>▲2、成品幼儿桌采用GB/T35607-2017、GB20286-2006、QB/T4371-2012、GB 28007-2011标准，检测项目要求：甲醛释放量≤0.01mg/m³ ；热释放速率峰值≤50kw;5min内放出的总能量≤5MJ；最大烟密度≤70%；抗菌性能测试，检测内容至少包含鼠伤寒沙门氏菌、金黄色葡萄球菌、大肠埃希氏菌、甲型副伤寒沙门氏菌、乙型副伤寒沙门氏菌及肺炎链球菌等检测结果抗菌率达到99%及以上符合标准要求；外形尺寸偏差、外观（木制件外观、涂层外观）、木制件表面涂层/覆面材料(耐液、附着力、耐湿热、耐干热、耐冷热温差、抗冲击、耐磨)、木材含水率、结构安全（边缘及尖端、突出物、孔及间隙、折叠机构）、力学性能（垂直加载稳定性试验、主桌面垂直静载荷试验、水平静载荷试验、桌面垂直冲击试验、桌腿跌落试验、桌面水平耐久性试验、其他）、表面涂层可迁移元素（锑、砷、铅、硒、镉、铬、汞、钡）、塑料邻苯二甲酸酯、警示标识、标志、使用说明等判定合格符合标准要求。投标时提供由第三方检验检测机构出具并加盖（或带有）CMA标志的检验检测报告扫描件，原件备查；注：对应参数（检验检测项）在检验检测报告中进行标注；检验检测报告出具的时间应在本项目投标截止日前1年内；如检验检测报告中明确备注说明相关检验检测项不在检验检测机构CMA资质许可（认定）范围内的，不符合招标文件要求。</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圆桌</w:t>
            </w:r>
          </w:p>
        </w:tc>
        <w:tc>
          <w:tcPr>
            <w:tcW w:w="3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设备及组件尺寸允许误差±5%）尺寸：直径80cm，高度可选H49cm、H52cm；采用立水工艺，结构支撑性强，防止桌面下沉。所有螺丝位无毛刺不刮手，桌角及边沿采用R30mm圆角/圆边处理以及安全防撞设计，最大程度的避免儿童磕碰伤害，结构稳固。桌面采用厚度30mm的橡胶木拼板搭配防火板贴面加工而成，耐刮耐磨，长时间使用不褪色、不容易开裂；立水尺寸L462xW60xH20mm结构稳固。桌脚采橡胶木实木，厚实纹路清晰，尺寸为48x48mm，边沿均采用圆边处理（外侧边R25mm,其他三边R10mm）；底部安装塑料脚垫，脚垫尺寸H6.5mm，直径19mm，软性防滑，可有效保护地面刮花并降低噪音。产品整体采用环保的水性漆，全封闭涂装工艺，漆面光泽高透，颜色均匀，附着能力强，通透度高。桌面封边采用环保的水性木蜡油封边，成分天然，分子机构细小，成膜牢固，密封性好。</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半圆桌</w:t>
            </w:r>
          </w:p>
        </w:tc>
        <w:tc>
          <w:tcPr>
            <w:tcW w:w="3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设备及组件尺寸允许误差±5%）尺寸：L120xW60xH49/52/55cm可调节高度；桌面背面设置有4个塑料连接件，桌脚使用螺旋安装方式与桌面连接，方便拆卸。桌脚底部安装可调节塑料件，可通过调整塑料件的数量来改变桌面的整体高度。桌面采用厚度30mm的橡胶木拼板搭配防火板贴面加工而成，耐刮耐磨，长时间使用不褪色、不容易开裂；桌面与桌脚链接安装4个环保塑料一次成型尺寸为L190*H75mm的扇形脚座连接件，脚座设置一个外直径50mm连接桌脚，呈浅咖色，表面光滑无毛刺，线条圆润，桌脚直接螺旋拧上即完成安装，既省时省力又提高产品的互换性，延长使用寿命。桌脚采用直径φ48mm的橡胶木原木搭配浅咖色塑料调节脚套环，螺旋结构方便调节，每个脚套环尺寸为直径48xH56mm，选择安装不同的数量可满足不同的高度需求，可调高度为490/520/550mm；桌脚底部是直径62.4mm高度40mm的塑料脚垫，脚垫底部安装可调螺旋塑料脚垫直径39.6mm，可适应个别不平整的地面。产品整体采用环保的水性漆，全封闭涂装工艺，漆面光泽高透，颜色均匀，附着能力强，通透度高。桌面封边采用环保的水性木蜡油封边，成分天然，分子机构细小，成膜牢固，密封性好。</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梯形桌</w:t>
            </w:r>
          </w:p>
        </w:tc>
        <w:tc>
          <w:tcPr>
            <w:tcW w:w="3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设备及组件尺寸允许误差±5%）尺寸：L107xW53xH49/52/55cm可调节高度；桌面背面设置有4个塑料连接件，桌脚使用螺旋安装方式与桌面连接，方便拆卸。桌脚底部安装可调节塑料件，可通过调整塑料件的数量来改变桌面的整体高度。桌面采用厚度30mm的橡胶木拼板搭配防火板贴面加工而成，耐刮耐磨，长时间使用不褪色、不容易开裂；桌面与桌脚链接安装4个环保塑料一次成型尺寸为L190*H75mm的扇形脚座连接件，脚座设置一个外直径50mm连接桌脚，呈浅咖色，表面光滑无毛刺，线条圆润，桌脚直接螺旋拧上即完成安装，既省时省力又提高产品的互换性，延长使用寿命。桌脚采用直径48mm的橡胶木原木搭配浅咖色塑料调节脚套环，螺旋结构方便调节，每个脚套环尺寸为直径48xH56mm，选择安装不同的数量可满足不同的高度需求，可调高度为490/520/550mm；桌脚底部是直径62.4mm高度40mm的塑料脚垫，脚垫底部安装可调螺旋塑料脚垫直径39.6mm，可适应个别不平整的地面。产品整体采用环保的水性漆，全封闭涂装工艺，漆面光泽高透，颜色均匀，附着能力强，通透度高。桌面封边采用环保的水性木蜡油封边，成分天然，分子机构细小，成膜牢固，密封性好。</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幼儿椅</w:t>
            </w:r>
          </w:p>
        </w:tc>
        <w:tc>
          <w:tcPr>
            <w:tcW w:w="3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设备及组件尺寸允许误差±5%）尺寸：L30xW30，高度可选H50cm、H53cm、H56cm；整体为工字框架，拆装结构，使用木梢做榫孔定位加固安装，使用二合一、自攻丝进行连接，组搭安装便捷。背板拱桥造型、圆孔提手设计，兼具美观与实用。 所有螺丝位无毛刺不刮手，边角采用圆边/圆角处理以及安全防撞设计，最大程度的避免儿童磕碰伤害，结构稳固。座板采用厚度12mm的饰面环保实木多层板双贴橡胶木纹皮；座高:250mm；座深:270mm；座宽:290mm。椅背采用厚度18mm的环保实木多层板双贴橡胶木纹皮，顶部为原木色木拱桥造型，靠背最大高度109mm,最小高度105mm，圆滑对称；中间椭圆提手孔设计手提便携，孔位尺寸：80x30mm；背板加宽，弧形修饰，使坐姿靠背更舒适。椅脚采用厚度18mm的橡胶木拼板，底部安装塑料脚垫，高度为H6.5mm，直径19mm，软性防滑，可有效保护地面刮花并降低噪音。产品整体采用环保的水性漆，全封闭涂装工艺，漆面光泽高透，颜色均匀，附着能力强，通透度高。座板及靠背采用环保的水性木蜡油封边，成分天然，分子机构细小，成膜牢固，密封性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b/>
                <w:bCs/>
                <w:i w:val="0"/>
                <w:iCs w:val="0"/>
                <w:color w:val="4472C4"/>
                <w:kern w:val="0"/>
                <w:sz w:val="18"/>
                <w:szCs w:val="18"/>
                <w:highlight w:val="none"/>
                <w:u w:val="none"/>
                <w:lang w:val="en-US" w:eastAsia="zh-CN" w:bidi="ar"/>
              </w:rPr>
              <w:t>▲7、橡胶木拼板采用GB/T36022-2018、GB/T 4893.6-2013、GB/T 29894-2013、GB/T 1927.5-2021标准，检测项目包含：氨释放量未检出；光泽度（20°、60°及85°），木材密度≥0.600g/cm³，木材名称鉴定为橡胶木符合标准要求。投标时提供由第三方检验检测机构出具并加盖（或带有）CMA标志的检验检测报告扫描件，原件备查；注：对应参数（检验检测项）在检验检测报告中进行标注；检验检测报告出具的时间应在本项目投标截止日前1年内；如检验检测报告中明确备注说明相关检验检测项不在检验检测机构CMA资质许可（认定）范围内的，不符合招标文件要求。</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幼儿柜</w:t>
            </w:r>
          </w:p>
        </w:tc>
        <w:tc>
          <w:tcPr>
            <w:tcW w:w="3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8</w:t>
            </w:r>
            <w:r>
              <w:rPr>
                <w:rFonts w:hint="eastAsia" w:ascii="宋体" w:hAnsi="宋体" w:eastAsia="宋体" w:cs="宋体"/>
                <w:i w:val="0"/>
                <w:iCs w:val="0"/>
                <w:color w:val="000000"/>
                <w:kern w:val="0"/>
                <w:sz w:val="18"/>
                <w:szCs w:val="18"/>
                <w:highlight w:val="none"/>
                <w:u w:val="none"/>
                <w:lang w:val="en-US" w:eastAsia="zh-CN" w:bidi="ar"/>
              </w:rPr>
              <w:t>、（设备及组件尺寸允许误差±5%）尺寸：L91.5xW30xH59cm；采用翻板活动轮工艺，移动/固定自由切换。层板可调设计，提高空间利用率。所有螺丝位无毛刺不刮手，四角及边沿采用R10mm圆角/圆边处理以及安全防撞设计，最大程度的避免儿童磕碰伤害，结构稳固。柜体采用16mm的环保橡胶木拼板。柜子长度内空：884mm，上下两层，中间一块层板。柜子内侧配环保塑料一次成型呈浅咖色长度440mm的活动层板支撑条，内嵌式安装嵌入深度4.5mm，固定条凸11mm,灵活安全使用层板，不占用空间，共15个挡位、每挡28mm，可实现层板自选放置高度。围脚采用厚度18mm的环保橡胶木拼板。柜体与底部围脚采用环保塑料连接件实现翻板功能，脚轮为H65mm，2寸棕色的静音万向轮，安装在围脚侧板内，当家具固定时，围脚侧板向下翻，万向轮则隐藏于侧板内；当家具需要移动时，围脚侧板向上翻，塑料连接件卡扣对侧板进行固定，万向轮支撑起家具的重量，无须抬起轻松实现家具位置转移。采用环保的水性漆，全封闭涂装工艺，漆面光泽高透，颜色均匀。</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cs="宋体"/>
                <w:b/>
                <w:bCs/>
                <w:i w:val="0"/>
                <w:iCs w:val="0"/>
                <w:color w:val="4472C4"/>
                <w:kern w:val="0"/>
                <w:sz w:val="18"/>
                <w:szCs w:val="18"/>
                <w:highlight w:val="none"/>
                <w:u w:val="none"/>
                <w:lang w:val="en-US" w:eastAsia="zh-CN" w:bidi="ar"/>
              </w:rPr>
              <w:t>9</w:t>
            </w:r>
            <w:r>
              <w:rPr>
                <w:rFonts w:hint="eastAsia" w:ascii="宋体" w:hAnsi="宋体" w:eastAsia="宋体" w:cs="宋体"/>
                <w:b/>
                <w:bCs/>
                <w:i w:val="0"/>
                <w:iCs w:val="0"/>
                <w:color w:val="4472C4"/>
                <w:kern w:val="0"/>
                <w:sz w:val="18"/>
                <w:szCs w:val="18"/>
                <w:highlight w:val="none"/>
                <w:u w:val="none"/>
                <w:lang w:val="en-US" w:eastAsia="zh-CN" w:bidi="ar"/>
              </w:rPr>
              <w:t>、▲成品幼儿柜采用GB28481-2012、GB/T35607-2017、GB/T4893.1-2021、GB 28007-2011标准，检测项目要求：甲醛释放量≤0.005mg/m³，TVOC≤0.005mg/m³，苯、甲苯与二甲苯未检出；DBP、BBP、DEHP、DNOP、DINP、DIDP未检出；可溶性铅、镉、铬、汞未检出；苯并[a]芘、16种多环芳烃(PAH)总量、多溴联苯和多溴二苯醚未检出；500mg/L与1000mg/L含氯消毒液分别接触10s和2min后用手接触试样表面不会出现粘手现象；外形尺寸偏差、外观（木制件外观、金属件外观、软包件、塑料件外观、涂层外观）、木制件表面涂层/覆面材料（耐液性不低于2级、附着力不低于2级、耐湿热不低于2级、耐干热不低于2级、耐冷热温差、抗冲击、耐磨1000转不低于2级）、结构安全（边缘及尖端、突出物、孔及间隙）、力学性能（搁板稳定性试验、搁板支承件强度试验、其他）、表面涂层可迁移元素（锑、砷、铅、硒、镉、铬、汞、钡）、邻苯二甲酸酯、警示标识、标志、使用说明、包装判定合格符合标准要求。投标时提供由第三方检验检测机构出具并加盖（或带有）CMA标志的检验检测报告扫描件，原件备查。注：对应参数（检验检测项）在检验检测报告中进行标注；检验检测报告出具的时间应在本项目投标截止日前2年内；如检验检测报告中明确备注说明相关检验检测项不在检验检测机构CMA资质许可（认定）范围内的，不符合招标文件要求。</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3层矮柜</w:t>
            </w:r>
          </w:p>
        </w:tc>
        <w:tc>
          <w:tcPr>
            <w:tcW w:w="3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10</w:t>
            </w:r>
            <w:r>
              <w:rPr>
                <w:rFonts w:hint="eastAsia" w:ascii="宋体" w:hAnsi="宋体" w:eastAsia="宋体" w:cs="宋体"/>
                <w:i w:val="0"/>
                <w:iCs w:val="0"/>
                <w:color w:val="000000"/>
                <w:kern w:val="0"/>
                <w:sz w:val="18"/>
                <w:szCs w:val="18"/>
                <w:highlight w:val="none"/>
                <w:u w:val="none"/>
                <w:lang w:val="en-US" w:eastAsia="zh-CN" w:bidi="ar"/>
              </w:rPr>
              <w:t>、（设备及组件尺寸允许误差±5%）尺寸：L91.5xW30xH59cm；采用翻板活动轮工艺，移动/固定自由切换。层板可调设计，提高空间利用率。所有螺丝位无毛刺不刮手，四角及边沿采用R10mm圆角/圆边处理以及安全防撞设计，最大程度的避免儿童磕碰伤害，结构稳固。柜体采用16mm的环保橡胶木拼板。柜子长度内空：884mm，上中下三层，中间两块层板。柜子内侧配环保塑料一次成型呈浅咖色长度440mm的活动层板支撑条，内嵌式安装嵌入深度4.5mm，固定条凸11mm,灵活安全使用层板，不占用空间，共15个挡位、每挡28mm，可实现层板自选放置高度。围脚：采用厚度18mm的环保橡胶木拼板。柜体与底部围脚采用环保塑料连接件实现翻板功能，脚轮为H65mm，2寸棕色的静音万向轮，安装在围脚侧板内，当家具固定时，围脚侧板向下翻，万向轮则隐藏于侧板内；当家具需要移动时，围脚侧板向上翻，塑料连接件卡扣对侧板进行固定，万向轮支撑起家具的重量，无须抬起轻松实现家具位置转移。采用环保的水性漆，全封闭涂装工艺，漆面光泽高透，颜色均匀。</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4"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6格分区矮柜</w:t>
            </w:r>
          </w:p>
        </w:tc>
        <w:tc>
          <w:tcPr>
            <w:tcW w:w="3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设备及组件尺寸允许误差±5%）尺寸：L91.5xW30xH59cm；采用翻板活动轮工艺，移动/固定自由切换。所有螺丝位无毛刺不刮手，四角及边沿采用R10mm圆角/圆边处理以及安全防撞设计，最大程度的避免儿童磕碰伤害，结构稳固。柜体采用16mm的环保橡胶木拼板。中间用三块层板分成相等的六格分区，每个格子内空：284x300x236mm。围脚采用厚度18mm的环保橡胶木拼板。柜体与底部围脚采用环保塑料连接件实现翻板功能，脚轮为H65mm，2寸棕色的静音万向轮，安装在围脚侧板内，当家具固定时，围脚侧板向下翻，万向轮则隐藏于侧板内；当家具需要移动时，围脚侧板向上翻，塑料连接件卡扣对侧板进行固定，万向轮支撑起家具的重量，无须抬起轻松实现家具位置转移。采用环保的水性漆，全封闭涂装工艺，漆面光泽高透，颜色均匀。</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b/>
                <w:bCs/>
                <w:i w:val="0"/>
                <w:iCs w:val="0"/>
                <w:color w:val="4472C4"/>
                <w:kern w:val="0"/>
                <w:sz w:val="18"/>
                <w:szCs w:val="18"/>
                <w:highlight w:val="none"/>
                <w:u w:val="none"/>
                <w:lang w:val="en-US" w:eastAsia="zh-CN" w:bidi="ar"/>
              </w:rPr>
              <w:t>▲1</w:t>
            </w:r>
            <w:r>
              <w:rPr>
                <w:rFonts w:hint="eastAsia" w:ascii="宋体" w:hAnsi="宋体" w:cs="宋体"/>
                <w:b/>
                <w:bCs/>
                <w:i w:val="0"/>
                <w:iCs w:val="0"/>
                <w:color w:val="4472C4"/>
                <w:kern w:val="0"/>
                <w:sz w:val="18"/>
                <w:szCs w:val="18"/>
                <w:highlight w:val="none"/>
                <w:u w:val="none"/>
                <w:lang w:val="en-US" w:eastAsia="zh-CN" w:bidi="ar"/>
              </w:rPr>
              <w:t>2</w:t>
            </w:r>
            <w:r>
              <w:rPr>
                <w:rFonts w:hint="eastAsia" w:ascii="宋体" w:hAnsi="宋体" w:eastAsia="宋体" w:cs="宋体"/>
                <w:b/>
                <w:bCs/>
                <w:i w:val="0"/>
                <w:iCs w:val="0"/>
                <w:color w:val="4472C4"/>
                <w:kern w:val="0"/>
                <w:sz w:val="18"/>
                <w:szCs w:val="18"/>
                <w:highlight w:val="none"/>
                <w:u w:val="none"/>
                <w:lang w:val="en-US" w:eastAsia="zh-CN" w:bidi="ar"/>
              </w:rPr>
              <w:t>、水性漆采用HG/T3950-2007、GB/T23994-2009标准，检测项目应满足：抗细菌性能及抗细菌耐久性能检测结果均为≥99.9%，检测菌种包括金黄色葡萄球菌，大肠埃希氏菌；抗霉菌性能及抗霉菌耐久性能检测结果均为0级；铅（Pb）、镉（Cd）、铬（Cr）、钡（Ba)、砷（As)≤1mg/kg，汞（Hg）、硒（Se)、锑（Sb)≤0.1mg/kg，总铅（pb）含量≤2.5mg/kg等符合标准要求。投标时提供由第三方检验检测机构出具并加盖（或带有）CMA标志的检验检测报告扫描件，原件备查；注：对应参数（检验检测项）在检验检测报告中进行标注；检验检测报告出具的时间应在本项目投标截止日前1年内；如检验检测报告中明确备注说明相关检验检测项不在检验检测机构CMA资质许可（认定）范围内的，不符合招标文件要求。</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8格万用高柜</w:t>
            </w:r>
          </w:p>
        </w:tc>
        <w:tc>
          <w:tcPr>
            <w:tcW w:w="3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3</w:t>
            </w:r>
            <w:r>
              <w:rPr>
                <w:rFonts w:hint="eastAsia" w:ascii="宋体" w:hAnsi="宋体" w:eastAsia="宋体" w:cs="宋体"/>
                <w:i w:val="0"/>
                <w:iCs w:val="0"/>
                <w:color w:val="000000"/>
                <w:kern w:val="0"/>
                <w:sz w:val="18"/>
                <w:szCs w:val="18"/>
                <w:highlight w:val="none"/>
                <w:u w:val="none"/>
                <w:lang w:val="en-US" w:eastAsia="zh-CN" w:bidi="ar"/>
              </w:rPr>
              <w:t>、（设备及组件尺寸允许误差±5%）尺寸：L91.5xW30xH80cm；采用翻板活动轮工艺，移动/固定自由切换。所有螺丝位无毛刺不刮手，四角及边沿采用R10mm圆角/圆边处理以及安全防撞设计，最大程度的避免儿童磕碰伤害，结构稳固。柜体采用16mm的环保橡胶木拼板。通透三层8格高柜，上、下层格子内空：284x300x222mm,中层格子内空：434x300x222mm。围脚采用厚度18mm的环保橡胶木拼板。柜体与底部围脚采用环保塑料连接件实现翻板功能，脚轮为H65mm，2寸棕色的静音万向轮，安装在围脚侧板内，当家具固定时，围脚侧板向下翻，万向轮则隐藏于侧板内；当家具需要移动时，围脚侧板向上翻，塑料连接件卡扣对侧板进行固定，万向轮支撑起家具的重量，无须抬起轻松实现家具位置转移。采用环保的水性漆，全封闭涂装工艺，漆面光泽高透，颜色均匀。</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弧形矮柜</w:t>
            </w:r>
          </w:p>
        </w:tc>
        <w:tc>
          <w:tcPr>
            <w:tcW w:w="3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4</w:t>
            </w:r>
            <w:r>
              <w:rPr>
                <w:rFonts w:hint="eastAsia" w:ascii="宋体" w:hAnsi="宋体" w:eastAsia="宋体" w:cs="宋体"/>
                <w:i w:val="0"/>
                <w:iCs w:val="0"/>
                <w:color w:val="000000"/>
                <w:kern w:val="0"/>
                <w:sz w:val="18"/>
                <w:szCs w:val="18"/>
                <w:highlight w:val="none"/>
                <w:u w:val="none"/>
                <w:lang w:val="en-US" w:eastAsia="zh-CN" w:bidi="ar"/>
              </w:rPr>
              <w:t>、（设备及组件尺寸允许误差±5%）尺寸：L60xW33xH59cm；45°弧形设计，可搭配区角使用作转角连接。所有螺丝位无毛刺不刮手，四角及边沿采用R10mm圆角/圆边处理以及安全防撞设计，最大程度的避免儿童磕碰伤害，结构稳固。柜体采用16mm的环保橡胶木拼板。通透2层矮柜，上下内空高度为236mm，柜体呈45°弧形。围脚采用厚度18mm的多层胶合弯板，弧形围脚高度为60mm；柜子底部安装塑料脚垫，高度为H10mm，直径17mm，软性防滑，可有效保护地面刮花并降低噪音。采用环保的水性漆，全封闭涂装工艺，漆面光泽高透，颜色均匀。</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转角矮柜</w:t>
            </w:r>
          </w:p>
        </w:tc>
        <w:tc>
          <w:tcPr>
            <w:tcW w:w="3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5</w:t>
            </w:r>
            <w:r>
              <w:rPr>
                <w:rFonts w:hint="eastAsia" w:ascii="宋体" w:hAnsi="宋体" w:eastAsia="宋体" w:cs="宋体"/>
                <w:i w:val="0"/>
                <w:iCs w:val="0"/>
                <w:color w:val="000000"/>
                <w:kern w:val="0"/>
                <w:sz w:val="18"/>
                <w:szCs w:val="18"/>
                <w:highlight w:val="none"/>
                <w:u w:val="none"/>
                <w:lang w:val="en-US" w:eastAsia="zh-CN" w:bidi="ar"/>
              </w:rPr>
              <w:t>、（设备及组件尺寸允许误差±5%）尺寸：L30xW30xH59cm；90°转角设计，可搭配区角使用作转角连接。所有螺丝位无毛刺不刮手，四角及边沿采用R10mm圆角/圆边处理以及安全防撞设计，最大程度的避免儿童磕碰伤害，结构稳固。柜体采用16mm的环保橡胶木拼板。全背板2层矮柜，上下内空高度为236mm，柜体呈90°转角。可搭配L25*W25*H15cm的三角藤编教具篮，实用性更强。围脚采用厚度18mm的多层胶合弯板，弧形围脚高度为60mm；柜子底部安装塑料脚垫，H10mm，直径17mm，软性防滑，可有效保护地面刮花并降低噪音。采用环保的水性漆，全封闭涂装工艺，漆面光泽高透，颜色均匀。</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3层高柜</w:t>
            </w:r>
          </w:p>
        </w:tc>
        <w:tc>
          <w:tcPr>
            <w:tcW w:w="3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6</w:t>
            </w:r>
            <w:r>
              <w:rPr>
                <w:rFonts w:hint="eastAsia" w:ascii="宋体" w:hAnsi="宋体" w:eastAsia="宋体" w:cs="宋体"/>
                <w:i w:val="0"/>
                <w:iCs w:val="0"/>
                <w:color w:val="000000"/>
                <w:kern w:val="0"/>
                <w:sz w:val="18"/>
                <w:szCs w:val="18"/>
                <w:highlight w:val="none"/>
                <w:u w:val="none"/>
                <w:lang w:val="en-US" w:eastAsia="zh-CN" w:bidi="ar"/>
              </w:rPr>
              <w:t>、（设备及组件尺寸允许误差±5%）尺寸：L91.5xW30xH80cm；采用翻板活动轮工艺，移动/固定自由切换。所有螺丝位无毛刺不刮手，四角及边沿采用R10mm圆角/圆边处理以及安全防撞设计，最大程度的避免儿童磕碰伤害，结构稳固。柜体采用16mm的环保橡胶木拼板。三层无竖板，层格内空均为：884x280x222mm，满足较大型玩教具收纳。背板采用厚度5mm的饰面环保实木纤维板。围脚采用厚度18mm的环保橡胶木拼板。柜体与底部围脚采用环保塑料连接件实现翻板功能，脚轮为H65mm，2寸棕色的静音万向轮，安装在围脚侧板内，当家具固定时，围脚侧板向下翻，万向轮则隐藏于侧板内；当家具需要移动时，围脚侧板向上翻，塑料连接件卡扣对侧板进行固定，万向轮支撑起家具的重量，无须抬起轻松实现家具位置转移。采用环保的水性漆，全封闭涂装工艺，漆面光泽高透，颜色均匀。</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阶梯组合柜</w:t>
            </w:r>
          </w:p>
        </w:tc>
        <w:tc>
          <w:tcPr>
            <w:tcW w:w="3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7</w:t>
            </w:r>
            <w:r>
              <w:rPr>
                <w:rFonts w:hint="eastAsia" w:ascii="宋体" w:hAnsi="宋体" w:eastAsia="宋体" w:cs="宋体"/>
                <w:i w:val="0"/>
                <w:iCs w:val="0"/>
                <w:color w:val="000000"/>
                <w:kern w:val="0"/>
                <w:sz w:val="18"/>
                <w:szCs w:val="18"/>
                <w:highlight w:val="none"/>
                <w:u w:val="none"/>
                <w:lang w:val="en-US" w:eastAsia="zh-CN" w:bidi="ar"/>
              </w:rPr>
              <w:t>、（设备及组件尺寸允许误差±5%）尺寸：3层：L30xW30xH80cm；2层：L30xW30xH59cm；1层：L30xW30xH34cm；三个柜体可独立使用，灵活搭配，高低错落，可满足不同层次区角搭配。所有螺丝位无毛刺不刮手，四角及边沿采用R10mm圆角/圆边处理以及安全防撞设计，最大程度的避免儿童磕碰伤害，结构稳固。柜体采用16mm的环保橡胶木拼板。所有柜子组合使用呈阶梯状，格子内空长均为：267mm，除高柜顶上1格子内空高度为194mm，其他格子内空高度均为236mm。围脚采用18mm环保橡胶木拼板。柜子底部安装塑料脚垫，高度为H10mm，直径17mm，软性防滑，可有效保护地面刮花并降低噪音。采用环保的水性漆，全封闭涂装工艺，漆面光泽高透，颜色均匀。</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2层弧形转角矮柜</w:t>
            </w:r>
          </w:p>
        </w:tc>
        <w:tc>
          <w:tcPr>
            <w:tcW w:w="3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8</w:t>
            </w:r>
            <w:r>
              <w:rPr>
                <w:rFonts w:hint="eastAsia" w:ascii="宋体" w:hAnsi="宋体" w:eastAsia="宋体" w:cs="宋体"/>
                <w:i w:val="0"/>
                <w:iCs w:val="0"/>
                <w:color w:val="000000"/>
                <w:kern w:val="0"/>
                <w:sz w:val="18"/>
                <w:szCs w:val="18"/>
                <w:highlight w:val="none"/>
                <w:u w:val="none"/>
                <w:lang w:val="en-US" w:eastAsia="zh-CN" w:bidi="ar"/>
              </w:rPr>
              <w:t>、（设备及组件尺寸允许误差±5%）尺寸：L84xW38.5xH59cm；90°弧形设计，可搭配区角使用作转角连接。所有螺丝位无毛刺不刮手，四角及边沿采用R10mm圆角/圆边处理以及安全防撞设计，最大程度的避免儿童磕碰伤害，结构稳固。柜体采用16mm的环保橡胶木拼板。通透2层矮柜，上下内空高度为236mm，柜体呈90°弧形，外半径为600mm。围脚采用厚度18mm的多层胶合弯板，弧形围脚高度为60mm；柜子底部安装塑料脚垫，高度为H10mm，直径17mm，软性防滑，可有效保护地面刮花并降低噪音。采用环保的水性漆，全封闭涂装工艺，漆面光泽高透，颜色均匀。</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5格分区矮柜</w:t>
            </w:r>
          </w:p>
        </w:tc>
        <w:tc>
          <w:tcPr>
            <w:tcW w:w="3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9</w:t>
            </w:r>
            <w:r>
              <w:rPr>
                <w:rFonts w:hint="eastAsia" w:ascii="宋体" w:hAnsi="宋体" w:eastAsia="宋体" w:cs="宋体"/>
                <w:i w:val="0"/>
                <w:iCs w:val="0"/>
                <w:color w:val="000000"/>
                <w:kern w:val="0"/>
                <w:sz w:val="18"/>
                <w:szCs w:val="18"/>
                <w:highlight w:val="none"/>
                <w:u w:val="none"/>
                <w:lang w:val="en-US" w:eastAsia="zh-CN" w:bidi="ar"/>
              </w:rPr>
              <w:t>、（设备及组件尺寸允许误差±5%）尺寸：L91.5xW30xH59cm；采用翻板活动轮工艺，移动/固定自由切换。所有螺丝位无毛刺不刮手，四角及边沿采用R10mm圆角/圆边处理以及安全防撞设计，最大程度的避免儿童磕碰伤害，结构稳固。柜体采用16mm的环保橡胶木拼板。上层两个格子，内空尺寸：434x300x236mm,下层三个格子，内空尺寸：284x300x236mm。围脚采用厚度18mm的环保橡胶木拼板。柜体与底部围脚采用环保塑料连接件实现翻板功能，脚轮为H65mm，2寸棕色的静音万向轮，安装在围脚侧板内，当家具固定时，围脚侧板向下翻，万向轮则隐藏于侧板内；当家具需要移动时，围脚侧板向上翻，塑料连接件卡扣对侧板进行固定，万向轮支撑起家具的重量，无须抬起轻松实现家具位置转移。采用环保的水性漆，全封闭涂装工艺，漆面光泽高透，颜色均匀。</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5"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3层短柜高柜</w:t>
            </w:r>
          </w:p>
        </w:tc>
        <w:tc>
          <w:tcPr>
            <w:tcW w:w="3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20</w:t>
            </w:r>
            <w:r>
              <w:rPr>
                <w:rFonts w:hint="eastAsia" w:ascii="宋体" w:hAnsi="宋体" w:eastAsia="宋体" w:cs="宋体"/>
                <w:i w:val="0"/>
                <w:iCs w:val="0"/>
                <w:color w:val="000000"/>
                <w:kern w:val="0"/>
                <w:sz w:val="18"/>
                <w:szCs w:val="18"/>
                <w:highlight w:val="none"/>
                <w:u w:val="none"/>
                <w:lang w:val="en-US" w:eastAsia="zh-CN" w:bidi="ar"/>
              </w:rPr>
              <w:t>、（设备及组件尺寸允许误差±5%）尺寸：L61.5xW30xH80cm；采用翻板活动轮工艺，移动/固定自由切换。所有螺丝位无毛刺不刮手，四角及边沿采用R10mm圆角/圆边处理以及安全防撞设计，最大程度的避免儿童磕碰伤害，结构稳固。柜体采用16mm的环保橡胶木拼板。共三层，属于短柜高柜，可用于补充区角空间，增加层次；上二层格子内空：586x300x222mm，下层格子内空：586x280x222mm。背板采用厚度5mm的饰面环保实木纤维板。围脚采用厚度18mm的环保橡胶木拼板。柜体与底部围脚采用环保塑料连接件实现翻板功能，脚轮为H65mm，2寸棕色的静音万向轮，安装在围脚侧板内，当家具固定时，围脚侧板向下翻，万向轮则隐藏于侧板内；当家具需要移动时，围脚侧板向上翻，塑料连接件卡扣对侧板进行固定，万向轮支撑起家具的重量，无须抬起轻松实现家具位置转移。采用环保的水性漆，全封闭涂装工艺，漆面光泽高透，颜色均匀。</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晾干柜</w:t>
            </w:r>
          </w:p>
        </w:tc>
        <w:tc>
          <w:tcPr>
            <w:tcW w:w="3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设备及组件尺寸允许误差±5%）尺寸：L50xW40xH76cm；卡槽定位设计，分布均匀，实现作品晾干网抽拉式取放，不易走位。铁网表面采用静电粉末喷涂工艺，圆润光滑，防腐抗锈，坚固耐用。所有螺丝位无毛刺不刮手，边角采用圆边/圆角处理以及安全防撞设计，最大程度的避免儿童磕碰伤害，结构稳固。柜体采用厚度15mm双贴桦木纹饰面的环保橡胶木拼板。顶部收纳格内空尺寸：470x354x40mm；柜体内包含9个铁质晾干网，尺寸：L461xW388xH8mm，铁网每层均匀分布，层间距为：64mm；柜内安装9个塑料材质U型槽，呈卡其色，U型槽顶边长度为338mm，导轨尺寸为L370mm有利于柜体空间合理分布，铁网能准确滑入槽中，取放便捷。底部安装4个1.5寸静音带刹车万向脚轮，脚轮运行平稳无声，可360°旋转，转动顺滑。采用环保的水性木蜡油封边，成分天然，分子机构细小，成膜牢固，密封性好，环保无毒。</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美术用品收纳柜</w:t>
            </w:r>
          </w:p>
        </w:tc>
        <w:tc>
          <w:tcPr>
            <w:tcW w:w="3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r>
              <w:rPr>
                <w:rFonts w:hint="eastAsia" w:ascii="宋体" w:hAnsi="宋体" w:cs="宋体"/>
                <w:i w:val="0"/>
                <w:iCs w:val="0"/>
                <w:color w:val="000000"/>
                <w:kern w:val="0"/>
                <w:sz w:val="18"/>
                <w:szCs w:val="18"/>
                <w:highlight w:val="none"/>
                <w:u w:val="none"/>
                <w:lang w:val="en-US" w:eastAsia="zh-CN" w:bidi="ar"/>
              </w:rPr>
              <w:t>2</w:t>
            </w:r>
            <w:r>
              <w:rPr>
                <w:rFonts w:hint="eastAsia" w:ascii="宋体" w:hAnsi="宋体" w:eastAsia="宋体" w:cs="宋体"/>
                <w:i w:val="0"/>
                <w:iCs w:val="0"/>
                <w:color w:val="000000"/>
                <w:kern w:val="0"/>
                <w:sz w:val="18"/>
                <w:szCs w:val="18"/>
                <w:highlight w:val="none"/>
                <w:u w:val="none"/>
                <w:lang w:val="en-US" w:eastAsia="zh-CN" w:bidi="ar"/>
              </w:rPr>
              <w:t>、（设备及组件尺寸允许误差±5%）尺寸：L100xW40xH61.5cm；卡槽定位设计，分布均匀，实现作品晾干架抽拉式取放，不易走位。铁网表面采用静电粉末喷涂工艺，圆润光滑，防腐抗锈，坚固耐用。配套塑料收纳盒，可满足不同类型材料的分类储存。所有螺丝位无毛刺不刮手，边角采用圆边/圆角处理以及安全防撞设计，最大程度的避免儿童磕碰伤害，结构稳固。柜体采用厚度12mm的桦木纹饰面环保橡胶木拼板。中间是两层无背板设计，内控600x400x185mm。上层格子安装塑料材质U型槽，呈卡其色，U型槽L370mm，有利于铁网能准确滑入槽中，左右两侧设有纸卷放置格1格，尺寸176x150mm， 短背板设计，背板尺寸487x176x12mm；2层2格颜料收纳格，内控208x176mm,层板镂空设计尺寸178x158mm 通透自然教具存放一目了然。顶部中间收纳槽尺寸：600x370x95mm。搭配4个大收纳盒尺寸：L245xW150xH60mm，4个小收纳盒尺寸：L150xW120xH60mm，教具收纳更轻松。收纳盒采用环保塑料材质，呈浅咖色，圆滑无毛刺，一体成型设计，结构稳固。1块铁质晾干网，尺寸：L590xW350xH8mm，铁网表面采用静电粉末喷涂工艺，圆润光滑，防腐抗锈。采用环保的水性木蜡油封边，成分天然，分子机构细小，成膜牢固，密封性好，环保无毒。柜子底部安装4个1.5寸静音带刹车万向脚轮，1个1.5寸静音万向脚轮，脚轮运行平稳无声，可360°旋转，转动顺滑。</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实验柜</w:t>
            </w:r>
          </w:p>
        </w:tc>
        <w:tc>
          <w:tcPr>
            <w:tcW w:w="3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r>
              <w:rPr>
                <w:rFonts w:hint="eastAsia" w:ascii="宋体" w:hAnsi="宋体" w:cs="宋体"/>
                <w:i w:val="0"/>
                <w:iCs w:val="0"/>
                <w:color w:val="000000"/>
                <w:kern w:val="0"/>
                <w:sz w:val="18"/>
                <w:szCs w:val="18"/>
                <w:highlight w:val="none"/>
                <w:u w:val="none"/>
                <w:lang w:val="en-US" w:eastAsia="zh-CN" w:bidi="ar"/>
              </w:rPr>
              <w:t>3</w:t>
            </w:r>
            <w:r>
              <w:rPr>
                <w:rFonts w:hint="eastAsia" w:ascii="宋体" w:hAnsi="宋体" w:eastAsia="宋体" w:cs="宋体"/>
                <w:i w:val="0"/>
                <w:iCs w:val="0"/>
                <w:color w:val="000000"/>
                <w:kern w:val="0"/>
                <w:sz w:val="18"/>
                <w:szCs w:val="18"/>
                <w:highlight w:val="none"/>
                <w:u w:val="none"/>
                <w:lang w:val="en-US" w:eastAsia="zh-CN" w:bidi="ar"/>
              </w:rPr>
              <w:t>、材质：布纹橡胶木，（设备及组件尺寸允许误差±5%）尺寸：50*45*65cm，柜门镂空圆形设计，绿色把手，2层柜，柜门上方设2个按钮，柜子台面设一台数码显微镜（不可移动），整机设一个电源接口，仪器本身各部件间不设外部连接线，数码成像装置内置于显微镜机身中，用于教师教学，方便儿童学习；</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p>
            <w:pPr>
              <w:keepNext w:val="0"/>
              <w:keepLines w:val="0"/>
              <w:widowControl/>
              <w:suppressLineNumbers w:val="0"/>
              <w:jc w:val="left"/>
              <w:textAlignment w:val="center"/>
              <w:rPr>
                <w:rFonts w:hint="eastAsia" w:ascii="宋体" w:hAnsi="宋体" w:eastAsia="宋体" w:cs="宋体"/>
                <w:b/>
                <w:bCs/>
                <w:i w:val="0"/>
                <w:iCs w:val="0"/>
                <w:color w:val="4472C4"/>
                <w:kern w:val="0"/>
                <w:sz w:val="18"/>
                <w:szCs w:val="18"/>
                <w:highlight w:val="none"/>
                <w:u w:val="none"/>
                <w:lang w:val="en-US" w:eastAsia="zh-CN" w:bidi="ar"/>
              </w:rPr>
            </w:pPr>
            <w:r>
              <w:rPr>
                <w:rFonts w:hint="eastAsia" w:ascii="宋体" w:hAnsi="宋体" w:eastAsia="宋体" w:cs="宋体"/>
                <w:b/>
                <w:bCs/>
                <w:i w:val="0"/>
                <w:iCs w:val="0"/>
                <w:color w:val="4472C4"/>
                <w:kern w:val="0"/>
                <w:sz w:val="18"/>
                <w:szCs w:val="18"/>
                <w:highlight w:val="none"/>
                <w:u w:val="none"/>
                <w:lang w:val="en-US" w:eastAsia="zh-CN" w:bidi="ar"/>
              </w:rPr>
              <w:t>▲2</w:t>
            </w:r>
            <w:r>
              <w:rPr>
                <w:rFonts w:hint="eastAsia" w:ascii="宋体" w:hAnsi="宋体" w:cs="宋体"/>
                <w:b/>
                <w:bCs/>
                <w:i w:val="0"/>
                <w:iCs w:val="0"/>
                <w:color w:val="4472C4"/>
                <w:kern w:val="0"/>
                <w:sz w:val="18"/>
                <w:szCs w:val="18"/>
                <w:highlight w:val="none"/>
                <w:u w:val="none"/>
                <w:lang w:val="en-US" w:eastAsia="zh-CN" w:bidi="ar"/>
              </w:rPr>
              <w:t>4</w:t>
            </w:r>
            <w:r>
              <w:rPr>
                <w:rFonts w:hint="eastAsia" w:ascii="宋体" w:hAnsi="宋体" w:eastAsia="宋体" w:cs="宋体"/>
                <w:b/>
                <w:bCs/>
                <w:i w:val="0"/>
                <w:iCs w:val="0"/>
                <w:color w:val="4472C4"/>
                <w:kern w:val="0"/>
                <w:sz w:val="18"/>
                <w:szCs w:val="18"/>
                <w:highlight w:val="none"/>
                <w:u w:val="none"/>
                <w:lang w:val="en-US" w:eastAsia="zh-CN" w:bidi="ar"/>
              </w:rPr>
              <w:t>、显微镜机身一体化设计，仪器拆包装箱接上电源即可使用，无需再进行目镜、物镜及其他部件的组装。投标时提供由第三方检验检测机构出具并加盖（或带有）CMA标志的检验检测报告扫描件，原件备查。注：对应参数（检验检测项）在检验检测报告中进行标注。如检验检测报告中明确备注说明相关检验检测项不在检验检测机构CMA资质许可（认定）范围内的，不符合招标文件要求。</w:t>
            </w:r>
          </w:p>
          <w:p>
            <w:pPr>
              <w:keepNext w:val="0"/>
              <w:keepLines w:val="0"/>
              <w:widowControl/>
              <w:suppressLineNumbers w:val="0"/>
              <w:jc w:val="left"/>
              <w:textAlignment w:val="center"/>
              <w:rPr>
                <w:rFonts w:hint="eastAsia" w:ascii="宋体" w:hAnsi="宋体" w:eastAsia="宋体" w:cs="宋体"/>
                <w:b/>
                <w:bCs/>
                <w:i w:val="0"/>
                <w:iCs w:val="0"/>
                <w:color w:val="4472C4"/>
                <w:kern w:val="0"/>
                <w:sz w:val="18"/>
                <w:szCs w:val="18"/>
                <w:highlight w:val="none"/>
                <w:u w:val="none"/>
                <w:lang w:val="en-US" w:eastAsia="zh-CN" w:bidi="ar"/>
              </w:rPr>
            </w:pPr>
          </w:p>
          <w:p>
            <w:pPr>
              <w:keepNext w:val="0"/>
              <w:keepLines w:val="0"/>
              <w:widowControl/>
              <w:suppressLineNumbers w:val="0"/>
              <w:jc w:val="left"/>
              <w:textAlignment w:val="center"/>
              <w:rPr>
                <w:rFonts w:hint="eastAsia" w:ascii="宋体" w:hAnsi="宋体" w:eastAsia="宋体" w:cs="宋体"/>
                <w:b/>
                <w:bCs/>
                <w:i w:val="0"/>
                <w:iCs w:val="0"/>
                <w:color w:val="4472C4"/>
                <w:kern w:val="0"/>
                <w:sz w:val="18"/>
                <w:szCs w:val="18"/>
                <w:highlight w:val="none"/>
                <w:u w:val="none"/>
                <w:lang w:val="en-US" w:eastAsia="zh-CN" w:bidi="ar"/>
              </w:rPr>
            </w:pPr>
            <w:r>
              <w:rPr>
                <w:rFonts w:hint="eastAsia" w:ascii="宋体" w:hAnsi="宋体" w:eastAsia="宋体" w:cs="宋体"/>
                <w:b/>
                <w:bCs/>
                <w:i w:val="0"/>
                <w:iCs w:val="0"/>
                <w:color w:val="4472C4"/>
                <w:kern w:val="0"/>
                <w:sz w:val="18"/>
                <w:szCs w:val="18"/>
                <w:highlight w:val="none"/>
                <w:u w:val="none"/>
                <w:lang w:val="en-US" w:eastAsia="zh-CN" w:bidi="ar"/>
              </w:rPr>
              <w:t>▲2</w:t>
            </w:r>
            <w:r>
              <w:rPr>
                <w:rFonts w:hint="eastAsia" w:ascii="宋体" w:hAnsi="宋体" w:cs="宋体"/>
                <w:b/>
                <w:bCs/>
                <w:i w:val="0"/>
                <w:iCs w:val="0"/>
                <w:color w:val="4472C4"/>
                <w:kern w:val="0"/>
                <w:sz w:val="18"/>
                <w:szCs w:val="18"/>
                <w:highlight w:val="none"/>
                <w:u w:val="none"/>
                <w:lang w:val="en-US" w:eastAsia="zh-CN" w:bidi="ar"/>
              </w:rPr>
              <w:t>5</w:t>
            </w:r>
            <w:r>
              <w:rPr>
                <w:rFonts w:hint="eastAsia" w:ascii="宋体" w:hAnsi="宋体" w:eastAsia="宋体" w:cs="宋体"/>
                <w:b/>
                <w:bCs/>
                <w:i w:val="0"/>
                <w:iCs w:val="0"/>
                <w:color w:val="4472C4"/>
                <w:kern w:val="0"/>
                <w:sz w:val="18"/>
                <w:szCs w:val="18"/>
                <w:highlight w:val="none"/>
                <w:u w:val="none"/>
                <w:lang w:val="en-US" w:eastAsia="zh-CN" w:bidi="ar"/>
              </w:rPr>
              <w:t>、显微镜满足一机多功能，生物显微镜观察生物玻片功能测试正常，判定合格，实体显微镜观察实物（硬币、树叶等实体）功能测试正常，判定合格。投标时提供由第三方检验检测机构出具并加盖（或带有）CMA标志的检验检测报告扫描件，原件备查。注：对应参数（检验检测项）在检验检测报告中进行标注。如检验检测报告中明确备注说明相关检验检测项不在检验检测机构CMA资质许可（认定）范围内的，不符合招标文件要求。</w:t>
            </w:r>
          </w:p>
          <w:p>
            <w:pPr>
              <w:keepNext w:val="0"/>
              <w:keepLines w:val="0"/>
              <w:widowControl/>
              <w:suppressLineNumbers w:val="0"/>
              <w:jc w:val="left"/>
              <w:textAlignment w:val="center"/>
              <w:rPr>
                <w:rFonts w:hint="eastAsia" w:ascii="宋体" w:hAnsi="宋体" w:eastAsia="宋体" w:cs="宋体"/>
                <w:b/>
                <w:bCs/>
                <w:i w:val="0"/>
                <w:iCs w:val="0"/>
                <w:color w:val="4472C4"/>
                <w:kern w:val="0"/>
                <w:sz w:val="18"/>
                <w:szCs w:val="18"/>
                <w:highlight w:val="none"/>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b/>
                <w:bCs/>
                <w:i w:val="0"/>
                <w:iCs w:val="0"/>
                <w:color w:val="4472C4"/>
                <w:kern w:val="0"/>
                <w:sz w:val="18"/>
                <w:szCs w:val="18"/>
                <w:highlight w:val="none"/>
                <w:u w:val="none"/>
                <w:lang w:val="en-US" w:eastAsia="zh-CN" w:bidi="ar"/>
              </w:rPr>
              <w:t>▲2</w:t>
            </w:r>
            <w:r>
              <w:rPr>
                <w:rFonts w:hint="eastAsia" w:ascii="宋体" w:hAnsi="宋体" w:cs="宋体"/>
                <w:b/>
                <w:bCs/>
                <w:i w:val="0"/>
                <w:iCs w:val="0"/>
                <w:color w:val="4472C4"/>
                <w:kern w:val="0"/>
                <w:sz w:val="18"/>
                <w:szCs w:val="18"/>
                <w:highlight w:val="none"/>
                <w:u w:val="none"/>
                <w:lang w:val="en-US" w:eastAsia="zh-CN" w:bidi="ar"/>
              </w:rPr>
              <w:t>6</w:t>
            </w:r>
            <w:r>
              <w:rPr>
                <w:rFonts w:hint="eastAsia" w:ascii="宋体" w:hAnsi="宋体" w:eastAsia="宋体" w:cs="宋体"/>
                <w:b/>
                <w:bCs/>
                <w:i w:val="0"/>
                <w:iCs w:val="0"/>
                <w:color w:val="4472C4"/>
                <w:kern w:val="0"/>
                <w:sz w:val="18"/>
                <w:szCs w:val="18"/>
                <w:highlight w:val="none"/>
                <w:u w:val="none"/>
                <w:lang w:val="en-US" w:eastAsia="zh-CN" w:bidi="ar"/>
              </w:rPr>
              <w:t>、成品柜检测结果：甲醛释放量＜0.06mg/L；隔板支撑件强度试验合格；邻苯二甲酸酯（DBP、BBP、DEHP、DNOP、DINP和DIDP的总量）检测结果为合格；可迁移元素锑（Sb）≤0.01、砷（As）≤0.01、钡（Ba）≤2、镉（Cd）≤0.01、铬（Cr）≤0.1、铅（Pb）≤0.1、汞（Hg）≤0.01、硒（Se）≤0.01；投标时提供由第三方检验检测机构出具并加盖（或带有）CMA标志的检验检测报告扫描件，原件备查；注：对应参数（检验检测项）在检验检测报告中进行标注；检验检测报告出具的时间应在本项目投标截止日前1年内；如检验检测报告中明确备注说明相关检验检测项不在检验检测机构CMA资质许可（认定）范围内的，不符合招标文件要求。</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书架</w:t>
            </w:r>
          </w:p>
        </w:tc>
        <w:tc>
          <w:tcPr>
            <w:tcW w:w="3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r>
              <w:rPr>
                <w:rFonts w:hint="eastAsia" w:ascii="宋体" w:hAnsi="宋体" w:cs="宋体"/>
                <w:i w:val="0"/>
                <w:iCs w:val="0"/>
                <w:color w:val="000000"/>
                <w:kern w:val="0"/>
                <w:sz w:val="18"/>
                <w:szCs w:val="18"/>
                <w:highlight w:val="none"/>
                <w:u w:val="none"/>
                <w:lang w:val="en-US" w:eastAsia="zh-CN" w:bidi="ar"/>
              </w:rPr>
              <w:t>7</w:t>
            </w:r>
            <w:r>
              <w:rPr>
                <w:rFonts w:hint="eastAsia" w:ascii="宋体" w:hAnsi="宋体" w:eastAsia="宋体" w:cs="宋体"/>
                <w:i w:val="0"/>
                <w:iCs w:val="0"/>
                <w:color w:val="000000"/>
                <w:kern w:val="0"/>
                <w:sz w:val="18"/>
                <w:szCs w:val="18"/>
                <w:highlight w:val="none"/>
                <w:u w:val="none"/>
                <w:lang w:val="en-US" w:eastAsia="zh-CN" w:bidi="ar"/>
              </w:rPr>
              <w:t>、（设备及组件尺寸允许误差±5%）尺寸：L35xW25xH43.5cm；带提手孔与万向轮设计，移动或提放切换便捷。所有螺丝位无毛刺不刮手，边角采用圆边/圆角处理以及安全防撞设计，最大程度的避免儿童磕碰伤害，结构稳固。采用厚度12mm的桦木纹饰面环保橡胶木拼板。小书架整体半月弧设计，背板整体高400mm,处设置顶部提手孔设计，呈圆矩形，尺寸为：120x30mm，大小高度适合小孩自主拉动，增加孩子们的互动性。两侧板高度320mm形成高低错落感，储放物品一目了然。书架中间竖板隔开上下两个格子，竖板高度206mm前挡板高140mm，呈高低错落，便于竖放大小不同的图书，上下格内空分别尺寸：320x105x206mm/320x105x125mm。底部安装4个1寸静音万向脚轮，脚轮运行平稳无声，可360°旋转，转动顺滑。木蜡油采用环保的水性木蜡油封边，成分天然，分子机构细小，成膜牢固，密封性好。</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柜1</w:t>
            </w:r>
          </w:p>
        </w:tc>
        <w:tc>
          <w:tcPr>
            <w:tcW w:w="3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r>
              <w:rPr>
                <w:rFonts w:hint="eastAsia" w:ascii="宋体" w:hAnsi="宋体" w:cs="宋体"/>
                <w:i w:val="0"/>
                <w:iCs w:val="0"/>
                <w:color w:val="000000"/>
                <w:kern w:val="0"/>
                <w:sz w:val="18"/>
                <w:szCs w:val="18"/>
                <w:highlight w:val="none"/>
                <w:u w:val="none"/>
                <w:lang w:val="en-US" w:eastAsia="zh-CN" w:bidi="ar"/>
              </w:rPr>
              <w:t>8</w:t>
            </w:r>
            <w:r>
              <w:rPr>
                <w:rFonts w:hint="eastAsia" w:ascii="宋体" w:hAnsi="宋体" w:eastAsia="宋体" w:cs="宋体"/>
                <w:i w:val="0"/>
                <w:iCs w:val="0"/>
                <w:color w:val="000000"/>
                <w:kern w:val="0"/>
                <w:sz w:val="18"/>
                <w:szCs w:val="18"/>
                <w:highlight w:val="none"/>
                <w:u w:val="none"/>
                <w:lang w:val="en-US" w:eastAsia="zh-CN" w:bidi="ar"/>
              </w:rPr>
              <w:t>、（设备及组件尺寸允许误差±5%）尺寸：L90xW32xH102cm；逼真综合厨房功能设计，顶板甜甜圈造型，既能独立摆放模拟真实场景又易于搭配其他产品进行环创。采用美工机喷绘工艺，搭配油墨，图案附着力好，生动立体不易褪色。可旋转按钮仿真功能，可视化按键，增强游戏真实体验感。多功能带轮带刹车柜体，移动/固定便捷。所有螺丝位无毛刺不刮手，边角采用圆边/圆角处理以及安全防撞设计，最大程度的避免儿童磕碰伤害，结构稳固。木色部分柜体采用厚度15mm的桦木纹饰面环保橡胶木拼板（层板、装饰板厚度12mm），白色部分柜体采用厚度15mm的实木多层板喷涂水性漆（层板、装饰板厚度12mm），背板采用厚度5mm的饰面环保实木纤维板。柜体上方设置厨房储放功能，整体造型高568mm,中间设置一个带拉手的储物柜，拉手为直径29mm白色锌合金拉手；门板采用透明亚克力板做通透处理。柜面左侧为一个塑料一次成型呈奶白色的洗手台，尺寸L220mm*W220*H80；搭配3个可旋转的塑料一次成型2合1外直径35mm内直径18mm的旋转调节开关，一个L70mm，内径18mm的旋转水龙头；柜面右侧为两个φ124mm的仿真灶炉，搭配2个可旋转的塑料一次成型2合1外直径35mm内直径18mm的旋转调节开关。柜体面板离地450mm，柜体下方为3个独立开合门，门板内装缓冲铰链，能实现门板开合；3个拉手均采用深咖色环保塑料一次成型尺寸：L104.5*W32mm。左侧门为大空间储放空间2层内空均为278x285x177mm；中间2层内空均为278x285x177mm；门板方形镂空 2个尺寸为100x80mm，1个尺寸为170x177mm；右侧2层内空均为278x285x177mm,,右侧门板采用透明亚克力板做卡通图案，亚克力尺寸206x199x1.5mm。</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r>
              <w:rPr>
                <w:rFonts w:hint="eastAsia" w:ascii="宋体" w:hAnsi="宋体" w:cs="宋体"/>
                <w:i w:val="0"/>
                <w:iCs w:val="0"/>
                <w:color w:val="000000"/>
                <w:kern w:val="0"/>
                <w:sz w:val="18"/>
                <w:szCs w:val="18"/>
                <w:highlight w:val="none"/>
                <w:u w:val="none"/>
                <w:lang w:val="en-US" w:eastAsia="zh-CN" w:bidi="ar"/>
              </w:rPr>
              <w:t>9</w:t>
            </w:r>
            <w:r>
              <w:rPr>
                <w:rFonts w:hint="eastAsia" w:ascii="宋体" w:hAnsi="宋体" w:eastAsia="宋体" w:cs="宋体"/>
                <w:i w:val="0"/>
                <w:iCs w:val="0"/>
                <w:color w:val="000000"/>
                <w:kern w:val="0"/>
                <w:sz w:val="18"/>
                <w:szCs w:val="18"/>
                <w:highlight w:val="none"/>
                <w:u w:val="none"/>
                <w:lang w:val="en-US" w:eastAsia="zh-CN" w:bidi="ar"/>
              </w:rPr>
              <w:t>、柜子底部安装4个1.5寸静音万向脚轮，脚轮运行平稳无声，可360°旋转，转动顺滑，其中2个脚轮带刹车功能，刹车灵敏，踏板不易断裂。木蜡油采用环保的水性木蜡油封边，成分天然，分子机构细小，成膜牢固，密封性好。采用环保的水性漆，全封闭涂装工艺，漆面光泽高透，颜色均匀。采用环保水性油墨，颜色饱满，无毒无异味。采用厚度5mm的透明亚克力板，表面光滑无缺陷，坚硬耐用，高透光性，环保无毒。采用食品级的环保塑料材质，感官要求。</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柜2</w:t>
            </w:r>
          </w:p>
        </w:tc>
        <w:tc>
          <w:tcPr>
            <w:tcW w:w="3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30</w:t>
            </w:r>
            <w:r>
              <w:rPr>
                <w:rFonts w:hint="eastAsia" w:ascii="宋体" w:hAnsi="宋体" w:eastAsia="宋体" w:cs="宋体"/>
                <w:i w:val="0"/>
                <w:iCs w:val="0"/>
                <w:color w:val="000000"/>
                <w:kern w:val="0"/>
                <w:sz w:val="18"/>
                <w:szCs w:val="18"/>
                <w:highlight w:val="none"/>
                <w:u w:val="none"/>
                <w:lang w:val="en-US" w:eastAsia="zh-CN" w:bidi="ar"/>
              </w:rPr>
              <w:t>、（设备及组件尺寸允许误差±5%）尺寸：L93xW30xH86cm；逼真厨房功能设计，既能独立摆放模拟真实场景又易于搭配其他产品进行环创。采用美工机喷绘工艺，搭配油墨，图案附着力好，生动立体不易褪色。可旋转按钮仿真功能，可视化按键，增强游戏真实体验感。所有螺丝位无毛刺不刮手，边角采用圆边/圆角处理以及安全防撞设计，最大程度的避免儿童磕碰伤害，结构稳固。柜体木色部分柜体采用厚度15mm的桦木纹饰面环保橡胶木拼板，采用环保的水性木蜡油封边；部分柜体采用厚度15mm的实木多层板喷涂水性漆（层板、装饰板厚度12mm）。柜体右侧为冰箱造型，独立一扇门，门板内装缓冲铰链，能实现门板开合；1个拉手，采用深咖色环保塑料一次成型，尺寸L104.5*W32mm。柜体侧面与操作面板有5个挂钩，挂钩采用环保塑料一次成型单孔挂，尺寸：32*18*17mm。左侧为一个塑料一次成型呈奶白色的洗手台，尺寸L220mm*W220*H80；搭配3个可旋转的塑料一次成型2合1外直径35mm内直径18mm的旋转调节开关，一个L70mm，内径18mm的旋转水龙头；两个φ124mm的仿真灶炉，搭配2个可旋转的塑料一次成型2合1外直径35mm内直径18mm的旋转调节开关。柜体面板离地500mm，柜体下方为2个独立开合门，门板内装缓冲铰链，能实现门板开合；2个拉手采用采用深咖色环保塑料一次成型，尺寸L104.5*W32mm。左侧为大空间储放空间2层，各290x264x162mm内空；右册为半开门设计，上、中两层内空为290x264x207mm，下层内空为290x264x285mm；中间门板采用透明亚克力板做卡通图案，中门尺寸为294x218mm,门上方有4个可旋转的塑料一次成型2合1外直径35mm内直径18mm的旋转调节开关。底部安装塑料脚垫，尺寸为Φ17xH10mm，软性防滑，可有效保护地面刮花并降低噪音。采用环保的水性木蜡油封边，成分天然，分子机构细小，成膜牢固，密封性好。采用环保的水性漆，全封闭涂装工艺，漆面光泽高透，颜色均匀。采用环保水性油墨，颜色饱满，无毒无异味。采用厚度5mm的透明亚克力板，表面光滑无缺陷，坚硬耐用，高透光性，环保无毒。采用食品级的环保塑料材质，感官要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b/>
                <w:bCs/>
                <w:i w:val="0"/>
                <w:iCs w:val="0"/>
                <w:color w:val="4472C4"/>
                <w:kern w:val="0"/>
                <w:sz w:val="18"/>
                <w:szCs w:val="18"/>
                <w:highlight w:val="none"/>
                <w:u w:val="none"/>
                <w:lang w:val="en-US" w:eastAsia="zh-CN" w:bidi="ar"/>
              </w:rPr>
              <w:t>▲</w:t>
            </w:r>
            <w:r>
              <w:rPr>
                <w:rFonts w:hint="eastAsia" w:ascii="宋体" w:hAnsi="宋体" w:cs="宋体"/>
                <w:b/>
                <w:bCs/>
                <w:i w:val="0"/>
                <w:iCs w:val="0"/>
                <w:color w:val="4472C4"/>
                <w:kern w:val="0"/>
                <w:sz w:val="18"/>
                <w:szCs w:val="18"/>
                <w:highlight w:val="none"/>
                <w:u w:val="none"/>
                <w:lang w:val="en-US" w:eastAsia="zh-CN" w:bidi="ar"/>
              </w:rPr>
              <w:t>31</w:t>
            </w:r>
            <w:r>
              <w:rPr>
                <w:rFonts w:hint="eastAsia" w:ascii="宋体" w:hAnsi="宋体" w:eastAsia="宋体" w:cs="宋体"/>
                <w:b/>
                <w:bCs/>
                <w:i w:val="0"/>
                <w:iCs w:val="0"/>
                <w:color w:val="4472C4"/>
                <w:kern w:val="0"/>
                <w:sz w:val="18"/>
                <w:szCs w:val="18"/>
                <w:highlight w:val="none"/>
                <w:u w:val="none"/>
                <w:lang w:val="en-US" w:eastAsia="zh-CN" w:bidi="ar"/>
              </w:rPr>
              <w:t>、木蜡油采用GB/T23994-2009、HG/T3950-2007标准，检测项应满足：铅（Pb）、镉（Cd）、铬（Cr）、钡（Ba)、砷（As)≤1mg/kg，汞（Hg）、硒（Se)、锑（Sb)≤0.1mg/kg，总铅（pb）含量≤2.5mg/kg等符合标准要求；抗细菌性能及抗细菌耐久性能检测结果均为≥99.9%，检测菌种包括金黄色葡萄球菌，大肠埃希氏菌；抗霉菌性能及抗霉菌耐久性能检测结果均为0级合格符合标准要求。投标时提供由第三方检验检测机构出具并加盖（或带有）CMA标志的检验检测报告扫描件，原件备查；注：对应参数（检验检测项）在检验检测报告中进行标注；检验检测报告出具的时间应在本项目投标截止日前1年内；如检验检测报告中明确备注说明相关检验检测项不在检验检测机构CMA资质许可（认定）范围内的，不符合招标文件要求。</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柜3</w:t>
            </w:r>
          </w:p>
        </w:tc>
        <w:tc>
          <w:tcPr>
            <w:tcW w:w="3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r>
              <w:rPr>
                <w:rFonts w:hint="eastAsia" w:ascii="宋体" w:hAnsi="宋体" w:cs="宋体"/>
                <w:i w:val="0"/>
                <w:iCs w:val="0"/>
                <w:color w:val="000000"/>
                <w:kern w:val="0"/>
                <w:sz w:val="18"/>
                <w:szCs w:val="18"/>
                <w:highlight w:val="none"/>
                <w:u w:val="none"/>
                <w:lang w:val="en-US" w:eastAsia="zh-CN" w:bidi="ar"/>
              </w:rPr>
              <w:t>2</w:t>
            </w:r>
            <w:r>
              <w:rPr>
                <w:rFonts w:hint="eastAsia" w:ascii="宋体" w:hAnsi="宋体" w:eastAsia="宋体" w:cs="宋体"/>
                <w:i w:val="0"/>
                <w:iCs w:val="0"/>
                <w:color w:val="000000"/>
                <w:kern w:val="0"/>
                <w:sz w:val="18"/>
                <w:szCs w:val="18"/>
                <w:highlight w:val="none"/>
                <w:u w:val="none"/>
                <w:lang w:val="en-US" w:eastAsia="zh-CN" w:bidi="ar"/>
              </w:rPr>
              <w:t>、（设备及组件尺寸允许误差±5%）尺寸：L105xW40xH110cm；多功能带轮衣帽收纳架，储物空间大，移动/固定便捷。加厚亚克力镜子，模拟真实换装情景，兼具装饰、收纳与教玩功能，能与其他柜体组合搭配使用。所有螺丝位无毛刺不刮手，边角采用圆边/圆角处理以及安全防撞设计，最大程度的避免儿童磕碰伤害，结构稳固。采用厚度15mm的桦木纹饰面环保橡胶木拼板。柜体：顶部收纳槽内空：870x358x50mm，挂衣格内空：580x400x775mm，底部格子内空：558x370x120mm，右侧四格内空均为：275x400x216mm；左侧为两层，上层为挂衣空间，580x400x775mm，悬挂一个长564mm铝合金双筋扁管挂杆，下层内控580X367x120mm；柜子一边外侧安装亚克力材质镜子，冲击强度比玻璃镜高，不容易碎，尺寸L540xW260xH3mm，镜子下方配置化妆收纳格，尺寸为：350x120x100mm。底部安装4个高度为80mm的平底带刹车万向脚轮，脚轮运行平稳无声，可360°旋转，转动顺滑。采用环保的水性木蜡油封边，成分天然，分子机构细小，成膜牢固，密封性好。</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书架</w:t>
            </w:r>
          </w:p>
        </w:tc>
        <w:tc>
          <w:tcPr>
            <w:tcW w:w="3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r>
              <w:rPr>
                <w:rFonts w:hint="eastAsia" w:ascii="宋体" w:hAnsi="宋体" w:cs="宋体"/>
                <w:i w:val="0"/>
                <w:iCs w:val="0"/>
                <w:color w:val="000000"/>
                <w:kern w:val="0"/>
                <w:sz w:val="18"/>
                <w:szCs w:val="18"/>
                <w:highlight w:val="none"/>
                <w:u w:val="none"/>
                <w:lang w:val="en-US" w:eastAsia="zh-CN" w:bidi="ar"/>
              </w:rPr>
              <w:t>3</w:t>
            </w:r>
            <w:r>
              <w:rPr>
                <w:rFonts w:hint="eastAsia" w:ascii="宋体" w:hAnsi="宋体" w:eastAsia="宋体" w:cs="宋体"/>
                <w:i w:val="0"/>
                <w:iCs w:val="0"/>
                <w:color w:val="000000"/>
                <w:kern w:val="0"/>
                <w:sz w:val="18"/>
                <w:szCs w:val="18"/>
                <w:highlight w:val="none"/>
                <w:u w:val="none"/>
                <w:lang w:val="en-US" w:eastAsia="zh-CN" w:bidi="ar"/>
              </w:rPr>
              <w:t>、（设备及组件尺寸允许误差±5%）尺寸：L92xW37xH82cm；采用翻板活动轮工艺，移动/固定自由切换。层板高度可结合书本大小调节高度，充分利用空间。前后竖板可互换，能实现双面不同的展示风格，适应不同场景下使用。所有螺丝位无毛刺不刮手，边角采用圆边/圆角处理以及安全防撞设计，最大程度的避免儿童磕碰伤害，结构稳固。采用18mm的环保实木多层板。书架内储物空间上格内空尺寸：880x180x130mm；中格内空尺寸：880x190x210mm；下格内空尺寸：880x230x300mm。左右侧板双槽设计槽深4.5mm，宽6mm，两槽最小间隔38mm,最大间隔300mm;可实现灵活抽取双背板，底板前后分别用4个呈浅咖色的塑料一次成型卡扣件，卡扣深8.4mm最大直径25mm，更好固定背板，安全稳固。书架A面呈倾斜面，双面搭配塑料一次成型调节支撑条，（共6条）长度165mm;每卡位间距30mm，每个调节条之间间隔15mm;内嵌式安装，固定条凸出11mm；配套3条书架托条，托条内控860mm;采用18mm实木多层板两端嵌入塑料一次成型扣件，扣件尺寸L50*H47.5可固定在塑料支撑条的卡位上，利用两个宽6.6mm的孔位可实现随意调节高度便于不同尺寸书籍的摆放。 书架B面 呈3层储物格，上格内空尺寸：880x180x130mm；中格内空尺寸：880x190x210mm；下格内空尺寸：880x230x300mm。前后竖板一块为厚度5mm亚克力板，一块为厚度5mm环保实木纤维板，通过书架的导槽进行固定，竖板能提取前后互换使用。围脚柜体与底部围脚采用环保材质的塑料连接件实现翻板功能，脚轮为H65mm，2寸棕色的静音万向轮，安装在围脚侧板内，当家具固定时，围脚侧板向下翻，万向轮则隐藏于侧板内；当家具需要移动时，围脚侧板向上翻，塑料连接件卡扣对侧板进行固定，万向轮支撑起家具的重量，无须抬起轻松实现家具位置转移；采用环保的水性漆，全封闭涂装工艺，漆面光泽高透，颜色均匀。</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小屋收纳柜</w:t>
            </w:r>
          </w:p>
        </w:tc>
        <w:tc>
          <w:tcPr>
            <w:tcW w:w="3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r>
              <w:rPr>
                <w:rFonts w:hint="eastAsia" w:ascii="宋体" w:hAnsi="宋体" w:cs="宋体"/>
                <w:i w:val="0"/>
                <w:iCs w:val="0"/>
                <w:color w:val="000000"/>
                <w:kern w:val="0"/>
                <w:sz w:val="18"/>
                <w:szCs w:val="18"/>
                <w:highlight w:val="none"/>
                <w:u w:val="none"/>
                <w:lang w:val="en-US" w:eastAsia="zh-CN" w:bidi="ar"/>
              </w:rPr>
              <w:t>4</w:t>
            </w:r>
            <w:r>
              <w:rPr>
                <w:rFonts w:hint="eastAsia" w:ascii="宋体" w:hAnsi="宋体" w:eastAsia="宋体" w:cs="宋体"/>
                <w:i w:val="0"/>
                <w:iCs w:val="0"/>
                <w:color w:val="000000"/>
                <w:kern w:val="0"/>
                <w:sz w:val="18"/>
                <w:szCs w:val="18"/>
                <w:highlight w:val="none"/>
                <w:u w:val="none"/>
                <w:lang w:val="en-US" w:eastAsia="zh-CN" w:bidi="ar"/>
              </w:rPr>
              <w:t>、（设备及组件尺寸允许误差±5%）尺寸：L50xW30xH110.5cm；小屋造型设计，兼具装饰与收纳功能。采用美工机喷绘工艺，搭配油墨，图案附着力好，生动立体不易褪色。底格收纳抽斗采用可移动带滑轮设计，便于教玩具的转移与储藏。所有螺丝位无毛刺不刮手，边角采用圆边/圆角处理以及安全防撞设计，最大程度的避免儿童磕碰伤害，结构稳固。柜体用厚度15mm的桦木纹饰面环保橡胶木拼板。顶部屋顶造型，2层通透，上格内空尺寸：470x300x284mm，下格内空尺寸470x300x224mm；下层带背板内空尺寸：470x280x224mm。柜子底格为移动式收纳抽斗，抽斗内空尺寸：420x249x178mm，抽斗底部安装4个1.5寸静音万向脚轮，脚轮运行平稳无声，可360°旋转，转动顺滑。抽斗面板中间凹20mm，距离底部层板50mm，手握弧度舒适面板增加几何造型图案。造型部分采用美工机喷绘工艺，搭配油墨，图案附着力好，生动立体不易褪色。柜子底部安装塑料脚垫，高度为H10mm，直径17mm，软性防滑，可有效保护地面刮花并降低噪音。采用环保的水性木蜡油封边，成分天然，分子机构细小，成膜牢固，密封性好。采用环保水性油墨，颜色饱满，无毒无异味。</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月亮桌</w:t>
            </w:r>
          </w:p>
        </w:tc>
        <w:tc>
          <w:tcPr>
            <w:tcW w:w="3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r>
              <w:rPr>
                <w:rFonts w:hint="eastAsia" w:ascii="宋体" w:hAnsi="宋体" w:cs="宋体"/>
                <w:i w:val="0"/>
                <w:iCs w:val="0"/>
                <w:color w:val="000000"/>
                <w:kern w:val="0"/>
                <w:sz w:val="18"/>
                <w:szCs w:val="18"/>
                <w:highlight w:val="none"/>
                <w:u w:val="none"/>
                <w:lang w:val="en-US" w:eastAsia="zh-CN" w:bidi="ar"/>
              </w:rPr>
              <w:t>5</w:t>
            </w:r>
            <w:r>
              <w:rPr>
                <w:rFonts w:hint="eastAsia" w:ascii="宋体" w:hAnsi="宋体" w:eastAsia="宋体" w:cs="宋体"/>
                <w:i w:val="0"/>
                <w:iCs w:val="0"/>
                <w:color w:val="000000"/>
                <w:kern w:val="0"/>
                <w:sz w:val="18"/>
                <w:szCs w:val="18"/>
                <w:highlight w:val="none"/>
                <w:u w:val="none"/>
                <w:lang w:val="en-US" w:eastAsia="zh-CN" w:bidi="ar"/>
              </w:rPr>
              <w:t>、（设备及组件尺寸允许误差±5%）尺寸：L120xW60xH49/52/55cm 可调节高度；桌面背面设置有4个塑料连接件，桌脚使用螺旋安装方式与桌面连接，方便拆卸。桌脚底部安装可调节塑料件，可通过调整塑料件的数量来改变桌面的整体高度。所有螺丝位无毛刺不刮手，桌角及边沿采用R30mm圆角/圆边处理以及安全防撞设计，最大程度的避免儿童磕碰伤害，结构稳固。桌面采用厚度24mm的环保实木多层板，桌面与桌脚链接安装4个环保塑料一次成型尺寸为L188*WH77mm的扇形脚座连接件，脚座设置一个外直径55.5mm连接桌脚，呈浅咖色，表面光滑无毛刺，线条圆润，桌脚直接螺旋拧上即完成安装，既省时省力又提高产品的互换性，延长使用寿命。桌脚采用直径φ48mm的桦木原木搭配浅咖色塑料调节脚套环，螺旋结构方便调节，每个脚套环尺寸为φ48xH56mm，选择安装不同的数量可满足不同的高度需求，可调高度为490/520/550mm；桌脚底部是直径62.4mm高度40mm的塑料脚垫，脚垫底部安装可调螺旋塑料脚垫直径39.6mm，可适应个别不平整的地面。采用环保的水性漆，全封闭涂装工艺，漆面光泽高透，颜色均匀。</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小推车</w:t>
            </w:r>
          </w:p>
        </w:tc>
        <w:tc>
          <w:tcPr>
            <w:tcW w:w="3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r>
              <w:rPr>
                <w:rFonts w:hint="eastAsia" w:ascii="宋体" w:hAnsi="宋体" w:cs="宋体"/>
                <w:i w:val="0"/>
                <w:iCs w:val="0"/>
                <w:color w:val="000000"/>
                <w:kern w:val="0"/>
                <w:sz w:val="18"/>
                <w:szCs w:val="18"/>
                <w:highlight w:val="none"/>
                <w:u w:val="none"/>
                <w:lang w:val="en-US" w:eastAsia="zh-CN" w:bidi="ar"/>
              </w:rPr>
              <w:t>6</w:t>
            </w:r>
            <w:r>
              <w:rPr>
                <w:rFonts w:hint="eastAsia" w:ascii="宋体" w:hAnsi="宋体" w:eastAsia="宋体" w:cs="宋体"/>
                <w:i w:val="0"/>
                <w:iCs w:val="0"/>
                <w:color w:val="000000"/>
                <w:kern w:val="0"/>
                <w:sz w:val="18"/>
                <w:szCs w:val="18"/>
                <w:highlight w:val="none"/>
                <w:u w:val="none"/>
                <w:lang w:val="en-US" w:eastAsia="zh-CN" w:bidi="ar"/>
              </w:rPr>
              <w:t>、（设备及组件尺寸允许误差±5%）尺寸：L51.5xW32xH50cm；模拟超市购物推车造型设计，增加游戏趣味性。所有螺丝位无毛刺不刮手，边角采用圆边/圆角处理以及安全防撞设计，最大程度的避免儿童磕碰伤害，结构稳固。主体12mm的环保实木多层板，轮子采用厚度18mm的环保实木多层板，底板采用厚度5mm的饰面环保实木纤维板。小车分两层，侧板与车身撞色搭配，底层收纳内空：406x256mm，上层收纳内空：232x160x90mm；扶手圆棒直径：22mm，圆滑不刮手。轮子直径为φ110mm，安装有静音橡胶圈，软性防滑，可有效保护地面刮花并降低噪音。油漆：采用环保的水性漆，全封闭涂装工艺，漆面光泽高透，颜色均匀。</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造型柜</w:t>
            </w:r>
          </w:p>
        </w:tc>
        <w:tc>
          <w:tcPr>
            <w:tcW w:w="3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r>
              <w:rPr>
                <w:rFonts w:hint="eastAsia" w:ascii="宋体" w:hAnsi="宋体" w:cs="宋体"/>
                <w:i w:val="0"/>
                <w:iCs w:val="0"/>
                <w:color w:val="000000"/>
                <w:kern w:val="0"/>
                <w:sz w:val="18"/>
                <w:szCs w:val="18"/>
                <w:highlight w:val="none"/>
                <w:u w:val="none"/>
                <w:lang w:val="en-US" w:eastAsia="zh-CN" w:bidi="ar"/>
              </w:rPr>
              <w:t>7</w:t>
            </w:r>
            <w:r>
              <w:rPr>
                <w:rFonts w:hint="eastAsia" w:ascii="宋体" w:hAnsi="宋体" w:eastAsia="宋体" w:cs="宋体"/>
                <w:i w:val="0"/>
                <w:iCs w:val="0"/>
                <w:color w:val="000000"/>
                <w:kern w:val="0"/>
                <w:sz w:val="18"/>
                <w:szCs w:val="18"/>
                <w:highlight w:val="none"/>
                <w:u w:val="none"/>
                <w:lang w:val="en-US" w:eastAsia="zh-CN" w:bidi="ar"/>
              </w:rPr>
              <w:t>、（设备及组件尺寸允许误差±5%）尺寸：L98xW40xH136cm；特色屋顶+篷布造型设计，吊牌黑板可擦写，既能独立摆放模拟真实场景又易于搭配其他产品进行环创。所有螺丝位无毛刺不刮手，边角采用圆边/圆角处理以及安全防撞设计，最大程度的避免儿童磕碰伤害，结构稳固。柜体采用厚度15mm的桦木纹饰面环保橡胶木拼板，黑板框及上部分造型板采用厚度18mm的环保实木多层，吊牌、挂板采用厚度12mm的环保实木多层板喷涂水性漆，黑板芯板采用厚度9mm的环保实木纤维板。屋顶离柜面高770mm，面板离地高度为590mm，柜体内空尺寸：890x300x237.5mm；下层柜体正面安装长方形可吸附磁铁的黑板，尺寸为910x520mm，柜体上方两边挂杆可挂吊牌黑板，尺寸为200x150mm，可使用粉笔进行擦写；产品顶部搭配安装由涤纶纤维织造的仿棉麻材质篷布，尺寸：L99xW80cm 篷布可拆洗。围脚高度60mm，底部安装塑料脚垫，高度为H10mm，直径17mm,软性防滑，可有效保护地面刮花并降低噪音。采用环保的水性木蜡油封边，成分天然，分子机构细小，成膜牢固，密封性好。采用环保的水性漆，全封闭涂装工艺，漆面光泽高透，颜色均匀。</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分类收纳柜</w:t>
            </w:r>
          </w:p>
        </w:tc>
        <w:tc>
          <w:tcPr>
            <w:tcW w:w="3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r>
              <w:rPr>
                <w:rFonts w:hint="eastAsia" w:ascii="宋体" w:hAnsi="宋体" w:cs="宋体"/>
                <w:i w:val="0"/>
                <w:iCs w:val="0"/>
                <w:color w:val="000000"/>
                <w:kern w:val="0"/>
                <w:sz w:val="18"/>
                <w:szCs w:val="18"/>
                <w:highlight w:val="none"/>
                <w:u w:val="none"/>
                <w:lang w:val="en-US" w:eastAsia="zh-CN" w:bidi="ar"/>
              </w:rPr>
              <w:t>8</w:t>
            </w:r>
            <w:r>
              <w:rPr>
                <w:rFonts w:hint="eastAsia" w:ascii="宋体" w:hAnsi="宋体" w:eastAsia="宋体" w:cs="宋体"/>
                <w:i w:val="0"/>
                <w:iCs w:val="0"/>
                <w:color w:val="000000"/>
                <w:kern w:val="0"/>
                <w:sz w:val="18"/>
                <w:szCs w:val="18"/>
                <w:highlight w:val="none"/>
                <w:u w:val="none"/>
                <w:lang w:val="en-US" w:eastAsia="zh-CN" w:bidi="ar"/>
              </w:rPr>
              <w:t>、（设备及组件尺寸允许误差±5%）尺寸：L91xW50xH75cm；可移动美术材料分类柜设计，能适用多场景下使用。结构多样化，配套塑料收纳盒，适用多种美术材料及工具的分类储存。所有螺丝位无毛刺不刮手，边角采用圆边/圆角处理以及安全防撞设计，最大程度的避免儿童磕碰伤害，结构稳固。采用厚度15mm双贴桦木纹饰面的环保橡胶木拼板，中竖板及层板采用厚度12mm的桦木纹饰面环保橡胶木拼板。A面左侧层架内空长度：280mm，内空高度：108mm，可放收纳盒；B面收纳层架部分共三层，内空长度均为：880mm，下两层内空高度：200mm，上层内空高度：110mm；；右侧为纸张收纳放置格；B面收纳层架部分共3层，内空长度均为：880mm，下两层内空高度：200mm，上层内空高度：110mm；顶部颜料杯放置架孔径：70mm（共8个）。底部安装4个H80mm的2寸静音万向脚轮，脚轮运行平稳无声，可360°旋转，转动顺滑。搭配产品包含5个收纳盒，尺寸：L245xW150xH60mm，收纳盒采用环保塑料材质，呈浅咖色，圆滑无毛刺，一体成型设计，结构稳固。8个杯子尺寸φ78xH94mm，杯子采用环保塑料材质，一体成型。采用环保的水性木蜡油封边，成分天然，分子机构细小，成膜牢固，密封性好，环保无毒。</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b/>
                <w:bCs/>
                <w:i w:val="0"/>
                <w:iCs w:val="0"/>
                <w:color w:val="4472C4"/>
                <w:kern w:val="0"/>
                <w:sz w:val="18"/>
                <w:szCs w:val="18"/>
                <w:highlight w:val="none"/>
                <w:u w:val="none"/>
                <w:lang w:val="en-US" w:eastAsia="zh-CN" w:bidi="ar"/>
              </w:rPr>
              <w:t>▲3</w:t>
            </w:r>
            <w:r>
              <w:rPr>
                <w:rFonts w:hint="eastAsia" w:ascii="宋体" w:hAnsi="宋体" w:cs="宋体"/>
                <w:b/>
                <w:bCs/>
                <w:i w:val="0"/>
                <w:iCs w:val="0"/>
                <w:color w:val="4472C4"/>
                <w:kern w:val="0"/>
                <w:sz w:val="18"/>
                <w:szCs w:val="18"/>
                <w:highlight w:val="none"/>
                <w:u w:val="none"/>
                <w:lang w:val="en-US" w:eastAsia="zh-CN" w:bidi="ar"/>
              </w:rPr>
              <w:t>9</w:t>
            </w:r>
            <w:r>
              <w:rPr>
                <w:rFonts w:hint="eastAsia" w:ascii="宋体" w:hAnsi="宋体" w:eastAsia="宋体" w:cs="宋体"/>
                <w:b/>
                <w:bCs/>
                <w:i w:val="0"/>
                <w:iCs w:val="0"/>
                <w:color w:val="4472C4"/>
                <w:kern w:val="0"/>
                <w:sz w:val="18"/>
                <w:szCs w:val="18"/>
                <w:highlight w:val="none"/>
                <w:u w:val="none"/>
                <w:lang w:val="en-US" w:eastAsia="zh-CN" w:bidi="ar"/>
              </w:rPr>
              <w:t>、塑料采用GB/T6343-2009、GB28481-2012、GB/T32487-2016标准；检测项目要求：密度≥830kg/m³ ；邻苯二甲酸酯（DBP、BBP、DEHP、DNOP、DINP、DIDP)≤0.001%；重金属的可溶性镉、铅、铬、汞≤0.5mg/kg；苯并[a]芘、16种多环芳烃(PAH)总量≤0.001mg/kg；多溴联苯和多溴二苯醚≤10mg/kg；冲击强度的保持率≥60%，冲击强度判定合格符合标准要求。投标时提供由第三方检验检测机构出具并加盖（或带有）CMA标志的检验检测报告扫描件，原件备查；注：对应参数（检验检测项）在检验检测报告中进行标注；检验检测报告出具的时间应在本项目投标截止日前1年内；如检验检测报告中明确备注说明相关检验检测项不在检验检测机构CMA资质许可（认定）范围内的，不符合招标文件要求。</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作品展示柜A</w:t>
            </w:r>
          </w:p>
        </w:tc>
        <w:tc>
          <w:tcPr>
            <w:tcW w:w="3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40</w:t>
            </w:r>
            <w:r>
              <w:rPr>
                <w:rFonts w:hint="eastAsia" w:ascii="宋体" w:hAnsi="宋体" w:eastAsia="宋体" w:cs="宋体"/>
                <w:i w:val="0"/>
                <w:iCs w:val="0"/>
                <w:color w:val="000000"/>
                <w:kern w:val="0"/>
                <w:sz w:val="18"/>
                <w:szCs w:val="18"/>
                <w:highlight w:val="none"/>
                <w:u w:val="none"/>
                <w:lang w:val="en-US" w:eastAsia="zh-CN" w:bidi="ar"/>
              </w:rPr>
              <w:t>、（设备及组件尺寸允许误差±5%）尺寸：L80xW35xH143cm（含配件）；双面使用、展示方式多样、可收纳，能满足不同的教学需要。贯穿式连接器功能设计，可快速组合/拆卸屏风，无须任何工具。多功能带轮带刹车展示屏风，移动/固定便捷，能适用多场景下使用。洞洞挂板、铁质配件表面采用静电粉末喷涂工艺，圆润光滑，防腐抗锈，坚固耐用。配套多种配件，可满足不同方式的储存及展示。所有螺丝位无毛刺不刮手，边角采用圆边/圆角处理以及安全防撞设计，最大程度的避免儿童磕碰伤害，结构稳固。采用厚度18mm的环保实木多层板，画板芯材采用厚度9mm的环保实木纤维板；展示框架采用桦木原木，尺寸45x45mm，材质厚实坚固，纹理均匀细致。底部2个收纳格，内空尺寸：373x350x169mm。底部安装4个高度为65mm的2寸静音万向脚轮，脚轮运行平稳无声，可360°旋转，转动顺滑，刹车灵敏，踏板不易断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41</w:t>
            </w:r>
            <w:r>
              <w:rPr>
                <w:rFonts w:hint="eastAsia" w:ascii="宋体" w:hAnsi="宋体" w:eastAsia="宋体" w:cs="宋体"/>
                <w:i w:val="0"/>
                <w:iCs w:val="0"/>
                <w:color w:val="000000"/>
                <w:kern w:val="0"/>
                <w:sz w:val="18"/>
                <w:szCs w:val="18"/>
                <w:highlight w:val="none"/>
                <w:u w:val="none"/>
                <w:lang w:val="en-US" w:eastAsia="zh-CN" w:bidi="ar"/>
              </w:rPr>
              <w:t>、展示框架一面安装长方形可吸附磁铁的黑板，可使用粉笔进行擦写；一面安装长方形白色方孔洞洞挂板，冷轧铁艺，表面采用静电粉末喷涂工艺可挂各种配件。柜体两侧中间为镂空口，可使用配套的柜体连接开关与多个展示屏风组合；连接开关采用环保塑料材质，呈浅咖色，圆滑无毛刺，尺寸为：L88xW62xH25mm，带弹簧按钮，当旋转至“十”字型时，开关可锁紧，两边柜体可扣住，当旋转至“一”字型时，开关可从镂空口取出，两边柜体可分开。搭配产品包含4个铁质收纳盒，尺寸：L230xW90xH50mm，2个铁质笔筒，尺寸：L75xW65xH110mm，2个铁质挂钩，采用冷轧铁艺，表面采用静电粉末喷涂工艺。采用环保的水性漆，全封闭涂装工艺，漆面光泽高透，颜色均匀。</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7"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作品展示柜B</w:t>
            </w:r>
          </w:p>
        </w:tc>
        <w:tc>
          <w:tcPr>
            <w:tcW w:w="3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r>
              <w:rPr>
                <w:rFonts w:hint="eastAsia" w:ascii="宋体" w:hAnsi="宋体" w:cs="宋体"/>
                <w:i w:val="0"/>
                <w:iCs w:val="0"/>
                <w:color w:val="000000"/>
                <w:kern w:val="0"/>
                <w:sz w:val="18"/>
                <w:szCs w:val="18"/>
                <w:highlight w:val="none"/>
                <w:u w:val="none"/>
                <w:lang w:val="en-US" w:eastAsia="zh-CN" w:bidi="ar"/>
              </w:rPr>
              <w:t>2</w:t>
            </w:r>
            <w:r>
              <w:rPr>
                <w:rFonts w:hint="eastAsia" w:ascii="宋体" w:hAnsi="宋体" w:eastAsia="宋体" w:cs="宋体"/>
                <w:i w:val="0"/>
                <w:iCs w:val="0"/>
                <w:color w:val="000000"/>
                <w:kern w:val="0"/>
                <w:sz w:val="18"/>
                <w:szCs w:val="18"/>
                <w:highlight w:val="none"/>
                <w:u w:val="none"/>
                <w:lang w:val="en-US" w:eastAsia="zh-CN" w:bidi="ar"/>
              </w:rPr>
              <w:t>、（设备及组件尺寸允许误差±5%）尺寸：L80xW35xH139cm；双面使用、展示方式多样、可收纳，能满足不同的教学需要。贯穿式连接器功能设计，可快速组合/拆卸屏风，无须任何工具。多功能带轮带刹车展示屏风，移动/固定便捷，能适用多场景下使用。所有螺丝位无毛刺不刮手，边角采用圆边/圆角处理以及安全防撞设计，最大程度的避免儿童磕碰伤害，结构稳固。采用厚度18mm的环保实木多层板，画板芯材采用厚度9mm的环保实木纤维板；展示框架采用桦木原木，尺寸45x45mm。底部2个收纳格，内空尺寸：373x350x169mm；展示框架木方大小：45x45mm；底部安装4个高度为65mm的2寸静音万向脚轮，脚轮运行平稳无声，可360°旋转，转动顺滑，刹车灵敏，踏板不易断裂。展示框架一面安装长方形可吸附磁铁的白板，可使用水性笔进行擦写，一面安装长方形浅灰色吸音板，可通过图钉展示各种创作作品。柜体两侧中间为镂空口，可使用配套的柜体连接开关与多个展示屏风组合；连接开关采用环保塑料材质，呈浅咖色，圆滑无毛刺，尺寸为：L88xW62xH25mm，带弹簧按钮，当旋转至“十”字型时，开关可锁紧，两边柜体可扣住，当旋转至“一”字型时，开关可从镂空口取出，两边柜体可分开。采用环保的水性漆，全封闭涂装工艺，漆面光泽高透，颜色均匀。</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b/>
                <w:bCs/>
                <w:i w:val="0"/>
                <w:iCs w:val="0"/>
                <w:color w:val="4472C4"/>
                <w:kern w:val="0"/>
                <w:sz w:val="18"/>
                <w:szCs w:val="18"/>
                <w:highlight w:val="none"/>
                <w:u w:val="none"/>
                <w:lang w:val="en-US" w:eastAsia="zh-CN" w:bidi="ar"/>
              </w:rPr>
              <w:t>▲4</w:t>
            </w:r>
            <w:r>
              <w:rPr>
                <w:rFonts w:hint="eastAsia" w:ascii="宋体" w:hAnsi="宋体" w:cs="宋体"/>
                <w:b/>
                <w:bCs/>
                <w:i w:val="0"/>
                <w:iCs w:val="0"/>
                <w:color w:val="4472C4"/>
                <w:kern w:val="0"/>
                <w:sz w:val="18"/>
                <w:szCs w:val="18"/>
                <w:highlight w:val="none"/>
                <w:u w:val="none"/>
                <w:lang w:val="en-US" w:eastAsia="zh-CN" w:bidi="ar"/>
              </w:rPr>
              <w:t>3</w:t>
            </w:r>
            <w:r>
              <w:rPr>
                <w:rFonts w:hint="eastAsia" w:ascii="宋体" w:hAnsi="宋体" w:eastAsia="宋体" w:cs="宋体"/>
                <w:b/>
                <w:bCs/>
                <w:i w:val="0"/>
                <w:iCs w:val="0"/>
                <w:color w:val="4472C4"/>
                <w:kern w:val="0"/>
                <w:sz w:val="18"/>
                <w:szCs w:val="18"/>
                <w:highlight w:val="none"/>
                <w:u w:val="none"/>
                <w:lang w:val="en-US" w:eastAsia="zh-CN" w:bidi="ar"/>
              </w:rPr>
              <w:t>、成品组合屏风采用GB/T17657-2022、GB28007-2011标准，检测项应满足：外观（木制件、金属件、塑料件、涂层）、警示标识、木制件表面涂层/覆面材料（10%碳酸钠溶液、10%乙酸溶液、耐湿热、耐干热、附着力、耐冷热温差、涂层1000r后不低于3级、覆面/素色磨350r后无露底现象、抗冲击）、金属件（硬度）、结构安全、产品甲醛释放量、塑料有害物质限量（邻苯二甲酸酯的总量）≤0.01%、表面涂层可迁移元素（锑、砷、铅、硒、镉、汞、铬、钡）、标志、使用说明等判定符合要求；24h吸水厚度膨胀率≤3.8%，静曲强度平均值≥60MPa，弹性模量平均值≥8000MPa,耐光色牢度≥4级灰色样卡，耐黄变色牢度≥4级灰色样卡。投标时提供由第三方检验检测机构出具并加盖（或带有）CMA标志的检验检测报告扫描件，原件备查；注：对应参数（检验检测项）在检验检测报告中进行标注；检验检测报告出具的时间应在本项目投标截止日前2年内；如检验检测报告中明确备注说明相关检验检测项不在检验检测机构CMA资质许可（认定）范围内的，不符合招标文件要求。</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作品展示柜C</w:t>
            </w:r>
          </w:p>
        </w:tc>
        <w:tc>
          <w:tcPr>
            <w:tcW w:w="3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r>
              <w:rPr>
                <w:rFonts w:hint="eastAsia" w:ascii="宋体" w:hAnsi="宋体" w:cs="宋体"/>
                <w:i w:val="0"/>
                <w:iCs w:val="0"/>
                <w:color w:val="000000"/>
                <w:kern w:val="0"/>
                <w:sz w:val="18"/>
                <w:szCs w:val="18"/>
                <w:highlight w:val="none"/>
                <w:u w:val="none"/>
                <w:lang w:val="en-US" w:eastAsia="zh-CN" w:bidi="ar"/>
              </w:rPr>
              <w:t>4</w:t>
            </w:r>
            <w:r>
              <w:rPr>
                <w:rFonts w:hint="eastAsia" w:ascii="宋体" w:hAnsi="宋体" w:eastAsia="宋体" w:cs="宋体"/>
                <w:i w:val="0"/>
                <w:iCs w:val="0"/>
                <w:color w:val="000000"/>
                <w:kern w:val="0"/>
                <w:sz w:val="18"/>
                <w:szCs w:val="18"/>
                <w:highlight w:val="none"/>
                <w:u w:val="none"/>
                <w:lang w:val="en-US" w:eastAsia="zh-CN" w:bidi="ar"/>
              </w:rPr>
              <w:t>、（设备及组件尺寸允许误差±5%）尺寸：L80xW35xH143cm；贯穿式连接器功能设计，可快速组合/拆卸屏风，无须任何工具。多功能带轮带刹车展示屏风，移动/固定便捷，能适用多场景下使用。铁网表面采用静电粉末喷涂工艺，圆润光滑，防腐抗锈，坚固耐用。所有螺丝位无毛刺不刮手，边角采用圆边/圆角处理以及安全防撞设计，最大程度的避免儿童磕碰伤害，结构稳固。采用厚度18mm的环保实木多层板，展示框架采用桦木原木，尺寸45x45mm，材质厚实坚固，纹理均匀细致。底部2个收纳格，内空尺寸：373x350x169mm；展示框架木方大小：45x45mm；底部安装4个高度为65mm的2寸静音万向脚轮，脚轮运行平稳无声，可360°旋转，转动顺滑，刹车灵敏，踏板不易断裂。展示框架内嵌一个60x60mm方格哑黑色铁网，冷轧铁艺，表面采用静电粉末喷涂工艺，可悬挂各种装饰品或手工作品。柜体两侧中间为镂空口，可使用配套的柜体连接开关与多个展示屏风组合；连接开关采用环保塑料材质，呈浅咖色，圆滑无毛刺，尺寸为：L88xW62xH25mm，带弹簧按钮，当旋转至“十”字型时，开关可锁紧，两边柜体可扣住，当旋转至“一”字型时，开关可从镂空口取出，两边柜体可分开。采用环保的水性漆，全封闭涂装工艺，漆面光泽高透，颜色均匀。</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双层书柜</w:t>
            </w:r>
          </w:p>
        </w:tc>
        <w:tc>
          <w:tcPr>
            <w:tcW w:w="3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r>
              <w:rPr>
                <w:rFonts w:hint="eastAsia" w:ascii="宋体" w:hAnsi="宋体" w:cs="宋体"/>
                <w:i w:val="0"/>
                <w:iCs w:val="0"/>
                <w:color w:val="000000"/>
                <w:kern w:val="0"/>
                <w:sz w:val="18"/>
                <w:szCs w:val="18"/>
                <w:highlight w:val="none"/>
                <w:u w:val="none"/>
                <w:lang w:val="en-US" w:eastAsia="zh-CN" w:bidi="ar"/>
              </w:rPr>
              <w:t>5</w:t>
            </w:r>
            <w:r>
              <w:rPr>
                <w:rFonts w:hint="eastAsia" w:ascii="宋体" w:hAnsi="宋体" w:eastAsia="宋体" w:cs="宋体"/>
                <w:i w:val="0"/>
                <w:iCs w:val="0"/>
                <w:color w:val="000000"/>
                <w:kern w:val="0"/>
                <w:sz w:val="18"/>
                <w:szCs w:val="18"/>
                <w:highlight w:val="none"/>
                <w:u w:val="none"/>
                <w:lang w:val="en-US" w:eastAsia="zh-CN" w:bidi="ar"/>
              </w:rPr>
              <w:t>、（设备及组件尺寸允许误差±5%）尺寸：L120xW39.5xH75cm；弧形可组合双层书柜支持双面使用，既能做隔断柜又易于搭配其他产品做成组合柜，形式多变；带轮带刹车，移动/固定便捷。所有螺丝位无毛刺不刮手，边角采用圆边/圆角处理以及安全防撞设计，最大程度的避免儿童磕碰伤害，结构稳固。柜体采用厚度15mm的桦木纹饰面环保橡胶木拼板，隔板采用厚度5mm的柔性环保实木多层弯板。柜体2层，呈45°弧形；柜体宽300mm，格子层高内空：323mm。底部安装4个1.5寸静音万向脚轮，脚轮运行平稳无声，可360°旋转，转动顺滑，其中2个脚轮带刹车功能，刹车灵敏，踏板不易断裂。采用环保的水性木蜡油封边，成分天然，分子机构细小，成膜牢固，密封性好。采用环保的水性漆，全封闭涂装工艺，漆面光泽高透，颜色均匀。</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8"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双面书架</w:t>
            </w:r>
          </w:p>
        </w:tc>
        <w:tc>
          <w:tcPr>
            <w:tcW w:w="3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r>
              <w:rPr>
                <w:rFonts w:hint="eastAsia" w:ascii="宋体" w:hAnsi="宋体" w:cs="宋体"/>
                <w:i w:val="0"/>
                <w:iCs w:val="0"/>
                <w:color w:val="000000"/>
                <w:kern w:val="0"/>
                <w:sz w:val="18"/>
                <w:szCs w:val="18"/>
                <w:highlight w:val="none"/>
                <w:u w:val="none"/>
                <w:lang w:val="en-US" w:eastAsia="zh-CN" w:bidi="ar"/>
              </w:rPr>
              <w:t>6</w:t>
            </w:r>
            <w:r>
              <w:rPr>
                <w:rFonts w:hint="eastAsia" w:ascii="宋体" w:hAnsi="宋体" w:eastAsia="宋体" w:cs="宋体"/>
                <w:i w:val="0"/>
                <w:iCs w:val="0"/>
                <w:color w:val="000000"/>
                <w:kern w:val="0"/>
                <w:sz w:val="18"/>
                <w:szCs w:val="18"/>
                <w:highlight w:val="none"/>
                <w:u w:val="none"/>
                <w:lang w:val="en-US" w:eastAsia="zh-CN" w:bidi="ar"/>
              </w:rPr>
              <w:t>、（设备及组件尺寸允许误差±5%）尺寸：L60xW80xH91.5cm（含轮）；多功能带轮带刹车双面书架，书籍储存空间大，移动/固定便捷。雪松造型设计，可活页式摆出各种角度，激发幼儿阅读兴趣。所有螺丝位无毛刺不刮手，边角采用圆边/圆角处理以及安全防撞设计，最大程度的避免儿童磕碰伤害，结构稳固。采用厚度15mm的桦木纹饰面环保橡胶木拼板。书架挡板与垂直方向倾斜夹角为20°，书架挡板高200mm,长570mm，宽52mm；底板收纳格内空：570x249mm；书架为前后2个部分组合，也可展开为一字型/L型靠墙摆放。每部分书架底部安装4个1.5寸静音万向脚轮，脚轮运行平稳无声，可360°旋转，转动顺滑，其中2个脚轮带刹车功能，刹车灵敏，踏板不易断裂；采用环保的水性木蜡油封边，成分天然，分子机构细小，成膜牢固，密封性好。</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画架</w:t>
            </w:r>
          </w:p>
        </w:tc>
        <w:tc>
          <w:tcPr>
            <w:tcW w:w="3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r>
              <w:rPr>
                <w:rFonts w:hint="eastAsia" w:ascii="宋体" w:hAnsi="宋体" w:cs="宋体"/>
                <w:i w:val="0"/>
                <w:iCs w:val="0"/>
                <w:color w:val="000000"/>
                <w:kern w:val="0"/>
                <w:sz w:val="18"/>
                <w:szCs w:val="18"/>
                <w:highlight w:val="none"/>
                <w:u w:val="none"/>
                <w:lang w:val="en-US" w:eastAsia="zh-CN" w:bidi="ar"/>
              </w:rPr>
              <w:t>7</w:t>
            </w:r>
            <w:r>
              <w:rPr>
                <w:rFonts w:hint="eastAsia" w:ascii="宋体" w:hAnsi="宋体" w:eastAsia="宋体" w:cs="宋体"/>
                <w:i w:val="0"/>
                <w:iCs w:val="0"/>
                <w:color w:val="000000"/>
                <w:kern w:val="0"/>
                <w:sz w:val="18"/>
                <w:szCs w:val="18"/>
                <w:highlight w:val="none"/>
                <w:u w:val="none"/>
                <w:lang w:val="en-US" w:eastAsia="zh-CN" w:bidi="ar"/>
              </w:rPr>
              <w:t>、（设备及组件尺寸允许误差±5%）尺寸L79xW55xH104cm；画板多方式可调功能，能满足不同的教学需要。多功能带轮带刹车画架，移动/固定便捷。双面使用、底部收纳空间设计，兼具教学与收纳功能。画板采用注塑包边设计，能有效避免画板磕碰损坏，提高产品互换性。所有螺丝位无毛刺不刮手，边角采用圆边/圆角处理以及安全防撞设计，最大程度的避免儿童磕碰伤害，结构稳固。底柜采用厚度15mm的桦木纹饰面环保橡胶木拼板，笔盒托板采用厚度15mm的环保实木多层板；画板芯材采用厚度9mm的环保实木纤维板；画架上框架采用桦木原木，尺寸45x20mm，材质厚实坚固，纹理均匀细致。搭配2块方形能双面使用的可吸附磁铁的黑白书写板，白板可使用水性笔进行擦写，黑板可使用粉笔进行擦写，画板尺寸：600x765mm；画板边缘包边条采用环保塑料一次性无缝实心注塑，注塑深度6mm,画板四周注塑封边最大高度20mm,最小高度11.9mm,封边紧密贴合画板，圆滑有弹性无毛刺。每根方柱上方安装环保塑料的压扣件，配备梅花手拧螺杆、塑料托挂及不同高度的孔位，能拆卸/固定画板，能调整横竖方向，能调整画板高度。前后各配1个环保塑料笔槽盒，塑料盒尺寸：600x124x50mm，使用托板及环保塑料托架进行固定；顶部安装圆形不锈钢管，可拆卸，用以挂装常规画纸纸卷；柜体底部为2个收纳格，格子内空尺寸：373.5x398x255mm，底部安装4个高度为80mm的平底万向脚轮，脚轮运行平稳无声，可360°旋转，转动顺滑，刹车灵敏，踏板不易断裂。采用环保的水性木蜡油封边，成分天然，分子机构细小，成膜牢固，密封性好。采用环保的水性漆，全封闭涂装工艺，漆面光泽高透，颜色均匀。</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4"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椅子</w:t>
            </w:r>
          </w:p>
        </w:tc>
        <w:tc>
          <w:tcPr>
            <w:tcW w:w="3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r>
              <w:rPr>
                <w:rFonts w:hint="eastAsia" w:ascii="宋体" w:hAnsi="宋体" w:cs="宋体"/>
                <w:i w:val="0"/>
                <w:iCs w:val="0"/>
                <w:color w:val="000000"/>
                <w:kern w:val="0"/>
                <w:sz w:val="18"/>
                <w:szCs w:val="18"/>
                <w:highlight w:val="none"/>
                <w:u w:val="none"/>
                <w:lang w:val="en-US" w:eastAsia="zh-CN" w:bidi="ar"/>
              </w:rPr>
              <w:t>8</w:t>
            </w:r>
            <w:r>
              <w:rPr>
                <w:rFonts w:hint="eastAsia" w:ascii="宋体" w:hAnsi="宋体" w:eastAsia="宋体" w:cs="宋体"/>
                <w:i w:val="0"/>
                <w:iCs w:val="0"/>
                <w:color w:val="000000"/>
                <w:kern w:val="0"/>
                <w:sz w:val="18"/>
                <w:szCs w:val="18"/>
                <w:highlight w:val="none"/>
                <w:u w:val="none"/>
                <w:lang w:val="en-US" w:eastAsia="zh-CN" w:bidi="ar"/>
              </w:rPr>
              <w:t>、椅身采用全新聚丙烯加玻璃纤维，（设备及组件尺寸允许误差±5%）规格：由两个部分组成（座面、背壳），整椅胶背座深435mm,整椅胶背高度450mm，整椅胶背宽度455mm。两部件具有独立可拆卸功能.座面采用全新聚丙烯加玻璃纤维，总长470mm,座板宽455mm,厚度8mm，背部为六菱形设计，边宽分别由42mm、33mm,25mm,厚度分别为20mm,16mm.高310mm。扶手位置宽度为150mm，方便使用者手提搬运。背壳采用全新聚丙烯加玻璃纤维，总宽420mm,上部宽度310mm,下部宽度210mm,厚度6mm，背部内侧褶纹式设计，343个三角形印花组合而成的雪花状纹路，增强透气性和舒适性，有一定的按摩功能，背部外侧的上方是139个三角形印花组合而成的雪花状纹路，下方是由5条间隔15mm的钻石形状的图案组合而成的纹路，安装方式是卡扣加隐藏式螺丝。可拆卸活动式挂钩，可上下翻转90°。长度45mm，宽度42mm，厚度3mm，可以承重5KG。椅脚由直径16mm*1.5mm厚冷轧钢板制成，韧性和稳定性强；表面经酸洗、磷化等防锈处理，流水线静电喷涂，具有耐磨，防腐，抗老化等性能。脚垫：前脚垫：长：68.5mm 宽：22.5mm 高：65mm 厚度：2mm。后脚垫：长：72mm   宽：22mm   高：67mm 厚度：2mm。全新聚丙烯加玻璃纤维制作，抗磨损性强。采用配套的耐磨塑料材质，能使整椅稳定性更强，使用时不会翻倒；产品在堆叠时，可以保护产品不会碰伤；防滑性好，不会刮花木地板；</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b/>
                <w:bCs/>
                <w:i w:val="0"/>
                <w:iCs w:val="0"/>
                <w:color w:val="4472C4"/>
                <w:kern w:val="0"/>
                <w:sz w:val="18"/>
                <w:szCs w:val="18"/>
                <w:highlight w:val="none"/>
                <w:u w:val="none"/>
                <w:lang w:val="en-US" w:eastAsia="zh-CN" w:bidi="ar"/>
              </w:rPr>
              <w:t>▲4</w:t>
            </w:r>
            <w:r>
              <w:rPr>
                <w:rFonts w:hint="eastAsia" w:ascii="宋体" w:hAnsi="宋体" w:cs="宋体"/>
                <w:b/>
                <w:bCs/>
                <w:i w:val="0"/>
                <w:iCs w:val="0"/>
                <w:color w:val="4472C4"/>
                <w:kern w:val="0"/>
                <w:sz w:val="18"/>
                <w:szCs w:val="18"/>
                <w:highlight w:val="none"/>
                <w:u w:val="none"/>
                <w:lang w:val="en-US" w:eastAsia="zh-CN" w:bidi="ar"/>
              </w:rPr>
              <w:t>9</w:t>
            </w:r>
            <w:r>
              <w:rPr>
                <w:rFonts w:hint="eastAsia" w:ascii="宋体" w:hAnsi="宋体" w:eastAsia="宋体" w:cs="宋体"/>
                <w:b/>
                <w:bCs/>
                <w:i w:val="0"/>
                <w:iCs w:val="0"/>
                <w:color w:val="4472C4"/>
                <w:kern w:val="0"/>
                <w:sz w:val="18"/>
                <w:szCs w:val="18"/>
                <w:highlight w:val="none"/>
                <w:u w:val="none"/>
                <w:lang w:val="en-US" w:eastAsia="zh-CN" w:bidi="ar"/>
              </w:rPr>
              <w:t>、塑料板用料检验须依据 QB/T 4371-2012，金黄色葡萄球菌抑菌率≥99%，大肠杆菌抑菌率≥99%；五金架金属表面耐腐蚀，经过乙酸盐雾连续喷雾48小时，镀层本身的耐腐蚀等级10级，镀层对机体的保护等级10级。投标时提供由第三方检验检测机构出具并加盖（或带有）CMA标志的检验检测报告扫描件，原件备查；注：对应参数（检验检测项）在检验检测报告中进行标注；检验检测报告出具的时间应在本项目投标截止日前1年内；如检验检测报告中明确备注说明相关检验检测项不在检验检测机构CMA资质许可（认定）范围内的，不符合招标文件要求。</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定制柜1</w:t>
            </w:r>
          </w:p>
        </w:tc>
        <w:tc>
          <w:tcPr>
            <w:tcW w:w="3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50</w:t>
            </w:r>
            <w:r>
              <w:rPr>
                <w:rFonts w:hint="eastAsia" w:ascii="宋体" w:hAnsi="宋体" w:eastAsia="宋体" w:cs="宋体"/>
                <w:i w:val="0"/>
                <w:iCs w:val="0"/>
                <w:color w:val="000000"/>
                <w:kern w:val="0"/>
                <w:sz w:val="18"/>
                <w:szCs w:val="18"/>
                <w:highlight w:val="none"/>
                <w:u w:val="none"/>
                <w:lang w:val="en-US" w:eastAsia="zh-CN" w:bidi="ar"/>
              </w:rPr>
              <w:t>、（设备及组件尺寸允许误差±5%）尺寸:255*52*220cm,厚度：横、竖板18mm，背板9mm;采用浸渍胶膜纸饰面胶合板，柜体框架板材厚度18MM±1mm，背板板材厚度9MM±1mm。板件四周采用厚度1mmPVC材料封边处理。具体尺寸最终以现场实际为准。颜色：由用户选,功能区域包含:书包鞋区、挂衣区、直饮水区、杯水区、教师置物区;</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定制柜2</w:t>
            </w:r>
          </w:p>
        </w:tc>
        <w:tc>
          <w:tcPr>
            <w:tcW w:w="3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51</w:t>
            </w:r>
            <w:r>
              <w:rPr>
                <w:rFonts w:hint="eastAsia" w:ascii="宋体" w:hAnsi="宋体" w:eastAsia="宋体" w:cs="宋体"/>
                <w:i w:val="0"/>
                <w:iCs w:val="0"/>
                <w:color w:val="000000"/>
                <w:kern w:val="0"/>
                <w:sz w:val="18"/>
                <w:szCs w:val="18"/>
                <w:highlight w:val="none"/>
                <w:u w:val="none"/>
                <w:lang w:val="en-US" w:eastAsia="zh-CN" w:bidi="ar"/>
              </w:rPr>
              <w:t>、（设备及组件尺寸允许误差±5%）尺寸:255*37*220cm,厚度：横、竖板18mm，背板9mm;采用浸渍胶膜纸饰面胶合板，柜体框架板材厚度18MM±1mm，背板板材厚度9MM±1mm。板件四周采用厚度1mmPVC材料封边处理。具体尺寸最终以现场实际为准。颜色：由用户选,功能区域包含:书包鞋区、挂衣区、直饮水区、杯水区、教师置物区;</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定制柜3</w:t>
            </w:r>
          </w:p>
        </w:tc>
        <w:tc>
          <w:tcPr>
            <w:tcW w:w="3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r>
              <w:rPr>
                <w:rFonts w:hint="eastAsia" w:ascii="宋体" w:hAnsi="宋体" w:cs="宋体"/>
                <w:i w:val="0"/>
                <w:iCs w:val="0"/>
                <w:color w:val="000000"/>
                <w:kern w:val="0"/>
                <w:sz w:val="18"/>
                <w:szCs w:val="18"/>
                <w:highlight w:val="none"/>
                <w:u w:val="none"/>
                <w:lang w:val="en-US" w:eastAsia="zh-CN" w:bidi="ar"/>
              </w:rPr>
              <w:t>2</w:t>
            </w:r>
            <w:r>
              <w:rPr>
                <w:rFonts w:hint="eastAsia" w:ascii="宋体" w:hAnsi="宋体" w:eastAsia="宋体" w:cs="宋体"/>
                <w:i w:val="0"/>
                <w:iCs w:val="0"/>
                <w:color w:val="000000"/>
                <w:kern w:val="0"/>
                <w:sz w:val="18"/>
                <w:szCs w:val="18"/>
                <w:highlight w:val="none"/>
                <w:u w:val="none"/>
                <w:lang w:val="en-US" w:eastAsia="zh-CN" w:bidi="ar"/>
              </w:rPr>
              <w:t>、（设备及组件尺寸允许误差±5%）尺寸:350*27*220cm,厚度：横、竖板18mm，背板9mm;采用浸渍胶膜纸饰面胶合板，柜体框架板材厚度18MM±1mm，背板板材厚度9MM±1mm。板件四周采用厚度1mmPVC材料封边处理。具体尺寸最终以现场实际为准。颜色：由用户选,功能区域包含:书包鞋区、挂衣区、直饮水区、杯水区、教师置物区;</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定制柜4</w:t>
            </w:r>
          </w:p>
        </w:tc>
        <w:tc>
          <w:tcPr>
            <w:tcW w:w="3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r>
              <w:rPr>
                <w:rFonts w:hint="eastAsia" w:ascii="宋体" w:hAnsi="宋体" w:cs="宋体"/>
                <w:i w:val="0"/>
                <w:iCs w:val="0"/>
                <w:color w:val="000000"/>
                <w:kern w:val="0"/>
                <w:sz w:val="18"/>
                <w:szCs w:val="18"/>
                <w:highlight w:val="none"/>
                <w:u w:val="none"/>
                <w:lang w:val="en-US" w:eastAsia="zh-CN" w:bidi="ar"/>
              </w:rPr>
              <w:t>3</w:t>
            </w:r>
            <w:r>
              <w:rPr>
                <w:rFonts w:hint="eastAsia" w:ascii="宋体" w:hAnsi="宋体" w:eastAsia="宋体" w:cs="宋体"/>
                <w:i w:val="0"/>
                <w:iCs w:val="0"/>
                <w:color w:val="000000"/>
                <w:kern w:val="0"/>
                <w:sz w:val="18"/>
                <w:szCs w:val="18"/>
                <w:highlight w:val="none"/>
                <w:u w:val="none"/>
                <w:lang w:val="en-US" w:eastAsia="zh-CN" w:bidi="ar"/>
              </w:rPr>
              <w:t>、（设备及组件尺寸允许误差±5%）尺寸:310*27*220cm,厚度：横、竖板18mm，背板9mm;采用浸渍胶膜纸饰面胶合板，柜体框架板材厚度18MM±1mm，背板板材厚度9MM±1mm。板件四周采用厚度1mmPVC材料封边处理。具体尺寸最终以现场实际为准。颜色：由用户选.功能区域包含:书包鞋区、挂衣区、直饮水区、杯水区、教师置物区;</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棉被柜1</w:t>
            </w:r>
          </w:p>
        </w:tc>
        <w:tc>
          <w:tcPr>
            <w:tcW w:w="3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r>
              <w:rPr>
                <w:rFonts w:hint="eastAsia" w:ascii="宋体" w:hAnsi="宋体" w:cs="宋体"/>
                <w:i w:val="0"/>
                <w:iCs w:val="0"/>
                <w:color w:val="000000"/>
                <w:kern w:val="0"/>
                <w:sz w:val="18"/>
                <w:szCs w:val="18"/>
                <w:highlight w:val="none"/>
                <w:u w:val="none"/>
                <w:lang w:val="en-US" w:eastAsia="zh-CN" w:bidi="ar"/>
              </w:rPr>
              <w:t>4</w:t>
            </w:r>
            <w:r>
              <w:rPr>
                <w:rFonts w:hint="eastAsia" w:ascii="宋体" w:hAnsi="宋体" w:eastAsia="宋体" w:cs="宋体"/>
                <w:i w:val="0"/>
                <w:iCs w:val="0"/>
                <w:color w:val="000000"/>
                <w:kern w:val="0"/>
                <w:sz w:val="18"/>
                <w:szCs w:val="18"/>
                <w:highlight w:val="none"/>
                <w:u w:val="none"/>
                <w:lang w:val="en-US" w:eastAsia="zh-CN" w:bidi="ar"/>
              </w:rPr>
              <w:t>、（设备及组件尺寸允许误差±5%）尺寸:236*57*230cm,厚度：横、竖板18mm，背板9mm;采用浸渍胶膜纸饰面胶合板，柜体框架板材厚度18MM±1mm，背板板材厚度9MM±1mm。板件四周采用厚度1mmPVC材料封边处理。具体尺寸最终以现场实际为准。颜色：由用户选</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棉被柜2</w:t>
            </w:r>
          </w:p>
        </w:tc>
        <w:tc>
          <w:tcPr>
            <w:tcW w:w="3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r>
              <w:rPr>
                <w:rFonts w:hint="eastAsia" w:ascii="宋体" w:hAnsi="宋体" w:cs="宋体"/>
                <w:i w:val="0"/>
                <w:iCs w:val="0"/>
                <w:color w:val="000000"/>
                <w:kern w:val="0"/>
                <w:sz w:val="18"/>
                <w:szCs w:val="18"/>
                <w:highlight w:val="none"/>
                <w:u w:val="none"/>
                <w:lang w:val="en-US" w:eastAsia="zh-CN" w:bidi="ar"/>
              </w:rPr>
              <w:t>5</w:t>
            </w:r>
            <w:r>
              <w:rPr>
                <w:rFonts w:hint="eastAsia" w:ascii="宋体" w:hAnsi="宋体" w:eastAsia="宋体" w:cs="宋体"/>
                <w:i w:val="0"/>
                <w:iCs w:val="0"/>
                <w:color w:val="000000"/>
                <w:kern w:val="0"/>
                <w:sz w:val="18"/>
                <w:szCs w:val="18"/>
                <w:highlight w:val="none"/>
                <w:u w:val="none"/>
                <w:lang w:val="en-US" w:eastAsia="zh-CN" w:bidi="ar"/>
              </w:rPr>
              <w:t>、（设备及组件尺寸允许误差±5%）尺寸:242*57*82cm,厚度：横、竖板18mm，背板9mm;采用浸渍胶膜纸饰面胶合板，柜体框架板材厚度18MM±1mm，背板板材厚度9MM±1mm。板件四周采用厚度1mmPVC材料封边处理。具体尺寸最终以现场实际为准。颜色：由用户选</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棉被柜3</w:t>
            </w:r>
          </w:p>
        </w:tc>
        <w:tc>
          <w:tcPr>
            <w:tcW w:w="3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r>
              <w:rPr>
                <w:rFonts w:hint="eastAsia" w:ascii="宋体" w:hAnsi="宋体" w:cs="宋体"/>
                <w:i w:val="0"/>
                <w:iCs w:val="0"/>
                <w:color w:val="000000"/>
                <w:kern w:val="0"/>
                <w:sz w:val="18"/>
                <w:szCs w:val="18"/>
                <w:highlight w:val="none"/>
                <w:u w:val="none"/>
                <w:lang w:val="en-US" w:eastAsia="zh-CN" w:bidi="ar"/>
              </w:rPr>
              <w:t>6</w:t>
            </w:r>
            <w:r>
              <w:rPr>
                <w:rFonts w:hint="eastAsia" w:ascii="宋体" w:hAnsi="宋体" w:eastAsia="宋体" w:cs="宋体"/>
                <w:i w:val="0"/>
                <w:iCs w:val="0"/>
                <w:color w:val="000000"/>
                <w:kern w:val="0"/>
                <w:sz w:val="18"/>
                <w:szCs w:val="18"/>
                <w:highlight w:val="none"/>
                <w:u w:val="none"/>
                <w:lang w:val="en-US" w:eastAsia="zh-CN" w:bidi="ar"/>
              </w:rPr>
              <w:t>、（设备及组件尺寸允许误差±5%）尺寸:282*57*81cm,厚度：横、竖板18mm，背板9mm;采用浸渍胶膜纸饰面胶合板，柜体框架板材厚度18MM±1mm，背板板材厚度9MM±1mm。板件四周采用厚度1mmPVC材料封边处理。具体尺寸最终以现场实际为准。颜色：由用户选</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棉被柜4</w:t>
            </w:r>
          </w:p>
        </w:tc>
        <w:tc>
          <w:tcPr>
            <w:tcW w:w="3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r>
              <w:rPr>
                <w:rFonts w:hint="eastAsia" w:ascii="宋体" w:hAnsi="宋体" w:cs="宋体"/>
                <w:i w:val="0"/>
                <w:iCs w:val="0"/>
                <w:color w:val="000000"/>
                <w:kern w:val="0"/>
                <w:sz w:val="18"/>
                <w:szCs w:val="18"/>
                <w:highlight w:val="none"/>
                <w:u w:val="none"/>
                <w:lang w:val="en-US" w:eastAsia="zh-CN" w:bidi="ar"/>
              </w:rPr>
              <w:t>7</w:t>
            </w:r>
            <w:r>
              <w:rPr>
                <w:rFonts w:hint="eastAsia" w:ascii="宋体" w:hAnsi="宋体" w:eastAsia="宋体" w:cs="宋体"/>
                <w:i w:val="0"/>
                <w:iCs w:val="0"/>
                <w:color w:val="000000"/>
                <w:kern w:val="0"/>
                <w:sz w:val="18"/>
                <w:szCs w:val="18"/>
                <w:highlight w:val="none"/>
                <w:u w:val="none"/>
                <w:lang w:val="en-US" w:eastAsia="zh-CN" w:bidi="ar"/>
              </w:rPr>
              <w:t>、（设备及组件尺寸允许误差±5%）尺寸:189*57*81cm,厚度：横、竖板18mm，背板9mm;采用浸渍胶膜纸饰面胶合板，柜体框架板材厚度18MM±1mm，背板板材厚度9MM±1mm。板件四周采用厚度1mmPVC材料封边处理。具体尺寸最终以现场实际为准。颜色：由用户选</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晨谈柜</w:t>
            </w:r>
          </w:p>
        </w:tc>
        <w:tc>
          <w:tcPr>
            <w:tcW w:w="3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r>
              <w:rPr>
                <w:rFonts w:hint="eastAsia" w:ascii="宋体" w:hAnsi="宋体" w:cs="宋体"/>
                <w:i w:val="0"/>
                <w:iCs w:val="0"/>
                <w:color w:val="000000"/>
                <w:kern w:val="0"/>
                <w:sz w:val="18"/>
                <w:szCs w:val="18"/>
                <w:highlight w:val="none"/>
                <w:u w:val="none"/>
                <w:lang w:val="en-US" w:eastAsia="zh-CN" w:bidi="ar"/>
              </w:rPr>
              <w:t>8</w:t>
            </w:r>
            <w:r>
              <w:rPr>
                <w:rFonts w:hint="eastAsia" w:ascii="宋体" w:hAnsi="宋体" w:eastAsia="宋体" w:cs="宋体"/>
                <w:i w:val="0"/>
                <w:iCs w:val="0"/>
                <w:color w:val="000000"/>
                <w:kern w:val="0"/>
                <w:sz w:val="18"/>
                <w:szCs w:val="18"/>
                <w:highlight w:val="none"/>
                <w:u w:val="none"/>
                <w:lang w:val="en-US" w:eastAsia="zh-CN" w:bidi="ar"/>
              </w:rPr>
              <w:t>、（设备及组件尺寸允许误差±5%）尺寸:360*37*220cm,厚度：横、竖板18mm，背板9mm ;全部采用浸渍胶膜纸饰面胶合板，柜体框架板材厚度18MM±1mm，背板板材厚度9MM±1mm。板件四周采用厚度1mmPVC材料封边处理。具体尺寸最终以现场实际为准。颜色：由用户选,双轨静音门带磁.</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46</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午休床</w:t>
            </w:r>
          </w:p>
        </w:tc>
        <w:tc>
          <w:tcPr>
            <w:tcW w:w="3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r>
              <w:rPr>
                <w:rFonts w:hint="eastAsia" w:ascii="宋体" w:hAnsi="宋体" w:cs="宋体"/>
                <w:i w:val="0"/>
                <w:iCs w:val="0"/>
                <w:color w:val="000000"/>
                <w:kern w:val="0"/>
                <w:sz w:val="18"/>
                <w:szCs w:val="18"/>
                <w:highlight w:val="none"/>
                <w:u w:val="none"/>
                <w:lang w:val="en-US" w:eastAsia="zh-CN" w:bidi="ar"/>
              </w:rPr>
              <w:t>9</w:t>
            </w:r>
            <w:r>
              <w:rPr>
                <w:rFonts w:hint="eastAsia" w:ascii="宋体" w:hAnsi="宋体" w:eastAsia="宋体" w:cs="宋体"/>
                <w:i w:val="0"/>
                <w:iCs w:val="0"/>
                <w:color w:val="000000"/>
                <w:kern w:val="0"/>
                <w:sz w:val="18"/>
                <w:szCs w:val="18"/>
                <w:highlight w:val="none"/>
                <w:u w:val="none"/>
                <w:lang w:val="en-US" w:eastAsia="zh-CN" w:bidi="ar"/>
              </w:rPr>
              <w:t>、材质：橡胶木，（设备及组件尺寸允许误差±5%）尺寸：120X60X15cm（长x宽x高），整体用1.4CM±3%厚橡胶木指接板，底边用3.5X3.5CM±3%杉木方条，外露边角均为倒圆角，双面光滑结实四面无毛刺，漆料为环保家具专用水性漆，表面经过2底2面水性漆处理。打钉紧装结构（非三合一拆装）</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3"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47</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美术桌</w:t>
            </w:r>
          </w:p>
        </w:tc>
        <w:tc>
          <w:tcPr>
            <w:tcW w:w="3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60</w:t>
            </w:r>
            <w:r>
              <w:rPr>
                <w:rFonts w:hint="eastAsia" w:ascii="宋体" w:hAnsi="宋体" w:eastAsia="宋体" w:cs="宋体"/>
                <w:i w:val="0"/>
                <w:iCs w:val="0"/>
                <w:color w:val="000000"/>
                <w:kern w:val="0"/>
                <w:sz w:val="18"/>
                <w:szCs w:val="18"/>
                <w:highlight w:val="none"/>
                <w:u w:val="none"/>
                <w:lang w:val="en-US" w:eastAsia="zh-CN" w:bidi="ar"/>
              </w:rPr>
              <w:t>、材质：木制，（设备及组件尺寸允许误差±5%）尺寸：长180*宽90*高48cm，面板用1.4CM±3%厚橡胶木指接板，台脚采用橡木原木方，外露边角均为倒圆角，双面光滑结实四面无毛刺，漆料为环保家具专用水性漆，表面经过2底2面水性漆处理。打钉紧装结构（非三合一拆装）</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毛巾架</w:t>
            </w:r>
          </w:p>
        </w:tc>
        <w:tc>
          <w:tcPr>
            <w:tcW w:w="3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61</w:t>
            </w:r>
            <w:r>
              <w:rPr>
                <w:rFonts w:hint="eastAsia" w:ascii="宋体" w:hAnsi="宋体" w:eastAsia="宋体" w:cs="宋体"/>
                <w:i w:val="0"/>
                <w:iCs w:val="0"/>
                <w:color w:val="000000"/>
                <w:kern w:val="0"/>
                <w:sz w:val="18"/>
                <w:szCs w:val="18"/>
                <w:highlight w:val="none"/>
                <w:u w:val="none"/>
                <w:lang w:val="en-US" w:eastAsia="zh-CN" w:bidi="ar"/>
              </w:rPr>
              <w:t>、材质：木制，（设备及组件尺寸允许误差±5%）尺寸：挂钩长5cm，间距15cm一个挂钩，根据小班、中班、大班进行设计配置</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木制小沙发</w:t>
            </w:r>
          </w:p>
        </w:tc>
        <w:tc>
          <w:tcPr>
            <w:tcW w:w="3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r>
              <w:rPr>
                <w:rFonts w:hint="eastAsia" w:ascii="宋体" w:hAnsi="宋体" w:cs="宋体"/>
                <w:i w:val="0"/>
                <w:iCs w:val="0"/>
                <w:color w:val="000000"/>
                <w:kern w:val="0"/>
                <w:sz w:val="18"/>
                <w:szCs w:val="18"/>
                <w:highlight w:val="none"/>
                <w:u w:val="none"/>
                <w:lang w:val="en-US" w:eastAsia="zh-CN" w:bidi="ar"/>
              </w:rPr>
              <w:t>2</w:t>
            </w:r>
            <w:r>
              <w:rPr>
                <w:rFonts w:hint="eastAsia" w:ascii="宋体" w:hAnsi="宋体" w:eastAsia="宋体" w:cs="宋体"/>
                <w:i w:val="0"/>
                <w:iCs w:val="0"/>
                <w:color w:val="000000"/>
                <w:kern w:val="0"/>
                <w:sz w:val="18"/>
                <w:szCs w:val="18"/>
                <w:highlight w:val="none"/>
                <w:u w:val="none"/>
                <w:lang w:val="en-US" w:eastAsia="zh-CN" w:bidi="ar"/>
              </w:rPr>
              <w:t>、材质:木、布艺，（设备及组件尺寸允许误差±5%）尺寸:40*42.5*43cm</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木制双人小沙发</w:t>
            </w:r>
          </w:p>
        </w:tc>
        <w:tc>
          <w:tcPr>
            <w:tcW w:w="3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r>
              <w:rPr>
                <w:rFonts w:hint="eastAsia" w:ascii="宋体" w:hAnsi="宋体" w:cs="宋体"/>
                <w:i w:val="0"/>
                <w:iCs w:val="0"/>
                <w:color w:val="000000"/>
                <w:kern w:val="0"/>
                <w:sz w:val="18"/>
                <w:szCs w:val="18"/>
                <w:highlight w:val="none"/>
                <w:u w:val="none"/>
                <w:lang w:val="en-US" w:eastAsia="zh-CN" w:bidi="ar"/>
              </w:rPr>
              <w:t>3</w:t>
            </w:r>
            <w:r>
              <w:rPr>
                <w:rFonts w:hint="eastAsia" w:ascii="宋体" w:hAnsi="宋体" w:eastAsia="宋体" w:cs="宋体"/>
                <w:i w:val="0"/>
                <w:iCs w:val="0"/>
                <w:color w:val="000000"/>
                <w:kern w:val="0"/>
                <w:sz w:val="18"/>
                <w:szCs w:val="18"/>
                <w:highlight w:val="none"/>
                <w:u w:val="none"/>
                <w:lang w:val="en-US" w:eastAsia="zh-CN" w:bidi="ar"/>
              </w:rPr>
              <w:t>、材质:木、布艺，（设备及组件尺寸允许误差±5%）尺寸:70*40*43cm</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单人小沙发</w:t>
            </w:r>
          </w:p>
        </w:tc>
        <w:tc>
          <w:tcPr>
            <w:tcW w:w="3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r>
              <w:rPr>
                <w:rFonts w:hint="eastAsia" w:ascii="宋体" w:hAnsi="宋体" w:cs="宋体"/>
                <w:i w:val="0"/>
                <w:iCs w:val="0"/>
                <w:color w:val="000000"/>
                <w:kern w:val="0"/>
                <w:sz w:val="18"/>
                <w:szCs w:val="18"/>
                <w:highlight w:val="none"/>
                <w:u w:val="none"/>
                <w:lang w:val="en-US" w:eastAsia="zh-CN" w:bidi="ar"/>
              </w:rPr>
              <w:t>4</w:t>
            </w:r>
            <w:r>
              <w:rPr>
                <w:rFonts w:hint="eastAsia" w:ascii="宋体" w:hAnsi="宋体" w:eastAsia="宋体" w:cs="宋体"/>
                <w:i w:val="0"/>
                <w:iCs w:val="0"/>
                <w:color w:val="000000"/>
                <w:kern w:val="0"/>
                <w:sz w:val="18"/>
                <w:szCs w:val="18"/>
                <w:highlight w:val="none"/>
                <w:u w:val="none"/>
                <w:lang w:val="en-US" w:eastAsia="zh-CN" w:bidi="ar"/>
              </w:rPr>
              <w:t>、主要材质:布艺、海绵，（设备及组件尺寸允许误差±5%）尺寸:52*50*52cm</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双人小沙发</w:t>
            </w:r>
          </w:p>
        </w:tc>
        <w:tc>
          <w:tcPr>
            <w:tcW w:w="3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r>
              <w:rPr>
                <w:rFonts w:hint="eastAsia" w:ascii="宋体" w:hAnsi="宋体" w:cs="宋体"/>
                <w:i w:val="0"/>
                <w:iCs w:val="0"/>
                <w:color w:val="000000"/>
                <w:kern w:val="0"/>
                <w:sz w:val="18"/>
                <w:szCs w:val="18"/>
                <w:highlight w:val="none"/>
                <w:u w:val="none"/>
                <w:lang w:val="en-US" w:eastAsia="zh-CN" w:bidi="ar"/>
              </w:rPr>
              <w:t>5</w:t>
            </w:r>
            <w:r>
              <w:rPr>
                <w:rFonts w:hint="eastAsia" w:ascii="宋体" w:hAnsi="宋体" w:eastAsia="宋体" w:cs="宋体"/>
                <w:i w:val="0"/>
                <w:iCs w:val="0"/>
                <w:color w:val="000000"/>
                <w:kern w:val="0"/>
                <w:sz w:val="18"/>
                <w:szCs w:val="18"/>
                <w:highlight w:val="none"/>
                <w:u w:val="none"/>
                <w:lang w:val="en-US" w:eastAsia="zh-CN" w:bidi="ar"/>
              </w:rPr>
              <w:t>、主要材质:布艺、海绵，（设备及组件尺寸允许误差±5%）尺寸:95*50*52cm</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r>
    </w:tbl>
    <w:p>
      <w:pPr>
        <w:pStyle w:val="4"/>
        <w:keepNext/>
        <w:keepLines/>
        <w:pageBreakBefore w:val="0"/>
        <w:widowControl w:val="0"/>
        <w:kinsoku/>
        <w:wordWrap/>
        <w:overflowPunct/>
        <w:topLinePunct w:val="0"/>
        <w:autoSpaceDE/>
        <w:autoSpaceDN/>
        <w:bidi w:val="0"/>
        <w:adjustRightInd/>
        <w:snapToGrid/>
        <w:spacing w:before="120" w:beforeLines="50" w:after="120" w:afterLines="50" w:line="416" w:lineRule="auto"/>
        <w:jc w:val="center"/>
        <w:textAlignment w:val="auto"/>
        <w:outlineLvl w:val="2"/>
        <w:rPr>
          <w:sz w:val="28"/>
          <w:szCs w:val="28"/>
          <w:highlight w:val="none"/>
        </w:rPr>
      </w:pPr>
      <w:r>
        <w:rPr>
          <w:rFonts w:ascii="宋体" w:hAnsi="宋体" w:eastAsia="黑体" w:cs="Times New Roman"/>
          <w:bCs/>
          <w:kern w:val="44"/>
          <w:sz w:val="28"/>
          <w:szCs w:val="44"/>
          <w:highlight w:val="none"/>
        </w:rPr>
        <w:br w:type="page"/>
      </w:r>
      <w:r>
        <w:rPr>
          <w:rFonts w:hint="eastAsia"/>
          <w:sz w:val="28"/>
          <w:szCs w:val="28"/>
          <w:highlight w:val="none"/>
          <w:lang w:val="en-US" w:eastAsia="zh-CN"/>
        </w:rPr>
        <w:t>六</w:t>
      </w:r>
      <w:r>
        <w:rPr>
          <w:rFonts w:hint="eastAsia"/>
          <w:sz w:val="28"/>
          <w:szCs w:val="28"/>
          <w:highlight w:val="none"/>
        </w:rPr>
        <w:t>、其他重要条款</w:t>
      </w:r>
    </w:p>
    <w:p>
      <w:pPr>
        <w:ind w:firstLine="420" w:firstLineChars="200"/>
        <w:rPr>
          <w:rFonts w:hint="eastAsia"/>
          <w:bCs/>
          <w:szCs w:val="21"/>
          <w:highlight w:val="none"/>
        </w:rPr>
      </w:pPr>
      <w:r>
        <w:rPr>
          <w:rFonts w:hint="eastAsia"/>
          <w:bCs/>
          <w:szCs w:val="21"/>
          <w:highlight w:val="none"/>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ind w:firstLine="420" w:firstLineChars="200"/>
        <w:rPr>
          <w:rFonts w:hint="eastAsia"/>
          <w:bCs/>
          <w:szCs w:val="21"/>
          <w:highlight w:val="none"/>
        </w:rPr>
      </w:pPr>
      <w:r>
        <w:rPr>
          <w:rFonts w:hint="eastAsia"/>
          <w:bCs/>
          <w:szCs w:val="21"/>
          <w:highlight w:val="none"/>
        </w:rPr>
        <w:t>2、投标人应充分了解项目的位置、情况、道路及任何其它足以影响投标报价的情况，任何因忽视或误解项目情况而导致的索赔或服务期限延长申请将不获批准。</w:t>
      </w:r>
    </w:p>
    <w:p>
      <w:pPr>
        <w:ind w:firstLine="420" w:firstLineChars="200"/>
        <w:rPr>
          <w:rFonts w:hint="eastAsia"/>
          <w:bCs/>
          <w:szCs w:val="21"/>
          <w:highlight w:val="none"/>
        </w:rPr>
      </w:pPr>
      <w:r>
        <w:rPr>
          <w:rFonts w:hint="eastAsia"/>
          <w:bCs/>
          <w:szCs w:val="21"/>
          <w:highlight w:val="none"/>
        </w:rPr>
        <w:t>3、投标人不得期望通过索赔等方式获取补偿，否则，除可能遭到拒绝外，还可能将被作为不良行为记录在案，并可能影响其以后参加政府采购的项目投标。各投标人在投标报价时，应充分考虑投标报价的风险。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rFonts w:hint="eastAsia"/>
          <w:bCs/>
          <w:szCs w:val="21"/>
          <w:highlight w:val="none"/>
        </w:rPr>
      </w:pPr>
      <w:r>
        <w:rPr>
          <w:rFonts w:hint="eastAsia"/>
          <w:bCs/>
          <w:szCs w:val="21"/>
          <w:highlight w:val="none"/>
        </w:rPr>
        <w:t>4、除政府采购合同继续履行将损害国家利益和社会公共利益外，双方当事人不得擅自变更、中止或者终止合同。</w:t>
      </w:r>
    </w:p>
    <w:p>
      <w:pPr>
        <w:ind w:firstLine="420" w:firstLineChars="200"/>
        <w:rPr>
          <w:rFonts w:hint="eastAsia"/>
          <w:bCs/>
          <w:szCs w:val="21"/>
          <w:highlight w:val="none"/>
        </w:rPr>
      </w:pPr>
      <w:r>
        <w:rPr>
          <w:rFonts w:hint="eastAsia"/>
          <w:bCs/>
          <w:szCs w:val="21"/>
          <w:highlight w:val="none"/>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pPr>
        <w:ind w:firstLine="420" w:firstLineChars="200"/>
        <w:rPr>
          <w:rFonts w:hint="eastAsia"/>
          <w:bCs/>
          <w:szCs w:val="21"/>
          <w:highlight w:val="none"/>
        </w:rPr>
      </w:pPr>
    </w:p>
    <w:p>
      <w:pPr>
        <w:ind w:firstLine="420" w:firstLineChars="200"/>
        <w:rPr>
          <w:rFonts w:hint="eastAsia"/>
          <w:bCs/>
          <w:szCs w:val="21"/>
          <w:highlight w:val="none"/>
        </w:rPr>
      </w:pPr>
    </w:p>
    <w:p>
      <w:pPr>
        <w:ind w:firstLine="420" w:firstLineChars="200"/>
        <w:rPr>
          <w:rFonts w:hint="eastAsia"/>
          <w:bCs/>
          <w:szCs w:val="21"/>
          <w:highlight w:val="none"/>
        </w:rPr>
      </w:pPr>
    </w:p>
    <w:p>
      <w:pPr>
        <w:widowControl/>
        <w:jc w:val="left"/>
        <w:rPr>
          <w:rFonts w:ascii="宋体" w:hAnsi="宋体" w:eastAsia="黑体" w:cs="Times New Roman"/>
          <w:bCs/>
          <w:kern w:val="44"/>
          <w:sz w:val="28"/>
          <w:szCs w:val="44"/>
          <w:highlight w:val="none"/>
        </w:rPr>
      </w:pPr>
    </w:p>
    <w:p>
      <w:pPr>
        <w:rPr>
          <w:rFonts w:hint="eastAsia" w:ascii="宋体" w:hAnsi="宋体" w:eastAsia="宋体" w:cs="Times New Roman"/>
          <w:b/>
          <w:bCs/>
          <w:kern w:val="0"/>
          <w:sz w:val="28"/>
          <w:szCs w:val="28"/>
          <w:highlight w:val="none"/>
        </w:rPr>
      </w:pPr>
      <w:r>
        <w:rPr>
          <w:rFonts w:hint="eastAsia" w:ascii="宋体" w:hAnsi="宋体" w:eastAsia="宋体" w:cs="Times New Roman"/>
          <w:b/>
          <w:bCs/>
          <w:kern w:val="0"/>
          <w:sz w:val="28"/>
          <w:szCs w:val="28"/>
          <w:highlight w:val="none"/>
        </w:rPr>
        <w:br w:type="page"/>
      </w:r>
    </w:p>
    <w:p>
      <w:pPr>
        <w:keepNext/>
        <w:keepLines/>
        <w:pageBreakBefore w:val="0"/>
        <w:kinsoku/>
        <w:wordWrap/>
        <w:overflowPunct/>
        <w:topLinePunct w:val="0"/>
        <w:autoSpaceDE/>
        <w:autoSpaceDN/>
        <w:bidi w:val="0"/>
        <w:adjustRightInd w:val="0"/>
        <w:spacing w:line="320" w:lineRule="atLeast"/>
        <w:jc w:val="center"/>
        <w:textAlignment w:val="baseline"/>
        <w:outlineLvl w:val="1"/>
        <w:rPr>
          <w:rFonts w:ascii="宋体" w:hAnsi="宋体" w:eastAsia="宋体" w:cs="Times New Roman"/>
          <w:b/>
          <w:bCs/>
          <w:kern w:val="0"/>
          <w:sz w:val="28"/>
          <w:szCs w:val="28"/>
          <w:highlight w:val="none"/>
        </w:rPr>
      </w:pPr>
      <w:r>
        <w:rPr>
          <w:rFonts w:hint="eastAsia" w:ascii="宋体" w:hAnsi="宋体" w:eastAsia="宋体" w:cs="Times New Roman"/>
          <w:b/>
          <w:bCs/>
          <w:kern w:val="0"/>
          <w:sz w:val="28"/>
          <w:szCs w:val="28"/>
          <w:highlight w:val="none"/>
        </w:rPr>
        <w:t>第四章</w:t>
      </w:r>
      <w:r>
        <w:rPr>
          <w:rFonts w:ascii="宋体" w:hAnsi="宋体" w:eastAsia="宋体" w:cs="Times New Roman"/>
          <w:b/>
          <w:bCs/>
          <w:kern w:val="0"/>
          <w:sz w:val="28"/>
          <w:szCs w:val="28"/>
          <w:highlight w:val="none"/>
        </w:rPr>
        <w:t xml:space="preserve"> </w:t>
      </w:r>
      <w:r>
        <w:rPr>
          <w:rFonts w:hint="eastAsia" w:ascii="宋体" w:hAnsi="宋体" w:eastAsia="宋体" w:cs="Times New Roman"/>
          <w:b/>
          <w:bCs/>
          <w:kern w:val="0"/>
          <w:sz w:val="28"/>
          <w:szCs w:val="28"/>
          <w:highlight w:val="none"/>
        </w:rPr>
        <w:t xml:space="preserve"> 投标文件组成要求及格式</w:t>
      </w:r>
    </w:p>
    <w:p>
      <w:pPr>
        <w:keepNext w:val="0"/>
        <w:keepLines w:val="0"/>
        <w:pageBreakBefore w:val="0"/>
        <w:widowControl w:val="0"/>
        <w:kinsoku/>
        <w:wordWrap/>
        <w:overflowPunct/>
        <w:topLinePunct w:val="0"/>
        <w:autoSpaceDE/>
        <w:autoSpaceDN/>
        <w:bidi w:val="0"/>
        <w:adjustRightInd/>
        <w:spacing w:line="320" w:lineRule="atLeast"/>
        <w:textAlignment w:val="auto"/>
        <w:outlineLvl w:val="2"/>
        <w:rPr>
          <w:rFonts w:hint="eastAsia" w:ascii="宋体" w:hAnsi="宋体" w:eastAsia="宋体" w:cs="宋体"/>
          <w:b/>
          <w:bCs/>
          <w:color w:val="FF0000"/>
          <w:sz w:val="24"/>
          <w:szCs w:val="24"/>
          <w:highlight w:val="none"/>
        </w:rPr>
      </w:pPr>
      <w:r>
        <w:rPr>
          <w:rFonts w:hint="eastAsia" w:ascii="宋体" w:hAnsi="宋体" w:eastAsia="宋体" w:cs="宋体"/>
          <w:b/>
          <w:bCs/>
          <w:color w:val="FF0000"/>
          <w:sz w:val="24"/>
          <w:szCs w:val="24"/>
          <w:highlight w:val="none"/>
        </w:rPr>
        <w:t>特别提醒：</w:t>
      </w:r>
    </w:p>
    <w:p>
      <w:pPr>
        <w:keepNext w:val="0"/>
        <w:keepLines w:val="0"/>
        <w:pageBreakBefore w:val="0"/>
        <w:widowControl w:val="0"/>
        <w:tabs>
          <w:tab w:val="left" w:pos="1470"/>
        </w:tabs>
        <w:kinsoku/>
        <w:wordWrap/>
        <w:overflowPunct/>
        <w:topLinePunct w:val="0"/>
        <w:autoSpaceDE/>
        <w:autoSpaceDN/>
        <w:bidi w:val="0"/>
        <w:adjustRightInd/>
        <w:snapToGrid w:val="0"/>
        <w:spacing w:line="320" w:lineRule="atLeast"/>
        <w:ind w:firstLine="482" w:firstLineChars="200"/>
        <w:textAlignment w:val="auto"/>
        <w:rPr>
          <w:rFonts w:hint="eastAsia" w:ascii="宋体" w:hAnsi="宋体" w:eastAsia="宋体" w:cs="宋体"/>
          <w:b/>
          <w:color w:val="FF0000"/>
          <w:sz w:val="24"/>
          <w:szCs w:val="24"/>
          <w:highlight w:val="none"/>
        </w:rPr>
      </w:pPr>
      <w:r>
        <w:rPr>
          <w:rFonts w:hint="eastAsia" w:ascii="宋体" w:hAnsi="宋体" w:eastAsia="宋体" w:cs="宋体"/>
          <w:b/>
          <w:color w:val="FF0000"/>
          <w:sz w:val="24"/>
          <w:szCs w:val="24"/>
          <w:highlight w:val="none"/>
          <w:lang w:val="en-US" w:eastAsia="zh-CN"/>
        </w:rPr>
        <w:t>1、</w:t>
      </w:r>
      <w:r>
        <w:rPr>
          <w:rFonts w:hint="eastAsia" w:ascii="宋体" w:hAnsi="宋体" w:eastAsia="宋体" w:cs="宋体"/>
          <w:b/>
          <w:color w:val="FF0000"/>
          <w:sz w:val="24"/>
          <w:szCs w:val="24"/>
          <w:highlight w:val="none"/>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pPr>
        <w:keepNext w:val="0"/>
        <w:keepLines w:val="0"/>
        <w:pageBreakBefore w:val="0"/>
        <w:widowControl w:val="0"/>
        <w:tabs>
          <w:tab w:val="left" w:pos="1470"/>
        </w:tabs>
        <w:kinsoku/>
        <w:wordWrap/>
        <w:overflowPunct/>
        <w:topLinePunct w:val="0"/>
        <w:autoSpaceDE/>
        <w:autoSpaceDN/>
        <w:bidi w:val="0"/>
        <w:adjustRightInd/>
        <w:snapToGrid w:val="0"/>
        <w:spacing w:line="320" w:lineRule="atLeast"/>
        <w:ind w:firstLine="482" w:firstLineChars="200"/>
        <w:textAlignment w:val="auto"/>
        <w:rPr>
          <w:rFonts w:hint="eastAsia" w:ascii="宋体" w:hAnsi="宋体" w:eastAsia="宋体" w:cs="宋体"/>
          <w:b/>
          <w:bCs/>
          <w:color w:val="FF0000"/>
          <w:sz w:val="24"/>
          <w:szCs w:val="24"/>
          <w:highlight w:val="none"/>
        </w:rPr>
      </w:pPr>
      <w:r>
        <w:rPr>
          <w:rFonts w:hint="eastAsia" w:ascii="宋体" w:hAnsi="宋体" w:eastAsia="宋体" w:cs="宋体"/>
          <w:b/>
          <w:color w:val="FF0000"/>
          <w:sz w:val="24"/>
          <w:szCs w:val="24"/>
          <w:highlight w:val="none"/>
          <w:lang w:val="en-US" w:eastAsia="zh-CN"/>
        </w:rPr>
        <w:t>2、</w:t>
      </w:r>
      <w:r>
        <w:rPr>
          <w:rFonts w:hint="eastAsia" w:ascii="宋体" w:hAnsi="宋体" w:eastAsia="宋体" w:cs="宋体"/>
          <w:b/>
          <w:color w:val="FF0000"/>
          <w:sz w:val="24"/>
          <w:szCs w:val="24"/>
          <w:highlight w:val="none"/>
        </w:rPr>
        <w:t>投标文件正文（信息公开部分）必须编制于“正文（公开部分）”部分，投标文件附件（非信息公开部分）必须编制于“附件（不公开部分）”部分。</w:t>
      </w:r>
    </w:p>
    <w:p>
      <w:pPr>
        <w:keepNext w:val="0"/>
        <w:keepLines w:val="0"/>
        <w:pageBreakBefore w:val="0"/>
        <w:widowControl w:val="0"/>
        <w:tabs>
          <w:tab w:val="left" w:pos="1470"/>
        </w:tabs>
        <w:kinsoku/>
        <w:wordWrap/>
        <w:overflowPunct/>
        <w:topLinePunct w:val="0"/>
        <w:autoSpaceDE/>
        <w:autoSpaceDN/>
        <w:bidi w:val="0"/>
        <w:adjustRightInd/>
        <w:snapToGrid w:val="0"/>
        <w:spacing w:line="320" w:lineRule="atLeast"/>
        <w:textAlignment w:val="auto"/>
        <w:rPr>
          <w:rFonts w:hint="eastAsia" w:ascii="宋体" w:hAnsi="宋体" w:eastAsia="宋体" w:cs="宋体"/>
          <w:b/>
          <w:color w:val="FF0000"/>
          <w:sz w:val="24"/>
          <w:szCs w:val="24"/>
          <w:highlight w:val="none"/>
        </w:rPr>
      </w:pPr>
      <w:bookmarkStart w:id="15" w:name="_Hlk72257167"/>
      <w:r>
        <w:rPr>
          <w:rFonts w:hint="eastAsia" w:ascii="宋体" w:hAnsi="宋体" w:eastAsia="宋体" w:cs="宋体"/>
          <w:b/>
          <w:color w:val="FF0000"/>
          <w:sz w:val="24"/>
          <w:szCs w:val="24"/>
          <w:highlight w:val="none"/>
          <w:lang w:val="en-US" w:eastAsia="zh-CN"/>
        </w:rPr>
        <w:t>3、</w:t>
      </w:r>
      <w:r>
        <w:rPr>
          <w:rFonts w:hint="eastAsia" w:ascii="宋体" w:hAnsi="宋体" w:eastAsia="宋体" w:cs="宋体"/>
          <w:b/>
          <w:color w:val="FF0000"/>
          <w:sz w:val="24"/>
          <w:szCs w:val="24"/>
          <w:highlight w:val="none"/>
        </w:rPr>
        <w:t>政府集中采购机构公布投标文件正文（信息公开部分）时，如投标人误将涉及个人隐私的信息放入投标文件正文，相关后果由投标人自负；如投标人将必须放于投标文件正文（信息公开部分）的内容放入投标文件附件（非信息公开部分），将作投标无效处理。</w:t>
      </w:r>
    </w:p>
    <w:p>
      <w:pPr>
        <w:pStyle w:val="9"/>
        <w:rPr>
          <w:rFonts w:hint="eastAsia"/>
          <w:highlight w:val="none"/>
        </w:rPr>
      </w:pPr>
    </w:p>
    <w:bookmarkEnd w:id="15"/>
    <w:p>
      <w:pPr>
        <w:pageBreakBefore w:val="0"/>
        <w:widowControl/>
        <w:kinsoku/>
        <w:wordWrap/>
        <w:overflowPunct/>
        <w:topLinePunct w:val="0"/>
        <w:autoSpaceDE/>
        <w:autoSpaceDN/>
        <w:bidi w:val="0"/>
        <w:spacing w:line="320" w:lineRule="atLeast"/>
        <w:jc w:val="left"/>
        <w:outlineLvl w:val="2"/>
        <w:rPr>
          <w:rFonts w:ascii="宋体" w:hAnsi="宋体" w:eastAsia="黑体" w:cs="Times New Roman"/>
          <w:bCs/>
          <w:kern w:val="44"/>
          <w:sz w:val="24"/>
          <w:szCs w:val="24"/>
          <w:highlight w:val="none"/>
        </w:rPr>
      </w:pPr>
      <w:r>
        <w:rPr>
          <w:rFonts w:hint="eastAsia" w:ascii="宋体" w:hAnsi="宋体" w:eastAsia="黑体" w:cs="Times New Roman"/>
          <w:bCs/>
          <w:kern w:val="44"/>
          <w:sz w:val="24"/>
          <w:szCs w:val="24"/>
          <w:highlight w:val="none"/>
        </w:rPr>
        <w:t>投标文件组成：</w:t>
      </w:r>
    </w:p>
    <w:p>
      <w:pPr>
        <w:pageBreakBefore w:val="0"/>
        <w:kinsoku/>
        <w:wordWrap/>
        <w:overflowPunct/>
        <w:topLinePunct w:val="0"/>
        <w:autoSpaceDE/>
        <w:autoSpaceDN/>
        <w:bidi w:val="0"/>
        <w:snapToGrid w:val="0"/>
        <w:spacing w:line="320" w:lineRule="atLeast"/>
        <w:rPr>
          <w:rFonts w:ascii="Arial" w:hAnsi="Arial" w:eastAsia="宋体" w:cs="Arial"/>
          <w:b/>
          <w:color w:val="FF0000"/>
          <w:sz w:val="24"/>
          <w:szCs w:val="24"/>
          <w:highlight w:val="none"/>
        </w:rPr>
      </w:pPr>
      <w:r>
        <w:rPr>
          <w:rFonts w:hint="eastAsia" w:ascii="宋体" w:hAnsi="宋体" w:eastAsia="宋体" w:cs="宋体"/>
          <w:b/>
          <w:color w:val="FF0000"/>
          <w:kern w:val="0"/>
          <w:sz w:val="24"/>
          <w:szCs w:val="24"/>
          <w:highlight w:val="none"/>
        </w:rPr>
        <w:t>投标文件正文（信息公开部分）：</w:t>
      </w:r>
    </w:p>
    <w:p>
      <w:pPr>
        <w:pageBreakBefore w:val="0"/>
        <w:numPr>
          <w:ilvl w:val="0"/>
          <w:numId w:val="2"/>
        </w:numPr>
        <w:kinsoku/>
        <w:wordWrap/>
        <w:overflowPunct/>
        <w:topLinePunct w:val="0"/>
        <w:autoSpaceDE/>
        <w:autoSpaceDN/>
        <w:bidi w:val="0"/>
        <w:snapToGrid w:val="0"/>
        <w:spacing w:line="320" w:lineRule="atLeast"/>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投标函；</w:t>
      </w:r>
    </w:p>
    <w:p>
      <w:pPr>
        <w:pageBreakBefore w:val="0"/>
        <w:numPr>
          <w:ilvl w:val="0"/>
          <w:numId w:val="2"/>
        </w:numPr>
        <w:kinsoku/>
        <w:wordWrap/>
        <w:overflowPunct/>
        <w:topLinePunct w:val="0"/>
        <w:autoSpaceDE/>
        <w:autoSpaceDN/>
        <w:bidi w:val="0"/>
        <w:snapToGrid w:val="0"/>
        <w:spacing w:line="320" w:lineRule="atLeast"/>
        <w:jc w:val="left"/>
        <w:rPr>
          <w:rFonts w:ascii="宋体" w:hAnsi="宋体" w:eastAsia="宋体" w:cs="Times New Roman"/>
          <w:sz w:val="24"/>
          <w:szCs w:val="24"/>
          <w:highlight w:val="none"/>
        </w:rPr>
      </w:pPr>
      <w:bookmarkStart w:id="16" w:name="_Hlk72062521"/>
      <w:r>
        <w:rPr>
          <w:rFonts w:hint="eastAsia" w:ascii="宋体" w:hAnsi="宋体" w:eastAsia="宋体" w:cs="Times New Roman"/>
          <w:sz w:val="24"/>
          <w:szCs w:val="24"/>
          <w:highlight w:val="none"/>
        </w:rPr>
        <w:t>政府采购投标及履约承诺函</w:t>
      </w:r>
      <w:bookmarkEnd w:id="16"/>
      <w:r>
        <w:rPr>
          <w:rFonts w:hint="eastAsia" w:ascii="宋体" w:hAnsi="宋体" w:eastAsia="宋体" w:cs="Times New Roman"/>
          <w:sz w:val="24"/>
          <w:szCs w:val="24"/>
          <w:highlight w:val="none"/>
        </w:rPr>
        <w:t>；</w:t>
      </w:r>
    </w:p>
    <w:p>
      <w:pPr>
        <w:pageBreakBefore w:val="0"/>
        <w:numPr>
          <w:ilvl w:val="0"/>
          <w:numId w:val="2"/>
        </w:numPr>
        <w:kinsoku/>
        <w:wordWrap/>
        <w:overflowPunct/>
        <w:topLinePunct w:val="0"/>
        <w:autoSpaceDE/>
        <w:autoSpaceDN/>
        <w:bidi w:val="0"/>
        <w:snapToGrid w:val="0"/>
        <w:spacing w:line="320" w:lineRule="atLeast"/>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投标人情况及资格证明文件；</w:t>
      </w:r>
    </w:p>
    <w:p>
      <w:pPr>
        <w:pageBreakBefore w:val="0"/>
        <w:numPr>
          <w:ilvl w:val="0"/>
          <w:numId w:val="2"/>
        </w:numPr>
        <w:kinsoku/>
        <w:wordWrap/>
        <w:overflowPunct/>
        <w:topLinePunct w:val="0"/>
        <w:autoSpaceDE/>
        <w:autoSpaceDN/>
        <w:bidi w:val="0"/>
        <w:snapToGrid w:val="0"/>
        <w:spacing w:line="320" w:lineRule="atLeast"/>
        <w:ind w:left="1456"/>
        <w:rPr>
          <w:rFonts w:ascii="宋体" w:hAnsi="宋体" w:eastAsia="宋体" w:cs="Times New Roman"/>
          <w:sz w:val="24"/>
          <w:szCs w:val="24"/>
          <w:highlight w:val="none"/>
        </w:rPr>
      </w:pPr>
      <w:r>
        <w:rPr>
          <w:rFonts w:hint="eastAsia" w:ascii="宋体" w:hAnsi="宋体" w:eastAsia="宋体" w:cs="Times New Roman"/>
          <w:bCs/>
          <w:sz w:val="24"/>
          <w:szCs w:val="24"/>
          <w:highlight w:val="none"/>
        </w:rPr>
        <w:t>分项报价清单；</w:t>
      </w:r>
    </w:p>
    <w:p>
      <w:pPr>
        <w:pageBreakBefore w:val="0"/>
        <w:numPr>
          <w:ilvl w:val="0"/>
          <w:numId w:val="2"/>
        </w:numPr>
        <w:kinsoku/>
        <w:wordWrap/>
        <w:overflowPunct/>
        <w:topLinePunct w:val="0"/>
        <w:autoSpaceDE/>
        <w:autoSpaceDN/>
        <w:bidi w:val="0"/>
        <w:snapToGrid w:val="0"/>
        <w:spacing w:line="320" w:lineRule="atLeast"/>
        <w:ind w:left="1456"/>
        <w:rPr>
          <w:rFonts w:ascii="宋体" w:hAnsi="宋体" w:eastAsia="宋体" w:cs="Times New Roman"/>
          <w:sz w:val="24"/>
          <w:szCs w:val="24"/>
          <w:highlight w:val="none"/>
        </w:rPr>
      </w:pPr>
      <w:r>
        <w:rPr>
          <w:rFonts w:hint="eastAsia" w:ascii="宋体" w:hAnsi="宋体" w:eastAsia="宋体" w:cs="Times New Roman"/>
          <w:sz w:val="24"/>
          <w:szCs w:val="24"/>
          <w:highlight w:val="none"/>
          <w:lang w:eastAsia="zh-CN"/>
        </w:rPr>
        <w:t>经验评价；</w:t>
      </w:r>
    </w:p>
    <w:p>
      <w:pPr>
        <w:pageBreakBefore w:val="0"/>
        <w:numPr>
          <w:ilvl w:val="0"/>
          <w:numId w:val="2"/>
        </w:numPr>
        <w:kinsoku/>
        <w:wordWrap/>
        <w:overflowPunct/>
        <w:topLinePunct w:val="0"/>
        <w:autoSpaceDE/>
        <w:autoSpaceDN/>
        <w:bidi w:val="0"/>
        <w:snapToGrid w:val="0"/>
        <w:spacing w:line="320" w:lineRule="atLeast"/>
        <w:ind w:left="1456"/>
        <w:rPr>
          <w:rFonts w:ascii="宋体" w:hAnsi="宋体" w:eastAsia="宋体" w:cs="Times New Roman"/>
          <w:sz w:val="24"/>
          <w:szCs w:val="24"/>
          <w:highlight w:val="none"/>
        </w:rPr>
      </w:pPr>
      <w:r>
        <w:rPr>
          <w:rFonts w:hint="eastAsia" w:ascii="宋体" w:hAnsi="宋体" w:eastAsia="宋体" w:cs="Times New Roman"/>
          <w:sz w:val="24"/>
          <w:szCs w:val="24"/>
          <w:highlight w:val="none"/>
        </w:rPr>
        <w:t>其他招标文件要求或投标人认为需要补充的内容（公开）。</w:t>
      </w:r>
    </w:p>
    <w:p>
      <w:pPr>
        <w:pageBreakBefore w:val="0"/>
        <w:kinsoku/>
        <w:wordWrap/>
        <w:overflowPunct/>
        <w:topLinePunct w:val="0"/>
        <w:autoSpaceDE/>
        <w:autoSpaceDN/>
        <w:bidi w:val="0"/>
        <w:snapToGrid w:val="0"/>
        <w:spacing w:line="320" w:lineRule="atLeast"/>
        <w:jc w:val="left"/>
        <w:rPr>
          <w:rFonts w:ascii="宋体" w:hAnsi="宋体" w:eastAsia="宋体" w:cs="宋体"/>
          <w:b/>
          <w:color w:val="FF0000"/>
          <w:kern w:val="0"/>
          <w:sz w:val="24"/>
          <w:szCs w:val="24"/>
          <w:highlight w:val="none"/>
        </w:rPr>
      </w:pPr>
      <w:r>
        <w:rPr>
          <w:rFonts w:hint="eastAsia" w:ascii="宋体" w:hAnsi="宋体" w:eastAsia="宋体" w:cs="宋体"/>
          <w:b/>
          <w:color w:val="FF0000"/>
          <w:kern w:val="0"/>
          <w:sz w:val="24"/>
          <w:szCs w:val="24"/>
          <w:highlight w:val="none"/>
        </w:rPr>
        <w:t>投标文件附件（信息不公开部分）：</w:t>
      </w:r>
    </w:p>
    <w:p>
      <w:pPr>
        <w:pageBreakBefore w:val="0"/>
        <w:numPr>
          <w:ilvl w:val="0"/>
          <w:numId w:val="3"/>
        </w:numPr>
        <w:kinsoku/>
        <w:wordWrap/>
        <w:overflowPunct/>
        <w:topLinePunct w:val="0"/>
        <w:autoSpaceDE/>
        <w:autoSpaceDN/>
        <w:bidi w:val="0"/>
        <w:snapToGrid w:val="0"/>
        <w:spacing w:line="320" w:lineRule="atLeast"/>
        <w:rPr>
          <w:rFonts w:ascii="宋体" w:hAnsi="宋体" w:eastAsia="宋体" w:cs="Times New Roman"/>
          <w:sz w:val="24"/>
          <w:szCs w:val="24"/>
          <w:highlight w:val="none"/>
        </w:rPr>
      </w:pPr>
      <w:r>
        <w:rPr>
          <w:rFonts w:hint="eastAsia" w:ascii="宋体" w:hAnsi="宋体" w:eastAsia="宋体" w:cs="Times New Roman"/>
          <w:sz w:val="24"/>
          <w:szCs w:val="24"/>
          <w:highlight w:val="none"/>
        </w:rPr>
        <w:t>法定代表人（负责人）证明书</w:t>
      </w:r>
      <w:r>
        <w:rPr>
          <w:rFonts w:hint="eastAsia" w:ascii="Arial" w:hAnsi="Arial" w:eastAsia="宋体" w:cs="Arial"/>
          <w:sz w:val="24"/>
          <w:szCs w:val="24"/>
          <w:highlight w:val="none"/>
        </w:rPr>
        <w:t>；</w:t>
      </w:r>
    </w:p>
    <w:p>
      <w:pPr>
        <w:pageBreakBefore w:val="0"/>
        <w:numPr>
          <w:ilvl w:val="0"/>
          <w:numId w:val="3"/>
        </w:numPr>
        <w:kinsoku/>
        <w:wordWrap/>
        <w:overflowPunct/>
        <w:topLinePunct w:val="0"/>
        <w:autoSpaceDE/>
        <w:autoSpaceDN/>
        <w:bidi w:val="0"/>
        <w:snapToGrid w:val="0"/>
        <w:spacing w:line="320" w:lineRule="atLeast"/>
        <w:rPr>
          <w:rFonts w:ascii="宋体" w:hAnsi="宋体" w:eastAsia="宋体" w:cs="Times New Roman"/>
          <w:sz w:val="24"/>
          <w:szCs w:val="24"/>
          <w:highlight w:val="none"/>
        </w:rPr>
      </w:pPr>
      <w:r>
        <w:rPr>
          <w:rFonts w:hint="eastAsia" w:ascii="宋体" w:hAnsi="宋体" w:eastAsia="宋体" w:cs="Times New Roman"/>
          <w:sz w:val="24"/>
          <w:szCs w:val="24"/>
          <w:highlight w:val="none"/>
        </w:rPr>
        <w:t>投标文件签署授权委托书；</w:t>
      </w:r>
    </w:p>
    <w:p>
      <w:pPr>
        <w:pageBreakBefore w:val="0"/>
        <w:numPr>
          <w:ilvl w:val="0"/>
          <w:numId w:val="3"/>
        </w:numPr>
        <w:kinsoku/>
        <w:wordWrap/>
        <w:overflowPunct/>
        <w:topLinePunct w:val="0"/>
        <w:autoSpaceDE/>
        <w:autoSpaceDN/>
        <w:bidi w:val="0"/>
        <w:snapToGrid w:val="0"/>
        <w:spacing w:line="320" w:lineRule="atLeast"/>
        <w:rPr>
          <w:rFonts w:ascii="宋体" w:hAnsi="宋体" w:eastAsia="宋体" w:cs="Times New Roman"/>
          <w:sz w:val="24"/>
          <w:szCs w:val="24"/>
          <w:highlight w:val="none"/>
        </w:rPr>
      </w:pPr>
      <w:r>
        <w:rPr>
          <w:rFonts w:hint="eastAsia" w:ascii="宋体" w:hAnsi="宋体" w:eastAsia="宋体" w:cs="Times New Roman"/>
          <w:sz w:val="24"/>
          <w:szCs w:val="24"/>
          <w:highlight w:val="none"/>
        </w:rPr>
        <w:t>实质性条款响应情况表；</w:t>
      </w:r>
    </w:p>
    <w:p>
      <w:pPr>
        <w:pageBreakBefore w:val="0"/>
        <w:numPr>
          <w:ilvl w:val="0"/>
          <w:numId w:val="3"/>
        </w:numPr>
        <w:kinsoku/>
        <w:wordWrap/>
        <w:overflowPunct/>
        <w:topLinePunct w:val="0"/>
        <w:autoSpaceDE/>
        <w:autoSpaceDN/>
        <w:bidi w:val="0"/>
        <w:snapToGrid w:val="0"/>
        <w:spacing w:line="320" w:lineRule="atLeast"/>
        <w:rPr>
          <w:rFonts w:ascii="宋体" w:hAnsi="宋体" w:eastAsia="宋体" w:cs="Times New Roman"/>
          <w:sz w:val="24"/>
          <w:szCs w:val="24"/>
          <w:highlight w:val="none"/>
        </w:rPr>
      </w:pPr>
      <w:r>
        <w:rPr>
          <w:rFonts w:hint="eastAsia" w:ascii="宋体" w:hAnsi="宋体" w:eastAsia="宋体" w:cs="Times New Roman"/>
          <w:sz w:val="24"/>
          <w:szCs w:val="24"/>
          <w:highlight w:val="none"/>
        </w:rPr>
        <w:t>技术</w:t>
      </w:r>
      <w:r>
        <w:rPr>
          <w:rFonts w:hint="eastAsia" w:ascii="宋体" w:hAnsi="宋体" w:eastAsia="宋体" w:cs="Times New Roman"/>
          <w:sz w:val="24"/>
          <w:szCs w:val="24"/>
          <w:highlight w:val="none"/>
          <w:lang w:val="en-US" w:eastAsia="zh-CN"/>
        </w:rPr>
        <w:t>要求</w:t>
      </w:r>
      <w:r>
        <w:rPr>
          <w:rFonts w:hint="eastAsia" w:ascii="宋体" w:hAnsi="宋体" w:eastAsia="宋体" w:cs="Times New Roman"/>
          <w:sz w:val="24"/>
          <w:szCs w:val="24"/>
          <w:highlight w:val="none"/>
        </w:rPr>
        <w:t>偏离表</w:t>
      </w:r>
      <w:r>
        <w:rPr>
          <w:rFonts w:hint="eastAsia" w:ascii="宋体" w:hAnsi="宋体" w:eastAsia="宋体" w:cs="Times New Roman"/>
          <w:sz w:val="24"/>
          <w:szCs w:val="24"/>
          <w:highlight w:val="none"/>
          <w:lang w:eastAsia="zh-CN"/>
        </w:rPr>
        <w:t>；</w:t>
      </w:r>
    </w:p>
    <w:p>
      <w:pPr>
        <w:pageBreakBefore w:val="0"/>
        <w:numPr>
          <w:ilvl w:val="0"/>
          <w:numId w:val="3"/>
        </w:numPr>
        <w:kinsoku/>
        <w:wordWrap/>
        <w:overflowPunct/>
        <w:topLinePunct w:val="0"/>
        <w:autoSpaceDE/>
        <w:autoSpaceDN/>
        <w:bidi w:val="0"/>
        <w:snapToGrid w:val="0"/>
        <w:spacing w:line="320" w:lineRule="atLeast"/>
        <w:rPr>
          <w:rFonts w:ascii="宋体" w:hAnsi="宋体" w:eastAsia="宋体" w:cs="Times New Roman"/>
          <w:sz w:val="24"/>
          <w:szCs w:val="24"/>
          <w:highlight w:val="none"/>
        </w:rPr>
      </w:pPr>
      <w:r>
        <w:rPr>
          <w:rFonts w:hint="eastAsia" w:ascii="宋体" w:hAnsi="宋体" w:eastAsia="宋体" w:cs="Times New Roman"/>
          <w:sz w:val="24"/>
          <w:szCs w:val="24"/>
          <w:highlight w:val="none"/>
          <w:lang w:eastAsia="zh-CN"/>
        </w:rPr>
        <w:t>项目组织实施方案的评价；</w:t>
      </w:r>
    </w:p>
    <w:p>
      <w:pPr>
        <w:pageBreakBefore w:val="0"/>
        <w:numPr>
          <w:ilvl w:val="0"/>
          <w:numId w:val="3"/>
        </w:numPr>
        <w:kinsoku/>
        <w:wordWrap/>
        <w:overflowPunct/>
        <w:topLinePunct w:val="0"/>
        <w:autoSpaceDE/>
        <w:autoSpaceDN/>
        <w:bidi w:val="0"/>
        <w:snapToGrid w:val="0"/>
        <w:spacing w:line="320" w:lineRule="atLeast"/>
        <w:rPr>
          <w:rFonts w:ascii="宋体" w:hAnsi="宋体" w:eastAsia="宋体" w:cs="Times New Roman"/>
          <w:sz w:val="24"/>
          <w:szCs w:val="24"/>
          <w:highlight w:val="none"/>
        </w:rPr>
      </w:pPr>
      <w:r>
        <w:rPr>
          <w:rFonts w:hint="eastAsia" w:ascii="宋体" w:hAnsi="宋体" w:eastAsia="宋体" w:cs="Times New Roman"/>
          <w:sz w:val="24"/>
          <w:szCs w:val="24"/>
          <w:highlight w:val="none"/>
          <w:lang w:eastAsia="zh-CN"/>
        </w:rPr>
        <w:t>售后服务评价；</w:t>
      </w:r>
    </w:p>
    <w:p>
      <w:pPr>
        <w:pageBreakBefore w:val="0"/>
        <w:numPr>
          <w:ilvl w:val="0"/>
          <w:numId w:val="3"/>
        </w:numPr>
        <w:kinsoku/>
        <w:wordWrap/>
        <w:overflowPunct/>
        <w:topLinePunct w:val="0"/>
        <w:autoSpaceDE/>
        <w:autoSpaceDN/>
        <w:bidi w:val="0"/>
        <w:snapToGrid w:val="0"/>
        <w:spacing w:line="320" w:lineRule="atLeast"/>
        <w:rPr>
          <w:rFonts w:ascii="宋体" w:hAnsi="宋体" w:eastAsia="宋体" w:cs="Times New Roman"/>
          <w:sz w:val="24"/>
          <w:szCs w:val="24"/>
          <w:highlight w:val="none"/>
        </w:rPr>
      </w:pPr>
      <w:r>
        <w:rPr>
          <w:rFonts w:hint="eastAsia" w:ascii="宋体" w:hAnsi="宋体" w:eastAsia="宋体" w:cs="Times New Roman"/>
          <w:sz w:val="24"/>
          <w:szCs w:val="24"/>
          <w:highlight w:val="none"/>
          <w:lang w:eastAsia="zh-CN"/>
        </w:rPr>
        <w:t>绿色采购情况；</w:t>
      </w:r>
    </w:p>
    <w:p>
      <w:pPr>
        <w:pageBreakBefore w:val="0"/>
        <w:numPr>
          <w:ilvl w:val="0"/>
          <w:numId w:val="3"/>
        </w:numPr>
        <w:kinsoku/>
        <w:wordWrap/>
        <w:overflowPunct/>
        <w:topLinePunct w:val="0"/>
        <w:autoSpaceDE/>
        <w:autoSpaceDN/>
        <w:bidi w:val="0"/>
        <w:snapToGrid w:val="0"/>
        <w:spacing w:line="320" w:lineRule="atLeast"/>
        <w:rPr>
          <w:rFonts w:ascii="宋体" w:hAnsi="宋体" w:eastAsia="宋体" w:cs="Times New Roman"/>
          <w:sz w:val="24"/>
          <w:szCs w:val="24"/>
          <w:highlight w:val="none"/>
        </w:rPr>
      </w:pPr>
      <w:r>
        <w:rPr>
          <w:rFonts w:hint="eastAsia" w:ascii="宋体" w:hAnsi="宋体" w:eastAsia="宋体" w:cs="Times New Roman"/>
          <w:sz w:val="24"/>
          <w:szCs w:val="24"/>
          <w:highlight w:val="none"/>
          <w:lang w:eastAsia="zh-CN"/>
        </w:rPr>
        <w:t>政府采购节能环保产品；</w:t>
      </w:r>
    </w:p>
    <w:p>
      <w:pPr>
        <w:pageBreakBefore w:val="0"/>
        <w:numPr>
          <w:ilvl w:val="0"/>
          <w:numId w:val="3"/>
        </w:numPr>
        <w:kinsoku/>
        <w:wordWrap/>
        <w:overflowPunct/>
        <w:topLinePunct w:val="0"/>
        <w:autoSpaceDE/>
        <w:autoSpaceDN/>
        <w:bidi w:val="0"/>
        <w:snapToGrid w:val="0"/>
        <w:spacing w:line="320" w:lineRule="atLeast"/>
        <w:rPr>
          <w:rFonts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幼儿桌的检测报告</w:t>
      </w:r>
      <w:r>
        <w:rPr>
          <w:rFonts w:hint="eastAsia" w:ascii="宋体" w:hAnsi="宋体" w:eastAsia="宋体" w:cs="Times New Roman"/>
          <w:sz w:val="24"/>
          <w:szCs w:val="24"/>
          <w:highlight w:val="none"/>
          <w:lang w:eastAsia="zh-CN"/>
        </w:rPr>
        <w:t>；</w:t>
      </w:r>
    </w:p>
    <w:p>
      <w:pPr>
        <w:pageBreakBefore w:val="0"/>
        <w:numPr>
          <w:ilvl w:val="0"/>
          <w:numId w:val="3"/>
        </w:numPr>
        <w:kinsoku/>
        <w:wordWrap/>
        <w:overflowPunct/>
        <w:topLinePunct w:val="0"/>
        <w:autoSpaceDE/>
        <w:autoSpaceDN/>
        <w:bidi w:val="0"/>
        <w:snapToGrid w:val="0"/>
        <w:spacing w:line="320" w:lineRule="atLeast"/>
        <w:rPr>
          <w:rFonts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幼儿椅的检测报告</w:t>
      </w:r>
      <w:r>
        <w:rPr>
          <w:rFonts w:hint="eastAsia" w:ascii="宋体" w:hAnsi="宋体" w:eastAsia="宋体" w:cs="Times New Roman"/>
          <w:sz w:val="24"/>
          <w:szCs w:val="24"/>
          <w:highlight w:val="none"/>
          <w:lang w:eastAsia="zh-CN"/>
        </w:rPr>
        <w:t>；</w:t>
      </w:r>
    </w:p>
    <w:p>
      <w:pPr>
        <w:pageBreakBefore w:val="0"/>
        <w:numPr>
          <w:ilvl w:val="0"/>
          <w:numId w:val="3"/>
        </w:numPr>
        <w:kinsoku/>
        <w:wordWrap/>
        <w:overflowPunct/>
        <w:topLinePunct w:val="0"/>
        <w:autoSpaceDE/>
        <w:autoSpaceDN/>
        <w:bidi w:val="0"/>
        <w:snapToGrid w:val="0"/>
        <w:spacing w:line="320" w:lineRule="atLeast"/>
        <w:rPr>
          <w:rFonts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幼儿柜的检测报告</w:t>
      </w:r>
      <w:r>
        <w:rPr>
          <w:rFonts w:hint="eastAsia" w:ascii="宋体" w:hAnsi="宋体" w:eastAsia="宋体" w:cs="Times New Roman"/>
          <w:sz w:val="24"/>
          <w:szCs w:val="24"/>
          <w:highlight w:val="none"/>
          <w:lang w:eastAsia="zh-CN"/>
        </w:rPr>
        <w:t>；</w:t>
      </w:r>
    </w:p>
    <w:p>
      <w:pPr>
        <w:pageBreakBefore w:val="0"/>
        <w:numPr>
          <w:ilvl w:val="0"/>
          <w:numId w:val="3"/>
        </w:numPr>
        <w:kinsoku/>
        <w:wordWrap/>
        <w:overflowPunct/>
        <w:topLinePunct w:val="0"/>
        <w:autoSpaceDE/>
        <w:autoSpaceDN/>
        <w:bidi w:val="0"/>
        <w:snapToGrid w:val="0"/>
        <w:spacing w:line="320" w:lineRule="atLeast"/>
        <w:rPr>
          <w:rFonts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6格分区矮柜的检测报告</w:t>
      </w:r>
      <w:r>
        <w:rPr>
          <w:rFonts w:hint="eastAsia" w:ascii="宋体" w:hAnsi="宋体" w:eastAsia="宋体" w:cs="Times New Roman"/>
          <w:sz w:val="24"/>
          <w:szCs w:val="24"/>
          <w:highlight w:val="none"/>
          <w:lang w:eastAsia="zh-CN"/>
        </w:rPr>
        <w:t>；</w:t>
      </w:r>
    </w:p>
    <w:p>
      <w:pPr>
        <w:pageBreakBefore w:val="0"/>
        <w:numPr>
          <w:ilvl w:val="0"/>
          <w:numId w:val="3"/>
        </w:numPr>
        <w:kinsoku/>
        <w:wordWrap/>
        <w:overflowPunct/>
        <w:topLinePunct w:val="0"/>
        <w:autoSpaceDE/>
        <w:autoSpaceDN/>
        <w:bidi w:val="0"/>
        <w:snapToGrid w:val="0"/>
        <w:spacing w:line="320" w:lineRule="atLeast"/>
        <w:rPr>
          <w:rFonts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实验柜的检测报告</w:t>
      </w:r>
      <w:r>
        <w:rPr>
          <w:rFonts w:hint="eastAsia" w:ascii="宋体" w:hAnsi="宋体" w:eastAsia="宋体" w:cs="Times New Roman"/>
          <w:sz w:val="24"/>
          <w:szCs w:val="24"/>
          <w:highlight w:val="none"/>
          <w:lang w:eastAsia="zh-CN"/>
        </w:rPr>
        <w:t>；</w:t>
      </w:r>
    </w:p>
    <w:p>
      <w:pPr>
        <w:pageBreakBefore w:val="0"/>
        <w:numPr>
          <w:ilvl w:val="0"/>
          <w:numId w:val="3"/>
        </w:numPr>
        <w:kinsoku/>
        <w:wordWrap/>
        <w:overflowPunct/>
        <w:topLinePunct w:val="0"/>
        <w:autoSpaceDE/>
        <w:autoSpaceDN/>
        <w:bidi w:val="0"/>
        <w:snapToGrid w:val="0"/>
        <w:spacing w:line="320" w:lineRule="atLeast"/>
        <w:rPr>
          <w:rFonts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柜2的检测报告</w:t>
      </w:r>
      <w:r>
        <w:rPr>
          <w:rFonts w:hint="eastAsia" w:ascii="宋体" w:hAnsi="宋体" w:eastAsia="宋体" w:cs="Times New Roman"/>
          <w:sz w:val="24"/>
          <w:szCs w:val="24"/>
          <w:highlight w:val="none"/>
          <w:lang w:eastAsia="zh-CN"/>
        </w:rPr>
        <w:t>；</w:t>
      </w:r>
    </w:p>
    <w:p>
      <w:pPr>
        <w:pageBreakBefore w:val="0"/>
        <w:numPr>
          <w:ilvl w:val="0"/>
          <w:numId w:val="3"/>
        </w:numPr>
        <w:kinsoku/>
        <w:wordWrap/>
        <w:overflowPunct/>
        <w:topLinePunct w:val="0"/>
        <w:autoSpaceDE/>
        <w:autoSpaceDN/>
        <w:bidi w:val="0"/>
        <w:snapToGrid w:val="0"/>
        <w:spacing w:line="320" w:lineRule="atLeast"/>
        <w:rPr>
          <w:rFonts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分类收纳柜的检测报告；</w:t>
      </w:r>
    </w:p>
    <w:p>
      <w:pPr>
        <w:pageBreakBefore w:val="0"/>
        <w:numPr>
          <w:ilvl w:val="0"/>
          <w:numId w:val="3"/>
        </w:numPr>
        <w:kinsoku/>
        <w:wordWrap/>
        <w:overflowPunct/>
        <w:topLinePunct w:val="0"/>
        <w:autoSpaceDE/>
        <w:autoSpaceDN/>
        <w:bidi w:val="0"/>
        <w:snapToGrid w:val="0"/>
        <w:spacing w:line="320" w:lineRule="atLeast"/>
        <w:rPr>
          <w:rFonts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作品展示柜B的检测报告</w:t>
      </w:r>
      <w:r>
        <w:rPr>
          <w:rFonts w:hint="eastAsia" w:ascii="宋体" w:hAnsi="宋体" w:eastAsia="宋体" w:cs="Times New Roman"/>
          <w:sz w:val="24"/>
          <w:szCs w:val="24"/>
          <w:highlight w:val="none"/>
          <w:lang w:eastAsia="zh-CN"/>
        </w:rPr>
        <w:t>；</w:t>
      </w:r>
    </w:p>
    <w:p>
      <w:pPr>
        <w:pageBreakBefore w:val="0"/>
        <w:numPr>
          <w:ilvl w:val="0"/>
          <w:numId w:val="3"/>
        </w:numPr>
        <w:kinsoku/>
        <w:wordWrap/>
        <w:overflowPunct/>
        <w:topLinePunct w:val="0"/>
        <w:autoSpaceDE/>
        <w:autoSpaceDN/>
        <w:bidi w:val="0"/>
        <w:snapToGrid w:val="0"/>
        <w:spacing w:line="320" w:lineRule="atLeast"/>
        <w:rPr>
          <w:rFonts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椅子的检测报告</w:t>
      </w:r>
      <w:r>
        <w:rPr>
          <w:rFonts w:hint="eastAsia" w:ascii="宋体" w:hAnsi="宋体" w:eastAsia="宋体" w:cs="Times New Roman"/>
          <w:sz w:val="24"/>
          <w:szCs w:val="24"/>
          <w:highlight w:val="none"/>
          <w:lang w:eastAsia="zh-CN"/>
        </w:rPr>
        <w:t>；</w:t>
      </w:r>
    </w:p>
    <w:p>
      <w:pPr>
        <w:pageBreakBefore w:val="0"/>
        <w:numPr>
          <w:ilvl w:val="0"/>
          <w:numId w:val="3"/>
        </w:numPr>
        <w:kinsoku/>
        <w:wordWrap/>
        <w:overflowPunct/>
        <w:topLinePunct w:val="0"/>
        <w:autoSpaceDE/>
        <w:autoSpaceDN/>
        <w:bidi w:val="0"/>
        <w:snapToGrid w:val="0"/>
        <w:spacing w:line="320" w:lineRule="atLeast"/>
        <w:rPr>
          <w:rFonts w:ascii="宋体" w:hAnsi="宋体" w:eastAsia="宋体" w:cs="Times New Roman"/>
          <w:sz w:val="24"/>
          <w:szCs w:val="24"/>
          <w:highlight w:val="none"/>
        </w:rPr>
      </w:pPr>
      <w:r>
        <w:rPr>
          <w:rFonts w:hint="eastAsia" w:ascii="宋体" w:hAnsi="宋体" w:eastAsia="宋体" w:cs="Times New Roman"/>
          <w:sz w:val="24"/>
          <w:szCs w:val="24"/>
          <w:highlight w:val="none"/>
        </w:rPr>
        <w:t>其他招标文件要求或投标人认为需要补充的内容（非公开）。</w:t>
      </w:r>
    </w:p>
    <w:p>
      <w:pPr>
        <w:pageBreakBefore w:val="0"/>
        <w:kinsoku/>
        <w:wordWrap/>
        <w:overflowPunct/>
        <w:topLinePunct w:val="0"/>
        <w:autoSpaceDE/>
        <w:autoSpaceDN/>
        <w:bidi w:val="0"/>
        <w:spacing w:line="320" w:lineRule="atLeast"/>
        <w:rPr>
          <w:rFonts w:ascii="宋体" w:hAnsi="宋体"/>
          <w:b/>
          <w:sz w:val="24"/>
          <w:szCs w:val="24"/>
          <w:highlight w:val="none"/>
        </w:rPr>
      </w:pPr>
      <w:bookmarkStart w:id="17" w:name="_Hlk72257771"/>
      <w:r>
        <w:rPr>
          <w:rFonts w:hint="eastAsia" w:ascii="宋体" w:hAnsi="宋体"/>
          <w:b/>
          <w:sz w:val="24"/>
          <w:szCs w:val="24"/>
          <w:highlight w:val="none"/>
        </w:rPr>
        <w:t>备注：</w:t>
      </w:r>
    </w:p>
    <w:p>
      <w:pPr>
        <w:pageBreakBefore w:val="0"/>
        <w:kinsoku/>
        <w:wordWrap/>
        <w:overflowPunct/>
        <w:topLinePunct w:val="0"/>
        <w:autoSpaceDE/>
        <w:autoSpaceDN/>
        <w:bidi w:val="0"/>
        <w:snapToGrid w:val="0"/>
        <w:spacing w:line="320" w:lineRule="atLeast"/>
        <w:ind w:firstLine="482" w:firstLineChars="200"/>
        <w:rPr>
          <w:rFonts w:ascii="宋体" w:hAnsi="宋体"/>
          <w:b/>
          <w:sz w:val="24"/>
          <w:szCs w:val="24"/>
          <w:highlight w:val="none"/>
        </w:rPr>
      </w:pPr>
      <w:r>
        <w:rPr>
          <w:rFonts w:hint="eastAsia" w:ascii="宋体" w:hAnsi="宋体"/>
          <w:b/>
          <w:sz w:val="24"/>
          <w:szCs w:val="24"/>
          <w:highlight w:val="none"/>
        </w:rPr>
        <w:t>1.本项目为网上电子投标项目，投标文件不需法人或授权委托人另行签字，无需加盖单位公章，招标文件另有规定的除外。</w:t>
      </w:r>
    </w:p>
    <w:p>
      <w:pPr>
        <w:snapToGrid w:val="0"/>
        <w:spacing w:afterLines="25"/>
        <w:ind w:firstLine="482" w:firstLineChars="200"/>
        <w:rPr>
          <w:rFonts w:ascii="宋体" w:hAnsi="宋体" w:eastAsia="黑体" w:cs="Times New Roman"/>
          <w:bCs/>
          <w:kern w:val="44"/>
          <w:sz w:val="32"/>
          <w:szCs w:val="32"/>
          <w:highlight w:val="none"/>
        </w:rPr>
      </w:pPr>
      <w:bookmarkStart w:id="18" w:name="_Hlk72263559"/>
      <w:r>
        <w:rPr>
          <w:rFonts w:hint="eastAsia" w:ascii="宋体" w:hAnsi="宋体"/>
          <w:b/>
          <w:sz w:val="24"/>
          <w:szCs w:val="24"/>
          <w:highlight w:val="none"/>
        </w:rPr>
        <w:t>2.关于填写“开标一览表”的说明：“开标一览表”中除“投标总价”外，其他信息不作评审依据。</w:t>
      </w:r>
      <w:bookmarkEnd w:id="17"/>
      <w:bookmarkEnd w:id="18"/>
      <w:r>
        <w:rPr>
          <w:rFonts w:ascii="宋体" w:hAnsi="宋体" w:eastAsia="黑体" w:cs="Times New Roman"/>
          <w:bCs/>
          <w:kern w:val="44"/>
          <w:sz w:val="32"/>
          <w:szCs w:val="32"/>
          <w:highlight w:val="none"/>
        </w:rPr>
        <w:br w:type="page"/>
      </w:r>
    </w:p>
    <w:p>
      <w:pPr>
        <w:widowControl/>
        <w:jc w:val="left"/>
        <w:outlineLvl w:val="2"/>
        <w:rPr>
          <w:rFonts w:ascii="宋体" w:hAnsi="宋体" w:eastAsia="宋体" w:cs="宋体"/>
          <w:b/>
          <w:color w:val="FF0000"/>
          <w:kern w:val="0"/>
          <w:sz w:val="32"/>
          <w:szCs w:val="32"/>
          <w:highlight w:val="none"/>
        </w:rPr>
      </w:pPr>
      <w:r>
        <w:rPr>
          <w:rFonts w:hint="eastAsia" w:ascii="宋体" w:hAnsi="宋体" w:eastAsia="宋体" w:cs="宋体"/>
          <w:b/>
          <w:color w:val="FF0000"/>
          <w:kern w:val="0"/>
          <w:sz w:val="32"/>
          <w:szCs w:val="32"/>
          <w:highlight w:val="none"/>
        </w:rPr>
        <w:t>（一）投标文件正文（信息公开部分）</w:t>
      </w:r>
    </w:p>
    <w:p>
      <w:pPr>
        <w:keepNext/>
        <w:keepLines/>
        <w:adjustRightInd w:val="0"/>
        <w:snapToGrid w:val="0"/>
        <w:spacing w:line="360" w:lineRule="auto"/>
        <w:jc w:val="center"/>
        <w:textAlignment w:val="baseline"/>
        <w:outlineLvl w:val="3"/>
        <w:rPr>
          <w:rFonts w:ascii="宋体" w:hAnsi="宋体" w:eastAsia="宋体" w:cs="Times New Roman"/>
          <w:b/>
          <w:bCs/>
          <w:kern w:val="0"/>
          <w:sz w:val="24"/>
          <w:szCs w:val="20"/>
          <w:highlight w:val="none"/>
        </w:rPr>
      </w:pPr>
      <w:r>
        <w:rPr>
          <w:rFonts w:ascii="宋体" w:hAnsi="宋体" w:eastAsia="宋体" w:cs="Times New Roman"/>
          <w:b/>
          <w:bCs/>
          <w:kern w:val="0"/>
          <w:sz w:val="24"/>
          <w:szCs w:val="20"/>
          <w:highlight w:val="none"/>
        </w:rPr>
        <w:t>1.投标</w:t>
      </w:r>
      <w:r>
        <w:rPr>
          <w:rFonts w:hint="eastAsia" w:ascii="宋体" w:hAnsi="宋体" w:eastAsia="宋体" w:cs="Times New Roman"/>
          <w:b/>
          <w:bCs/>
          <w:kern w:val="0"/>
          <w:sz w:val="24"/>
          <w:szCs w:val="20"/>
          <w:highlight w:val="none"/>
        </w:rPr>
        <w:t>函</w:t>
      </w:r>
    </w:p>
    <w:p>
      <w:pPr>
        <w:snapToGrid w:val="0"/>
        <w:spacing w:line="360" w:lineRule="auto"/>
        <w:rPr>
          <w:rFonts w:ascii="Arial" w:hAnsi="Arial" w:eastAsia="宋体" w:cs="Times New Roman"/>
          <w:szCs w:val="24"/>
          <w:highlight w:val="none"/>
        </w:rPr>
      </w:pPr>
    </w:p>
    <w:p>
      <w:pPr>
        <w:snapToGrid w:val="0"/>
        <w:spacing w:line="360" w:lineRule="auto"/>
        <w:rPr>
          <w:rFonts w:ascii="Arial" w:hAnsi="Arial" w:eastAsia="宋体" w:cs="Arial"/>
          <w:szCs w:val="21"/>
          <w:highlight w:val="none"/>
          <w:u w:val="single"/>
        </w:rPr>
      </w:pPr>
      <w:r>
        <w:rPr>
          <w:rFonts w:ascii="Arial" w:hAnsi="Arial" w:eastAsia="宋体" w:cs="Arial"/>
          <w:szCs w:val="21"/>
          <w:highlight w:val="none"/>
        </w:rPr>
        <w:t>致：</w:t>
      </w:r>
      <w:r>
        <w:rPr>
          <w:rFonts w:hint="eastAsia" w:ascii="Arial" w:hAnsi="Arial" w:eastAsia="宋体" w:cs="Arial"/>
          <w:szCs w:val="21"/>
          <w:highlight w:val="none"/>
          <w:u w:val="single"/>
        </w:rPr>
        <w:t>深圳公共资源交易中心</w:t>
      </w:r>
    </w:p>
    <w:p>
      <w:pPr>
        <w:snapToGrid w:val="0"/>
        <w:spacing w:line="360" w:lineRule="auto"/>
        <w:rPr>
          <w:rFonts w:ascii="Arial" w:hAnsi="Arial" w:eastAsia="宋体" w:cs="Arial"/>
          <w:szCs w:val="21"/>
          <w:highlight w:val="none"/>
        </w:rPr>
      </w:pPr>
      <w:bookmarkStart w:id="19" w:name="_Hlk73818812"/>
      <w:r>
        <w:rPr>
          <w:rFonts w:hint="eastAsia" w:ascii="Arial" w:hAnsi="Arial" w:eastAsia="宋体" w:cs="Arial"/>
          <w:szCs w:val="21"/>
          <w:highlight w:val="none"/>
        </w:rPr>
        <w:t>1、根据已收到贵单位的项目编号为</w:t>
      </w:r>
      <w:r>
        <w:rPr>
          <w:rFonts w:hint="eastAsia" w:ascii="Arial" w:hAnsi="Arial" w:eastAsia="宋体" w:cs="Arial"/>
          <w:szCs w:val="21"/>
          <w:highlight w:val="none"/>
          <w:u w:val="single"/>
        </w:rPr>
        <w:t xml:space="preserve"> </w:t>
      </w:r>
      <w:r>
        <w:rPr>
          <w:rFonts w:hint="eastAsia" w:ascii="Arial" w:hAnsi="Arial" w:eastAsia="宋体" w:cs="Arial"/>
          <w:szCs w:val="21"/>
          <w:highlight w:val="none"/>
          <w:u w:val="single"/>
          <w:lang w:eastAsia="zh-CN"/>
        </w:rPr>
        <w:t>BAZXCG-2024-00337</w:t>
      </w:r>
      <w:r>
        <w:rPr>
          <w:rFonts w:hint="eastAsia" w:ascii="Arial" w:hAnsi="Arial" w:eastAsia="宋体" w:cs="Arial"/>
          <w:szCs w:val="21"/>
          <w:highlight w:val="none"/>
          <w:u w:val="single"/>
        </w:rPr>
        <w:t xml:space="preserve"> </w:t>
      </w:r>
      <w:r>
        <w:rPr>
          <w:rFonts w:hint="eastAsia" w:ascii="Arial" w:hAnsi="Arial" w:eastAsia="宋体" w:cs="Arial"/>
          <w:szCs w:val="21"/>
          <w:highlight w:val="none"/>
        </w:rPr>
        <w:t>的</w:t>
      </w:r>
      <w:r>
        <w:rPr>
          <w:rFonts w:hint="eastAsia" w:ascii="Arial" w:hAnsi="Arial" w:eastAsia="宋体" w:cs="Arial"/>
          <w:szCs w:val="21"/>
          <w:highlight w:val="none"/>
          <w:u w:val="single"/>
        </w:rPr>
        <w:t xml:space="preserve">  </w:t>
      </w:r>
      <w:r>
        <w:rPr>
          <w:rFonts w:hint="eastAsia" w:ascii="Arial" w:hAnsi="Arial" w:eastAsia="宋体" w:cs="Arial"/>
          <w:szCs w:val="21"/>
          <w:highlight w:val="none"/>
          <w:u w:val="single"/>
          <w:lang w:eastAsia="zh-CN"/>
        </w:rPr>
        <w:t>深圳市宝安区福永白石厦第三幼儿园(深圳市宝安区福永空港幼儿园)班组设备</w:t>
      </w:r>
      <w:r>
        <w:rPr>
          <w:rFonts w:hint="eastAsia" w:ascii="Arial" w:hAnsi="Arial" w:eastAsia="宋体" w:cs="Arial"/>
          <w:szCs w:val="21"/>
          <w:highlight w:val="none"/>
          <w:u w:val="single"/>
        </w:rPr>
        <w:t xml:space="preserve"> </w:t>
      </w:r>
      <w:r>
        <w:rPr>
          <w:rFonts w:hint="eastAsia" w:ascii="Arial" w:hAnsi="Arial" w:eastAsia="宋体" w:cs="Arial"/>
          <w:szCs w:val="21"/>
          <w:highlight w:val="none"/>
        </w:rPr>
        <w:t>项目的招标文件，遵照《深圳经济特区政府采购条例》和《深圳网上政府采购管理暂行办法》等有关规定，我单位经研究上述招标文件的专用条款及通用条款后，</w:t>
      </w:r>
      <w:bookmarkStart w:id="20" w:name="_Hlk72263588"/>
      <w:r>
        <w:rPr>
          <w:rFonts w:hint="eastAsia" w:ascii="Arial" w:hAnsi="Arial" w:eastAsia="宋体" w:cs="Arial"/>
          <w:szCs w:val="21"/>
          <w:highlight w:val="none"/>
        </w:rPr>
        <w:t>愿意按照招标文件要求承包上述项目并修补其任何缺陷。</w:t>
      </w:r>
      <w:bookmarkEnd w:id="20"/>
    </w:p>
    <w:p>
      <w:pPr>
        <w:snapToGrid w:val="0"/>
        <w:spacing w:line="360" w:lineRule="auto"/>
        <w:rPr>
          <w:rFonts w:ascii="Arial" w:hAnsi="Arial" w:eastAsia="宋体" w:cs="Arial"/>
          <w:szCs w:val="21"/>
          <w:highlight w:val="none"/>
        </w:rPr>
      </w:pPr>
      <w:r>
        <w:rPr>
          <w:rFonts w:ascii="Arial" w:hAnsi="Arial" w:eastAsia="宋体" w:cs="Arial"/>
          <w:szCs w:val="21"/>
          <w:highlight w:val="none"/>
        </w:rPr>
        <w:t>2</w:t>
      </w:r>
      <w:r>
        <w:rPr>
          <w:rFonts w:hint="eastAsia" w:ascii="Arial" w:hAnsi="Arial" w:eastAsia="宋体" w:cs="Arial"/>
          <w:szCs w:val="21"/>
          <w:highlight w:val="none"/>
        </w:rPr>
        <w:t>、投标价格见投标书编制软件中《开标一览表》中填写的投标总价。</w:t>
      </w:r>
    </w:p>
    <w:p>
      <w:pPr>
        <w:snapToGrid w:val="0"/>
        <w:spacing w:line="360" w:lineRule="auto"/>
        <w:rPr>
          <w:rFonts w:ascii="Arial" w:hAnsi="Arial" w:eastAsia="宋体" w:cs="Arial"/>
          <w:szCs w:val="21"/>
          <w:highlight w:val="none"/>
        </w:rPr>
      </w:pPr>
      <w:r>
        <w:rPr>
          <w:rFonts w:hint="eastAsia" w:ascii="Arial" w:hAnsi="Arial" w:eastAsia="宋体" w:cs="Arial"/>
          <w:szCs w:val="21"/>
          <w:highlight w:val="none"/>
        </w:rPr>
        <w:t>3、如果我单位中标，我单位将按照招标文件的要求足额提交履约担保。</w:t>
      </w:r>
    </w:p>
    <w:p>
      <w:pPr>
        <w:snapToGrid w:val="0"/>
        <w:spacing w:line="360" w:lineRule="auto"/>
        <w:rPr>
          <w:rFonts w:ascii="Arial" w:hAnsi="Arial" w:eastAsia="宋体" w:cs="Arial"/>
          <w:szCs w:val="21"/>
          <w:highlight w:val="none"/>
        </w:rPr>
      </w:pPr>
      <w:r>
        <w:rPr>
          <w:rFonts w:hint="eastAsia" w:ascii="Arial" w:hAnsi="Arial" w:eastAsia="宋体" w:cs="Arial"/>
          <w:szCs w:val="21"/>
          <w:highlight w:val="none"/>
        </w:rPr>
        <w:t>4、我单位同意所递交的投标文件在“对通用条款的补充内容”中明确的投标有效期内有效，在此期间内我单位的投标有可能中标，我方将受此约束。</w:t>
      </w:r>
    </w:p>
    <w:p>
      <w:pPr>
        <w:snapToGrid w:val="0"/>
        <w:spacing w:line="360" w:lineRule="auto"/>
        <w:rPr>
          <w:rFonts w:ascii="Arial" w:hAnsi="Arial" w:eastAsia="宋体" w:cs="Arial"/>
          <w:szCs w:val="21"/>
          <w:highlight w:val="none"/>
        </w:rPr>
      </w:pPr>
      <w:r>
        <w:rPr>
          <w:rFonts w:hint="eastAsia" w:ascii="Arial" w:hAnsi="Arial" w:eastAsia="宋体" w:cs="Arial"/>
          <w:szCs w:val="21"/>
          <w:highlight w:val="none"/>
        </w:rPr>
        <w:t>5、除非另外达成协议并生效，贵单位的中标通知书和本投标文件将构成合同的重要内容。</w:t>
      </w:r>
    </w:p>
    <w:p>
      <w:pPr>
        <w:snapToGrid w:val="0"/>
        <w:spacing w:line="360" w:lineRule="auto"/>
        <w:rPr>
          <w:rFonts w:ascii="Arial" w:hAnsi="Arial" w:eastAsia="宋体" w:cs="Arial"/>
          <w:szCs w:val="21"/>
          <w:highlight w:val="none"/>
        </w:rPr>
      </w:pPr>
      <w:r>
        <w:rPr>
          <w:rFonts w:hint="eastAsia" w:ascii="Arial" w:hAnsi="Arial" w:eastAsia="宋体" w:cs="Arial"/>
          <w:szCs w:val="21"/>
          <w:highlight w:val="none"/>
        </w:rPr>
        <w:t>6、我单位理解贵单位将不受必须接受所收到的最低报价或其它任何投标文件的约束。</w:t>
      </w:r>
      <w:bookmarkEnd w:id="19"/>
    </w:p>
    <w:p>
      <w:pPr>
        <w:snapToGrid w:val="0"/>
        <w:spacing w:line="360" w:lineRule="auto"/>
        <w:rPr>
          <w:rFonts w:ascii="Arial" w:hAnsi="Arial" w:eastAsia="宋体" w:cs="Arial"/>
          <w:b/>
          <w:szCs w:val="21"/>
          <w:highlight w:val="none"/>
        </w:rPr>
      </w:pPr>
      <w:r>
        <w:rPr>
          <w:rFonts w:hint="eastAsia" w:ascii="Arial" w:hAnsi="Arial" w:eastAsia="宋体" w:cs="Arial"/>
          <w:b/>
          <w:szCs w:val="21"/>
          <w:highlight w:val="none"/>
        </w:rPr>
        <w:t>7</w:t>
      </w:r>
      <w:r>
        <w:rPr>
          <w:rFonts w:ascii="Arial" w:hAnsi="Arial" w:eastAsia="宋体" w:cs="Arial"/>
          <w:b/>
          <w:szCs w:val="21"/>
          <w:highlight w:val="none"/>
        </w:rPr>
        <w:t>、如我单位提交样品，且未在规定时间内取回样品的，视同放弃取回，同意深圳公共资源交易中心对我单位提交的样品进行清理。</w:t>
      </w:r>
    </w:p>
    <w:p>
      <w:pPr>
        <w:snapToGrid w:val="0"/>
        <w:spacing w:line="360" w:lineRule="auto"/>
        <w:rPr>
          <w:rFonts w:ascii="Arial" w:hAnsi="Arial" w:eastAsia="宋体" w:cs="Arial"/>
          <w:b/>
          <w:szCs w:val="21"/>
          <w:highlight w:val="none"/>
        </w:rPr>
      </w:pPr>
    </w:p>
    <w:p>
      <w:pPr>
        <w:snapToGrid w:val="0"/>
        <w:spacing w:line="360" w:lineRule="auto"/>
        <w:rPr>
          <w:rFonts w:ascii="Arial" w:hAnsi="Arial" w:eastAsia="宋体" w:cs="Arial"/>
          <w:szCs w:val="21"/>
          <w:highlight w:val="none"/>
          <w:u w:val="single"/>
        </w:rPr>
      </w:pPr>
      <w:r>
        <w:rPr>
          <w:rFonts w:hint="eastAsia" w:ascii="Arial" w:hAnsi="Arial" w:eastAsia="宋体" w:cs="Arial"/>
          <w:szCs w:val="21"/>
          <w:highlight w:val="none"/>
        </w:rPr>
        <w:t>投标人：</w:t>
      </w:r>
      <w:r>
        <w:rPr>
          <w:rFonts w:hint="eastAsia" w:ascii="Arial" w:hAnsi="Arial" w:eastAsia="宋体" w:cs="Arial"/>
          <w:szCs w:val="21"/>
          <w:highlight w:val="none"/>
          <w:u w:val="single"/>
        </w:rPr>
        <w:t xml:space="preserve">           </w:t>
      </w:r>
      <w:r>
        <w:rPr>
          <w:rFonts w:hint="eastAsia" w:ascii="Arial" w:hAnsi="Arial" w:eastAsia="宋体" w:cs="Arial"/>
          <w:szCs w:val="21"/>
          <w:highlight w:val="none"/>
          <w:u w:val="single"/>
          <w:lang w:val="en-US" w:eastAsia="zh-CN"/>
        </w:rPr>
        <w:t xml:space="preserve">   </w:t>
      </w:r>
      <w:r>
        <w:rPr>
          <w:rFonts w:hint="eastAsia" w:ascii="Arial" w:hAnsi="Arial" w:eastAsia="宋体" w:cs="Arial"/>
          <w:szCs w:val="21"/>
          <w:highlight w:val="none"/>
          <w:u w:val="none"/>
          <w:lang w:val="en-US" w:eastAsia="zh-CN"/>
        </w:rPr>
        <w:t xml:space="preserve">          </w:t>
      </w:r>
      <w:r>
        <w:rPr>
          <w:rFonts w:hint="eastAsia" w:ascii="Arial" w:hAnsi="Arial" w:eastAsia="宋体" w:cs="Arial"/>
          <w:szCs w:val="21"/>
          <w:highlight w:val="none"/>
        </w:rPr>
        <w:t>单位地址：</w:t>
      </w:r>
      <w:r>
        <w:rPr>
          <w:rFonts w:hint="eastAsia" w:ascii="Arial" w:hAnsi="Arial" w:eastAsia="宋体" w:cs="Arial"/>
          <w:szCs w:val="21"/>
          <w:highlight w:val="none"/>
          <w:u w:val="single"/>
        </w:rPr>
        <w:t xml:space="preserve">       </w:t>
      </w:r>
      <w:r>
        <w:rPr>
          <w:rFonts w:hint="eastAsia" w:ascii="Arial" w:hAnsi="Arial" w:eastAsia="宋体" w:cs="Arial"/>
          <w:szCs w:val="21"/>
          <w:highlight w:val="none"/>
          <w:u w:val="single"/>
          <w:lang w:val="en-US" w:eastAsia="zh-CN"/>
        </w:rPr>
        <w:t xml:space="preserve">     </w:t>
      </w:r>
      <w:r>
        <w:rPr>
          <w:rFonts w:hint="eastAsia" w:ascii="Arial" w:hAnsi="Arial" w:eastAsia="宋体" w:cs="Arial"/>
          <w:szCs w:val="21"/>
          <w:highlight w:val="none"/>
          <w:u w:val="single"/>
        </w:rPr>
        <w:t xml:space="preserve">    </w:t>
      </w:r>
    </w:p>
    <w:p>
      <w:pPr>
        <w:snapToGrid w:val="0"/>
        <w:spacing w:line="360" w:lineRule="auto"/>
        <w:rPr>
          <w:rFonts w:hint="eastAsia" w:ascii="Arial" w:hAnsi="Arial" w:eastAsia="宋体" w:cs="Arial"/>
          <w:szCs w:val="21"/>
          <w:highlight w:val="none"/>
          <w:u w:val="single"/>
        </w:rPr>
      </w:pPr>
      <w:r>
        <w:rPr>
          <w:rFonts w:hint="eastAsia" w:ascii="Arial" w:hAnsi="Arial" w:eastAsia="宋体" w:cs="Arial"/>
          <w:szCs w:val="21"/>
          <w:highlight w:val="none"/>
        </w:rPr>
        <w:t>法定代表人（负责人）或其</w:t>
      </w:r>
      <w:r>
        <w:rPr>
          <w:rFonts w:hint="eastAsia" w:ascii="Arial" w:hAnsi="Arial" w:eastAsia="宋体" w:cs="Arial"/>
          <w:szCs w:val="21"/>
          <w:highlight w:val="none"/>
          <w:lang w:val="en-US" w:eastAsia="zh-CN"/>
        </w:rPr>
        <w:t>授权委托</w:t>
      </w:r>
      <w:r>
        <w:rPr>
          <w:rFonts w:hint="eastAsia" w:ascii="Arial" w:hAnsi="Arial" w:eastAsia="宋体" w:cs="Arial"/>
          <w:szCs w:val="21"/>
          <w:highlight w:val="none"/>
        </w:rPr>
        <w:t>代理人：</w:t>
      </w:r>
      <w:r>
        <w:rPr>
          <w:rFonts w:hint="eastAsia" w:ascii="Arial" w:hAnsi="Arial" w:eastAsia="宋体" w:cs="Arial"/>
          <w:szCs w:val="21"/>
          <w:highlight w:val="none"/>
          <w:u w:val="single"/>
        </w:rPr>
        <w:t xml:space="preserve">           </w:t>
      </w:r>
    </w:p>
    <w:p>
      <w:pPr>
        <w:pStyle w:val="9"/>
        <w:rPr>
          <w:rFonts w:hint="default" w:ascii="Arial" w:hAnsi="Arial" w:eastAsia="宋体" w:cs="Arial"/>
          <w:b w:val="0"/>
          <w:bCs w:val="0"/>
          <w:szCs w:val="21"/>
          <w:highlight w:val="none"/>
          <w:u w:val="single"/>
          <w:lang w:val="en-US" w:eastAsia="zh-CN"/>
        </w:rPr>
      </w:pPr>
      <w:r>
        <w:rPr>
          <w:rFonts w:hint="eastAsia" w:ascii="Arial" w:hAnsi="Arial" w:eastAsia="宋体" w:cs="Arial"/>
          <w:b w:val="0"/>
          <w:bCs w:val="0"/>
          <w:szCs w:val="21"/>
          <w:highlight w:val="none"/>
          <w:u w:val="none"/>
          <w:lang w:val="en-US" w:eastAsia="zh-CN"/>
        </w:rPr>
        <w:t>开户银行名称：</w:t>
      </w:r>
      <w:r>
        <w:rPr>
          <w:rFonts w:hint="eastAsia" w:ascii="Arial" w:hAnsi="Arial" w:eastAsia="宋体" w:cs="Arial"/>
          <w:szCs w:val="21"/>
          <w:highlight w:val="none"/>
          <w:u w:val="single"/>
        </w:rPr>
        <w:t xml:space="preserve">           </w:t>
      </w:r>
    </w:p>
    <w:p>
      <w:pPr>
        <w:pStyle w:val="10"/>
        <w:rPr>
          <w:rFonts w:hint="default"/>
          <w:b w:val="0"/>
          <w:bCs w:val="0"/>
          <w:highlight w:val="none"/>
          <w:u w:val="single"/>
          <w:lang w:val="en-US" w:eastAsia="zh-CN"/>
        </w:rPr>
      </w:pPr>
      <w:r>
        <w:rPr>
          <w:rFonts w:hint="eastAsia" w:ascii="Arial" w:hAnsi="Arial" w:eastAsia="宋体" w:cs="Arial"/>
          <w:b w:val="0"/>
          <w:bCs w:val="0"/>
          <w:szCs w:val="21"/>
          <w:highlight w:val="none"/>
          <w:u w:val="none"/>
          <w:lang w:val="en-US" w:eastAsia="zh-CN"/>
        </w:rPr>
        <w:t>开户银行账号：</w:t>
      </w:r>
      <w:r>
        <w:rPr>
          <w:rFonts w:hint="eastAsia" w:ascii="Arial" w:hAnsi="Arial" w:eastAsia="宋体" w:cs="Arial"/>
          <w:b w:val="0"/>
          <w:bCs w:val="0"/>
          <w:szCs w:val="21"/>
          <w:highlight w:val="none"/>
          <w:u w:val="single"/>
          <w:lang w:val="en-US" w:eastAsia="zh-CN"/>
        </w:rPr>
        <w:t xml:space="preserve">           </w:t>
      </w:r>
    </w:p>
    <w:p>
      <w:pPr>
        <w:snapToGrid w:val="0"/>
        <w:spacing w:line="360" w:lineRule="auto"/>
        <w:rPr>
          <w:rFonts w:ascii="Arial" w:hAnsi="Arial" w:eastAsia="宋体" w:cs="Arial"/>
          <w:szCs w:val="21"/>
          <w:highlight w:val="none"/>
          <w:u w:val="single"/>
        </w:rPr>
      </w:pPr>
      <w:r>
        <w:rPr>
          <w:rFonts w:hint="eastAsia" w:ascii="Arial" w:hAnsi="Arial" w:eastAsia="宋体" w:cs="Arial"/>
          <w:szCs w:val="21"/>
          <w:highlight w:val="none"/>
        </w:rPr>
        <w:t>邮政编码：</w:t>
      </w:r>
      <w:r>
        <w:rPr>
          <w:rFonts w:hint="eastAsia" w:ascii="Arial" w:hAnsi="Arial" w:eastAsia="宋体" w:cs="Arial"/>
          <w:szCs w:val="21"/>
          <w:highlight w:val="none"/>
          <w:u w:val="single"/>
        </w:rPr>
        <w:t xml:space="preserve">           </w:t>
      </w:r>
      <w:r>
        <w:rPr>
          <w:rFonts w:hint="eastAsia" w:ascii="Arial" w:hAnsi="Arial" w:eastAsia="宋体" w:cs="Arial"/>
          <w:szCs w:val="21"/>
          <w:highlight w:val="none"/>
        </w:rPr>
        <w:t>电话：</w:t>
      </w:r>
      <w:r>
        <w:rPr>
          <w:rFonts w:hint="eastAsia" w:ascii="Arial" w:hAnsi="Arial" w:eastAsia="宋体" w:cs="Arial"/>
          <w:szCs w:val="21"/>
          <w:highlight w:val="none"/>
          <w:u w:val="single"/>
        </w:rPr>
        <w:t xml:space="preserve">           </w:t>
      </w:r>
      <w:r>
        <w:rPr>
          <w:rFonts w:hint="eastAsia" w:ascii="Arial" w:hAnsi="Arial" w:eastAsia="宋体" w:cs="Arial"/>
          <w:szCs w:val="21"/>
          <w:highlight w:val="none"/>
        </w:rPr>
        <w:t>传真：</w:t>
      </w:r>
      <w:r>
        <w:rPr>
          <w:rFonts w:hint="eastAsia" w:ascii="Arial" w:hAnsi="Arial" w:eastAsia="宋体" w:cs="Arial"/>
          <w:szCs w:val="21"/>
          <w:highlight w:val="none"/>
          <w:u w:val="single"/>
        </w:rPr>
        <w:t xml:space="preserve">           </w:t>
      </w:r>
    </w:p>
    <w:p>
      <w:pPr>
        <w:snapToGrid w:val="0"/>
        <w:spacing w:line="360" w:lineRule="auto"/>
        <w:rPr>
          <w:rFonts w:ascii="Arial" w:hAnsi="Arial" w:eastAsia="宋体" w:cs="Arial"/>
          <w:szCs w:val="21"/>
          <w:highlight w:val="none"/>
        </w:rPr>
      </w:pPr>
      <w:r>
        <w:rPr>
          <w:rFonts w:hint="eastAsia" w:ascii="Arial" w:hAnsi="Arial" w:eastAsia="宋体" w:cs="Arial"/>
          <w:szCs w:val="21"/>
          <w:highlight w:val="none"/>
        </w:rPr>
        <w:t>邮箱：</w:t>
      </w:r>
      <w:r>
        <w:rPr>
          <w:rFonts w:hint="eastAsia" w:ascii="Arial" w:hAnsi="Arial" w:eastAsia="宋体" w:cs="Arial"/>
          <w:szCs w:val="21"/>
          <w:highlight w:val="none"/>
          <w:u w:val="single"/>
        </w:rPr>
        <w:t xml:space="preserve">           </w:t>
      </w:r>
      <w:r>
        <w:rPr>
          <w:rFonts w:hint="eastAsia" w:ascii="Arial" w:hAnsi="Arial" w:eastAsia="宋体" w:cs="Arial"/>
          <w:szCs w:val="21"/>
          <w:highlight w:val="none"/>
        </w:rPr>
        <w:t xml:space="preserve"> </w:t>
      </w:r>
    </w:p>
    <w:p>
      <w:pPr>
        <w:snapToGrid w:val="0"/>
        <w:spacing w:line="360" w:lineRule="auto"/>
        <w:rPr>
          <w:rFonts w:ascii="Arial" w:hAnsi="Arial" w:eastAsia="宋体" w:cs="Arial"/>
          <w:szCs w:val="21"/>
          <w:highlight w:val="none"/>
        </w:rPr>
      </w:pPr>
    </w:p>
    <w:p>
      <w:pPr>
        <w:snapToGrid w:val="0"/>
        <w:spacing w:line="360" w:lineRule="auto"/>
        <w:rPr>
          <w:rFonts w:hint="eastAsia" w:ascii="Arial" w:hAnsi="Arial" w:eastAsia="宋体" w:cs="Arial"/>
          <w:szCs w:val="21"/>
          <w:highlight w:val="none"/>
        </w:rPr>
      </w:pPr>
      <w:r>
        <w:rPr>
          <w:rFonts w:hint="eastAsia" w:ascii="Arial" w:hAnsi="Arial" w:eastAsia="宋体" w:cs="Arial"/>
          <w:szCs w:val="21"/>
          <w:highlight w:val="none"/>
        </w:rPr>
        <w:t>日期： 年  月  日</w:t>
      </w:r>
    </w:p>
    <w:p>
      <w:pPr>
        <w:pStyle w:val="9"/>
        <w:rPr>
          <w:highlight w:val="none"/>
        </w:rPr>
      </w:pPr>
    </w:p>
    <w:p>
      <w:pPr>
        <w:spacing w:afterLines="25" w:line="300" w:lineRule="auto"/>
        <w:ind w:firstLine="420" w:firstLineChars="200"/>
        <w:rPr>
          <w:rFonts w:ascii="Arial" w:hAnsi="Arial" w:eastAsia="宋体" w:cs="Times New Roman"/>
          <w:sz w:val="24"/>
          <w:szCs w:val="24"/>
          <w:highlight w:val="none"/>
        </w:rPr>
      </w:pPr>
      <w:r>
        <w:rPr>
          <w:rFonts w:hint="eastAsia" w:ascii="Arial" w:hAnsi="Arial" w:eastAsia="宋体" w:cs="Arial"/>
          <w:szCs w:val="24"/>
          <w:highlight w:val="none"/>
        </w:rPr>
        <w:t>备注：为缓解中小企业融资难题，我市推出政府采购订单融资改革举措。订单融资具体流程及试点金融机构订单融资服务承诺可参阅深圳市政府采购监管网（www.zfcg.sz.gov.cn）信息公开栏目或深圳政府采购网（www.cgzx.sz.gov.cn）政府采购订单融资栏目。如需解决融资难题，请投标人填写财务负责人或企业负责人联系方式，以便金融机构提供更精准的融资服务。财务负责人/企业负责人的联系方式（可选填项）：</w:t>
      </w:r>
      <w:r>
        <w:rPr>
          <w:rFonts w:hint="eastAsia" w:ascii="Arial" w:hAnsi="Arial" w:eastAsia="宋体" w:cs="Arial"/>
          <w:szCs w:val="24"/>
          <w:highlight w:val="none"/>
          <w:u w:val="single"/>
        </w:rPr>
        <w:t xml:space="preserve">                 </w:t>
      </w:r>
      <w:r>
        <w:rPr>
          <w:rFonts w:hint="eastAsia" w:ascii="Arial" w:hAnsi="Arial" w:eastAsia="宋体" w:cs="Arial"/>
          <w:szCs w:val="24"/>
          <w:highlight w:val="none"/>
        </w:rPr>
        <w:t>。</w:t>
      </w:r>
    </w:p>
    <w:p>
      <w:pPr>
        <w:spacing w:afterLines="25" w:line="300" w:lineRule="auto"/>
        <w:ind w:firstLine="480" w:firstLineChars="200"/>
        <w:rPr>
          <w:rFonts w:ascii="Arial" w:hAnsi="Arial" w:eastAsia="宋体" w:cs="Times New Roman"/>
          <w:sz w:val="24"/>
          <w:szCs w:val="24"/>
          <w:highlight w:val="none"/>
        </w:rPr>
      </w:pPr>
    </w:p>
    <w:p>
      <w:pPr>
        <w:widowControl/>
        <w:snapToGrid w:val="0"/>
        <w:spacing w:line="360" w:lineRule="auto"/>
        <w:jc w:val="left"/>
        <w:rPr>
          <w:rFonts w:ascii="Arial" w:hAnsi="Arial" w:eastAsia="宋体" w:cs="Times New Roman"/>
          <w:szCs w:val="24"/>
          <w:highlight w:val="none"/>
        </w:rPr>
      </w:pPr>
      <w:r>
        <w:rPr>
          <w:rFonts w:ascii="Arial" w:hAnsi="Arial" w:eastAsia="宋体" w:cs="Times New Roman"/>
          <w:szCs w:val="24"/>
          <w:highlight w:val="none"/>
        </w:rPr>
        <w:br w:type="page"/>
      </w:r>
    </w:p>
    <w:p>
      <w:pPr>
        <w:keepNext/>
        <w:keepLines/>
        <w:pageBreakBefore/>
        <w:adjustRightInd w:val="0"/>
        <w:snapToGrid w:val="0"/>
        <w:spacing w:line="360" w:lineRule="auto"/>
        <w:jc w:val="center"/>
        <w:textAlignment w:val="baseline"/>
        <w:outlineLvl w:val="3"/>
        <w:rPr>
          <w:rFonts w:ascii="宋体" w:hAnsi="宋体" w:eastAsia="宋体" w:cs="Times New Roman"/>
          <w:b/>
          <w:bCs/>
          <w:kern w:val="0"/>
          <w:sz w:val="24"/>
          <w:szCs w:val="20"/>
          <w:highlight w:val="none"/>
        </w:rPr>
      </w:pPr>
      <w:r>
        <w:rPr>
          <w:rFonts w:hint="eastAsia" w:ascii="宋体" w:hAnsi="宋体" w:eastAsia="宋体" w:cs="Times New Roman"/>
          <w:b/>
          <w:bCs/>
          <w:kern w:val="0"/>
          <w:sz w:val="24"/>
          <w:szCs w:val="20"/>
          <w:highlight w:val="none"/>
        </w:rPr>
        <w:t>2.政府采购投标及履约承诺函</w:t>
      </w:r>
    </w:p>
    <w:p>
      <w:pPr>
        <w:adjustRightInd w:val="0"/>
        <w:snapToGrid w:val="0"/>
        <w:rPr>
          <w:rFonts w:ascii="宋体" w:hAnsi="宋体" w:eastAsia="宋体" w:cs="Times New Roman"/>
          <w:sz w:val="24"/>
          <w:szCs w:val="24"/>
          <w:highlight w:val="none"/>
        </w:rPr>
      </w:pPr>
      <w:r>
        <w:rPr>
          <w:rFonts w:hint="eastAsia" w:ascii="宋体" w:hAnsi="宋体" w:eastAsia="宋体" w:cs="Times New Roman"/>
          <w:sz w:val="24"/>
          <w:szCs w:val="24"/>
          <w:highlight w:val="none"/>
        </w:rPr>
        <w:t>致：</w:t>
      </w:r>
      <w:r>
        <w:rPr>
          <w:rFonts w:hint="eastAsia" w:ascii="宋体" w:hAnsi="宋体" w:eastAsia="宋体" w:cs="Times New Roman"/>
          <w:sz w:val="24"/>
          <w:szCs w:val="24"/>
          <w:highlight w:val="none"/>
          <w:u w:val="single"/>
        </w:rPr>
        <w:t>深圳公共资源交易中心</w:t>
      </w:r>
    </w:p>
    <w:p>
      <w:pPr>
        <w:ind w:right="-815" w:firstLine="420" w:firstLineChars="200"/>
        <w:rPr>
          <w:rFonts w:ascii="宋体" w:hAnsi="宋体"/>
          <w:szCs w:val="21"/>
          <w:highlight w:val="none"/>
        </w:rPr>
      </w:pPr>
      <w:r>
        <w:rPr>
          <w:rFonts w:hint="eastAsia" w:ascii="宋体" w:hAnsi="宋体"/>
          <w:szCs w:val="21"/>
          <w:highlight w:val="none"/>
        </w:rPr>
        <w:t>我单位承诺：</w:t>
      </w:r>
    </w:p>
    <w:p>
      <w:pPr>
        <w:keepNext w:val="0"/>
        <w:keepLines w:val="0"/>
        <w:pageBreakBefore w:val="0"/>
        <w:kinsoku/>
        <w:wordWrap/>
        <w:overflowPunct/>
        <w:topLinePunct w:val="0"/>
        <w:autoSpaceDE/>
        <w:autoSpaceDN/>
        <w:bidi w:val="0"/>
        <w:adjustRightInd/>
        <w:snapToGrid w:val="0"/>
        <w:ind w:firstLine="420" w:firstLineChars="200"/>
        <w:textAlignment w:val="auto"/>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val="0"/>
          <w:bCs/>
          <w:szCs w:val="21"/>
          <w:highlight w:val="none"/>
        </w:rPr>
        <w:t>1.我单位参与本项目所投标（响应）的货物、工程或服务，不存在侵犯知识产权的情况。</w:t>
      </w:r>
    </w:p>
    <w:p>
      <w:pPr>
        <w:keepNext w:val="0"/>
        <w:keepLines w:val="0"/>
        <w:pageBreakBefore w:val="0"/>
        <w:kinsoku/>
        <w:wordWrap/>
        <w:overflowPunct/>
        <w:topLinePunct w:val="0"/>
        <w:autoSpaceDE/>
        <w:autoSpaceDN/>
        <w:bidi w:val="0"/>
        <w:adjustRightInd/>
        <w:snapToGrid w:val="0"/>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2.我单位参与本项目</w:t>
      </w:r>
      <w:r>
        <w:rPr>
          <w:rFonts w:hint="eastAsia" w:asciiTheme="minorEastAsia" w:hAnsiTheme="minorEastAsia" w:eastAsiaTheme="minorEastAsia" w:cstheme="minorEastAsia"/>
          <w:highlight w:val="none"/>
        </w:rPr>
        <w:t>政府采购活动时不存在被有关部门禁止参与政府采购活动且在有效期内的情况。</w:t>
      </w:r>
    </w:p>
    <w:p>
      <w:pPr>
        <w:keepNext w:val="0"/>
        <w:keepLines w:val="0"/>
        <w:pageBreakBefore w:val="0"/>
        <w:kinsoku/>
        <w:wordWrap/>
        <w:overflowPunct/>
        <w:topLinePunct w:val="0"/>
        <w:autoSpaceDE/>
        <w:autoSpaceDN/>
        <w:bidi w:val="0"/>
        <w:adjustRightInd/>
        <w:snapToGrid w:val="0"/>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3.我单位具备《中华人民共和国政府采购法》第二十二条第一款规定的六项条件。</w:t>
      </w:r>
    </w:p>
    <w:p>
      <w:pPr>
        <w:keepNext w:val="0"/>
        <w:keepLines w:val="0"/>
        <w:pageBreakBefore w:val="0"/>
        <w:kinsoku/>
        <w:wordWrap/>
        <w:overflowPunct/>
        <w:topLinePunct w:val="0"/>
        <w:autoSpaceDE/>
        <w:autoSpaceDN/>
        <w:bidi w:val="0"/>
        <w:adjustRightInd/>
        <w:snapToGrid w:val="0"/>
        <w:ind w:firstLine="420" w:firstLineChars="200"/>
        <w:textAlignment w:val="auto"/>
        <w:rPr>
          <w:rFonts w:hint="eastAsia" w:asciiTheme="minorEastAsia" w:hAnsiTheme="minorEastAsia" w:eastAsiaTheme="minorEastAsia" w:cstheme="minorEastAsia"/>
          <w:color w:val="010000"/>
          <w:highlight w:val="none"/>
        </w:rPr>
      </w:pPr>
      <w:r>
        <w:rPr>
          <w:rFonts w:hint="eastAsia" w:asciiTheme="minorEastAsia" w:hAnsiTheme="minorEastAsia" w:eastAsiaTheme="minorEastAsia" w:cstheme="minorEastAsia"/>
          <w:szCs w:val="21"/>
          <w:highlight w:val="none"/>
        </w:rPr>
        <w:t>4.我单</w:t>
      </w:r>
      <w:r>
        <w:rPr>
          <w:rFonts w:hint="eastAsia" w:asciiTheme="minorEastAsia" w:hAnsiTheme="minorEastAsia" w:eastAsiaTheme="minorEastAsia" w:cstheme="minorEastAsia"/>
          <w:color w:val="010000"/>
          <w:szCs w:val="21"/>
          <w:highlight w:val="none"/>
        </w:rPr>
        <w:t>位</w:t>
      </w:r>
      <w:r>
        <w:rPr>
          <w:rFonts w:hint="eastAsia" w:asciiTheme="minorEastAsia" w:hAnsiTheme="minorEastAsia" w:eastAsiaTheme="minorEastAsia" w:cstheme="minorEastAsia"/>
          <w:color w:val="010000"/>
          <w:highlight w:val="none"/>
        </w:rPr>
        <w:t>未被列入失信被执行人、重大税收违法案件当事人名单、政府采购严重违法失信行为记录名单。</w:t>
      </w:r>
    </w:p>
    <w:p>
      <w:pPr>
        <w:keepNext w:val="0"/>
        <w:keepLines w:val="0"/>
        <w:pageBreakBefore w:val="0"/>
        <w:kinsoku/>
        <w:wordWrap/>
        <w:overflowPunct/>
        <w:topLinePunct w:val="0"/>
        <w:autoSpaceDE/>
        <w:autoSpaceDN/>
        <w:bidi w:val="0"/>
        <w:adjustRightInd/>
        <w:snapToGrid w:val="0"/>
        <w:ind w:firstLine="420" w:firstLineChars="200"/>
        <w:textAlignment w:val="auto"/>
        <w:rPr>
          <w:rFonts w:hint="eastAsia" w:asciiTheme="minorEastAsia" w:hAnsiTheme="minorEastAsia" w:eastAsiaTheme="minorEastAsia" w:cstheme="minorEastAsia"/>
          <w:color w:val="010000"/>
          <w:highlight w:val="none"/>
          <w:lang w:val="en-US" w:eastAsia="zh-CN"/>
        </w:rPr>
      </w:pPr>
      <w:r>
        <w:rPr>
          <w:rFonts w:hint="eastAsia" w:asciiTheme="minorEastAsia" w:hAnsiTheme="minorEastAsia" w:eastAsiaTheme="minorEastAsia" w:cstheme="minorEastAsia"/>
          <w:color w:val="010000"/>
          <w:highlight w:val="none"/>
          <w:lang w:val="en-US" w:eastAsia="zh-CN"/>
        </w:rPr>
        <w:t>5.我单位不存在《深圳市财政局政府采购供应商信用信息管理办法》（深财规〔2023〕3号）列明的严重违法失信行为。</w:t>
      </w:r>
    </w:p>
    <w:p>
      <w:pPr>
        <w:keepNext w:val="0"/>
        <w:keepLines w:val="0"/>
        <w:pageBreakBefore w:val="0"/>
        <w:kinsoku/>
        <w:wordWrap/>
        <w:overflowPunct/>
        <w:topLinePunct w:val="0"/>
        <w:autoSpaceDE/>
        <w:autoSpaceDN/>
        <w:bidi w:val="0"/>
        <w:adjustRightInd/>
        <w:snapToGrid w:val="0"/>
        <w:ind w:firstLine="420" w:firstLineChars="200"/>
        <w:textAlignment w:val="auto"/>
        <w:rPr>
          <w:rFonts w:hint="eastAsia" w:asciiTheme="minorEastAsia" w:hAnsiTheme="minorEastAsia" w:eastAsiaTheme="minorEastAsia" w:cstheme="minorEastAsia"/>
          <w:color w:val="010000"/>
          <w:szCs w:val="21"/>
          <w:highlight w:val="none"/>
        </w:rPr>
      </w:pPr>
      <w:r>
        <w:rPr>
          <w:rFonts w:hint="eastAsia" w:asciiTheme="minorEastAsia" w:hAnsiTheme="minorEastAsia" w:eastAsiaTheme="minorEastAsia" w:cstheme="minorEastAsia"/>
          <w:color w:val="010000"/>
          <w:szCs w:val="21"/>
          <w:highlight w:val="none"/>
          <w:lang w:val="en-US" w:eastAsia="zh-CN"/>
        </w:rPr>
        <w:t>6</w:t>
      </w:r>
      <w:r>
        <w:rPr>
          <w:rFonts w:hint="eastAsia" w:asciiTheme="minorEastAsia" w:hAnsiTheme="minorEastAsia" w:eastAsiaTheme="minorEastAsia" w:cstheme="minorEastAsia"/>
          <w:color w:val="010000"/>
          <w:szCs w:val="21"/>
          <w:highlight w:val="none"/>
        </w:rPr>
        <w:t>.</w:t>
      </w:r>
      <w:bookmarkStart w:id="21" w:name="_Hlk72587269"/>
      <w:bookmarkStart w:id="22" w:name="_Hlk72587299"/>
      <w:r>
        <w:rPr>
          <w:rFonts w:hint="eastAsia" w:asciiTheme="minorEastAsia" w:hAnsiTheme="minorEastAsia" w:eastAsiaTheme="minorEastAsia" w:cstheme="minorEastAsia"/>
          <w:color w:val="010000"/>
          <w:szCs w:val="21"/>
          <w:highlight w:val="none"/>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21"/>
      <w:r>
        <w:rPr>
          <w:rFonts w:hint="eastAsia" w:asciiTheme="minorEastAsia" w:hAnsiTheme="minorEastAsia" w:eastAsiaTheme="minorEastAsia" w:cstheme="minorEastAsia"/>
          <w:color w:val="010000"/>
          <w:szCs w:val="21"/>
          <w:highlight w:val="none"/>
        </w:rPr>
        <w:t>。</w:t>
      </w:r>
    </w:p>
    <w:bookmarkEnd w:id="22"/>
    <w:p>
      <w:pPr>
        <w:keepNext w:val="0"/>
        <w:keepLines w:val="0"/>
        <w:pageBreakBefore w:val="0"/>
        <w:kinsoku/>
        <w:wordWrap/>
        <w:overflowPunct/>
        <w:topLinePunct w:val="0"/>
        <w:autoSpaceDE/>
        <w:autoSpaceDN/>
        <w:bidi w:val="0"/>
        <w:adjustRightInd/>
        <w:snapToGrid w:val="0"/>
        <w:ind w:firstLine="420" w:firstLineChars="200"/>
        <w:textAlignment w:val="auto"/>
        <w:rPr>
          <w:rFonts w:hint="eastAsia" w:asciiTheme="minorEastAsia" w:hAnsiTheme="minorEastAsia" w:eastAsiaTheme="minorEastAsia" w:cstheme="minorEastAsia"/>
          <w:color w:val="010000"/>
          <w:szCs w:val="21"/>
          <w:highlight w:val="none"/>
        </w:rPr>
      </w:pPr>
      <w:r>
        <w:rPr>
          <w:rFonts w:hint="eastAsia" w:asciiTheme="minorEastAsia" w:hAnsiTheme="minorEastAsia" w:eastAsiaTheme="minorEastAsia" w:cstheme="minorEastAsia"/>
          <w:color w:val="010000"/>
          <w:szCs w:val="21"/>
          <w:highlight w:val="none"/>
          <w:lang w:val="en-US" w:eastAsia="zh-CN"/>
        </w:rPr>
        <w:t>7</w:t>
      </w:r>
      <w:r>
        <w:rPr>
          <w:rFonts w:hint="eastAsia" w:asciiTheme="minorEastAsia" w:hAnsiTheme="minorEastAsia" w:eastAsiaTheme="minorEastAsia" w:cstheme="minorEastAsia"/>
          <w:color w:val="010000"/>
          <w:szCs w:val="21"/>
          <w:highlight w:val="none"/>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keepNext w:val="0"/>
        <w:keepLines w:val="0"/>
        <w:pageBreakBefore w:val="0"/>
        <w:kinsoku/>
        <w:wordWrap/>
        <w:overflowPunct/>
        <w:topLinePunct w:val="0"/>
        <w:autoSpaceDE/>
        <w:autoSpaceDN/>
        <w:bidi w:val="0"/>
        <w:adjustRightInd/>
        <w:snapToGrid w:val="0"/>
        <w:ind w:firstLine="420" w:firstLineChars="200"/>
        <w:textAlignment w:val="auto"/>
        <w:rPr>
          <w:rFonts w:hint="eastAsia" w:asciiTheme="minorEastAsia" w:hAnsiTheme="minorEastAsia" w:eastAsiaTheme="minorEastAsia" w:cstheme="minorEastAsia"/>
          <w:color w:val="010000"/>
          <w:szCs w:val="21"/>
          <w:highlight w:val="none"/>
        </w:rPr>
      </w:pPr>
      <w:r>
        <w:rPr>
          <w:rFonts w:hint="eastAsia" w:asciiTheme="minorEastAsia" w:hAnsiTheme="minorEastAsia" w:eastAsiaTheme="minorEastAsia" w:cstheme="minorEastAsia"/>
          <w:color w:val="010000"/>
          <w:szCs w:val="21"/>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keepNext w:val="0"/>
        <w:keepLines w:val="0"/>
        <w:pageBreakBefore w:val="0"/>
        <w:kinsoku/>
        <w:wordWrap/>
        <w:overflowPunct/>
        <w:topLinePunct w:val="0"/>
        <w:autoSpaceDE/>
        <w:autoSpaceDN/>
        <w:bidi w:val="0"/>
        <w:adjustRightInd/>
        <w:snapToGrid w:val="0"/>
        <w:ind w:firstLine="420" w:firstLineChars="200"/>
        <w:textAlignment w:val="auto"/>
        <w:rPr>
          <w:rFonts w:hint="eastAsia" w:asciiTheme="minorEastAsia" w:hAnsiTheme="minorEastAsia" w:eastAsiaTheme="minorEastAsia" w:cstheme="minorEastAsia"/>
          <w:color w:val="010000"/>
          <w:szCs w:val="21"/>
          <w:highlight w:val="none"/>
        </w:rPr>
      </w:pPr>
      <w:r>
        <w:rPr>
          <w:rFonts w:hint="eastAsia" w:asciiTheme="minorEastAsia" w:hAnsiTheme="minorEastAsia" w:eastAsiaTheme="minorEastAsia" w:cstheme="minorEastAsia"/>
          <w:color w:val="010000"/>
          <w:szCs w:val="21"/>
          <w:highlight w:val="none"/>
          <w:lang w:val="en-US" w:eastAsia="zh-CN"/>
        </w:rPr>
        <w:t>8</w:t>
      </w:r>
      <w:r>
        <w:rPr>
          <w:rFonts w:hint="eastAsia" w:asciiTheme="minorEastAsia" w:hAnsiTheme="minorEastAsia" w:eastAsiaTheme="minorEastAsia" w:cstheme="minorEastAsia"/>
          <w:color w:val="010000"/>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kinsoku/>
        <w:wordWrap/>
        <w:overflowPunct/>
        <w:topLinePunct w:val="0"/>
        <w:autoSpaceDE/>
        <w:autoSpaceDN/>
        <w:bidi w:val="0"/>
        <w:adjustRightInd/>
        <w:snapToGrid w:val="0"/>
        <w:ind w:firstLine="420" w:firstLineChars="200"/>
        <w:textAlignment w:val="auto"/>
        <w:rPr>
          <w:rFonts w:hint="eastAsia" w:asciiTheme="minorEastAsia" w:hAnsiTheme="minorEastAsia" w:eastAsiaTheme="minorEastAsia" w:cstheme="minorEastAsia"/>
          <w:color w:val="010000"/>
          <w:szCs w:val="21"/>
          <w:highlight w:val="none"/>
        </w:rPr>
      </w:pPr>
      <w:r>
        <w:rPr>
          <w:rFonts w:hint="eastAsia" w:asciiTheme="minorEastAsia" w:hAnsiTheme="minorEastAsia" w:eastAsiaTheme="minorEastAsia" w:cstheme="minorEastAsia"/>
          <w:color w:val="010000"/>
          <w:szCs w:val="21"/>
          <w:highlight w:val="none"/>
          <w:lang w:val="en-US" w:eastAsia="zh-CN"/>
        </w:rPr>
        <w:t>9</w:t>
      </w:r>
      <w:r>
        <w:rPr>
          <w:rFonts w:hint="eastAsia" w:asciiTheme="minorEastAsia" w:hAnsiTheme="minorEastAsia" w:eastAsiaTheme="minorEastAsia" w:cstheme="minorEastAsia"/>
          <w:color w:val="010000"/>
          <w:szCs w:val="21"/>
          <w:highlight w:val="none"/>
        </w:rPr>
        <w:t>.我单位承诺中标后项目不转包，未经采购人同意不进行分包。</w:t>
      </w:r>
    </w:p>
    <w:p>
      <w:pPr>
        <w:keepNext w:val="0"/>
        <w:keepLines w:val="0"/>
        <w:pageBreakBefore w:val="0"/>
        <w:kinsoku/>
        <w:wordWrap/>
        <w:overflowPunct/>
        <w:topLinePunct w:val="0"/>
        <w:autoSpaceDE/>
        <w:autoSpaceDN/>
        <w:bidi w:val="0"/>
        <w:adjustRightInd/>
        <w:snapToGrid w:val="0"/>
        <w:ind w:firstLine="420" w:firstLineChars="200"/>
        <w:textAlignment w:val="auto"/>
        <w:rPr>
          <w:rFonts w:hint="eastAsia" w:asciiTheme="minorEastAsia" w:hAnsiTheme="minorEastAsia" w:eastAsiaTheme="minorEastAsia" w:cstheme="minorEastAsia"/>
          <w:color w:val="010000"/>
          <w:highlight w:val="none"/>
        </w:rPr>
      </w:pPr>
      <w:r>
        <w:rPr>
          <w:rFonts w:hint="eastAsia" w:asciiTheme="minorEastAsia" w:hAnsiTheme="minorEastAsia" w:eastAsiaTheme="minorEastAsia" w:cstheme="minorEastAsia"/>
          <w:color w:val="010000"/>
          <w:szCs w:val="21"/>
          <w:highlight w:val="none"/>
          <w:lang w:val="en-US" w:eastAsia="zh-CN"/>
        </w:rPr>
        <w:t>10</w:t>
      </w:r>
      <w:r>
        <w:rPr>
          <w:rFonts w:hint="eastAsia" w:asciiTheme="minorEastAsia" w:hAnsiTheme="minorEastAsia" w:eastAsiaTheme="minorEastAsia" w:cstheme="minorEastAsia"/>
          <w:color w:val="010000"/>
          <w:szCs w:val="21"/>
          <w:highlight w:val="none"/>
        </w:rPr>
        <w:t>.</w:t>
      </w:r>
      <w:r>
        <w:rPr>
          <w:rFonts w:hint="eastAsia" w:asciiTheme="minorEastAsia" w:hAnsiTheme="minorEastAsia" w:eastAsiaTheme="minorEastAsia" w:cstheme="minorEastAsia"/>
          <w:color w:val="010000"/>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keepNext w:val="0"/>
        <w:keepLines w:val="0"/>
        <w:pageBreakBefore w:val="0"/>
        <w:kinsoku/>
        <w:wordWrap/>
        <w:overflowPunct/>
        <w:topLinePunct w:val="0"/>
        <w:autoSpaceDE/>
        <w:autoSpaceDN/>
        <w:bidi w:val="0"/>
        <w:adjustRightInd/>
        <w:snapToGrid w:val="0"/>
        <w:ind w:firstLine="420" w:firstLineChars="200"/>
        <w:textAlignment w:val="auto"/>
        <w:rPr>
          <w:rFonts w:hint="eastAsia" w:asciiTheme="minorEastAsia" w:hAnsiTheme="minorEastAsia" w:eastAsiaTheme="minorEastAsia" w:cstheme="minorEastAsia"/>
          <w:color w:val="010000"/>
          <w:highlight w:val="none"/>
          <w:lang w:val="en-US" w:eastAsia="zh-CN"/>
        </w:rPr>
      </w:pPr>
      <w:r>
        <w:rPr>
          <w:rFonts w:hint="eastAsia" w:asciiTheme="minorEastAsia" w:hAnsiTheme="minorEastAsia" w:eastAsiaTheme="minorEastAsia" w:cstheme="minorEastAsia"/>
          <w:color w:val="010000"/>
          <w:highlight w:val="none"/>
        </w:rPr>
        <w:t>1</w:t>
      </w:r>
      <w:r>
        <w:rPr>
          <w:rFonts w:hint="eastAsia" w:asciiTheme="minorEastAsia" w:hAnsiTheme="minorEastAsia" w:eastAsiaTheme="minorEastAsia" w:cstheme="minorEastAsia"/>
          <w:color w:val="010000"/>
          <w:highlight w:val="none"/>
          <w:lang w:val="en-US" w:eastAsia="zh-CN"/>
        </w:rPr>
        <w:t>1</w:t>
      </w:r>
      <w:r>
        <w:rPr>
          <w:rFonts w:hint="eastAsia" w:asciiTheme="minorEastAsia" w:hAnsiTheme="minorEastAsia" w:eastAsiaTheme="minorEastAsia" w:cstheme="minorEastAsia"/>
          <w:color w:val="010000"/>
          <w:highlight w:val="none"/>
        </w:rPr>
        <w:t>.我单位保证，若所投货物涉及《财政部生态环境部关于印发节能产品政府采购品目清单的通知》（财库〔2019〕19号）列明的政府采购强制产品，则所投该产品符合节能产品的认证要求。</w:t>
      </w:r>
      <w:r>
        <w:rPr>
          <w:rFonts w:hint="eastAsia" w:asciiTheme="minorEastAsia" w:hAnsiTheme="minorEastAsia" w:eastAsiaTheme="minorEastAsia" w:cstheme="minorEastAsia"/>
          <w:color w:val="010000"/>
          <w:highlight w:val="none"/>
          <w:lang w:val="en-US" w:eastAsia="zh-CN"/>
        </w:rPr>
        <w:t>若所投产品包括数据中心相关设备的，应满足</w:t>
      </w:r>
      <w:r>
        <w:rPr>
          <w:rFonts w:hint="eastAsia" w:asciiTheme="minorEastAsia" w:hAnsiTheme="minorEastAsia" w:eastAsiaTheme="minorEastAsia" w:cstheme="minorEastAsia"/>
          <w:color w:val="010000"/>
          <w:highlight w:val="none"/>
        </w:rPr>
        <w:t>《财政部 生态环境部 工业和信息化部关于印发&lt;绿色数据中心政府采购需求标准（试行）&gt;的通知》</w:t>
      </w:r>
      <w:r>
        <w:rPr>
          <w:rFonts w:hint="eastAsia" w:asciiTheme="minorEastAsia" w:hAnsiTheme="minorEastAsia" w:eastAsiaTheme="minorEastAsia" w:cstheme="minorEastAsia"/>
          <w:color w:val="010000"/>
          <w:highlight w:val="none"/>
          <w:lang w:eastAsia="zh-CN"/>
        </w:rPr>
        <w:t>（</w:t>
      </w:r>
      <w:r>
        <w:rPr>
          <w:rFonts w:hint="eastAsia" w:asciiTheme="minorEastAsia" w:hAnsiTheme="minorEastAsia" w:eastAsiaTheme="minorEastAsia" w:cstheme="minorEastAsia"/>
          <w:color w:val="010000"/>
          <w:highlight w:val="none"/>
        </w:rPr>
        <w:t>财库〔2023〕7号）</w:t>
      </w:r>
      <w:r>
        <w:rPr>
          <w:rFonts w:hint="eastAsia" w:asciiTheme="minorEastAsia" w:hAnsiTheme="minorEastAsia" w:eastAsiaTheme="minorEastAsia" w:cstheme="minorEastAsia"/>
          <w:color w:val="010000"/>
          <w:highlight w:val="none"/>
          <w:lang w:val="en-US" w:eastAsia="zh-CN"/>
        </w:rPr>
        <w:t>要求。若所投产品涉及国家强制性标准的，所投产品应符合国家强制性标准相关要求。</w:t>
      </w:r>
    </w:p>
    <w:p>
      <w:pPr>
        <w:keepNext w:val="0"/>
        <w:keepLines w:val="0"/>
        <w:pageBreakBefore w:val="0"/>
        <w:kinsoku/>
        <w:wordWrap/>
        <w:overflowPunct/>
        <w:topLinePunct w:val="0"/>
        <w:autoSpaceDE/>
        <w:autoSpaceDN/>
        <w:bidi w:val="0"/>
        <w:adjustRightInd/>
        <w:snapToGrid w:val="0"/>
        <w:ind w:firstLine="420" w:firstLineChars="200"/>
        <w:textAlignment w:val="auto"/>
        <w:rPr>
          <w:rFonts w:hint="eastAsia" w:asciiTheme="minorEastAsia" w:hAnsiTheme="minorEastAsia" w:eastAsiaTheme="minorEastAsia" w:cstheme="minorEastAsia"/>
          <w:b w:val="0"/>
          <w:bCs/>
          <w:color w:val="010000"/>
          <w:highlight w:val="none"/>
        </w:rPr>
      </w:pPr>
      <w:r>
        <w:rPr>
          <w:rFonts w:hint="eastAsia" w:asciiTheme="minorEastAsia" w:hAnsiTheme="minorEastAsia" w:eastAsiaTheme="minorEastAsia" w:cstheme="minorEastAsia"/>
          <w:b w:val="0"/>
          <w:bCs/>
          <w:color w:val="010000"/>
          <w:kern w:val="0"/>
          <w:szCs w:val="21"/>
          <w:highlight w:val="none"/>
        </w:rPr>
        <w:t>1</w:t>
      </w:r>
      <w:r>
        <w:rPr>
          <w:rFonts w:hint="eastAsia" w:asciiTheme="minorEastAsia" w:hAnsiTheme="minorEastAsia" w:eastAsiaTheme="minorEastAsia" w:cstheme="minorEastAsia"/>
          <w:b w:val="0"/>
          <w:bCs/>
          <w:color w:val="010000"/>
          <w:kern w:val="0"/>
          <w:szCs w:val="21"/>
          <w:highlight w:val="none"/>
          <w:lang w:val="en-US" w:eastAsia="zh-CN"/>
        </w:rPr>
        <w:t>2</w:t>
      </w:r>
      <w:r>
        <w:rPr>
          <w:rFonts w:hint="eastAsia" w:asciiTheme="minorEastAsia" w:hAnsiTheme="minorEastAsia" w:eastAsiaTheme="minorEastAsia" w:cstheme="minorEastAsia"/>
          <w:b w:val="0"/>
          <w:bCs/>
          <w:color w:val="010000"/>
          <w:kern w:val="0"/>
          <w:szCs w:val="21"/>
          <w:highlight w:val="none"/>
        </w:rPr>
        <w:t>.</w:t>
      </w:r>
      <w:r>
        <w:rPr>
          <w:rFonts w:hint="eastAsia" w:asciiTheme="minorEastAsia" w:hAnsiTheme="minorEastAsia" w:eastAsiaTheme="minorEastAsia" w:cstheme="minorEastAsia"/>
          <w:b w:val="0"/>
          <w:bCs/>
          <w:color w:val="010000"/>
          <w:highlight w:val="none"/>
        </w:rPr>
        <w:t>我单位已知悉并同意中标（成交）结果信息公示（公开）的内容。</w:t>
      </w:r>
    </w:p>
    <w:p>
      <w:pPr>
        <w:keepNext w:val="0"/>
        <w:keepLines w:val="0"/>
        <w:pageBreakBefore w:val="0"/>
        <w:kinsoku/>
        <w:wordWrap/>
        <w:overflowPunct/>
        <w:topLinePunct w:val="0"/>
        <w:autoSpaceDE/>
        <w:autoSpaceDN/>
        <w:bidi w:val="0"/>
        <w:adjustRightInd/>
        <w:snapToGrid w:val="0"/>
        <w:ind w:firstLine="420" w:firstLineChars="200"/>
        <w:textAlignment w:val="auto"/>
        <w:rPr>
          <w:rFonts w:hint="eastAsia" w:asciiTheme="minorEastAsia" w:hAnsiTheme="minorEastAsia" w:eastAsiaTheme="minorEastAsia" w:cstheme="minorEastAsia"/>
          <w:b/>
          <w:color w:val="FF0000"/>
          <w:kern w:val="0"/>
          <w:szCs w:val="21"/>
          <w:highlight w:val="none"/>
          <w:lang w:eastAsia="zh-CN"/>
        </w:rPr>
      </w:pPr>
      <w:r>
        <w:rPr>
          <w:rFonts w:hint="eastAsia" w:asciiTheme="minorEastAsia" w:hAnsiTheme="minorEastAsia" w:eastAsiaTheme="minorEastAsia" w:cstheme="minorEastAsia"/>
          <w:b w:val="0"/>
          <w:bCs/>
          <w:color w:val="010000"/>
          <w:highlight w:val="none"/>
        </w:rPr>
        <w:t>1</w:t>
      </w:r>
      <w:r>
        <w:rPr>
          <w:rFonts w:hint="eastAsia" w:asciiTheme="minorEastAsia" w:hAnsiTheme="minorEastAsia" w:eastAsiaTheme="minorEastAsia" w:cstheme="minorEastAsia"/>
          <w:b w:val="0"/>
          <w:bCs/>
          <w:color w:val="010000"/>
          <w:highlight w:val="none"/>
          <w:lang w:val="en-US" w:eastAsia="zh-CN"/>
        </w:rPr>
        <w:t>3</w:t>
      </w:r>
      <w:r>
        <w:rPr>
          <w:rFonts w:hint="eastAsia" w:asciiTheme="minorEastAsia" w:hAnsiTheme="minorEastAsia" w:eastAsiaTheme="minorEastAsia" w:cstheme="minorEastAsia"/>
          <w:b w:val="0"/>
          <w:bCs/>
          <w:color w:val="010000"/>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Theme="minorEastAsia" w:hAnsiTheme="minorEastAsia" w:eastAsiaTheme="minorEastAsia" w:cstheme="minorEastAsia"/>
          <w:b w:val="0"/>
          <w:bCs/>
          <w:color w:val="010000"/>
          <w:highlight w:val="none"/>
          <w:lang w:val="en-US" w:eastAsia="zh-CN"/>
        </w:rPr>
        <w:t>若</w:t>
      </w:r>
      <w:r>
        <w:rPr>
          <w:rFonts w:hint="eastAsia" w:asciiTheme="minorEastAsia" w:hAnsiTheme="minorEastAsia" w:eastAsiaTheme="minorEastAsia" w:cstheme="minorEastAsia"/>
          <w:b w:val="0"/>
          <w:bCs/>
          <w:color w:val="010000"/>
          <w:highlight w:val="none"/>
        </w:rPr>
        <w:t>存在“不同供应商的董事、股东或其他高级管理人员为同一人的”情形的，</w:t>
      </w:r>
      <w:r>
        <w:rPr>
          <w:rFonts w:hint="eastAsia" w:asciiTheme="minorEastAsia" w:hAnsiTheme="minorEastAsia" w:eastAsiaTheme="minorEastAsia" w:cstheme="minorEastAsia"/>
          <w:b w:val="0"/>
          <w:bCs/>
          <w:color w:val="010000"/>
          <w:highlight w:val="none"/>
          <w:lang w:val="en-US" w:eastAsia="zh-CN"/>
        </w:rPr>
        <w:t>我单位保证</w:t>
      </w:r>
      <w:r>
        <w:rPr>
          <w:rFonts w:hint="eastAsia" w:asciiTheme="minorEastAsia" w:hAnsiTheme="minorEastAsia" w:eastAsiaTheme="minorEastAsia" w:cstheme="minorEastAsia"/>
          <w:b w:val="0"/>
          <w:bCs/>
          <w:color w:val="010000"/>
          <w:highlight w:val="none"/>
        </w:rPr>
        <w:t>不存在串通投标、恶意串通或者视为串通投标的情形</w:t>
      </w:r>
      <w:r>
        <w:rPr>
          <w:rFonts w:hint="eastAsia" w:asciiTheme="minorEastAsia" w:hAnsiTheme="minorEastAsia" w:eastAsiaTheme="minorEastAsia" w:cstheme="minorEastAsia"/>
          <w:b w:val="0"/>
          <w:bCs/>
          <w:color w:val="010000"/>
          <w:highlight w:val="none"/>
          <w:lang w:eastAsia="zh-CN"/>
        </w:rPr>
        <w:t>。</w:t>
      </w:r>
    </w:p>
    <w:p>
      <w:pPr>
        <w:keepNext w:val="0"/>
        <w:keepLines w:val="0"/>
        <w:pageBreakBefore w:val="0"/>
        <w:kinsoku/>
        <w:wordWrap/>
        <w:overflowPunct/>
        <w:topLinePunct w:val="0"/>
        <w:autoSpaceDE/>
        <w:autoSpaceDN/>
        <w:bidi w:val="0"/>
        <w:adjustRightInd/>
        <w:snapToGrid w:val="0"/>
        <w:ind w:firstLine="422" w:firstLineChars="200"/>
        <w:textAlignment w:val="auto"/>
        <w:rPr>
          <w:rFonts w:hint="eastAsia" w:asciiTheme="minorEastAsia" w:hAnsiTheme="minorEastAsia" w:eastAsiaTheme="minorEastAsia" w:cstheme="minorEastAsia"/>
          <w:b/>
          <w:szCs w:val="21"/>
          <w:highlight w:val="none"/>
          <w:lang w:val="en-US"/>
        </w:rPr>
      </w:pPr>
      <w:r>
        <w:rPr>
          <w:rFonts w:hint="eastAsia" w:asciiTheme="minorEastAsia" w:hAnsiTheme="minorEastAsia" w:eastAsiaTheme="minorEastAsia" w:cstheme="minorEastAsia"/>
          <w:b/>
          <w:highlight w:val="none"/>
          <w:lang w:val="en-US" w:eastAsia="zh-CN"/>
        </w:rPr>
        <w:t>14.我单位清楚，如存在违反投标承诺行为情节严重的，将根据《深圳市财政局关于印发&lt;深圳市财政局政府采购供应商信用信息管理办法&gt;的通知》，依法被列入失信信息。</w:t>
      </w:r>
    </w:p>
    <w:p>
      <w:pPr>
        <w:ind w:firstLine="422" w:firstLineChars="200"/>
        <w:rPr>
          <w:rFonts w:ascii="宋体" w:hAnsi="宋体"/>
          <w:b/>
          <w:highlight w:val="none"/>
        </w:rPr>
      </w:pPr>
    </w:p>
    <w:p>
      <w:pPr>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以上承诺，如有违反，愿依照国家相关法律法规处理，并承担由此给采购人带来的损失。</w:t>
      </w:r>
    </w:p>
    <w:p>
      <w:pPr>
        <w:ind w:firstLine="480" w:firstLineChars="200"/>
        <w:rPr>
          <w:rFonts w:hint="eastAsia" w:ascii="宋体" w:hAnsi="宋体" w:eastAsia="宋体" w:cs="Times New Roman"/>
          <w:szCs w:val="21"/>
          <w:highlight w:val="none"/>
        </w:rPr>
      </w:pPr>
      <w:r>
        <w:rPr>
          <w:rFonts w:hint="eastAsia" w:ascii="宋体" w:hAnsi="宋体" w:eastAsia="宋体" w:cs="Times New Roman"/>
          <w:sz w:val="24"/>
          <w:szCs w:val="24"/>
          <w:highlight w:val="none"/>
        </w:rPr>
        <w:t xml:space="preserve">                        </w:t>
      </w:r>
      <w:r>
        <w:rPr>
          <w:rFonts w:hint="eastAsia" w:ascii="宋体" w:hAnsi="宋体" w:eastAsia="宋体" w:cs="Times New Roman"/>
          <w:szCs w:val="21"/>
          <w:highlight w:val="none"/>
        </w:rPr>
        <w:t>投标单位（投标人）名称：</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rPr>
        <w:t xml:space="preserve">                </w:t>
      </w:r>
    </w:p>
    <w:p>
      <w:pPr>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                                  </w:t>
      </w: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rPr>
        <w:t>年</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月</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日</w:t>
      </w:r>
    </w:p>
    <w:p>
      <w:pPr>
        <w:widowControl/>
        <w:rPr>
          <w:rFonts w:ascii="宋体" w:hAnsi="宋体" w:eastAsia="宋体" w:cs="Times New Roman"/>
          <w:b/>
          <w:color w:val="FF0000"/>
          <w:kern w:val="0"/>
          <w:sz w:val="24"/>
          <w:szCs w:val="24"/>
          <w:highlight w:val="none"/>
        </w:rPr>
      </w:pPr>
      <w:r>
        <w:rPr>
          <w:rFonts w:hint="eastAsia" w:ascii="宋体" w:hAnsi="宋体" w:eastAsia="宋体" w:cs="Times New Roman"/>
          <w:b/>
          <w:color w:val="FF0000"/>
          <w:kern w:val="0"/>
          <w:szCs w:val="21"/>
          <w:highlight w:val="none"/>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pPr>
        <w:keepNext/>
        <w:keepLines/>
        <w:pageBreakBefore/>
        <w:numPr>
          <w:ilvl w:val="0"/>
          <w:numId w:val="0"/>
        </w:numPr>
        <w:adjustRightInd w:val="0"/>
        <w:snapToGrid w:val="0"/>
        <w:spacing w:line="360" w:lineRule="auto"/>
        <w:jc w:val="center"/>
        <w:textAlignment w:val="baseline"/>
        <w:outlineLvl w:val="3"/>
        <w:rPr>
          <w:rFonts w:hint="eastAsia" w:ascii="宋体" w:hAnsi="宋体" w:eastAsia="宋体" w:cs="Times New Roman"/>
          <w:b/>
          <w:bCs/>
          <w:kern w:val="0"/>
          <w:sz w:val="24"/>
          <w:szCs w:val="20"/>
          <w:highlight w:val="none"/>
        </w:rPr>
      </w:pPr>
      <w:r>
        <w:rPr>
          <w:rFonts w:hint="eastAsia" w:ascii="宋体" w:hAnsi="宋体" w:eastAsia="宋体" w:cs="Times New Roman"/>
          <w:b/>
          <w:bCs/>
          <w:kern w:val="0"/>
          <w:sz w:val="24"/>
          <w:szCs w:val="20"/>
          <w:highlight w:val="none"/>
          <w:lang w:val="en-US" w:eastAsia="zh-CN"/>
        </w:rPr>
        <w:t>3.</w:t>
      </w:r>
      <w:r>
        <w:rPr>
          <w:rFonts w:hint="eastAsia" w:ascii="宋体" w:hAnsi="宋体" w:eastAsia="宋体" w:cs="Times New Roman"/>
          <w:b/>
          <w:bCs/>
          <w:kern w:val="0"/>
          <w:sz w:val="24"/>
          <w:szCs w:val="20"/>
          <w:highlight w:val="none"/>
        </w:rPr>
        <w:t>投标人情况及资格证明文件</w:t>
      </w:r>
    </w:p>
    <w:p>
      <w:pPr>
        <w:spacing w:before="120" w:beforeLines="50"/>
        <w:jc w:val="center"/>
        <w:rPr>
          <w:rFonts w:hint="eastAsia"/>
          <w:b/>
          <w:bCs/>
          <w:color w:val="FF0000"/>
          <w:highlight w:val="none"/>
        </w:rPr>
      </w:pPr>
      <w:r>
        <w:rPr>
          <w:rFonts w:hint="eastAsia" w:ascii="黑体" w:hAnsi="宋体" w:eastAsia="黑体"/>
          <w:bCs/>
          <w:kern w:val="0"/>
          <w:sz w:val="24"/>
          <w:szCs w:val="32"/>
          <w:highlight w:val="none"/>
          <w:lang w:eastAsia="zh-CN"/>
        </w:rPr>
        <w:t>（</w:t>
      </w:r>
      <w:r>
        <w:rPr>
          <w:rFonts w:hint="eastAsia" w:ascii="黑体" w:hAnsi="宋体" w:eastAsia="黑体"/>
          <w:bCs/>
          <w:kern w:val="0"/>
          <w:sz w:val="24"/>
          <w:szCs w:val="32"/>
          <w:highlight w:val="none"/>
          <w:lang w:val="en-US" w:eastAsia="zh-CN"/>
        </w:rPr>
        <w:t>1</w:t>
      </w:r>
      <w:r>
        <w:rPr>
          <w:rFonts w:hint="eastAsia" w:ascii="黑体" w:hAnsi="宋体" w:eastAsia="黑体"/>
          <w:bCs/>
          <w:kern w:val="0"/>
          <w:sz w:val="24"/>
          <w:szCs w:val="32"/>
          <w:highlight w:val="none"/>
          <w:lang w:eastAsia="zh-CN"/>
        </w:rPr>
        <w:t>）</w:t>
      </w:r>
      <w:r>
        <w:rPr>
          <w:rFonts w:hint="eastAsia" w:ascii="黑体" w:hAnsi="宋体" w:eastAsia="黑体"/>
          <w:bCs/>
          <w:kern w:val="0"/>
          <w:sz w:val="24"/>
          <w:szCs w:val="32"/>
          <w:highlight w:val="none"/>
        </w:rPr>
        <w:t>投标人资格证明文件</w:t>
      </w:r>
    </w:p>
    <w:p>
      <w:pPr>
        <w:spacing w:before="120" w:beforeLines="50"/>
        <w:jc w:val="center"/>
        <w:rPr>
          <w:rFonts w:hint="eastAsia"/>
          <w:b/>
          <w:bCs/>
          <w:color w:val="FF0000"/>
          <w:highlight w:val="none"/>
        </w:rPr>
      </w:pPr>
      <w:r>
        <w:rPr>
          <w:rFonts w:hint="eastAsia"/>
          <w:b/>
          <w:bCs/>
          <w:color w:val="FF0000"/>
          <w:highlight w:val="none"/>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且已在“2.政府采购投标及履约承诺函”章节中提供了，此处可不重复提供。）</w:t>
      </w:r>
    </w:p>
    <w:p>
      <w:pPr>
        <w:spacing w:before="120" w:beforeLines="50"/>
        <w:jc w:val="center"/>
        <w:rPr>
          <w:rFonts w:hint="eastAsia"/>
          <w:b/>
          <w:bCs/>
          <w:color w:val="FF0000"/>
          <w:highlight w:val="none"/>
        </w:rPr>
      </w:pPr>
    </w:p>
    <w:p>
      <w:pPr>
        <w:pStyle w:val="9"/>
        <w:rPr>
          <w:rFonts w:hint="eastAsia"/>
          <w:highlight w:val="none"/>
        </w:rPr>
      </w:pPr>
    </w:p>
    <w:p>
      <w:pPr>
        <w:spacing w:before="120" w:beforeLines="50"/>
        <w:jc w:val="center"/>
        <w:rPr>
          <w:rFonts w:hint="default" w:ascii="宋体" w:hAnsi="宋体" w:eastAsia="宋体" w:cs="Times New Roman"/>
          <w:b/>
          <w:bCs/>
          <w:kern w:val="0"/>
          <w:sz w:val="24"/>
          <w:szCs w:val="20"/>
          <w:highlight w:val="none"/>
          <w:lang w:val="en-US"/>
        </w:rPr>
      </w:pPr>
      <w:r>
        <w:rPr>
          <w:rFonts w:hint="eastAsia" w:ascii="黑体" w:hAnsi="宋体" w:eastAsia="黑体"/>
          <w:bCs/>
          <w:kern w:val="0"/>
          <w:sz w:val="24"/>
          <w:szCs w:val="32"/>
          <w:highlight w:val="none"/>
          <w:lang w:eastAsia="zh-CN"/>
        </w:rPr>
        <w:t>（</w:t>
      </w:r>
      <w:r>
        <w:rPr>
          <w:rFonts w:hint="eastAsia" w:ascii="黑体" w:hAnsi="宋体" w:eastAsia="黑体"/>
          <w:bCs/>
          <w:kern w:val="0"/>
          <w:sz w:val="24"/>
          <w:szCs w:val="32"/>
          <w:highlight w:val="none"/>
          <w:lang w:val="en-US" w:eastAsia="zh-CN"/>
        </w:rPr>
        <w:t>2</w:t>
      </w:r>
      <w:r>
        <w:rPr>
          <w:rFonts w:hint="eastAsia" w:ascii="黑体" w:hAnsi="宋体" w:eastAsia="黑体"/>
          <w:bCs/>
          <w:kern w:val="0"/>
          <w:sz w:val="24"/>
          <w:szCs w:val="32"/>
          <w:highlight w:val="none"/>
          <w:lang w:eastAsia="zh-CN"/>
        </w:rPr>
        <w:t>）</w:t>
      </w:r>
      <w:r>
        <w:rPr>
          <w:rFonts w:hint="eastAsia" w:ascii="黑体" w:hAnsi="宋体" w:eastAsia="黑体"/>
          <w:bCs/>
          <w:kern w:val="0"/>
          <w:sz w:val="24"/>
          <w:szCs w:val="32"/>
          <w:highlight w:val="none"/>
        </w:rPr>
        <w:t>中小企业声明函、残疾人福利性单位声明函及监狱企业声明函</w:t>
      </w:r>
    </w:p>
    <w:p>
      <w:pPr>
        <w:snapToGrid w:val="0"/>
        <w:rPr>
          <w:rFonts w:hint="eastAsia" w:ascii="黑体" w:hAnsi="黑体" w:eastAsia="黑体" w:cs="黑体"/>
          <w:b w:val="0"/>
          <w:bCs/>
          <w:color w:val="FF0000"/>
          <w:sz w:val="21"/>
          <w:szCs w:val="21"/>
          <w:highlight w:val="none"/>
        </w:rPr>
      </w:pPr>
      <w:r>
        <w:rPr>
          <w:rFonts w:hint="eastAsia" w:ascii="黑体" w:hAnsi="黑体" w:eastAsia="黑体" w:cs="黑体"/>
          <w:b w:val="0"/>
          <w:bCs/>
          <w:color w:val="FF0000"/>
          <w:sz w:val="21"/>
          <w:szCs w:val="21"/>
          <w:highlight w:val="none"/>
        </w:rPr>
        <w:t>填写指引：</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黑体" w:hAnsi="黑体" w:eastAsia="黑体" w:cs="黑体"/>
          <w:b w:val="0"/>
          <w:bCs/>
          <w:color w:val="FF0000"/>
          <w:sz w:val="21"/>
          <w:szCs w:val="21"/>
          <w:highlight w:val="none"/>
        </w:rPr>
      </w:pPr>
      <w:r>
        <w:rPr>
          <w:rFonts w:hint="eastAsia" w:ascii="黑体" w:hAnsi="黑体" w:eastAsia="黑体" w:cs="黑体"/>
          <w:b w:val="0"/>
          <w:bCs/>
          <w:color w:val="FF0000"/>
          <w:sz w:val="21"/>
          <w:szCs w:val="21"/>
          <w:highlight w:val="none"/>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黑体" w:hAnsi="黑体" w:eastAsia="黑体" w:cs="黑体"/>
          <w:b w:val="0"/>
          <w:bCs/>
          <w:color w:val="FF0000"/>
          <w:sz w:val="21"/>
          <w:szCs w:val="21"/>
          <w:highlight w:val="none"/>
        </w:rPr>
      </w:pPr>
      <w:r>
        <w:rPr>
          <w:rFonts w:hint="eastAsia" w:ascii="黑体" w:hAnsi="黑体" w:eastAsia="黑体" w:cs="黑体"/>
          <w:b w:val="0"/>
          <w:bCs/>
          <w:color w:val="FF0000"/>
          <w:sz w:val="21"/>
          <w:szCs w:val="21"/>
          <w:highlight w:val="none"/>
        </w:rPr>
        <w:t>2、该部分内容填写需要参考的相关文件：</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黑体" w:hAnsi="黑体" w:eastAsia="黑体" w:cs="黑体"/>
          <w:b w:val="0"/>
          <w:bCs/>
          <w:color w:val="FF0000"/>
          <w:sz w:val="21"/>
          <w:szCs w:val="21"/>
          <w:highlight w:val="none"/>
        </w:rPr>
      </w:pPr>
      <w:r>
        <w:rPr>
          <w:rFonts w:hint="eastAsia" w:ascii="黑体" w:hAnsi="黑体" w:eastAsia="黑体" w:cs="黑体"/>
          <w:b w:val="0"/>
          <w:bCs/>
          <w:color w:val="FF0000"/>
          <w:sz w:val="21"/>
          <w:szCs w:val="21"/>
          <w:highlight w:val="none"/>
        </w:rPr>
        <w:t>(1)财政部《政府采购促进中小企业发展管理办法》（财库〔2020〕46号）；</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黑体" w:hAnsi="黑体" w:eastAsia="黑体" w:cs="黑体"/>
          <w:b w:val="0"/>
          <w:bCs/>
          <w:color w:val="FF0000"/>
          <w:sz w:val="21"/>
          <w:szCs w:val="21"/>
          <w:highlight w:val="none"/>
        </w:rPr>
      </w:pPr>
      <w:r>
        <w:rPr>
          <w:rFonts w:hint="eastAsia" w:ascii="黑体" w:hAnsi="黑体" w:eastAsia="黑体" w:cs="黑体"/>
          <w:b w:val="0"/>
          <w:bCs/>
          <w:color w:val="FF0000"/>
          <w:sz w:val="21"/>
          <w:szCs w:val="21"/>
          <w:highlight w:val="none"/>
        </w:rPr>
        <w:t>(2)《工业和信息化部、国家统计局、国家发展和改革委员会、财政部关于印发中小企业划型标准规定的通知》（工信部联企业〔2011〕300 号，以下简称300号文）</w:t>
      </w:r>
      <w:r>
        <w:rPr>
          <w:rFonts w:hint="eastAsia" w:ascii="黑体" w:hAnsi="黑体" w:eastAsia="黑体" w:cs="黑体"/>
          <w:b w:val="0"/>
          <w:bCs/>
          <w:color w:val="FF0000"/>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黑体" w:hAnsi="黑体" w:eastAsia="黑体" w:cs="黑体"/>
          <w:b w:val="0"/>
          <w:bCs/>
          <w:color w:val="FF0000"/>
          <w:sz w:val="21"/>
          <w:szCs w:val="21"/>
          <w:highlight w:val="none"/>
          <w:lang w:eastAsia="zh-CN"/>
        </w:rPr>
      </w:pPr>
      <w:r>
        <w:rPr>
          <w:rFonts w:hint="eastAsia" w:ascii="黑体" w:hAnsi="黑体" w:eastAsia="黑体" w:cs="黑体"/>
          <w:b w:val="0"/>
          <w:bCs/>
          <w:color w:val="FF0000"/>
          <w:sz w:val="21"/>
          <w:szCs w:val="21"/>
          <w:highlight w:val="none"/>
        </w:rPr>
        <w:t>(3)《统计上大中小微型企业划分办法(2017)》（国统字〔2017〕213 号）</w:t>
      </w:r>
      <w:r>
        <w:rPr>
          <w:rFonts w:hint="eastAsia" w:ascii="黑体" w:hAnsi="黑体" w:eastAsia="黑体" w:cs="黑体"/>
          <w:b w:val="0"/>
          <w:bCs/>
          <w:color w:val="FF0000"/>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黑体" w:hAnsi="黑体" w:eastAsia="黑体" w:cs="黑体"/>
          <w:b w:val="0"/>
          <w:bCs/>
          <w:color w:val="FF0000"/>
          <w:sz w:val="21"/>
          <w:szCs w:val="21"/>
          <w:highlight w:val="none"/>
          <w:lang w:eastAsia="zh-CN"/>
        </w:rPr>
      </w:pPr>
      <w:r>
        <w:rPr>
          <w:rFonts w:hint="eastAsia" w:ascii="黑体" w:hAnsi="黑体" w:eastAsia="黑体" w:cs="黑体"/>
          <w:b w:val="0"/>
          <w:bCs/>
          <w:color w:val="FF0000"/>
          <w:sz w:val="21"/>
          <w:szCs w:val="21"/>
          <w:highlight w:val="none"/>
        </w:rPr>
        <w:t>(4)《关于促进残疾人就业政府采购政策的通知》（财库〔2017〕141号）</w:t>
      </w:r>
      <w:r>
        <w:rPr>
          <w:rFonts w:hint="eastAsia" w:ascii="黑体" w:hAnsi="黑体" w:eastAsia="黑体" w:cs="黑体"/>
          <w:b w:val="0"/>
          <w:bCs/>
          <w:color w:val="FF0000"/>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黑体" w:hAnsi="黑体" w:eastAsia="黑体" w:cs="黑体"/>
          <w:b w:val="0"/>
          <w:bCs/>
          <w:color w:val="FF0000"/>
          <w:sz w:val="21"/>
          <w:szCs w:val="21"/>
          <w:highlight w:val="none"/>
        </w:rPr>
      </w:pPr>
      <w:r>
        <w:rPr>
          <w:rFonts w:hint="eastAsia" w:ascii="黑体" w:hAnsi="黑体" w:eastAsia="黑体" w:cs="黑体"/>
          <w:b w:val="0"/>
          <w:bCs/>
          <w:color w:val="FF0000"/>
          <w:sz w:val="21"/>
          <w:szCs w:val="21"/>
          <w:highlight w:val="none"/>
        </w:rPr>
        <w:t>(5)《关于政府采购支持监狱企业发展有关问题的通知》（财库〔2014〕68号）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黑体" w:hAnsi="黑体" w:eastAsia="黑体" w:cs="黑体"/>
          <w:b w:val="0"/>
          <w:bCs/>
          <w:color w:val="FF0000"/>
          <w:sz w:val="21"/>
          <w:szCs w:val="21"/>
          <w:highlight w:val="none"/>
        </w:rPr>
      </w:pPr>
      <w:r>
        <w:rPr>
          <w:rFonts w:hint="eastAsia" w:ascii="黑体" w:hAnsi="黑体" w:eastAsia="黑体" w:cs="黑体"/>
          <w:b w:val="0"/>
          <w:bCs/>
          <w:color w:val="FF0000"/>
          <w:sz w:val="21"/>
          <w:szCs w:val="21"/>
          <w:highlight w:val="none"/>
        </w:rPr>
        <w:t>3、请依照提供的格式和内容填写声明函，不要随意变更格式；声明函不需要盖章或签字；满足多项优惠政策的投标人，不重复享受多项价格扣除政策。</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黑体" w:hAnsi="黑体" w:eastAsia="黑体" w:cs="黑体"/>
          <w:b w:val="0"/>
          <w:bCs/>
          <w:color w:val="FF0000"/>
          <w:sz w:val="21"/>
          <w:szCs w:val="21"/>
          <w:highlight w:val="none"/>
        </w:rPr>
      </w:pPr>
      <w:r>
        <w:rPr>
          <w:rFonts w:hint="eastAsia" w:ascii="黑体" w:hAnsi="黑体" w:eastAsia="黑体" w:cs="黑体"/>
          <w:b w:val="0"/>
          <w:bCs/>
          <w:color w:val="FF0000"/>
          <w:sz w:val="21"/>
          <w:szCs w:val="21"/>
          <w:highlight w:val="none"/>
        </w:rPr>
        <w:t>4、声明函具体填写要求：</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黑体" w:hAnsi="黑体" w:eastAsia="黑体" w:cs="黑体"/>
          <w:b w:val="0"/>
          <w:bCs/>
          <w:color w:val="FF0000"/>
          <w:sz w:val="21"/>
          <w:szCs w:val="21"/>
          <w:highlight w:val="none"/>
        </w:rPr>
      </w:pPr>
      <w:r>
        <w:rPr>
          <w:rFonts w:hint="eastAsia" w:ascii="黑体" w:hAnsi="黑体" w:eastAsia="黑体" w:cs="黑体"/>
          <w:b w:val="0"/>
          <w:bCs/>
          <w:color w:val="FF0000"/>
          <w:sz w:val="21"/>
          <w:szCs w:val="21"/>
          <w:highlight w:val="none"/>
        </w:rPr>
        <w:t>（1）声明是中小企业须填写《中小企业声明函》的以下内容：</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黑体" w:hAnsi="黑体" w:eastAsia="黑体" w:cs="黑体"/>
          <w:b w:val="0"/>
          <w:bCs/>
          <w:color w:val="FF0000"/>
          <w:sz w:val="21"/>
          <w:szCs w:val="21"/>
          <w:highlight w:val="none"/>
        </w:rPr>
      </w:pPr>
      <w:r>
        <w:rPr>
          <w:rFonts w:hint="eastAsia" w:ascii="黑体" w:hAnsi="黑体" w:eastAsia="黑体" w:cs="黑体"/>
          <w:b w:val="0"/>
          <w:bCs/>
          <w:color w:val="FF0000"/>
          <w:sz w:val="21"/>
          <w:szCs w:val="21"/>
          <w:highlight w:val="none"/>
        </w:rPr>
        <w:t>第一处，在“</w:t>
      </w:r>
      <w:r>
        <w:rPr>
          <w:rFonts w:hint="eastAsia" w:ascii="黑体" w:hAnsi="黑体" w:eastAsia="黑体" w:cs="黑体"/>
          <w:b w:val="0"/>
          <w:bCs/>
          <w:color w:val="FF0000"/>
          <w:sz w:val="21"/>
          <w:szCs w:val="21"/>
          <w:highlight w:val="none"/>
          <w:lang w:val="en-US" w:eastAsia="zh-CN"/>
        </w:rPr>
        <w:t>采购人</w:t>
      </w:r>
      <w:r>
        <w:rPr>
          <w:rFonts w:hint="eastAsia" w:ascii="黑体" w:hAnsi="黑体" w:eastAsia="黑体" w:cs="黑体"/>
          <w:b w:val="0"/>
          <w:bCs/>
          <w:color w:val="FF0000"/>
          <w:sz w:val="21"/>
          <w:szCs w:val="21"/>
          <w:highlight w:val="none"/>
        </w:rPr>
        <w:t>名称”下划线处如实填写采购人名称（深圳公共资源交易中心不是本项目的采购人，而是组织实施机构）；</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黑体" w:hAnsi="黑体" w:eastAsia="黑体" w:cs="黑体"/>
          <w:b w:val="0"/>
          <w:bCs/>
          <w:color w:val="FF0000"/>
          <w:sz w:val="21"/>
          <w:szCs w:val="21"/>
          <w:highlight w:val="none"/>
        </w:rPr>
      </w:pPr>
      <w:r>
        <w:rPr>
          <w:rFonts w:hint="eastAsia" w:ascii="黑体" w:hAnsi="黑体" w:eastAsia="黑体" w:cs="黑体"/>
          <w:b w:val="0"/>
          <w:bCs/>
          <w:color w:val="FF0000"/>
          <w:sz w:val="21"/>
          <w:szCs w:val="21"/>
          <w:highlight w:val="none"/>
        </w:rPr>
        <w:t>第二处，在“项目名称”下划线处如实填写采购项目名称；</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黑体" w:hAnsi="黑体" w:eastAsia="黑体" w:cs="黑体"/>
          <w:b w:val="0"/>
          <w:bCs/>
          <w:color w:val="FF0000"/>
          <w:sz w:val="21"/>
          <w:szCs w:val="21"/>
          <w:highlight w:val="none"/>
        </w:rPr>
      </w:pPr>
      <w:r>
        <w:rPr>
          <w:rFonts w:hint="eastAsia" w:ascii="黑体" w:hAnsi="黑体" w:eastAsia="黑体" w:cs="黑体"/>
          <w:b w:val="0"/>
          <w:bCs/>
          <w:color w:val="FF0000"/>
          <w:sz w:val="21"/>
          <w:szCs w:val="21"/>
          <w:highlight w:val="none"/>
        </w:rPr>
        <w:t>第三处，在“标的名称”下划线处填写所采购货物（标的）的具体名称</w:t>
      </w:r>
      <w:r>
        <w:rPr>
          <w:rFonts w:hint="eastAsia" w:ascii="黑体" w:hAnsi="黑体" w:eastAsia="黑体" w:cs="黑体"/>
          <w:b w:val="0"/>
          <w:bCs/>
          <w:color w:val="0000FF"/>
          <w:sz w:val="21"/>
          <w:szCs w:val="21"/>
          <w:highlight w:val="none"/>
        </w:rPr>
        <w:t>（以招标文件第一册第三章用户需求书“货物</w:t>
      </w:r>
      <w:r>
        <w:rPr>
          <w:rFonts w:hint="eastAsia" w:ascii="黑体" w:hAnsi="黑体" w:eastAsia="黑体" w:cs="黑体"/>
          <w:b w:val="0"/>
          <w:bCs/>
          <w:color w:val="0000FF"/>
          <w:sz w:val="21"/>
          <w:szCs w:val="21"/>
          <w:highlight w:val="none"/>
          <w:lang w:val="en-US" w:eastAsia="zh-CN"/>
        </w:rPr>
        <w:t>需求</w:t>
      </w:r>
      <w:r>
        <w:rPr>
          <w:rFonts w:hint="eastAsia" w:ascii="黑体" w:hAnsi="黑体" w:eastAsia="黑体" w:cs="黑体"/>
          <w:b w:val="0"/>
          <w:bCs/>
          <w:color w:val="0000FF"/>
          <w:sz w:val="21"/>
          <w:szCs w:val="21"/>
          <w:highlight w:val="none"/>
        </w:rPr>
        <w:t>明细”的“货物名称”一栏为准）</w:t>
      </w:r>
      <w:r>
        <w:rPr>
          <w:rFonts w:hint="eastAsia" w:ascii="黑体" w:hAnsi="黑体" w:eastAsia="黑体" w:cs="黑体"/>
          <w:b w:val="0"/>
          <w:bCs/>
          <w:color w:val="FF0000"/>
          <w:sz w:val="21"/>
          <w:szCs w:val="21"/>
          <w:highlight w:val="none"/>
        </w:rPr>
        <w:t>；如果涉及多项货物（标的）为同一企业制造，“标的名称”下划线处可以如实填写多项货物；</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黑体" w:hAnsi="黑体" w:eastAsia="黑体" w:cs="黑体"/>
          <w:b w:val="0"/>
          <w:bCs/>
          <w:color w:val="FF0000"/>
          <w:sz w:val="21"/>
          <w:szCs w:val="21"/>
          <w:highlight w:val="none"/>
        </w:rPr>
      </w:pPr>
      <w:r>
        <w:rPr>
          <w:rFonts w:hint="eastAsia" w:ascii="黑体" w:hAnsi="黑体" w:eastAsia="黑体" w:cs="黑体"/>
          <w:b w:val="0"/>
          <w:bCs/>
          <w:color w:val="FF0000"/>
          <w:sz w:val="21"/>
          <w:szCs w:val="21"/>
          <w:highlight w:val="none"/>
        </w:rPr>
        <w:t>第四处，在“招标文件中明确的所属行业”下划线处填写采购标的对应的中小企业划分标准所属行业</w:t>
      </w:r>
      <w:r>
        <w:rPr>
          <w:rFonts w:hint="eastAsia" w:ascii="黑体" w:hAnsi="黑体" w:eastAsia="黑体" w:cs="黑体"/>
          <w:b w:val="0"/>
          <w:bCs w:val="0"/>
          <w:color w:val="0000FF"/>
          <w:sz w:val="21"/>
          <w:szCs w:val="21"/>
          <w:highlight w:val="none"/>
        </w:rPr>
        <w:t>（所属行业</w:t>
      </w:r>
      <w:r>
        <w:rPr>
          <w:rFonts w:hint="eastAsia" w:ascii="黑体" w:hAnsi="黑体" w:eastAsia="黑体" w:cs="黑体"/>
          <w:b w:val="0"/>
          <w:bCs w:val="0"/>
          <w:color w:val="0000FF"/>
          <w:sz w:val="21"/>
          <w:szCs w:val="21"/>
          <w:highlight w:val="none"/>
          <w:lang w:val="en-US" w:eastAsia="zh-CN"/>
        </w:rPr>
        <w:t>详见</w:t>
      </w:r>
      <w:r>
        <w:rPr>
          <w:rFonts w:hint="eastAsia" w:ascii="黑体" w:hAnsi="黑体" w:eastAsia="黑体" w:cs="黑体"/>
          <w:b w:val="0"/>
          <w:bCs w:val="0"/>
          <w:color w:val="0000FF"/>
          <w:sz w:val="21"/>
          <w:szCs w:val="21"/>
          <w:highlight w:val="none"/>
        </w:rPr>
        <w:t>招标文件第一册第二章“对通用条款的补充内容及其他关键信息”章节</w:t>
      </w:r>
      <w:r>
        <w:rPr>
          <w:rFonts w:hint="eastAsia" w:ascii="黑体" w:hAnsi="黑体" w:eastAsia="黑体" w:cs="黑体"/>
          <w:b w:val="0"/>
          <w:bCs w:val="0"/>
          <w:color w:val="0000FF"/>
          <w:sz w:val="21"/>
          <w:szCs w:val="21"/>
          <w:highlight w:val="none"/>
          <w:lang w:val="en-US" w:eastAsia="zh-CN"/>
        </w:rPr>
        <w:t>或</w:t>
      </w:r>
      <w:r>
        <w:rPr>
          <w:rFonts w:hint="eastAsia" w:ascii="黑体" w:hAnsi="黑体" w:eastAsia="黑体" w:cs="黑体"/>
          <w:b w:val="0"/>
          <w:bCs w:val="0"/>
          <w:color w:val="0000FF"/>
          <w:sz w:val="21"/>
          <w:szCs w:val="21"/>
          <w:highlight w:val="none"/>
        </w:rPr>
        <w:t>第三章用户需求书“</w:t>
      </w:r>
      <w:r>
        <w:rPr>
          <w:rFonts w:hint="eastAsia" w:ascii="黑体" w:hAnsi="黑体" w:eastAsia="黑体" w:cs="黑体"/>
          <w:b w:val="0"/>
          <w:bCs w:val="0"/>
          <w:color w:val="0000FF"/>
          <w:sz w:val="21"/>
          <w:szCs w:val="21"/>
          <w:highlight w:val="none"/>
          <w:lang w:val="en-US" w:eastAsia="zh-CN"/>
        </w:rPr>
        <w:t>货物需求</w:t>
      </w:r>
      <w:r>
        <w:rPr>
          <w:rFonts w:hint="eastAsia" w:ascii="黑体" w:hAnsi="黑体" w:eastAsia="黑体" w:cs="黑体"/>
          <w:b w:val="0"/>
          <w:bCs w:val="0"/>
          <w:color w:val="0000FF"/>
          <w:sz w:val="21"/>
          <w:szCs w:val="21"/>
          <w:highlight w:val="none"/>
        </w:rPr>
        <w:t>明细”</w:t>
      </w:r>
      <w:r>
        <w:rPr>
          <w:rFonts w:hint="eastAsia" w:ascii="黑体" w:hAnsi="黑体" w:eastAsia="黑体" w:cs="黑体"/>
          <w:b w:val="0"/>
          <w:bCs w:val="0"/>
          <w:color w:val="0000FF"/>
          <w:sz w:val="21"/>
          <w:szCs w:val="21"/>
          <w:highlight w:val="none"/>
          <w:lang w:val="en-US" w:eastAsia="zh-CN"/>
        </w:rPr>
        <w:t>中的所属行业信息</w:t>
      </w:r>
      <w:r>
        <w:rPr>
          <w:rFonts w:hint="eastAsia" w:ascii="黑体" w:hAnsi="黑体" w:eastAsia="黑体" w:cs="黑体"/>
          <w:b w:val="0"/>
          <w:bCs w:val="0"/>
          <w:color w:val="0000FF"/>
          <w:sz w:val="21"/>
          <w:szCs w:val="21"/>
          <w:highlight w:val="none"/>
        </w:rPr>
        <w:t>）</w:t>
      </w:r>
      <w:r>
        <w:rPr>
          <w:rFonts w:hint="eastAsia" w:ascii="黑体" w:hAnsi="黑体" w:eastAsia="黑体" w:cs="黑体"/>
          <w:b w:val="0"/>
          <w:bCs/>
          <w:color w:val="FF0000"/>
          <w:sz w:val="21"/>
          <w:szCs w:val="21"/>
          <w:highlight w:val="none"/>
        </w:rPr>
        <w:t>；</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黑体" w:hAnsi="黑体" w:eastAsia="黑体" w:cs="黑体"/>
          <w:b w:val="0"/>
          <w:bCs/>
          <w:color w:val="FF0000"/>
          <w:sz w:val="21"/>
          <w:szCs w:val="21"/>
          <w:highlight w:val="none"/>
        </w:rPr>
      </w:pPr>
      <w:r>
        <w:rPr>
          <w:rFonts w:hint="eastAsia" w:ascii="黑体" w:hAnsi="黑体" w:eastAsia="黑体" w:cs="黑体"/>
          <w:b w:val="0"/>
          <w:bCs/>
          <w:color w:val="FF0000"/>
          <w:sz w:val="21"/>
          <w:szCs w:val="21"/>
          <w:highlight w:val="none"/>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中小企业声明函》中制造商所属行业应当与招标文件要求的行业相一致，供应商如有疑问，可根据《国民经济行业分类》（GB/T4754-2002），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黑体" w:hAnsi="黑体" w:eastAsia="黑体" w:cs="黑体"/>
          <w:b w:val="0"/>
          <w:bCs/>
          <w:color w:val="FF0000"/>
          <w:sz w:val="21"/>
          <w:szCs w:val="21"/>
          <w:highlight w:val="none"/>
        </w:rPr>
      </w:pPr>
      <w:r>
        <w:rPr>
          <w:rFonts w:hint="eastAsia" w:ascii="黑体" w:hAnsi="黑体" w:eastAsia="黑体" w:cs="黑体"/>
          <w:b w:val="0"/>
          <w:bCs/>
          <w:color w:val="FF0000"/>
          <w:sz w:val="21"/>
          <w:szCs w:val="21"/>
          <w:highlight w:val="none"/>
        </w:rPr>
        <w:t>（2）声明是残疾人福利性单位须填写《残疾人福利性单位声明函》的相关内容，具体参照以上《中小企业声明函》填写要求执行。</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黑体" w:hAnsi="黑体" w:eastAsia="黑体" w:cs="黑体"/>
          <w:b w:val="0"/>
          <w:bCs/>
          <w:color w:val="FF0000"/>
          <w:sz w:val="21"/>
          <w:szCs w:val="21"/>
          <w:highlight w:val="none"/>
        </w:rPr>
      </w:pPr>
      <w:r>
        <w:rPr>
          <w:rFonts w:hint="eastAsia" w:ascii="黑体" w:hAnsi="黑体" w:eastAsia="黑体" w:cs="黑体"/>
          <w:b w:val="0"/>
          <w:bCs/>
          <w:color w:val="FF0000"/>
          <w:sz w:val="21"/>
          <w:szCs w:val="21"/>
          <w:highlight w:val="none"/>
        </w:rPr>
        <w:t>（3）声明是监狱企业须填写《监狱企业声明函》的三项内容（填写位置的字体已加粗），具体参照以上《中小企业声明函》填写要求执行。</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黑体" w:hAnsi="黑体" w:eastAsia="黑体" w:cs="黑体"/>
          <w:b w:val="0"/>
          <w:bCs/>
          <w:color w:val="FF0000"/>
          <w:sz w:val="21"/>
          <w:szCs w:val="21"/>
          <w:highlight w:val="none"/>
        </w:rPr>
      </w:pPr>
      <w:r>
        <w:rPr>
          <w:rFonts w:hint="eastAsia" w:ascii="黑体" w:hAnsi="黑体" w:eastAsia="黑体" w:cs="黑体"/>
          <w:b w:val="0"/>
          <w:bCs/>
          <w:color w:val="FF0000"/>
          <w:sz w:val="21"/>
          <w:szCs w:val="21"/>
          <w:highlight w:val="none"/>
        </w:rPr>
        <w:t>5、若本项目属于专门面向中小企业、残疾人福利性单位或监狱企业</w:t>
      </w:r>
      <w:r>
        <w:rPr>
          <w:rFonts w:hint="eastAsia" w:ascii="黑体" w:hAnsi="黑体" w:eastAsia="黑体" w:cs="黑体"/>
          <w:b w:val="0"/>
          <w:bCs/>
          <w:color w:val="FF0000"/>
          <w:sz w:val="21"/>
          <w:szCs w:val="21"/>
          <w:highlight w:val="none"/>
          <w:lang w:eastAsia="zh-CN"/>
        </w:rPr>
        <w:t>（</w:t>
      </w:r>
      <w:r>
        <w:rPr>
          <w:rFonts w:hint="eastAsia" w:ascii="黑体" w:hAnsi="黑体" w:eastAsia="黑体" w:cs="黑体"/>
          <w:b w:val="0"/>
          <w:bCs/>
          <w:color w:val="FF0000"/>
          <w:sz w:val="21"/>
          <w:szCs w:val="21"/>
          <w:highlight w:val="none"/>
          <w:lang w:val="en-US" w:eastAsia="zh-CN"/>
        </w:rPr>
        <w:t>包括联合体或分包预留中小企业份额的</w:t>
      </w:r>
      <w:r>
        <w:rPr>
          <w:rFonts w:hint="eastAsia" w:ascii="黑体" w:hAnsi="黑体" w:eastAsia="黑体" w:cs="黑体"/>
          <w:b w:val="0"/>
          <w:bCs/>
          <w:color w:val="FF0000"/>
          <w:sz w:val="21"/>
          <w:szCs w:val="21"/>
          <w:highlight w:val="none"/>
          <w:lang w:eastAsia="zh-CN"/>
        </w:rPr>
        <w:t>）</w:t>
      </w:r>
      <w:r>
        <w:rPr>
          <w:rFonts w:hint="eastAsia" w:ascii="黑体" w:hAnsi="黑体" w:eastAsia="黑体" w:cs="黑体"/>
          <w:b w:val="0"/>
          <w:bCs/>
          <w:color w:val="FF0000"/>
          <w:sz w:val="21"/>
          <w:szCs w:val="21"/>
          <w:highlight w:val="none"/>
        </w:rPr>
        <w:t>，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snapToGrid w:val="0"/>
        <w:rPr>
          <w:rFonts w:ascii="仿宋" w:hAnsi="仿宋" w:eastAsia="仿宋"/>
          <w:b/>
          <w:color w:val="FF0000"/>
          <w:sz w:val="25"/>
          <w:szCs w:val="25"/>
          <w:highlight w:val="none"/>
        </w:rPr>
      </w:pPr>
    </w:p>
    <w:p>
      <w:pPr>
        <w:pStyle w:val="9"/>
        <w:rPr>
          <w:highlight w:val="none"/>
        </w:rPr>
      </w:pPr>
    </w:p>
    <w:p>
      <w:pPr>
        <w:jc w:val="center"/>
        <w:rPr>
          <w:rFonts w:ascii="Arial" w:hAnsi="Arial" w:eastAsia="宋体" w:cs="Times New Roman"/>
          <w:b/>
          <w:sz w:val="24"/>
          <w:szCs w:val="24"/>
          <w:highlight w:val="none"/>
        </w:rPr>
      </w:pPr>
      <w:r>
        <w:rPr>
          <w:rFonts w:ascii="宋体" w:hAnsi="宋体" w:eastAsia="宋体" w:cs="Times New Roman"/>
          <w:b/>
          <w:bCs/>
          <w:sz w:val="24"/>
          <w:szCs w:val="24"/>
          <w:highlight w:val="none"/>
        </w:rPr>
        <w:fldChar w:fldCharType="begin"/>
      </w:r>
      <w:r>
        <w:rPr>
          <w:rFonts w:ascii="宋体" w:hAnsi="宋体" w:eastAsia="宋体" w:cs="Times New Roman"/>
          <w:b/>
          <w:sz w:val="24"/>
          <w:szCs w:val="24"/>
          <w:highlight w:val="none"/>
        </w:rPr>
        <w:instrText xml:space="preserve"> </w:instrText>
      </w:r>
      <w:r>
        <w:rPr>
          <w:rFonts w:hint="eastAsia" w:ascii="宋体" w:hAnsi="宋体" w:eastAsia="宋体" w:cs="Times New Roman"/>
          <w:b/>
          <w:sz w:val="24"/>
          <w:szCs w:val="24"/>
          <w:highlight w:val="none"/>
        </w:rPr>
        <w:instrText xml:space="preserve">= 1 \* GB3</w:instrText>
      </w:r>
      <w:r>
        <w:rPr>
          <w:rFonts w:ascii="宋体" w:hAnsi="宋体" w:eastAsia="宋体" w:cs="Times New Roman"/>
          <w:b/>
          <w:sz w:val="24"/>
          <w:szCs w:val="24"/>
          <w:highlight w:val="none"/>
        </w:rPr>
        <w:instrText xml:space="preserve"> </w:instrText>
      </w:r>
      <w:r>
        <w:rPr>
          <w:rFonts w:ascii="宋体" w:hAnsi="宋体" w:eastAsia="宋体" w:cs="Times New Roman"/>
          <w:b/>
          <w:bCs/>
          <w:sz w:val="24"/>
          <w:szCs w:val="24"/>
          <w:highlight w:val="none"/>
        </w:rPr>
        <w:fldChar w:fldCharType="separate"/>
      </w:r>
      <w:r>
        <w:rPr>
          <w:rFonts w:hint="eastAsia" w:ascii="宋体" w:hAnsi="宋体" w:eastAsia="宋体" w:cs="Times New Roman"/>
          <w:b/>
          <w:sz w:val="24"/>
          <w:szCs w:val="24"/>
          <w:highlight w:val="none"/>
        </w:rPr>
        <w:t>①</w:t>
      </w:r>
      <w:r>
        <w:rPr>
          <w:rFonts w:ascii="宋体" w:hAnsi="宋体" w:eastAsia="宋体" w:cs="Times New Roman"/>
          <w:b/>
          <w:bCs/>
          <w:sz w:val="24"/>
          <w:szCs w:val="24"/>
          <w:highlight w:val="none"/>
        </w:rPr>
        <w:fldChar w:fldCharType="end"/>
      </w:r>
      <w:r>
        <w:rPr>
          <w:rFonts w:hint="eastAsia" w:ascii="Arial" w:hAnsi="Arial" w:eastAsia="宋体" w:cs="Times New Roman"/>
          <w:b/>
          <w:sz w:val="24"/>
          <w:szCs w:val="24"/>
          <w:highlight w:val="none"/>
        </w:rPr>
        <w:t>中小企业声明函（货物）</w:t>
      </w:r>
    </w:p>
    <w:p>
      <w:pPr>
        <w:spacing w:afterLines="25" w:line="300" w:lineRule="auto"/>
        <w:ind w:firstLine="420" w:firstLineChars="200"/>
        <w:rPr>
          <w:rFonts w:ascii="Arial" w:hAnsi="Arial" w:eastAsia="宋体" w:cs="Times New Roman"/>
          <w:szCs w:val="21"/>
          <w:highlight w:val="none"/>
        </w:rPr>
      </w:pPr>
      <w:r>
        <w:rPr>
          <w:rFonts w:ascii="Arial" w:hAnsi="Arial" w:eastAsia="宋体" w:cs="Times New Roman"/>
          <w:szCs w:val="21"/>
          <w:highlight w:val="none"/>
        </w:rPr>
        <w:t>本</w:t>
      </w:r>
      <w:r>
        <w:rPr>
          <w:rFonts w:hint="eastAsia" w:ascii="Arial" w:hAnsi="Arial" w:eastAsia="宋体" w:cs="Times New Roman"/>
          <w:szCs w:val="21"/>
          <w:highlight w:val="none"/>
        </w:rPr>
        <w:t>投标人</w:t>
      </w:r>
      <w:r>
        <w:rPr>
          <w:rFonts w:ascii="Arial" w:hAnsi="Arial" w:eastAsia="宋体" w:cs="Times New Roman"/>
          <w:szCs w:val="21"/>
          <w:highlight w:val="none"/>
        </w:rPr>
        <w:t>郑重声明，根据《政府采购促进中小企业发展管理办法》（财库</w:t>
      </w:r>
      <w:r>
        <w:rPr>
          <w:rFonts w:hint="eastAsia" w:ascii="Arial" w:hAnsi="Arial" w:eastAsia="宋体" w:cs="Times New Roman"/>
          <w:szCs w:val="21"/>
          <w:highlight w:val="none"/>
        </w:rPr>
        <w:t>﹝</w:t>
      </w:r>
      <w:r>
        <w:rPr>
          <w:rFonts w:ascii="Arial" w:hAnsi="Arial" w:eastAsia="宋体" w:cs="Times New Roman"/>
          <w:szCs w:val="21"/>
          <w:highlight w:val="none"/>
        </w:rPr>
        <w:t>2020</w:t>
      </w:r>
      <w:r>
        <w:rPr>
          <w:rFonts w:hint="eastAsia" w:ascii="Arial" w:hAnsi="Arial" w:eastAsia="宋体" w:cs="Times New Roman"/>
          <w:szCs w:val="21"/>
          <w:highlight w:val="none"/>
        </w:rPr>
        <w:t>﹞</w:t>
      </w:r>
      <w:r>
        <w:rPr>
          <w:rFonts w:ascii="Arial" w:hAnsi="Arial" w:eastAsia="宋体" w:cs="Times New Roman"/>
          <w:szCs w:val="21"/>
          <w:highlight w:val="none"/>
        </w:rPr>
        <w:t>46 号）的规定，本</w:t>
      </w:r>
      <w:r>
        <w:rPr>
          <w:rFonts w:hint="eastAsia" w:ascii="Arial" w:hAnsi="Arial" w:eastAsia="宋体" w:cs="Times New Roman"/>
          <w:szCs w:val="21"/>
          <w:highlight w:val="none"/>
        </w:rPr>
        <w:t>投标人</w:t>
      </w:r>
      <w:r>
        <w:rPr>
          <w:rFonts w:ascii="Arial" w:hAnsi="Arial" w:eastAsia="宋体" w:cs="Times New Roman"/>
          <w:szCs w:val="21"/>
          <w:highlight w:val="none"/>
        </w:rPr>
        <w:t>参加</w:t>
      </w:r>
      <w:r>
        <w:rPr>
          <w:rFonts w:ascii="Arial" w:hAnsi="Arial" w:eastAsia="宋体" w:cs="Times New Roman"/>
          <w:b/>
          <w:bCs/>
          <w:szCs w:val="21"/>
          <w:highlight w:val="none"/>
          <w:u w:val="single"/>
        </w:rPr>
        <w:t>（</w:t>
      </w:r>
      <w:r>
        <w:rPr>
          <w:rFonts w:hint="eastAsia" w:ascii="Arial" w:hAnsi="Arial" w:eastAsia="宋体" w:cs="Times New Roman"/>
          <w:b/>
          <w:bCs/>
          <w:szCs w:val="21"/>
          <w:highlight w:val="none"/>
          <w:u w:val="single"/>
        </w:rPr>
        <w:t>采购人</w:t>
      </w:r>
      <w:r>
        <w:rPr>
          <w:rFonts w:ascii="Arial" w:hAnsi="Arial" w:eastAsia="宋体" w:cs="Times New Roman"/>
          <w:b/>
          <w:bCs/>
          <w:szCs w:val="21"/>
          <w:highlight w:val="none"/>
          <w:u w:val="single"/>
        </w:rPr>
        <w:t>名称）</w:t>
      </w:r>
      <w:r>
        <w:rPr>
          <w:rFonts w:ascii="Arial" w:hAnsi="Arial" w:eastAsia="宋体" w:cs="Times New Roman"/>
          <w:szCs w:val="21"/>
          <w:highlight w:val="none"/>
        </w:rPr>
        <w:t>的</w:t>
      </w:r>
      <w:r>
        <w:rPr>
          <w:rFonts w:ascii="Arial" w:hAnsi="Arial" w:eastAsia="宋体" w:cs="Times New Roman"/>
          <w:b/>
          <w:bCs/>
          <w:szCs w:val="21"/>
          <w:highlight w:val="none"/>
          <w:u w:val="single"/>
        </w:rPr>
        <w:t>（项目名称）</w:t>
      </w:r>
      <w:r>
        <w:rPr>
          <w:rFonts w:ascii="Arial" w:hAnsi="Arial" w:eastAsia="宋体" w:cs="Times New Roman"/>
          <w:szCs w:val="21"/>
          <w:highlight w:val="none"/>
        </w:rPr>
        <w:t>采购活动，提供的货物全部由符合政策要求的中小企业制造。相关企业的具体情况如下：</w:t>
      </w:r>
    </w:p>
    <w:p>
      <w:pPr>
        <w:spacing w:afterLines="25" w:line="300" w:lineRule="auto"/>
        <w:ind w:firstLine="420" w:firstLineChars="200"/>
        <w:rPr>
          <w:rFonts w:ascii="Arial" w:hAnsi="Arial" w:eastAsia="宋体" w:cs="Times New Roman"/>
          <w:szCs w:val="21"/>
          <w:highlight w:val="none"/>
        </w:rPr>
      </w:pPr>
      <w:r>
        <w:rPr>
          <w:rFonts w:ascii="Arial" w:hAnsi="Arial" w:eastAsia="宋体" w:cs="Times New Roman"/>
          <w:szCs w:val="21"/>
          <w:highlight w:val="none"/>
        </w:rPr>
        <w:t>1.</w:t>
      </w:r>
      <w:r>
        <w:rPr>
          <w:rFonts w:ascii="Arial" w:hAnsi="Arial" w:eastAsia="宋体" w:cs="Times New Roman"/>
          <w:b/>
          <w:bCs/>
          <w:szCs w:val="21"/>
          <w:highlight w:val="none"/>
          <w:u w:val="single"/>
        </w:rPr>
        <w:t xml:space="preserve"> （标的名称）</w:t>
      </w:r>
      <w:r>
        <w:rPr>
          <w:rFonts w:ascii="Arial" w:hAnsi="Arial" w:eastAsia="宋体" w:cs="Times New Roman"/>
          <w:szCs w:val="21"/>
          <w:highlight w:val="none"/>
        </w:rPr>
        <w:t xml:space="preserve"> ，属于</w:t>
      </w:r>
      <w:r>
        <w:rPr>
          <w:rFonts w:ascii="Arial" w:hAnsi="Arial" w:eastAsia="宋体" w:cs="Times New Roman"/>
          <w:b/>
          <w:bCs/>
          <w:szCs w:val="21"/>
          <w:highlight w:val="none"/>
          <w:u w:val="single"/>
        </w:rPr>
        <w:t>（</w:t>
      </w:r>
      <w:r>
        <w:rPr>
          <w:rFonts w:hint="eastAsia" w:ascii="Arial" w:hAnsi="Arial" w:eastAsia="宋体" w:cs="Times New Roman"/>
          <w:b/>
          <w:bCs/>
          <w:szCs w:val="21"/>
          <w:highlight w:val="none"/>
          <w:u w:val="single"/>
        </w:rPr>
        <w:t>招标</w:t>
      </w:r>
      <w:r>
        <w:rPr>
          <w:rFonts w:ascii="Arial" w:hAnsi="Arial" w:eastAsia="宋体" w:cs="Times New Roman"/>
          <w:b/>
          <w:bCs/>
          <w:szCs w:val="21"/>
          <w:highlight w:val="none"/>
          <w:u w:val="single"/>
        </w:rPr>
        <w:t xml:space="preserve">文件中明确的所属行业） </w:t>
      </w:r>
      <w:r>
        <w:rPr>
          <w:rFonts w:ascii="Arial" w:hAnsi="Arial" w:eastAsia="宋体" w:cs="Times New Roman"/>
          <w:szCs w:val="21"/>
          <w:highlight w:val="none"/>
        </w:rPr>
        <w:t>行业；制造商为</w:t>
      </w:r>
      <w:r>
        <w:rPr>
          <w:rFonts w:ascii="Arial" w:hAnsi="Arial" w:eastAsia="宋体" w:cs="Times New Roman"/>
          <w:b/>
          <w:bCs/>
          <w:szCs w:val="21"/>
          <w:highlight w:val="none"/>
          <w:u w:val="single"/>
        </w:rPr>
        <w:t>（企业名称</w:t>
      </w:r>
      <w:r>
        <w:rPr>
          <w:rFonts w:hint="eastAsia" w:ascii="Arial" w:hAnsi="Arial" w:eastAsia="宋体" w:cs="Times New Roman"/>
          <w:b/>
          <w:bCs/>
          <w:szCs w:val="21"/>
          <w:highlight w:val="none"/>
          <w:u w:val="single"/>
        </w:rPr>
        <w:t>，要求制造商本身所属行业应当与招标文件要求的行业相一致</w:t>
      </w:r>
      <w:r>
        <w:rPr>
          <w:rFonts w:ascii="Arial" w:hAnsi="Arial" w:eastAsia="宋体" w:cs="Times New Roman"/>
          <w:b/>
          <w:bCs/>
          <w:szCs w:val="21"/>
          <w:highlight w:val="none"/>
          <w:u w:val="single"/>
        </w:rPr>
        <w:t>）</w:t>
      </w:r>
      <w:r>
        <w:rPr>
          <w:rFonts w:ascii="Arial" w:hAnsi="Arial" w:eastAsia="宋体" w:cs="Times New Roman"/>
          <w:szCs w:val="21"/>
          <w:highlight w:val="none"/>
        </w:rPr>
        <w:t>，从业人员</w:t>
      </w:r>
      <w:r>
        <w:rPr>
          <w:rFonts w:ascii="Arial" w:hAnsi="Arial" w:eastAsia="宋体" w:cs="Times New Roman"/>
          <w:b/>
          <w:bCs/>
          <w:szCs w:val="21"/>
          <w:highlight w:val="none"/>
          <w:u w:val="single"/>
        </w:rPr>
        <w:t xml:space="preserve"> </w:t>
      </w:r>
      <w:r>
        <w:rPr>
          <w:rFonts w:hint="eastAsia" w:ascii="Arial" w:hAnsi="Arial" w:eastAsia="宋体" w:cs="Times New Roman"/>
          <w:b/>
          <w:bCs/>
          <w:szCs w:val="21"/>
          <w:highlight w:val="none"/>
          <w:u w:val="single"/>
        </w:rPr>
        <w:t xml:space="preserve"> </w:t>
      </w:r>
      <w:r>
        <w:rPr>
          <w:rFonts w:ascii="Arial" w:hAnsi="Arial" w:eastAsia="宋体" w:cs="Times New Roman"/>
          <w:b/>
          <w:bCs/>
          <w:szCs w:val="21"/>
          <w:highlight w:val="none"/>
          <w:u w:val="single"/>
        </w:rPr>
        <w:t xml:space="preserve"> </w:t>
      </w:r>
      <w:r>
        <w:rPr>
          <w:rFonts w:ascii="Arial" w:hAnsi="Arial" w:eastAsia="宋体" w:cs="Times New Roman"/>
          <w:szCs w:val="21"/>
          <w:highlight w:val="none"/>
        </w:rPr>
        <w:t>人，营业收入为</w:t>
      </w:r>
      <w:r>
        <w:rPr>
          <w:rFonts w:ascii="Arial" w:hAnsi="Arial" w:eastAsia="宋体" w:cs="Times New Roman"/>
          <w:b/>
          <w:bCs/>
          <w:szCs w:val="21"/>
          <w:highlight w:val="none"/>
          <w:u w:val="single"/>
        </w:rPr>
        <w:t xml:space="preserve"> </w:t>
      </w:r>
      <w:r>
        <w:rPr>
          <w:rFonts w:hint="eastAsia" w:ascii="Arial" w:hAnsi="Arial" w:eastAsia="宋体" w:cs="Times New Roman"/>
          <w:b/>
          <w:bCs/>
          <w:szCs w:val="21"/>
          <w:highlight w:val="none"/>
          <w:u w:val="single"/>
        </w:rPr>
        <w:t xml:space="preserve"> </w:t>
      </w:r>
      <w:r>
        <w:rPr>
          <w:rFonts w:ascii="Arial" w:hAnsi="Arial" w:eastAsia="宋体" w:cs="Times New Roman"/>
          <w:b/>
          <w:bCs/>
          <w:szCs w:val="21"/>
          <w:highlight w:val="none"/>
          <w:u w:val="single"/>
        </w:rPr>
        <w:t xml:space="preserve"> </w:t>
      </w:r>
      <w:r>
        <w:rPr>
          <w:rFonts w:ascii="Arial" w:hAnsi="Arial" w:eastAsia="宋体" w:cs="Times New Roman"/>
          <w:szCs w:val="21"/>
          <w:highlight w:val="none"/>
        </w:rPr>
        <w:t>万元，资产总额为</w:t>
      </w:r>
      <w:r>
        <w:rPr>
          <w:rFonts w:hint="eastAsia" w:ascii="Arial" w:hAnsi="Arial" w:eastAsia="宋体" w:cs="Times New Roman"/>
          <w:b/>
          <w:bCs/>
          <w:szCs w:val="21"/>
          <w:highlight w:val="none"/>
          <w:u w:val="single"/>
        </w:rPr>
        <w:t xml:space="preserve">  </w:t>
      </w:r>
      <w:r>
        <w:rPr>
          <w:rFonts w:ascii="Arial" w:hAnsi="Arial" w:eastAsia="宋体" w:cs="Times New Roman"/>
          <w:b/>
          <w:bCs/>
          <w:szCs w:val="21"/>
          <w:highlight w:val="none"/>
          <w:u w:val="single"/>
        </w:rPr>
        <w:t xml:space="preserve"> </w:t>
      </w:r>
      <w:r>
        <w:rPr>
          <w:rFonts w:ascii="Arial" w:hAnsi="Arial" w:eastAsia="宋体" w:cs="Times New Roman"/>
          <w:szCs w:val="21"/>
          <w:highlight w:val="none"/>
        </w:rPr>
        <w:t>万元 ，属于</w:t>
      </w:r>
      <w:r>
        <w:rPr>
          <w:rFonts w:ascii="Arial" w:hAnsi="Arial" w:eastAsia="宋体" w:cs="Times New Roman"/>
          <w:b/>
          <w:bCs/>
          <w:szCs w:val="21"/>
          <w:highlight w:val="none"/>
          <w:u w:val="single"/>
        </w:rPr>
        <w:t>（中型企业、小型企业、微型企业）</w:t>
      </w:r>
      <w:r>
        <w:rPr>
          <w:rFonts w:ascii="Arial" w:hAnsi="Arial" w:eastAsia="宋体" w:cs="Times New Roman"/>
          <w:szCs w:val="21"/>
          <w:highlight w:val="none"/>
        </w:rPr>
        <w:t xml:space="preserve">； </w:t>
      </w:r>
    </w:p>
    <w:p>
      <w:pPr>
        <w:spacing w:afterLines="25" w:line="300" w:lineRule="auto"/>
        <w:ind w:firstLine="420" w:firstLineChars="200"/>
        <w:rPr>
          <w:rFonts w:ascii="Arial" w:hAnsi="Arial" w:eastAsia="宋体" w:cs="Times New Roman"/>
          <w:szCs w:val="21"/>
          <w:highlight w:val="none"/>
          <w:u w:val="single"/>
        </w:rPr>
      </w:pPr>
      <w:r>
        <w:rPr>
          <w:rFonts w:ascii="Arial" w:hAnsi="Arial" w:eastAsia="宋体" w:cs="Times New Roman"/>
          <w:szCs w:val="21"/>
          <w:highlight w:val="none"/>
        </w:rPr>
        <w:t>2.</w:t>
      </w:r>
      <w:r>
        <w:rPr>
          <w:rFonts w:ascii="Arial" w:hAnsi="Arial" w:eastAsia="宋体" w:cs="Times New Roman"/>
          <w:b/>
          <w:bCs/>
          <w:szCs w:val="21"/>
          <w:highlight w:val="none"/>
          <w:u w:val="single"/>
        </w:rPr>
        <w:t xml:space="preserve"> （标的名称）</w:t>
      </w:r>
      <w:r>
        <w:rPr>
          <w:rFonts w:ascii="Arial" w:hAnsi="Arial" w:eastAsia="宋体" w:cs="Times New Roman"/>
          <w:szCs w:val="21"/>
          <w:highlight w:val="none"/>
        </w:rPr>
        <w:t xml:space="preserve"> ，属于</w:t>
      </w:r>
      <w:r>
        <w:rPr>
          <w:rFonts w:ascii="Arial" w:hAnsi="Arial" w:eastAsia="宋体" w:cs="Times New Roman"/>
          <w:b/>
          <w:bCs/>
          <w:szCs w:val="21"/>
          <w:highlight w:val="none"/>
          <w:u w:val="single"/>
        </w:rPr>
        <w:t>（</w:t>
      </w:r>
      <w:r>
        <w:rPr>
          <w:rFonts w:hint="eastAsia" w:ascii="Arial" w:hAnsi="Arial" w:eastAsia="宋体" w:cs="Times New Roman"/>
          <w:b/>
          <w:bCs/>
          <w:szCs w:val="21"/>
          <w:highlight w:val="none"/>
          <w:u w:val="single"/>
        </w:rPr>
        <w:t>招标</w:t>
      </w:r>
      <w:r>
        <w:rPr>
          <w:rFonts w:ascii="Arial" w:hAnsi="Arial" w:eastAsia="宋体" w:cs="Times New Roman"/>
          <w:b/>
          <w:bCs/>
          <w:szCs w:val="21"/>
          <w:highlight w:val="none"/>
          <w:u w:val="single"/>
        </w:rPr>
        <w:t xml:space="preserve">文件中明确的所属行业） </w:t>
      </w:r>
      <w:r>
        <w:rPr>
          <w:rFonts w:ascii="Arial" w:hAnsi="Arial" w:eastAsia="宋体" w:cs="Times New Roman"/>
          <w:szCs w:val="21"/>
          <w:highlight w:val="none"/>
        </w:rPr>
        <w:t>行业；制造商为</w:t>
      </w:r>
      <w:r>
        <w:rPr>
          <w:rFonts w:ascii="Arial" w:hAnsi="Arial" w:eastAsia="宋体" w:cs="Times New Roman"/>
          <w:b/>
          <w:bCs/>
          <w:szCs w:val="21"/>
          <w:highlight w:val="none"/>
          <w:u w:val="single"/>
        </w:rPr>
        <w:t>（企业名称</w:t>
      </w:r>
      <w:r>
        <w:rPr>
          <w:rFonts w:hint="eastAsia" w:ascii="Arial" w:hAnsi="Arial" w:eastAsia="宋体" w:cs="Times New Roman"/>
          <w:b/>
          <w:bCs/>
          <w:szCs w:val="21"/>
          <w:highlight w:val="none"/>
          <w:u w:val="single"/>
        </w:rPr>
        <w:t>，要求制造商本身所属行业应当与招标文件要求的行业相一致</w:t>
      </w:r>
      <w:r>
        <w:rPr>
          <w:rFonts w:ascii="Arial" w:hAnsi="Arial" w:eastAsia="宋体" w:cs="Times New Roman"/>
          <w:b/>
          <w:bCs/>
          <w:szCs w:val="21"/>
          <w:highlight w:val="none"/>
          <w:u w:val="single"/>
        </w:rPr>
        <w:t>）</w:t>
      </w:r>
      <w:r>
        <w:rPr>
          <w:rFonts w:ascii="Arial" w:hAnsi="Arial" w:eastAsia="宋体" w:cs="Times New Roman"/>
          <w:szCs w:val="21"/>
          <w:highlight w:val="none"/>
        </w:rPr>
        <w:t>，从业人员</w:t>
      </w:r>
      <w:r>
        <w:rPr>
          <w:rFonts w:ascii="Arial" w:hAnsi="Arial" w:eastAsia="宋体" w:cs="Times New Roman"/>
          <w:b/>
          <w:bCs/>
          <w:szCs w:val="21"/>
          <w:highlight w:val="none"/>
          <w:u w:val="single"/>
        </w:rPr>
        <w:t xml:space="preserve"> </w:t>
      </w:r>
      <w:r>
        <w:rPr>
          <w:rFonts w:hint="eastAsia" w:ascii="Arial" w:hAnsi="Arial" w:eastAsia="宋体" w:cs="Times New Roman"/>
          <w:b/>
          <w:bCs/>
          <w:szCs w:val="21"/>
          <w:highlight w:val="none"/>
          <w:u w:val="single"/>
        </w:rPr>
        <w:t xml:space="preserve"> </w:t>
      </w:r>
      <w:r>
        <w:rPr>
          <w:rFonts w:ascii="Arial" w:hAnsi="Arial" w:eastAsia="宋体" w:cs="Times New Roman"/>
          <w:b/>
          <w:bCs/>
          <w:szCs w:val="21"/>
          <w:highlight w:val="none"/>
          <w:u w:val="single"/>
        </w:rPr>
        <w:t xml:space="preserve"> </w:t>
      </w:r>
      <w:r>
        <w:rPr>
          <w:rFonts w:ascii="Arial" w:hAnsi="Arial" w:eastAsia="宋体" w:cs="Times New Roman"/>
          <w:szCs w:val="21"/>
          <w:highlight w:val="none"/>
        </w:rPr>
        <w:t>人，营业收入为</w:t>
      </w:r>
      <w:r>
        <w:rPr>
          <w:rFonts w:ascii="Arial" w:hAnsi="Arial" w:eastAsia="宋体" w:cs="Times New Roman"/>
          <w:b/>
          <w:bCs/>
          <w:szCs w:val="21"/>
          <w:highlight w:val="none"/>
          <w:u w:val="single"/>
        </w:rPr>
        <w:t xml:space="preserve"> </w:t>
      </w:r>
      <w:r>
        <w:rPr>
          <w:rFonts w:hint="eastAsia" w:ascii="Arial" w:hAnsi="Arial" w:eastAsia="宋体" w:cs="Times New Roman"/>
          <w:b/>
          <w:bCs/>
          <w:szCs w:val="21"/>
          <w:highlight w:val="none"/>
          <w:u w:val="single"/>
        </w:rPr>
        <w:t xml:space="preserve"> </w:t>
      </w:r>
      <w:r>
        <w:rPr>
          <w:rFonts w:ascii="Arial" w:hAnsi="Arial" w:eastAsia="宋体" w:cs="Times New Roman"/>
          <w:b/>
          <w:bCs/>
          <w:szCs w:val="21"/>
          <w:highlight w:val="none"/>
          <w:u w:val="single"/>
        </w:rPr>
        <w:t xml:space="preserve"> </w:t>
      </w:r>
      <w:r>
        <w:rPr>
          <w:rFonts w:ascii="Arial" w:hAnsi="Arial" w:eastAsia="宋体" w:cs="Times New Roman"/>
          <w:szCs w:val="21"/>
          <w:highlight w:val="none"/>
        </w:rPr>
        <w:t>万元，资产总额为</w:t>
      </w:r>
      <w:r>
        <w:rPr>
          <w:rFonts w:hint="eastAsia" w:ascii="Arial" w:hAnsi="Arial" w:eastAsia="宋体" w:cs="Times New Roman"/>
          <w:b/>
          <w:bCs/>
          <w:szCs w:val="21"/>
          <w:highlight w:val="none"/>
          <w:u w:val="single"/>
        </w:rPr>
        <w:t xml:space="preserve">  </w:t>
      </w:r>
      <w:r>
        <w:rPr>
          <w:rFonts w:ascii="Arial" w:hAnsi="Arial" w:eastAsia="宋体" w:cs="Times New Roman"/>
          <w:b/>
          <w:bCs/>
          <w:szCs w:val="21"/>
          <w:highlight w:val="none"/>
          <w:u w:val="single"/>
        </w:rPr>
        <w:t xml:space="preserve"> </w:t>
      </w:r>
      <w:r>
        <w:rPr>
          <w:rFonts w:ascii="Arial" w:hAnsi="Arial" w:eastAsia="宋体" w:cs="Times New Roman"/>
          <w:szCs w:val="21"/>
          <w:highlight w:val="none"/>
        </w:rPr>
        <w:t>万元 ，属于</w:t>
      </w:r>
      <w:r>
        <w:rPr>
          <w:rFonts w:ascii="Arial" w:hAnsi="Arial" w:eastAsia="宋体" w:cs="Times New Roman"/>
          <w:b/>
          <w:bCs/>
          <w:szCs w:val="21"/>
          <w:highlight w:val="none"/>
          <w:u w:val="single"/>
        </w:rPr>
        <w:t>（中型企业、小型企业、微型企业）</w:t>
      </w:r>
      <w:r>
        <w:rPr>
          <w:rFonts w:hint="eastAsia" w:ascii="Arial" w:hAnsi="Arial" w:eastAsia="宋体" w:cs="Times New Roman"/>
          <w:szCs w:val="21"/>
          <w:highlight w:val="none"/>
        </w:rPr>
        <w:t>；</w:t>
      </w:r>
    </w:p>
    <w:p>
      <w:pPr>
        <w:spacing w:afterLines="25" w:line="300" w:lineRule="auto"/>
        <w:ind w:firstLine="420" w:firstLineChars="200"/>
        <w:rPr>
          <w:rFonts w:ascii="Arial" w:hAnsi="Arial" w:eastAsia="宋体" w:cs="Times New Roman"/>
          <w:szCs w:val="21"/>
          <w:highlight w:val="none"/>
        </w:rPr>
      </w:pPr>
      <w:r>
        <w:rPr>
          <w:rFonts w:ascii="Arial" w:hAnsi="Arial" w:eastAsia="宋体" w:cs="Times New Roman"/>
          <w:szCs w:val="21"/>
          <w:highlight w:val="none"/>
        </w:rPr>
        <w:t xml:space="preserve">…… </w:t>
      </w:r>
    </w:p>
    <w:p>
      <w:pPr>
        <w:spacing w:afterLines="25" w:line="300" w:lineRule="auto"/>
        <w:ind w:firstLine="420" w:firstLineChars="200"/>
        <w:rPr>
          <w:rFonts w:ascii="Arial" w:hAnsi="Arial" w:eastAsia="宋体" w:cs="Times New Roman"/>
          <w:szCs w:val="21"/>
          <w:highlight w:val="none"/>
        </w:rPr>
      </w:pPr>
      <w:r>
        <w:rPr>
          <w:rFonts w:ascii="Arial" w:hAnsi="Arial" w:eastAsia="宋体" w:cs="Times New Roman"/>
          <w:szCs w:val="21"/>
          <w:highlight w:val="none"/>
        </w:rPr>
        <w:t>以上企业，不属于大企业的分支机构，不存在控股股东为大企业的情形，也不存在与大企业的负责人为同一人的情形。</w:t>
      </w:r>
    </w:p>
    <w:p>
      <w:pPr>
        <w:spacing w:afterLines="25" w:line="300" w:lineRule="auto"/>
        <w:ind w:firstLine="420" w:firstLineChars="200"/>
        <w:rPr>
          <w:rFonts w:hint="eastAsia" w:ascii="Arial" w:hAnsi="Arial" w:eastAsia="宋体" w:cs="Times New Roman"/>
          <w:szCs w:val="21"/>
          <w:highlight w:val="none"/>
        </w:rPr>
      </w:pPr>
      <w:r>
        <w:rPr>
          <w:rFonts w:hint="eastAsia" w:ascii="Arial" w:hAnsi="Arial" w:eastAsia="宋体" w:cs="Times New Roman"/>
          <w:szCs w:val="21"/>
          <w:highlight w:val="none"/>
        </w:rPr>
        <w:t>本投标人对上述声明内容的真实性负责。如有虚假，将依法承担相应责任。</w:t>
      </w:r>
    </w:p>
    <w:p>
      <w:pPr>
        <w:spacing w:afterLines="25" w:line="300" w:lineRule="auto"/>
        <w:ind w:firstLine="420" w:firstLineChars="200"/>
        <w:rPr>
          <w:rFonts w:ascii="Arial" w:hAnsi="Arial" w:eastAsia="宋体" w:cs="Times New Roman"/>
          <w:szCs w:val="21"/>
          <w:highlight w:val="none"/>
        </w:rPr>
      </w:pPr>
      <w:r>
        <w:rPr>
          <w:rFonts w:hint="eastAsia" w:ascii="Arial" w:hAnsi="Arial" w:eastAsia="宋体" w:cs="Times New Roman"/>
          <w:szCs w:val="21"/>
          <w:highlight w:val="none"/>
        </w:rPr>
        <w:t>本</w:t>
      </w:r>
      <w:r>
        <w:rPr>
          <w:rFonts w:ascii="Arial" w:hAnsi="Arial" w:eastAsia="宋体" w:cs="Times New Roman"/>
          <w:szCs w:val="21"/>
          <w:highlight w:val="none"/>
        </w:rPr>
        <w:t>投标人已知悉《政府采购促进中小企业发展管理办法》（财库〔2020〕46 号）、《中小企业划型标准规定》（工信部联企〔2011〕 300 号）、《统计上大中小微型企业划分办法（2017）》等规定，承诺提供的声明函内容是真实的，并知悉根据《政府采购促进中小企业发展管理办法》（财库〔2020〕46 号）第二十条规定，</w:t>
      </w:r>
      <w:r>
        <w:rPr>
          <w:rFonts w:hint="eastAsia" w:ascii="Arial" w:hAnsi="Arial" w:eastAsia="宋体" w:cs="Times New Roman"/>
          <w:szCs w:val="21"/>
          <w:highlight w:val="none"/>
        </w:rPr>
        <w:t>投标人</w:t>
      </w:r>
      <w:r>
        <w:rPr>
          <w:rFonts w:ascii="Arial" w:hAnsi="Arial" w:eastAsia="宋体" w:cs="Times New Roman"/>
          <w:szCs w:val="21"/>
          <w:highlight w:val="none"/>
        </w:rPr>
        <w:t>按照本办法规定提供声明函内容不实的，属于提供虚假材料谋取中标，依照《政府采购法》等政府采购有关法律法规规定追究相应责任</w:t>
      </w:r>
      <w:r>
        <w:rPr>
          <w:rFonts w:hint="eastAsia" w:ascii="Arial" w:hAnsi="Arial" w:eastAsia="宋体" w:cs="Times New Roman"/>
          <w:szCs w:val="21"/>
          <w:highlight w:val="none"/>
        </w:rPr>
        <w:t>。</w:t>
      </w:r>
    </w:p>
    <w:p>
      <w:pPr>
        <w:spacing w:afterLines="25" w:line="300" w:lineRule="auto"/>
        <w:ind w:firstLine="630" w:firstLineChars="300"/>
        <w:rPr>
          <w:rFonts w:ascii="Arial" w:hAnsi="Arial" w:eastAsia="宋体" w:cs="Times New Roman"/>
          <w:szCs w:val="21"/>
          <w:highlight w:val="none"/>
        </w:rPr>
      </w:pPr>
    </w:p>
    <w:p>
      <w:pPr>
        <w:spacing w:afterLines="25" w:line="300" w:lineRule="auto"/>
        <w:ind w:right="420" w:firstLine="4200" w:firstLineChars="2000"/>
        <w:rPr>
          <w:rFonts w:ascii="Arial" w:hAnsi="Arial" w:eastAsia="宋体" w:cs="Times New Roman"/>
          <w:szCs w:val="21"/>
          <w:highlight w:val="none"/>
        </w:rPr>
      </w:pPr>
      <w:r>
        <w:rPr>
          <w:rFonts w:hint="eastAsia" w:ascii="Arial" w:hAnsi="Arial" w:eastAsia="宋体" w:cs="Times New Roman"/>
          <w:szCs w:val="21"/>
          <w:highlight w:val="none"/>
        </w:rPr>
        <w:t>投标人（投标单位）：</w:t>
      </w:r>
    </w:p>
    <w:p>
      <w:pPr>
        <w:spacing w:afterLines="25" w:line="300" w:lineRule="auto"/>
        <w:ind w:right="420" w:firstLine="5565" w:firstLineChars="2650"/>
        <w:rPr>
          <w:rFonts w:ascii="Arial" w:hAnsi="Arial" w:eastAsia="宋体" w:cs="Times New Roman"/>
          <w:szCs w:val="21"/>
          <w:highlight w:val="none"/>
        </w:rPr>
      </w:pPr>
      <w:r>
        <w:rPr>
          <w:rFonts w:hint="eastAsia" w:ascii="Arial" w:hAnsi="Arial" w:eastAsia="宋体" w:cs="Times New Roman"/>
          <w:szCs w:val="21"/>
          <w:highlight w:val="none"/>
        </w:rPr>
        <w:t>日期：</w:t>
      </w:r>
    </w:p>
    <w:p>
      <w:pPr>
        <w:spacing w:afterLines="25" w:line="300" w:lineRule="auto"/>
        <w:ind w:firstLine="482" w:firstLineChars="200"/>
        <w:jc w:val="left"/>
        <w:rPr>
          <w:rFonts w:ascii="宋体" w:hAnsi="宋体" w:eastAsia="宋体" w:cs="Times New Roman"/>
          <w:sz w:val="24"/>
          <w:szCs w:val="24"/>
          <w:highlight w:val="none"/>
        </w:rPr>
      </w:pPr>
      <w:r>
        <w:rPr>
          <w:rFonts w:hint="eastAsia" w:ascii="宋体" w:hAnsi="宋体" w:eastAsia="宋体" w:cs="Times New Roman"/>
          <w:b/>
          <w:sz w:val="24"/>
          <w:szCs w:val="24"/>
          <w:highlight w:val="none"/>
        </w:rPr>
        <w:t>说明：</w:t>
      </w:r>
      <w:r>
        <w:rPr>
          <w:rFonts w:hint="eastAsia" w:ascii="宋体" w:hAnsi="宋体" w:eastAsia="宋体" w:cs="Times New Roman"/>
          <w:sz w:val="24"/>
          <w:szCs w:val="24"/>
          <w:highlight w:val="none"/>
        </w:rPr>
        <w:t>对中小企业的认定，由货物制造商或者工程、服务供应商注册登记所在地的县级以上人民政府中小企业主管部门负责。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pPr>
        <w:widowControl/>
        <w:jc w:val="left"/>
        <w:rPr>
          <w:rFonts w:hint="eastAsia" w:ascii="宋体" w:hAnsi="宋体" w:eastAsia="宋体" w:cs="Times New Roman"/>
          <w:b/>
          <w:sz w:val="24"/>
          <w:szCs w:val="24"/>
          <w:highlight w:val="none"/>
        </w:rPr>
      </w:pPr>
    </w:p>
    <w:p>
      <w:pPr>
        <w:pStyle w:val="9"/>
        <w:rPr>
          <w:rFonts w:hint="eastAsia"/>
          <w:highlight w:val="none"/>
        </w:rPr>
      </w:pPr>
    </w:p>
    <w:p>
      <w:pPr>
        <w:widowControl/>
        <w:jc w:val="center"/>
        <w:rPr>
          <w:rFonts w:ascii="Arial" w:hAnsi="Arial" w:eastAsia="宋体" w:cs="Times New Roman"/>
          <w:b/>
          <w:sz w:val="24"/>
          <w:szCs w:val="24"/>
          <w:highlight w:val="none"/>
        </w:rPr>
      </w:pPr>
      <w:r>
        <w:rPr>
          <w:rFonts w:hint="eastAsia" w:ascii="宋体" w:hAnsi="宋体" w:eastAsia="宋体" w:cs="Times New Roman"/>
          <w:b/>
          <w:sz w:val="24"/>
          <w:szCs w:val="24"/>
          <w:highlight w:val="none"/>
        </w:rPr>
        <w:t>②</w:t>
      </w:r>
      <w:r>
        <w:rPr>
          <w:rFonts w:hint="eastAsia" w:ascii="Arial" w:hAnsi="Arial" w:eastAsia="宋体" w:cs="Times New Roman"/>
          <w:b/>
          <w:sz w:val="24"/>
          <w:szCs w:val="24"/>
          <w:highlight w:val="none"/>
        </w:rPr>
        <w:t>残疾人福利性单位声明函（货物）</w:t>
      </w:r>
    </w:p>
    <w:p>
      <w:pPr>
        <w:spacing w:afterLines="25" w:line="300" w:lineRule="auto"/>
        <w:ind w:firstLine="420" w:firstLineChars="200"/>
        <w:rPr>
          <w:rFonts w:cs="Times New Roman" w:asciiTheme="minorEastAsia" w:hAnsiTheme="minorEastAsia"/>
          <w:szCs w:val="21"/>
          <w:highlight w:val="none"/>
        </w:rPr>
      </w:pPr>
      <w:r>
        <w:rPr>
          <w:rFonts w:cs="Times New Roman" w:asciiTheme="minorEastAsia" w:hAnsiTheme="minorEastAsia"/>
          <w:szCs w:val="21"/>
          <w:highlight w:val="none"/>
        </w:rPr>
        <w:t>本</w:t>
      </w:r>
      <w:r>
        <w:rPr>
          <w:rFonts w:hint="eastAsia" w:cs="Times New Roman" w:asciiTheme="minorEastAsia" w:hAnsiTheme="minorEastAsia"/>
          <w:szCs w:val="21"/>
          <w:highlight w:val="none"/>
        </w:rPr>
        <w:t>投标人郑重声明，根据《财政部民政部中国残疾人联合会关于促进残疾人就业政府采购政策的通知》（财库〔</w:t>
      </w:r>
      <w:r>
        <w:rPr>
          <w:rFonts w:cs="Times New Roman" w:asciiTheme="minorEastAsia" w:hAnsiTheme="minorEastAsia"/>
          <w:szCs w:val="21"/>
          <w:highlight w:val="none"/>
        </w:rPr>
        <w:t>2017</w:t>
      </w:r>
      <w:r>
        <w:rPr>
          <w:rFonts w:hint="eastAsia" w:cs="Times New Roman" w:asciiTheme="minorEastAsia" w:hAnsiTheme="minorEastAsia"/>
          <w:szCs w:val="21"/>
          <w:highlight w:val="none"/>
        </w:rPr>
        <w:t>〕</w:t>
      </w:r>
      <w:r>
        <w:rPr>
          <w:rFonts w:cs="Times New Roman" w:asciiTheme="minorEastAsia" w:hAnsiTheme="minorEastAsia"/>
          <w:szCs w:val="21"/>
          <w:highlight w:val="none"/>
        </w:rPr>
        <w:t xml:space="preserve">141 </w:t>
      </w:r>
      <w:r>
        <w:rPr>
          <w:rFonts w:hint="eastAsia" w:cs="Times New Roman" w:asciiTheme="minorEastAsia" w:hAnsiTheme="minorEastAsia"/>
          <w:szCs w:val="21"/>
          <w:highlight w:val="none"/>
        </w:rPr>
        <w:t>号）的规定，本投标人</w:t>
      </w:r>
      <w:r>
        <w:rPr>
          <w:rFonts w:cs="Times New Roman" w:asciiTheme="minorEastAsia" w:hAnsiTheme="minorEastAsia"/>
          <w:szCs w:val="21"/>
          <w:highlight w:val="none"/>
        </w:rPr>
        <w:t>参加</w:t>
      </w:r>
      <w:r>
        <w:rPr>
          <w:rFonts w:cs="Times New Roman" w:asciiTheme="minorEastAsia" w:hAnsiTheme="minorEastAsia"/>
          <w:b/>
          <w:bCs/>
          <w:szCs w:val="21"/>
          <w:highlight w:val="none"/>
          <w:u w:val="single"/>
        </w:rPr>
        <w:t>（</w:t>
      </w:r>
      <w:r>
        <w:rPr>
          <w:rFonts w:hint="eastAsia" w:cs="Times New Roman" w:asciiTheme="minorEastAsia" w:hAnsiTheme="minorEastAsia"/>
          <w:b/>
          <w:bCs/>
          <w:szCs w:val="21"/>
          <w:highlight w:val="none"/>
          <w:u w:val="single"/>
        </w:rPr>
        <w:t>采购人</w:t>
      </w:r>
      <w:r>
        <w:rPr>
          <w:rFonts w:cs="Times New Roman" w:asciiTheme="minorEastAsia" w:hAnsiTheme="minorEastAsia"/>
          <w:b/>
          <w:bCs/>
          <w:szCs w:val="21"/>
          <w:highlight w:val="none"/>
          <w:u w:val="single"/>
        </w:rPr>
        <w:t>名称）</w:t>
      </w:r>
      <w:r>
        <w:rPr>
          <w:rFonts w:cs="Times New Roman" w:asciiTheme="minorEastAsia" w:hAnsiTheme="minorEastAsia"/>
          <w:szCs w:val="21"/>
          <w:highlight w:val="none"/>
        </w:rPr>
        <w:t>的</w:t>
      </w:r>
      <w:r>
        <w:rPr>
          <w:rFonts w:cs="Times New Roman" w:asciiTheme="minorEastAsia" w:hAnsiTheme="minorEastAsia"/>
          <w:b/>
          <w:bCs/>
          <w:szCs w:val="21"/>
          <w:highlight w:val="none"/>
          <w:u w:val="single"/>
        </w:rPr>
        <w:t>（项目名称）</w:t>
      </w:r>
      <w:r>
        <w:rPr>
          <w:rFonts w:cs="Times New Roman" w:asciiTheme="minorEastAsia" w:hAnsiTheme="minorEastAsia"/>
          <w:szCs w:val="21"/>
          <w:highlight w:val="none"/>
        </w:rPr>
        <w:t>采购活动，提供的货物全部由符合政策要求的</w:t>
      </w:r>
      <w:r>
        <w:rPr>
          <w:rFonts w:hint="eastAsia" w:cs="Times New Roman" w:asciiTheme="minorEastAsia" w:hAnsiTheme="minorEastAsia"/>
          <w:szCs w:val="21"/>
          <w:highlight w:val="none"/>
        </w:rPr>
        <w:t>残疾人福利性单位</w:t>
      </w:r>
      <w:r>
        <w:rPr>
          <w:rFonts w:cs="Times New Roman" w:asciiTheme="minorEastAsia" w:hAnsiTheme="minorEastAsia"/>
          <w:szCs w:val="21"/>
          <w:highlight w:val="none"/>
        </w:rPr>
        <w:t>制造。相关</w:t>
      </w:r>
      <w:r>
        <w:rPr>
          <w:rFonts w:hint="eastAsia" w:cs="Times New Roman" w:asciiTheme="minorEastAsia" w:hAnsiTheme="minorEastAsia"/>
          <w:szCs w:val="21"/>
          <w:highlight w:val="none"/>
        </w:rPr>
        <w:t>残疾人福利性单位</w:t>
      </w:r>
      <w:r>
        <w:rPr>
          <w:rFonts w:cs="Times New Roman" w:asciiTheme="minorEastAsia" w:hAnsiTheme="minorEastAsia"/>
          <w:szCs w:val="21"/>
          <w:highlight w:val="none"/>
        </w:rPr>
        <w:t>的具体情况如下：</w:t>
      </w:r>
    </w:p>
    <w:p>
      <w:pPr>
        <w:spacing w:afterLines="25" w:line="300" w:lineRule="auto"/>
        <w:ind w:firstLine="420" w:firstLineChars="200"/>
        <w:rPr>
          <w:rFonts w:cs="Times New Roman" w:asciiTheme="minorEastAsia" w:hAnsiTheme="minorEastAsia"/>
          <w:szCs w:val="21"/>
          <w:highlight w:val="none"/>
        </w:rPr>
      </w:pPr>
      <w:r>
        <w:rPr>
          <w:rFonts w:cs="Times New Roman" w:asciiTheme="minorEastAsia" w:hAnsiTheme="minorEastAsia"/>
          <w:szCs w:val="21"/>
          <w:highlight w:val="none"/>
        </w:rPr>
        <w:t>1.</w:t>
      </w:r>
      <w:r>
        <w:rPr>
          <w:rFonts w:cs="Times New Roman" w:asciiTheme="minorEastAsia" w:hAnsiTheme="minorEastAsia"/>
          <w:b/>
          <w:bCs/>
          <w:szCs w:val="21"/>
          <w:highlight w:val="none"/>
          <w:u w:val="single"/>
        </w:rPr>
        <w:t xml:space="preserve"> （标的名称）</w:t>
      </w:r>
      <w:r>
        <w:rPr>
          <w:rFonts w:cs="Times New Roman" w:asciiTheme="minorEastAsia" w:hAnsiTheme="minorEastAsia"/>
          <w:szCs w:val="21"/>
          <w:highlight w:val="none"/>
        </w:rPr>
        <w:t xml:space="preserve"> </w:t>
      </w:r>
      <w:r>
        <w:rPr>
          <w:rFonts w:hint="eastAsia" w:cs="Times New Roman" w:asciiTheme="minorEastAsia" w:hAnsiTheme="minorEastAsia"/>
          <w:szCs w:val="21"/>
          <w:highlight w:val="none"/>
        </w:rPr>
        <w:t>，</w:t>
      </w:r>
      <w:r>
        <w:rPr>
          <w:rFonts w:cs="Times New Roman" w:asciiTheme="minorEastAsia" w:hAnsiTheme="minorEastAsia"/>
          <w:szCs w:val="21"/>
          <w:highlight w:val="none"/>
        </w:rPr>
        <w:t>制造商为</w:t>
      </w:r>
      <w:r>
        <w:rPr>
          <w:rFonts w:cs="Times New Roman" w:asciiTheme="minorEastAsia" w:hAnsiTheme="minorEastAsia"/>
          <w:b/>
          <w:bCs/>
          <w:szCs w:val="21"/>
          <w:highlight w:val="none"/>
          <w:u w:val="single"/>
        </w:rPr>
        <w:t>（</w:t>
      </w:r>
      <w:r>
        <w:rPr>
          <w:rFonts w:hint="eastAsia" w:cs="Times New Roman" w:asciiTheme="minorEastAsia" w:hAnsiTheme="minorEastAsia"/>
          <w:b/>
          <w:bCs/>
          <w:szCs w:val="21"/>
          <w:highlight w:val="none"/>
          <w:u w:val="single"/>
        </w:rPr>
        <w:t>单位</w:t>
      </w:r>
      <w:r>
        <w:rPr>
          <w:rFonts w:cs="Times New Roman" w:asciiTheme="minorEastAsia" w:hAnsiTheme="minorEastAsia"/>
          <w:b/>
          <w:bCs/>
          <w:szCs w:val="21"/>
          <w:highlight w:val="none"/>
          <w:u w:val="single"/>
        </w:rPr>
        <w:t>名称）</w:t>
      </w:r>
      <w:r>
        <w:rPr>
          <w:rFonts w:cs="Times New Roman" w:asciiTheme="minorEastAsia" w:hAnsiTheme="minorEastAsia"/>
          <w:szCs w:val="21"/>
          <w:highlight w:val="none"/>
        </w:rPr>
        <w:t>，属于</w:t>
      </w:r>
      <w:r>
        <w:rPr>
          <w:rFonts w:hint="eastAsia" w:cs="Times New Roman" w:asciiTheme="minorEastAsia" w:hAnsiTheme="minorEastAsia"/>
          <w:b/>
          <w:bCs/>
          <w:szCs w:val="21"/>
          <w:highlight w:val="none"/>
          <w:u w:val="single"/>
        </w:rPr>
        <w:t>残疾人福利性单位</w:t>
      </w:r>
      <w:r>
        <w:rPr>
          <w:rFonts w:cs="Times New Roman" w:asciiTheme="minorEastAsia" w:hAnsiTheme="minorEastAsia"/>
          <w:szCs w:val="21"/>
          <w:highlight w:val="none"/>
        </w:rPr>
        <w:t>；</w:t>
      </w:r>
    </w:p>
    <w:p>
      <w:pPr>
        <w:spacing w:afterLines="25" w:line="300" w:lineRule="auto"/>
        <w:ind w:firstLine="420" w:firstLineChars="200"/>
        <w:rPr>
          <w:rFonts w:cs="Times New Roman" w:asciiTheme="minorEastAsia" w:hAnsiTheme="minorEastAsia"/>
          <w:szCs w:val="21"/>
          <w:highlight w:val="none"/>
        </w:rPr>
      </w:pPr>
      <w:r>
        <w:rPr>
          <w:rFonts w:cs="Times New Roman" w:asciiTheme="minorEastAsia" w:hAnsiTheme="minorEastAsia"/>
          <w:szCs w:val="21"/>
          <w:highlight w:val="none"/>
        </w:rPr>
        <w:t>2.</w:t>
      </w:r>
      <w:r>
        <w:rPr>
          <w:rFonts w:cs="Times New Roman" w:asciiTheme="minorEastAsia" w:hAnsiTheme="minorEastAsia"/>
          <w:b/>
          <w:bCs/>
          <w:szCs w:val="21"/>
          <w:highlight w:val="none"/>
          <w:u w:val="single"/>
        </w:rPr>
        <w:t xml:space="preserve"> （标的名称）</w:t>
      </w:r>
      <w:r>
        <w:rPr>
          <w:rFonts w:cs="Times New Roman" w:asciiTheme="minorEastAsia" w:hAnsiTheme="minorEastAsia"/>
          <w:szCs w:val="21"/>
          <w:highlight w:val="none"/>
        </w:rPr>
        <w:t xml:space="preserve"> </w:t>
      </w:r>
      <w:r>
        <w:rPr>
          <w:rFonts w:hint="eastAsia" w:cs="Times New Roman" w:asciiTheme="minorEastAsia" w:hAnsiTheme="minorEastAsia"/>
          <w:szCs w:val="21"/>
          <w:highlight w:val="none"/>
        </w:rPr>
        <w:t>，</w:t>
      </w:r>
      <w:r>
        <w:rPr>
          <w:rFonts w:cs="Times New Roman" w:asciiTheme="minorEastAsia" w:hAnsiTheme="minorEastAsia"/>
          <w:szCs w:val="21"/>
          <w:highlight w:val="none"/>
        </w:rPr>
        <w:t>制造商为</w:t>
      </w:r>
      <w:r>
        <w:rPr>
          <w:rFonts w:cs="Times New Roman" w:asciiTheme="minorEastAsia" w:hAnsiTheme="minorEastAsia"/>
          <w:b/>
          <w:bCs/>
          <w:szCs w:val="21"/>
          <w:highlight w:val="none"/>
          <w:u w:val="single"/>
        </w:rPr>
        <w:t>（</w:t>
      </w:r>
      <w:r>
        <w:rPr>
          <w:rFonts w:hint="eastAsia" w:cs="Times New Roman" w:asciiTheme="minorEastAsia" w:hAnsiTheme="minorEastAsia"/>
          <w:b/>
          <w:bCs/>
          <w:szCs w:val="21"/>
          <w:highlight w:val="none"/>
          <w:u w:val="single"/>
        </w:rPr>
        <w:t>单位</w:t>
      </w:r>
      <w:r>
        <w:rPr>
          <w:rFonts w:cs="Times New Roman" w:asciiTheme="minorEastAsia" w:hAnsiTheme="minorEastAsia"/>
          <w:b/>
          <w:bCs/>
          <w:szCs w:val="21"/>
          <w:highlight w:val="none"/>
          <w:u w:val="single"/>
        </w:rPr>
        <w:t>名称）</w:t>
      </w:r>
      <w:r>
        <w:rPr>
          <w:rFonts w:cs="Times New Roman" w:asciiTheme="minorEastAsia" w:hAnsiTheme="minorEastAsia"/>
          <w:szCs w:val="21"/>
          <w:highlight w:val="none"/>
        </w:rPr>
        <w:t>，属于</w:t>
      </w:r>
      <w:r>
        <w:rPr>
          <w:rFonts w:hint="eastAsia" w:cs="Times New Roman" w:asciiTheme="minorEastAsia" w:hAnsiTheme="minorEastAsia"/>
          <w:b/>
          <w:bCs/>
          <w:szCs w:val="21"/>
          <w:highlight w:val="none"/>
          <w:u w:val="single"/>
        </w:rPr>
        <w:t>残疾人福利性单位</w:t>
      </w:r>
      <w:r>
        <w:rPr>
          <w:rFonts w:hint="eastAsia" w:cs="Times New Roman" w:asciiTheme="minorEastAsia" w:hAnsiTheme="minorEastAsia"/>
          <w:szCs w:val="21"/>
          <w:highlight w:val="none"/>
        </w:rPr>
        <w:t>。</w:t>
      </w:r>
    </w:p>
    <w:p>
      <w:pPr>
        <w:spacing w:afterLines="25" w:line="300" w:lineRule="auto"/>
        <w:ind w:firstLine="420" w:firstLineChars="200"/>
        <w:rPr>
          <w:rFonts w:cs="Times New Roman" w:asciiTheme="minorEastAsia" w:hAnsiTheme="minorEastAsia"/>
          <w:szCs w:val="21"/>
          <w:highlight w:val="none"/>
        </w:rPr>
      </w:pPr>
      <w:r>
        <w:rPr>
          <w:rFonts w:cs="Times New Roman" w:asciiTheme="minorEastAsia" w:hAnsiTheme="minorEastAsia"/>
          <w:szCs w:val="21"/>
          <w:highlight w:val="none"/>
        </w:rPr>
        <w:t xml:space="preserve">…… </w:t>
      </w:r>
    </w:p>
    <w:p>
      <w:pPr>
        <w:spacing w:afterLines="25" w:line="300" w:lineRule="auto"/>
        <w:ind w:firstLine="420" w:firstLineChars="200"/>
        <w:rPr>
          <w:rFonts w:hint="eastAsia" w:cs="Times New Roman" w:asciiTheme="minorEastAsia" w:hAnsiTheme="minorEastAsia"/>
          <w:szCs w:val="21"/>
          <w:highlight w:val="none"/>
        </w:rPr>
      </w:pPr>
      <w:r>
        <w:rPr>
          <w:rFonts w:hint="eastAsia" w:cs="Times New Roman" w:asciiTheme="minorEastAsia" w:hAnsiTheme="minorEastAsia"/>
          <w:szCs w:val="21"/>
          <w:highlight w:val="none"/>
        </w:rPr>
        <w:t>本</w:t>
      </w:r>
      <w:r>
        <w:rPr>
          <w:rFonts w:cs="Times New Roman" w:asciiTheme="minorEastAsia" w:hAnsiTheme="minorEastAsia"/>
          <w:szCs w:val="21"/>
          <w:highlight w:val="none"/>
        </w:rPr>
        <w:t>投标人</w:t>
      </w:r>
      <w:r>
        <w:rPr>
          <w:rFonts w:hint="eastAsia" w:cs="Times New Roman" w:asciiTheme="minorEastAsia" w:hAnsiTheme="minorEastAsia"/>
          <w:szCs w:val="21"/>
          <w:highlight w:val="none"/>
        </w:rPr>
        <w:t>对上述声明的真实性负责。如有虚假，将依法承担相应责任。</w:t>
      </w:r>
    </w:p>
    <w:p>
      <w:pPr>
        <w:spacing w:afterLines="25" w:line="300" w:lineRule="auto"/>
        <w:ind w:firstLine="420" w:firstLineChars="200"/>
        <w:rPr>
          <w:rFonts w:cs="Times New Roman" w:asciiTheme="minorEastAsia" w:hAnsiTheme="minorEastAsia"/>
          <w:szCs w:val="21"/>
          <w:highlight w:val="none"/>
        </w:rPr>
      </w:pPr>
      <w:r>
        <w:rPr>
          <w:rFonts w:hint="eastAsia" w:cs="Times New Roman" w:asciiTheme="minorEastAsia" w:hAnsiTheme="minorEastAsia"/>
          <w:szCs w:val="21"/>
          <w:highlight w:val="none"/>
        </w:rPr>
        <w:t>本</w:t>
      </w:r>
      <w:r>
        <w:rPr>
          <w:rFonts w:cs="Times New Roman" w:asciiTheme="minorEastAsia" w:hAnsiTheme="minorEastAsia"/>
          <w:szCs w:val="21"/>
          <w:highlight w:val="none"/>
        </w:rPr>
        <w:t>投标人</w:t>
      </w:r>
      <w:r>
        <w:rPr>
          <w:rFonts w:hint="eastAsia" w:cs="Times New Roman" w:asciiTheme="minorEastAsia" w:hAnsiTheme="minorEastAsia"/>
          <w:szCs w:val="21"/>
          <w:highlight w:val="none"/>
        </w:rPr>
        <w:t>已</w:t>
      </w:r>
      <w:r>
        <w:rPr>
          <w:rFonts w:cs="Times New Roman" w:asciiTheme="minorEastAsia" w:hAnsiTheme="minorEastAsia"/>
          <w:szCs w:val="21"/>
          <w:highlight w:val="none"/>
        </w:rPr>
        <w:t>知悉</w:t>
      </w:r>
      <w:r>
        <w:rPr>
          <w:rFonts w:hint="eastAsia" w:cs="Times New Roman" w:asciiTheme="minorEastAsia" w:hAnsiTheme="minorEastAsia"/>
          <w:szCs w:val="21"/>
          <w:highlight w:val="none"/>
        </w:rPr>
        <w:t>《财政部民政部中国残疾人联合会关于促进残疾人就业政府采购政策的通知》（财库〔2017〕141 号）</w:t>
      </w:r>
      <w:r>
        <w:rPr>
          <w:rFonts w:cs="Times New Roman" w:asciiTheme="minorEastAsia" w:hAnsiTheme="minorEastAsia"/>
          <w:szCs w:val="21"/>
          <w:highlight w:val="none"/>
        </w:rPr>
        <w:t>的规定，承诺提供的声明函内容是真实的，如提供声明函内容不实，则依法追究相关法律责任</w:t>
      </w:r>
      <w:r>
        <w:rPr>
          <w:rFonts w:hint="eastAsia" w:cs="Times New Roman" w:asciiTheme="minorEastAsia" w:hAnsiTheme="minorEastAsia"/>
          <w:szCs w:val="21"/>
          <w:highlight w:val="none"/>
        </w:rPr>
        <w:t>。</w:t>
      </w:r>
    </w:p>
    <w:p>
      <w:pPr>
        <w:spacing w:afterLines="25" w:line="300" w:lineRule="auto"/>
        <w:jc w:val="right"/>
        <w:rPr>
          <w:rFonts w:cs="Times New Roman" w:asciiTheme="minorEastAsia" w:hAnsiTheme="minorEastAsia"/>
          <w:szCs w:val="21"/>
          <w:highlight w:val="none"/>
        </w:rPr>
      </w:pPr>
    </w:p>
    <w:p>
      <w:pPr>
        <w:spacing w:afterLines="25" w:line="300" w:lineRule="auto"/>
        <w:ind w:right="420" w:firstLine="4410" w:firstLineChars="2100"/>
        <w:rPr>
          <w:rFonts w:cs="Times New Roman" w:asciiTheme="minorEastAsia" w:hAnsiTheme="minorEastAsia"/>
          <w:szCs w:val="21"/>
          <w:highlight w:val="none"/>
        </w:rPr>
      </w:pPr>
      <w:r>
        <w:rPr>
          <w:rFonts w:hint="eastAsia" w:cs="Times New Roman" w:asciiTheme="minorEastAsia" w:hAnsiTheme="minorEastAsia"/>
          <w:szCs w:val="21"/>
          <w:highlight w:val="none"/>
        </w:rPr>
        <w:t>投标人（投标单位）：</w:t>
      </w:r>
    </w:p>
    <w:p>
      <w:pPr>
        <w:spacing w:afterLines="25" w:line="300" w:lineRule="auto"/>
        <w:ind w:right="420" w:firstLine="5775" w:firstLineChars="2750"/>
        <w:rPr>
          <w:highlight w:val="none"/>
        </w:rPr>
      </w:pPr>
      <w:r>
        <w:rPr>
          <w:rFonts w:hint="eastAsia" w:cs="Times New Roman" w:asciiTheme="minorEastAsia" w:hAnsiTheme="minorEastAsia"/>
          <w:szCs w:val="21"/>
          <w:highlight w:val="none"/>
        </w:rPr>
        <w:t>日期：</w:t>
      </w:r>
    </w:p>
    <w:p>
      <w:pPr>
        <w:spacing w:afterLines="25" w:line="300" w:lineRule="auto"/>
        <w:ind w:firstLine="422" w:firstLineChars="200"/>
        <w:rPr>
          <w:rFonts w:ascii="宋体" w:hAnsi="宋体" w:eastAsia="宋体" w:cs="Times New Roman"/>
          <w:szCs w:val="21"/>
          <w:highlight w:val="none"/>
        </w:rPr>
      </w:pPr>
      <w:r>
        <w:rPr>
          <w:rFonts w:hint="eastAsia" w:ascii="宋体" w:hAnsi="宋体" w:eastAsia="宋体" w:cs="Times New Roman"/>
          <w:b/>
          <w:szCs w:val="21"/>
          <w:highlight w:val="none"/>
        </w:rPr>
        <w:t>说明：</w:t>
      </w:r>
      <w:r>
        <w:rPr>
          <w:rFonts w:hint="eastAsia" w:ascii="宋体" w:hAnsi="宋体" w:eastAsia="宋体" w:cs="Times New Roman"/>
          <w:szCs w:val="21"/>
          <w:highlight w:val="none"/>
        </w:rPr>
        <w:t>根据财库〔2017〕141号文件的规定,享受政府采购支持政策的残疾人福利性单位应当同时满足以下条件：</w:t>
      </w:r>
    </w:p>
    <w:p>
      <w:pPr>
        <w:spacing w:afterLines="25" w:line="30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（一）</w:t>
      </w:r>
      <w:r>
        <w:rPr>
          <w:rFonts w:hint="eastAsia" w:ascii="宋体" w:hAnsi="宋体" w:eastAsia="宋体" w:cs="Times New Roman"/>
          <w:b/>
          <w:szCs w:val="21"/>
          <w:highlight w:val="none"/>
        </w:rPr>
        <w:t>安置的残疾人占本单位在职职工人数的比例不低于25%（含25%），并且安置的残疾人人数不少于10人（含10人）</w:t>
      </w:r>
      <w:r>
        <w:rPr>
          <w:rFonts w:hint="eastAsia" w:ascii="宋体" w:hAnsi="宋体" w:eastAsia="宋体" w:cs="Times New Roman"/>
          <w:szCs w:val="21"/>
          <w:highlight w:val="none"/>
        </w:rPr>
        <w:t>；</w:t>
      </w:r>
    </w:p>
    <w:p>
      <w:pPr>
        <w:spacing w:afterLines="25" w:line="30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（二）依法与安置的每位残疾人签订了一年以上（含一年）的劳动合同或服务协议；</w:t>
      </w:r>
    </w:p>
    <w:p>
      <w:pPr>
        <w:spacing w:afterLines="25" w:line="30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（三）为安置的每位残疾人按月足额缴纳了基本养老保险、基本医疗保险、失业保险、工伤保险和生育保险等社会保险费；</w:t>
      </w:r>
    </w:p>
    <w:p>
      <w:pPr>
        <w:spacing w:afterLines="25" w:line="30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（四）通过银行等金融机构向安置的每位残疾人，按月支付了不低于单位所在区县适用的经省级人民政府批准的月最低工资标准的工资；</w:t>
      </w:r>
    </w:p>
    <w:p>
      <w:pPr>
        <w:spacing w:afterLines="25" w:line="30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9"/>
        <w:rPr>
          <w:rFonts w:hint="eastAsia" w:ascii="宋体" w:hAnsi="宋体" w:eastAsia="宋体" w:cs="Times New Roman"/>
          <w:szCs w:val="21"/>
          <w:highlight w:val="none"/>
        </w:rPr>
      </w:pPr>
    </w:p>
    <w:p>
      <w:pPr>
        <w:pStyle w:val="10"/>
        <w:rPr>
          <w:highlight w:val="none"/>
        </w:rPr>
      </w:pPr>
    </w:p>
    <w:p>
      <w:pPr>
        <w:widowControl/>
        <w:jc w:val="center"/>
        <w:outlineLvl w:val="4"/>
        <w:rPr>
          <w:rFonts w:ascii="Arial" w:hAnsi="Arial" w:eastAsia="宋体" w:cs="Times New Roman"/>
          <w:b/>
          <w:sz w:val="24"/>
          <w:szCs w:val="24"/>
          <w:highlight w:val="none"/>
        </w:rPr>
      </w:pPr>
      <w:r>
        <w:rPr>
          <w:rFonts w:hint="eastAsia" w:ascii="宋体" w:hAnsi="宋体" w:eastAsia="宋体" w:cs="Times New Roman"/>
          <w:b/>
          <w:sz w:val="24"/>
          <w:szCs w:val="24"/>
          <w:highlight w:val="none"/>
        </w:rPr>
        <w:t>③</w:t>
      </w:r>
      <w:r>
        <w:rPr>
          <w:rFonts w:hint="eastAsia" w:ascii="Arial" w:hAnsi="Arial" w:eastAsia="宋体" w:cs="Times New Roman"/>
          <w:b/>
          <w:sz w:val="24"/>
          <w:szCs w:val="24"/>
          <w:highlight w:val="none"/>
        </w:rPr>
        <w:t>监狱企业声明函</w:t>
      </w:r>
      <w:r>
        <w:rPr>
          <w:rFonts w:hint="eastAsia"/>
          <w:b/>
          <w:sz w:val="24"/>
          <w:highlight w:val="none"/>
        </w:rPr>
        <w:t>【货物，提供监狱企业货物的供应商如需享受优惠政策，还须另行提供省级以上监狱管理局、戒毒管理局（含新疆生产建设兵团）出具的监狱企业证明文件】</w:t>
      </w:r>
    </w:p>
    <w:p>
      <w:pPr>
        <w:spacing w:afterLines="25" w:line="300" w:lineRule="auto"/>
        <w:ind w:firstLine="420" w:firstLineChars="200"/>
        <w:rPr>
          <w:rFonts w:ascii="Arial" w:hAnsi="Arial" w:eastAsia="宋体" w:cs="Times New Roman"/>
          <w:szCs w:val="21"/>
          <w:highlight w:val="none"/>
        </w:rPr>
      </w:pPr>
      <w:r>
        <w:rPr>
          <w:rFonts w:hint="eastAsia" w:ascii="Arial" w:hAnsi="Arial" w:eastAsia="宋体" w:cs="Times New Roman"/>
          <w:szCs w:val="21"/>
          <w:highlight w:val="none"/>
        </w:rPr>
        <w:t>本投标人郑重声明，根据《财政部司法部关于政府采购支持监狱企业发展有关问题的通知》（财库〔</w:t>
      </w:r>
      <w:r>
        <w:rPr>
          <w:rFonts w:ascii="Arial" w:hAnsi="Arial" w:eastAsia="宋体" w:cs="Times New Roman"/>
          <w:szCs w:val="21"/>
          <w:highlight w:val="none"/>
        </w:rPr>
        <w:t>2014</w:t>
      </w:r>
      <w:r>
        <w:rPr>
          <w:rFonts w:hint="eastAsia" w:ascii="Arial" w:hAnsi="Arial" w:eastAsia="宋体" w:cs="Times New Roman"/>
          <w:szCs w:val="21"/>
          <w:highlight w:val="none"/>
        </w:rPr>
        <w:t>〕</w:t>
      </w:r>
      <w:r>
        <w:rPr>
          <w:rFonts w:ascii="Arial" w:hAnsi="Arial" w:eastAsia="宋体" w:cs="Times New Roman"/>
          <w:szCs w:val="21"/>
          <w:highlight w:val="none"/>
        </w:rPr>
        <w:t>68</w:t>
      </w:r>
      <w:r>
        <w:rPr>
          <w:rFonts w:hint="eastAsia" w:ascii="Arial" w:hAnsi="Arial" w:eastAsia="宋体" w:cs="Times New Roman"/>
          <w:szCs w:val="21"/>
          <w:highlight w:val="none"/>
        </w:rPr>
        <w:t>号）的规定，本投标人</w:t>
      </w:r>
      <w:r>
        <w:rPr>
          <w:rFonts w:ascii="Arial" w:hAnsi="Arial" w:eastAsia="宋体" w:cs="Times New Roman"/>
          <w:szCs w:val="21"/>
          <w:highlight w:val="none"/>
        </w:rPr>
        <w:t>参加</w:t>
      </w:r>
      <w:r>
        <w:rPr>
          <w:rFonts w:ascii="Arial" w:hAnsi="Arial" w:eastAsia="宋体" w:cs="Times New Roman"/>
          <w:b/>
          <w:bCs/>
          <w:szCs w:val="21"/>
          <w:highlight w:val="none"/>
          <w:u w:val="single"/>
        </w:rPr>
        <w:t>（</w:t>
      </w:r>
      <w:r>
        <w:rPr>
          <w:rFonts w:hint="eastAsia" w:ascii="Arial" w:hAnsi="Arial" w:eastAsia="宋体" w:cs="Times New Roman"/>
          <w:b/>
          <w:bCs/>
          <w:szCs w:val="21"/>
          <w:highlight w:val="none"/>
          <w:u w:val="single"/>
        </w:rPr>
        <w:t>采购人</w:t>
      </w:r>
      <w:r>
        <w:rPr>
          <w:rFonts w:ascii="Arial" w:hAnsi="Arial" w:eastAsia="宋体" w:cs="Times New Roman"/>
          <w:b/>
          <w:bCs/>
          <w:szCs w:val="21"/>
          <w:highlight w:val="none"/>
          <w:u w:val="single"/>
        </w:rPr>
        <w:t>名称）</w:t>
      </w:r>
      <w:r>
        <w:rPr>
          <w:rFonts w:ascii="Arial" w:hAnsi="Arial" w:eastAsia="宋体" w:cs="Times New Roman"/>
          <w:szCs w:val="21"/>
          <w:highlight w:val="none"/>
        </w:rPr>
        <w:t>的</w:t>
      </w:r>
      <w:r>
        <w:rPr>
          <w:rFonts w:ascii="Arial" w:hAnsi="Arial" w:eastAsia="宋体" w:cs="Times New Roman"/>
          <w:b/>
          <w:bCs/>
          <w:szCs w:val="21"/>
          <w:highlight w:val="none"/>
          <w:u w:val="single"/>
        </w:rPr>
        <w:t>（项目名称）</w:t>
      </w:r>
      <w:r>
        <w:rPr>
          <w:rFonts w:ascii="Arial" w:hAnsi="Arial" w:eastAsia="宋体" w:cs="Times New Roman"/>
          <w:szCs w:val="21"/>
          <w:highlight w:val="none"/>
        </w:rPr>
        <w:t>采购活动，提供的货物全部由符合政策要求的</w:t>
      </w:r>
      <w:r>
        <w:rPr>
          <w:rFonts w:hint="eastAsia" w:ascii="Arial" w:hAnsi="Arial" w:eastAsia="宋体" w:cs="Times New Roman"/>
          <w:szCs w:val="21"/>
          <w:highlight w:val="none"/>
        </w:rPr>
        <w:t>监狱企业</w:t>
      </w:r>
      <w:r>
        <w:rPr>
          <w:rFonts w:ascii="Arial" w:hAnsi="Arial" w:eastAsia="宋体" w:cs="Times New Roman"/>
          <w:szCs w:val="21"/>
          <w:highlight w:val="none"/>
        </w:rPr>
        <w:t>制造。相关</w:t>
      </w:r>
      <w:r>
        <w:rPr>
          <w:rFonts w:hint="eastAsia" w:ascii="Arial" w:hAnsi="Arial" w:eastAsia="宋体" w:cs="Times New Roman"/>
          <w:szCs w:val="21"/>
          <w:highlight w:val="none"/>
        </w:rPr>
        <w:t>监狱企业</w:t>
      </w:r>
      <w:r>
        <w:rPr>
          <w:rFonts w:ascii="Arial" w:hAnsi="Arial" w:eastAsia="宋体" w:cs="Times New Roman"/>
          <w:szCs w:val="21"/>
          <w:highlight w:val="none"/>
        </w:rPr>
        <w:t>的具体情况如下：</w:t>
      </w:r>
    </w:p>
    <w:p>
      <w:pPr>
        <w:spacing w:afterLines="25" w:line="300" w:lineRule="auto"/>
        <w:ind w:firstLine="420" w:firstLineChars="200"/>
        <w:rPr>
          <w:rFonts w:ascii="Arial" w:hAnsi="Arial" w:eastAsia="宋体" w:cs="Times New Roman"/>
          <w:szCs w:val="21"/>
          <w:highlight w:val="none"/>
        </w:rPr>
      </w:pPr>
      <w:r>
        <w:rPr>
          <w:rFonts w:ascii="Arial" w:hAnsi="Arial" w:eastAsia="宋体" w:cs="Times New Roman"/>
          <w:szCs w:val="21"/>
          <w:highlight w:val="none"/>
        </w:rPr>
        <w:t>1.</w:t>
      </w:r>
      <w:r>
        <w:rPr>
          <w:rFonts w:ascii="Arial" w:hAnsi="Arial" w:eastAsia="宋体" w:cs="Times New Roman"/>
          <w:b/>
          <w:bCs/>
          <w:szCs w:val="21"/>
          <w:highlight w:val="none"/>
          <w:u w:val="single"/>
        </w:rPr>
        <w:t xml:space="preserve"> （标的名称）</w:t>
      </w:r>
      <w:r>
        <w:rPr>
          <w:rFonts w:ascii="Arial" w:hAnsi="Arial" w:eastAsia="宋体" w:cs="Times New Roman"/>
          <w:szCs w:val="21"/>
          <w:highlight w:val="none"/>
        </w:rPr>
        <w:t xml:space="preserve"> </w:t>
      </w:r>
      <w:r>
        <w:rPr>
          <w:rFonts w:hint="eastAsia" w:ascii="Arial" w:hAnsi="Arial" w:eastAsia="宋体" w:cs="Times New Roman"/>
          <w:szCs w:val="21"/>
          <w:highlight w:val="none"/>
        </w:rPr>
        <w:t>，</w:t>
      </w:r>
      <w:r>
        <w:rPr>
          <w:rFonts w:ascii="Arial" w:hAnsi="Arial" w:eastAsia="宋体" w:cs="Times New Roman"/>
          <w:szCs w:val="21"/>
          <w:highlight w:val="none"/>
        </w:rPr>
        <w:t>制造商为</w:t>
      </w:r>
      <w:r>
        <w:rPr>
          <w:rFonts w:ascii="Arial" w:hAnsi="Arial" w:eastAsia="宋体" w:cs="Times New Roman"/>
          <w:b/>
          <w:bCs/>
          <w:szCs w:val="21"/>
          <w:highlight w:val="none"/>
          <w:u w:val="single"/>
        </w:rPr>
        <w:t>（</w:t>
      </w:r>
      <w:r>
        <w:rPr>
          <w:rFonts w:hint="eastAsia" w:ascii="Arial" w:hAnsi="Arial" w:eastAsia="宋体" w:cs="Times New Roman"/>
          <w:b/>
          <w:bCs/>
          <w:szCs w:val="21"/>
          <w:highlight w:val="none"/>
          <w:u w:val="single"/>
        </w:rPr>
        <w:t>企业</w:t>
      </w:r>
      <w:r>
        <w:rPr>
          <w:rFonts w:ascii="Arial" w:hAnsi="Arial" w:eastAsia="宋体" w:cs="Times New Roman"/>
          <w:b/>
          <w:bCs/>
          <w:szCs w:val="21"/>
          <w:highlight w:val="none"/>
          <w:u w:val="single"/>
        </w:rPr>
        <w:t>名称）</w:t>
      </w:r>
      <w:r>
        <w:rPr>
          <w:rFonts w:ascii="Arial" w:hAnsi="Arial" w:eastAsia="宋体" w:cs="Times New Roman"/>
          <w:szCs w:val="21"/>
          <w:highlight w:val="none"/>
        </w:rPr>
        <w:t>，属于</w:t>
      </w:r>
      <w:r>
        <w:rPr>
          <w:rFonts w:hint="eastAsia" w:ascii="Arial" w:hAnsi="Arial" w:eastAsia="宋体" w:cs="Times New Roman"/>
          <w:b/>
          <w:bCs/>
          <w:szCs w:val="21"/>
          <w:highlight w:val="none"/>
          <w:u w:val="single"/>
        </w:rPr>
        <w:t>监狱企业</w:t>
      </w:r>
      <w:r>
        <w:rPr>
          <w:rFonts w:ascii="Arial" w:hAnsi="Arial" w:eastAsia="宋体" w:cs="Times New Roman"/>
          <w:szCs w:val="21"/>
          <w:highlight w:val="none"/>
        </w:rPr>
        <w:t>；</w:t>
      </w:r>
    </w:p>
    <w:p>
      <w:pPr>
        <w:spacing w:afterLines="25" w:line="300" w:lineRule="auto"/>
        <w:ind w:firstLine="420" w:firstLineChars="200"/>
        <w:rPr>
          <w:rFonts w:ascii="Arial" w:hAnsi="Arial" w:eastAsia="宋体" w:cs="Times New Roman"/>
          <w:szCs w:val="21"/>
          <w:highlight w:val="none"/>
        </w:rPr>
      </w:pPr>
      <w:r>
        <w:rPr>
          <w:rFonts w:ascii="Arial" w:hAnsi="Arial" w:eastAsia="宋体" w:cs="Times New Roman"/>
          <w:szCs w:val="21"/>
          <w:highlight w:val="none"/>
        </w:rPr>
        <w:t>2.</w:t>
      </w:r>
      <w:r>
        <w:rPr>
          <w:rFonts w:ascii="Arial" w:hAnsi="Arial" w:eastAsia="宋体" w:cs="Times New Roman"/>
          <w:b/>
          <w:bCs/>
          <w:szCs w:val="21"/>
          <w:highlight w:val="none"/>
          <w:u w:val="single"/>
        </w:rPr>
        <w:t xml:space="preserve"> （标的名称）</w:t>
      </w:r>
      <w:r>
        <w:rPr>
          <w:rFonts w:ascii="Arial" w:hAnsi="Arial" w:eastAsia="宋体" w:cs="Times New Roman"/>
          <w:szCs w:val="21"/>
          <w:highlight w:val="none"/>
        </w:rPr>
        <w:t xml:space="preserve"> </w:t>
      </w:r>
      <w:r>
        <w:rPr>
          <w:rFonts w:hint="eastAsia" w:ascii="Arial" w:hAnsi="Arial" w:eastAsia="宋体" w:cs="Times New Roman"/>
          <w:szCs w:val="21"/>
          <w:highlight w:val="none"/>
        </w:rPr>
        <w:t>，</w:t>
      </w:r>
      <w:r>
        <w:rPr>
          <w:rFonts w:ascii="Arial" w:hAnsi="Arial" w:eastAsia="宋体" w:cs="Times New Roman"/>
          <w:szCs w:val="21"/>
          <w:highlight w:val="none"/>
        </w:rPr>
        <w:t>制造商为</w:t>
      </w:r>
      <w:r>
        <w:rPr>
          <w:rFonts w:ascii="Arial" w:hAnsi="Arial" w:eastAsia="宋体" w:cs="Times New Roman"/>
          <w:b/>
          <w:bCs/>
          <w:szCs w:val="21"/>
          <w:highlight w:val="none"/>
          <w:u w:val="single"/>
        </w:rPr>
        <w:t>（</w:t>
      </w:r>
      <w:r>
        <w:rPr>
          <w:rFonts w:hint="eastAsia" w:ascii="Arial" w:hAnsi="Arial" w:eastAsia="宋体" w:cs="Times New Roman"/>
          <w:b/>
          <w:bCs/>
          <w:szCs w:val="21"/>
          <w:highlight w:val="none"/>
          <w:u w:val="single"/>
        </w:rPr>
        <w:t>企业</w:t>
      </w:r>
      <w:r>
        <w:rPr>
          <w:rFonts w:ascii="Arial" w:hAnsi="Arial" w:eastAsia="宋体" w:cs="Times New Roman"/>
          <w:b/>
          <w:bCs/>
          <w:szCs w:val="21"/>
          <w:highlight w:val="none"/>
          <w:u w:val="single"/>
        </w:rPr>
        <w:t>名称）</w:t>
      </w:r>
      <w:r>
        <w:rPr>
          <w:rFonts w:ascii="Arial" w:hAnsi="Arial" w:eastAsia="宋体" w:cs="Times New Roman"/>
          <w:szCs w:val="21"/>
          <w:highlight w:val="none"/>
        </w:rPr>
        <w:t>，属于</w:t>
      </w:r>
      <w:r>
        <w:rPr>
          <w:rFonts w:hint="eastAsia" w:ascii="Arial" w:hAnsi="Arial" w:eastAsia="宋体" w:cs="Times New Roman"/>
          <w:b/>
          <w:bCs/>
          <w:szCs w:val="21"/>
          <w:highlight w:val="none"/>
          <w:u w:val="single"/>
        </w:rPr>
        <w:t>监狱企业</w:t>
      </w:r>
      <w:r>
        <w:rPr>
          <w:rFonts w:hint="eastAsia" w:ascii="Arial" w:hAnsi="Arial" w:eastAsia="宋体" w:cs="Times New Roman"/>
          <w:szCs w:val="21"/>
          <w:highlight w:val="none"/>
        </w:rPr>
        <w:t>。</w:t>
      </w:r>
    </w:p>
    <w:p>
      <w:pPr>
        <w:spacing w:afterLines="25" w:line="300" w:lineRule="auto"/>
        <w:ind w:firstLine="420" w:firstLineChars="200"/>
        <w:rPr>
          <w:rFonts w:ascii="Arial" w:hAnsi="Arial" w:eastAsia="宋体" w:cs="Times New Roman"/>
          <w:szCs w:val="21"/>
          <w:highlight w:val="none"/>
        </w:rPr>
      </w:pPr>
      <w:r>
        <w:rPr>
          <w:rFonts w:ascii="Arial" w:hAnsi="Arial" w:eastAsia="宋体" w:cs="Times New Roman"/>
          <w:szCs w:val="21"/>
          <w:highlight w:val="none"/>
        </w:rPr>
        <w:t xml:space="preserve">…… </w:t>
      </w:r>
    </w:p>
    <w:p>
      <w:pPr>
        <w:spacing w:afterLines="25" w:line="300" w:lineRule="auto"/>
        <w:ind w:firstLine="420" w:firstLineChars="200"/>
        <w:rPr>
          <w:rFonts w:ascii="Arial" w:hAnsi="Arial" w:eastAsia="宋体" w:cs="Times New Roman"/>
          <w:szCs w:val="21"/>
          <w:highlight w:val="none"/>
        </w:rPr>
      </w:pPr>
      <w:r>
        <w:rPr>
          <w:rFonts w:ascii="Arial" w:hAnsi="Arial" w:eastAsia="宋体" w:cs="Times New Roman"/>
          <w:szCs w:val="21"/>
          <w:highlight w:val="none"/>
        </w:rPr>
        <w:t>本</w:t>
      </w:r>
      <w:r>
        <w:rPr>
          <w:rFonts w:hint="eastAsia" w:ascii="Arial" w:hAnsi="Arial" w:eastAsia="宋体" w:cs="Times New Roman"/>
          <w:szCs w:val="21"/>
          <w:highlight w:val="none"/>
        </w:rPr>
        <w:t>投标人</w:t>
      </w:r>
      <w:r>
        <w:rPr>
          <w:rFonts w:ascii="Arial" w:hAnsi="Arial" w:eastAsia="宋体" w:cs="Times New Roman"/>
          <w:szCs w:val="21"/>
          <w:highlight w:val="none"/>
        </w:rPr>
        <w:t>对上述声明内容的真实性负责。如有虚假，将依法承担相应责任。</w:t>
      </w:r>
    </w:p>
    <w:p>
      <w:pPr>
        <w:spacing w:afterLines="25" w:line="300" w:lineRule="auto"/>
        <w:ind w:firstLine="422" w:firstLineChars="200"/>
        <w:rPr>
          <w:rFonts w:ascii="Arial" w:hAnsi="Arial" w:eastAsia="宋体" w:cs="Times New Roman"/>
          <w:b/>
          <w:color w:val="FF0000"/>
          <w:szCs w:val="21"/>
          <w:highlight w:val="none"/>
        </w:rPr>
      </w:pPr>
    </w:p>
    <w:p>
      <w:pPr>
        <w:spacing w:afterLines="25" w:line="300" w:lineRule="auto"/>
        <w:ind w:firstLine="422" w:firstLineChars="200"/>
        <w:rPr>
          <w:rFonts w:ascii="Arial" w:hAnsi="Arial" w:eastAsia="宋体" w:cs="Times New Roman"/>
          <w:b/>
          <w:color w:val="FF0000"/>
          <w:szCs w:val="21"/>
          <w:highlight w:val="none"/>
        </w:rPr>
      </w:pPr>
      <w:r>
        <w:rPr>
          <w:rFonts w:hint="eastAsia" w:ascii="Arial" w:hAnsi="Arial" w:eastAsia="宋体" w:cs="Times New Roman"/>
          <w:b/>
          <w:color w:val="FF0000"/>
          <w:szCs w:val="21"/>
          <w:highlight w:val="none"/>
        </w:rPr>
        <w:t>附：省级以上监狱管理局、戒毒管理局（含新疆生产建设兵团）出具的监狱企业证明文件。</w:t>
      </w:r>
    </w:p>
    <w:p>
      <w:pPr>
        <w:spacing w:afterLines="25" w:line="300" w:lineRule="auto"/>
        <w:ind w:firstLine="422" w:firstLineChars="200"/>
        <w:rPr>
          <w:rFonts w:ascii="Arial" w:hAnsi="Arial" w:eastAsia="宋体" w:cs="Times New Roman"/>
          <w:b/>
          <w:color w:val="FF0000"/>
          <w:szCs w:val="21"/>
          <w:highlight w:val="none"/>
        </w:rPr>
      </w:pPr>
    </w:p>
    <w:p>
      <w:pPr>
        <w:spacing w:afterLines="25" w:line="300" w:lineRule="auto"/>
        <w:ind w:firstLine="422" w:firstLineChars="200"/>
        <w:rPr>
          <w:rFonts w:ascii="Arial" w:hAnsi="Arial" w:eastAsia="宋体" w:cs="Times New Roman"/>
          <w:b/>
          <w:color w:val="FF0000"/>
          <w:szCs w:val="21"/>
          <w:highlight w:val="none"/>
        </w:rPr>
      </w:pPr>
    </w:p>
    <w:p>
      <w:pPr>
        <w:wordWrap w:val="0"/>
        <w:spacing w:afterLines="25" w:line="300" w:lineRule="auto"/>
        <w:ind w:right="420" w:firstLine="4410" w:firstLineChars="2100"/>
        <w:jc w:val="right"/>
        <w:rPr>
          <w:rFonts w:ascii="Arial" w:hAnsi="Arial" w:eastAsia="宋体" w:cs="Times New Roman"/>
          <w:szCs w:val="21"/>
          <w:highlight w:val="none"/>
        </w:rPr>
      </w:pPr>
      <w:r>
        <w:rPr>
          <w:rFonts w:hint="eastAsia" w:ascii="Arial" w:hAnsi="Arial" w:eastAsia="宋体" w:cs="Times New Roman"/>
          <w:szCs w:val="21"/>
          <w:highlight w:val="none"/>
        </w:rPr>
        <w:t xml:space="preserve">投标人（投标单位）：     </w:t>
      </w:r>
    </w:p>
    <w:p>
      <w:pPr>
        <w:spacing w:before="120" w:beforeLines="50"/>
        <w:jc w:val="center"/>
        <w:rPr>
          <w:rFonts w:hint="eastAsia"/>
          <w:b/>
          <w:bCs/>
          <w:color w:val="FF0000"/>
          <w:highlight w:val="none"/>
        </w:rPr>
      </w:pPr>
      <w:r>
        <w:rPr>
          <w:rFonts w:hint="eastAsia" w:ascii="Arial" w:hAnsi="Arial" w:eastAsia="宋体" w:cs="Times New Roman"/>
          <w:szCs w:val="21"/>
          <w:highlight w:val="none"/>
        </w:rPr>
        <w:t xml:space="preserve">日期：    </w:t>
      </w:r>
    </w:p>
    <w:p>
      <w:pPr>
        <w:keepNext/>
        <w:keepLines/>
        <w:pageBreakBefore/>
        <w:adjustRightInd w:val="0"/>
        <w:snapToGrid w:val="0"/>
        <w:spacing w:line="360" w:lineRule="auto"/>
        <w:jc w:val="center"/>
        <w:textAlignment w:val="baseline"/>
        <w:outlineLvl w:val="3"/>
        <w:rPr>
          <w:rFonts w:ascii="宋体" w:hAnsi="宋体" w:eastAsia="宋体" w:cs="Times New Roman"/>
          <w:b/>
          <w:bCs/>
          <w:kern w:val="0"/>
          <w:sz w:val="24"/>
          <w:szCs w:val="20"/>
          <w:highlight w:val="none"/>
        </w:rPr>
      </w:pPr>
      <w:r>
        <w:rPr>
          <w:rFonts w:hint="eastAsia" w:ascii="宋体" w:hAnsi="宋体" w:eastAsia="宋体" w:cs="Times New Roman"/>
          <w:b/>
          <w:bCs/>
          <w:kern w:val="0"/>
          <w:sz w:val="24"/>
          <w:szCs w:val="20"/>
          <w:highlight w:val="none"/>
          <w:lang w:val="en-US" w:eastAsia="zh-CN"/>
        </w:rPr>
        <w:t>4</w:t>
      </w:r>
      <w:r>
        <w:rPr>
          <w:rFonts w:ascii="宋体" w:hAnsi="宋体" w:eastAsia="宋体" w:cs="Times New Roman"/>
          <w:b/>
          <w:bCs/>
          <w:kern w:val="0"/>
          <w:sz w:val="24"/>
          <w:szCs w:val="20"/>
          <w:highlight w:val="none"/>
        </w:rPr>
        <w:t>.</w:t>
      </w:r>
      <w:r>
        <w:rPr>
          <w:rFonts w:hint="eastAsia" w:ascii="宋体" w:hAnsi="宋体" w:eastAsia="宋体" w:cs="Times New Roman"/>
          <w:b/>
          <w:bCs/>
          <w:kern w:val="0"/>
          <w:sz w:val="24"/>
          <w:szCs w:val="20"/>
          <w:highlight w:val="none"/>
        </w:rPr>
        <w:t>分项报价清单</w:t>
      </w:r>
    </w:p>
    <w:p>
      <w:pPr>
        <w:spacing w:afterLines="25" w:line="300" w:lineRule="auto"/>
        <w:rPr>
          <w:rFonts w:ascii="Arial" w:hAnsi="Arial" w:eastAsia="宋体" w:cs="Arial"/>
          <w:szCs w:val="24"/>
          <w:highlight w:val="none"/>
        </w:rPr>
      </w:pPr>
      <w:r>
        <w:rPr>
          <w:rFonts w:hint="eastAsia" w:ascii="Arial" w:hAnsi="Arial" w:eastAsia="宋体" w:cs="Arial"/>
          <w:color w:val="000000"/>
          <w:szCs w:val="24"/>
          <w:highlight w:val="none"/>
        </w:rPr>
        <w:t>投标单位（投标人）名称：</w:t>
      </w:r>
      <w:r>
        <w:rPr>
          <w:rFonts w:ascii="Arial" w:hAnsi="Arial" w:eastAsia="宋体" w:cs="Arial"/>
          <w:color w:val="000000"/>
          <w:szCs w:val="24"/>
          <w:highlight w:val="none"/>
          <w:u w:val="single"/>
        </w:rPr>
        <w:t xml:space="preserve">                          </w:t>
      </w:r>
    </w:p>
    <w:p>
      <w:pPr>
        <w:tabs>
          <w:tab w:val="left" w:pos="720"/>
        </w:tabs>
        <w:spacing w:afterLines="25" w:line="300" w:lineRule="auto"/>
        <w:rPr>
          <w:rFonts w:ascii="Arial" w:hAnsi="Arial" w:eastAsia="宋体" w:cs="Times New Roman"/>
          <w:b/>
          <w:sz w:val="24"/>
          <w:szCs w:val="24"/>
          <w:highlight w:val="none"/>
        </w:rPr>
      </w:pPr>
      <w:r>
        <w:rPr>
          <w:rFonts w:hint="eastAsia" w:ascii="Arial" w:hAnsi="Arial" w:eastAsia="宋体" w:cs="Times New Roman"/>
          <w:b/>
          <w:sz w:val="24"/>
          <w:szCs w:val="24"/>
          <w:highlight w:val="none"/>
        </w:rPr>
        <w:t>（一）项目报价表</w:t>
      </w:r>
    </w:p>
    <w:tbl>
      <w:tblPr>
        <w:tblStyle w:val="16"/>
        <w:tblW w:w="11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263"/>
        <w:gridCol w:w="1028"/>
        <w:gridCol w:w="1200"/>
        <w:gridCol w:w="1327"/>
        <w:gridCol w:w="992"/>
        <w:gridCol w:w="709"/>
        <w:gridCol w:w="708"/>
        <w:gridCol w:w="993"/>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2" w:type="dxa"/>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Arial" w:hAnsi="Arial" w:eastAsia="宋体" w:cs="Times New Roman"/>
                <w:szCs w:val="24"/>
                <w:highlight w:val="none"/>
              </w:rPr>
            </w:pPr>
            <w:r>
              <w:rPr>
                <w:rFonts w:hint="eastAsia" w:ascii="Arial" w:hAnsi="Arial" w:eastAsia="宋体" w:cs="Times New Roman"/>
                <w:szCs w:val="24"/>
                <w:highlight w:val="none"/>
              </w:rPr>
              <w:t>序号</w:t>
            </w:r>
          </w:p>
        </w:tc>
        <w:tc>
          <w:tcPr>
            <w:tcW w:w="22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Arial" w:hAnsi="Arial" w:eastAsia="宋体" w:cs="Times New Roman"/>
                <w:szCs w:val="24"/>
                <w:highlight w:val="none"/>
              </w:rPr>
            </w:pPr>
            <w:r>
              <w:rPr>
                <w:rFonts w:hint="eastAsia" w:ascii="Arial" w:hAnsi="Arial" w:eastAsia="宋体" w:cs="Times New Roman"/>
                <w:szCs w:val="24"/>
                <w:highlight w:val="none"/>
              </w:rPr>
              <w:t>货物名称</w:t>
            </w:r>
          </w:p>
        </w:tc>
        <w:tc>
          <w:tcPr>
            <w:tcW w:w="1028"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Arial" w:hAnsi="Arial" w:eastAsia="宋体" w:cs="Times New Roman"/>
                <w:szCs w:val="24"/>
                <w:highlight w:val="none"/>
              </w:rPr>
            </w:pPr>
            <w:r>
              <w:rPr>
                <w:rFonts w:hint="eastAsia" w:ascii="Arial" w:hAnsi="Arial" w:eastAsia="宋体" w:cs="Times New Roman"/>
                <w:szCs w:val="24"/>
                <w:highlight w:val="none"/>
                <w:lang w:val="en-US" w:eastAsia="zh-CN"/>
              </w:rPr>
              <w:t>品牌</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Arial" w:hAnsi="Arial" w:eastAsia="宋体" w:cs="Times New Roman"/>
                <w:szCs w:val="24"/>
                <w:highlight w:val="none"/>
              </w:rPr>
            </w:pPr>
            <w:r>
              <w:rPr>
                <w:rFonts w:hint="eastAsia" w:ascii="Arial" w:hAnsi="Arial" w:eastAsia="宋体" w:cs="Times New Roman"/>
                <w:szCs w:val="24"/>
                <w:highlight w:val="none"/>
              </w:rPr>
              <w:t>规格</w:t>
            </w:r>
            <w:r>
              <w:rPr>
                <w:rFonts w:hint="eastAsia" w:ascii="Arial" w:hAnsi="Arial" w:eastAsia="宋体" w:cs="Times New Roman"/>
                <w:szCs w:val="24"/>
                <w:highlight w:val="none"/>
                <w:lang w:val="en-US" w:eastAsia="zh-CN"/>
              </w:rPr>
              <w:t>/</w:t>
            </w:r>
            <w:r>
              <w:rPr>
                <w:rFonts w:hint="eastAsia" w:ascii="Arial" w:hAnsi="Arial" w:eastAsia="宋体" w:cs="Times New Roman"/>
                <w:szCs w:val="24"/>
                <w:highlight w:val="none"/>
              </w:rPr>
              <w:t>型号</w:t>
            </w:r>
          </w:p>
        </w:tc>
        <w:tc>
          <w:tcPr>
            <w:tcW w:w="132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Arial" w:hAnsi="Arial" w:eastAsia="宋体" w:cs="Times New Roman"/>
                <w:b/>
                <w:szCs w:val="24"/>
                <w:highlight w:val="none"/>
              </w:rPr>
            </w:pPr>
            <w:r>
              <w:rPr>
                <w:rFonts w:hint="eastAsia" w:ascii="Arial" w:hAnsi="Arial" w:eastAsia="宋体" w:cs="Times New Roman"/>
                <w:b w:val="0"/>
                <w:bCs/>
                <w:szCs w:val="24"/>
                <w:highlight w:val="none"/>
              </w:rPr>
              <w:t>制造商名称</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Arial" w:hAnsi="Arial" w:eastAsia="宋体" w:cs="Times New Roman"/>
                <w:szCs w:val="24"/>
                <w:highlight w:val="none"/>
              </w:rPr>
            </w:pPr>
            <w:r>
              <w:rPr>
                <w:rFonts w:hint="eastAsia" w:ascii="Arial" w:hAnsi="Arial" w:eastAsia="宋体" w:cs="Times New Roman"/>
                <w:szCs w:val="24"/>
                <w:highlight w:val="none"/>
              </w:rPr>
              <w:t>原产地</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Arial" w:hAnsi="Arial" w:eastAsia="宋体" w:cs="Times New Roman"/>
                <w:szCs w:val="24"/>
                <w:highlight w:val="none"/>
              </w:rPr>
            </w:pPr>
            <w:r>
              <w:rPr>
                <w:rFonts w:hint="eastAsia" w:ascii="Arial" w:hAnsi="Arial" w:eastAsia="宋体" w:cs="Times New Roman"/>
                <w:szCs w:val="24"/>
                <w:highlight w:val="none"/>
              </w:rPr>
              <w:t>数量</w:t>
            </w:r>
          </w:p>
        </w:tc>
        <w:tc>
          <w:tcPr>
            <w:tcW w:w="708" w:type="dxa"/>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Arial" w:hAnsi="Arial" w:eastAsia="宋体" w:cs="Times New Roman"/>
                <w:szCs w:val="24"/>
                <w:highlight w:val="none"/>
              </w:rPr>
            </w:pPr>
            <w:r>
              <w:rPr>
                <w:rFonts w:hint="eastAsia" w:ascii="Arial" w:hAnsi="Arial" w:eastAsia="宋体" w:cs="Times New Roman"/>
                <w:szCs w:val="24"/>
                <w:highlight w:val="none"/>
              </w:rPr>
              <w:t>单位</w:t>
            </w:r>
          </w:p>
        </w:tc>
        <w:tc>
          <w:tcPr>
            <w:tcW w:w="99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Arial" w:hAnsi="Arial" w:eastAsia="宋体" w:cs="Times New Roman"/>
                <w:szCs w:val="24"/>
                <w:highlight w:val="none"/>
              </w:rPr>
            </w:pPr>
            <w:r>
              <w:rPr>
                <w:rFonts w:hint="eastAsia" w:ascii="Arial" w:hAnsi="Arial" w:eastAsia="宋体" w:cs="Times New Roman"/>
                <w:szCs w:val="24"/>
                <w:highlight w:val="none"/>
              </w:rPr>
              <w:t>单价(元)</w:t>
            </w:r>
          </w:p>
        </w:tc>
        <w:tc>
          <w:tcPr>
            <w:tcW w:w="1322"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Arial" w:hAnsi="Arial" w:eastAsia="宋体" w:cs="Times New Roman"/>
                <w:szCs w:val="24"/>
                <w:highlight w:val="none"/>
              </w:rPr>
            </w:pPr>
            <w:r>
              <w:rPr>
                <w:rFonts w:hint="eastAsia" w:ascii="Arial" w:hAnsi="Arial" w:eastAsia="宋体" w:cs="Times New Roman"/>
                <w:szCs w:val="24"/>
                <w:highlight w:val="none"/>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2" w:type="dxa"/>
            <w:vAlign w:val="center"/>
          </w:tcPr>
          <w:p>
            <w:pPr>
              <w:spacing w:afterLines="25" w:line="300" w:lineRule="auto"/>
              <w:jc w:val="center"/>
              <w:rPr>
                <w:rFonts w:ascii="Arial" w:hAnsi="Arial" w:eastAsia="宋体" w:cs="Times New Roman"/>
                <w:szCs w:val="24"/>
                <w:highlight w:val="none"/>
              </w:rPr>
            </w:pPr>
            <w:r>
              <w:rPr>
                <w:rFonts w:hint="eastAsia" w:ascii="Arial" w:hAnsi="Arial" w:eastAsia="宋体" w:cs="Times New Roman"/>
                <w:szCs w:val="24"/>
                <w:highlight w:val="none"/>
              </w:rPr>
              <w:t>1</w:t>
            </w:r>
          </w:p>
        </w:tc>
        <w:tc>
          <w:tcPr>
            <w:tcW w:w="2263" w:type="dxa"/>
            <w:vAlign w:val="center"/>
          </w:tcPr>
          <w:p>
            <w:pPr>
              <w:spacing w:afterLines="25" w:line="300" w:lineRule="auto"/>
              <w:rPr>
                <w:rFonts w:ascii="Arial" w:hAnsi="Arial" w:eastAsia="宋体" w:cs="Times New Roman"/>
                <w:b/>
                <w:szCs w:val="24"/>
                <w:highlight w:val="none"/>
              </w:rPr>
            </w:pPr>
          </w:p>
        </w:tc>
        <w:tc>
          <w:tcPr>
            <w:tcW w:w="1028" w:type="dxa"/>
          </w:tcPr>
          <w:p>
            <w:pPr>
              <w:spacing w:afterLines="25" w:line="300" w:lineRule="auto"/>
              <w:rPr>
                <w:rFonts w:ascii="Arial" w:hAnsi="Arial" w:eastAsia="宋体" w:cs="Times New Roman"/>
                <w:szCs w:val="24"/>
                <w:highlight w:val="none"/>
              </w:rPr>
            </w:pPr>
          </w:p>
        </w:tc>
        <w:tc>
          <w:tcPr>
            <w:tcW w:w="1200" w:type="dxa"/>
          </w:tcPr>
          <w:p>
            <w:pPr>
              <w:spacing w:afterLines="25" w:line="300" w:lineRule="auto"/>
              <w:rPr>
                <w:rFonts w:ascii="Arial" w:hAnsi="Arial" w:eastAsia="宋体" w:cs="Times New Roman"/>
                <w:szCs w:val="24"/>
                <w:highlight w:val="none"/>
              </w:rPr>
            </w:pPr>
          </w:p>
        </w:tc>
        <w:tc>
          <w:tcPr>
            <w:tcW w:w="1327" w:type="dxa"/>
          </w:tcPr>
          <w:p>
            <w:pPr>
              <w:spacing w:afterLines="25" w:line="300" w:lineRule="auto"/>
              <w:rPr>
                <w:rFonts w:ascii="Arial" w:hAnsi="Arial" w:eastAsia="宋体" w:cs="Times New Roman"/>
                <w:szCs w:val="24"/>
                <w:highlight w:val="none"/>
              </w:rPr>
            </w:pPr>
          </w:p>
        </w:tc>
        <w:tc>
          <w:tcPr>
            <w:tcW w:w="992" w:type="dxa"/>
          </w:tcPr>
          <w:p>
            <w:pPr>
              <w:spacing w:afterLines="25" w:line="300" w:lineRule="auto"/>
              <w:rPr>
                <w:rFonts w:ascii="Arial" w:hAnsi="Arial" w:eastAsia="宋体" w:cs="Times New Roman"/>
                <w:szCs w:val="24"/>
                <w:highlight w:val="none"/>
              </w:rPr>
            </w:pPr>
          </w:p>
        </w:tc>
        <w:tc>
          <w:tcPr>
            <w:tcW w:w="709" w:type="dxa"/>
          </w:tcPr>
          <w:p>
            <w:pPr>
              <w:spacing w:afterLines="25" w:line="300" w:lineRule="auto"/>
              <w:rPr>
                <w:rFonts w:ascii="Arial" w:hAnsi="Arial" w:eastAsia="宋体" w:cs="Times New Roman"/>
                <w:szCs w:val="24"/>
                <w:highlight w:val="none"/>
              </w:rPr>
            </w:pPr>
          </w:p>
        </w:tc>
        <w:tc>
          <w:tcPr>
            <w:tcW w:w="708" w:type="dxa"/>
          </w:tcPr>
          <w:p>
            <w:pPr>
              <w:spacing w:afterLines="25" w:line="300" w:lineRule="auto"/>
              <w:rPr>
                <w:rFonts w:ascii="Arial" w:hAnsi="Arial" w:eastAsia="宋体" w:cs="Times New Roman"/>
                <w:szCs w:val="24"/>
                <w:highlight w:val="none"/>
              </w:rPr>
            </w:pPr>
          </w:p>
        </w:tc>
        <w:tc>
          <w:tcPr>
            <w:tcW w:w="993" w:type="dxa"/>
          </w:tcPr>
          <w:p>
            <w:pPr>
              <w:spacing w:afterLines="25" w:line="300" w:lineRule="auto"/>
              <w:rPr>
                <w:rFonts w:ascii="Arial" w:hAnsi="Arial" w:eastAsia="宋体" w:cs="Times New Roman"/>
                <w:szCs w:val="24"/>
                <w:highlight w:val="none"/>
              </w:rPr>
            </w:pPr>
          </w:p>
        </w:tc>
        <w:tc>
          <w:tcPr>
            <w:tcW w:w="1322" w:type="dxa"/>
          </w:tcPr>
          <w:p>
            <w:pPr>
              <w:spacing w:afterLines="25" w:line="300" w:lineRule="auto"/>
              <w:rPr>
                <w:rFonts w:ascii="Arial" w:hAnsi="Arial" w:eastAsia="宋体" w:cs="Times New Roman"/>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tcPr>
          <w:p>
            <w:pPr>
              <w:spacing w:afterLines="25" w:line="300" w:lineRule="auto"/>
              <w:jc w:val="center"/>
              <w:rPr>
                <w:rFonts w:ascii="Arial" w:hAnsi="Arial" w:eastAsia="宋体" w:cs="Times New Roman"/>
                <w:szCs w:val="24"/>
                <w:highlight w:val="none"/>
              </w:rPr>
            </w:pPr>
            <w:r>
              <w:rPr>
                <w:rFonts w:hint="eastAsia" w:ascii="Arial" w:hAnsi="Arial" w:eastAsia="宋体" w:cs="Times New Roman"/>
                <w:szCs w:val="24"/>
                <w:highlight w:val="none"/>
              </w:rPr>
              <w:t>2</w:t>
            </w:r>
          </w:p>
        </w:tc>
        <w:tc>
          <w:tcPr>
            <w:tcW w:w="2263" w:type="dxa"/>
          </w:tcPr>
          <w:p>
            <w:pPr>
              <w:spacing w:afterLines="25" w:line="300" w:lineRule="auto"/>
              <w:rPr>
                <w:rFonts w:ascii="Arial" w:hAnsi="Arial" w:eastAsia="宋体" w:cs="Times New Roman"/>
                <w:b/>
                <w:szCs w:val="24"/>
                <w:highlight w:val="none"/>
              </w:rPr>
            </w:pPr>
          </w:p>
        </w:tc>
        <w:tc>
          <w:tcPr>
            <w:tcW w:w="1028" w:type="dxa"/>
          </w:tcPr>
          <w:p>
            <w:pPr>
              <w:spacing w:afterLines="25" w:line="300" w:lineRule="auto"/>
              <w:rPr>
                <w:rFonts w:ascii="Arial" w:hAnsi="Arial" w:eastAsia="宋体" w:cs="Times New Roman"/>
                <w:szCs w:val="24"/>
                <w:highlight w:val="none"/>
              </w:rPr>
            </w:pPr>
          </w:p>
        </w:tc>
        <w:tc>
          <w:tcPr>
            <w:tcW w:w="1200" w:type="dxa"/>
          </w:tcPr>
          <w:p>
            <w:pPr>
              <w:spacing w:afterLines="25" w:line="300" w:lineRule="auto"/>
              <w:rPr>
                <w:rFonts w:ascii="Arial" w:hAnsi="Arial" w:eastAsia="宋体" w:cs="Times New Roman"/>
                <w:szCs w:val="24"/>
                <w:highlight w:val="none"/>
              </w:rPr>
            </w:pPr>
          </w:p>
        </w:tc>
        <w:tc>
          <w:tcPr>
            <w:tcW w:w="1327" w:type="dxa"/>
          </w:tcPr>
          <w:p>
            <w:pPr>
              <w:spacing w:afterLines="25" w:line="300" w:lineRule="auto"/>
              <w:rPr>
                <w:rFonts w:ascii="Arial" w:hAnsi="Arial" w:eastAsia="宋体" w:cs="Times New Roman"/>
                <w:szCs w:val="24"/>
                <w:highlight w:val="none"/>
              </w:rPr>
            </w:pPr>
          </w:p>
        </w:tc>
        <w:tc>
          <w:tcPr>
            <w:tcW w:w="992" w:type="dxa"/>
          </w:tcPr>
          <w:p>
            <w:pPr>
              <w:spacing w:afterLines="25" w:line="300" w:lineRule="auto"/>
              <w:rPr>
                <w:rFonts w:ascii="Arial" w:hAnsi="Arial" w:eastAsia="宋体" w:cs="Times New Roman"/>
                <w:szCs w:val="24"/>
                <w:highlight w:val="none"/>
              </w:rPr>
            </w:pPr>
          </w:p>
        </w:tc>
        <w:tc>
          <w:tcPr>
            <w:tcW w:w="709" w:type="dxa"/>
          </w:tcPr>
          <w:p>
            <w:pPr>
              <w:spacing w:afterLines="25" w:line="300" w:lineRule="auto"/>
              <w:rPr>
                <w:rFonts w:ascii="Arial" w:hAnsi="Arial" w:eastAsia="宋体" w:cs="Times New Roman"/>
                <w:szCs w:val="24"/>
                <w:highlight w:val="none"/>
              </w:rPr>
            </w:pPr>
          </w:p>
        </w:tc>
        <w:tc>
          <w:tcPr>
            <w:tcW w:w="708" w:type="dxa"/>
          </w:tcPr>
          <w:p>
            <w:pPr>
              <w:spacing w:afterLines="25" w:line="300" w:lineRule="auto"/>
              <w:rPr>
                <w:rFonts w:ascii="Arial" w:hAnsi="Arial" w:eastAsia="宋体" w:cs="Times New Roman"/>
                <w:szCs w:val="24"/>
                <w:highlight w:val="none"/>
              </w:rPr>
            </w:pPr>
          </w:p>
        </w:tc>
        <w:tc>
          <w:tcPr>
            <w:tcW w:w="993" w:type="dxa"/>
          </w:tcPr>
          <w:p>
            <w:pPr>
              <w:spacing w:afterLines="25" w:line="300" w:lineRule="auto"/>
              <w:rPr>
                <w:rFonts w:ascii="Arial" w:hAnsi="Arial" w:eastAsia="宋体" w:cs="Times New Roman"/>
                <w:szCs w:val="24"/>
                <w:highlight w:val="none"/>
              </w:rPr>
            </w:pPr>
          </w:p>
        </w:tc>
        <w:tc>
          <w:tcPr>
            <w:tcW w:w="1322" w:type="dxa"/>
          </w:tcPr>
          <w:p>
            <w:pPr>
              <w:spacing w:afterLines="25" w:line="300" w:lineRule="auto"/>
              <w:rPr>
                <w:rFonts w:ascii="Arial" w:hAnsi="Arial" w:eastAsia="宋体" w:cs="Times New Roman"/>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2" w:type="dxa"/>
          </w:tcPr>
          <w:p>
            <w:pPr>
              <w:spacing w:afterLines="25" w:line="300" w:lineRule="auto"/>
              <w:jc w:val="center"/>
              <w:rPr>
                <w:rFonts w:ascii="Arial" w:hAnsi="Arial" w:eastAsia="宋体" w:cs="Times New Roman"/>
                <w:szCs w:val="24"/>
                <w:highlight w:val="none"/>
              </w:rPr>
            </w:pPr>
            <w:r>
              <w:rPr>
                <w:rFonts w:hint="eastAsia" w:ascii="Arial" w:hAnsi="Arial" w:eastAsia="宋体" w:cs="Times New Roman"/>
                <w:szCs w:val="24"/>
                <w:highlight w:val="none"/>
              </w:rPr>
              <w:t>3</w:t>
            </w:r>
          </w:p>
        </w:tc>
        <w:tc>
          <w:tcPr>
            <w:tcW w:w="2263" w:type="dxa"/>
          </w:tcPr>
          <w:p>
            <w:pPr>
              <w:spacing w:afterLines="25" w:line="300" w:lineRule="auto"/>
              <w:rPr>
                <w:rFonts w:ascii="Arial" w:hAnsi="Arial" w:eastAsia="宋体" w:cs="Times New Roman"/>
                <w:b/>
                <w:szCs w:val="24"/>
                <w:highlight w:val="none"/>
              </w:rPr>
            </w:pPr>
          </w:p>
        </w:tc>
        <w:tc>
          <w:tcPr>
            <w:tcW w:w="1028" w:type="dxa"/>
          </w:tcPr>
          <w:p>
            <w:pPr>
              <w:spacing w:afterLines="25" w:line="300" w:lineRule="auto"/>
              <w:rPr>
                <w:rFonts w:ascii="Arial" w:hAnsi="Arial" w:eastAsia="宋体" w:cs="Times New Roman"/>
                <w:szCs w:val="24"/>
                <w:highlight w:val="none"/>
              </w:rPr>
            </w:pPr>
          </w:p>
        </w:tc>
        <w:tc>
          <w:tcPr>
            <w:tcW w:w="1200" w:type="dxa"/>
          </w:tcPr>
          <w:p>
            <w:pPr>
              <w:spacing w:afterLines="25" w:line="300" w:lineRule="auto"/>
              <w:rPr>
                <w:rFonts w:ascii="Arial" w:hAnsi="Arial" w:eastAsia="宋体" w:cs="Times New Roman"/>
                <w:szCs w:val="24"/>
                <w:highlight w:val="none"/>
              </w:rPr>
            </w:pPr>
          </w:p>
        </w:tc>
        <w:tc>
          <w:tcPr>
            <w:tcW w:w="1327" w:type="dxa"/>
          </w:tcPr>
          <w:p>
            <w:pPr>
              <w:spacing w:afterLines="25" w:line="300" w:lineRule="auto"/>
              <w:rPr>
                <w:rFonts w:ascii="Arial" w:hAnsi="Arial" w:eastAsia="宋体" w:cs="Times New Roman"/>
                <w:szCs w:val="24"/>
                <w:highlight w:val="none"/>
              </w:rPr>
            </w:pPr>
          </w:p>
        </w:tc>
        <w:tc>
          <w:tcPr>
            <w:tcW w:w="992" w:type="dxa"/>
          </w:tcPr>
          <w:p>
            <w:pPr>
              <w:spacing w:afterLines="25" w:line="300" w:lineRule="auto"/>
              <w:rPr>
                <w:rFonts w:ascii="Arial" w:hAnsi="Arial" w:eastAsia="宋体" w:cs="Times New Roman"/>
                <w:szCs w:val="24"/>
                <w:highlight w:val="none"/>
              </w:rPr>
            </w:pPr>
          </w:p>
        </w:tc>
        <w:tc>
          <w:tcPr>
            <w:tcW w:w="709" w:type="dxa"/>
          </w:tcPr>
          <w:p>
            <w:pPr>
              <w:spacing w:afterLines="25" w:line="300" w:lineRule="auto"/>
              <w:rPr>
                <w:rFonts w:ascii="Arial" w:hAnsi="Arial" w:eastAsia="宋体" w:cs="Times New Roman"/>
                <w:szCs w:val="24"/>
                <w:highlight w:val="none"/>
              </w:rPr>
            </w:pPr>
          </w:p>
        </w:tc>
        <w:tc>
          <w:tcPr>
            <w:tcW w:w="708" w:type="dxa"/>
          </w:tcPr>
          <w:p>
            <w:pPr>
              <w:spacing w:afterLines="25" w:line="300" w:lineRule="auto"/>
              <w:rPr>
                <w:rFonts w:ascii="Arial" w:hAnsi="Arial" w:eastAsia="宋体" w:cs="Times New Roman"/>
                <w:szCs w:val="24"/>
                <w:highlight w:val="none"/>
              </w:rPr>
            </w:pPr>
          </w:p>
        </w:tc>
        <w:tc>
          <w:tcPr>
            <w:tcW w:w="993" w:type="dxa"/>
          </w:tcPr>
          <w:p>
            <w:pPr>
              <w:spacing w:afterLines="25" w:line="300" w:lineRule="auto"/>
              <w:rPr>
                <w:rFonts w:ascii="Arial" w:hAnsi="Arial" w:eastAsia="宋体" w:cs="Times New Roman"/>
                <w:szCs w:val="24"/>
                <w:highlight w:val="none"/>
              </w:rPr>
            </w:pPr>
          </w:p>
        </w:tc>
        <w:tc>
          <w:tcPr>
            <w:tcW w:w="1322" w:type="dxa"/>
          </w:tcPr>
          <w:p>
            <w:pPr>
              <w:spacing w:afterLines="25" w:line="300" w:lineRule="auto"/>
              <w:rPr>
                <w:rFonts w:ascii="Arial" w:hAnsi="Arial" w:eastAsia="宋体" w:cs="Times New Roman"/>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2" w:type="dxa"/>
          </w:tcPr>
          <w:p>
            <w:pPr>
              <w:spacing w:afterLines="25" w:line="300" w:lineRule="auto"/>
              <w:jc w:val="center"/>
              <w:rPr>
                <w:rFonts w:ascii="Arial" w:hAnsi="Arial" w:eastAsia="宋体" w:cs="Times New Roman"/>
                <w:szCs w:val="24"/>
                <w:highlight w:val="none"/>
              </w:rPr>
            </w:pPr>
            <w:r>
              <w:rPr>
                <w:rFonts w:hint="eastAsia" w:ascii="Arial" w:hAnsi="Arial" w:eastAsia="宋体" w:cs="Times New Roman"/>
                <w:szCs w:val="24"/>
                <w:highlight w:val="none"/>
              </w:rPr>
              <w:t>……</w:t>
            </w:r>
          </w:p>
        </w:tc>
        <w:tc>
          <w:tcPr>
            <w:tcW w:w="2263" w:type="dxa"/>
          </w:tcPr>
          <w:p>
            <w:pPr>
              <w:spacing w:afterLines="25" w:line="300" w:lineRule="auto"/>
              <w:rPr>
                <w:rFonts w:ascii="Arial" w:hAnsi="Arial" w:eastAsia="宋体" w:cs="Times New Roman"/>
                <w:b/>
                <w:szCs w:val="24"/>
                <w:highlight w:val="none"/>
              </w:rPr>
            </w:pPr>
          </w:p>
        </w:tc>
        <w:tc>
          <w:tcPr>
            <w:tcW w:w="1028" w:type="dxa"/>
          </w:tcPr>
          <w:p>
            <w:pPr>
              <w:spacing w:afterLines="25" w:line="300" w:lineRule="auto"/>
              <w:rPr>
                <w:rFonts w:ascii="Arial" w:hAnsi="Arial" w:eastAsia="宋体" w:cs="Times New Roman"/>
                <w:szCs w:val="24"/>
                <w:highlight w:val="none"/>
              </w:rPr>
            </w:pPr>
          </w:p>
        </w:tc>
        <w:tc>
          <w:tcPr>
            <w:tcW w:w="1200" w:type="dxa"/>
          </w:tcPr>
          <w:p>
            <w:pPr>
              <w:spacing w:afterLines="25" w:line="300" w:lineRule="auto"/>
              <w:rPr>
                <w:rFonts w:ascii="Arial" w:hAnsi="Arial" w:eastAsia="宋体" w:cs="Times New Roman"/>
                <w:szCs w:val="24"/>
                <w:highlight w:val="none"/>
              </w:rPr>
            </w:pPr>
          </w:p>
        </w:tc>
        <w:tc>
          <w:tcPr>
            <w:tcW w:w="1327" w:type="dxa"/>
          </w:tcPr>
          <w:p>
            <w:pPr>
              <w:spacing w:afterLines="25" w:line="300" w:lineRule="auto"/>
              <w:rPr>
                <w:rFonts w:ascii="Arial" w:hAnsi="Arial" w:eastAsia="宋体" w:cs="Times New Roman"/>
                <w:szCs w:val="24"/>
                <w:highlight w:val="none"/>
              </w:rPr>
            </w:pPr>
          </w:p>
        </w:tc>
        <w:tc>
          <w:tcPr>
            <w:tcW w:w="992" w:type="dxa"/>
          </w:tcPr>
          <w:p>
            <w:pPr>
              <w:spacing w:afterLines="25" w:line="300" w:lineRule="auto"/>
              <w:rPr>
                <w:rFonts w:ascii="Arial" w:hAnsi="Arial" w:eastAsia="宋体" w:cs="Times New Roman"/>
                <w:szCs w:val="24"/>
                <w:highlight w:val="none"/>
              </w:rPr>
            </w:pPr>
          </w:p>
        </w:tc>
        <w:tc>
          <w:tcPr>
            <w:tcW w:w="709" w:type="dxa"/>
          </w:tcPr>
          <w:p>
            <w:pPr>
              <w:spacing w:afterLines="25" w:line="300" w:lineRule="auto"/>
              <w:rPr>
                <w:rFonts w:ascii="Arial" w:hAnsi="Arial" w:eastAsia="宋体" w:cs="Times New Roman"/>
                <w:szCs w:val="24"/>
                <w:highlight w:val="none"/>
              </w:rPr>
            </w:pPr>
          </w:p>
        </w:tc>
        <w:tc>
          <w:tcPr>
            <w:tcW w:w="708" w:type="dxa"/>
          </w:tcPr>
          <w:p>
            <w:pPr>
              <w:spacing w:afterLines="25" w:line="300" w:lineRule="auto"/>
              <w:rPr>
                <w:rFonts w:ascii="Arial" w:hAnsi="Arial" w:eastAsia="宋体" w:cs="Times New Roman"/>
                <w:szCs w:val="24"/>
                <w:highlight w:val="none"/>
              </w:rPr>
            </w:pPr>
          </w:p>
        </w:tc>
        <w:tc>
          <w:tcPr>
            <w:tcW w:w="993" w:type="dxa"/>
          </w:tcPr>
          <w:p>
            <w:pPr>
              <w:spacing w:afterLines="25" w:line="300" w:lineRule="auto"/>
              <w:rPr>
                <w:rFonts w:ascii="Arial" w:hAnsi="Arial" w:eastAsia="宋体" w:cs="Times New Roman"/>
                <w:szCs w:val="24"/>
                <w:highlight w:val="none"/>
              </w:rPr>
            </w:pPr>
          </w:p>
        </w:tc>
        <w:tc>
          <w:tcPr>
            <w:tcW w:w="1322" w:type="dxa"/>
          </w:tcPr>
          <w:p>
            <w:pPr>
              <w:spacing w:afterLines="25" w:line="300" w:lineRule="auto"/>
              <w:rPr>
                <w:rFonts w:ascii="Arial" w:hAnsi="Arial" w:eastAsia="宋体" w:cs="Times New Roman"/>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82" w:type="dxa"/>
            <w:gridSpan w:val="6"/>
          </w:tcPr>
          <w:p>
            <w:pPr>
              <w:spacing w:afterLines="25" w:line="300" w:lineRule="auto"/>
              <w:jc w:val="center"/>
              <w:rPr>
                <w:rFonts w:ascii="Arial" w:hAnsi="Arial" w:eastAsia="宋体" w:cs="Times New Roman"/>
                <w:szCs w:val="24"/>
                <w:highlight w:val="none"/>
              </w:rPr>
            </w:pPr>
            <w:r>
              <w:rPr>
                <w:rFonts w:hint="eastAsia" w:ascii="Arial" w:hAnsi="Arial" w:eastAsia="宋体" w:cs="Times New Roman"/>
                <w:b/>
                <w:szCs w:val="24"/>
                <w:highlight w:val="none"/>
              </w:rPr>
              <w:t>投标总价</w:t>
            </w:r>
            <w:r>
              <w:rPr>
                <w:rFonts w:hint="eastAsia" w:ascii="Arial" w:hAnsi="Arial" w:eastAsia="宋体" w:cs="Times New Roman"/>
                <w:szCs w:val="24"/>
                <w:highlight w:val="none"/>
              </w:rPr>
              <w:t>（</w:t>
            </w:r>
            <w:r>
              <w:rPr>
                <w:rFonts w:hint="eastAsia" w:ascii="Arial" w:hAnsi="Arial" w:eastAsia="宋体" w:cs="Times New Roman"/>
                <w:szCs w:val="24"/>
                <w:highlight w:val="none"/>
                <w:lang w:val="en-US" w:eastAsia="zh-CN"/>
              </w:rPr>
              <w:t>以上各项之和；</w:t>
            </w:r>
            <w:r>
              <w:rPr>
                <w:rFonts w:hint="eastAsia" w:ascii="Arial" w:hAnsi="Arial" w:eastAsia="宋体" w:cs="Times New Roman"/>
                <w:szCs w:val="24"/>
                <w:highlight w:val="none"/>
              </w:rPr>
              <w:t>币种：人民币；单位：元）</w:t>
            </w:r>
          </w:p>
        </w:tc>
        <w:tc>
          <w:tcPr>
            <w:tcW w:w="3732" w:type="dxa"/>
            <w:gridSpan w:val="4"/>
          </w:tcPr>
          <w:p>
            <w:pPr>
              <w:spacing w:afterLines="25" w:line="300" w:lineRule="auto"/>
              <w:rPr>
                <w:rFonts w:ascii="Arial" w:hAnsi="Arial" w:eastAsia="宋体" w:cs="Times New Roman"/>
                <w:szCs w:val="24"/>
                <w:highlight w:val="none"/>
              </w:rPr>
            </w:pPr>
          </w:p>
        </w:tc>
      </w:tr>
    </w:tbl>
    <w:p>
      <w:pPr>
        <w:snapToGrid w:val="0"/>
        <w:rPr>
          <w:rFonts w:cs="Times New Roman" w:asciiTheme="minorEastAsia" w:hAnsiTheme="minorEastAsia"/>
          <w:b/>
          <w:szCs w:val="24"/>
          <w:highlight w:val="none"/>
        </w:rPr>
      </w:pPr>
      <w:r>
        <w:rPr>
          <w:rFonts w:hint="eastAsia" w:cs="Times New Roman" w:asciiTheme="minorEastAsia" w:hAnsiTheme="minorEastAsia"/>
          <w:b/>
          <w:szCs w:val="24"/>
          <w:highlight w:val="none"/>
        </w:rPr>
        <w:t>填写说明：</w:t>
      </w:r>
    </w:p>
    <w:p>
      <w:pPr>
        <w:snapToGrid w:val="0"/>
        <w:rPr>
          <w:rFonts w:hint="eastAsia" w:cs="Times New Roman" w:asciiTheme="minorEastAsia" w:hAnsiTheme="minorEastAsia"/>
          <w:b/>
          <w:szCs w:val="24"/>
          <w:highlight w:val="none"/>
        </w:rPr>
      </w:pPr>
      <w:r>
        <w:rPr>
          <w:rFonts w:hint="eastAsia" w:cs="Times New Roman" w:asciiTheme="minorEastAsia" w:hAnsiTheme="minorEastAsia"/>
          <w:b/>
          <w:szCs w:val="24"/>
          <w:highlight w:val="none"/>
        </w:rPr>
        <w:t>1.本表可按同样格式扩展。</w:t>
      </w:r>
    </w:p>
    <w:p>
      <w:pPr>
        <w:snapToGrid w:val="0"/>
        <w:rPr>
          <w:rFonts w:hint="eastAsia" w:cs="Times New Roman" w:asciiTheme="minorEastAsia" w:hAnsiTheme="minorEastAsia"/>
          <w:b/>
          <w:szCs w:val="24"/>
          <w:highlight w:val="none"/>
        </w:rPr>
      </w:pPr>
      <w:r>
        <w:rPr>
          <w:rFonts w:hint="eastAsia" w:cs="Times New Roman" w:asciiTheme="minorEastAsia" w:hAnsiTheme="minorEastAsia"/>
          <w:b/>
          <w:szCs w:val="24"/>
          <w:highlight w:val="none"/>
        </w:rPr>
        <w:t>2. “品牌”可以与商标一致，也可以填写便于区分其他公司商品的制造商简称或者制造商认可的品牌名称。</w:t>
      </w:r>
    </w:p>
    <w:p>
      <w:pPr>
        <w:snapToGrid w:val="0"/>
        <w:rPr>
          <w:rFonts w:hint="eastAsia" w:cs="Times New Roman" w:asciiTheme="minorEastAsia" w:hAnsiTheme="minorEastAsia"/>
          <w:b/>
          <w:szCs w:val="24"/>
          <w:highlight w:val="none"/>
        </w:rPr>
      </w:pPr>
      <w:r>
        <w:rPr>
          <w:rFonts w:hint="eastAsia" w:cs="Times New Roman" w:asciiTheme="minorEastAsia" w:hAnsiTheme="minorEastAsia"/>
          <w:b/>
          <w:szCs w:val="24"/>
          <w:highlight w:val="none"/>
          <w:lang w:val="en-US" w:eastAsia="zh-CN"/>
        </w:rPr>
        <w:t>3.</w:t>
      </w:r>
      <w:r>
        <w:rPr>
          <w:rFonts w:hint="eastAsia" w:cs="Times New Roman" w:asciiTheme="minorEastAsia" w:hAnsiTheme="minorEastAsia"/>
          <w:b/>
          <w:szCs w:val="24"/>
          <w:highlight w:val="none"/>
        </w:rPr>
        <w:t>如所投货物属于定制类的非量产货物或无具体型号的货物，可以在“规格/型号”一栏仅填写规格信息而不填写型号信息（型号信息用“定制”描述即可）；</w:t>
      </w:r>
      <w:bookmarkStart w:id="23" w:name="_Hlk73646428"/>
      <w:r>
        <w:rPr>
          <w:rFonts w:hint="eastAsia" w:cs="Times New Roman" w:asciiTheme="minorEastAsia" w:hAnsiTheme="minorEastAsia"/>
          <w:b/>
          <w:szCs w:val="24"/>
          <w:highlight w:val="none"/>
        </w:rPr>
        <w:t>此类填写错误</w:t>
      </w:r>
      <w:r>
        <w:rPr>
          <w:rFonts w:hint="eastAsia" w:cs="Times New Roman" w:asciiTheme="minorEastAsia" w:hAnsiTheme="minorEastAsia"/>
          <w:b/>
          <w:szCs w:val="24"/>
          <w:highlight w:val="none"/>
          <w:lang w:val="en-US" w:eastAsia="zh-CN"/>
        </w:rPr>
        <w:t>或缺漏</w:t>
      </w:r>
      <w:r>
        <w:rPr>
          <w:rFonts w:hint="eastAsia" w:cs="Times New Roman" w:asciiTheme="minorEastAsia" w:hAnsiTheme="minorEastAsia"/>
          <w:b/>
          <w:szCs w:val="24"/>
          <w:highlight w:val="none"/>
        </w:rPr>
        <w:t>（所投货物为定制类的非量产货物但供应商却错误填报了型号）</w:t>
      </w:r>
      <w:r>
        <w:rPr>
          <w:rFonts w:hint="eastAsia" w:cs="Times New Roman" w:asciiTheme="minorEastAsia" w:hAnsiTheme="minorEastAsia"/>
          <w:b/>
          <w:szCs w:val="24"/>
          <w:highlight w:val="none"/>
          <w:lang w:val="en-US" w:eastAsia="zh-CN"/>
        </w:rPr>
        <w:t>可能带来</w:t>
      </w:r>
      <w:r>
        <w:rPr>
          <w:rFonts w:hint="eastAsia" w:cs="Times New Roman" w:asciiTheme="minorEastAsia" w:hAnsiTheme="minorEastAsia"/>
          <w:b/>
          <w:szCs w:val="24"/>
          <w:highlight w:val="none"/>
        </w:rPr>
        <w:t>的不利后果由供应商承担。</w:t>
      </w:r>
      <w:bookmarkEnd w:id="23"/>
    </w:p>
    <w:p>
      <w:pPr>
        <w:snapToGrid w:val="0"/>
        <w:rPr>
          <w:rFonts w:hint="eastAsia" w:cs="Times New Roman" w:asciiTheme="minorEastAsia" w:hAnsiTheme="minorEastAsia"/>
          <w:b/>
          <w:szCs w:val="24"/>
          <w:highlight w:val="none"/>
        </w:rPr>
      </w:pPr>
      <w:r>
        <w:rPr>
          <w:rFonts w:hint="eastAsia" w:cs="Times New Roman" w:asciiTheme="minorEastAsia" w:hAnsiTheme="minorEastAsia"/>
          <w:b/>
          <w:szCs w:val="24"/>
          <w:highlight w:val="none"/>
          <w:lang w:val="en-US" w:eastAsia="zh-CN"/>
        </w:rPr>
        <w:t>4</w:t>
      </w:r>
      <w:r>
        <w:rPr>
          <w:rFonts w:hint="eastAsia" w:cs="Times New Roman" w:asciiTheme="minorEastAsia" w:hAnsiTheme="minorEastAsia"/>
          <w:b/>
          <w:szCs w:val="24"/>
          <w:highlight w:val="none"/>
        </w:rPr>
        <w:t>.</w:t>
      </w:r>
      <w:bookmarkStart w:id="24" w:name="_Hlk72074795"/>
      <w:r>
        <w:rPr>
          <w:rFonts w:hint="eastAsia" w:cs="Times New Roman" w:asciiTheme="minorEastAsia" w:hAnsiTheme="minorEastAsia"/>
          <w:b/>
          <w:szCs w:val="24"/>
          <w:highlight w:val="none"/>
        </w:rPr>
        <w:t>“原产地”是指该货物的实际生产加工地，而非品牌所在地</w:t>
      </w:r>
      <w:bookmarkEnd w:id="24"/>
      <w:r>
        <w:rPr>
          <w:rFonts w:hint="eastAsia" w:cs="Times New Roman" w:asciiTheme="minorEastAsia" w:hAnsiTheme="minorEastAsia"/>
          <w:b/>
          <w:szCs w:val="24"/>
          <w:highlight w:val="none"/>
        </w:rPr>
        <w:t>。</w:t>
      </w:r>
    </w:p>
    <w:p>
      <w:pPr>
        <w:snapToGrid w:val="0"/>
        <w:rPr>
          <w:rFonts w:hint="eastAsia" w:cs="Times New Roman" w:asciiTheme="minorEastAsia" w:hAnsiTheme="minorEastAsia"/>
          <w:b/>
          <w:szCs w:val="24"/>
          <w:highlight w:val="none"/>
        </w:rPr>
      </w:pPr>
      <w:r>
        <w:rPr>
          <w:rFonts w:hint="eastAsia" w:cs="Times New Roman" w:asciiTheme="minorEastAsia" w:hAnsiTheme="minorEastAsia"/>
          <w:b/>
          <w:szCs w:val="24"/>
          <w:highlight w:val="none"/>
          <w:lang w:val="en-US" w:eastAsia="zh-CN"/>
        </w:rPr>
        <w:t>5</w:t>
      </w:r>
      <w:r>
        <w:rPr>
          <w:rFonts w:hint="eastAsia" w:cs="Times New Roman" w:asciiTheme="minorEastAsia" w:hAnsiTheme="minorEastAsia"/>
          <w:b/>
          <w:szCs w:val="24"/>
          <w:highlight w:val="none"/>
        </w:rPr>
        <w:t>.所投货物均应填写制造商名称。“制造商”是指产品</w:t>
      </w:r>
      <w:r>
        <w:rPr>
          <w:rFonts w:hint="eastAsia" w:cs="Times New Roman" w:asciiTheme="minorEastAsia" w:hAnsiTheme="minorEastAsia"/>
          <w:b/>
          <w:szCs w:val="24"/>
          <w:highlight w:val="none"/>
          <w:lang w:val="en-US" w:eastAsia="zh-CN"/>
        </w:rPr>
        <w:t>制造</w:t>
      </w:r>
      <w:r>
        <w:rPr>
          <w:rFonts w:hint="eastAsia" w:cs="Times New Roman" w:asciiTheme="minorEastAsia" w:hAnsiTheme="minorEastAsia"/>
          <w:b/>
          <w:szCs w:val="24"/>
          <w:highlight w:val="none"/>
        </w:rPr>
        <w:t>厂商，产品代工制造的，应填写接受委托生产制造的制造商。</w:t>
      </w:r>
    </w:p>
    <w:p>
      <w:pPr>
        <w:snapToGrid w:val="0"/>
        <w:rPr>
          <w:rFonts w:hint="eastAsia" w:cs="Times New Roman" w:asciiTheme="minorEastAsia" w:hAnsiTheme="minorEastAsia"/>
          <w:b/>
          <w:szCs w:val="24"/>
          <w:highlight w:val="none"/>
        </w:rPr>
      </w:pPr>
      <w:r>
        <w:rPr>
          <w:rFonts w:hint="eastAsia" w:cs="Times New Roman" w:asciiTheme="minorEastAsia" w:hAnsiTheme="minorEastAsia"/>
          <w:b/>
          <w:szCs w:val="24"/>
          <w:highlight w:val="none"/>
          <w:lang w:val="en-US" w:eastAsia="zh-CN"/>
        </w:rPr>
        <w:t>6</w:t>
      </w:r>
      <w:r>
        <w:rPr>
          <w:rFonts w:hint="eastAsia" w:cs="Times New Roman" w:asciiTheme="minorEastAsia" w:hAnsiTheme="minorEastAsia"/>
          <w:b/>
          <w:szCs w:val="24"/>
          <w:highlight w:val="none"/>
        </w:rPr>
        <w:t>.以上分项报价表的投标总价应当与开标一览表的投标总价一致。</w:t>
      </w:r>
    </w:p>
    <w:p>
      <w:pPr>
        <w:snapToGrid w:val="0"/>
        <w:rPr>
          <w:rFonts w:hint="eastAsia" w:cs="Times New Roman" w:asciiTheme="minorEastAsia" w:hAnsiTheme="minorEastAsia"/>
          <w:b/>
          <w:szCs w:val="24"/>
          <w:highlight w:val="none"/>
        </w:rPr>
      </w:pPr>
      <w:r>
        <w:rPr>
          <w:rFonts w:hint="eastAsia" w:cs="Times New Roman" w:asciiTheme="minorEastAsia" w:hAnsiTheme="minorEastAsia"/>
          <w:b/>
          <w:szCs w:val="24"/>
          <w:highlight w:val="none"/>
          <w:lang w:val="en-US" w:eastAsia="zh-CN"/>
        </w:rPr>
        <w:t>7</w:t>
      </w:r>
      <w:r>
        <w:rPr>
          <w:rFonts w:hint="eastAsia" w:cs="Times New Roman" w:asciiTheme="minorEastAsia" w:hAnsiTheme="minorEastAsia"/>
          <w:b/>
          <w:szCs w:val="24"/>
          <w:highlight w:val="none"/>
        </w:rPr>
        <w:t>.单价、合价和投标总价为包干价，即三者均应包含货物的价款、包装、运输、装卸、安装、调试、技术指导、培训、咨询、服务、保险、税费、检测、验收合格交付使用之前以及技术和售后服务等其他各项有关费用。</w:t>
      </w:r>
    </w:p>
    <w:p>
      <w:pPr>
        <w:snapToGrid w:val="0"/>
        <w:rPr>
          <w:rFonts w:hint="eastAsia" w:cs="Times New Roman" w:asciiTheme="minorEastAsia" w:hAnsiTheme="minorEastAsia"/>
          <w:b/>
          <w:szCs w:val="24"/>
          <w:highlight w:val="none"/>
        </w:rPr>
      </w:pPr>
      <w:r>
        <w:rPr>
          <w:rFonts w:hint="eastAsia" w:cs="Times New Roman" w:asciiTheme="minorEastAsia" w:hAnsiTheme="minorEastAsia"/>
          <w:b/>
          <w:szCs w:val="24"/>
          <w:highlight w:val="none"/>
          <w:lang w:val="en-US" w:eastAsia="zh-CN"/>
        </w:rPr>
        <w:t>8</w:t>
      </w:r>
      <w:r>
        <w:rPr>
          <w:rFonts w:hint="eastAsia" w:cs="Times New Roman" w:asciiTheme="minorEastAsia" w:hAnsiTheme="minorEastAsia"/>
          <w:b/>
          <w:szCs w:val="24"/>
          <w:highlight w:val="none"/>
        </w:rPr>
        <w:t>.所有价格应按“招标文件”中规定的货币单位填写；投标总价应为以上各分项价格之和；投标总价和项目报价表中单个采购预算条目报价均不得超过对应的财政预算限额，否则将导致投标无效。</w:t>
      </w:r>
    </w:p>
    <w:p>
      <w:pPr>
        <w:snapToGrid w:val="0"/>
        <w:rPr>
          <w:rFonts w:hint="eastAsia" w:cs="Times New Roman" w:asciiTheme="minorEastAsia" w:hAnsiTheme="minorEastAsia"/>
          <w:b/>
          <w:szCs w:val="24"/>
          <w:highlight w:val="none"/>
        </w:rPr>
      </w:pPr>
    </w:p>
    <w:p>
      <w:pPr>
        <w:snapToGrid w:val="0"/>
        <w:rPr>
          <w:rFonts w:cs="Times New Roman" w:asciiTheme="minorEastAsia" w:hAnsiTheme="minorEastAsia"/>
          <w:b/>
          <w:color w:val="FF0000"/>
          <w:szCs w:val="24"/>
          <w:highlight w:val="none"/>
        </w:rPr>
      </w:pPr>
      <w:r>
        <w:rPr>
          <w:rFonts w:hint="eastAsia" w:cs="Times New Roman" w:asciiTheme="minorEastAsia" w:hAnsiTheme="minorEastAsia"/>
          <w:bCs/>
          <w:color w:val="FF0000"/>
          <w:szCs w:val="24"/>
          <w:highlight w:val="none"/>
        </w:rPr>
        <w:t>★</w:t>
      </w:r>
      <w:r>
        <w:rPr>
          <w:rFonts w:hint="eastAsia" w:cs="Times New Roman" w:asciiTheme="minorEastAsia" w:hAnsiTheme="minorEastAsia"/>
          <w:b/>
          <w:color w:val="FF0000"/>
          <w:szCs w:val="24"/>
          <w:highlight w:val="none"/>
        </w:rPr>
        <w:t>填写</w:t>
      </w:r>
      <w:r>
        <w:rPr>
          <w:rFonts w:cs="Times New Roman" w:asciiTheme="minorEastAsia" w:hAnsiTheme="minorEastAsia"/>
          <w:b/>
          <w:color w:val="FF0000"/>
          <w:szCs w:val="24"/>
          <w:highlight w:val="none"/>
        </w:rPr>
        <w:t>要求：</w:t>
      </w:r>
    </w:p>
    <w:p>
      <w:pPr>
        <w:snapToGrid w:val="0"/>
        <w:rPr>
          <w:rFonts w:cs="Times New Roman" w:asciiTheme="minorEastAsia" w:hAnsiTheme="minorEastAsia"/>
          <w:b/>
          <w:color w:val="FF0000"/>
          <w:szCs w:val="24"/>
          <w:highlight w:val="none"/>
        </w:rPr>
      </w:pPr>
      <w:r>
        <w:rPr>
          <w:rFonts w:cs="Times New Roman" w:asciiTheme="minorEastAsia" w:hAnsiTheme="minorEastAsia"/>
          <w:b/>
          <w:color w:val="FF0000"/>
          <w:szCs w:val="24"/>
          <w:highlight w:val="none"/>
        </w:rPr>
        <w:t>1.</w:t>
      </w:r>
      <w:r>
        <w:rPr>
          <w:rFonts w:hint="eastAsia" w:cs="Times New Roman" w:asciiTheme="minorEastAsia" w:hAnsiTheme="minorEastAsia"/>
          <w:b/>
          <w:color w:val="FF0000"/>
          <w:szCs w:val="24"/>
          <w:highlight w:val="none"/>
        </w:rPr>
        <w:t>《分项报价清单》</w:t>
      </w:r>
      <w:r>
        <w:rPr>
          <w:rFonts w:cs="Times New Roman" w:asciiTheme="minorEastAsia" w:hAnsiTheme="minorEastAsia"/>
          <w:b/>
          <w:color w:val="FF0000"/>
          <w:szCs w:val="24"/>
          <w:highlight w:val="none"/>
        </w:rPr>
        <w:t>所有价格应</w:t>
      </w:r>
      <w:r>
        <w:rPr>
          <w:rFonts w:hint="eastAsia" w:cs="Times New Roman" w:asciiTheme="minorEastAsia" w:hAnsiTheme="minorEastAsia"/>
          <w:b/>
          <w:color w:val="FF0000"/>
          <w:szCs w:val="24"/>
          <w:highlight w:val="none"/>
        </w:rPr>
        <w:t>以人民币为结算单位填写</w:t>
      </w:r>
      <w:r>
        <w:rPr>
          <w:rFonts w:cs="Times New Roman" w:asciiTheme="minorEastAsia" w:hAnsiTheme="minorEastAsia"/>
          <w:b/>
          <w:color w:val="FF0000"/>
          <w:szCs w:val="24"/>
          <w:highlight w:val="none"/>
        </w:rPr>
        <w:t>；</w:t>
      </w:r>
    </w:p>
    <w:p>
      <w:pPr>
        <w:snapToGrid w:val="0"/>
        <w:rPr>
          <w:rFonts w:cs="Times New Roman" w:asciiTheme="minorEastAsia" w:hAnsiTheme="minorEastAsia"/>
          <w:b/>
          <w:color w:val="FF0000"/>
          <w:szCs w:val="24"/>
          <w:highlight w:val="none"/>
        </w:rPr>
      </w:pPr>
      <w:r>
        <w:rPr>
          <w:rFonts w:cs="Times New Roman" w:asciiTheme="minorEastAsia" w:hAnsiTheme="minorEastAsia"/>
          <w:b/>
          <w:color w:val="FF0000"/>
          <w:szCs w:val="24"/>
          <w:highlight w:val="none"/>
        </w:rPr>
        <w:t>2.</w:t>
      </w:r>
      <w:r>
        <w:rPr>
          <w:rFonts w:hint="eastAsia" w:cs="Times New Roman" w:asciiTheme="minorEastAsia" w:hAnsiTheme="minorEastAsia"/>
          <w:b/>
          <w:color w:val="FF0000"/>
          <w:szCs w:val="24"/>
          <w:highlight w:val="none"/>
        </w:rPr>
        <w:t>《（一）项目报价表》</w:t>
      </w:r>
      <w:r>
        <w:rPr>
          <w:rFonts w:cs="Times New Roman" w:asciiTheme="minorEastAsia" w:hAnsiTheme="minorEastAsia"/>
          <w:b/>
          <w:color w:val="FF0000"/>
          <w:szCs w:val="24"/>
          <w:highlight w:val="none"/>
        </w:rPr>
        <w:t>可根据</w:t>
      </w:r>
      <w:r>
        <w:rPr>
          <w:rFonts w:hint="eastAsia" w:cs="Times New Roman" w:asciiTheme="minorEastAsia" w:hAnsiTheme="minorEastAsia"/>
          <w:b/>
          <w:color w:val="FF0000"/>
          <w:szCs w:val="24"/>
          <w:highlight w:val="none"/>
        </w:rPr>
        <w:t>实际需要</w:t>
      </w:r>
      <w:r>
        <w:rPr>
          <w:rFonts w:cs="Times New Roman" w:asciiTheme="minorEastAsia" w:hAnsiTheme="minorEastAsia"/>
          <w:b/>
          <w:color w:val="FF0000"/>
          <w:szCs w:val="24"/>
          <w:highlight w:val="none"/>
        </w:rPr>
        <w:t>增加</w:t>
      </w:r>
      <w:r>
        <w:rPr>
          <w:rFonts w:hint="eastAsia" w:cs="Times New Roman" w:asciiTheme="minorEastAsia" w:hAnsiTheme="minorEastAsia"/>
          <w:b/>
          <w:color w:val="FF0000"/>
          <w:szCs w:val="24"/>
          <w:highlight w:val="none"/>
        </w:rPr>
        <w:t>相关</w:t>
      </w:r>
      <w:r>
        <w:rPr>
          <w:rFonts w:cs="Times New Roman" w:asciiTheme="minorEastAsia" w:hAnsiTheme="minorEastAsia"/>
          <w:b/>
          <w:color w:val="FF0000"/>
          <w:szCs w:val="24"/>
          <w:highlight w:val="none"/>
        </w:rPr>
        <w:t>内容，但原</w:t>
      </w:r>
      <w:r>
        <w:rPr>
          <w:rFonts w:hint="eastAsia" w:cs="Times New Roman" w:asciiTheme="minorEastAsia" w:hAnsiTheme="minorEastAsia"/>
          <w:b/>
          <w:color w:val="FF0000"/>
          <w:szCs w:val="24"/>
          <w:highlight w:val="none"/>
        </w:rPr>
        <w:t>有</w:t>
      </w:r>
      <w:r>
        <w:rPr>
          <w:rFonts w:cs="Times New Roman" w:asciiTheme="minorEastAsia" w:hAnsiTheme="minorEastAsia"/>
          <w:b/>
          <w:color w:val="FF0000"/>
          <w:szCs w:val="24"/>
          <w:highlight w:val="none"/>
        </w:rPr>
        <w:t>的格式</w:t>
      </w:r>
      <w:r>
        <w:rPr>
          <w:rFonts w:hint="eastAsia" w:cs="Times New Roman" w:asciiTheme="minorEastAsia" w:hAnsiTheme="minorEastAsia"/>
          <w:b/>
          <w:color w:val="FF0000"/>
          <w:szCs w:val="24"/>
          <w:highlight w:val="none"/>
        </w:rPr>
        <w:t>内容</w:t>
      </w:r>
      <w:r>
        <w:rPr>
          <w:rFonts w:cs="Times New Roman" w:asciiTheme="minorEastAsia" w:hAnsiTheme="minorEastAsia"/>
          <w:b/>
          <w:color w:val="FF0000"/>
          <w:szCs w:val="24"/>
          <w:highlight w:val="none"/>
        </w:rPr>
        <w:t>不得删减；</w:t>
      </w:r>
    </w:p>
    <w:p>
      <w:pPr>
        <w:snapToGrid w:val="0"/>
        <w:rPr>
          <w:rFonts w:cs="Times New Roman" w:asciiTheme="minorEastAsia" w:hAnsiTheme="minorEastAsia"/>
          <w:b/>
          <w:color w:val="FF0000"/>
          <w:szCs w:val="24"/>
          <w:highlight w:val="none"/>
        </w:rPr>
      </w:pPr>
      <w:r>
        <w:rPr>
          <w:rFonts w:hint="eastAsia" w:cs="Times New Roman" w:asciiTheme="minorEastAsia" w:hAnsiTheme="minorEastAsia"/>
          <w:b/>
          <w:color w:val="FF0000"/>
          <w:szCs w:val="24"/>
          <w:highlight w:val="none"/>
        </w:rPr>
        <w:t>3.</w:t>
      </w:r>
      <w:r>
        <w:rPr>
          <w:rFonts w:cs="Times New Roman" w:asciiTheme="minorEastAsia" w:hAnsiTheme="minorEastAsia"/>
          <w:b/>
          <w:color w:val="FF0000"/>
          <w:szCs w:val="24"/>
          <w:highlight w:val="none"/>
        </w:rPr>
        <w:t>如</w:t>
      </w:r>
      <w:r>
        <w:rPr>
          <w:rFonts w:hint="eastAsia" w:cs="Times New Roman" w:asciiTheme="minorEastAsia" w:hAnsiTheme="minorEastAsia"/>
          <w:b/>
          <w:color w:val="FF0000"/>
          <w:szCs w:val="24"/>
          <w:highlight w:val="none"/>
        </w:rPr>
        <w:t>未提供《（一）项目报价表》或者</w:t>
      </w:r>
      <w:r>
        <w:rPr>
          <w:rFonts w:cs="Times New Roman" w:asciiTheme="minorEastAsia" w:hAnsiTheme="minorEastAsia"/>
          <w:b/>
          <w:color w:val="FF0000"/>
          <w:szCs w:val="24"/>
          <w:highlight w:val="none"/>
        </w:rPr>
        <w:t>不按</w:t>
      </w:r>
      <w:r>
        <w:rPr>
          <w:rFonts w:hint="eastAsia" w:cs="Times New Roman" w:asciiTheme="minorEastAsia" w:hAnsiTheme="minorEastAsia"/>
          <w:b/>
          <w:color w:val="FF0000"/>
          <w:szCs w:val="24"/>
          <w:highlight w:val="none"/>
        </w:rPr>
        <w:t>《第三章 用户需求书：二、货物需求明细》</w:t>
      </w:r>
      <w:r>
        <w:rPr>
          <w:rFonts w:cs="Times New Roman" w:asciiTheme="minorEastAsia" w:hAnsiTheme="minorEastAsia"/>
          <w:b/>
          <w:color w:val="FF0000"/>
          <w:szCs w:val="24"/>
          <w:highlight w:val="none"/>
        </w:rPr>
        <w:t>要求填报、漏报或错报</w:t>
      </w:r>
      <w:r>
        <w:rPr>
          <w:rFonts w:hint="eastAsia" w:cs="Times New Roman" w:asciiTheme="minorEastAsia" w:hAnsiTheme="minorEastAsia"/>
          <w:b/>
          <w:color w:val="FF0000"/>
          <w:szCs w:val="24"/>
          <w:highlight w:val="none"/>
        </w:rPr>
        <w:t>的将作</w:t>
      </w:r>
      <w:r>
        <w:rPr>
          <w:rFonts w:cs="Times New Roman" w:asciiTheme="minorEastAsia" w:hAnsiTheme="minorEastAsia"/>
          <w:b/>
          <w:color w:val="FF0000"/>
          <w:szCs w:val="24"/>
          <w:highlight w:val="none"/>
        </w:rPr>
        <w:t>投标无效处理。</w:t>
      </w:r>
    </w:p>
    <w:p>
      <w:pPr>
        <w:tabs>
          <w:tab w:val="left" w:pos="720"/>
        </w:tabs>
        <w:rPr>
          <w:rFonts w:ascii="Times New Roman" w:hAnsi="Times New Roman" w:eastAsia="宋体" w:cs="Times New Roman"/>
          <w:b/>
          <w:sz w:val="24"/>
          <w:szCs w:val="24"/>
          <w:highlight w:val="none"/>
        </w:rPr>
      </w:pPr>
    </w:p>
    <w:p>
      <w:pPr>
        <w:tabs>
          <w:tab w:val="left" w:pos="720"/>
        </w:tabs>
        <w:rPr>
          <w:rFonts w:ascii="Times New Roman" w:hAnsi="Times New Roman" w:eastAsia="宋体" w:cs="Times New Roman"/>
          <w:b/>
          <w:color w:val="FF0000"/>
          <w:sz w:val="24"/>
          <w:szCs w:val="24"/>
          <w:highlight w:val="none"/>
        </w:rPr>
      </w:pPr>
      <w:r>
        <w:rPr>
          <w:rFonts w:hint="eastAsia" w:ascii="Times New Roman" w:hAnsi="Times New Roman" w:eastAsia="宋体" w:cs="Times New Roman"/>
          <w:b/>
          <w:color w:val="FF0000"/>
          <w:sz w:val="24"/>
          <w:szCs w:val="24"/>
          <w:highlight w:val="none"/>
        </w:rPr>
        <w:t>（二）核心产品品牌</w:t>
      </w:r>
    </w:p>
    <w:p>
      <w:pPr>
        <w:rPr>
          <w:rFonts w:hint="eastAsia" w:ascii="Times New Roman" w:hAnsi="Times New Roman" w:eastAsia="宋体" w:cs="Times New Roman"/>
          <w:color w:val="FF0000"/>
          <w:sz w:val="24"/>
          <w:szCs w:val="24"/>
          <w:highlight w:val="none"/>
        </w:rPr>
      </w:pPr>
      <w:r>
        <w:rPr>
          <w:rFonts w:hint="eastAsia" w:ascii="Times New Roman" w:hAnsi="Times New Roman" w:eastAsia="宋体" w:cs="Times New Roman"/>
          <w:b/>
          <w:color w:val="FF0000"/>
          <w:sz w:val="24"/>
          <w:szCs w:val="24"/>
          <w:highlight w:val="none"/>
        </w:rPr>
        <w:t>我单位所投核心产品的品牌为：</w:t>
      </w:r>
      <w:r>
        <w:rPr>
          <w:rFonts w:hint="eastAsia" w:ascii="Times New Roman" w:hAnsi="Times New Roman" w:eastAsia="宋体" w:cs="Times New Roman"/>
          <w:color w:val="FF0000"/>
          <w:sz w:val="24"/>
          <w:szCs w:val="24"/>
          <w:highlight w:val="none"/>
          <w:u w:val="single"/>
        </w:rPr>
        <w:t xml:space="preserve">               </w:t>
      </w:r>
      <w:r>
        <w:rPr>
          <w:rFonts w:hint="eastAsia" w:ascii="Times New Roman" w:hAnsi="Times New Roman" w:eastAsia="宋体" w:cs="Times New Roman"/>
          <w:color w:val="FF0000"/>
          <w:sz w:val="24"/>
          <w:szCs w:val="24"/>
          <w:highlight w:val="none"/>
        </w:rPr>
        <w:t>。</w:t>
      </w:r>
    </w:p>
    <w:p>
      <w:pPr>
        <w:rPr>
          <w:rFonts w:ascii="Arial" w:hAnsi="Arial" w:eastAsia="宋体" w:cs="Times New Roman"/>
          <w:b/>
          <w:szCs w:val="24"/>
          <w:highlight w:val="none"/>
        </w:rPr>
      </w:pPr>
      <w:r>
        <w:rPr>
          <w:rFonts w:hint="eastAsia" w:ascii="宋体" w:hAnsi="宋体" w:eastAsia="宋体" w:cs="Times New Roman"/>
          <w:color w:val="FF0000"/>
          <w:sz w:val="24"/>
          <w:szCs w:val="24"/>
          <w:highlight w:val="none"/>
        </w:rPr>
        <w:t>备注：单一产品采购项目，核心产品即为该单一产品。</w:t>
      </w:r>
    </w:p>
    <w:p>
      <w:pPr>
        <w:spacing w:afterLines="25" w:line="300" w:lineRule="auto"/>
        <w:rPr>
          <w:rFonts w:ascii="Arial" w:hAnsi="Arial" w:eastAsia="宋体" w:cs="Times New Roman"/>
          <w:b/>
          <w:szCs w:val="24"/>
          <w:highlight w:val="none"/>
        </w:rPr>
      </w:pPr>
    </w:p>
    <w:p>
      <w:pPr>
        <w:spacing w:afterLines="25" w:line="300" w:lineRule="auto"/>
        <w:rPr>
          <w:rFonts w:ascii="Arial" w:hAnsi="Arial" w:eastAsia="宋体" w:cs="Times New Roman"/>
          <w:b/>
          <w:sz w:val="24"/>
          <w:szCs w:val="24"/>
          <w:highlight w:val="none"/>
        </w:rPr>
      </w:pPr>
      <w:r>
        <w:rPr>
          <w:rFonts w:hint="eastAsia" w:ascii="Arial" w:hAnsi="Arial" w:eastAsia="宋体" w:cs="Times New Roman"/>
          <w:b/>
          <w:sz w:val="24"/>
          <w:szCs w:val="24"/>
          <w:highlight w:val="none"/>
        </w:rPr>
        <w:t>（三）可选配件报价清单（非项目需求要求的必备配件，此部分不包括在总报价内）</w:t>
      </w:r>
    </w:p>
    <w:p>
      <w:pPr>
        <w:ind w:firstLine="422" w:firstLineChars="200"/>
        <w:rPr>
          <w:rFonts w:hint="eastAsia" w:hAnsi="宋体"/>
          <w:b/>
          <w:bCs/>
          <w:szCs w:val="21"/>
          <w:highlight w:val="none"/>
        </w:rPr>
      </w:pPr>
      <w:r>
        <w:rPr>
          <w:rFonts w:hint="eastAsia" w:hAnsi="宋体"/>
          <w:b/>
          <w:bCs/>
          <w:szCs w:val="21"/>
          <w:highlight w:val="none"/>
        </w:rPr>
        <w:t>注：格式可以参照《（一）</w:t>
      </w:r>
      <w:r>
        <w:rPr>
          <w:rFonts w:hint="eastAsia" w:hAnsi="宋体"/>
          <w:b/>
          <w:bCs/>
          <w:szCs w:val="21"/>
          <w:highlight w:val="none"/>
          <w:lang w:val="en-US" w:eastAsia="zh-CN"/>
        </w:rPr>
        <w:t>项目</w:t>
      </w:r>
      <w:r>
        <w:rPr>
          <w:rFonts w:hint="eastAsia" w:hAnsi="宋体"/>
          <w:b/>
          <w:bCs/>
          <w:szCs w:val="21"/>
          <w:highlight w:val="none"/>
        </w:rPr>
        <w:t>报价表》表格，并提供相应的品牌/规格/型号、原产地、制造商信息（没有品牌、型号的，用“定制”描述即可）、单价等详细信息</w:t>
      </w:r>
    </w:p>
    <w:p>
      <w:pPr>
        <w:ind w:firstLine="422" w:firstLineChars="200"/>
        <w:rPr>
          <w:rFonts w:hint="eastAsia" w:hAnsi="宋体"/>
          <w:b/>
          <w:bCs/>
          <w:szCs w:val="21"/>
          <w:highlight w:val="none"/>
        </w:rPr>
      </w:pPr>
    </w:p>
    <w:p>
      <w:pPr>
        <w:spacing w:afterLines="25" w:line="300" w:lineRule="auto"/>
        <w:rPr>
          <w:rFonts w:ascii="Arial" w:hAnsi="Arial" w:eastAsia="宋体" w:cs="Times New Roman"/>
          <w:b/>
          <w:sz w:val="24"/>
          <w:szCs w:val="24"/>
          <w:highlight w:val="none"/>
        </w:rPr>
      </w:pPr>
      <w:r>
        <w:rPr>
          <w:rFonts w:hint="eastAsia" w:ascii="Arial" w:hAnsi="Arial" w:eastAsia="宋体" w:cs="Times New Roman"/>
          <w:b/>
          <w:sz w:val="24"/>
          <w:szCs w:val="24"/>
          <w:highlight w:val="none"/>
        </w:rPr>
        <w:t>（四）供应商认为需要涉及的其他内容报价清单</w:t>
      </w:r>
    </w:p>
    <w:p>
      <w:pPr>
        <w:wordWrap w:val="0"/>
        <w:spacing w:afterLines="25" w:line="300" w:lineRule="auto"/>
        <w:ind w:right="420" w:firstLine="4410" w:firstLineChars="2100"/>
        <w:jc w:val="right"/>
        <w:rPr>
          <w:rFonts w:ascii="Arial" w:hAnsi="Arial" w:eastAsia="宋体" w:cs="Times New Roman"/>
          <w:szCs w:val="21"/>
          <w:highlight w:val="none"/>
        </w:rPr>
      </w:pPr>
      <w:r>
        <w:rPr>
          <w:rFonts w:hint="eastAsia" w:ascii="Arial" w:hAnsi="Arial" w:eastAsia="宋体" w:cs="Times New Roman"/>
          <w:szCs w:val="21"/>
          <w:highlight w:val="none"/>
        </w:rPr>
        <w:t xml:space="preserve">   </w:t>
      </w:r>
    </w:p>
    <w:p>
      <w:pPr>
        <w:widowControl/>
        <w:jc w:val="left"/>
        <w:rPr>
          <w:rFonts w:ascii="Arial" w:hAnsi="Arial" w:eastAsia="宋体" w:cs="Arial"/>
          <w:color w:val="000000"/>
          <w:szCs w:val="24"/>
          <w:highlight w:val="none"/>
        </w:rPr>
      </w:pPr>
      <w:r>
        <w:rPr>
          <w:rFonts w:ascii="宋体" w:hAnsi="宋体" w:eastAsia="宋体" w:cs="Times New Roman"/>
          <w:b/>
          <w:sz w:val="24"/>
          <w:szCs w:val="24"/>
          <w:highlight w:val="none"/>
        </w:rPr>
        <w:br w:type="page"/>
      </w:r>
    </w:p>
    <w:p>
      <w:pPr>
        <w:keepNext/>
        <w:keepLines/>
        <w:pageBreakBefore/>
        <w:adjustRightInd w:val="0"/>
        <w:snapToGrid w:val="0"/>
        <w:spacing w:line="360" w:lineRule="auto"/>
        <w:jc w:val="center"/>
        <w:textAlignment w:val="baseline"/>
        <w:outlineLvl w:val="3"/>
        <w:rPr>
          <w:rFonts w:ascii="宋体" w:hAnsi="宋体" w:eastAsia="宋体" w:cs="Times New Roman"/>
          <w:b/>
          <w:bCs/>
          <w:kern w:val="0"/>
          <w:sz w:val="24"/>
          <w:szCs w:val="20"/>
          <w:highlight w:val="none"/>
        </w:rPr>
      </w:pPr>
      <w:r>
        <w:rPr>
          <w:rFonts w:hint="eastAsia" w:ascii="宋体" w:hAnsi="宋体" w:eastAsia="宋体" w:cs="Times New Roman"/>
          <w:b/>
          <w:bCs/>
          <w:kern w:val="0"/>
          <w:sz w:val="24"/>
          <w:szCs w:val="20"/>
          <w:highlight w:val="none"/>
          <w:lang w:val="en-US" w:eastAsia="zh-CN"/>
        </w:rPr>
        <w:t>5</w:t>
      </w:r>
      <w:r>
        <w:rPr>
          <w:rFonts w:hint="eastAsia" w:ascii="宋体" w:hAnsi="宋体" w:eastAsia="宋体" w:cs="Times New Roman"/>
          <w:b/>
          <w:bCs/>
          <w:kern w:val="0"/>
          <w:sz w:val="24"/>
          <w:szCs w:val="20"/>
          <w:highlight w:val="none"/>
        </w:rPr>
        <w:t>.经验情况表</w:t>
      </w:r>
    </w:p>
    <w:tbl>
      <w:tblPr>
        <w:tblStyle w:val="16"/>
        <w:tblW w:w="4906"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737"/>
        <w:gridCol w:w="1701"/>
        <w:gridCol w:w="2099"/>
        <w:gridCol w:w="1226"/>
        <w:gridCol w:w="1278"/>
        <w:gridCol w:w="1321"/>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441" w:type="pct"/>
            <w:vAlign w:val="center"/>
          </w:tcPr>
          <w:p>
            <w:pPr>
              <w:snapToGrid w:val="0"/>
              <w:jc w:val="center"/>
              <w:rPr>
                <w:rFonts w:ascii="宋体" w:hAnsi="宋体" w:eastAsia="宋体" w:cs="Times New Roman"/>
                <w:b/>
                <w:sz w:val="24"/>
                <w:szCs w:val="24"/>
                <w:highlight w:val="none"/>
              </w:rPr>
            </w:pPr>
            <w:r>
              <w:rPr>
                <w:rFonts w:hint="eastAsia" w:ascii="宋体" w:hAnsi="宋体" w:eastAsia="宋体" w:cs="Times New Roman"/>
                <w:b/>
                <w:sz w:val="24"/>
                <w:szCs w:val="24"/>
                <w:highlight w:val="none"/>
              </w:rPr>
              <w:t>序号</w:t>
            </w:r>
          </w:p>
        </w:tc>
        <w:tc>
          <w:tcPr>
            <w:tcW w:w="1017" w:type="pct"/>
            <w:vAlign w:val="center"/>
          </w:tcPr>
          <w:p>
            <w:pPr>
              <w:snapToGrid w:val="0"/>
              <w:jc w:val="center"/>
              <w:rPr>
                <w:rFonts w:ascii="宋体" w:hAnsi="宋体" w:eastAsia="宋体" w:cs="Times New Roman"/>
                <w:b/>
                <w:sz w:val="24"/>
                <w:szCs w:val="24"/>
                <w:highlight w:val="none"/>
              </w:rPr>
            </w:pPr>
            <w:r>
              <w:rPr>
                <w:rFonts w:hint="eastAsia" w:ascii="宋体" w:hAnsi="宋体" w:eastAsia="宋体" w:cs="Times New Roman"/>
                <w:b/>
                <w:sz w:val="24"/>
                <w:szCs w:val="24"/>
                <w:highlight w:val="none"/>
              </w:rPr>
              <w:t>用户单位</w:t>
            </w:r>
          </w:p>
        </w:tc>
        <w:tc>
          <w:tcPr>
            <w:tcW w:w="1255" w:type="pct"/>
            <w:vAlign w:val="center"/>
          </w:tcPr>
          <w:p>
            <w:pPr>
              <w:snapToGrid w:val="0"/>
              <w:jc w:val="center"/>
              <w:rPr>
                <w:rFonts w:ascii="宋体" w:hAnsi="宋体" w:eastAsia="宋体" w:cs="Times New Roman"/>
                <w:b/>
                <w:sz w:val="24"/>
                <w:szCs w:val="24"/>
                <w:highlight w:val="none"/>
              </w:rPr>
            </w:pPr>
            <w:r>
              <w:rPr>
                <w:rFonts w:hint="eastAsia" w:ascii="Arial" w:hAnsi="Arial" w:eastAsia="宋体" w:cs="Arial"/>
                <w:b/>
                <w:sz w:val="24"/>
                <w:szCs w:val="24"/>
                <w:highlight w:val="none"/>
              </w:rPr>
              <w:t>项目</w:t>
            </w:r>
            <w:r>
              <w:rPr>
                <w:rFonts w:hint="eastAsia" w:ascii="宋体" w:hAnsi="宋体" w:eastAsia="宋体" w:cs="Times New Roman"/>
                <w:b/>
                <w:sz w:val="24"/>
                <w:szCs w:val="24"/>
                <w:highlight w:val="none"/>
              </w:rPr>
              <w:t>名称</w:t>
            </w:r>
          </w:p>
        </w:tc>
        <w:tc>
          <w:tcPr>
            <w:tcW w:w="733" w:type="pct"/>
            <w:vAlign w:val="center"/>
          </w:tcPr>
          <w:p>
            <w:pPr>
              <w:snapToGrid w:val="0"/>
              <w:jc w:val="center"/>
              <w:rPr>
                <w:rFonts w:ascii="宋体" w:hAnsi="宋体" w:eastAsia="宋体" w:cs="Times New Roman"/>
                <w:b/>
                <w:sz w:val="24"/>
                <w:szCs w:val="24"/>
                <w:highlight w:val="none"/>
              </w:rPr>
            </w:pPr>
            <w:r>
              <w:rPr>
                <w:rFonts w:hint="eastAsia" w:ascii="宋体" w:hAnsi="宋体" w:eastAsia="宋体" w:cs="Times New Roman"/>
                <w:b/>
                <w:sz w:val="24"/>
                <w:szCs w:val="24"/>
                <w:highlight w:val="none"/>
              </w:rPr>
              <w:t>时间</w:t>
            </w:r>
          </w:p>
        </w:tc>
        <w:tc>
          <w:tcPr>
            <w:tcW w:w="764" w:type="pct"/>
            <w:vAlign w:val="center"/>
          </w:tcPr>
          <w:p>
            <w:pPr>
              <w:snapToGrid w:val="0"/>
              <w:jc w:val="center"/>
              <w:rPr>
                <w:rFonts w:ascii="宋体" w:hAnsi="宋体" w:eastAsia="宋体" w:cs="Times New Roman"/>
                <w:b/>
                <w:sz w:val="24"/>
                <w:szCs w:val="24"/>
                <w:highlight w:val="none"/>
              </w:rPr>
            </w:pPr>
            <w:r>
              <w:rPr>
                <w:rFonts w:hint="eastAsia" w:ascii="宋体" w:hAnsi="宋体" w:eastAsia="宋体" w:cs="Times New Roman"/>
                <w:b/>
                <w:sz w:val="24"/>
                <w:szCs w:val="24"/>
                <w:highlight w:val="none"/>
              </w:rPr>
              <w:t>用户单位</w:t>
            </w:r>
          </w:p>
          <w:p>
            <w:pPr>
              <w:snapToGrid w:val="0"/>
              <w:jc w:val="center"/>
              <w:rPr>
                <w:rFonts w:ascii="宋体" w:hAnsi="宋体" w:eastAsia="宋体" w:cs="Times New Roman"/>
                <w:b/>
                <w:sz w:val="24"/>
                <w:szCs w:val="24"/>
                <w:highlight w:val="none"/>
              </w:rPr>
            </w:pPr>
            <w:r>
              <w:rPr>
                <w:rFonts w:hint="eastAsia" w:ascii="宋体" w:hAnsi="宋体" w:eastAsia="宋体" w:cs="Times New Roman"/>
                <w:b/>
                <w:sz w:val="24"/>
                <w:szCs w:val="24"/>
                <w:highlight w:val="none"/>
              </w:rPr>
              <w:t>联系人</w:t>
            </w:r>
          </w:p>
        </w:tc>
        <w:tc>
          <w:tcPr>
            <w:tcW w:w="790" w:type="pct"/>
            <w:vAlign w:val="center"/>
          </w:tcPr>
          <w:p>
            <w:pPr>
              <w:snapToGrid w:val="0"/>
              <w:jc w:val="center"/>
              <w:rPr>
                <w:rFonts w:hint="eastAsia" w:ascii="宋体" w:hAnsi="宋体" w:eastAsia="宋体" w:cs="Times New Roman"/>
                <w:b/>
                <w:sz w:val="24"/>
                <w:szCs w:val="24"/>
                <w:highlight w:val="none"/>
                <w:lang w:eastAsia="zh-CN"/>
              </w:rPr>
            </w:pPr>
            <w:r>
              <w:rPr>
                <w:rFonts w:hint="eastAsia" w:ascii="宋体" w:hAnsi="宋体" w:eastAsia="宋体" w:cs="Times New Roman"/>
                <w:b/>
                <w:sz w:val="24"/>
                <w:szCs w:val="24"/>
                <w:highlight w:val="none"/>
              </w:rPr>
              <w:t>用户单位</w:t>
            </w:r>
          </w:p>
          <w:p>
            <w:pPr>
              <w:snapToGrid w:val="0"/>
              <w:jc w:val="center"/>
              <w:rPr>
                <w:rFonts w:ascii="宋体" w:hAnsi="宋体" w:eastAsia="宋体" w:cs="Times New Roman"/>
                <w:b/>
                <w:sz w:val="24"/>
                <w:szCs w:val="24"/>
                <w:highlight w:val="none"/>
              </w:rPr>
            </w:pPr>
            <w:r>
              <w:rPr>
                <w:rFonts w:hint="eastAsia" w:ascii="宋体" w:hAnsi="宋体" w:eastAsia="宋体" w:cs="Times New Roman"/>
                <w:b/>
                <w:sz w:val="24"/>
                <w:szCs w:val="24"/>
                <w:highlight w:val="none"/>
              </w:rPr>
              <w:t>联系电话</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441" w:type="pct"/>
          </w:tcPr>
          <w:p>
            <w:pPr>
              <w:spacing w:afterLines="25" w:line="300" w:lineRule="auto"/>
              <w:rPr>
                <w:rFonts w:ascii="宋体" w:hAnsi="宋体" w:eastAsia="宋体" w:cs="Arial"/>
                <w:sz w:val="24"/>
                <w:szCs w:val="24"/>
                <w:highlight w:val="none"/>
              </w:rPr>
            </w:pPr>
          </w:p>
        </w:tc>
        <w:tc>
          <w:tcPr>
            <w:tcW w:w="1017" w:type="pct"/>
          </w:tcPr>
          <w:p>
            <w:pPr>
              <w:spacing w:afterLines="25" w:line="300" w:lineRule="auto"/>
              <w:rPr>
                <w:rFonts w:ascii="宋体" w:hAnsi="宋体" w:eastAsia="宋体" w:cs="Arial"/>
                <w:sz w:val="24"/>
                <w:szCs w:val="24"/>
                <w:highlight w:val="none"/>
              </w:rPr>
            </w:pPr>
          </w:p>
        </w:tc>
        <w:tc>
          <w:tcPr>
            <w:tcW w:w="1255" w:type="pct"/>
          </w:tcPr>
          <w:p>
            <w:pPr>
              <w:spacing w:afterLines="25" w:line="300" w:lineRule="auto"/>
              <w:rPr>
                <w:rFonts w:ascii="宋体" w:hAnsi="宋体" w:eastAsia="宋体" w:cs="Arial"/>
                <w:sz w:val="24"/>
                <w:szCs w:val="24"/>
                <w:highlight w:val="none"/>
              </w:rPr>
            </w:pPr>
          </w:p>
        </w:tc>
        <w:tc>
          <w:tcPr>
            <w:tcW w:w="733" w:type="pct"/>
          </w:tcPr>
          <w:p>
            <w:pPr>
              <w:spacing w:afterLines="25" w:line="300" w:lineRule="auto"/>
              <w:rPr>
                <w:rFonts w:ascii="宋体" w:hAnsi="宋体" w:eastAsia="宋体" w:cs="Arial"/>
                <w:sz w:val="24"/>
                <w:szCs w:val="24"/>
                <w:highlight w:val="none"/>
              </w:rPr>
            </w:pPr>
          </w:p>
        </w:tc>
        <w:tc>
          <w:tcPr>
            <w:tcW w:w="764" w:type="pct"/>
          </w:tcPr>
          <w:p>
            <w:pPr>
              <w:spacing w:afterLines="25" w:line="300" w:lineRule="auto"/>
              <w:rPr>
                <w:rFonts w:ascii="宋体" w:hAnsi="宋体" w:eastAsia="宋体" w:cs="Arial"/>
                <w:sz w:val="24"/>
                <w:szCs w:val="24"/>
                <w:highlight w:val="none"/>
              </w:rPr>
            </w:pPr>
          </w:p>
        </w:tc>
        <w:tc>
          <w:tcPr>
            <w:tcW w:w="790" w:type="pct"/>
          </w:tcPr>
          <w:p>
            <w:pPr>
              <w:spacing w:afterLines="25" w:line="300" w:lineRule="auto"/>
              <w:rPr>
                <w:rFonts w:ascii="宋体" w:hAnsi="宋体" w:eastAsia="宋体" w:cs="Arial"/>
                <w:sz w:val="24"/>
                <w:szCs w:val="24"/>
                <w:highlight w:val="none"/>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441" w:type="pct"/>
          </w:tcPr>
          <w:p>
            <w:pPr>
              <w:spacing w:afterLines="25" w:line="300" w:lineRule="auto"/>
              <w:rPr>
                <w:rFonts w:ascii="宋体" w:hAnsi="宋体" w:eastAsia="宋体" w:cs="Arial"/>
                <w:sz w:val="24"/>
                <w:szCs w:val="24"/>
                <w:highlight w:val="none"/>
              </w:rPr>
            </w:pPr>
          </w:p>
        </w:tc>
        <w:tc>
          <w:tcPr>
            <w:tcW w:w="1017" w:type="pct"/>
          </w:tcPr>
          <w:p>
            <w:pPr>
              <w:spacing w:afterLines="25" w:line="300" w:lineRule="auto"/>
              <w:rPr>
                <w:rFonts w:ascii="宋体" w:hAnsi="宋体" w:eastAsia="宋体" w:cs="Arial"/>
                <w:sz w:val="24"/>
                <w:szCs w:val="24"/>
                <w:highlight w:val="none"/>
              </w:rPr>
            </w:pPr>
          </w:p>
        </w:tc>
        <w:tc>
          <w:tcPr>
            <w:tcW w:w="1255" w:type="pct"/>
          </w:tcPr>
          <w:p>
            <w:pPr>
              <w:spacing w:afterLines="25" w:line="300" w:lineRule="auto"/>
              <w:rPr>
                <w:rFonts w:ascii="宋体" w:hAnsi="宋体" w:eastAsia="宋体" w:cs="Arial"/>
                <w:sz w:val="24"/>
                <w:szCs w:val="24"/>
                <w:highlight w:val="none"/>
              </w:rPr>
            </w:pPr>
          </w:p>
        </w:tc>
        <w:tc>
          <w:tcPr>
            <w:tcW w:w="733" w:type="pct"/>
          </w:tcPr>
          <w:p>
            <w:pPr>
              <w:spacing w:afterLines="25" w:line="300" w:lineRule="auto"/>
              <w:rPr>
                <w:rFonts w:ascii="宋体" w:hAnsi="宋体" w:eastAsia="宋体" w:cs="Arial"/>
                <w:sz w:val="24"/>
                <w:szCs w:val="24"/>
                <w:highlight w:val="none"/>
              </w:rPr>
            </w:pPr>
          </w:p>
        </w:tc>
        <w:tc>
          <w:tcPr>
            <w:tcW w:w="764" w:type="pct"/>
          </w:tcPr>
          <w:p>
            <w:pPr>
              <w:spacing w:afterLines="25" w:line="300" w:lineRule="auto"/>
              <w:rPr>
                <w:rFonts w:ascii="宋体" w:hAnsi="宋体" w:eastAsia="宋体" w:cs="Arial"/>
                <w:sz w:val="24"/>
                <w:szCs w:val="24"/>
                <w:highlight w:val="none"/>
              </w:rPr>
            </w:pPr>
          </w:p>
        </w:tc>
        <w:tc>
          <w:tcPr>
            <w:tcW w:w="790" w:type="pct"/>
          </w:tcPr>
          <w:p>
            <w:pPr>
              <w:spacing w:afterLines="25" w:line="300" w:lineRule="auto"/>
              <w:rPr>
                <w:rFonts w:ascii="宋体" w:hAnsi="宋体" w:eastAsia="宋体" w:cs="Arial"/>
                <w:sz w:val="24"/>
                <w:szCs w:val="24"/>
                <w:highlight w:val="none"/>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441" w:type="pct"/>
          </w:tcPr>
          <w:p>
            <w:pPr>
              <w:spacing w:afterLines="25" w:line="300" w:lineRule="auto"/>
              <w:rPr>
                <w:rFonts w:ascii="宋体" w:hAnsi="宋体" w:eastAsia="宋体" w:cs="Arial"/>
                <w:sz w:val="24"/>
                <w:szCs w:val="24"/>
                <w:highlight w:val="none"/>
              </w:rPr>
            </w:pPr>
          </w:p>
        </w:tc>
        <w:tc>
          <w:tcPr>
            <w:tcW w:w="1017" w:type="pct"/>
          </w:tcPr>
          <w:p>
            <w:pPr>
              <w:spacing w:afterLines="25" w:line="300" w:lineRule="auto"/>
              <w:rPr>
                <w:rFonts w:ascii="宋体" w:hAnsi="宋体" w:eastAsia="宋体" w:cs="Arial"/>
                <w:sz w:val="24"/>
                <w:szCs w:val="24"/>
                <w:highlight w:val="none"/>
              </w:rPr>
            </w:pPr>
          </w:p>
        </w:tc>
        <w:tc>
          <w:tcPr>
            <w:tcW w:w="1255" w:type="pct"/>
          </w:tcPr>
          <w:p>
            <w:pPr>
              <w:spacing w:afterLines="25" w:line="300" w:lineRule="auto"/>
              <w:rPr>
                <w:rFonts w:ascii="宋体" w:hAnsi="宋体" w:eastAsia="宋体" w:cs="Arial"/>
                <w:sz w:val="24"/>
                <w:szCs w:val="24"/>
                <w:highlight w:val="none"/>
              </w:rPr>
            </w:pPr>
          </w:p>
        </w:tc>
        <w:tc>
          <w:tcPr>
            <w:tcW w:w="733" w:type="pct"/>
          </w:tcPr>
          <w:p>
            <w:pPr>
              <w:spacing w:afterLines="25" w:line="300" w:lineRule="auto"/>
              <w:rPr>
                <w:rFonts w:ascii="宋体" w:hAnsi="宋体" w:eastAsia="宋体" w:cs="Arial"/>
                <w:sz w:val="24"/>
                <w:szCs w:val="24"/>
                <w:highlight w:val="none"/>
              </w:rPr>
            </w:pPr>
          </w:p>
        </w:tc>
        <w:tc>
          <w:tcPr>
            <w:tcW w:w="764" w:type="pct"/>
          </w:tcPr>
          <w:p>
            <w:pPr>
              <w:spacing w:afterLines="25" w:line="300" w:lineRule="auto"/>
              <w:rPr>
                <w:rFonts w:ascii="宋体" w:hAnsi="宋体" w:eastAsia="宋体" w:cs="Arial"/>
                <w:sz w:val="24"/>
                <w:szCs w:val="24"/>
                <w:highlight w:val="none"/>
              </w:rPr>
            </w:pPr>
          </w:p>
        </w:tc>
        <w:tc>
          <w:tcPr>
            <w:tcW w:w="790" w:type="pct"/>
          </w:tcPr>
          <w:p>
            <w:pPr>
              <w:spacing w:afterLines="25" w:line="300" w:lineRule="auto"/>
              <w:rPr>
                <w:rFonts w:ascii="宋体" w:hAnsi="宋体" w:eastAsia="宋体" w:cs="Arial"/>
                <w:sz w:val="24"/>
                <w:szCs w:val="24"/>
                <w:highlight w:val="none"/>
              </w:rPr>
            </w:pPr>
          </w:p>
        </w:tc>
      </w:tr>
    </w:tbl>
    <w:p>
      <w:pPr>
        <w:spacing w:line="300" w:lineRule="auto"/>
        <w:rPr>
          <w:rFonts w:ascii="Arial" w:hAnsi="Arial" w:eastAsia="宋体" w:cs="Times New Roman"/>
          <w:szCs w:val="24"/>
          <w:highlight w:val="none"/>
        </w:rPr>
      </w:pPr>
      <w:r>
        <w:rPr>
          <w:rFonts w:hint="eastAsia" w:ascii="Arial" w:hAnsi="Arial" w:eastAsia="宋体" w:cs="Times New Roman"/>
          <w:sz w:val="24"/>
          <w:szCs w:val="24"/>
          <w:highlight w:val="none"/>
        </w:rPr>
        <w:t>此表格式可根据评分准则要求进行调整，并将要求提供的证明材料扫描件附后。</w:t>
      </w:r>
    </w:p>
    <w:p>
      <w:pPr>
        <w:spacing w:afterLines="25" w:line="300" w:lineRule="auto"/>
        <w:rPr>
          <w:rFonts w:ascii="Arial" w:hAnsi="Arial" w:eastAsia="宋体" w:cs="Times New Roman"/>
          <w:sz w:val="24"/>
          <w:szCs w:val="24"/>
          <w:highlight w:val="none"/>
        </w:rPr>
      </w:pPr>
    </w:p>
    <w:p>
      <w:pPr>
        <w:spacing w:afterLines="25" w:line="300" w:lineRule="auto"/>
        <w:rPr>
          <w:rFonts w:ascii="Arial" w:hAnsi="Arial" w:eastAsia="宋体" w:cs="Times New Roman"/>
          <w:sz w:val="24"/>
          <w:szCs w:val="24"/>
          <w:highlight w:val="none"/>
        </w:rPr>
      </w:pPr>
    </w:p>
    <w:p>
      <w:pPr>
        <w:spacing w:afterLines="25" w:line="300" w:lineRule="auto"/>
        <w:rPr>
          <w:rFonts w:ascii="Arial" w:hAnsi="Arial" w:eastAsia="宋体" w:cs="Times New Roman"/>
          <w:sz w:val="24"/>
          <w:szCs w:val="24"/>
          <w:highlight w:val="none"/>
        </w:rPr>
      </w:pPr>
    </w:p>
    <w:p>
      <w:pPr>
        <w:spacing w:afterLines="25" w:line="300" w:lineRule="auto"/>
        <w:rPr>
          <w:rFonts w:ascii="Arial" w:hAnsi="Arial" w:eastAsia="宋体" w:cs="Times New Roman"/>
          <w:sz w:val="24"/>
          <w:szCs w:val="24"/>
          <w:highlight w:val="none"/>
        </w:rPr>
      </w:pPr>
    </w:p>
    <w:p>
      <w:pPr>
        <w:spacing w:afterLines="25" w:line="300" w:lineRule="auto"/>
        <w:rPr>
          <w:rFonts w:ascii="Arial" w:hAnsi="Arial" w:eastAsia="宋体" w:cs="Times New Roman"/>
          <w:sz w:val="24"/>
          <w:szCs w:val="24"/>
          <w:highlight w:val="none"/>
        </w:rPr>
      </w:pPr>
    </w:p>
    <w:p>
      <w:pPr>
        <w:spacing w:afterLines="25" w:line="300" w:lineRule="auto"/>
        <w:rPr>
          <w:rFonts w:ascii="Arial" w:hAnsi="Arial" w:eastAsia="宋体" w:cs="Times New Roman"/>
          <w:sz w:val="24"/>
          <w:szCs w:val="24"/>
          <w:highlight w:val="none"/>
        </w:rPr>
      </w:pPr>
    </w:p>
    <w:p>
      <w:pPr>
        <w:spacing w:afterLines="25" w:line="300" w:lineRule="auto"/>
        <w:rPr>
          <w:rFonts w:ascii="Arial" w:hAnsi="Arial" w:eastAsia="宋体" w:cs="Times New Roman"/>
          <w:sz w:val="24"/>
          <w:szCs w:val="24"/>
          <w:highlight w:val="none"/>
        </w:rPr>
      </w:pPr>
    </w:p>
    <w:p>
      <w:pPr>
        <w:spacing w:afterLines="25" w:line="300" w:lineRule="auto"/>
        <w:rPr>
          <w:rFonts w:ascii="Arial" w:hAnsi="Arial" w:eastAsia="宋体" w:cs="Times New Roman"/>
          <w:sz w:val="24"/>
          <w:szCs w:val="24"/>
          <w:highlight w:val="none"/>
        </w:rPr>
      </w:pPr>
    </w:p>
    <w:p>
      <w:pPr>
        <w:spacing w:afterLines="25" w:line="300" w:lineRule="auto"/>
        <w:rPr>
          <w:rFonts w:ascii="Arial" w:hAnsi="Arial" w:eastAsia="宋体" w:cs="Times New Roman"/>
          <w:sz w:val="24"/>
          <w:szCs w:val="24"/>
          <w:highlight w:val="none"/>
        </w:rPr>
      </w:pPr>
    </w:p>
    <w:p>
      <w:pPr>
        <w:spacing w:afterLines="25" w:line="300" w:lineRule="auto"/>
        <w:rPr>
          <w:rFonts w:ascii="Arial" w:hAnsi="Arial" w:eastAsia="宋体" w:cs="Times New Roman"/>
          <w:sz w:val="24"/>
          <w:szCs w:val="24"/>
          <w:highlight w:val="none"/>
        </w:rPr>
      </w:pPr>
    </w:p>
    <w:p>
      <w:pPr>
        <w:spacing w:afterLines="25" w:line="300" w:lineRule="auto"/>
        <w:rPr>
          <w:rFonts w:ascii="Arial" w:hAnsi="Arial" w:eastAsia="宋体" w:cs="Times New Roman"/>
          <w:sz w:val="24"/>
          <w:szCs w:val="24"/>
          <w:highlight w:val="none"/>
        </w:rPr>
      </w:pPr>
    </w:p>
    <w:p>
      <w:pPr>
        <w:spacing w:afterLines="25" w:line="300" w:lineRule="auto"/>
        <w:rPr>
          <w:rFonts w:ascii="Arial" w:hAnsi="Arial" w:eastAsia="宋体" w:cs="Times New Roman"/>
          <w:sz w:val="24"/>
          <w:szCs w:val="24"/>
          <w:highlight w:val="none"/>
        </w:rPr>
      </w:pPr>
    </w:p>
    <w:p>
      <w:pPr>
        <w:spacing w:afterLines="25" w:line="300" w:lineRule="auto"/>
        <w:rPr>
          <w:rFonts w:ascii="Arial" w:hAnsi="Arial" w:eastAsia="宋体" w:cs="Times New Roman"/>
          <w:sz w:val="24"/>
          <w:szCs w:val="24"/>
          <w:highlight w:val="none"/>
        </w:rPr>
      </w:pPr>
    </w:p>
    <w:p>
      <w:pPr>
        <w:spacing w:afterLines="25" w:line="300" w:lineRule="auto"/>
        <w:rPr>
          <w:rFonts w:ascii="Arial" w:hAnsi="Arial" w:eastAsia="宋体" w:cs="Times New Roman"/>
          <w:sz w:val="24"/>
          <w:szCs w:val="24"/>
          <w:highlight w:val="none"/>
        </w:rPr>
      </w:pPr>
    </w:p>
    <w:p>
      <w:pPr>
        <w:spacing w:afterLines="25" w:line="300" w:lineRule="auto"/>
        <w:rPr>
          <w:rFonts w:ascii="Arial" w:hAnsi="Arial" w:eastAsia="宋体" w:cs="Times New Roman"/>
          <w:sz w:val="24"/>
          <w:szCs w:val="24"/>
          <w:highlight w:val="none"/>
        </w:rPr>
      </w:pPr>
    </w:p>
    <w:p>
      <w:pPr>
        <w:spacing w:afterLines="25" w:line="300" w:lineRule="auto"/>
        <w:rPr>
          <w:rFonts w:ascii="Arial" w:hAnsi="Arial" w:eastAsia="宋体" w:cs="Times New Roman"/>
          <w:sz w:val="24"/>
          <w:szCs w:val="24"/>
          <w:highlight w:val="none"/>
        </w:rPr>
      </w:pPr>
    </w:p>
    <w:p>
      <w:pPr>
        <w:spacing w:afterLines="25" w:line="300" w:lineRule="auto"/>
        <w:rPr>
          <w:rFonts w:ascii="Arial" w:hAnsi="Arial" w:eastAsia="宋体" w:cs="Times New Roman"/>
          <w:sz w:val="24"/>
          <w:szCs w:val="24"/>
          <w:highlight w:val="none"/>
        </w:rPr>
      </w:pPr>
    </w:p>
    <w:p>
      <w:pPr>
        <w:spacing w:afterLines="25" w:line="300" w:lineRule="auto"/>
        <w:rPr>
          <w:rFonts w:ascii="Arial" w:hAnsi="Arial" w:eastAsia="宋体" w:cs="Times New Roman"/>
          <w:sz w:val="24"/>
          <w:szCs w:val="24"/>
          <w:highlight w:val="none"/>
        </w:rPr>
      </w:pPr>
    </w:p>
    <w:p>
      <w:pPr>
        <w:spacing w:afterLines="25" w:line="300" w:lineRule="auto"/>
        <w:rPr>
          <w:rFonts w:ascii="Arial" w:hAnsi="Arial" w:eastAsia="宋体" w:cs="Times New Roman"/>
          <w:sz w:val="24"/>
          <w:szCs w:val="24"/>
          <w:highlight w:val="none"/>
        </w:rPr>
      </w:pPr>
    </w:p>
    <w:p>
      <w:pPr>
        <w:spacing w:afterLines="25" w:line="300" w:lineRule="auto"/>
        <w:rPr>
          <w:rFonts w:ascii="Arial" w:hAnsi="Arial" w:eastAsia="宋体" w:cs="Times New Roman"/>
          <w:sz w:val="24"/>
          <w:szCs w:val="24"/>
          <w:highlight w:val="none"/>
        </w:rPr>
      </w:pPr>
    </w:p>
    <w:p>
      <w:pPr>
        <w:spacing w:afterLines="25" w:line="300" w:lineRule="auto"/>
        <w:jc w:val="center"/>
        <w:rPr>
          <w:rFonts w:hint="eastAsia" w:ascii="Arial" w:hAnsi="Arial" w:eastAsia="宋体" w:cs="Times New Roman"/>
          <w:b/>
          <w:sz w:val="24"/>
          <w:szCs w:val="24"/>
          <w:highlight w:val="none"/>
        </w:rPr>
      </w:pPr>
      <w:r>
        <w:rPr>
          <w:rFonts w:hint="eastAsia" w:ascii="Arial" w:hAnsi="Arial" w:eastAsia="宋体" w:cs="Times New Roman"/>
          <w:b/>
          <w:sz w:val="24"/>
          <w:szCs w:val="24"/>
          <w:highlight w:val="none"/>
        </w:rPr>
        <w:t>（本章未提供的招标要求的其他文件格式由供应商自拟）</w:t>
      </w:r>
    </w:p>
    <w:p>
      <w:pPr>
        <w:spacing w:afterLines="25" w:line="300" w:lineRule="auto"/>
        <w:jc w:val="center"/>
        <w:rPr>
          <w:rFonts w:hint="eastAsia" w:ascii="Arial" w:hAnsi="Arial" w:eastAsia="宋体" w:cs="Times New Roman"/>
          <w:b/>
          <w:sz w:val="24"/>
          <w:szCs w:val="24"/>
          <w:highlight w:val="none"/>
        </w:rPr>
      </w:pPr>
    </w:p>
    <w:p>
      <w:pPr>
        <w:ind w:firstLine="723" w:firstLineChars="300"/>
        <w:jc w:val="center"/>
        <w:rPr>
          <w:b/>
          <w:color w:val="FF0000"/>
          <w:sz w:val="24"/>
          <w:highlight w:val="none"/>
        </w:rPr>
      </w:pPr>
      <w:r>
        <w:rPr>
          <w:rFonts w:hint="eastAsia"/>
          <w:b/>
          <w:color w:val="FF0000"/>
          <w:sz w:val="24"/>
          <w:highlight w:val="none"/>
        </w:rPr>
        <w:t>（信息公开部分的内容到此为止！以下为信息不公开部分。）</w:t>
      </w:r>
    </w:p>
    <w:p>
      <w:pPr>
        <w:widowControl/>
        <w:jc w:val="left"/>
        <w:rPr>
          <w:rFonts w:ascii="Arial" w:hAnsi="Arial" w:eastAsia="宋体" w:cs="Times New Roman"/>
          <w:szCs w:val="24"/>
          <w:highlight w:val="none"/>
        </w:rPr>
      </w:pPr>
      <w:r>
        <w:rPr>
          <w:rFonts w:ascii="Arial" w:hAnsi="Arial" w:eastAsia="宋体" w:cs="Times New Roman"/>
          <w:szCs w:val="24"/>
          <w:highlight w:val="none"/>
        </w:rPr>
        <w:br w:type="page"/>
      </w:r>
    </w:p>
    <w:p>
      <w:pPr>
        <w:spacing w:afterLines="25" w:line="300" w:lineRule="auto"/>
        <w:outlineLvl w:val="2"/>
        <w:rPr>
          <w:rFonts w:ascii="Arial" w:hAnsi="Arial" w:eastAsia="宋体" w:cs="Times New Roman"/>
          <w:b/>
          <w:color w:val="FF0000"/>
          <w:sz w:val="32"/>
          <w:szCs w:val="32"/>
          <w:highlight w:val="none"/>
        </w:rPr>
      </w:pPr>
      <w:r>
        <w:rPr>
          <w:rFonts w:hint="eastAsia" w:ascii="Arial" w:hAnsi="Arial" w:eastAsia="宋体" w:cs="Times New Roman"/>
          <w:b/>
          <w:color w:val="FF0000"/>
          <w:sz w:val="32"/>
          <w:szCs w:val="32"/>
          <w:highlight w:val="none"/>
        </w:rPr>
        <w:t>（二）投标文件附件（信息不公开部分）</w:t>
      </w:r>
    </w:p>
    <w:p>
      <w:pPr>
        <w:keepNext/>
        <w:keepLines/>
        <w:adjustRightInd w:val="0"/>
        <w:snapToGrid w:val="0"/>
        <w:spacing w:line="360" w:lineRule="auto"/>
        <w:jc w:val="center"/>
        <w:textAlignment w:val="baseline"/>
        <w:outlineLvl w:val="3"/>
        <w:rPr>
          <w:rFonts w:ascii="宋体" w:hAnsi="宋体" w:eastAsia="宋体" w:cs="Times New Roman"/>
          <w:b/>
          <w:bCs/>
          <w:kern w:val="0"/>
          <w:sz w:val="24"/>
          <w:szCs w:val="20"/>
          <w:highlight w:val="none"/>
        </w:rPr>
      </w:pPr>
      <w:r>
        <w:rPr>
          <w:rFonts w:hint="eastAsia" w:ascii="宋体" w:hAnsi="宋体" w:eastAsia="宋体" w:cs="Times New Roman"/>
          <w:b/>
          <w:bCs/>
          <w:kern w:val="0"/>
          <w:sz w:val="24"/>
          <w:szCs w:val="20"/>
          <w:highlight w:val="none"/>
        </w:rPr>
        <w:t>1.法定代表人（负责人）证明书</w:t>
      </w:r>
    </w:p>
    <w:p>
      <w:pPr>
        <w:spacing w:line="300" w:lineRule="auto"/>
        <w:jc w:val="both"/>
        <w:rPr>
          <w:rFonts w:ascii="Arial" w:hAnsi="Arial" w:eastAsia="宋体" w:cs="Arial"/>
          <w:b/>
          <w:sz w:val="24"/>
          <w:szCs w:val="24"/>
          <w:highlight w:val="none"/>
        </w:rPr>
      </w:pPr>
    </w:p>
    <w:p>
      <w:pPr>
        <w:spacing w:line="300" w:lineRule="auto"/>
        <w:ind w:left="140"/>
        <w:rPr>
          <w:rFonts w:asciiTheme="minorEastAsia" w:hAnsiTheme="minorEastAsia"/>
          <w:szCs w:val="21"/>
          <w:highlight w:val="none"/>
        </w:rPr>
      </w:pPr>
      <w:r>
        <w:rPr>
          <w:rFonts w:hint="eastAsia" w:cs="Arial" w:asciiTheme="minorEastAsia" w:hAnsiTheme="minorEastAsia"/>
          <w:sz w:val="24"/>
          <w:szCs w:val="24"/>
          <w:highlight w:val="none"/>
          <w:u w:val="single"/>
        </w:rPr>
        <w:t xml:space="preserve">  （姓名）  </w:t>
      </w:r>
      <w:r>
        <w:rPr>
          <w:rFonts w:hint="eastAsia" w:asciiTheme="minorEastAsia" w:hAnsiTheme="minorEastAsia"/>
          <w:szCs w:val="21"/>
          <w:highlight w:val="none"/>
        </w:rPr>
        <w:t>同志，现任我单位</w:t>
      </w:r>
      <w:r>
        <w:rPr>
          <w:rFonts w:hint="eastAsia" w:asciiTheme="minorEastAsia" w:hAnsiTheme="minorEastAsia"/>
          <w:szCs w:val="21"/>
          <w:highlight w:val="none"/>
          <w:u w:val="single"/>
        </w:rPr>
        <w:t xml:space="preserve">       </w:t>
      </w:r>
      <w:r>
        <w:rPr>
          <w:rFonts w:hint="eastAsia" w:asciiTheme="minorEastAsia" w:hAnsiTheme="minorEastAsia"/>
          <w:szCs w:val="21"/>
          <w:highlight w:val="none"/>
        </w:rPr>
        <w:t>职务，为我单位法定代表人（负责人）。</w:t>
      </w:r>
    </w:p>
    <w:p>
      <w:pPr>
        <w:spacing w:line="300" w:lineRule="auto"/>
        <w:ind w:left="140"/>
        <w:rPr>
          <w:rFonts w:asciiTheme="minorEastAsia" w:hAnsiTheme="minorEastAsia"/>
          <w:szCs w:val="21"/>
          <w:highlight w:val="none"/>
          <w:u w:val="single"/>
        </w:rPr>
      </w:pPr>
      <w:r>
        <w:rPr>
          <w:rFonts w:hint="eastAsia" w:asciiTheme="minorEastAsia" w:hAnsiTheme="minorEastAsia"/>
          <w:szCs w:val="21"/>
          <w:highlight w:val="none"/>
        </w:rPr>
        <w:t xml:space="preserve">身份证号： </w:t>
      </w:r>
      <w:r>
        <w:rPr>
          <w:rFonts w:hint="eastAsia" w:asciiTheme="minorEastAsia" w:hAnsiTheme="minorEastAsia"/>
          <w:szCs w:val="21"/>
          <w:highlight w:val="none"/>
          <w:u w:val="single"/>
        </w:rPr>
        <w:t xml:space="preserve">              </w:t>
      </w:r>
      <w:r>
        <w:rPr>
          <w:rFonts w:hint="eastAsia" w:asciiTheme="minorEastAsia" w:hAnsiTheme="minorEastAsia"/>
          <w:szCs w:val="21"/>
          <w:highlight w:val="none"/>
          <w:u w:val="none"/>
          <w:lang w:val="en-US" w:eastAsia="zh-CN"/>
        </w:rPr>
        <w:t xml:space="preserve">    </w:t>
      </w:r>
      <w:r>
        <w:rPr>
          <w:rFonts w:hint="eastAsia" w:asciiTheme="minorEastAsia" w:hAnsiTheme="minorEastAsia"/>
          <w:szCs w:val="21"/>
          <w:highlight w:val="none"/>
        </w:rPr>
        <w:t xml:space="preserve">联系电话：  </w:t>
      </w:r>
      <w:r>
        <w:rPr>
          <w:rFonts w:hint="eastAsia" w:asciiTheme="minorEastAsia" w:hAnsiTheme="minorEastAsia"/>
          <w:szCs w:val="21"/>
          <w:highlight w:val="none"/>
          <w:u w:val="single"/>
        </w:rPr>
        <w:t xml:space="preserve">             </w:t>
      </w:r>
    </w:p>
    <w:p>
      <w:pPr>
        <w:spacing w:line="300" w:lineRule="auto"/>
        <w:ind w:left="140"/>
        <w:rPr>
          <w:rFonts w:cs="Arial" w:asciiTheme="minorEastAsia" w:hAnsiTheme="minorEastAsia"/>
          <w:b/>
          <w:sz w:val="24"/>
          <w:szCs w:val="24"/>
          <w:highlight w:val="none"/>
        </w:rPr>
      </w:pPr>
      <w:r>
        <w:rPr>
          <w:rFonts w:hint="eastAsia" w:asciiTheme="minorEastAsia" w:hAnsiTheme="minorEastAsia"/>
          <w:szCs w:val="21"/>
          <w:highlight w:val="none"/>
        </w:rPr>
        <w:t>特此证明。</w:t>
      </w:r>
    </w:p>
    <w:p>
      <w:pPr>
        <w:snapToGrid w:val="0"/>
        <w:rPr>
          <w:rFonts w:hint="eastAsia" w:ascii="宋体" w:hAnsi="宋体" w:eastAsia="宋体" w:cs="Times New Roman"/>
          <w:color w:val="FF0000"/>
          <w:sz w:val="28"/>
          <w:szCs w:val="28"/>
          <w:highlight w:val="none"/>
        </w:rPr>
      </w:pPr>
    </w:p>
    <w:p>
      <w:pPr>
        <w:snapToGrid w:val="0"/>
        <w:rPr>
          <w:rFonts w:ascii="宋体" w:hAnsi="宋体" w:eastAsia="宋体" w:cs="Times New Roman"/>
          <w:color w:val="FF0000"/>
          <w:sz w:val="21"/>
          <w:szCs w:val="21"/>
          <w:highlight w:val="none"/>
        </w:rPr>
      </w:pPr>
      <w:r>
        <w:rPr>
          <w:rFonts w:hint="eastAsia" w:ascii="宋体" w:hAnsi="宋体" w:eastAsia="宋体" w:cs="Times New Roman"/>
          <w:color w:val="FF0000"/>
          <w:sz w:val="21"/>
          <w:szCs w:val="21"/>
          <w:highlight w:val="none"/>
          <w:lang w:val="en-US" w:eastAsia="zh-CN"/>
        </w:rPr>
        <w:t>说明</w:t>
      </w:r>
      <w:r>
        <w:rPr>
          <w:rFonts w:hint="eastAsia" w:ascii="宋体" w:hAnsi="宋体" w:eastAsia="宋体" w:cs="Times New Roman"/>
          <w:color w:val="FF0000"/>
          <w:sz w:val="21"/>
          <w:szCs w:val="21"/>
          <w:highlight w:val="none"/>
        </w:rPr>
        <w:t>：</w:t>
      </w:r>
    </w:p>
    <w:p>
      <w:pPr>
        <w:snapToGrid w:val="0"/>
        <w:rPr>
          <w:rFonts w:ascii="Arial" w:hAnsi="Arial" w:eastAsia="宋体" w:cs="Times New Roman"/>
          <w:sz w:val="21"/>
          <w:szCs w:val="21"/>
          <w:highlight w:val="none"/>
        </w:rPr>
      </w:pPr>
      <w:r>
        <w:rPr>
          <w:rFonts w:hint="eastAsia" w:ascii="宋体" w:hAnsi="宋体" w:eastAsia="宋体" w:cs="Times New Roman"/>
          <w:color w:val="FF0000"/>
          <w:sz w:val="21"/>
          <w:szCs w:val="21"/>
          <w:highlight w:val="none"/>
        </w:rPr>
        <w:t>1、如发现上述人员非投标人法定代表人（负责人），视同提供虚假资料，按投标无效处理，并将依法承担相应法律责任。</w:t>
      </w:r>
    </w:p>
    <w:p>
      <w:pPr>
        <w:snapToGrid w:val="0"/>
        <w:rPr>
          <w:rFonts w:ascii="宋体" w:hAnsi="宋体" w:eastAsia="宋体" w:cs="Times New Roman"/>
          <w:color w:val="FF0000"/>
          <w:sz w:val="21"/>
          <w:szCs w:val="21"/>
          <w:highlight w:val="none"/>
        </w:rPr>
      </w:pPr>
      <w:r>
        <w:rPr>
          <w:rFonts w:hint="eastAsia" w:ascii="宋体" w:hAnsi="宋体" w:eastAsia="宋体" w:cs="Times New Roman"/>
          <w:color w:val="FF0000"/>
          <w:sz w:val="21"/>
          <w:szCs w:val="21"/>
          <w:highlight w:val="none"/>
        </w:rPr>
        <w:t>2、法定代表人为投标人（企业事业单位、国家机关、社会团体）的主要行政负责人。</w:t>
      </w:r>
    </w:p>
    <w:p>
      <w:pPr>
        <w:snapToGrid w:val="0"/>
        <w:rPr>
          <w:rFonts w:hint="eastAsia" w:ascii="宋体" w:hAnsi="宋体" w:eastAsia="宋体" w:cs="Times New Roman"/>
          <w:color w:val="FF0000"/>
          <w:sz w:val="21"/>
          <w:szCs w:val="21"/>
          <w:highlight w:val="none"/>
          <w:lang w:val="en-US" w:eastAsia="zh-CN"/>
        </w:rPr>
      </w:pPr>
      <w:r>
        <w:rPr>
          <w:rFonts w:hint="eastAsia" w:ascii="宋体" w:hAnsi="宋体" w:eastAsia="宋体" w:cs="Times New Roman"/>
          <w:color w:val="FF0000"/>
          <w:sz w:val="21"/>
          <w:szCs w:val="21"/>
          <w:highlight w:val="none"/>
        </w:rPr>
        <w:t>3、本证明书</w:t>
      </w:r>
      <w:r>
        <w:rPr>
          <w:rFonts w:hint="eastAsia" w:ascii="宋体" w:hAnsi="宋体" w:eastAsia="宋体" w:cs="Times New Roman"/>
          <w:color w:val="FF0000"/>
          <w:sz w:val="21"/>
          <w:szCs w:val="21"/>
          <w:highlight w:val="none"/>
          <w:lang w:val="en-US" w:eastAsia="zh-CN"/>
        </w:rPr>
        <w:t>要求提</w:t>
      </w:r>
      <w:r>
        <w:rPr>
          <w:rFonts w:hint="eastAsia" w:ascii="宋体" w:hAnsi="宋体" w:eastAsia="宋体" w:cs="Times New Roman"/>
          <w:color w:val="FF0000"/>
          <w:sz w:val="21"/>
          <w:szCs w:val="21"/>
          <w:highlight w:val="none"/>
        </w:rPr>
        <w:t>供法定代表人（负责人）相关身份证明文件：身份证扫描件（正反两面）；港澳台居民可提供来往通行证扫描件；非中国国籍管辖范围人员，可提供公安部门认可的身份证明材料扫描件。</w:t>
      </w:r>
      <w:r>
        <w:rPr>
          <w:rFonts w:hint="eastAsia" w:ascii="宋体" w:hAnsi="宋体" w:eastAsia="宋体" w:cs="Times New Roman"/>
          <w:color w:val="FF0000"/>
          <w:sz w:val="21"/>
          <w:szCs w:val="21"/>
          <w:highlight w:val="none"/>
          <w:lang w:val="en-US" w:eastAsia="zh-CN"/>
        </w:rPr>
        <w:t>未提供的</w:t>
      </w:r>
      <w:r>
        <w:rPr>
          <w:rFonts w:hint="eastAsia" w:ascii="宋体" w:hAnsi="宋体" w:eastAsia="宋体" w:cs="Times New Roman"/>
          <w:color w:val="FF0000"/>
          <w:sz w:val="21"/>
          <w:szCs w:val="21"/>
          <w:highlight w:val="none"/>
        </w:rPr>
        <w:t>按投标无效处理</w:t>
      </w:r>
      <w:r>
        <w:rPr>
          <w:rFonts w:hint="eastAsia" w:ascii="宋体" w:hAnsi="宋体" w:eastAsia="宋体" w:cs="Times New Roman"/>
          <w:color w:val="FF0000"/>
          <w:sz w:val="21"/>
          <w:szCs w:val="21"/>
          <w:highlight w:val="none"/>
          <w:lang w:eastAsia="zh-CN"/>
        </w:rPr>
        <w:t>。</w:t>
      </w:r>
    </w:p>
    <w:p>
      <w:pPr>
        <w:snapToGrid w:val="0"/>
        <w:rPr>
          <w:rFonts w:ascii="宋体" w:hAnsi="宋体" w:eastAsia="宋体" w:cs="Times New Roman"/>
          <w:color w:val="FF0000"/>
          <w:sz w:val="21"/>
          <w:szCs w:val="21"/>
          <w:highlight w:val="none"/>
        </w:rPr>
      </w:pPr>
      <w:r>
        <w:rPr>
          <w:rFonts w:hint="eastAsia" w:ascii="宋体" w:hAnsi="宋体" w:eastAsia="宋体" w:cs="Times New Roman"/>
          <w:color w:val="FF0000"/>
          <w:sz w:val="21"/>
          <w:szCs w:val="21"/>
          <w:highlight w:val="none"/>
        </w:rPr>
        <w:t>4、本项目投标授权代表为法定代表人（负责人）的，无需提供《投标文件签署授权委托书》。</w:t>
      </w:r>
    </w:p>
    <w:p>
      <w:pPr>
        <w:snapToGrid w:val="0"/>
        <w:rPr>
          <w:rFonts w:ascii="宋体" w:hAnsi="宋体" w:eastAsia="宋体" w:cs="Times New Roman"/>
          <w:color w:val="FF0000"/>
          <w:sz w:val="21"/>
          <w:szCs w:val="21"/>
          <w:highlight w:val="none"/>
        </w:rPr>
      </w:pPr>
      <w:r>
        <w:rPr>
          <w:rFonts w:hint="eastAsia" w:ascii="宋体" w:hAnsi="宋体" w:eastAsia="宋体" w:cs="Times New Roman"/>
          <w:color w:val="FF0000"/>
          <w:sz w:val="21"/>
          <w:szCs w:val="21"/>
          <w:highlight w:val="none"/>
        </w:rPr>
        <w:t>5、内容必须填写真实、清楚，涂改无效，不得转让、买卖。</w:t>
      </w:r>
    </w:p>
    <w:tbl>
      <w:tblPr>
        <w:tblStyle w:val="17"/>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trPr>
        <w:tc>
          <w:tcPr>
            <w:tcW w:w="4264" w:type="dxa"/>
            <w:vAlign w:val="top"/>
          </w:tcPr>
          <w:p>
            <w:pPr>
              <w:jc w:val="center"/>
              <w:rPr>
                <w:rFonts w:hint="eastAsia"/>
                <w:highlight w:val="none"/>
                <w:lang w:val="en-US" w:eastAsia="zh-CN"/>
              </w:rPr>
            </w:pPr>
            <w:r>
              <w:rPr>
                <w:rFonts w:hint="eastAsia"/>
                <w:highlight w:val="none"/>
                <w:lang w:val="en-US" w:eastAsia="zh-CN"/>
              </w:rPr>
              <w:t>证件扫描件正面</w:t>
            </w:r>
          </w:p>
          <w:p>
            <w:pPr>
              <w:pStyle w:val="9"/>
              <w:jc w:val="center"/>
              <w:rPr>
                <w:rFonts w:hint="eastAsia"/>
                <w:highlight w:val="none"/>
                <w:lang w:val="en-US" w:eastAsia="zh-CN"/>
              </w:rPr>
            </w:pPr>
          </w:p>
          <w:p>
            <w:pPr>
              <w:pStyle w:val="10"/>
              <w:jc w:val="center"/>
              <w:rPr>
                <w:rFonts w:hint="default"/>
                <w:highlight w:val="none"/>
                <w:lang w:val="en-US" w:eastAsia="zh-CN"/>
              </w:rPr>
            </w:pPr>
          </w:p>
        </w:tc>
        <w:tc>
          <w:tcPr>
            <w:tcW w:w="4265" w:type="dxa"/>
            <w:vAlign w:val="top"/>
          </w:tcPr>
          <w:p>
            <w:pPr>
              <w:jc w:val="center"/>
              <w:rPr>
                <w:rFonts w:hint="eastAsia"/>
                <w:highlight w:val="none"/>
                <w:lang w:val="en-US" w:eastAsia="zh-CN"/>
              </w:rPr>
            </w:pPr>
            <w:r>
              <w:rPr>
                <w:rFonts w:hint="eastAsia"/>
                <w:highlight w:val="none"/>
                <w:lang w:val="en-US" w:eastAsia="zh-CN"/>
              </w:rPr>
              <w:t>证件扫描件反面</w:t>
            </w:r>
          </w:p>
          <w:p>
            <w:pPr>
              <w:pStyle w:val="9"/>
              <w:jc w:val="center"/>
              <w:rPr>
                <w:rFonts w:hint="eastAsia"/>
                <w:highlight w:val="none"/>
                <w:lang w:val="en-US" w:eastAsia="zh-CN"/>
              </w:rPr>
            </w:pPr>
          </w:p>
          <w:p>
            <w:pPr>
              <w:pStyle w:val="10"/>
              <w:jc w:val="center"/>
              <w:rPr>
                <w:rFonts w:hint="eastAsia"/>
                <w:sz w:val="24"/>
                <w:highlight w:val="none"/>
                <w:vertAlign w:val="baseline"/>
                <w:lang w:val="en-US" w:eastAsia="zh-CN"/>
              </w:rPr>
            </w:pPr>
          </w:p>
        </w:tc>
      </w:tr>
    </w:tbl>
    <w:p>
      <w:pPr>
        <w:pStyle w:val="9"/>
        <w:rPr>
          <w:highlight w:val="none"/>
        </w:rPr>
      </w:pPr>
    </w:p>
    <w:p>
      <w:pPr>
        <w:spacing w:line="300" w:lineRule="auto"/>
        <w:rPr>
          <w:rFonts w:ascii="Arial" w:hAnsi="Arial" w:eastAsia="宋体" w:cs="Times New Roman"/>
          <w:szCs w:val="21"/>
          <w:highlight w:val="none"/>
        </w:rPr>
      </w:pPr>
      <w:r>
        <w:rPr>
          <w:rFonts w:hint="eastAsia" w:ascii="Arial" w:hAnsi="Arial" w:eastAsia="宋体" w:cs="Times New Roman"/>
          <w:szCs w:val="21"/>
          <w:highlight w:val="none"/>
        </w:rPr>
        <w:t>投标人（投标单位）：</w:t>
      </w:r>
      <w:r>
        <w:rPr>
          <w:rFonts w:ascii="Arial" w:hAnsi="Arial" w:eastAsia="宋体" w:cs="Times New Roman"/>
          <w:szCs w:val="21"/>
          <w:highlight w:val="none"/>
          <w:u w:val="single"/>
        </w:rPr>
        <w:t xml:space="preserve">           </w:t>
      </w:r>
    </w:p>
    <w:p>
      <w:pPr>
        <w:spacing w:line="300" w:lineRule="auto"/>
        <w:rPr>
          <w:rFonts w:ascii="Arial" w:hAnsi="Arial" w:eastAsia="宋体" w:cs="Times New Roman"/>
          <w:szCs w:val="21"/>
          <w:highlight w:val="none"/>
        </w:rPr>
      </w:pPr>
      <w:r>
        <w:rPr>
          <w:rFonts w:hint="eastAsia" w:ascii="Arial" w:hAnsi="Arial" w:eastAsia="宋体" w:cs="Times New Roman"/>
          <w:szCs w:val="21"/>
          <w:highlight w:val="none"/>
        </w:rPr>
        <w:t>日</w:t>
      </w:r>
      <w:r>
        <w:rPr>
          <w:rFonts w:ascii="Arial" w:hAnsi="Arial" w:eastAsia="宋体" w:cs="Times New Roman"/>
          <w:szCs w:val="21"/>
          <w:highlight w:val="none"/>
        </w:rPr>
        <w:t xml:space="preserve">  </w:t>
      </w:r>
      <w:r>
        <w:rPr>
          <w:rFonts w:hint="eastAsia" w:ascii="Arial" w:hAnsi="Arial" w:eastAsia="宋体" w:cs="Times New Roman"/>
          <w:szCs w:val="21"/>
          <w:highlight w:val="none"/>
        </w:rPr>
        <w:t>期：</w:t>
      </w:r>
      <w:r>
        <w:rPr>
          <w:rFonts w:ascii="Arial" w:hAnsi="Arial" w:eastAsia="宋体" w:cs="Times New Roman"/>
          <w:szCs w:val="21"/>
          <w:highlight w:val="none"/>
          <w:u w:val="single"/>
        </w:rPr>
        <w:t xml:space="preserve">     </w:t>
      </w:r>
      <w:r>
        <w:rPr>
          <w:rFonts w:hint="eastAsia" w:ascii="Arial" w:hAnsi="Arial" w:eastAsia="宋体" w:cs="Times New Roman"/>
          <w:szCs w:val="21"/>
          <w:highlight w:val="none"/>
        </w:rPr>
        <w:t>年</w:t>
      </w:r>
      <w:r>
        <w:rPr>
          <w:rFonts w:ascii="Arial" w:hAnsi="Arial" w:eastAsia="宋体" w:cs="Times New Roman"/>
          <w:szCs w:val="21"/>
          <w:highlight w:val="none"/>
          <w:u w:val="single"/>
        </w:rPr>
        <w:t xml:space="preserve">     </w:t>
      </w:r>
      <w:r>
        <w:rPr>
          <w:rFonts w:hint="eastAsia" w:ascii="Arial" w:hAnsi="Arial" w:eastAsia="宋体" w:cs="Times New Roman"/>
          <w:szCs w:val="21"/>
          <w:highlight w:val="none"/>
        </w:rPr>
        <w:t>月</w:t>
      </w:r>
      <w:r>
        <w:rPr>
          <w:rFonts w:ascii="Arial" w:hAnsi="Arial" w:eastAsia="宋体" w:cs="Times New Roman"/>
          <w:szCs w:val="21"/>
          <w:highlight w:val="none"/>
          <w:u w:val="single"/>
        </w:rPr>
        <w:t xml:space="preserve">     </w:t>
      </w:r>
      <w:r>
        <w:rPr>
          <w:rFonts w:hint="eastAsia" w:ascii="Arial" w:hAnsi="Arial" w:eastAsia="宋体" w:cs="Times New Roman"/>
          <w:szCs w:val="21"/>
          <w:highlight w:val="none"/>
        </w:rPr>
        <w:t>日</w:t>
      </w:r>
    </w:p>
    <w:p>
      <w:pPr>
        <w:spacing w:line="500" w:lineRule="exact"/>
        <w:ind w:firstLine="420" w:firstLineChars="200"/>
        <w:rPr>
          <w:rFonts w:ascii="Arial" w:hAnsi="Arial" w:eastAsia="宋体" w:cs="Times New Roman"/>
          <w:szCs w:val="24"/>
          <w:highlight w:val="none"/>
        </w:rPr>
      </w:pPr>
    </w:p>
    <w:p>
      <w:pPr>
        <w:keepNext/>
        <w:keepLines/>
        <w:pageBreakBefore/>
        <w:adjustRightInd w:val="0"/>
        <w:snapToGrid w:val="0"/>
        <w:spacing w:line="360" w:lineRule="auto"/>
        <w:jc w:val="center"/>
        <w:textAlignment w:val="baseline"/>
        <w:outlineLvl w:val="3"/>
        <w:rPr>
          <w:rFonts w:ascii="宋体" w:hAnsi="宋体" w:eastAsia="宋体" w:cs="Times New Roman"/>
          <w:b/>
          <w:bCs/>
          <w:kern w:val="0"/>
          <w:sz w:val="24"/>
          <w:szCs w:val="20"/>
          <w:highlight w:val="none"/>
        </w:rPr>
      </w:pPr>
      <w:r>
        <w:rPr>
          <w:rFonts w:hint="eastAsia" w:ascii="宋体" w:hAnsi="宋体" w:eastAsia="宋体" w:cs="Times New Roman"/>
          <w:b/>
          <w:bCs/>
          <w:kern w:val="0"/>
          <w:sz w:val="24"/>
          <w:szCs w:val="20"/>
          <w:highlight w:val="none"/>
        </w:rPr>
        <w:t>2.投标文件签署授权委托书</w:t>
      </w:r>
    </w:p>
    <w:p>
      <w:pPr>
        <w:spacing w:line="300" w:lineRule="auto"/>
        <w:jc w:val="center"/>
        <w:rPr>
          <w:rFonts w:ascii="Arial" w:hAnsi="Arial" w:eastAsia="宋体" w:cs="Times New Roman"/>
          <w:b/>
          <w:sz w:val="28"/>
          <w:szCs w:val="28"/>
          <w:highlight w:val="none"/>
        </w:rPr>
      </w:pPr>
    </w:p>
    <w:p>
      <w:pPr>
        <w:spacing w:line="360" w:lineRule="auto"/>
        <w:ind w:firstLine="420" w:firstLineChars="200"/>
        <w:rPr>
          <w:rFonts w:hint="eastAsia"/>
          <w:szCs w:val="21"/>
          <w:highlight w:val="none"/>
        </w:rPr>
      </w:pPr>
      <w:r>
        <w:rPr>
          <w:rFonts w:hint="eastAsia"/>
          <w:szCs w:val="21"/>
          <w:highlight w:val="none"/>
        </w:rPr>
        <w:t>本授权委托书声明：我</w:t>
      </w:r>
      <w:r>
        <w:rPr>
          <w:rFonts w:hint="eastAsia"/>
          <w:szCs w:val="21"/>
          <w:highlight w:val="none"/>
          <w:u w:val="single"/>
        </w:rPr>
        <w:t xml:space="preserve">           </w:t>
      </w:r>
      <w:r>
        <w:rPr>
          <w:rFonts w:hint="eastAsia"/>
          <w:szCs w:val="21"/>
          <w:highlight w:val="none"/>
        </w:rPr>
        <w:t>（姓名）系</w:t>
      </w:r>
      <w:r>
        <w:rPr>
          <w:rFonts w:hint="eastAsia"/>
          <w:szCs w:val="21"/>
          <w:highlight w:val="none"/>
          <w:u w:val="single"/>
        </w:rPr>
        <w:t xml:space="preserve">             </w:t>
      </w:r>
      <w:r>
        <w:rPr>
          <w:rFonts w:hint="eastAsia"/>
          <w:szCs w:val="21"/>
          <w:highlight w:val="none"/>
        </w:rPr>
        <w:t>（投标人名称）的法定代表人（负责人），现授权委托</w:t>
      </w:r>
      <w:r>
        <w:rPr>
          <w:rFonts w:hint="eastAsia"/>
          <w:szCs w:val="21"/>
          <w:highlight w:val="none"/>
          <w:u w:val="single"/>
        </w:rPr>
        <w:t xml:space="preserve">            </w:t>
      </w:r>
      <w:r>
        <w:rPr>
          <w:rFonts w:hint="eastAsia"/>
          <w:szCs w:val="21"/>
          <w:highlight w:val="none"/>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rFonts w:hint="eastAsia"/>
          <w:szCs w:val="21"/>
          <w:highlight w:val="none"/>
        </w:rPr>
      </w:pPr>
      <w:r>
        <w:rPr>
          <w:rFonts w:hint="eastAsia"/>
          <w:szCs w:val="21"/>
          <w:highlight w:val="none"/>
        </w:rPr>
        <w:t>代理人无转委托权，特此委托。</w:t>
      </w:r>
    </w:p>
    <w:p>
      <w:pPr>
        <w:spacing w:line="360" w:lineRule="auto"/>
        <w:ind w:firstLine="422" w:firstLineChars="200"/>
        <w:rPr>
          <w:rFonts w:hint="eastAsia"/>
          <w:b/>
          <w:color w:val="FF0000"/>
          <w:szCs w:val="21"/>
          <w:highlight w:val="none"/>
        </w:rPr>
      </w:pPr>
    </w:p>
    <w:p>
      <w:pPr>
        <w:spacing w:line="360" w:lineRule="auto"/>
        <w:ind w:firstLine="422" w:firstLineChars="200"/>
        <w:rPr>
          <w:rFonts w:ascii="Arial" w:hAnsi="Arial" w:eastAsia="宋体" w:cs="Times New Roman"/>
          <w:szCs w:val="21"/>
          <w:highlight w:val="none"/>
        </w:rPr>
      </w:pPr>
      <w:r>
        <w:rPr>
          <w:rFonts w:hint="eastAsia"/>
          <w:b/>
          <w:color w:val="FF0000"/>
          <w:szCs w:val="21"/>
          <w:highlight w:val="none"/>
        </w:rPr>
        <w:t>附：请提供代理人身份证扫描件（正反两面）；港澳台居民可提供来往通行证扫描件；非中国国籍管辖范围人员，可提供公安部门认可的身份证明材料扫描件。</w:t>
      </w:r>
    </w:p>
    <w:tbl>
      <w:tblPr>
        <w:tblStyle w:val="17"/>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trPr>
        <w:tc>
          <w:tcPr>
            <w:tcW w:w="4264" w:type="dxa"/>
            <w:vAlign w:val="top"/>
          </w:tcPr>
          <w:p>
            <w:pPr>
              <w:jc w:val="center"/>
              <w:rPr>
                <w:rFonts w:hint="eastAsia"/>
                <w:highlight w:val="none"/>
                <w:lang w:val="en-US" w:eastAsia="zh-CN"/>
              </w:rPr>
            </w:pPr>
            <w:r>
              <w:rPr>
                <w:rFonts w:hint="eastAsia" w:ascii="Times New Roman" w:eastAsia="宋体"/>
                <w:highlight w:val="none"/>
                <w:lang w:val="en-US" w:eastAsia="zh-CN"/>
              </w:rPr>
              <w:t>证件扫描件正面</w:t>
            </w:r>
          </w:p>
          <w:p>
            <w:pPr>
              <w:pStyle w:val="9"/>
              <w:jc w:val="center"/>
              <w:rPr>
                <w:rFonts w:hint="eastAsia"/>
                <w:highlight w:val="none"/>
                <w:lang w:val="en-US" w:eastAsia="zh-CN"/>
              </w:rPr>
            </w:pPr>
          </w:p>
          <w:p>
            <w:pPr>
              <w:pStyle w:val="10"/>
              <w:jc w:val="center"/>
              <w:rPr>
                <w:rFonts w:hint="default"/>
                <w:highlight w:val="none"/>
                <w:lang w:val="en-US" w:eastAsia="zh-CN"/>
              </w:rPr>
            </w:pPr>
          </w:p>
        </w:tc>
        <w:tc>
          <w:tcPr>
            <w:tcW w:w="4265" w:type="dxa"/>
            <w:vAlign w:val="top"/>
          </w:tcPr>
          <w:p>
            <w:pPr>
              <w:jc w:val="center"/>
              <w:rPr>
                <w:rFonts w:hint="eastAsia"/>
                <w:highlight w:val="none"/>
                <w:lang w:val="en-US" w:eastAsia="zh-CN"/>
              </w:rPr>
            </w:pPr>
            <w:r>
              <w:rPr>
                <w:rFonts w:hint="eastAsia" w:ascii="Times New Roman" w:eastAsia="宋体"/>
                <w:highlight w:val="none"/>
                <w:lang w:val="en-US" w:eastAsia="zh-CN"/>
              </w:rPr>
              <w:t>证件扫描件反面</w:t>
            </w:r>
          </w:p>
          <w:p>
            <w:pPr>
              <w:pStyle w:val="9"/>
              <w:jc w:val="center"/>
              <w:rPr>
                <w:rFonts w:hint="eastAsia"/>
                <w:highlight w:val="none"/>
                <w:lang w:val="en-US" w:eastAsia="zh-CN"/>
              </w:rPr>
            </w:pPr>
          </w:p>
          <w:p>
            <w:pPr>
              <w:pStyle w:val="10"/>
              <w:jc w:val="center"/>
              <w:rPr>
                <w:rFonts w:hint="eastAsia"/>
                <w:sz w:val="24"/>
                <w:highlight w:val="none"/>
                <w:vertAlign w:val="baseline"/>
                <w:lang w:val="en-US" w:eastAsia="zh-CN"/>
              </w:rPr>
            </w:pPr>
          </w:p>
        </w:tc>
      </w:tr>
    </w:tbl>
    <w:p>
      <w:pPr>
        <w:spacing w:line="360" w:lineRule="auto"/>
        <w:rPr>
          <w:rFonts w:hint="eastAsia" w:ascii="Arial" w:hAnsi="Arial" w:eastAsia="宋体" w:cs="Times New Roman"/>
          <w:szCs w:val="21"/>
          <w:highlight w:val="none"/>
        </w:rPr>
      </w:pPr>
    </w:p>
    <w:p>
      <w:pPr>
        <w:spacing w:line="360" w:lineRule="auto"/>
        <w:ind w:left="3360" w:leftChars="1600"/>
        <w:rPr>
          <w:rFonts w:ascii="Arial" w:hAnsi="Arial" w:eastAsia="宋体" w:cs="Times New Roman"/>
          <w:szCs w:val="21"/>
          <w:highlight w:val="none"/>
          <w:u w:val="single"/>
        </w:rPr>
      </w:pPr>
      <w:r>
        <w:rPr>
          <w:rFonts w:hint="eastAsia" w:ascii="Arial" w:hAnsi="Arial" w:eastAsia="宋体" w:cs="Times New Roman"/>
          <w:szCs w:val="21"/>
          <w:highlight w:val="none"/>
        </w:rPr>
        <w:t>代理人：</w:t>
      </w:r>
      <w:r>
        <w:rPr>
          <w:rFonts w:ascii="Arial" w:hAnsi="Arial" w:eastAsia="宋体" w:cs="Times New Roman"/>
          <w:szCs w:val="21"/>
          <w:highlight w:val="none"/>
          <w:u w:val="single"/>
        </w:rPr>
        <w:t xml:space="preserve">     </w:t>
      </w:r>
      <w:r>
        <w:rPr>
          <w:rFonts w:hint="eastAsia" w:ascii="Arial" w:hAnsi="Arial" w:eastAsia="宋体" w:cs="Times New Roman"/>
          <w:szCs w:val="21"/>
          <w:highlight w:val="none"/>
          <w:u w:val="single"/>
        </w:rPr>
        <w:t xml:space="preserve">     </w:t>
      </w:r>
      <w:r>
        <w:rPr>
          <w:rFonts w:ascii="Arial" w:hAnsi="Arial" w:eastAsia="宋体" w:cs="Times New Roman"/>
          <w:szCs w:val="21"/>
          <w:highlight w:val="none"/>
          <w:u w:val="single"/>
        </w:rPr>
        <w:t xml:space="preserve">        </w:t>
      </w:r>
    </w:p>
    <w:p>
      <w:pPr>
        <w:spacing w:line="360" w:lineRule="auto"/>
        <w:ind w:left="3360" w:leftChars="1600"/>
        <w:rPr>
          <w:rFonts w:hint="eastAsia" w:ascii="Arial" w:hAnsi="Arial" w:eastAsia="宋体" w:cs="Times New Roman"/>
          <w:szCs w:val="21"/>
          <w:highlight w:val="none"/>
        </w:rPr>
      </w:pPr>
      <w:r>
        <w:rPr>
          <w:rFonts w:hint="eastAsia" w:ascii="Arial" w:hAnsi="Arial" w:eastAsia="宋体" w:cs="Times New Roman"/>
          <w:szCs w:val="21"/>
          <w:highlight w:val="none"/>
        </w:rPr>
        <w:t>身份证号码：</w:t>
      </w:r>
      <w:r>
        <w:rPr>
          <w:rFonts w:ascii="Arial" w:hAnsi="Arial" w:eastAsia="宋体" w:cs="Times New Roman"/>
          <w:szCs w:val="21"/>
          <w:highlight w:val="none"/>
          <w:u w:val="single"/>
        </w:rPr>
        <w:t xml:space="preserve">                       </w:t>
      </w:r>
      <w:r>
        <w:rPr>
          <w:rFonts w:hint="eastAsia" w:ascii="Arial" w:hAnsi="Arial" w:eastAsia="宋体" w:cs="Times New Roman"/>
          <w:szCs w:val="21"/>
          <w:highlight w:val="none"/>
        </w:rPr>
        <w:t>职务：</w:t>
      </w:r>
      <w:r>
        <w:rPr>
          <w:rFonts w:ascii="Arial" w:hAnsi="Arial" w:eastAsia="宋体" w:cs="Times New Roman"/>
          <w:szCs w:val="21"/>
          <w:highlight w:val="none"/>
          <w:u w:val="single"/>
        </w:rPr>
        <w:t xml:space="preserve">   </w:t>
      </w:r>
      <w:r>
        <w:rPr>
          <w:rFonts w:hint="eastAsia" w:ascii="Arial" w:hAnsi="Arial" w:eastAsia="宋体" w:cs="Times New Roman"/>
          <w:szCs w:val="21"/>
          <w:highlight w:val="none"/>
          <w:u w:val="single"/>
        </w:rPr>
        <w:t xml:space="preserve"> </w:t>
      </w:r>
      <w:r>
        <w:rPr>
          <w:rFonts w:ascii="Arial" w:hAnsi="Arial" w:eastAsia="宋体" w:cs="Times New Roman"/>
          <w:szCs w:val="21"/>
          <w:highlight w:val="none"/>
          <w:u w:val="single"/>
        </w:rPr>
        <w:t xml:space="preserve">  </w:t>
      </w:r>
    </w:p>
    <w:p>
      <w:pPr>
        <w:spacing w:line="360" w:lineRule="auto"/>
        <w:ind w:left="3360" w:leftChars="1600"/>
        <w:rPr>
          <w:rFonts w:ascii="Arial" w:hAnsi="Arial" w:eastAsia="宋体" w:cs="Times New Roman"/>
          <w:szCs w:val="21"/>
          <w:highlight w:val="none"/>
        </w:rPr>
      </w:pPr>
      <w:r>
        <w:rPr>
          <w:rFonts w:hint="eastAsia" w:ascii="Arial" w:hAnsi="Arial" w:eastAsia="宋体" w:cs="Times New Roman"/>
          <w:szCs w:val="21"/>
          <w:highlight w:val="none"/>
        </w:rPr>
        <w:t>联系电话：</w:t>
      </w:r>
      <w:r>
        <w:rPr>
          <w:rFonts w:ascii="Arial" w:hAnsi="Arial" w:eastAsia="宋体" w:cs="Times New Roman"/>
          <w:szCs w:val="21"/>
          <w:highlight w:val="none"/>
          <w:u w:val="single"/>
        </w:rPr>
        <w:t xml:space="preserve">              </w:t>
      </w:r>
      <w:r>
        <w:rPr>
          <w:rFonts w:hint="eastAsia" w:ascii="Arial" w:hAnsi="Arial" w:eastAsia="宋体" w:cs="Times New Roman"/>
          <w:szCs w:val="21"/>
          <w:highlight w:val="none"/>
        </w:rPr>
        <w:t>手机：</w:t>
      </w:r>
      <w:r>
        <w:rPr>
          <w:rFonts w:ascii="Arial" w:hAnsi="Arial" w:eastAsia="宋体" w:cs="Times New Roman"/>
          <w:szCs w:val="21"/>
          <w:highlight w:val="none"/>
          <w:u w:val="single"/>
        </w:rPr>
        <w:t xml:space="preserve">                 </w:t>
      </w:r>
    </w:p>
    <w:p>
      <w:pPr>
        <w:spacing w:line="360" w:lineRule="auto"/>
        <w:ind w:left="3360" w:leftChars="1600"/>
        <w:rPr>
          <w:rFonts w:ascii="Arial" w:hAnsi="Arial" w:eastAsia="宋体" w:cs="Times New Roman"/>
          <w:szCs w:val="21"/>
          <w:highlight w:val="none"/>
          <w:u w:val="single"/>
        </w:rPr>
      </w:pPr>
      <w:r>
        <w:rPr>
          <w:rFonts w:hint="eastAsia"/>
          <w:szCs w:val="21"/>
          <w:highlight w:val="none"/>
          <w:u w:val="none"/>
          <w:lang w:val="en-US" w:eastAsia="zh-CN"/>
        </w:rPr>
        <w:t>电子邮箱：</w:t>
      </w:r>
      <w:r>
        <w:rPr>
          <w:rFonts w:hint="eastAsia"/>
          <w:szCs w:val="21"/>
          <w:highlight w:val="none"/>
          <w:u w:val="single"/>
        </w:rPr>
        <w:t xml:space="preserve">            </w:t>
      </w:r>
      <w:r>
        <w:rPr>
          <w:rFonts w:hint="eastAsia"/>
          <w:szCs w:val="21"/>
          <w:highlight w:val="none"/>
          <w:u w:val="single"/>
          <w:lang w:val="en-US" w:eastAsia="zh-CN"/>
        </w:rPr>
        <w:t xml:space="preserve">     </w:t>
      </w:r>
      <w:r>
        <w:rPr>
          <w:rFonts w:hint="eastAsia"/>
          <w:szCs w:val="21"/>
          <w:highlight w:val="none"/>
          <w:u w:val="single"/>
        </w:rPr>
        <w:t xml:space="preserve">    </w:t>
      </w:r>
    </w:p>
    <w:p>
      <w:pPr>
        <w:spacing w:line="360" w:lineRule="auto"/>
        <w:ind w:left="3360" w:leftChars="1600"/>
        <w:rPr>
          <w:rFonts w:ascii="Arial" w:hAnsi="Arial" w:eastAsia="宋体" w:cs="Times New Roman"/>
          <w:szCs w:val="21"/>
          <w:highlight w:val="none"/>
        </w:rPr>
      </w:pPr>
      <w:r>
        <w:rPr>
          <w:rFonts w:hint="eastAsia" w:ascii="Arial" w:hAnsi="Arial" w:eastAsia="宋体" w:cs="Times New Roman"/>
          <w:szCs w:val="21"/>
          <w:highlight w:val="none"/>
        </w:rPr>
        <w:t>投标人（投标单位）：</w:t>
      </w:r>
      <w:r>
        <w:rPr>
          <w:rFonts w:ascii="Arial" w:hAnsi="Arial" w:eastAsia="宋体" w:cs="Times New Roman"/>
          <w:szCs w:val="21"/>
          <w:highlight w:val="none"/>
          <w:u w:val="single"/>
        </w:rPr>
        <w:t xml:space="preserve">                            </w:t>
      </w:r>
    </w:p>
    <w:p>
      <w:pPr>
        <w:tabs>
          <w:tab w:val="left" w:pos="651"/>
        </w:tabs>
        <w:snapToGrid w:val="0"/>
        <w:jc w:val="center"/>
        <w:rPr>
          <w:rFonts w:ascii="宋体" w:hAnsi="宋体" w:eastAsia="宋体" w:cs="Times New Roman"/>
          <w:color w:val="FF0000"/>
          <w:sz w:val="28"/>
          <w:szCs w:val="28"/>
          <w:highlight w:val="none"/>
        </w:rPr>
      </w:pPr>
      <w:r>
        <w:rPr>
          <w:rFonts w:hint="eastAsia" w:ascii="Arial" w:hAnsi="Arial" w:eastAsia="宋体" w:cs="Times New Roman"/>
          <w:szCs w:val="21"/>
          <w:highlight w:val="none"/>
          <w:lang w:val="en-US" w:eastAsia="zh-CN"/>
        </w:rPr>
        <w:t xml:space="preserve">                           </w:t>
      </w:r>
      <w:r>
        <w:rPr>
          <w:rFonts w:hint="eastAsia" w:ascii="Arial" w:hAnsi="Arial" w:eastAsia="宋体" w:cs="Times New Roman"/>
          <w:szCs w:val="21"/>
          <w:highlight w:val="none"/>
        </w:rPr>
        <w:t>授权委托日期：</w:t>
      </w:r>
      <w:r>
        <w:rPr>
          <w:rFonts w:ascii="Arial" w:hAnsi="Arial" w:eastAsia="宋体" w:cs="Times New Roman"/>
          <w:szCs w:val="21"/>
          <w:highlight w:val="none"/>
          <w:u w:val="single"/>
        </w:rPr>
        <w:t xml:space="preserve">         </w:t>
      </w:r>
      <w:r>
        <w:rPr>
          <w:rFonts w:hint="eastAsia" w:ascii="Arial" w:hAnsi="Arial" w:eastAsia="宋体" w:cs="Times New Roman"/>
          <w:szCs w:val="21"/>
          <w:highlight w:val="none"/>
        </w:rPr>
        <w:t>年</w:t>
      </w:r>
      <w:r>
        <w:rPr>
          <w:rFonts w:ascii="Arial" w:hAnsi="Arial" w:eastAsia="宋体" w:cs="Times New Roman"/>
          <w:szCs w:val="21"/>
          <w:highlight w:val="none"/>
          <w:u w:val="single"/>
        </w:rPr>
        <w:t xml:space="preserve">   </w:t>
      </w:r>
      <w:r>
        <w:rPr>
          <w:rFonts w:hint="eastAsia" w:ascii="Arial" w:hAnsi="Arial" w:eastAsia="宋体" w:cs="Times New Roman"/>
          <w:szCs w:val="21"/>
          <w:highlight w:val="none"/>
          <w:u w:val="single"/>
        </w:rPr>
        <w:t xml:space="preserve"> </w:t>
      </w:r>
      <w:r>
        <w:rPr>
          <w:rFonts w:ascii="Arial" w:hAnsi="Arial" w:eastAsia="宋体" w:cs="Times New Roman"/>
          <w:szCs w:val="21"/>
          <w:highlight w:val="none"/>
          <w:u w:val="single"/>
        </w:rPr>
        <w:t xml:space="preserve">  </w:t>
      </w:r>
      <w:r>
        <w:rPr>
          <w:rFonts w:hint="eastAsia" w:ascii="Arial" w:hAnsi="Arial" w:eastAsia="宋体" w:cs="Times New Roman"/>
          <w:szCs w:val="21"/>
          <w:highlight w:val="none"/>
        </w:rPr>
        <w:t>月</w:t>
      </w:r>
      <w:r>
        <w:rPr>
          <w:rFonts w:ascii="Arial" w:hAnsi="Arial" w:eastAsia="宋体" w:cs="Times New Roman"/>
          <w:szCs w:val="21"/>
          <w:highlight w:val="none"/>
        </w:rPr>
        <w:t xml:space="preserve"> </w:t>
      </w:r>
      <w:r>
        <w:rPr>
          <w:rFonts w:ascii="Arial" w:hAnsi="Arial" w:eastAsia="宋体" w:cs="Times New Roman"/>
          <w:szCs w:val="21"/>
          <w:highlight w:val="none"/>
          <w:u w:val="single"/>
        </w:rPr>
        <w:t xml:space="preserve">      </w:t>
      </w:r>
      <w:r>
        <w:rPr>
          <w:rFonts w:hint="eastAsia" w:ascii="Arial" w:hAnsi="Arial" w:eastAsia="宋体" w:cs="Times New Roman"/>
          <w:szCs w:val="21"/>
          <w:highlight w:val="none"/>
        </w:rPr>
        <w:t>日</w:t>
      </w:r>
      <w:r>
        <w:rPr>
          <w:rFonts w:ascii="宋体" w:hAnsi="宋体" w:eastAsia="宋体" w:cs="Times New Roman"/>
          <w:color w:val="FF0000"/>
          <w:sz w:val="28"/>
          <w:szCs w:val="28"/>
          <w:highlight w:val="none"/>
        </w:rPr>
        <w:br w:type="page"/>
      </w:r>
    </w:p>
    <w:p>
      <w:pPr>
        <w:keepNext/>
        <w:keepLines/>
        <w:pageBreakBefore/>
        <w:adjustRightInd w:val="0"/>
        <w:snapToGrid w:val="0"/>
        <w:spacing w:line="360" w:lineRule="auto"/>
        <w:jc w:val="center"/>
        <w:textAlignment w:val="baseline"/>
        <w:outlineLvl w:val="3"/>
        <w:rPr>
          <w:rFonts w:ascii="宋体" w:hAnsi="宋体" w:eastAsia="宋体" w:cs="Times New Roman"/>
          <w:b/>
          <w:bCs/>
          <w:kern w:val="0"/>
          <w:sz w:val="24"/>
          <w:szCs w:val="20"/>
          <w:highlight w:val="none"/>
        </w:rPr>
      </w:pPr>
      <w:r>
        <w:rPr>
          <w:rFonts w:hint="eastAsia" w:ascii="宋体" w:hAnsi="宋体" w:eastAsia="宋体" w:cs="Times New Roman"/>
          <w:b/>
          <w:bCs/>
          <w:kern w:val="0"/>
          <w:sz w:val="24"/>
          <w:szCs w:val="20"/>
          <w:highlight w:val="none"/>
        </w:rPr>
        <w:t>3</w:t>
      </w:r>
      <w:r>
        <w:rPr>
          <w:rFonts w:ascii="宋体" w:hAnsi="宋体" w:eastAsia="宋体" w:cs="Times New Roman"/>
          <w:b/>
          <w:bCs/>
          <w:kern w:val="0"/>
          <w:sz w:val="24"/>
          <w:szCs w:val="20"/>
          <w:highlight w:val="none"/>
        </w:rPr>
        <w:t>.</w:t>
      </w:r>
      <w:r>
        <w:rPr>
          <w:rFonts w:hint="eastAsia" w:ascii="宋体" w:hAnsi="宋体" w:eastAsia="宋体" w:cs="Times New Roman"/>
          <w:b/>
          <w:bCs/>
          <w:kern w:val="0"/>
          <w:sz w:val="24"/>
          <w:szCs w:val="20"/>
          <w:highlight w:val="none"/>
        </w:rPr>
        <w:t>实质性条款响应情况表</w:t>
      </w:r>
    </w:p>
    <w:p>
      <w:pPr>
        <w:snapToGrid w:val="0"/>
        <w:rPr>
          <w:rFonts w:ascii="Arial" w:hAnsi="Arial" w:eastAsia="宋体" w:cs="Arial"/>
          <w:sz w:val="24"/>
          <w:szCs w:val="24"/>
          <w:highlight w:val="none"/>
        </w:rPr>
      </w:pPr>
      <w:r>
        <w:rPr>
          <w:rFonts w:hint="eastAsia" w:ascii="Arial" w:hAnsi="Arial" w:eastAsia="宋体" w:cs="Arial"/>
          <w:color w:val="000000"/>
          <w:sz w:val="24"/>
          <w:szCs w:val="24"/>
          <w:highlight w:val="none"/>
        </w:rPr>
        <w:t>投标单位（投标人）名称：</w:t>
      </w:r>
      <w:r>
        <w:rPr>
          <w:rFonts w:ascii="Arial" w:hAnsi="Arial" w:eastAsia="宋体" w:cs="Arial"/>
          <w:color w:val="000000"/>
          <w:sz w:val="24"/>
          <w:szCs w:val="24"/>
          <w:highlight w:val="none"/>
          <w:u w:val="single"/>
        </w:rPr>
        <w:t xml:space="preserve">                         </w:t>
      </w:r>
    </w:p>
    <w:p>
      <w:pPr>
        <w:snapToGrid w:val="0"/>
        <w:rPr>
          <w:rFonts w:cs="Times New Roman" w:asciiTheme="minorEastAsia" w:hAnsiTheme="minorEastAsia"/>
          <w:b/>
          <w:sz w:val="24"/>
          <w:szCs w:val="24"/>
          <w:highlight w:val="none"/>
        </w:rPr>
      </w:pPr>
    </w:p>
    <w:tbl>
      <w:tblPr>
        <w:tblStyle w:val="16"/>
        <w:tblW w:w="940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2176"/>
        <w:gridCol w:w="1732"/>
        <w:gridCol w:w="992"/>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29" w:hRule="atLeast"/>
          <w:jc w:val="center"/>
        </w:trPr>
        <w:tc>
          <w:tcPr>
            <w:tcW w:w="602" w:type="dxa"/>
            <w:vAlign w:val="center"/>
          </w:tcPr>
          <w:p>
            <w:pPr>
              <w:jc w:val="center"/>
              <w:rPr>
                <w:rFonts w:ascii="宋体" w:hAnsi="宋体" w:eastAsia="宋体" w:cs="Arial"/>
                <w:b/>
                <w:szCs w:val="21"/>
                <w:highlight w:val="none"/>
              </w:rPr>
            </w:pPr>
            <w:r>
              <w:rPr>
                <w:rFonts w:hint="eastAsia" w:ascii="宋体" w:hAnsi="宋体" w:eastAsia="宋体" w:cs="Arial"/>
                <w:b/>
                <w:szCs w:val="21"/>
                <w:highlight w:val="none"/>
              </w:rPr>
              <w:t>序号</w:t>
            </w:r>
          </w:p>
        </w:tc>
        <w:tc>
          <w:tcPr>
            <w:tcW w:w="3901" w:type="dxa"/>
            <w:vAlign w:val="center"/>
          </w:tcPr>
          <w:p>
            <w:pPr>
              <w:jc w:val="center"/>
              <w:rPr>
                <w:rFonts w:ascii="宋体" w:hAnsi="宋体" w:eastAsia="宋体" w:cs="Arial"/>
                <w:b/>
                <w:szCs w:val="21"/>
                <w:highlight w:val="none"/>
              </w:rPr>
            </w:pPr>
            <w:r>
              <w:rPr>
                <w:rFonts w:hint="eastAsia" w:ascii="宋体" w:hAnsi="宋体" w:eastAsia="宋体" w:cs="Arial"/>
                <w:b/>
                <w:szCs w:val="21"/>
                <w:highlight w:val="none"/>
              </w:rPr>
              <w:t>实质性条款具体内容</w:t>
            </w:r>
          </w:p>
        </w:tc>
        <w:tc>
          <w:tcPr>
            <w:tcW w:w="2176" w:type="dxa"/>
            <w:vAlign w:val="center"/>
          </w:tcPr>
          <w:p>
            <w:pPr>
              <w:jc w:val="center"/>
              <w:rPr>
                <w:rFonts w:ascii="宋体" w:hAnsi="宋体" w:eastAsia="宋体" w:cs="Arial"/>
                <w:b/>
                <w:szCs w:val="21"/>
                <w:highlight w:val="none"/>
              </w:rPr>
            </w:pPr>
            <w:r>
              <w:rPr>
                <w:rFonts w:hint="eastAsia" w:ascii="宋体" w:hAnsi="宋体" w:eastAsia="宋体" w:cs="Arial"/>
                <w:b/>
                <w:szCs w:val="21"/>
                <w:highlight w:val="none"/>
              </w:rPr>
              <w:t>投标文件响应</w:t>
            </w:r>
          </w:p>
        </w:tc>
        <w:tc>
          <w:tcPr>
            <w:tcW w:w="1732" w:type="dxa"/>
          </w:tcPr>
          <w:p>
            <w:pPr>
              <w:spacing w:beforeLines="50"/>
              <w:jc w:val="center"/>
              <w:rPr>
                <w:rFonts w:ascii="宋体" w:hAnsi="宋体" w:eastAsia="宋体" w:cs="Arial"/>
                <w:b/>
                <w:szCs w:val="21"/>
                <w:highlight w:val="none"/>
              </w:rPr>
            </w:pPr>
            <w:r>
              <w:rPr>
                <w:rFonts w:hint="eastAsia" w:ascii="宋体" w:hAnsi="宋体" w:eastAsia="宋体" w:cs="Arial"/>
                <w:b/>
                <w:szCs w:val="21"/>
                <w:highlight w:val="none"/>
              </w:rPr>
              <w:t>偏离情况</w:t>
            </w:r>
          </w:p>
        </w:tc>
        <w:tc>
          <w:tcPr>
            <w:tcW w:w="992" w:type="dxa"/>
            <w:vAlign w:val="center"/>
          </w:tcPr>
          <w:p>
            <w:pPr>
              <w:jc w:val="center"/>
              <w:rPr>
                <w:rFonts w:ascii="宋体" w:hAnsi="宋体" w:eastAsia="宋体" w:cs="Arial"/>
                <w:b/>
                <w:szCs w:val="21"/>
                <w:highlight w:val="none"/>
              </w:rPr>
            </w:pPr>
            <w:r>
              <w:rPr>
                <w:rFonts w:hint="eastAsia" w:ascii="宋体" w:hAnsi="宋体" w:eastAsia="宋体" w:cs="Arial"/>
                <w:b/>
                <w:szCs w:val="21"/>
                <w:highlight w:val="none"/>
              </w:rPr>
              <w:t>说明</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602" w:type="dxa"/>
            <w:vAlign w:val="center"/>
          </w:tcPr>
          <w:p>
            <w:pPr>
              <w:spacing w:line="300" w:lineRule="auto"/>
              <w:jc w:val="center"/>
              <w:rPr>
                <w:rFonts w:hint="eastAsia" w:ascii="宋体" w:hAnsi="宋体" w:eastAsia="宋体" w:cs="Times New Roman"/>
                <w:b/>
                <w:color w:val="FF0000"/>
                <w:kern w:val="0"/>
                <w:szCs w:val="21"/>
                <w:highlight w:val="none"/>
                <w:lang w:val="en-US" w:eastAsia="zh-CN"/>
              </w:rPr>
            </w:pPr>
            <w:r>
              <w:rPr>
                <w:rFonts w:hint="eastAsia" w:ascii="宋体" w:hAnsi="宋体" w:eastAsia="宋体" w:cs="Times New Roman"/>
                <w:b/>
                <w:color w:val="FF0000"/>
                <w:kern w:val="0"/>
                <w:szCs w:val="21"/>
                <w:highlight w:val="none"/>
                <w:lang w:val="en-US" w:eastAsia="zh-CN"/>
              </w:rPr>
              <w:t>1</w:t>
            </w:r>
          </w:p>
        </w:tc>
        <w:tc>
          <w:tcPr>
            <w:tcW w:w="3901" w:type="dxa"/>
            <w:vAlign w:val="center"/>
          </w:tcPr>
          <w:p>
            <w:pPr>
              <w:spacing w:line="300" w:lineRule="auto"/>
              <w:jc w:val="center"/>
              <w:rPr>
                <w:rFonts w:hint="eastAsia" w:ascii="宋体" w:hAnsi="宋体" w:eastAsia="宋体" w:cs="Times New Roman"/>
                <w:b/>
                <w:color w:val="FF0000"/>
                <w:kern w:val="0"/>
                <w:szCs w:val="21"/>
                <w:highlight w:val="none"/>
                <w:lang w:val="en-US" w:eastAsia="zh-CN"/>
              </w:rPr>
            </w:pPr>
            <w:r>
              <w:rPr>
                <w:rFonts w:hint="eastAsia" w:ascii="宋体" w:hAnsi="宋体" w:eastAsia="宋体" w:cs="Times New Roman"/>
                <w:b/>
                <w:color w:val="FF0000"/>
                <w:kern w:val="0"/>
                <w:szCs w:val="21"/>
                <w:highlight w:val="none"/>
                <w:lang w:val="en-US" w:eastAsia="zh-CN"/>
              </w:rPr>
              <w:t>本项目招标文件中所有带★号条款内容</w:t>
            </w:r>
          </w:p>
        </w:tc>
        <w:tc>
          <w:tcPr>
            <w:tcW w:w="2176" w:type="dxa"/>
            <w:vAlign w:val="center"/>
          </w:tcPr>
          <w:p>
            <w:pPr>
              <w:spacing w:line="300" w:lineRule="auto"/>
              <w:jc w:val="center"/>
              <w:rPr>
                <w:rFonts w:hint="eastAsia"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lang w:val="en-US" w:eastAsia="zh-CN"/>
              </w:rPr>
              <w:t>完全响应</w:t>
            </w:r>
          </w:p>
        </w:tc>
        <w:tc>
          <w:tcPr>
            <w:tcW w:w="1732" w:type="dxa"/>
            <w:vAlign w:val="center"/>
          </w:tcPr>
          <w:p>
            <w:pPr>
              <w:spacing w:line="300" w:lineRule="auto"/>
              <w:jc w:val="center"/>
              <w:rPr>
                <w:rFonts w:hint="eastAsia"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lang w:val="en-US" w:eastAsia="zh-CN"/>
              </w:rPr>
              <w:t>无偏离</w:t>
            </w:r>
          </w:p>
        </w:tc>
        <w:tc>
          <w:tcPr>
            <w:tcW w:w="992" w:type="dxa"/>
            <w:vAlign w:val="center"/>
          </w:tcPr>
          <w:p>
            <w:pPr>
              <w:spacing w:line="300" w:lineRule="auto"/>
              <w:jc w:val="center"/>
              <w:rPr>
                <w:rFonts w:hint="eastAsia" w:ascii="宋体" w:hAnsi="宋体" w:eastAsia="宋体" w:cs="Times New Roman"/>
                <w:b/>
                <w:color w:val="FF0000"/>
                <w:kern w:val="0"/>
                <w:szCs w:val="21"/>
                <w:highlight w:val="none"/>
                <w:lang w:val="en-US" w:eastAsia="zh-CN"/>
              </w:rPr>
            </w:pPr>
          </w:p>
        </w:tc>
      </w:tr>
    </w:tbl>
    <w:p>
      <w:pPr>
        <w:snapToGrid w:val="0"/>
        <w:rPr>
          <w:rFonts w:cs="Times New Roman" w:asciiTheme="minorEastAsia" w:hAnsiTheme="minorEastAsia"/>
          <w:sz w:val="24"/>
          <w:szCs w:val="24"/>
          <w:highlight w:val="none"/>
        </w:rPr>
      </w:pPr>
    </w:p>
    <w:p>
      <w:pPr>
        <w:snapToGrid w:val="0"/>
        <w:rPr>
          <w:rFonts w:cs="Times New Roman" w:asciiTheme="minorEastAsia" w:hAnsiTheme="minorEastAsia"/>
          <w:b/>
          <w:sz w:val="24"/>
          <w:szCs w:val="24"/>
          <w:highlight w:val="none"/>
        </w:rPr>
      </w:pPr>
      <w:r>
        <w:rPr>
          <w:rFonts w:hint="eastAsia" w:ascii="宋体" w:hAnsi="宋体" w:eastAsia="宋体" w:cs="Times New Roman"/>
          <w:b/>
          <w:sz w:val="24"/>
          <w:szCs w:val="24"/>
          <w:highlight w:val="none"/>
        </w:rPr>
        <w:t>填写说明：</w:t>
      </w:r>
    </w:p>
    <w:p>
      <w:pPr>
        <w:spacing w:line="276"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1</w:t>
      </w:r>
      <w:r>
        <w:rPr>
          <w:rFonts w:hint="eastAsia" w:ascii="宋体" w:hAnsi="宋体" w:cs="宋体"/>
          <w:bCs/>
          <w:sz w:val="24"/>
          <w:szCs w:val="24"/>
          <w:highlight w:val="none"/>
          <w:lang w:eastAsia="zh-CN"/>
        </w:rPr>
        <w:t>、</w:t>
      </w:r>
      <w:r>
        <w:rPr>
          <w:rFonts w:hint="eastAsia" w:ascii="宋体" w:hAnsi="宋体" w:cs="宋体"/>
          <w:bCs/>
          <w:sz w:val="24"/>
          <w:szCs w:val="24"/>
          <w:highlight w:val="none"/>
        </w:rPr>
        <w:t>上表所列各项均为不可负偏离条款。</w:t>
      </w:r>
    </w:p>
    <w:p>
      <w:pPr>
        <w:spacing w:line="276"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2</w:t>
      </w:r>
      <w:r>
        <w:rPr>
          <w:rFonts w:hint="eastAsia" w:ascii="宋体" w:hAnsi="宋体" w:cs="宋体"/>
          <w:bCs/>
          <w:sz w:val="24"/>
          <w:szCs w:val="24"/>
          <w:highlight w:val="none"/>
          <w:lang w:eastAsia="zh-CN"/>
        </w:rPr>
        <w:t>、</w:t>
      </w:r>
      <w:r>
        <w:rPr>
          <w:rFonts w:hint="eastAsia" w:ascii="宋体" w:hAnsi="宋体" w:cs="宋体"/>
          <w:bCs/>
          <w:sz w:val="24"/>
          <w:szCs w:val="24"/>
          <w:highlight w:val="none"/>
        </w:rPr>
        <w:t>“投标</w:t>
      </w:r>
      <w:r>
        <w:rPr>
          <w:rFonts w:hint="eastAsia" w:ascii="宋体" w:hAnsi="宋体" w:cs="宋体"/>
          <w:bCs/>
          <w:sz w:val="24"/>
          <w:szCs w:val="24"/>
          <w:highlight w:val="none"/>
          <w:lang w:val="en-US" w:eastAsia="zh-CN"/>
        </w:rPr>
        <w:t>文件</w:t>
      </w:r>
      <w:r>
        <w:rPr>
          <w:rFonts w:hint="eastAsia" w:ascii="宋体" w:hAnsi="宋体" w:cs="宋体"/>
          <w:bCs/>
          <w:sz w:val="24"/>
          <w:szCs w:val="24"/>
          <w:highlight w:val="none"/>
        </w:rPr>
        <w:t>响应”一栏应当详细填写投标人自身响应情况，而不能不合理照搬照抄招标文件实质性条款具体内容。</w:t>
      </w:r>
      <w:r>
        <w:rPr>
          <w:rFonts w:hint="eastAsia" w:ascii="宋体" w:hAnsi="宋体" w:cs="宋体"/>
          <w:b/>
          <w:bCs/>
          <w:color w:val="auto"/>
          <w:sz w:val="24"/>
          <w:szCs w:val="24"/>
          <w:highlight w:val="none"/>
        </w:rPr>
        <w:t>如完全满足实质性条款具体内容可填写“完全响应”，除招标文件另有注明外，不强制要求逐条列出响应。</w:t>
      </w:r>
    </w:p>
    <w:p>
      <w:pPr>
        <w:spacing w:line="276"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3</w:t>
      </w:r>
      <w:r>
        <w:rPr>
          <w:rFonts w:hint="eastAsia" w:ascii="宋体" w:hAnsi="宋体" w:cs="宋体"/>
          <w:bCs/>
          <w:sz w:val="24"/>
          <w:szCs w:val="24"/>
          <w:highlight w:val="none"/>
          <w:lang w:eastAsia="zh-CN"/>
        </w:rPr>
        <w:t>、</w:t>
      </w:r>
      <w:r>
        <w:rPr>
          <w:rFonts w:hint="eastAsia" w:ascii="宋体" w:hAnsi="宋体" w:cs="宋体"/>
          <w:bCs/>
          <w:sz w:val="24"/>
          <w:szCs w:val="24"/>
          <w:highlight w:val="none"/>
        </w:rPr>
        <w:t>“偏离情况”一栏应填写</w:t>
      </w:r>
      <w:r>
        <w:rPr>
          <w:rFonts w:hint="eastAsia" w:ascii="宋体" w:hAnsi="宋体" w:cs="宋体"/>
          <w:b w:val="0"/>
          <w:bCs w:val="0"/>
          <w:sz w:val="24"/>
          <w:szCs w:val="24"/>
          <w:highlight w:val="none"/>
        </w:rPr>
        <w:t>“</w:t>
      </w:r>
      <w:r>
        <w:rPr>
          <w:rFonts w:hint="eastAsia" w:ascii="宋体" w:hAnsi="宋体" w:cs="宋体"/>
          <w:b/>
          <w:bCs/>
          <w:sz w:val="24"/>
          <w:szCs w:val="24"/>
          <w:highlight w:val="none"/>
        </w:rPr>
        <w:t>正偏离</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或</w:t>
      </w:r>
      <w:r>
        <w:rPr>
          <w:rFonts w:hint="eastAsia" w:ascii="宋体" w:hAnsi="宋体" w:cs="宋体"/>
          <w:b w:val="0"/>
          <w:bCs w:val="0"/>
          <w:sz w:val="24"/>
          <w:szCs w:val="24"/>
          <w:highlight w:val="none"/>
        </w:rPr>
        <w:t>“</w:t>
      </w:r>
      <w:r>
        <w:rPr>
          <w:rFonts w:hint="eastAsia" w:ascii="宋体" w:hAnsi="宋体" w:cs="宋体"/>
          <w:b/>
          <w:bCs/>
          <w:sz w:val="24"/>
          <w:szCs w:val="24"/>
          <w:highlight w:val="none"/>
        </w:rPr>
        <w:t>负偏离</w:t>
      </w:r>
      <w:r>
        <w:rPr>
          <w:rFonts w:hint="eastAsia" w:ascii="宋体" w:hAnsi="宋体" w:cs="宋体"/>
          <w:b w:val="0"/>
          <w:bCs w:val="0"/>
          <w:sz w:val="24"/>
          <w:szCs w:val="24"/>
          <w:highlight w:val="none"/>
        </w:rPr>
        <w:t>”或“</w:t>
      </w:r>
      <w:r>
        <w:rPr>
          <w:rFonts w:hint="eastAsia" w:ascii="宋体" w:hAnsi="宋体" w:cs="宋体"/>
          <w:b/>
          <w:bCs/>
          <w:sz w:val="24"/>
          <w:szCs w:val="24"/>
          <w:highlight w:val="none"/>
        </w:rPr>
        <w:t>无偏离</w:t>
      </w:r>
      <w:r>
        <w:rPr>
          <w:rFonts w:hint="eastAsia" w:ascii="宋体" w:hAnsi="宋体" w:cs="宋体"/>
          <w:b w:val="0"/>
          <w:bCs w:val="0"/>
          <w:sz w:val="24"/>
          <w:szCs w:val="24"/>
          <w:highlight w:val="none"/>
        </w:rPr>
        <w:t>”</w:t>
      </w:r>
      <w:r>
        <w:rPr>
          <w:rFonts w:hint="eastAsia" w:ascii="宋体" w:hAnsi="宋体" w:cs="宋体"/>
          <w:bCs/>
          <w:sz w:val="24"/>
          <w:szCs w:val="24"/>
          <w:highlight w:val="none"/>
        </w:rPr>
        <w:t>，“正偏离”表示“投标响应优于实质性条款具体内容要求”，“负偏离”表示“投标响应不满足实质性条款具体内容要求”，“无偏离”表示“投标响应与实质性条款具体内容要求一致”。</w:t>
      </w:r>
    </w:p>
    <w:p>
      <w:pPr>
        <w:spacing w:line="276"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4</w:t>
      </w:r>
      <w:r>
        <w:rPr>
          <w:rFonts w:hint="eastAsia" w:ascii="宋体" w:hAnsi="宋体" w:cs="宋体"/>
          <w:bCs/>
          <w:sz w:val="24"/>
          <w:szCs w:val="24"/>
          <w:highlight w:val="none"/>
          <w:lang w:eastAsia="zh-CN"/>
        </w:rPr>
        <w:t>、</w:t>
      </w:r>
      <w:r>
        <w:rPr>
          <w:rFonts w:hint="eastAsia" w:ascii="宋体" w:hAnsi="宋体" w:cs="宋体"/>
          <w:bCs/>
          <w:sz w:val="24"/>
          <w:szCs w:val="24"/>
          <w:highlight w:val="none"/>
        </w:rPr>
        <w:t>评审委员会有权对投标响应情况作出判断。</w:t>
      </w:r>
    </w:p>
    <w:p>
      <w:pPr>
        <w:spacing w:line="276"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5</w:t>
      </w:r>
      <w:r>
        <w:rPr>
          <w:rFonts w:hint="eastAsia" w:ascii="宋体" w:hAnsi="宋体" w:cs="宋体"/>
          <w:bCs/>
          <w:sz w:val="24"/>
          <w:szCs w:val="24"/>
          <w:highlight w:val="none"/>
          <w:lang w:eastAsia="zh-CN"/>
        </w:rPr>
        <w:t>、</w:t>
      </w:r>
      <w:r>
        <w:rPr>
          <w:rFonts w:hint="eastAsia" w:ascii="宋体" w:hAnsi="宋体" w:cs="宋体"/>
          <w:bCs/>
          <w:sz w:val="24"/>
          <w:szCs w:val="24"/>
          <w:highlight w:val="none"/>
        </w:rPr>
        <w:t>实质性响应条款“投标响应情况”与投标文件其它内容冲突的，以实质性响应条款“投标响应情况”为准。</w:t>
      </w:r>
    </w:p>
    <w:p>
      <w:pPr>
        <w:spacing w:line="276"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6</w:t>
      </w:r>
      <w:r>
        <w:rPr>
          <w:rFonts w:hint="eastAsia" w:ascii="宋体" w:hAnsi="宋体" w:cs="宋体"/>
          <w:bCs/>
          <w:sz w:val="24"/>
          <w:szCs w:val="24"/>
          <w:highlight w:val="none"/>
          <w:lang w:eastAsia="zh-CN"/>
        </w:rPr>
        <w:t>、</w:t>
      </w:r>
      <w:r>
        <w:rPr>
          <w:rFonts w:hint="eastAsia" w:ascii="宋体" w:hAnsi="宋体" w:cs="宋体"/>
          <w:bCs/>
          <w:sz w:val="24"/>
          <w:szCs w:val="24"/>
          <w:highlight w:val="none"/>
        </w:rPr>
        <w:t>以上实质性条款中要求提供证明材料，需如实提供证明材料扫描件，在“说明”一栏中列明证明材料的位置，以便评审；未要求提供证明材料的，投标人可以不提供。</w:t>
      </w:r>
    </w:p>
    <w:p>
      <w:pPr>
        <w:rPr>
          <w:rFonts w:hint="eastAsia" w:ascii="宋体" w:hAnsi="宋体" w:eastAsia="宋体" w:cs="Times New Roman"/>
          <w:b/>
          <w:bCs/>
          <w:kern w:val="0"/>
          <w:sz w:val="24"/>
          <w:szCs w:val="20"/>
          <w:highlight w:val="none"/>
          <w:lang w:val="en-US" w:eastAsia="zh-CN"/>
        </w:rPr>
      </w:pPr>
      <w:r>
        <w:rPr>
          <w:rFonts w:hint="eastAsia" w:ascii="宋体" w:hAnsi="宋体" w:eastAsia="宋体" w:cs="Times New Roman"/>
          <w:b/>
          <w:bCs/>
          <w:kern w:val="0"/>
          <w:sz w:val="24"/>
          <w:szCs w:val="20"/>
          <w:highlight w:val="none"/>
          <w:lang w:val="en-US" w:eastAsia="zh-CN"/>
        </w:rPr>
        <w:br w:type="page"/>
      </w:r>
    </w:p>
    <w:p>
      <w:pPr>
        <w:keepNext/>
        <w:keepLines/>
        <w:pageBreakBefore/>
        <w:adjustRightInd w:val="0"/>
        <w:snapToGrid w:val="0"/>
        <w:spacing w:line="360" w:lineRule="auto"/>
        <w:jc w:val="center"/>
        <w:textAlignment w:val="baseline"/>
        <w:outlineLvl w:val="3"/>
        <w:rPr>
          <w:rFonts w:ascii="宋体" w:hAnsi="宋体" w:eastAsia="宋体" w:cs="Times New Roman"/>
          <w:b/>
          <w:bCs/>
          <w:kern w:val="0"/>
          <w:sz w:val="24"/>
          <w:szCs w:val="20"/>
          <w:highlight w:val="none"/>
        </w:rPr>
      </w:pPr>
      <w:r>
        <w:rPr>
          <w:rFonts w:hint="eastAsia" w:ascii="宋体" w:hAnsi="宋体" w:eastAsia="宋体" w:cs="Times New Roman"/>
          <w:b/>
          <w:bCs/>
          <w:kern w:val="0"/>
          <w:sz w:val="24"/>
          <w:szCs w:val="20"/>
          <w:highlight w:val="none"/>
          <w:lang w:val="en-US" w:eastAsia="zh-CN"/>
        </w:rPr>
        <w:t>4</w:t>
      </w:r>
      <w:r>
        <w:rPr>
          <w:rFonts w:hint="eastAsia" w:ascii="宋体" w:hAnsi="宋体" w:eastAsia="宋体" w:cs="Times New Roman"/>
          <w:b/>
          <w:bCs/>
          <w:kern w:val="0"/>
          <w:sz w:val="24"/>
          <w:szCs w:val="20"/>
          <w:highlight w:val="none"/>
        </w:rPr>
        <w:t>.技术</w:t>
      </w:r>
      <w:r>
        <w:rPr>
          <w:rFonts w:hint="eastAsia" w:ascii="宋体" w:hAnsi="宋体" w:eastAsia="宋体" w:cs="Times New Roman"/>
          <w:b/>
          <w:bCs/>
          <w:kern w:val="0"/>
          <w:sz w:val="24"/>
          <w:szCs w:val="20"/>
          <w:highlight w:val="none"/>
          <w:lang w:val="en-US" w:eastAsia="zh-CN"/>
        </w:rPr>
        <w:t>要求</w:t>
      </w:r>
      <w:r>
        <w:rPr>
          <w:rFonts w:hint="eastAsia" w:ascii="宋体" w:hAnsi="宋体" w:eastAsia="宋体" w:cs="Times New Roman"/>
          <w:b/>
          <w:bCs/>
          <w:kern w:val="0"/>
          <w:sz w:val="24"/>
          <w:szCs w:val="20"/>
          <w:highlight w:val="none"/>
        </w:rPr>
        <w:t>偏离表</w:t>
      </w:r>
    </w:p>
    <w:p>
      <w:pPr>
        <w:snapToGrid w:val="0"/>
        <w:rPr>
          <w:rFonts w:ascii="Arial" w:hAnsi="Arial" w:eastAsia="宋体" w:cs="Arial"/>
          <w:color w:val="000000"/>
          <w:sz w:val="24"/>
          <w:szCs w:val="24"/>
          <w:highlight w:val="none"/>
          <w:u w:val="single"/>
        </w:rPr>
      </w:pPr>
      <w:r>
        <w:rPr>
          <w:rFonts w:hint="eastAsia" w:ascii="Arial" w:hAnsi="Arial" w:eastAsia="宋体" w:cs="Arial"/>
          <w:color w:val="000000"/>
          <w:sz w:val="24"/>
          <w:szCs w:val="24"/>
          <w:highlight w:val="none"/>
        </w:rPr>
        <w:t>投标单位（投标人）名称：</w:t>
      </w:r>
      <w:r>
        <w:rPr>
          <w:rFonts w:ascii="Arial" w:hAnsi="Arial" w:eastAsia="宋体" w:cs="Arial"/>
          <w:color w:val="000000"/>
          <w:sz w:val="24"/>
          <w:szCs w:val="24"/>
          <w:highlight w:val="none"/>
          <w:u w:val="single"/>
        </w:rPr>
        <w:t xml:space="preserve">                         </w:t>
      </w:r>
    </w:p>
    <w:p>
      <w:pPr>
        <w:snapToGrid w:val="0"/>
        <w:rPr>
          <w:rFonts w:cs="Times New Roman" w:asciiTheme="minorEastAsia" w:hAnsiTheme="minorEastAsia"/>
          <w:sz w:val="24"/>
          <w:szCs w:val="24"/>
          <w:highlight w:val="none"/>
        </w:rPr>
      </w:pPr>
    </w:p>
    <w:tbl>
      <w:tblPr>
        <w:tblStyle w:val="16"/>
        <w:tblW w:w="9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559"/>
        <w:gridCol w:w="2220"/>
        <w:gridCol w:w="2268"/>
        <w:gridCol w:w="1134"/>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947" w:type="dxa"/>
            <w:tcBorders>
              <w:top w:val="double" w:color="auto" w:sz="4" w:space="0"/>
              <w:left w:val="double" w:color="auto" w:sz="4" w:space="0"/>
              <w:bottom w:val="double" w:color="auto" w:sz="4" w:space="0"/>
              <w:right w:val="double" w:color="auto" w:sz="4" w:space="0"/>
            </w:tcBorders>
            <w:vAlign w:val="center"/>
          </w:tcPr>
          <w:p>
            <w:pPr>
              <w:snapToGrid w:val="0"/>
              <w:jc w:val="center"/>
              <w:rPr>
                <w:rFonts w:cs="Times New Roman" w:asciiTheme="minorEastAsia" w:hAnsiTheme="minorEastAsia"/>
                <w:b/>
                <w:sz w:val="24"/>
                <w:szCs w:val="24"/>
                <w:highlight w:val="none"/>
              </w:rPr>
            </w:pPr>
            <w:r>
              <w:rPr>
                <w:rFonts w:cs="Times New Roman" w:asciiTheme="minorEastAsia" w:hAnsiTheme="minorEastAsia"/>
                <w:b/>
                <w:sz w:val="24"/>
                <w:szCs w:val="24"/>
                <w:highlight w:val="none"/>
              </w:rPr>
              <w:t>序号</w:t>
            </w:r>
          </w:p>
        </w:tc>
        <w:tc>
          <w:tcPr>
            <w:tcW w:w="1559" w:type="dxa"/>
            <w:tcBorders>
              <w:top w:val="double" w:color="auto" w:sz="4" w:space="0"/>
              <w:left w:val="double" w:color="auto" w:sz="4" w:space="0"/>
              <w:bottom w:val="double" w:color="auto" w:sz="4" w:space="0"/>
              <w:right w:val="double" w:color="auto" w:sz="4" w:space="0"/>
            </w:tcBorders>
            <w:vAlign w:val="center"/>
          </w:tcPr>
          <w:p>
            <w:pPr>
              <w:snapToGrid w:val="0"/>
              <w:jc w:val="center"/>
              <w:rPr>
                <w:rFonts w:cs="Times New Roman" w:asciiTheme="minorEastAsia" w:hAnsiTheme="minorEastAsia"/>
                <w:b/>
                <w:sz w:val="24"/>
                <w:szCs w:val="24"/>
                <w:highlight w:val="none"/>
              </w:rPr>
            </w:pPr>
            <w:r>
              <w:rPr>
                <w:rFonts w:hint="eastAsia" w:cs="Times New Roman" w:asciiTheme="minorEastAsia" w:hAnsiTheme="minorEastAsia"/>
                <w:b/>
                <w:sz w:val="24"/>
                <w:szCs w:val="24"/>
                <w:highlight w:val="none"/>
              </w:rPr>
              <w:t>货物名称</w:t>
            </w:r>
          </w:p>
        </w:tc>
        <w:tc>
          <w:tcPr>
            <w:tcW w:w="2220" w:type="dxa"/>
            <w:tcBorders>
              <w:top w:val="double" w:color="auto" w:sz="4" w:space="0"/>
              <w:left w:val="double" w:color="auto" w:sz="4" w:space="0"/>
              <w:bottom w:val="double" w:color="auto" w:sz="4" w:space="0"/>
              <w:right w:val="double" w:color="auto" w:sz="4" w:space="0"/>
            </w:tcBorders>
            <w:vAlign w:val="center"/>
          </w:tcPr>
          <w:p>
            <w:pPr>
              <w:snapToGrid w:val="0"/>
              <w:jc w:val="center"/>
              <w:rPr>
                <w:rFonts w:cs="Times New Roman" w:asciiTheme="minorEastAsia" w:hAnsiTheme="minorEastAsia"/>
                <w:b/>
                <w:sz w:val="24"/>
                <w:szCs w:val="24"/>
                <w:highlight w:val="none"/>
              </w:rPr>
            </w:pPr>
            <w:r>
              <w:rPr>
                <w:rFonts w:hint="eastAsia" w:cs="Times New Roman" w:asciiTheme="minorEastAsia" w:hAnsiTheme="minorEastAsia"/>
                <w:b/>
                <w:sz w:val="24"/>
                <w:szCs w:val="24"/>
                <w:highlight w:val="none"/>
              </w:rPr>
              <w:t>招标技术要求</w:t>
            </w:r>
          </w:p>
        </w:tc>
        <w:tc>
          <w:tcPr>
            <w:tcW w:w="2268" w:type="dxa"/>
            <w:tcBorders>
              <w:top w:val="double" w:color="auto" w:sz="4" w:space="0"/>
              <w:left w:val="double" w:color="auto" w:sz="4" w:space="0"/>
              <w:bottom w:val="double" w:color="auto" w:sz="4" w:space="0"/>
              <w:right w:val="double" w:color="auto" w:sz="4" w:space="0"/>
            </w:tcBorders>
            <w:vAlign w:val="center"/>
          </w:tcPr>
          <w:p>
            <w:pPr>
              <w:snapToGrid w:val="0"/>
              <w:jc w:val="center"/>
              <w:rPr>
                <w:rFonts w:cs="Times New Roman" w:asciiTheme="minorEastAsia" w:hAnsiTheme="minorEastAsia"/>
                <w:b/>
                <w:sz w:val="24"/>
                <w:szCs w:val="24"/>
                <w:highlight w:val="none"/>
              </w:rPr>
            </w:pPr>
            <w:r>
              <w:rPr>
                <w:rFonts w:hint="eastAsia" w:cs="Times New Roman" w:asciiTheme="minorEastAsia" w:hAnsiTheme="minorEastAsia"/>
                <w:b/>
                <w:sz w:val="24"/>
                <w:szCs w:val="24"/>
                <w:highlight w:val="none"/>
              </w:rPr>
              <w:t>投标技术响应</w:t>
            </w:r>
          </w:p>
        </w:tc>
        <w:tc>
          <w:tcPr>
            <w:tcW w:w="1134" w:type="dxa"/>
            <w:tcBorders>
              <w:top w:val="double" w:color="auto" w:sz="4" w:space="0"/>
              <w:left w:val="double" w:color="auto" w:sz="4" w:space="0"/>
              <w:bottom w:val="double" w:color="auto" w:sz="4" w:space="0"/>
              <w:right w:val="double" w:color="auto" w:sz="4" w:space="0"/>
            </w:tcBorders>
          </w:tcPr>
          <w:p>
            <w:pPr>
              <w:snapToGrid w:val="0"/>
              <w:jc w:val="center"/>
              <w:rPr>
                <w:rFonts w:cs="Times New Roman" w:asciiTheme="minorEastAsia" w:hAnsiTheme="minorEastAsia"/>
                <w:b/>
                <w:sz w:val="24"/>
                <w:szCs w:val="24"/>
                <w:highlight w:val="none"/>
              </w:rPr>
            </w:pPr>
            <w:r>
              <w:rPr>
                <w:rFonts w:hint="eastAsia" w:cs="Times New Roman" w:asciiTheme="minorEastAsia" w:hAnsiTheme="minorEastAsia"/>
                <w:b/>
                <w:sz w:val="24"/>
                <w:szCs w:val="24"/>
                <w:highlight w:val="none"/>
              </w:rPr>
              <w:t>偏离</w:t>
            </w:r>
          </w:p>
          <w:p>
            <w:pPr>
              <w:snapToGrid w:val="0"/>
              <w:jc w:val="center"/>
              <w:rPr>
                <w:rFonts w:cs="Times New Roman" w:asciiTheme="minorEastAsia" w:hAnsiTheme="minorEastAsia"/>
                <w:b/>
                <w:sz w:val="24"/>
                <w:szCs w:val="24"/>
                <w:highlight w:val="none"/>
              </w:rPr>
            </w:pPr>
            <w:r>
              <w:rPr>
                <w:rFonts w:hint="eastAsia" w:cs="Times New Roman" w:asciiTheme="minorEastAsia" w:hAnsiTheme="minorEastAsia"/>
                <w:b/>
                <w:sz w:val="24"/>
                <w:szCs w:val="24"/>
                <w:highlight w:val="none"/>
              </w:rPr>
              <w:t>情况</w:t>
            </w:r>
          </w:p>
        </w:tc>
        <w:tc>
          <w:tcPr>
            <w:tcW w:w="1040" w:type="dxa"/>
            <w:tcBorders>
              <w:top w:val="double" w:color="auto" w:sz="4" w:space="0"/>
              <w:left w:val="double" w:color="auto" w:sz="4" w:space="0"/>
              <w:bottom w:val="double" w:color="auto" w:sz="4" w:space="0"/>
              <w:right w:val="double" w:color="auto" w:sz="4" w:space="0"/>
            </w:tcBorders>
            <w:vAlign w:val="center"/>
          </w:tcPr>
          <w:p>
            <w:pPr>
              <w:snapToGrid w:val="0"/>
              <w:jc w:val="center"/>
              <w:rPr>
                <w:rFonts w:cs="Times New Roman" w:asciiTheme="minorEastAsia" w:hAnsiTheme="minorEastAsia"/>
                <w:b/>
                <w:sz w:val="24"/>
                <w:szCs w:val="24"/>
                <w:highlight w:val="none"/>
              </w:rPr>
            </w:pPr>
            <w:r>
              <w:rPr>
                <w:rFonts w:hint="eastAsia" w:cs="Times New Roman" w:asciiTheme="minorEastAsia" w:hAnsiTheme="minorEastAsia"/>
                <w:b/>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47" w:type="dxa"/>
            <w:tcBorders>
              <w:top w:val="double" w:color="auto" w:sz="4" w:space="0"/>
              <w:left w:val="double" w:color="auto" w:sz="4" w:space="0"/>
              <w:bottom w:val="double" w:color="auto" w:sz="4" w:space="0"/>
              <w:right w:val="double" w:color="auto" w:sz="4" w:space="0"/>
            </w:tcBorders>
            <w:vAlign w:val="center"/>
          </w:tcPr>
          <w:p>
            <w:pPr>
              <w:snapToGrid w:val="0"/>
              <w:jc w:val="center"/>
              <w:rPr>
                <w:rFonts w:cs="Times New Roman" w:asciiTheme="minorEastAsia" w:hAnsiTheme="minorEastAsia"/>
                <w:sz w:val="24"/>
                <w:szCs w:val="24"/>
                <w:highlight w:val="none"/>
              </w:rPr>
            </w:pPr>
            <w:r>
              <w:rPr>
                <w:rFonts w:hint="eastAsia" w:cs="Times New Roman" w:asciiTheme="minorEastAsia" w:hAnsiTheme="minorEastAsia"/>
                <w:sz w:val="24"/>
                <w:szCs w:val="24"/>
                <w:highlight w:val="none"/>
              </w:rPr>
              <w:t>1</w:t>
            </w:r>
          </w:p>
        </w:tc>
        <w:tc>
          <w:tcPr>
            <w:tcW w:w="1559" w:type="dxa"/>
            <w:tcBorders>
              <w:top w:val="double" w:color="auto" w:sz="4" w:space="0"/>
              <w:left w:val="double" w:color="auto" w:sz="4" w:space="0"/>
              <w:bottom w:val="double" w:color="auto" w:sz="4" w:space="0"/>
              <w:right w:val="double" w:color="auto" w:sz="4" w:space="0"/>
            </w:tcBorders>
            <w:vAlign w:val="center"/>
          </w:tcPr>
          <w:p>
            <w:pPr>
              <w:snapToGrid w:val="0"/>
              <w:jc w:val="center"/>
              <w:rPr>
                <w:rFonts w:cs="Times New Roman" w:asciiTheme="minorEastAsia" w:hAnsiTheme="minorEastAsia"/>
                <w:sz w:val="24"/>
                <w:szCs w:val="24"/>
                <w:highlight w:val="none"/>
              </w:rPr>
            </w:pPr>
          </w:p>
        </w:tc>
        <w:tc>
          <w:tcPr>
            <w:tcW w:w="2220" w:type="dxa"/>
            <w:tcBorders>
              <w:top w:val="double" w:color="auto" w:sz="4" w:space="0"/>
              <w:left w:val="double" w:color="auto" w:sz="4" w:space="0"/>
              <w:bottom w:val="double" w:color="auto" w:sz="4" w:space="0"/>
              <w:right w:val="double" w:color="auto" w:sz="4" w:space="0"/>
            </w:tcBorders>
          </w:tcPr>
          <w:p>
            <w:pPr>
              <w:snapToGrid w:val="0"/>
              <w:jc w:val="center"/>
              <w:rPr>
                <w:rFonts w:cs="Times New Roman" w:asciiTheme="minorEastAsia" w:hAnsiTheme="minorEastAsia"/>
                <w:sz w:val="24"/>
                <w:szCs w:val="24"/>
                <w:highlight w:val="none"/>
              </w:rPr>
            </w:pPr>
          </w:p>
        </w:tc>
        <w:tc>
          <w:tcPr>
            <w:tcW w:w="2268" w:type="dxa"/>
            <w:tcBorders>
              <w:top w:val="double" w:color="auto" w:sz="4" w:space="0"/>
              <w:left w:val="double" w:color="auto" w:sz="4" w:space="0"/>
              <w:bottom w:val="double" w:color="auto" w:sz="4" w:space="0"/>
              <w:right w:val="double" w:color="auto" w:sz="4" w:space="0"/>
            </w:tcBorders>
          </w:tcPr>
          <w:p>
            <w:pPr>
              <w:snapToGrid w:val="0"/>
              <w:jc w:val="center"/>
              <w:rPr>
                <w:rFonts w:cs="Times New Roman" w:asciiTheme="minorEastAsia" w:hAnsiTheme="minorEastAsia"/>
                <w:sz w:val="24"/>
                <w:szCs w:val="24"/>
                <w:highlight w:val="none"/>
              </w:rPr>
            </w:pPr>
          </w:p>
        </w:tc>
        <w:tc>
          <w:tcPr>
            <w:tcW w:w="1134" w:type="dxa"/>
            <w:tcBorders>
              <w:top w:val="double" w:color="auto" w:sz="4" w:space="0"/>
              <w:left w:val="double" w:color="auto" w:sz="4" w:space="0"/>
              <w:bottom w:val="double" w:color="auto" w:sz="4" w:space="0"/>
              <w:right w:val="double" w:color="auto" w:sz="4" w:space="0"/>
            </w:tcBorders>
          </w:tcPr>
          <w:p>
            <w:pPr>
              <w:snapToGrid w:val="0"/>
              <w:jc w:val="center"/>
              <w:rPr>
                <w:rFonts w:cs="Times New Roman" w:asciiTheme="minorEastAsia" w:hAnsiTheme="minorEastAsia"/>
                <w:sz w:val="24"/>
                <w:szCs w:val="24"/>
                <w:highlight w:val="none"/>
              </w:rPr>
            </w:pPr>
          </w:p>
        </w:tc>
        <w:tc>
          <w:tcPr>
            <w:tcW w:w="1040" w:type="dxa"/>
            <w:tcBorders>
              <w:top w:val="double" w:color="auto" w:sz="4" w:space="0"/>
              <w:left w:val="double" w:color="auto" w:sz="4" w:space="0"/>
              <w:bottom w:val="double" w:color="auto" w:sz="4" w:space="0"/>
              <w:right w:val="double" w:color="auto" w:sz="4" w:space="0"/>
            </w:tcBorders>
          </w:tcPr>
          <w:p>
            <w:pPr>
              <w:snapToGrid w:val="0"/>
              <w:jc w:val="center"/>
              <w:rPr>
                <w:rFonts w:cs="Times New Roman" w:asciiTheme="minorEastAsia" w:hAnsi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47" w:type="dxa"/>
            <w:tcBorders>
              <w:top w:val="double" w:color="auto" w:sz="4" w:space="0"/>
              <w:left w:val="double" w:color="auto" w:sz="4" w:space="0"/>
              <w:bottom w:val="double" w:color="auto" w:sz="4" w:space="0"/>
              <w:right w:val="double" w:color="auto" w:sz="4" w:space="0"/>
            </w:tcBorders>
            <w:vAlign w:val="center"/>
          </w:tcPr>
          <w:p>
            <w:pPr>
              <w:snapToGrid w:val="0"/>
              <w:jc w:val="center"/>
              <w:rPr>
                <w:rFonts w:hint="eastAsia" w:cs="Times New Roman" w:asciiTheme="minorEastAsia" w:hAnsiTheme="minorEastAsia" w:eastAsiaTheme="minorEastAsia"/>
                <w:sz w:val="24"/>
                <w:szCs w:val="24"/>
                <w:highlight w:val="none"/>
                <w:lang w:val="en-US" w:eastAsia="zh-CN"/>
              </w:rPr>
            </w:pPr>
            <w:r>
              <w:rPr>
                <w:rFonts w:hint="eastAsia" w:cs="Times New Roman" w:asciiTheme="minorEastAsia" w:hAnsiTheme="minorEastAsia"/>
                <w:sz w:val="24"/>
                <w:szCs w:val="24"/>
                <w:highlight w:val="none"/>
                <w:lang w:val="en-US" w:eastAsia="zh-CN"/>
              </w:rPr>
              <w:t>2</w:t>
            </w:r>
          </w:p>
        </w:tc>
        <w:tc>
          <w:tcPr>
            <w:tcW w:w="1559" w:type="dxa"/>
            <w:tcBorders>
              <w:top w:val="double" w:color="auto" w:sz="4" w:space="0"/>
              <w:left w:val="double" w:color="auto" w:sz="4" w:space="0"/>
              <w:bottom w:val="double" w:color="auto" w:sz="4" w:space="0"/>
              <w:right w:val="double" w:color="auto" w:sz="4" w:space="0"/>
            </w:tcBorders>
            <w:vAlign w:val="center"/>
          </w:tcPr>
          <w:p>
            <w:pPr>
              <w:snapToGrid w:val="0"/>
              <w:jc w:val="center"/>
              <w:rPr>
                <w:rFonts w:cs="Times New Roman" w:asciiTheme="minorEastAsia" w:hAnsiTheme="minorEastAsia"/>
                <w:sz w:val="24"/>
                <w:szCs w:val="24"/>
                <w:highlight w:val="none"/>
              </w:rPr>
            </w:pPr>
          </w:p>
        </w:tc>
        <w:tc>
          <w:tcPr>
            <w:tcW w:w="2220" w:type="dxa"/>
            <w:tcBorders>
              <w:top w:val="double" w:color="auto" w:sz="4" w:space="0"/>
              <w:left w:val="double" w:color="auto" w:sz="4" w:space="0"/>
              <w:bottom w:val="double" w:color="auto" w:sz="4" w:space="0"/>
              <w:right w:val="double" w:color="auto" w:sz="4" w:space="0"/>
            </w:tcBorders>
          </w:tcPr>
          <w:p>
            <w:pPr>
              <w:snapToGrid w:val="0"/>
              <w:jc w:val="center"/>
              <w:rPr>
                <w:rFonts w:cs="Times New Roman" w:asciiTheme="minorEastAsia" w:hAnsiTheme="minorEastAsia"/>
                <w:sz w:val="24"/>
                <w:szCs w:val="24"/>
                <w:highlight w:val="none"/>
              </w:rPr>
            </w:pPr>
          </w:p>
        </w:tc>
        <w:tc>
          <w:tcPr>
            <w:tcW w:w="2268" w:type="dxa"/>
            <w:tcBorders>
              <w:top w:val="double" w:color="auto" w:sz="4" w:space="0"/>
              <w:left w:val="double" w:color="auto" w:sz="4" w:space="0"/>
              <w:bottom w:val="double" w:color="auto" w:sz="4" w:space="0"/>
              <w:right w:val="double" w:color="auto" w:sz="4" w:space="0"/>
            </w:tcBorders>
          </w:tcPr>
          <w:p>
            <w:pPr>
              <w:snapToGrid w:val="0"/>
              <w:jc w:val="center"/>
              <w:rPr>
                <w:rFonts w:cs="Times New Roman" w:asciiTheme="minorEastAsia" w:hAnsiTheme="minorEastAsia"/>
                <w:sz w:val="24"/>
                <w:szCs w:val="24"/>
                <w:highlight w:val="none"/>
              </w:rPr>
            </w:pPr>
          </w:p>
        </w:tc>
        <w:tc>
          <w:tcPr>
            <w:tcW w:w="1134" w:type="dxa"/>
            <w:tcBorders>
              <w:top w:val="double" w:color="auto" w:sz="4" w:space="0"/>
              <w:left w:val="double" w:color="auto" w:sz="4" w:space="0"/>
              <w:bottom w:val="double" w:color="auto" w:sz="4" w:space="0"/>
              <w:right w:val="double" w:color="auto" w:sz="4" w:space="0"/>
            </w:tcBorders>
          </w:tcPr>
          <w:p>
            <w:pPr>
              <w:snapToGrid w:val="0"/>
              <w:jc w:val="center"/>
              <w:rPr>
                <w:rFonts w:cs="Times New Roman" w:asciiTheme="minorEastAsia" w:hAnsiTheme="minorEastAsia"/>
                <w:sz w:val="24"/>
                <w:szCs w:val="24"/>
                <w:highlight w:val="none"/>
              </w:rPr>
            </w:pPr>
          </w:p>
        </w:tc>
        <w:tc>
          <w:tcPr>
            <w:tcW w:w="1040" w:type="dxa"/>
            <w:tcBorders>
              <w:top w:val="double" w:color="auto" w:sz="4" w:space="0"/>
              <w:left w:val="double" w:color="auto" w:sz="4" w:space="0"/>
              <w:bottom w:val="double" w:color="auto" w:sz="4" w:space="0"/>
              <w:right w:val="double" w:color="auto" w:sz="4" w:space="0"/>
            </w:tcBorders>
          </w:tcPr>
          <w:p>
            <w:pPr>
              <w:snapToGrid w:val="0"/>
              <w:jc w:val="center"/>
              <w:rPr>
                <w:rFonts w:cs="Times New Roman" w:asciiTheme="minorEastAsia" w:hAnsi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47" w:type="dxa"/>
            <w:tcBorders>
              <w:top w:val="double" w:color="auto" w:sz="4" w:space="0"/>
              <w:left w:val="double" w:color="auto" w:sz="4" w:space="0"/>
              <w:bottom w:val="double" w:color="auto" w:sz="4" w:space="0"/>
              <w:right w:val="double" w:color="auto" w:sz="4" w:space="0"/>
            </w:tcBorders>
            <w:vAlign w:val="center"/>
          </w:tcPr>
          <w:p>
            <w:pPr>
              <w:snapToGrid w:val="0"/>
              <w:jc w:val="center"/>
              <w:rPr>
                <w:rFonts w:hint="eastAsia" w:cs="Times New Roman" w:asciiTheme="minorEastAsia" w:hAnsiTheme="minorEastAsia" w:eastAsiaTheme="minorEastAsia"/>
                <w:sz w:val="24"/>
                <w:szCs w:val="24"/>
                <w:highlight w:val="none"/>
                <w:lang w:eastAsia="zh-CN"/>
              </w:rPr>
            </w:pPr>
            <w:r>
              <w:rPr>
                <w:rFonts w:hint="eastAsia" w:cs="Times New Roman" w:asciiTheme="minorEastAsia" w:hAnsiTheme="minorEastAsia"/>
                <w:sz w:val="24"/>
                <w:szCs w:val="24"/>
                <w:highlight w:val="none"/>
                <w:lang w:eastAsia="zh-CN"/>
              </w:rPr>
              <w:t>……</w:t>
            </w:r>
          </w:p>
        </w:tc>
        <w:tc>
          <w:tcPr>
            <w:tcW w:w="1559" w:type="dxa"/>
            <w:tcBorders>
              <w:top w:val="double" w:color="auto" w:sz="4" w:space="0"/>
              <w:left w:val="double" w:color="auto" w:sz="4" w:space="0"/>
              <w:bottom w:val="double" w:color="auto" w:sz="4" w:space="0"/>
              <w:right w:val="double" w:color="auto" w:sz="4" w:space="0"/>
            </w:tcBorders>
            <w:vAlign w:val="center"/>
          </w:tcPr>
          <w:p>
            <w:pPr>
              <w:snapToGrid w:val="0"/>
              <w:jc w:val="center"/>
              <w:rPr>
                <w:rFonts w:cs="Times New Roman" w:asciiTheme="minorEastAsia" w:hAnsiTheme="minorEastAsia"/>
                <w:sz w:val="24"/>
                <w:szCs w:val="24"/>
                <w:highlight w:val="none"/>
              </w:rPr>
            </w:pPr>
          </w:p>
        </w:tc>
        <w:tc>
          <w:tcPr>
            <w:tcW w:w="2220" w:type="dxa"/>
            <w:tcBorders>
              <w:top w:val="double" w:color="auto" w:sz="4" w:space="0"/>
              <w:left w:val="double" w:color="auto" w:sz="4" w:space="0"/>
              <w:bottom w:val="double" w:color="auto" w:sz="4" w:space="0"/>
              <w:right w:val="double" w:color="auto" w:sz="4" w:space="0"/>
            </w:tcBorders>
          </w:tcPr>
          <w:p>
            <w:pPr>
              <w:snapToGrid w:val="0"/>
              <w:jc w:val="center"/>
              <w:rPr>
                <w:rFonts w:cs="Times New Roman" w:asciiTheme="minorEastAsia" w:hAnsiTheme="minorEastAsia"/>
                <w:sz w:val="24"/>
                <w:szCs w:val="24"/>
                <w:highlight w:val="none"/>
              </w:rPr>
            </w:pPr>
          </w:p>
        </w:tc>
        <w:tc>
          <w:tcPr>
            <w:tcW w:w="2268" w:type="dxa"/>
            <w:tcBorders>
              <w:top w:val="double" w:color="auto" w:sz="4" w:space="0"/>
              <w:left w:val="double" w:color="auto" w:sz="4" w:space="0"/>
              <w:bottom w:val="double" w:color="auto" w:sz="4" w:space="0"/>
              <w:right w:val="double" w:color="auto" w:sz="4" w:space="0"/>
            </w:tcBorders>
          </w:tcPr>
          <w:p>
            <w:pPr>
              <w:snapToGrid w:val="0"/>
              <w:jc w:val="center"/>
              <w:rPr>
                <w:rFonts w:cs="Times New Roman" w:asciiTheme="minorEastAsia" w:hAnsiTheme="minorEastAsia"/>
                <w:sz w:val="24"/>
                <w:szCs w:val="24"/>
                <w:highlight w:val="none"/>
              </w:rPr>
            </w:pPr>
          </w:p>
        </w:tc>
        <w:tc>
          <w:tcPr>
            <w:tcW w:w="1134" w:type="dxa"/>
            <w:tcBorders>
              <w:top w:val="double" w:color="auto" w:sz="4" w:space="0"/>
              <w:left w:val="double" w:color="auto" w:sz="4" w:space="0"/>
              <w:bottom w:val="double" w:color="auto" w:sz="4" w:space="0"/>
              <w:right w:val="double" w:color="auto" w:sz="4" w:space="0"/>
            </w:tcBorders>
          </w:tcPr>
          <w:p>
            <w:pPr>
              <w:snapToGrid w:val="0"/>
              <w:jc w:val="center"/>
              <w:rPr>
                <w:rFonts w:cs="Times New Roman" w:asciiTheme="minorEastAsia" w:hAnsiTheme="minorEastAsia"/>
                <w:sz w:val="24"/>
                <w:szCs w:val="24"/>
                <w:highlight w:val="none"/>
              </w:rPr>
            </w:pPr>
          </w:p>
        </w:tc>
        <w:tc>
          <w:tcPr>
            <w:tcW w:w="1040" w:type="dxa"/>
            <w:tcBorders>
              <w:top w:val="double" w:color="auto" w:sz="4" w:space="0"/>
              <w:left w:val="double" w:color="auto" w:sz="4" w:space="0"/>
              <w:bottom w:val="double" w:color="auto" w:sz="4" w:space="0"/>
              <w:right w:val="double" w:color="auto" w:sz="4" w:space="0"/>
            </w:tcBorders>
          </w:tcPr>
          <w:p>
            <w:pPr>
              <w:snapToGrid w:val="0"/>
              <w:jc w:val="center"/>
              <w:rPr>
                <w:rFonts w:cs="Times New Roman" w:asciiTheme="minorEastAsia" w:hAnsiTheme="minorEastAsia"/>
                <w:sz w:val="24"/>
                <w:szCs w:val="24"/>
                <w:highlight w:val="none"/>
              </w:rPr>
            </w:pPr>
          </w:p>
        </w:tc>
      </w:tr>
    </w:tbl>
    <w:p>
      <w:pPr>
        <w:snapToGrid w:val="0"/>
        <w:rPr>
          <w:rFonts w:cs="Times New Roman" w:asciiTheme="minorEastAsia" w:hAnsiTheme="minorEastAsia"/>
          <w:sz w:val="24"/>
          <w:szCs w:val="24"/>
          <w:highlight w:val="none"/>
        </w:rPr>
      </w:pPr>
    </w:p>
    <w:p>
      <w:pPr>
        <w:snapToGrid w:val="0"/>
        <w:rPr>
          <w:rFonts w:hint="eastAsia" w:cs="Times New Roman" w:asciiTheme="minorEastAsia" w:hAnsiTheme="minorEastAsia"/>
          <w:b/>
          <w:sz w:val="24"/>
          <w:szCs w:val="24"/>
          <w:highlight w:val="none"/>
        </w:rPr>
      </w:pPr>
      <w:r>
        <w:rPr>
          <w:rFonts w:hint="eastAsia" w:cs="Times New Roman" w:asciiTheme="minorEastAsia" w:hAnsiTheme="minorEastAsia"/>
          <w:b/>
          <w:sz w:val="24"/>
          <w:szCs w:val="24"/>
          <w:highlight w:val="none"/>
        </w:rPr>
        <w:t>填写说明：</w:t>
      </w:r>
    </w:p>
    <w:p>
      <w:pPr>
        <w:ind w:firstLine="482" w:firstLineChars="200"/>
        <w:rPr>
          <w:b/>
          <w:sz w:val="24"/>
          <w:highlight w:val="none"/>
        </w:rPr>
      </w:pPr>
      <w:r>
        <w:rPr>
          <w:rFonts w:hint="eastAsia"/>
          <w:b/>
          <w:sz w:val="24"/>
          <w:highlight w:val="none"/>
        </w:rPr>
        <w:t>1、技术要求偏离表的序号、货物名称、招标技术要求等栏目</w:t>
      </w:r>
      <w:bookmarkStart w:id="25" w:name="_Hlk72094407"/>
      <w:r>
        <w:rPr>
          <w:rFonts w:hint="eastAsia"/>
          <w:b/>
          <w:sz w:val="24"/>
          <w:highlight w:val="none"/>
        </w:rPr>
        <w:t>对应“用户需求书”中的“技术要求</w:t>
      </w:r>
      <w:r>
        <w:rPr>
          <w:rFonts w:hint="eastAsia"/>
          <w:b/>
          <w:sz w:val="24"/>
          <w:highlight w:val="none"/>
          <w:lang w:val="en-US" w:eastAsia="zh-CN"/>
        </w:rPr>
        <w:t>部分</w:t>
      </w:r>
      <w:r>
        <w:rPr>
          <w:rFonts w:hint="eastAsia"/>
          <w:b/>
          <w:sz w:val="24"/>
          <w:highlight w:val="none"/>
        </w:rPr>
        <w:t>”章节</w:t>
      </w:r>
      <w:bookmarkEnd w:id="25"/>
      <w:r>
        <w:rPr>
          <w:rFonts w:hint="eastAsia"/>
          <w:b/>
          <w:sz w:val="24"/>
          <w:highlight w:val="none"/>
        </w:rPr>
        <w:t>相关内容。</w:t>
      </w:r>
    </w:p>
    <w:p>
      <w:pPr>
        <w:ind w:firstLine="482" w:firstLineChars="200"/>
        <w:rPr>
          <w:b/>
          <w:sz w:val="24"/>
          <w:highlight w:val="none"/>
        </w:rPr>
      </w:pPr>
      <w:r>
        <w:rPr>
          <w:b/>
          <w:sz w:val="24"/>
          <w:highlight w:val="none"/>
        </w:rPr>
        <w:t>2</w:t>
      </w:r>
      <w:r>
        <w:rPr>
          <w:rFonts w:hint="eastAsia"/>
          <w:b/>
          <w:sz w:val="24"/>
          <w:highlight w:val="none"/>
        </w:rPr>
        <w:t>、“投标技术响应”一栏必须一一对照“招标技术要求”，详细填写投标人自身投标货物的具体参数，而不能不合理照搬照抄招标文件的技术要求，以体现具体响应情况。“投标技术响应”必须与所投产品客观实际保持一致，响应不实且情节严重的，经查实，将依法记入供应商诚信档案或受到行政处罚。</w:t>
      </w:r>
    </w:p>
    <w:p>
      <w:pPr>
        <w:ind w:firstLine="482" w:firstLineChars="200"/>
        <w:rPr>
          <w:b/>
          <w:sz w:val="24"/>
          <w:highlight w:val="none"/>
        </w:rPr>
      </w:pPr>
      <w:r>
        <w:rPr>
          <w:b/>
          <w:sz w:val="24"/>
          <w:highlight w:val="none"/>
        </w:rPr>
        <w:t>3</w:t>
      </w:r>
      <w:r>
        <w:rPr>
          <w:rFonts w:hint="eastAsia"/>
          <w:b/>
          <w:sz w:val="24"/>
          <w:highlight w:val="none"/>
        </w:rPr>
        <w:t>、“偏离情况”一栏填写如实填写“正偏离”、“负偏离”或“无偏离”，其中：“正偏离”表示“投标响应优于招标技术要求”，“负偏离”表示“投标响应不满足招标技术要求”，“无偏离”表示“投标响应与招标技术要求一致”。“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偏离情况”必须与所投产品客观实际保持一致，响应不实且情节严重的，经查实，将依法记入供应商诚信档案或受到行政处罚。</w:t>
      </w:r>
    </w:p>
    <w:p>
      <w:pPr>
        <w:ind w:firstLine="482" w:firstLineChars="200"/>
        <w:rPr>
          <w:b/>
          <w:sz w:val="24"/>
          <w:highlight w:val="none"/>
        </w:rPr>
      </w:pPr>
      <w:r>
        <w:rPr>
          <w:b/>
          <w:sz w:val="24"/>
          <w:highlight w:val="none"/>
        </w:rPr>
        <w:t>4</w:t>
      </w:r>
      <w:r>
        <w:rPr>
          <w:rFonts w:hint="eastAsia"/>
          <w:b/>
          <w:sz w:val="24"/>
          <w:highlight w:val="none"/>
        </w:rPr>
        <w:t>、未要求提供证明资料的招标技术要求，可以不提供证明资料（如实响应即可）。</w:t>
      </w:r>
    </w:p>
    <w:p>
      <w:pPr>
        <w:ind w:firstLine="482" w:firstLineChars="200"/>
        <w:rPr>
          <w:rFonts w:hint="eastAsia"/>
          <w:b/>
          <w:sz w:val="24"/>
          <w:highlight w:val="none"/>
        </w:rPr>
      </w:pPr>
      <w:r>
        <w:rPr>
          <w:rFonts w:hint="eastAsia"/>
          <w:b/>
          <w:sz w:val="24"/>
          <w:highlight w:val="none"/>
        </w:rPr>
        <w:t>5、</w:t>
      </w:r>
      <w:bookmarkStart w:id="26" w:name="_Hlk72096106"/>
      <w:r>
        <w:rPr>
          <w:rFonts w:hint="eastAsia"/>
          <w:b/>
          <w:sz w:val="24"/>
          <w:highlight w:val="none"/>
        </w:rPr>
        <w:t>证明资料条款响应要求</w:t>
      </w:r>
      <w:bookmarkEnd w:id="26"/>
      <w:r>
        <w:rPr>
          <w:rFonts w:hint="eastAsia"/>
          <w:b/>
          <w:sz w:val="24"/>
          <w:highlight w:val="none"/>
        </w:rPr>
        <w:t>：要求提供证明资料（且已对证明资料的形式、内容作出明确要求）进行响应的条款，应当在“说明”一栏中列明是否提供了符合要求的证明资料，以及所提供证明资料在</w:t>
      </w:r>
      <w:r>
        <w:rPr>
          <w:rFonts w:hint="eastAsia"/>
          <w:b/>
          <w:sz w:val="24"/>
          <w:highlight w:val="none"/>
          <w:lang w:val="en-US" w:eastAsia="zh-CN"/>
        </w:rPr>
        <w:t>投标文件的所在节点（</w:t>
      </w:r>
      <w:r>
        <w:rPr>
          <w:rFonts w:hint="eastAsia"/>
          <w:b/>
          <w:sz w:val="24"/>
          <w:highlight w:val="none"/>
        </w:rPr>
        <w:t>位置</w:t>
      </w:r>
      <w:r>
        <w:rPr>
          <w:rFonts w:hint="eastAsia"/>
          <w:b/>
          <w:sz w:val="24"/>
          <w:highlight w:val="none"/>
          <w:lang w:val="en-US" w:eastAsia="zh-CN"/>
        </w:rPr>
        <w:t>）</w:t>
      </w:r>
      <w:r>
        <w:rPr>
          <w:rFonts w:hint="eastAsia"/>
          <w:b/>
          <w:sz w:val="24"/>
          <w:highlight w:val="none"/>
          <w:lang w:eastAsia="zh-CN"/>
        </w:rPr>
        <w:t>，</w:t>
      </w:r>
      <w:r>
        <w:rPr>
          <w:rFonts w:hint="eastAsia"/>
          <w:b/>
          <w:sz w:val="24"/>
          <w:highlight w:val="none"/>
        </w:rPr>
        <w:t>以便评审；</w:t>
      </w:r>
      <w:bookmarkStart w:id="27" w:name="_Hlk73558782"/>
      <w:r>
        <w:rPr>
          <w:rFonts w:hint="eastAsia"/>
          <w:b/>
          <w:sz w:val="24"/>
          <w:highlight w:val="none"/>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28" w:name="_Hlk73558164"/>
      <w:r>
        <w:rPr>
          <w:rFonts w:hint="eastAsia"/>
          <w:b/>
          <w:sz w:val="24"/>
          <w:highlight w:val="none"/>
        </w:rPr>
        <w:t>且投标人在“偏离情况”一栏响应为“正偏离”或“无偏离”的，经评审委员会认定，将判定为负偏离。</w:t>
      </w:r>
      <w:bookmarkEnd w:id="27"/>
      <w:bookmarkEnd w:id="28"/>
    </w:p>
    <w:p>
      <w:pPr>
        <w:pStyle w:val="9"/>
        <w:rPr>
          <w:rFonts w:hint="default" w:eastAsiaTheme="minorEastAsia"/>
          <w:highlight w:val="none"/>
          <w:lang w:val="en-US" w:eastAsia="zh-CN"/>
        </w:rPr>
      </w:pPr>
      <w:r>
        <w:rPr>
          <w:rFonts w:hint="eastAsia"/>
          <w:b/>
          <w:sz w:val="24"/>
          <w:highlight w:val="none"/>
          <w:lang w:val="en-US" w:eastAsia="zh-CN"/>
        </w:rPr>
        <w:t xml:space="preserve">    6、投标人提供的证明资料，均要求原件备查。</w:t>
      </w:r>
    </w:p>
    <w:p>
      <w:pPr>
        <w:ind w:firstLine="482" w:firstLineChars="200"/>
        <w:rPr>
          <w:rFonts w:hint="eastAsia"/>
          <w:b/>
          <w:sz w:val="24"/>
          <w:highlight w:val="none"/>
        </w:rPr>
      </w:pPr>
      <w:r>
        <w:rPr>
          <w:rFonts w:hint="eastAsia"/>
          <w:b/>
          <w:sz w:val="24"/>
          <w:highlight w:val="none"/>
          <w:lang w:val="en-US" w:eastAsia="zh-CN"/>
        </w:rPr>
        <w:t>7、</w:t>
      </w:r>
      <w:r>
        <w:rPr>
          <w:rFonts w:hint="eastAsia"/>
          <w:b/>
          <w:sz w:val="24"/>
          <w:highlight w:val="none"/>
        </w:rPr>
        <w:t>评审委员会有权对投标人是否存在虚假响应予以认定，并视情况经</w:t>
      </w:r>
      <w:r>
        <w:rPr>
          <w:rFonts w:hint="eastAsia"/>
          <w:b/>
          <w:sz w:val="24"/>
          <w:highlight w:val="none"/>
          <w:lang w:val="en-US" w:eastAsia="zh-CN"/>
        </w:rPr>
        <w:t>招标</w:t>
      </w:r>
      <w:r>
        <w:rPr>
          <w:rFonts w:hint="eastAsia"/>
          <w:b/>
          <w:sz w:val="24"/>
          <w:highlight w:val="none"/>
        </w:rPr>
        <w:t>机构报主管部门进行处理；</w:t>
      </w:r>
    </w:p>
    <w:p>
      <w:pPr>
        <w:ind w:firstLine="482" w:firstLineChars="200"/>
        <w:rPr>
          <w:rFonts w:hint="eastAsia"/>
          <w:b/>
          <w:sz w:val="24"/>
          <w:highlight w:val="none"/>
        </w:rPr>
      </w:pPr>
      <w:r>
        <w:rPr>
          <w:rFonts w:hint="eastAsia"/>
          <w:b/>
          <w:sz w:val="24"/>
          <w:highlight w:val="none"/>
          <w:lang w:val="en-US" w:eastAsia="zh-CN"/>
        </w:rPr>
        <w:t>8、</w:t>
      </w:r>
      <w:r>
        <w:rPr>
          <w:rFonts w:hint="eastAsia"/>
          <w:b/>
          <w:sz w:val="24"/>
          <w:highlight w:val="none"/>
        </w:rPr>
        <w:t>除招标文件另有注明外，投标文件其它位置如出现与本表中投标参数不一致的信息，均以本表信息为准。</w:t>
      </w:r>
    </w:p>
    <w:p>
      <w:pPr>
        <w:ind w:firstLine="482" w:firstLineChars="200"/>
        <w:rPr>
          <w:rFonts w:hint="eastAsia"/>
          <w:b/>
          <w:sz w:val="24"/>
          <w:highlight w:val="none"/>
        </w:rPr>
      </w:pPr>
    </w:p>
    <w:p>
      <w:pPr>
        <w:keepNext w:val="0"/>
        <w:keepLines w:val="0"/>
        <w:pageBreakBefore w:val="0"/>
        <w:widowControl/>
        <w:kinsoku/>
        <w:wordWrap/>
        <w:overflowPunct/>
        <w:topLinePunct w:val="0"/>
        <w:autoSpaceDE/>
        <w:autoSpaceDN/>
        <w:bidi w:val="0"/>
        <w:adjustRightInd/>
        <w:snapToGrid/>
        <w:jc w:val="center"/>
        <w:textAlignment w:val="auto"/>
        <w:outlineLvl w:val="3"/>
        <w:rPr>
          <w:rFonts w:ascii="黑体" w:hAnsi="宋体" w:eastAsia="黑体"/>
          <w:kern w:val="0"/>
          <w:sz w:val="24"/>
          <w:szCs w:val="20"/>
          <w:highlight w:val="none"/>
        </w:rPr>
      </w:pPr>
      <w:r>
        <w:rPr>
          <w:rFonts w:ascii="宋体" w:hAnsi="宋体" w:eastAsia="宋体" w:cs="Times New Roman"/>
          <w:color w:val="FF0000"/>
          <w:sz w:val="32"/>
          <w:szCs w:val="32"/>
          <w:highlight w:val="none"/>
        </w:rPr>
        <w:br w:type="page"/>
      </w:r>
      <w:r>
        <w:rPr>
          <w:rFonts w:hint="eastAsia" w:ascii="宋体" w:hAnsi="宋体" w:eastAsia="宋体" w:cs="Times New Roman"/>
          <w:b/>
          <w:bCs/>
          <w:kern w:val="0"/>
          <w:sz w:val="24"/>
          <w:szCs w:val="20"/>
          <w:highlight w:val="none"/>
          <w:lang w:val="en-US" w:eastAsia="zh-CN"/>
        </w:rPr>
        <w:t>5.</w:t>
      </w:r>
      <w:r>
        <w:rPr>
          <w:rFonts w:hint="eastAsia" w:ascii="宋体" w:hAnsi="宋体" w:eastAsia="宋体" w:cs="Times New Roman"/>
          <w:b/>
          <w:bCs/>
          <w:kern w:val="0"/>
          <w:sz w:val="24"/>
          <w:szCs w:val="20"/>
          <w:highlight w:val="none"/>
        </w:rPr>
        <w:t>政府采购违法行为风险知悉确认书</w:t>
      </w:r>
    </w:p>
    <w:p>
      <w:pPr>
        <w:widowControl/>
        <w:jc w:val="center"/>
        <w:rPr>
          <w:rFonts w:ascii="黑体" w:hAnsi="宋体" w:eastAsia="黑体"/>
          <w:kern w:val="0"/>
          <w:sz w:val="24"/>
          <w:szCs w:val="20"/>
          <w:highlight w:val="none"/>
        </w:rPr>
      </w:pPr>
    </w:p>
    <w:p>
      <w:pPr>
        <w:ind w:firstLine="420" w:firstLineChars="200"/>
        <w:rPr>
          <w:highlight w:val="none"/>
        </w:rPr>
      </w:pPr>
      <w:r>
        <w:rPr>
          <w:rFonts w:hint="eastAsia"/>
          <w:highlight w:val="none"/>
        </w:rPr>
        <w:t>本公司在投标前已充分知悉以下情形为参与政府采购活动时的重大风险事项，并承诺已对下述风险提示事项重点排查，做到严谨、诚信、依法依规参与政府采购活动。</w:t>
      </w:r>
    </w:p>
    <w:p>
      <w:pPr>
        <w:ind w:firstLine="422" w:firstLineChars="200"/>
        <w:rPr>
          <w:b/>
          <w:highlight w:val="none"/>
        </w:rPr>
      </w:pPr>
      <w:r>
        <w:rPr>
          <w:rFonts w:hint="eastAsia"/>
          <w:b/>
          <w:highlight w:val="none"/>
        </w:rPr>
        <w:t>一、本公司已充分知悉“隐瞒真实情况，提供虚假资料”的法定情形，相关情形包括但不限于：</w:t>
      </w:r>
    </w:p>
    <w:p>
      <w:pPr>
        <w:ind w:firstLine="420" w:firstLineChars="200"/>
        <w:rPr>
          <w:highlight w:val="none"/>
        </w:rPr>
      </w:pPr>
      <w:r>
        <w:rPr>
          <w:rFonts w:hint="eastAsia"/>
          <w:highlight w:val="none"/>
        </w:rPr>
        <w:t>（一）通过转让或者租借等方式从其他单位获取资格或者资质证书投标的。</w:t>
      </w:r>
    </w:p>
    <w:p>
      <w:pPr>
        <w:ind w:firstLine="420" w:firstLineChars="200"/>
        <w:rPr>
          <w:highlight w:val="none"/>
        </w:rPr>
      </w:pPr>
      <w:r>
        <w:rPr>
          <w:rFonts w:hint="eastAsia"/>
          <w:highlight w:val="none"/>
        </w:rPr>
        <w:t>（二）由其他单位或者其他单位负责人在投标供应商编制的投标文件上加盖印章或者签字的。</w:t>
      </w:r>
    </w:p>
    <w:p>
      <w:pPr>
        <w:ind w:firstLine="420" w:firstLineChars="200"/>
        <w:rPr>
          <w:highlight w:val="none"/>
        </w:rPr>
      </w:pPr>
      <w:r>
        <w:rPr>
          <w:rFonts w:hint="eastAsia"/>
          <w:highlight w:val="none"/>
        </w:rPr>
        <w:t>（三）项目负责人或者主要技术人员不是本单位人员的。</w:t>
      </w:r>
    </w:p>
    <w:p>
      <w:pPr>
        <w:ind w:firstLine="420" w:firstLineChars="200"/>
        <w:rPr>
          <w:highlight w:val="none"/>
        </w:rPr>
      </w:pPr>
      <w:r>
        <w:rPr>
          <w:rFonts w:hint="eastAsia"/>
          <w:highlight w:val="none"/>
        </w:rPr>
        <w:t>（四）投标保证金不是从投标供应商基本账户转出的。</w:t>
      </w:r>
    </w:p>
    <w:p>
      <w:pPr>
        <w:ind w:firstLine="420" w:firstLineChars="200"/>
        <w:rPr>
          <w:highlight w:val="none"/>
        </w:rPr>
      </w:pPr>
      <w:r>
        <w:rPr>
          <w:rFonts w:hint="eastAsia"/>
          <w:highlight w:val="none"/>
        </w:rPr>
        <w:t>（五）其他隐瞒真实情况、提供虚假资料的行为。</w:t>
      </w:r>
    </w:p>
    <w:p>
      <w:pPr>
        <w:ind w:firstLine="422" w:firstLineChars="200"/>
        <w:rPr>
          <w:b/>
          <w:highlight w:val="none"/>
        </w:rPr>
      </w:pPr>
      <w:r>
        <w:rPr>
          <w:rFonts w:hint="eastAsia"/>
          <w:b/>
          <w:highlight w:val="none"/>
        </w:rPr>
        <w:t>二、本公司已充分知悉“与其他采购参加人串通投标”的法定情形，相关情形包括但不限于：</w:t>
      </w:r>
    </w:p>
    <w:p>
      <w:pPr>
        <w:ind w:firstLine="420" w:firstLineChars="200"/>
        <w:rPr>
          <w:highlight w:val="none"/>
        </w:rPr>
      </w:pPr>
      <w:r>
        <w:rPr>
          <w:rFonts w:hint="eastAsia"/>
          <w:highlight w:val="none"/>
        </w:rPr>
        <w:t>（一）投标供应商之间相互约定给予未中标的供应商利益补偿。</w:t>
      </w:r>
    </w:p>
    <w:p>
      <w:pPr>
        <w:ind w:firstLine="420" w:firstLineChars="200"/>
        <w:rPr>
          <w:highlight w:val="none"/>
        </w:rPr>
      </w:pPr>
      <w:r>
        <w:rPr>
          <w:rFonts w:hint="eastAsia"/>
          <w:highlight w:val="none"/>
        </w:rPr>
        <w:t>（二）不同投标供应商的法定代表人、主要经营负责人、项目投标授权代表人、项目负责人、主要技术人员为同一人、属同一单位或者在同一单位缴纳社会保险。</w:t>
      </w:r>
    </w:p>
    <w:p>
      <w:pPr>
        <w:ind w:firstLine="420" w:firstLineChars="200"/>
        <w:rPr>
          <w:highlight w:val="none"/>
        </w:rPr>
      </w:pPr>
      <w:r>
        <w:rPr>
          <w:rFonts w:hint="eastAsia"/>
          <w:highlight w:val="none"/>
        </w:rPr>
        <w:t>（三）不同投标供应商的投标文件由同一单位或者同一人编制，或者由同一人分阶段参与编制的。</w:t>
      </w:r>
    </w:p>
    <w:p>
      <w:pPr>
        <w:ind w:firstLine="420" w:firstLineChars="200"/>
        <w:rPr>
          <w:highlight w:val="none"/>
        </w:rPr>
      </w:pPr>
      <w:r>
        <w:rPr>
          <w:rFonts w:hint="eastAsia"/>
          <w:highlight w:val="none"/>
        </w:rPr>
        <w:t>（四）不同投标供应商的投标文件或部分投标文件相互混装。</w:t>
      </w:r>
    </w:p>
    <w:p>
      <w:pPr>
        <w:ind w:firstLine="420" w:firstLineChars="200"/>
        <w:rPr>
          <w:highlight w:val="none"/>
        </w:rPr>
      </w:pPr>
      <w:r>
        <w:rPr>
          <w:rFonts w:hint="eastAsia"/>
          <w:highlight w:val="none"/>
        </w:rPr>
        <w:t>（五）不同投标供应商的投标文件内容存在非正常一致。</w:t>
      </w:r>
    </w:p>
    <w:p>
      <w:pPr>
        <w:ind w:firstLine="420" w:firstLineChars="200"/>
        <w:rPr>
          <w:highlight w:val="none"/>
        </w:rPr>
      </w:pPr>
      <w:r>
        <w:rPr>
          <w:rFonts w:hint="eastAsia"/>
          <w:highlight w:val="none"/>
        </w:rPr>
        <w:t>（六）由同一单位工作人员为两家以上（含两家）供应商进行同一项投标活动的。</w:t>
      </w:r>
    </w:p>
    <w:p>
      <w:pPr>
        <w:ind w:firstLine="420" w:firstLineChars="200"/>
        <w:rPr>
          <w:highlight w:val="none"/>
        </w:rPr>
      </w:pPr>
      <w:r>
        <w:rPr>
          <w:rFonts w:hint="eastAsia"/>
          <w:highlight w:val="none"/>
        </w:rPr>
        <w:t>（七）不同投标人的投标报价呈规律性差异。</w:t>
      </w:r>
    </w:p>
    <w:p>
      <w:pPr>
        <w:ind w:firstLine="420" w:firstLineChars="200"/>
        <w:rPr>
          <w:highlight w:val="none"/>
        </w:rPr>
      </w:pPr>
      <w:r>
        <w:rPr>
          <w:rFonts w:hint="eastAsia"/>
          <w:highlight w:val="none"/>
        </w:rPr>
        <w:t>（八）不同投标人的投标保证金从同一单位或者个人的账户转出。</w:t>
      </w:r>
    </w:p>
    <w:p>
      <w:pPr>
        <w:ind w:firstLine="420" w:firstLineChars="200"/>
        <w:rPr>
          <w:highlight w:val="none"/>
        </w:rPr>
      </w:pPr>
      <w:r>
        <w:rPr>
          <w:rFonts w:hint="eastAsia"/>
          <w:highlight w:val="none"/>
        </w:rPr>
        <w:t>（九）主管部门依照法律、法规认定的其他情形。</w:t>
      </w:r>
    </w:p>
    <w:p>
      <w:pPr>
        <w:ind w:firstLine="422" w:firstLineChars="200"/>
        <w:rPr>
          <w:b/>
          <w:highlight w:val="none"/>
        </w:rPr>
      </w:pPr>
      <w:r>
        <w:rPr>
          <w:rFonts w:hint="eastAsia"/>
          <w:b/>
          <w:highlight w:val="none"/>
        </w:rPr>
        <w:t>三、本公司已充分知悉下列情形所对应的法律风险，并在投标前已对相关风险事项进行排查。</w:t>
      </w:r>
    </w:p>
    <w:p>
      <w:pPr>
        <w:ind w:firstLine="420" w:firstLineChars="200"/>
        <w:rPr>
          <w:b/>
          <w:highlight w:val="none"/>
        </w:rPr>
      </w:pPr>
      <w:r>
        <w:rPr>
          <w:rFonts w:hint="eastAsia"/>
          <w:highlight w:val="none"/>
        </w:rPr>
        <w:t>（一）对于从其他主体获取的投标资料，供应商应审慎核查，确保投标资料的真实性。</w:t>
      </w:r>
      <w:r>
        <w:rPr>
          <w:rFonts w:hint="eastAsia"/>
          <w:b/>
          <w:highlight w:val="none"/>
        </w:rPr>
        <w:t>如主管部门查实投标文件中存在虚假资料的，无论相关资料是否由第三方或本公司员工提供，均不影响主管部门对供应商存在“隐瞒真实情况，提供虚假资料”违法行为的认定。</w:t>
      </w:r>
    </w:p>
    <w:p>
      <w:pPr>
        <w:ind w:firstLine="420" w:firstLineChars="200"/>
        <w:rPr>
          <w:highlight w:val="none"/>
        </w:rPr>
      </w:pPr>
      <w:r>
        <w:rPr>
          <w:rFonts w:hint="eastAsia"/>
          <w:highlight w:val="none"/>
        </w:rPr>
        <w:t>（二）对于涉及国家机关出具的公文、证件、证明材料等文件，一旦涉嫌虚假，经查实，主管部门将依法从严处理，并移送有关部门追究法律责任；涉嫌犯罪的，主管部门将一并移送司法机关追究法律责任。</w:t>
      </w:r>
    </w:p>
    <w:p>
      <w:pPr>
        <w:ind w:firstLine="420" w:firstLineChars="200"/>
        <w:rPr>
          <w:highlight w:val="none"/>
        </w:rPr>
      </w:pPr>
      <w:r>
        <w:rPr>
          <w:rFonts w:hint="eastAsia"/>
          <w:highlight w:val="none"/>
        </w:rPr>
        <w:t>（三）对于涉及安全生产、特种作业、抢险救灾、防疫等政府采购项目，供应商实施提供虚假资料、串通投标等违法行为的，主管部门将依法从严处理。</w:t>
      </w:r>
    </w:p>
    <w:p>
      <w:pPr>
        <w:ind w:firstLine="420" w:firstLineChars="200"/>
        <w:rPr>
          <w:highlight w:val="none"/>
        </w:rPr>
      </w:pPr>
      <w:r>
        <w:rPr>
          <w:rFonts w:hint="eastAsia"/>
          <w:highlight w:val="none"/>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ind w:firstLine="420" w:firstLineChars="200"/>
        <w:rPr>
          <w:highlight w:val="none"/>
        </w:rPr>
      </w:pPr>
      <w:r>
        <w:rPr>
          <w:rFonts w:hint="eastAsia"/>
          <w:highlight w:val="none"/>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ind w:firstLine="420" w:firstLineChars="200"/>
        <w:rPr>
          <w:highlight w:val="none"/>
        </w:rPr>
      </w:pPr>
      <w:r>
        <w:rPr>
          <w:rFonts w:hint="eastAsia"/>
          <w:highlight w:val="none"/>
        </w:rPr>
        <w:t>（六）单位负责人为同一人或者存在直接控股、管理关系的不同供应商，不得参加同一合同项下的政府采购活动。相关情形如查实，依法作投标无效处理；涉嫌串通投标等违法行为的，主管部门将依法调查处理。</w:t>
      </w:r>
    </w:p>
    <w:p>
      <w:pPr>
        <w:ind w:firstLine="422" w:firstLineChars="200"/>
        <w:rPr>
          <w:b/>
          <w:highlight w:val="none"/>
        </w:rPr>
      </w:pPr>
      <w:r>
        <w:rPr>
          <w:rFonts w:hint="eastAsia"/>
          <w:b/>
          <w:highlight w:val="none"/>
        </w:rPr>
        <w:t>四、本公司已充分知悉政府采购违法、违规行为的法律后果。</w:t>
      </w:r>
    </w:p>
    <w:p>
      <w:pPr>
        <w:ind w:firstLine="420" w:firstLineChars="200"/>
        <w:rPr>
          <w:highlight w:val="none"/>
        </w:rPr>
      </w:pPr>
      <w:r>
        <w:rPr>
          <w:rFonts w:hint="eastAsia"/>
          <w:highlight w:val="none"/>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ind w:firstLine="420" w:firstLineChars="200"/>
        <w:rPr>
          <w:highlight w:val="none"/>
        </w:rPr>
      </w:pPr>
      <w:r>
        <w:rPr>
          <w:rFonts w:hint="eastAsia"/>
          <w:highlight w:val="none"/>
        </w:rPr>
        <w:t>以下文字请投标供应商抄写并确认：“本公司已仔细阅读《政府采购违法行为风险知悉确认书》，充分知悉违法行为的法律后果，并承诺将严谨、诚信、依法依规参与政府采购活动”。</w:t>
      </w:r>
    </w:p>
    <w:tbl>
      <w:tblPr>
        <w:tblStyle w:val="34"/>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autoSpaceDE w:val="0"/>
              <w:autoSpaceDN w:val="0"/>
              <w:spacing w:line="400" w:lineRule="exact"/>
              <w:ind w:firstLine="1866"/>
              <w:rPr>
                <w:rFonts w:ascii="宋体" w:hAnsi="宋体" w:eastAsiaTheme="minorEastAsia"/>
                <w:spacing w:val="-4"/>
                <w:kern w:val="0"/>
                <w:szCs w:val="21"/>
                <w:highlight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ascii="宋体" w:hAnsi="宋体" w:eastAsiaTheme="minorEastAsia"/>
                <w:spacing w:val="-4"/>
                <w:kern w:val="0"/>
                <w:szCs w:val="21"/>
                <w:highlight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ascii="宋体" w:hAnsi="宋体" w:eastAsiaTheme="minorEastAsia"/>
                <w:spacing w:val="-4"/>
                <w:kern w:val="0"/>
                <w:szCs w:val="21"/>
                <w:highlight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autoSpaceDE w:val="0"/>
              <w:autoSpaceDN w:val="0"/>
              <w:spacing w:line="400" w:lineRule="exact"/>
              <w:ind w:firstLine="1866"/>
              <w:rPr>
                <w:rFonts w:ascii="宋体" w:hAnsi="宋体" w:eastAsiaTheme="minorEastAsia"/>
                <w:spacing w:val="-4"/>
                <w:kern w:val="0"/>
                <w:szCs w:val="21"/>
                <w:highlight w:val="none"/>
              </w:rPr>
            </w:pPr>
          </w:p>
        </w:tc>
      </w:tr>
    </w:tbl>
    <w:p>
      <w:pPr>
        <w:widowControl/>
        <w:wordWrap w:val="0"/>
        <w:autoSpaceDE w:val="0"/>
        <w:autoSpaceDN w:val="0"/>
        <w:spacing w:line="400" w:lineRule="exact"/>
        <w:ind w:right="808" w:firstLine="404" w:firstLineChars="200"/>
        <w:jc w:val="right"/>
        <w:rPr>
          <w:rFonts w:ascii="宋体" w:hAnsi="宋体" w:eastAsiaTheme="minorEastAsia"/>
          <w:spacing w:val="-4"/>
          <w:kern w:val="0"/>
          <w:szCs w:val="21"/>
          <w:highlight w:val="none"/>
          <w:u w:val="single"/>
        </w:rPr>
      </w:pPr>
      <w:r>
        <w:rPr>
          <w:rFonts w:hint="eastAsia" w:ascii="宋体" w:hAnsi="宋体" w:eastAsiaTheme="minorEastAsia"/>
          <w:spacing w:val="-4"/>
          <w:kern w:val="0"/>
          <w:szCs w:val="21"/>
          <w:highlight w:val="none"/>
        </w:rPr>
        <w:t>负责人/投标授权代表签名：</w:t>
      </w:r>
      <w:r>
        <w:rPr>
          <w:rFonts w:hint="eastAsia" w:ascii="宋体" w:hAnsi="宋体" w:eastAsiaTheme="minorEastAsia"/>
          <w:spacing w:val="-4"/>
          <w:kern w:val="0"/>
          <w:szCs w:val="21"/>
          <w:highlight w:val="none"/>
          <w:u w:val="single"/>
        </w:rPr>
        <w:t xml:space="preserve">              </w:t>
      </w:r>
    </w:p>
    <w:p>
      <w:pPr>
        <w:widowControl/>
        <w:wordWrap w:val="0"/>
        <w:autoSpaceDE w:val="0"/>
        <w:autoSpaceDN w:val="0"/>
        <w:spacing w:line="400" w:lineRule="exact"/>
        <w:ind w:right="808" w:firstLine="404" w:firstLineChars="200"/>
        <w:jc w:val="right"/>
        <w:rPr>
          <w:rFonts w:ascii="宋体" w:hAnsi="宋体" w:eastAsiaTheme="minorEastAsia"/>
          <w:spacing w:val="-4"/>
          <w:kern w:val="0"/>
          <w:szCs w:val="21"/>
          <w:highlight w:val="none"/>
          <w:u w:val="single"/>
        </w:rPr>
      </w:pPr>
      <w:r>
        <w:rPr>
          <w:rFonts w:hint="eastAsia" w:ascii="宋体" w:hAnsi="宋体" w:eastAsiaTheme="minorEastAsia"/>
          <w:spacing w:val="-4"/>
          <w:kern w:val="0"/>
          <w:szCs w:val="21"/>
          <w:highlight w:val="none"/>
        </w:rPr>
        <w:t>知悉人（公章）：</w:t>
      </w:r>
      <w:r>
        <w:rPr>
          <w:rFonts w:hint="eastAsia" w:ascii="宋体" w:hAnsi="宋体" w:eastAsiaTheme="minorEastAsia"/>
          <w:spacing w:val="-4"/>
          <w:kern w:val="0"/>
          <w:szCs w:val="21"/>
          <w:highlight w:val="none"/>
          <w:u w:val="single"/>
        </w:rPr>
        <w:t xml:space="preserve">              </w:t>
      </w:r>
    </w:p>
    <w:p>
      <w:pPr>
        <w:widowControl/>
        <w:wordWrap w:val="0"/>
        <w:autoSpaceDE w:val="0"/>
        <w:autoSpaceDN w:val="0"/>
        <w:spacing w:line="400" w:lineRule="exact"/>
        <w:ind w:right="808" w:firstLine="404" w:firstLineChars="200"/>
        <w:jc w:val="right"/>
        <w:rPr>
          <w:rFonts w:ascii="宋体" w:hAnsi="宋体" w:eastAsiaTheme="minorEastAsia"/>
          <w:spacing w:val="-4"/>
          <w:kern w:val="0"/>
          <w:szCs w:val="21"/>
          <w:highlight w:val="none"/>
          <w:u w:val="single"/>
        </w:rPr>
      </w:pPr>
      <w:r>
        <w:rPr>
          <w:rFonts w:hint="eastAsia" w:ascii="宋体" w:hAnsi="宋体" w:eastAsiaTheme="minorEastAsia"/>
          <w:spacing w:val="-4"/>
          <w:kern w:val="0"/>
          <w:szCs w:val="21"/>
          <w:highlight w:val="none"/>
        </w:rPr>
        <w:t xml:space="preserve">     日期：</w:t>
      </w:r>
      <w:r>
        <w:rPr>
          <w:rFonts w:hint="eastAsia" w:ascii="宋体" w:hAnsi="宋体" w:eastAsiaTheme="minorEastAsia"/>
          <w:spacing w:val="-4"/>
          <w:kern w:val="0"/>
          <w:szCs w:val="21"/>
          <w:highlight w:val="none"/>
          <w:u w:val="single"/>
        </w:rPr>
        <w:t xml:space="preserve">              </w:t>
      </w:r>
    </w:p>
    <w:p>
      <w:pPr>
        <w:widowControl/>
        <w:wordWrap w:val="0"/>
        <w:autoSpaceDE w:val="0"/>
        <w:autoSpaceDN w:val="0"/>
        <w:spacing w:line="400" w:lineRule="exact"/>
        <w:ind w:right="1414" w:firstLine="404" w:firstLineChars="200"/>
        <w:jc w:val="right"/>
        <w:rPr>
          <w:rFonts w:ascii="宋体" w:hAnsi="宋体" w:eastAsiaTheme="minorEastAsia"/>
          <w:spacing w:val="-4"/>
          <w:kern w:val="0"/>
          <w:szCs w:val="21"/>
          <w:highlight w:val="none"/>
        </w:rPr>
      </w:pPr>
      <w:r>
        <w:rPr>
          <w:rFonts w:hint="eastAsia" w:ascii="宋体" w:hAnsi="宋体" w:eastAsiaTheme="minorEastAsia"/>
          <w:spacing w:val="-4"/>
          <w:kern w:val="0"/>
          <w:szCs w:val="21"/>
          <w:highlight w:val="none"/>
        </w:rPr>
        <w:t xml:space="preserve">     </w:t>
      </w:r>
    </w:p>
    <w:p>
      <w:pPr>
        <w:widowControl/>
        <w:autoSpaceDE w:val="0"/>
        <w:autoSpaceDN w:val="0"/>
        <w:spacing w:line="400" w:lineRule="exact"/>
        <w:ind w:firstLine="406" w:firstLineChars="200"/>
        <w:jc w:val="left"/>
        <w:rPr>
          <w:rFonts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注：</w:t>
      </w:r>
    </w:p>
    <w:p>
      <w:pPr>
        <w:widowControl/>
        <w:autoSpaceDE w:val="0"/>
        <w:autoSpaceDN w:val="0"/>
        <w:spacing w:line="400" w:lineRule="exact"/>
        <w:ind w:firstLine="406" w:firstLineChars="200"/>
        <w:jc w:val="left"/>
        <w:rPr>
          <w:rFonts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1.</w:t>
      </w:r>
      <w:r>
        <w:rPr>
          <w:rFonts w:hint="eastAsia"/>
          <w:highlight w:val="none"/>
        </w:rPr>
        <w:t xml:space="preserve"> </w:t>
      </w:r>
      <w:r>
        <w:rPr>
          <w:rFonts w:hint="eastAsia" w:ascii="宋体" w:hAnsi="宋体" w:eastAsiaTheme="minorEastAsia"/>
          <w:b/>
          <w:bCs/>
          <w:color w:val="FF0000"/>
          <w:spacing w:val="-4"/>
          <w:kern w:val="0"/>
          <w:szCs w:val="21"/>
          <w:highlight w:val="none"/>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06" w:firstLineChars="200"/>
        <w:jc w:val="left"/>
        <w:rPr>
          <w:rFonts w:ascii="宋体" w:hAnsi="宋体" w:eastAsiaTheme="minorEastAsia"/>
          <w:color w:val="FF0000"/>
          <w:spacing w:val="-4"/>
          <w:kern w:val="0"/>
          <w:szCs w:val="21"/>
          <w:highlight w:val="none"/>
        </w:rPr>
      </w:pPr>
      <w:r>
        <w:rPr>
          <w:rFonts w:hint="eastAsia" w:ascii="宋体" w:hAnsi="宋体" w:eastAsiaTheme="minorEastAsia"/>
          <w:b/>
          <w:bCs/>
          <w:color w:val="FF0000"/>
          <w:spacing w:val="-4"/>
          <w:kern w:val="0"/>
          <w:szCs w:val="21"/>
          <w:highlight w:val="none"/>
        </w:rPr>
        <w:t>2.投标供应商负责人或投标授权代表签字并加盖单位公章后，扫描上传至投标文件一并提交。</w:t>
      </w:r>
    </w:p>
    <w:p>
      <w:pPr>
        <w:widowControl/>
        <w:jc w:val="left"/>
        <w:rPr>
          <w:rFonts w:ascii="宋体" w:hAnsi="宋体" w:eastAsia="宋体" w:cs="Times New Roman"/>
          <w:color w:val="FF0000"/>
          <w:sz w:val="32"/>
          <w:szCs w:val="32"/>
          <w:highlight w:val="none"/>
        </w:rPr>
      </w:pPr>
    </w:p>
    <w:p>
      <w:pPr>
        <w:widowControl/>
        <w:jc w:val="left"/>
        <w:rPr>
          <w:rFonts w:ascii="宋体" w:hAnsi="宋体" w:eastAsia="宋体" w:cs="Times New Roman"/>
          <w:color w:val="FF0000"/>
          <w:sz w:val="32"/>
          <w:szCs w:val="32"/>
          <w:highlight w:val="none"/>
        </w:rPr>
      </w:pPr>
    </w:p>
    <w:p>
      <w:pPr>
        <w:widowControl/>
        <w:jc w:val="left"/>
        <w:rPr>
          <w:rFonts w:ascii="宋体" w:hAnsi="宋体" w:eastAsia="宋体" w:cs="Times New Roman"/>
          <w:color w:val="FF0000"/>
          <w:sz w:val="32"/>
          <w:szCs w:val="32"/>
          <w:highlight w:val="none"/>
        </w:rPr>
      </w:pPr>
    </w:p>
    <w:p>
      <w:pPr>
        <w:widowControl/>
        <w:jc w:val="left"/>
        <w:rPr>
          <w:rFonts w:ascii="宋体" w:hAnsi="宋体" w:eastAsia="宋体" w:cs="Times New Roman"/>
          <w:color w:val="FF0000"/>
          <w:sz w:val="32"/>
          <w:szCs w:val="32"/>
          <w:highlight w:val="none"/>
        </w:rPr>
      </w:pPr>
    </w:p>
    <w:p>
      <w:pPr>
        <w:widowControl/>
        <w:jc w:val="left"/>
        <w:rPr>
          <w:rFonts w:ascii="宋体" w:hAnsi="宋体" w:eastAsia="宋体" w:cs="Times New Roman"/>
          <w:color w:val="FF0000"/>
          <w:sz w:val="32"/>
          <w:szCs w:val="32"/>
          <w:highlight w:val="none"/>
        </w:rPr>
      </w:pPr>
    </w:p>
    <w:p>
      <w:pPr>
        <w:widowControl/>
        <w:jc w:val="left"/>
        <w:rPr>
          <w:rFonts w:ascii="宋体" w:hAnsi="宋体" w:eastAsia="宋体" w:cs="Times New Roman"/>
          <w:color w:val="FF0000"/>
          <w:sz w:val="32"/>
          <w:szCs w:val="32"/>
          <w:highlight w:val="none"/>
        </w:rPr>
      </w:pPr>
    </w:p>
    <w:p>
      <w:pPr>
        <w:widowControl/>
        <w:jc w:val="left"/>
        <w:rPr>
          <w:rFonts w:ascii="宋体" w:hAnsi="宋体" w:eastAsia="宋体" w:cs="Times New Roman"/>
          <w:color w:val="FF0000"/>
          <w:sz w:val="32"/>
          <w:szCs w:val="32"/>
          <w:highlight w:val="none"/>
        </w:rPr>
      </w:pPr>
    </w:p>
    <w:p>
      <w:pPr>
        <w:widowControl/>
        <w:jc w:val="left"/>
        <w:rPr>
          <w:rFonts w:ascii="宋体" w:hAnsi="宋体" w:eastAsia="宋体" w:cs="Times New Roman"/>
          <w:color w:val="FF0000"/>
          <w:sz w:val="32"/>
          <w:szCs w:val="32"/>
          <w:highlight w:val="none"/>
        </w:rPr>
      </w:pPr>
    </w:p>
    <w:p>
      <w:pPr>
        <w:widowControl/>
        <w:jc w:val="left"/>
        <w:rPr>
          <w:rFonts w:ascii="宋体" w:hAnsi="宋体" w:eastAsia="宋体" w:cs="Times New Roman"/>
          <w:color w:val="FF0000"/>
          <w:sz w:val="32"/>
          <w:szCs w:val="32"/>
          <w:highlight w:val="none"/>
        </w:rPr>
      </w:pPr>
    </w:p>
    <w:p>
      <w:pPr>
        <w:widowControl/>
        <w:jc w:val="left"/>
        <w:rPr>
          <w:rFonts w:ascii="宋体" w:hAnsi="宋体" w:eastAsia="宋体" w:cs="Times New Roman"/>
          <w:color w:val="FF0000"/>
          <w:sz w:val="32"/>
          <w:szCs w:val="32"/>
          <w:highlight w:val="none"/>
        </w:rPr>
      </w:pPr>
    </w:p>
    <w:p>
      <w:pPr>
        <w:widowControl/>
        <w:jc w:val="left"/>
        <w:rPr>
          <w:rFonts w:ascii="宋体" w:hAnsi="宋体" w:eastAsia="宋体" w:cs="Times New Roman"/>
          <w:color w:val="FF0000"/>
          <w:sz w:val="32"/>
          <w:szCs w:val="32"/>
          <w:highlight w:val="none"/>
        </w:rPr>
      </w:pPr>
    </w:p>
    <w:p>
      <w:pPr>
        <w:widowControl/>
        <w:jc w:val="left"/>
        <w:rPr>
          <w:rFonts w:ascii="宋体" w:hAnsi="宋体" w:eastAsia="宋体" w:cs="Times New Roman"/>
          <w:color w:val="FF0000"/>
          <w:sz w:val="32"/>
          <w:szCs w:val="32"/>
          <w:highlight w:val="none"/>
        </w:rPr>
      </w:pPr>
    </w:p>
    <w:p>
      <w:pPr>
        <w:widowControl/>
        <w:jc w:val="left"/>
        <w:rPr>
          <w:rFonts w:ascii="宋体" w:hAnsi="宋体" w:eastAsia="宋体" w:cs="Times New Roman"/>
          <w:color w:val="FF0000"/>
          <w:sz w:val="32"/>
          <w:szCs w:val="32"/>
          <w:highlight w:val="none"/>
        </w:rPr>
      </w:pPr>
    </w:p>
    <w:p>
      <w:pPr>
        <w:keepNext/>
        <w:keepLines/>
        <w:adjustRightInd w:val="0"/>
        <w:snapToGrid w:val="0"/>
        <w:spacing w:line="360" w:lineRule="auto"/>
        <w:jc w:val="center"/>
        <w:textAlignment w:val="baseline"/>
        <w:outlineLvl w:val="3"/>
        <w:rPr>
          <w:rFonts w:ascii="宋体" w:hAnsi="宋体" w:eastAsia="宋体" w:cs="Times New Roman"/>
          <w:kern w:val="0"/>
          <w:sz w:val="24"/>
          <w:szCs w:val="20"/>
          <w:highlight w:val="none"/>
        </w:rPr>
      </w:pPr>
      <w:r>
        <w:rPr>
          <w:rFonts w:hint="eastAsia" w:ascii="宋体" w:hAnsi="宋体" w:eastAsia="宋体" w:cs="Times New Roman"/>
          <w:b/>
          <w:bCs/>
          <w:kern w:val="0"/>
          <w:sz w:val="24"/>
          <w:szCs w:val="20"/>
          <w:highlight w:val="none"/>
          <w:lang w:val="en-US" w:eastAsia="zh-CN"/>
        </w:rPr>
        <w:t>6</w:t>
      </w:r>
      <w:r>
        <w:rPr>
          <w:rFonts w:hint="eastAsia" w:ascii="宋体" w:hAnsi="宋体" w:eastAsia="宋体" w:cs="Times New Roman"/>
          <w:b/>
          <w:bCs/>
          <w:kern w:val="0"/>
          <w:sz w:val="24"/>
          <w:szCs w:val="20"/>
          <w:highlight w:val="none"/>
        </w:rPr>
        <w:t>.人员情况表</w:t>
      </w:r>
    </w:p>
    <w:tbl>
      <w:tblPr>
        <w:tblStyle w:val="16"/>
        <w:tblW w:w="9088" w:type="dxa"/>
        <w:tblInd w:w="92"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67"/>
        <w:gridCol w:w="1276"/>
        <w:gridCol w:w="1559"/>
        <w:gridCol w:w="2126"/>
        <w:gridCol w:w="326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867" w:type="dxa"/>
            <w:tcBorders>
              <w:top w:val="double" w:color="auto" w:sz="4" w:space="0"/>
              <w:left w:val="double" w:color="auto" w:sz="4" w:space="0"/>
              <w:bottom w:val="double" w:color="auto" w:sz="4" w:space="0"/>
              <w:right w:val="double" w:color="auto" w:sz="4" w:space="0"/>
            </w:tcBorders>
            <w:vAlign w:val="center"/>
          </w:tcPr>
          <w:p>
            <w:pPr>
              <w:spacing w:afterLines="25" w:line="300" w:lineRule="auto"/>
              <w:jc w:val="center"/>
              <w:rPr>
                <w:rFonts w:ascii="宋体" w:hAnsi="宋体" w:eastAsia="宋体" w:cs="Arial"/>
                <w:b/>
                <w:sz w:val="24"/>
                <w:szCs w:val="24"/>
                <w:highlight w:val="none"/>
              </w:rPr>
            </w:pPr>
            <w:r>
              <w:rPr>
                <w:rFonts w:hint="eastAsia" w:ascii="宋体" w:hAnsi="宋体" w:eastAsia="宋体" w:cs="Arial"/>
                <w:b/>
                <w:sz w:val="24"/>
                <w:szCs w:val="24"/>
                <w:highlight w:val="none"/>
              </w:rPr>
              <w:t>序号</w:t>
            </w:r>
          </w:p>
        </w:tc>
        <w:tc>
          <w:tcPr>
            <w:tcW w:w="1276" w:type="dxa"/>
            <w:tcBorders>
              <w:top w:val="double" w:color="auto" w:sz="4" w:space="0"/>
              <w:left w:val="double" w:color="auto" w:sz="4" w:space="0"/>
              <w:bottom w:val="double" w:color="auto" w:sz="4" w:space="0"/>
              <w:right w:val="double" w:color="auto" w:sz="4" w:space="0"/>
            </w:tcBorders>
            <w:vAlign w:val="center"/>
          </w:tcPr>
          <w:p>
            <w:pPr>
              <w:spacing w:afterLines="25" w:line="300" w:lineRule="auto"/>
              <w:jc w:val="center"/>
              <w:rPr>
                <w:rFonts w:ascii="宋体" w:hAnsi="宋体" w:eastAsia="宋体" w:cs="Arial"/>
                <w:b/>
                <w:sz w:val="24"/>
                <w:szCs w:val="24"/>
                <w:highlight w:val="none"/>
              </w:rPr>
            </w:pPr>
            <w:r>
              <w:rPr>
                <w:rFonts w:hint="eastAsia" w:ascii="宋体" w:hAnsi="宋体" w:eastAsia="宋体" w:cs="Arial"/>
                <w:b/>
                <w:sz w:val="24"/>
                <w:szCs w:val="24"/>
                <w:highlight w:val="none"/>
              </w:rPr>
              <w:t>职务</w:t>
            </w:r>
          </w:p>
        </w:tc>
        <w:tc>
          <w:tcPr>
            <w:tcW w:w="1559" w:type="dxa"/>
            <w:tcBorders>
              <w:top w:val="double" w:color="auto" w:sz="4" w:space="0"/>
              <w:left w:val="double" w:color="auto" w:sz="4" w:space="0"/>
              <w:bottom w:val="double" w:color="auto" w:sz="4" w:space="0"/>
              <w:right w:val="double" w:color="auto" w:sz="4" w:space="0"/>
            </w:tcBorders>
            <w:vAlign w:val="center"/>
          </w:tcPr>
          <w:p>
            <w:pPr>
              <w:spacing w:afterLines="25" w:line="300" w:lineRule="auto"/>
              <w:jc w:val="center"/>
              <w:rPr>
                <w:rFonts w:ascii="宋体" w:hAnsi="宋体" w:eastAsia="宋体" w:cs="Arial"/>
                <w:b/>
                <w:sz w:val="24"/>
                <w:szCs w:val="24"/>
                <w:highlight w:val="none"/>
              </w:rPr>
            </w:pPr>
            <w:r>
              <w:rPr>
                <w:rFonts w:hint="eastAsia" w:ascii="宋体" w:hAnsi="宋体" w:eastAsia="宋体" w:cs="Arial"/>
                <w:b/>
                <w:sz w:val="24"/>
                <w:szCs w:val="24"/>
                <w:highlight w:val="none"/>
              </w:rPr>
              <w:t>姓名</w:t>
            </w:r>
          </w:p>
        </w:tc>
        <w:tc>
          <w:tcPr>
            <w:tcW w:w="2126" w:type="dxa"/>
            <w:tcBorders>
              <w:top w:val="double" w:color="auto" w:sz="4" w:space="0"/>
              <w:left w:val="double" w:color="auto" w:sz="4" w:space="0"/>
              <w:bottom w:val="double" w:color="auto" w:sz="4" w:space="0"/>
              <w:right w:val="double" w:color="auto" w:sz="4" w:space="0"/>
            </w:tcBorders>
            <w:vAlign w:val="center"/>
          </w:tcPr>
          <w:p>
            <w:pPr>
              <w:spacing w:afterLines="25" w:line="300" w:lineRule="auto"/>
              <w:jc w:val="center"/>
              <w:rPr>
                <w:rFonts w:ascii="宋体" w:hAnsi="宋体" w:eastAsia="宋体" w:cs="Arial"/>
                <w:b/>
                <w:sz w:val="24"/>
                <w:szCs w:val="24"/>
                <w:highlight w:val="none"/>
              </w:rPr>
            </w:pPr>
            <w:r>
              <w:rPr>
                <w:rFonts w:hint="eastAsia" w:ascii="宋体" w:hAnsi="宋体" w:eastAsia="宋体" w:cs="Arial"/>
                <w:b/>
                <w:sz w:val="24"/>
                <w:szCs w:val="24"/>
                <w:highlight w:val="none"/>
              </w:rPr>
              <w:t>相关证书</w:t>
            </w:r>
          </w:p>
        </w:tc>
        <w:tc>
          <w:tcPr>
            <w:tcW w:w="3260" w:type="dxa"/>
            <w:tcBorders>
              <w:top w:val="double" w:color="auto" w:sz="4" w:space="0"/>
              <w:left w:val="double" w:color="auto" w:sz="4" w:space="0"/>
              <w:bottom w:val="double" w:color="auto" w:sz="4" w:space="0"/>
              <w:right w:val="double" w:color="auto" w:sz="4" w:space="0"/>
            </w:tcBorders>
            <w:vAlign w:val="center"/>
          </w:tcPr>
          <w:p>
            <w:pPr>
              <w:spacing w:afterLines="25" w:line="300" w:lineRule="auto"/>
              <w:jc w:val="center"/>
              <w:rPr>
                <w:rFonts w:ascii="宋体" w:hAnsi="宋体" w:eastAsia="宋体" w:cs="Arial"/>
                <w:b/>
                <w:sz w:val="24"/>
                <w:szCs w:val="24"/>
                <w:highlight w:val="none"/>
              </w:rPr>
            </w:pPr>
            <w:r>
              <w:rPr>
                <w:rFonts w:hint="eastAsia" w:ascii="宋体" w:hAnsi="宋体" w:eastAsia="宋体" w:cs="Arial"/>
                <w:b/>
                <w:sz w:val="24"/>
                <w:szCs w:val="24"/>
                <w:highlight w:val="none"/>
              </w:rPr>
              <w:t>相关经验</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20" w:hRule="atLeast"/>
        </w:trPr>
        <w:tc>
          <w:tcPr>
            <w:tcW w:w="867" w:type="dxa"/>
            <w:tcBorders>
              <w:top w:val="double" w:color="auto" w:sz="4" w:space="0"/>
              <w:left w:val="double" w:color="auto" w:sz="4" w:space="0"/>
              <w:bottom w:val="double" w:color="auto" w:sz="4" w:space="0"/>
              <w:right w:val="double" w:color="auto" w:sz="4" w:space="0"/>
            </w:tcBorders>
          </w:tcPr>
          <w:p>
            <w:pPr>
              <w:spacing w:afterLines="25" w:line="300" w:lineRule="auto"/>
              <w:rPr>
                <w:rFonts w:ascii="宋体" w:hAnsi="宋体" w:eastAsia="宋体" w:cs="Arial"/>
                <w:sz w:val="24"/>
                <w:szCs w:val="24"/>
                <w:highlight w:val="none"/>
              </w:rPr>
            </w:pPr>
          </w:p>
        </w:tc>
        <w:tc>
          <w:tcPr>
            <w:tcW w:w="1276" w:type="dxa"/>
            <w:tcBorders>
              <w:top w:val="double" w:color="auto" w:sz="4" w:space="0"/>
              <w:left w:val="double" w:color="auto" w:sz="4" w:space="0"/>
              <w:bottom w:val="double" w:color="auto" w:sz="4" w:space="0"/>
              <w:right w:val="double" w:color="auto" w:sz="4" w:space="0"/>
            </w:tcBorders>
          </w:tcPr>
          <w:p>
            <w:pPr>
              <w:spacing w:afterLines="25" w:line="300" w:lineRule="auto"/>
              <w:rPr>
                <w:rFonts w:ascii="宋体" w:hAnsi="宋体" w:eastAsia="宋体" w:cs="Arial"/>
                <w:sz w:val="24"/>
                <w:szCs w:val="24"/>
                <w:highlight w:val="none"/>
              </w:rPr>
            </w:pPr>
          </w:p>
        </w:tc>
        <w:tc>
          <w:tcPr>
            <w:tcW w:w="1559" w:type="dxa"/>
            <w:tcBorders>
              <w:top w:val="double" w:color="auto" w:sz="4" w:space="0"/>
              <w:left w:val="double" w:color="auto" w:sz="4" w:space="0"/>
              <w:bottom w:val="double" w:color="auto" w:sz="4" w:space="0"/>
              <w:right w:val="double" w:color="auto" w:sz="4" w:space="0"/>
            </w:tcBorders>
          </w:tcPr>
          <w:p>
            <w:pPr>
              <w:spacing w:afterLines="25" w:line="300" w:lineRule="auto"/>
              <w:rPr>
                <w:rFonts w:ascii="宋体" w:hAnsi="宋体" w:eastAsia="宋体" w:cs="Arial"/>
                <w:sz w:val="24"/>
                <w:szCs w:val="24"/>
                <w:highlight w:val="none"/>
              </w:rPr>
            </w:pPr>
          </w:p>
        </w:tc>
        <w:tc>
          <w:tcPr>
            <w:tcW w:w="2126" w:type="dxa"/>
            <w:tcBorders>
              <w:top w:val="double" w:color="auto" w:sz="4" w:space="0"/>
              <w:left w:val="double" w:color="auto" w:sz="4" w:space="0"/>
              <w:bottom w:val="double" w:color="auto" w:sz="4" w:space="0"/>
              <w:right w:val="double" w:color="auto" w:sz="4" w:space="0"/>
            </w:tcBorders>
          </w:tcPr>
          <w:p>
            <w:pPr>
              <w:spacing w:afterLines="25" w:line="300" w:lineRule="auto"/>
              <w:rPr>
                <w:rFonts w:ascii="宋体" w:hAnsi="宋体" w:eastAsia="宋体" w:cs="Arial"/>
                <w:sz w:val="24"/>
                <w:szCs w:val="24"/>
                <w:highlight w:val="none"/>
              </w:rPr>
            </w:pPr>
          </w:p>
        </w:tc>
        <w:tc>
          <w:tcPr>
            <w:tcW w:w="3260" w:type="dxa"/>
            <w:tcBorders>
              <w:top w:val="double" w:color="auto" w:sz="4" w:space="0"/>
              <w:left w:val="double" w:color="auto" w:sz="4" w:space="0"/>
              <w:bottom w:val="double" w:color="auto" w:sz="4" w:space="0"/>
              <w:right w:val="double" w:color="auto" w:sz="4" w:space="0"/>
            </w:tcBorders>
          </w:tcPr>
          <w:p>
            <w:pPr>
              <w:spacing w:afterLines="25" w:line="300" w:lineRule="auto"/>
              <w:rPr>
                <w:rFonts w:ascii="宋体" w:hAnsi="宋体" w:eastAsia="宋体" w:cs="Arial"/>
                <w:sz w:val="24"/>
                <w:szCs w:val="24"/>
                <w:highlight w:val="none"/>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20" w:hRule="atLeast"/>
        </w:trPr>
        <w:tc>
          <w:tcPr>
            <w:tcW w:w="867" w:type="dxa"/>
            <w:tcBorders>
              <w:top w:val="double" w:color="auto" w:sz="4" w:space="0"/>
              <w:left w:val="double" w:color="auto" w:sz="4" w:space="0"/>
              <w:bottom w:val="double" w:color="auto" w:sz="4" w:space="0"/>
              <w:right w:val="double" w:color="auto" w:sz="4" w:space="0"/>
            </w:tcBorders>
          </w:tcPr>
          <w:p>
            <w:pPr>
              <w:spacing w:afterLines="25" w:line="300" w:lineRule="auto"/>
              <w:rPr>
                <w:rFonts w:ascii="宋体" w:hAnsi="宋体" w:eastAsia="宋体" w:cs="Arial"/>
                <w:sz w:val="24"/>
                <w:szCs w:val="24"/>
                <w:highlight w:val="none"/>
              </w:rPr>
            </w:pPr>
          </w:p>
        </w:tc>
        <w:tc>
          <w:tcPr>
            <w:tcW w:w="1276" w:type="dxa"/>
            <w:tcBorders>
              <w:top w:val="double" w:color="auto" w:sz="4" w:space="0"/>
              <w:left w:val="double" w:color="auto" w:sz="4" w:space="0"/>
              <w:bottom w:val="double" w:color="auto" w:sz="4" w:space="0"/>
              <w:right w:val="double" w:color="auto" w:sz="4" w:space="0"/>
            </w:tcBorders>
          </w:tcPr>
          <w:p>
            <w:pPr>
              <w:spacing w:afterLines="25" w:line="300" w:lineRule="auto"/>
              <w:rPr>
                <w:rFonts w:ascii="宋体" w:hAnsi="宋体" w:eastAsia="宋体" w:cs="Arial"/>
                <w:sz w:val="24"/>
                <w:szCs w:val="24"/>
                <w:highlight w:val="none"/>
              </w:rPr>
            </w:pPr>
          </w:p>
        </w:tc>
        <w:tc>
          <w:tcPr>
            <w:tcW w:w="1559" w:type="dxa"/>
            <w:tcBorders>
              <w:top w:val="double" w:color="auto" w:sz="4" w:space="0"/>
              <w:left w:val="double" w:color="auto" w:sz="4" w:space="0"/>
              <w:bottom w:val="double" w:color="auto" w:sz="4" w:space="0"/>
              <w:right w:val="double" w:color="auto" w:sz="4" w:space="0"/>
            </w:tcBorders>
          </w:tcPr>
          <w:p>
            <w:pPr>
              <w:spacing w:afterLines="25" w:line="300" w:lineRule="auto"/>
              <w:rPr>
                <w:rFonts w:ascii="宋体" w:hAnsi="宋体" w:eastAsia="宋体" w:cs="Arial"/>
                <w:sz w:val="24"/>
                <w:szCs w:val="24"/>
                <w:highlight w:val="none"/>
              </w:rPr>
            </w:pPr>
          </w:p>
        </w:tc>
        <w:tc>
          <w:tcPr>
            <w:tcW w:w="2126" w:type="dxa"/>
            <w:tcBorders>
              <w:top w:val="double" w:color="auto" w:sz="4" w:space="0"/>
              <w:left w:val="double" w:color="auto" w:sz="4" w:space="0"/>
              <w:bottom w:val="double" w:color="auto" w:sz="4" w:space="0"/>
              <w:right w:val="double" w:color="auto" w:sz="4" w:space="0"/>
            </w:tcBorders>
          </w:tcPr>
          <w:p>
            <w:pPr>
              <w:spacing w:afterLines="25" w:line="300" w:lineRule="auto"/>
              <w:rPr>
                <w:rFonts w:ascii="宋体" w:hAnsi="宋体" w:eastAsia="宋体" w:cs="Arial"/>
                <w:sz w:val="24"/>
                <w:szCs w:val="24"/>
                <w:highlight w:val="none"/>
              </w:rPr>
            </w:pPr>
          </w:p>
        </w:tc>
        <w:tc>
          <w:tcPr>
            <w:tcW w:w="3260" w:type="dxa"/>
            <w:tcBorders>
              <w:top w:val="double" w:color="auto" w:sz="4" w:space="0"/>
              <w:left w:val="double" w:color="auto" w:sz="4" w:space="0"/>
              <w:bottom w:val="double" w:color="auto" w:sz="4" w:space="0"/>
              <w:right w:val="double" w:color="auto" w:sz="4" w:space="0"/>
            </w:tcBorders>
          </w:tcPr>
          <w:p>
            <w:pPr>
              <w:spacing w:afterLines="25" w:line="300" w:lineRule="auto"/>
              <w:rPr>
                <w:rFonts w:ascii="宋体" w:hAnsi="宋体" w:eastAsia="宋体" w:cs="Arial"/>
                <w:sz w:val="24"/>
                <w:szCs w:val="24"/>
                <w:highlight w:val="none"/>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20" w:hRule="atLeast"/>
        </w:trPr>
        <w:tc>
          <w:tcPr>
            <w:tcW w:w="867" w:type="dxa"/>
            <w:tcBorders>
              <w:top w:val="double" w:color="auto" w:sz="4" w:space="0"/>
              <w:left w:val="double" w:color="auto" w:sz="4" w:space="0"/>
              <w:bottom w:val="double" w:color="auto" w:sz="4" w:space="0"/>
              <w:right w:val="double" w:color="auto" w:sz="4" w:space="0"/>
            </w:tcBorders>
          </w:tcPr>
          <w:p>
            <w:pPr>
              <w:spacing w:afterLines="25" w:line="300" w:lineRule="auto"/>
              <w:rPr>
                <w:rFonts w:ascii="宋体" w:hAnsi="宋体" w:eastAsia="宋体" w:cs="Arial"/>
                <w:sz w:val="24"/>
                <w:szCs w:val="24"/>
                <w:highlight w:val="none"/>
              </w:rPr>
            </w:pPr>
          </w:p>
        </w:tc>
        <w:tc>
          <w:tcPr>
            <w:tcW w:w="1276" w:type="dxa"/>
            <w:tcBorders>
              <w:top w:val="double" w:color="auto" w:sz="4" w:space="0"/>
              <w:left w:val="double" w:color="auto" w:sz="4" w:space="0"/>
              <w:bottom w:val="double" w:color="auto" w:sz="4" w:space="0"/>
              <w:right w:val="double" w:color="auto" w:sz="4" w:space="0"/>
            </w:tcBorders>
          </w:tcPr>
          <w:p>
            <w:pPr>
              <w:spacing w:afterLines="25" w:line="300" w:lineRule="auto"/>
              <w:rPr>
                <w:rFonts w:ascii="宋体" w:hAnsi="宋体" w:eastAsia="宋体" w:cs="Arial"/>
                <w:sz w:val="24"/>
                <w:szCs w:val="24"/>
                <w:highlight w:val="none"/>
              </w:rPr>
            </w:pPr>
          </w:p>
        </w:tc>
        <w:tc>
          <w:tcPr>
            <w:tcW w:w="1559" w:type="dxa"/>
            <w:tcBorders>
              <w:top w:val="double" w:color="auto" w:sz="4" w:space="0"/>
              <w:left w:val="double" w:color="auto" w:sz="4" w:space="0"/>
              <w:bottom w:val="double" w:color="auto" w:sz="4" w:space="0"/>
              <w:right w:val="double" w:color="auto" w:sz="4" w:space="0"/>
            </w:tcBorders>
          </w:tcPr>
          <w:p>
            <w:pPr>
              <w:spacing w:afterLines="25" w:line="300" w:lineRule="auto"/>
              <w:rPr>
                <w:rFonts w:ascii="宋体" w:hAnsi="宋体" w:eastAsia="宋体" w:cs="Arial"/>
                <w:sz w:val="24"/>
                <w:szCs w:val="24"/>
                <w:highlight w:val="none"/>
              </w:rPr>
            </w:pPr>
          </w:p>
        </w:tc>
        <w:tc>
          <w:tcPr>
            <w:tcW w:w="2126" w:type="dxa"/>
            <w:tcBorders>
              <w:top w:val="double" w:color="auto" w:sz="4" w:space="0"/>
              <w:left w:val="double" w:color="auto" w:sz="4" w:space="0"/>
              <w:bottom w:val="double" w:color="auto" w:sz="4" w:space="0"/>
              <w:right w:val="double" w:color="auto" w:sz="4" w:space="0"/>
            </w:tcBorders>
          </w:tcPr>
          <w:p>
            <w:pPr>
              <w:spacing w:afterLines="25" w:line="300" w:lineRule="auto"/>
              <w:rPr>
                <w:rFonts w:ascii="宋体" w:hAnsi="宋体" w:eastAsia="宋体" w:cs="Arial"/>
                <w:sz w:val="24"/>
                <w:szCs w:val="24"/>
                <w:highlight w:val="none"/>
              </w:rPr>
            </w:pPr>
          </w:p>
        </w:tc>
        <w:tc>
          <w:tcPr>
            <w:tcW w:w="3260" w:type="dxa"/>
            <w:tcBorders>
              <w:top w:val="double" w:color="auto" w:sz="4" w:space="0"/>
              <w:left w:val="double" w:color="auto" w:sz="4" w:space="0"/>
              <w:bottom w:val="double" w:color="auto" w:sz="4" w:space="0"/>
              <w:right w:val="double" w:color="auto" w:sz="4" w:space="0"/>
            </w:tcBorders>
          </w:tcPr>
          <w:p>
            <w:pPr>
              <w:spacing w:afterLines="25" w:line="300" w:lineRule="auto"/>
              <w:rPr>
                <w:rFonts w:ascii="宋体" w:hAnsi="宋体" w:eastAsia="宋体" w:cs="Arial"/>
                <w:sz w:val="24"/>
                <w:szCs w:val="24"/>
                <w:highlight w:val="none"/>
              </w:rPr>
            </w:pPr>
          </w:p>
        </w:tc>
      </w:tr>
    </w:tbl>
    <w:p>
      <w:pPr>
        <w:spacing w:afterLines="25" w:line="300" w:lineRule="auto"/>
        <w:rPr>
          <w:rFonts w:hint="eastAsia" w:ascii="Arial" w:hAnsi="Arial" w:eastAsia="宋体" w:cs="Times New Roman"/>
          <w:sz w:val="24"/>
          <w:szCs w:val="24"/>
          <w:highlight w:val="none"/>
        </w:rPr>
      </w:pPr>
      <w:r>
        <w:rPr>
          <w:rFonts w:hint="eastAsia" w:ascii="Arial" w:hAnsi="Arial" w:eastAsia="宋体" w:cs="Times New Roman"/>
          <w:sz w:val="24"/>
          <w:szCs w:val="24"/>
          <w:highlight w:val="none"/>
        </w:rPr>
        <w:t>此表格式可根据评分准则要求进行调整，并将要求提供的证明材料扫描件附后。</w:t>
      </w:r>
    </w:p>
    <w:p>
      <w:pPr>
        <w:spacing w:afterLines="25" w:line="300" w:lineRule="auto"/>
        <w:rPr>
          <w:rFonts w:hint="eastAsia" w:ascii="Arial" w:hAnsi="Arial" w:eastAsia="宋体" w:cs="Times New Roman"/>
          <w:sz w:val="24"/>
          <w:szCs w:val="24"/>
          <w:highlight w:val="none"/>
        </w:rPr>
      </w:pPr>
    </w:p>
    <w:p>
      <w:pPr>
        <w:spacing w:afterLines="25" w:line="300" w:lineRule="auto"/>
        <w:rPr>
          <w:rFonts w:hint="eastAsia" w:ascii="Arial" w:hAnsi="Arial" w:eastAsia="宋体" w:cs="Times New Roman"/>
          <w:sz w:val="24"/>
          <w:szCs w:val="24"/>
          <w:highlight w:val="none"/>
        </w:rPr>
      </w:pPr>
    </w:p>
    <w:p>
      <w:pPr>
        <w:spacing w:afterLines="25" w:line="300" w:lineRule="auto"/>
        <w:rPr>
          <w:rFonts w:hint="eastAsia" w:ascii="Arial" w:hAnsi="Arial" w:eastAsia="宋体" w:cs="Times New Roman"/>
          <w:sz w:val="24"/>
          <w:szCs w:val="24"/>
          <w:highlight w:val="none"/>
        </w:rPr>
      </w:pPr>
    </w:p>
    <w:p>
      <w:pPr>
        <w:spacing w:afterLines="25" w:line="300" w:lineRule="auto"/>
        <w:rPr>
          <w:rFonts w:hint="eastAsia" w:ascii="Arial" w:hAnsi="Arial" w:eastAsia="宋体" w:cs="Times New Roman"/>
          <w:sz w:val="24"/>
          <w:szCs w:val="24"/>
          <w:highlight w:val="none"/>
        </w:rPr>
      </w:pPr>
    </w:p>
    <w:p>
      <w:pPr>
        <w:spacing w:afterLines="25" w:line="300" w:lineRule="auto"/>
        <w:rPr>
          <w:rFonts w:hint="eastAsia" w:ascii="Arial" w:hAnsi="Arial" w:eastAsia="宋体" w:cs="Times New Roman"/>
          <w:sz w:val="24"/>
          <w:szCs w:val="24"/>
          <w:highlight w:val="none"/>
        </w:rPr>
      </w:pPr>
    </w:p>
    <w:p>
      <w:pPr>
        <w:spacing w:afterLines="25" w:line="300" w:lineRule="auto"/>
        <w:rPr>
          <w:rFonts w:hint="eastAsia" w:ascii="Arial" w:hAnsi="Arial" w:eastAsia="宋体" w:cs="Times New Roman"/>
          <w:sz w:val="24"/>
          <w:szCs w:val="24"/>
          <w:highlight w:val="none"/>
        </w:rPr>
      </w:pPr>
    </w:p>
    <w:p>
      <w:pPr>
        <w:spacing w:afterLines="25" w:line="300" w:lineRule="auto"/>
        <w:rPr>
          <w:rFonts w:hint="eastAsia" w:ascii="Arial" w:hAnsi="Arial" w:eastAsia="宋体" w:cs="Times New Roman"/>
          <w:sz w:val="24"/>
          <w:szCs w:val="24"/>
          <w:highlight w:val="none"/>
        </w:rPr>
      </w:pPr>
    </w:p>
    <w:p>
      <w:pPr>
        <w:spacing w:afterLines="25" w:line="300" w:lineRule="auto"/>
        <w:rPr>
          <w:rFonts w:hint="eastAsia" w:ascii="Arial" w:hAnsi="Arial" w:eastAsia="宋体" w:cs="Times New Roman"/>
          <w:sz w:val="24"/>
          <w:szCs w:val="24"/>
          <w:highlight w:val="none"/>
        </w:rPr>
      </w:pPr>
    </w:p>
    <w:p>
      <w:pPr>
        <w:spacing w:afterLines="25" w:line="300" w:lineRule="auto"/>
        <w:rPr>
          <w:rFonts w:hint="eastAsia" w:ascii="Arial" w:hAnsi="Arial" w:eastAsia="宋体" w:cs="Times New Roman"/>
          <w:sz w:val="24"/>
          <w:szCs w:val="24"/>
          <w:highlight w:val="none"/>
        </w:rPr>
      </w:pPr>
    </w:p>
    <w:p>
      <w:pPr>
        <w:spacing w:afterLines="25" w:line="300" w:lineRule="auto"/>
        <w:rPr>
          <w:rFonts w:hint="eastAsia" w:ascii="Arial" w:hAnsi="Arial" w:eastAsia="宋体" w:cs="Times New Roman"/>
          <w:sz w:val="24"/>
          <w:szCs w:val="24"/>
          <w:highlight w:val="none"/>
        </w:rPr>
      </w:pPr>
    </w:p>
    <w:p>
      <w:pPr>
        <w:spacing w:afterLines="25" w:line="300" w:lineRule="auto"/>
        <w:rPr>
          <w:rFonts w:hint="eastAsia" w:ascii="Arial" w:hAnsi="Arial" w:eastAsia="宋体" w:cs="Times New Roman"/>
          <w:sz w:val="24"/>
          <w:szCs w:val="24"/>
          <w:highlight w:val="none"/>
        </w:rPr>
      </w:pPr>
    </w:p>
    <w:p>
      <w:pPr>
        <w:spacing w:afterLines="25" w:line="300" w:lineRule="auto"/>
        <w:rPr>
          <w:rFonts w:hint="eastAsia" w:ascii="Arial" w:hAnsi="Arial" w:eastAsia="宋体" w:cs="Times New Roman"/>
          <w:sz w:val="24"/>
          <w:szCs w:val="24"/>
          <w:highlight w:val="none"/>
        </w:rPr>
      </w:pPr>
    </w:p>
    <w:p>
      <w:pPr>
        <w:spacing w:afterLines="25" w:line="300" w:lineRule="auto"/>
        <w:rPr>
          <w:rFonts w:hint="eastAsia" w:ascii="Arial" w:hAnsi="Arial" w:eastAsia="宋体" w:cs="Times New Roman"/>
          <w:sz w:val="24"/>
          <w:szCs w:val="24"/>
          <w:highlight w:val="none"/>
        </w:rPr>
      </w:pPr>
    </w:p>
    <w:p>
      <w:pPr>
        <w:spacing w:afterLines="25" w:line="300" w:lineRule="auto"/>
        <w:rPr>
          <w:rFonts w:hint="eastAsia" w:ascii="Arial" w:hAnsi="Arial" w:eastAsia="宋体" w:cs="Times New Roman"/>
          <w:sz w:val="24"/>
          <w:szCs w:val="24"/>
          <w:highlight w:val="none"/>
        </w:rPr>
      </w:pPr>
    </w:p>
    <w:p>
      <w:pPr>
        <w:spacing w:afterLines="25" w:line="300" w:lineRule="auto"/>
        <w:rPr>
          <w:rFonts w:hint="eastAsia" w:ascii="Arial" w:hAnsi="Arial" w:eastAsia="宋体" w:cs="Times New Roman"/>
          <w:sz w:val="24"/>
          <w:szCs w:val="24"/>
          <w:highlight w:val="none"/>
        </w:rPr>
      </w:pPr>
    </w:p>
    <w:p>
      <w:pPr>
        <w:spacing w:afterLines="25" w:line="300" w:lineRule="auto"/>
        <w:rPr>
          <w:rFonts w:hint="eastAsia" w:ascii="Arial" w:hAnsi="Arial" w:eastAsia="宋体" w:cs="Times New Roman"/>
          <w:sz w:val="24"/>
          <w:szCs w:val="24"/>
          <w:highlight w:val="none"/>
        </w:rPr>
      </w:pPr>
    </w:p>
    <w:p>
      <w:pPr>
        <w:spacing w:afterLines="25" w:line="300" w:lineRule="auto"/>
        <w:rPr>
          <w:rFonts w:hint="eastAsia" w:ascii="Arial" w:hAnsi="Arial" w:eastAsia="宋体" w:cs="Times New Roman"/>
          <w:sz w:val="24"/>
          <w:szCs w:val="24"/>
          <w:highlight w:val="none"/>
        </w:rPr>
      </w:pPr>
    </w:p>
    <w:p>
      <w:pPr>
        <w:spacing w:afterLines="25" w:line="300" w:lineRule="auto"/>
        <w:rPr>
          <w:rFonts w:hint="eastAsia" w:ascii="Arial" w:hAnsi="Arial" w:eastAsia="宋体" w:cs="Times New Roman"/>
          <w:sz w:val="24"/>
          <w:szCs w:val="24"/>
          <w:highlight w:val="none"/>
        </w:rPr>
      </w:pPr>
    </w:p>
    <w:p>
      <w:pPr>
        <w:spacing w:afterLines="25" w:line="300" w:lineRule="auto"/>
        <w:jc w:val="center"/>
        <w:rPr>
          <w:rFonts w:hint="eastAsia" w:ascii="Arial" w:hAnsi="Arial" w:eastAsia="宋体" w:cs="Times New Roman"/>
          <w:b/>
          <w:sz w:val="24"/>
          <w:szCs w:val="24"/>
          <w:highlight w:val="none"/>
        </w:rPr>
      </w:pPr>
      <w:r>
        <w:rPr>
          <w:rFonts w:hint="eastAsia" w:ascii="Arial" w:hAnsi="Arial" w:eastAsia="宋体" w:cs="Times New Roman"/>
          <w:b/>
          <w:sz w:val="24"/>
          <w:szCs w:val="24"/>
          <w:highlight w:val="none"/>
        </w:rPr>
        <w:t>（本章未提供的招标要求的其他文件格式由供应商自拟）</w:t>
      </w:r>
    </w:p>
    <w:p>
      <w:pPr>
        <w:spacing w:afterLines="25" w:line="300" w:lineRule="auto"/>
        <w:rPr>
          <w:rFonts w:hint="eastAsia" w:ascii="Arial" w:hAnsi="Arial" w:eastAsia="宋体" w:cs="Times New Roman"/>
          <w:sz w:val="24"/>
          <w:szCs w:val="24"/>
          <w:highlight w:val="none"/>
        </w:rPr>
      </w:pPr>
    </w:p>
    <w:p>
      <w:pPr>
        <w:spacing w:afterLines="25" w:line="300" w:lineRule="auto"/>
        <w:rPr>
          <w:rFonts w:hint="eastAsia" w:ascii="Arial" w:hAnsi="Arial" w:eastAsia="宋体" w:cs="Times New Roman"/>
          <w:sz w:val="24"/>
          <w:szCs w:val="24"/>
          <w:highlight w:val="none"/>
        </w:rPr>
      </w:pPr>
    </w:p>
    <w:p>
      <w:pPr>
        <w:keepNext/>
        <w:keepLines/>
        <w:adjustRightInd w:val="0"/>
        <w:spacing w:before="260" w:after="260"/>
        <w:jc w:val="center"/>
        <w:textAlignment w:val="baseline"/>
        <w:outlineLvl w:val="1"/>
        <w:rPr>
          <w:rFonts w:ascii="宋体" w:hAnsi="宋体" w:eastAsia="宋体" w:cs="Times New Roman"/>
          <w:b/>
          <w:bCs/>
          <w:kern w:val="0"/>
          <w:sz w:val="28"/>
          <w:szCs w:val="28"/>
          <w:highlight w:val="none"/>
        </w:rPr>
      </w:pPr>
      <w:r>
        <w:rPr>
          <w:rFonts w:hint="eastAsia" w:ascii="宋体" w:hAnsi="宋体" w:eastAsia="宋体" w:cs="Times New Roman"/>
          <w:b/>
          <w:bCs/>
          <w:kern w:val="0"/>
          <w:sz w:val="28"/>
          <w:szCs w:val="28"/>
          <w:highlight w:val="none"/>
        </w:rPr>
        <w:t>第五章  合同条款及格式</w:t>
      </w:r>
    </w:p>
    <w:p>
      <w:pPr>
        <w:widowControl/>
        <w:jc w:val="center"/>
        <w:rPr>
          <w:rFonts w:ascii="宋体" w:hAnsi="宋体" w:eastAsia="黑体" w:cs="Times New Roman"/>
          <w:bCs/>
          <w:kern w:val="44"/>
          <w:sz w:val="28"/>
          <w:szCs w:val="44"/>
          <w:highlight w:val="none"/>
        </w:rPr>
      </w:pPr>
      <w:bookmarkStart w:id="29" w:name="_Hlk72574405"/>
      <w:r>
        <w:rPr>
          <w:rFonts w:hint="eastAsia"/>
          <w:b/>
          <w:sz w:val="24"/>
          <w:highlight w:val="none"/>
        </w:rPr>
        <w:t>（仅供参考，具体以项目需求及采购结果为准）</w:t>
      </w:r>
      <w:bookmarkEnd w:id="29"/>
    </w:p>
    <w:p>
      <w:pPr>
        <w:snapToGrid w:val="0"/>
        <w:spacing w:line="300" w:lineRule="auto"/>
        <w:jc w:val="center"/>
        <w:rPr>
          <w:rFonts w:ascii="仿宋" w:hAnsi="仿宋" w:eastAsia="仿宋" w:cs="Times New Roman"/>
          <w:sz w:val="28"/>
          <w:szCs w:val="28"/>
          <w:highlight w:val="none"/>
        </w:rPr>
      </w:pPr>
    </w:p>
    <w:p>
      <w:pPr>
        <w:widowControl w:val="0"/>
        <w:spacing w:after="0"/>
        <w:jc w:val="center"/>
        <w:rPr>
          <w:rFonts w:hint="eastAsia" w:ascii="宋体" w:hAnsi="宋体" w:eastAsia="宋体" w:cs="宋体"/>
          <w:b/>
          <w:bCs/>
          <w:spacing w:val="-20"/>
          <w:kern w:val="44"/>
          <w:sz w:val="48"/>
          <w:szCs w:val="48"/>
          <w:highlight w:val="none"/>
          <w:lang w:val="en-US" w:eastAsia="zh-CN" w:bidi="ar-SA"/>
        </w:rPr>
      </w:pPr>
      <w:r>
        <w:rPr>
          <w:rFonts w:hint="eastAsia" w:ascii="宋体" w:hAnsi="宋体" w:eastAsia="宋体" w:cs="宋体"/>
          <w:b/>
          <w:bCs/>
          <w:spacing w:val="-20"/>
          <w:kern w:val="44"/>
          <w:sz w:val="48"/>
          <w:szCs w:val="48"/>
          <w:highlight w:val="none"/>
          <w:lang w:val="en-US" w:eastAsia="zh-CN" w:bidi="ar-SA"/>
        </w:rPr>
        <w:t>政府采购货物买卖合同</w:t>
      </w:r>
    </w:p>
    <w:p>
      <w:pPr>
        <w:widowControl w:val="0"/>
        <w:spacing w:after="0"/>
        <w:jc w:val="center"/>
        <w:rPr>
          <w:rFonts w:hint="eastAsia" w:ascii="宋体" w:hAnsi="宋体" w:eastAsia="宋体" w:cs="宋体"/>
          <w:b/>
          <w:bCs/>
          <w:spacing w:val="-20"/>
          <w:kern w:val="44"/>
          <w:sz w:val="48"/>
          <w:szCs w:val="48"/>
          <w:highlight w:val="none"/>
          <w:lang w:val="en-US" w:eastAsia="zh-CN" w:bidi="ar-SA"/>
        </w:rPr>
      </w:pPr>
      <w:r>
        <w:rPr>
          <w:rFonts w:hint="eastAsia" w:ascii="宋体" w:hAnsi="宋体" w:eastAsia="宋体" w:cs="宋体"/>
          <w:b/>
          <w:bCs/>
          <w:spacing w:val="-20"/>
          <w:kern w:val="44"/>
          <w:sz w:val="48"/>
          <w:szCs w:val="48"/>
          <w:highlight w:val="none"/>
          <w:lang w:val="en-US" w:eastAsia="zh-CN" w:bidi="ar-SA"/>
        </w:rPr>
        <w:t>（试行）</w:t>
      </w:r>
    </w:p>
    <w:p>
      <w:pPr>
        <w:rPr>
          <w:rFonts w:ascii="宋体" w:hAnsi="宋体" w:eastAsia="宋体" w:cs="宋体"/>
          <w:b/>
          <w:bCs/>
          <w:spacing w:val="-20"/>
          <w:kern w:val="44"/>
          <w:sz w:val="40"/>
          <w:szCs w:val="40"/>
          <w:highlight w:val="none"/>
        </w:rPr>
      </w:pPr>
    </w:p>
    <w:p>
      <w:pPr>
        <w:rPr>
          <w:rFonts w:ascii="宋体" w:hAnsi="宋体" w:eastAsia="宋体" w:cs="宋体"/>
          <w:b/>
          <w:bCs/>
          <w:spacing w:val="-20"/>
          <w:kern w:val="44"/>
          <w:sz w:val="40"/>
          <w:szCs w:val="40"/>
          <w:highlight w:val="none"/>
        </w:rPr>
      </w:pPr>
    </w:p>
    <w:p>
      <w:pPr>
        <w:rPr>
          <w:rFonts w:ascii="宋体" w:hAnsi="宋体" w:eastAsia="宋体" w:cs="宋体"/>
          <w:b/>
          <w:bCs/>
          <w:spacing w:val="-20"/>
          <w:kern w:val="44"/>
          <w:sz w:val="40"/>
          <w:szCs w:val="40"/>
          <w:highlight w:val="none"/>
        </w:rPr>
      </w:pPr>
    </w:p>
    <w:p>
      <w:pPr>
        <w:spacing w:line="360" w:lineRule="auto"/>
        <w:ind w:left="420" w:leftChars="200"/>
        <w:rPr>
          <w:rFonts w:eastAsia="宋体"/>
          <w:sz w:val="32"/>
          <w:szCs w:val="32"/>
          <w:highlight w:val="none"/>
        </w:rPr>
      </w:pPr>
      <w:r>
        <w:rPr>
          <w:rFonts w:hint="eastAsia" w:ascii="宋体" w:hAnsi="宋体" w:eastAsia="宋体" w:cs="宋体"/>
          <w:kern w:val="0"/>
          <w:sz w:val="32"/>
          <w:szCs w:val="32"/>
          <w:highlight w:val="none"/>
        </w:rPr>
        <w:t>项目名称：</w:t>
      </w:r>
      <w:r>
        <w:rPr>
          <w:rFonts w:hint="eastAsia" w:eastAsia="宋体"/>
          <w:sz w:val="32"/>
          <w:szCs w:val="32"/>
          <w:highlight w:val="none"/>
          <w:u w:val="single"/>
        </w:rPr>
        <w:t xml:space="preserve">                             </w:t>
      </w:r>
    </w:p>
    <w:p>
      <w:pPr>
        <w:spacing w:line="360" w:lineRule="auto"/>
        <w:ind w:left="420" w:leftChars="200"/>
        <w:rPr>
          <w:rFonts w:eastAsia="宋体"/>
          <w:sz w:val="32"/>
          <w:szCs w:val="32"/>
          <w:highlight w:val="none"/>
          <w:u w:val="single"/>
        </w:rPr>
      </w:pPr>
      <w:r>
        <w:rPr>
          <w:rFonts w:hint="eastAsia" w:eastAsia="宋体"/>
          <w:sz w:val="32"/>
          <w:szCs w:val="32"/>
          <w:highlight w:val="none"/>
        </w:rPr>
        <w:t>合同编号：</w:t>
      </w:r>
      <w:r>
        <w:rPr>
          <w:rFonts w:hint="eastAsia" w:eastAsia="宋体"/>
          <w:sz w:val="32"/>
          <w:szCs w:val="32"/>
          <w:highlight w:val="none"/>
          <w:u w:val="single"/>
        </w:rPr>
        <w:t xml:space="preserve">                             </w:t>
      </w:r>
    </w:p>
    <w:p>
      <w:pPr>
        <w:spacing w:line="360" w:lineRule="auto"/>
        <w:ind w:left="420" w:leftChars="200"/>
        <w:rPr>
          <w:rFonts w:eastAsia="宋体"/>
          <w:sz w:val="32"/>
          <w:szCs w:val="32"/>
          <w:highlight w:val="none"/>
        </w:rPr>
      </w:pPr>
      <w:r>
        <w:rPr>
          <w:rFonts w:hint="eastAsia" w:eastAsia="宋体"/>
          <w:sz w:val="32"/>
          <w:szCs w:val="32"/>
          <w:highlight w:val="none"/>
        </w:rPr>
        <w:t>甲    方：</w:t>
      </w:r>
      <w:r>
        <w:rPr>
          <w:rFonts w:hint="eastAsia" w:eastAsia="宋体"/>
          <w:sz w:val="32"/>
          <w:szCs w:val="32"/>
          <w:highlight w:val="none"/>
          <w:u w:val="single"/>
        </w:rPr>
        <w:t xml:space="preserve">                             </w:t>
      </w:r>
    </w:p>
    <w:p>
      <w:pPr>
        <w:spacing w:line="360" w:lineRule="auto"/>
        <w:ind w:left="420" w:leftChars="200"/>
        <w:rPr>
          <w:rFonts w:eastAsia="宋体"/>
          <w:sz w:val="32"/>
          <w:szCs w:val="32"/>
          <w:highlight w:val="none"/>
          <w:u w:val="single"/>
        </w:rPr>
      </w:pPr>
      <w:r>
        <w:rPr>
          <w:rFonts w:hint="eastAsia" w:eastAsia="宋体"/>
          <w:sz w:val="32"/>
          <w:szCs w:val="32"/>
          <w:highlight w:val="none"/>
        </w:rPr>
        <w:t>乙    方：</w:t>
      </w:r>
      <w:r>
        <w:rPr>
          <w:rFonts w:hint="eastAsia" w:eastAsia="宋体"/>
          <w:sz w:val="32"/>
          <w:szCs w:val="32"/>
          <w:highlight w:val="none"/>
          <w:u w:val="single"/>
        </w:rPr>
        <w:t xml:space="preserve">                             </w:t>
      </w:r>
    </w:p>
    <w:p>
      <w:pPr>
        <w:spacing w:line="360" w:lineRule="auto"/>
        <w:ind w:left="420" w:leftChars="200"/>
        <w:rPr>
          <w:rFonts w:eastAsia="宋体"/>
          <w:sz w:val="32"/>
          <w:szCs w:val="32"/>
          <w:highlight w:val="none"/>
        </w:rPr>
      </w:pPr>
      <w:r>
        <w:rPr>
          <w:rFonts w:hint="eastAsia" w:eastAsia="宋体"/>
          <w:sz w:val="32"/>
          <w:szCs w:val="32"/>
          <w:highlight w:val="none"/>
        </w:rPr>
        <w:t>签订时间：</w:t>
      </w:r>
      <w:r>
        <w:rPr>
          <w:rFonts w:hint="eastAsia" w:eastAsia="宋体"/>
          <w:sz w:val="32"/>
          <w:szCs w:val="32"/>
          <w:highlight w:val="none"/>
          <w:u w:val="single"/>
        </w:rPr>
        <w:t xml:space="preserve">      </w:t>
      </w:r>
      <w:r>
        <w:rPr>
          <w:rFonts w:eastAsia="宋体"/>
          <w:sz w:val="32"/>
          <w:szCs w:val="32"/>
          <w:highlight w:val="none"/>
          <w:u w:val="single"/>
        </w:rPr>
        <w:t xml:space="preserve">           </w:t>
      </w:r>
      <w:r>
        <w:rPr>
          <w:rFonts w:hint="eastAsia" w:eastAsia="宋体"/>
          <w:sz w:val="32"/>
          <w:szCs w:val="32"/>
          <w:highlight w:val="none"/>
          <w:u w:val="single"/>
        </w:rPr>
        <w:t xml:space="preserve">            </w:t>
      </w:r>
    </w:p>
    <w:p>
      <w:pPr>
        <w:rPr>
          <w:rFonts w:eastAsia="宋体"/>
          <w:highlight w:val="none"/>
        </w:rPr>
      </w:pPr>
    </w:p>
    <w:p>
      <w:pPr>
        <w:rPr>
          <w:rFonts w:eastAsia="黑体"/>
          <w:sz w:val="44"/>
          <w:szCs w:val="44"/>
          <w:highlight w:val="none"/>
        </w:rPr>
      </w:pPr>
      <w:r>
        <w:rPr>
          <w:rFonts w:eastAsia="黑体"/>
          <w:sz w:val="44"/>
          <w:szCs w:val="44"/>
          <w:highlight w:val="none"/>
        </w:rPr>
        <w:br w:type="page"/>
      </w:r>
    </w:p>
    <w:p>
      <w:pPr>
        <w:rPr>
          <w:rFonts w:eastAsia="黑体"/>
          <w:sz w:val="44"/>
          <w:szCs w:val="44"/>
          <w:highlight w:val="none"/>
        </w:rPr>
      </w:pPr>
    </w:p>
    <w:p>
      <w:pPr>
        <w:rPr>
          <w:rFonts w:eastAsia="黑体"/>
          <w:sz w:val="44"/>
          <w:szCs w:val="44"/>
          <w:highlight w:val="none"/>
        </w:rPr>
      </w:pPr>
    </w:p>
    <w:p>
      <w:pPr>
        <w:jc w:val="center"/>
        <w:rPr>
          <w:rFonts w:hint="eastAsia" w:eastAsia="黑体"/>
          <w:sz w:val="44"/>
          <w:szCs w:val="44"/>
          <w:highlight w:val="none"/>
          <w:lang w:eastAsia="zh-CN"/>
        </w:rPr>
      </w:pPr>
      <w:r>
        <w:rPr>
          <w:rFonts w:hint="eastAsia" w:eastAsia="黑体"/>
          <w:sz w:val="44"/>
          <w:szCs w:val="44"/>
          <w:highlight w:val="none"/>
          <w:lang w:eastAsia="zh-CN"/>
        </w:rPr>
        <w:t>使</w:t>
      </w:r>
      <w:r>
        <w:rPr>
          <w:rFonts w:hint="eastAsia" w:eastAsia="黑体"/>
          <w:sz w:val="44"/>
          <w:szCs w:val="44"/>
          <w:highlight w:val="none"/>
          <w:lang w:val="en-US" w:eastAsia="zh-CN"/>
        </w:rPr>
        <w:t xml:space="preserve"> </w:t>
      </w:r>
      <w:r>
        <w:rPr>
          <w:rFonts w:hint="eastAsia" w:eastAsia="黑体"/>
          <w:sz w:val="44"/>
          <w:szCs w:val="44"/>
          <w:highlight w:val="none"/>
          <w:lang w:eastAsia="zh-CN"/>
        </w:rPr>
        <w:t>用</w:t>
      </w:r>
      <w:r>
        <w:rPr>
          <w:rFonts w:hint="eastAsia" w:eastAsia="黑体"/>
          <w:sz w:val="44"/>
          <w:szCs w:val="44"/>
          <w:highlight w:val="none"/>
          <w:lang w:val="en-US" w:eastAsia="zh-CN"/>
        </w:rPr>
        <w:t xml:space="preserve"> </w:t>
      </w:r>
      <w:r>
        <w:rPr>
          <w:rFonts w:hint="eastAsia" w:eastAsia="黑体"/>
          <w:sz w:val="44"/>
          <w:szCs w:val="44"/>
          <w:highlight w:val="none"/>
          <w:lang w:eastAsia="zh-CN"/>
        </w:rPr>
        <w:t>说</w:t>
      </w:r>
      <w:r>
        <w:rPr>
          <w:rFonts w:hint="eastAsia" w:eastAsia="黑体"/>
          <w:sz w:val="44"/>
          <w:szCs w:val="44"/>
          <w:highlight w:val="none"/>
          <w:lang w:val="en-US" w:eastAsia="zh-CN"/>
        </w:rPr>
        <w:t xml:space="preserve"> </w:t>
      </w:r>
      <w:r>
        <w:rPr>
          <w:rFonts w:hint="eastAsia" w:eastAsia="黑体"/>
          <w:sz w:val="44"/>
          <w:szCs w:val="44"/>
          <w:highlight w:val="none"/>
          <w:lang w:eastAsia="zh-CN"/>
        </w:rPr>
        <w:t>明</w:t>
      </w:r>
    </w:p>
    <w:p>
      <w:pPr>
        <w:ind w:firstLine="640" w:firstLineChars="200"/>
        <w:rPr>
          <w:rFonts w:hint="eastAsia" w:ascii="仿宋_GB2312" w:hAnsi="仿宋_GB2312" w:eastAsia="仿宋_GB2312" w:cs="仿宋_GB2312"/>
          <w:sz w:val="32"/>
          <w:szCs w:val="32"/>
          <w:highlight w:val="none"/>
          <w:lang w:val="en-US" w:eastAsia="zh-CN"/>
        </w:rPr>
      </w:pPr>
    </w:p>
    <w:p>
      <w:pPr>
        <w:numPr>
          <w:ilvl w:val="0"/>
          <w:numId w:val="0"/>
        </w:num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1.本合同标准文本适用于购买现成货物的采购项目，不包括需要供应商定制开发、创新研发的货物采购项目。</w:t>
      </w:r>
    </w:p>
    <w:p>
      <w:pPr>
        <w:numPr>
          <w:ilvl w:val="0"/>
          <w:numId w:val="0"/>
        </w:numPr>
        <w:ind w:firstLine="640" w:firstLineChars="200"/>
        <w:rPr>
          <w:rFonts w:hint="default" w:eastAsia="黑体"/>
          <w:sz w:val="44"/>
          <w:szCs w:val="44"/>
          <w:highlight w:val="none"/>
          <w:lang w:val="en-US" w:eastAsia="zh-CN"/>
        </w:rPr>
      </w:pPr>
      <w:r>
        <w:rPr>
          <w:rFonts w:hint="eastAsia" w:ascii="仿宋_GB2312" w:hAnsi="仿宋_GB2312" w:eastAsia="仿宋_GB2312" w:cs="仿宋_GB2312"/>
          <w:sz w:val="32"/>
          <w:szCs w:val="32"/>
          <w:highlight w:val="none"/>
          <w:lang w:val="en-US" w:eastAsia="zh-CN"/>
        </w:rPr>
        <w:t>2.本合同标准文本为政府采购货物买卖合同编制提供参考，可以结合采购项目具体情况，对文本作必要的调整修订后使用。</w:t>
      </w:r>
    </w:p>
    <w:p>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3.本合同标准文本各条款中，如涉及填写多家供应商、制造商，多种采购标的、分包主要内容等信息的，可根据采购项目具体情况添加信息项。</w:t>
      </w:r>
    </w:p>
    <w:p>
      <w:pPr>
        <w:ind w:firstLine="880" w:firstLineChars="200"/>
        <w:jc w:val="both"/>
        <w:rPr>
          <w:rFonts w:eastAsia="黑体"/>
          <w:sz w:val="44"/>
          <w:szCs w:val="44"/>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keepNext/>
        <w:keepLines/>
        <w:widowControl w:val="0"/>
        <w:adjustRightInd w:val="0"/>
        <w:snapToGrid w:val="0"/>
        <w:spacing w:beforeLines="0" w:line="400" w:lineRule="exact"/>
        <w:jc w:val="center"/>
        <w:outlineLvl w:val="1"/>
        <w:rPr>
          <w:rFonts w:hint="eastAsia" w:ascii="黑体" w:hAnsi="黑体" w:eastAsia="黑体" w:cs="Times New Roman"/>
          <w:b/>
          <w:bCs/>
          <w:kern w:val="2"/>
          <w:sz w:val="28"/>
          <w:szCs w:val="28"/>
          <w:highlight w:val="none"/>
          <w:lang w:val="en-US" w:eastAsia="zh-CN" w:bidi="ar-SA"/>
        </w:rPr>
      </w:pPr>
      <w:bookmarkStart w:id="30" w:name="_Toc22209"/>
    </w:p>
    <w:p>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highlight w:val="none"/>
          <w:lang w:val="en-US" w:eastAsia="zh-CN" w:bidi="ar-SA"/>
        </w:rPr>
      </w:pPr>
      <w:r>
        <w:rPr>
          <w:rFonts w:hint="eastAsia" w:ascii="黑体" w:hAnsi="黑体" w:eastAsia="黑体" w:cs="Times New Roman"/>
          <w:b w:val="0"/>
          <w:bCs w:val="0"/>
          <w:kern w:val="2"/>
          <w:sz w:val="28"/>
          <w:szCs w:val="28"/>
          <w:highlight w:val="none"/>
          <w:lang w:val="en-US" w:eastAsia="zh-CN" w:bidi="ar-SA"/>
        </w:rPr>
        <w:t xml:space="preserve">第一节 </w:t>
      </w:r>
      <w:r>
        <w:rPr>
          <w:rFonts w:hint="eastAsia" w:ascii="黑体" w:hAnsi="华文中宋" w:eastAsia="黑体" w:cs="Times New Roman"/>
          <w:b w:val="0"/>
          <w:bCs w:val="0"/>
          <w:kern w:val="2"/>
          <w:sz w:val="28"/>
          <w:szCs w:val="28"/>
          <w:highlight w:val="none"/>
          <w:lang w:val="en-US" w:eastAsia="zh-CN" w:bidi="ar-SA"/>
        </w:rPr>
        <w:t>政府采购合同协议书</w:t>
      </w:r>
      <w:bookmarkEnd w:id="30"/>
    </w:p>
    <w:p>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highlight w:val="none"/>
          <w:lang w:val="en-US" w:eastAsia="zh-CN" w:bidi="ar-SA"/>
        </w:rPr>
      </w:pPr>
    </w:p>
    <w:p>
      <w:pPr>
        <w:adjustRightInd w:val="0"/>
        <w:snapToGrid w:val="0"/>
        <w:spacing w:before="0" w:beforeLines="0" w:line="400" w:lineRule="exact"/>
        <w:rPr>
          <w:rFonts w:ascii="宋体" w:hAnsi="宋体" w:eastAsia="宋体"/>
          <w:szCs w:val="21"/>
          <w:highlight w:val="none"/>
        </w:rPr>
      </w:pPr>
      <w:r>
        <w:rPr>
          <w:rFonts w:hint="eastAsia" w:ascii="宋体" w:hAnsi="宋体" w:eastAsia="宋体"/>
          <w:szCs w:val="21"/>
          <w:highlight w:val="none"/>
        </w:rPr>
        <w:t>甲方（全称）：</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rPr>
        <w:t>（采购人</w:t>
      </w:r>
      <w:r>
        <w:rPr>
          <w:rFonts w:hint="eastAsia" w:ascii="宋体" w:hAnsi="宋体" w:eastAsia="宋体"/>
          <w:szCs w:val="21"/>
          <w:highlight w:val="none"/>
          <w:lang w:eastAsia="zh-CN"/>
        </w:rPr>
        <w:t>、受采购人委托签订合同的单位</w:t>
      </w:r>
      <w:r>
        <w:rPr>
          <w:rFonts w:hint="eastAsia" w:ascii="宋体" w:hAnsi="宋体" w:eastAsia="宋体"/>
          <w:szCs w:val="21"/>
          <w:highlight w:val="none"/>
        </w:rPr>
        <w:t>或采购</w:t>
      </w:r>
      <w:r>
        <w:rPr>
          <w:rFonts w:hint="eastAsia" w:ascii="宋体" w:hAnsi="宋体" w:eastAsia="宋体"/>
          <w:szCs w:val="21"/>
          <w:highlight w:val="none"/>
          <w:lang w:val="en-US" w:eastAsia="zh-CN"/>
        </w:rPr>
        <w:tab/>
      </w:r>
      <w:r>
        <w:rPr>
          <w:rFonts w:hint="eastAsia" w:ascii="宋体" w:hAnsi="宋体" w:eastAsia="宋体"/>
          <w:szCs w:val="21"/>
          <w:highlight w:val="none"/>
          <w:lang w:val="en-US" w:eastAsia="zh-CN"/>
        </w:rPr>
        <w:t xml:space="preserve">                                   </w:t>
      </w:r>
      <w:r>
        <w:rPr>
          <w:rFonts w:hint="eastAsia" w:ascii="宋体" w:hAnsi="宋体" w:eastAsia="宋体"/>
          <w:szCs w:val="21"/>
          <w:highlight w:val="none"/>
        </w:rPr>
        <w:t>文件约定的合同甲方）</w:t>
      </w:r>
    </w:p>
    <w:p>
      <w:pPr>
        <w:adjustRightInd w:val="0"/>
        <w:snapToGrid w:val="0"/>
        <w:spacing w:before="0" w:beforeLines="0" w:line="400" w:lineRule="exact"/>
        <w:rPr>
          <w:rFonts w:ascii="宋体" w:hAnsi="宋体" w:eastAsia="宋体"/>
          <w:szCs w:val="21"/>
          <w:highlight w:val="none"/>
        </w:rPr>
      </w:pPr>
      <w:r>
        <w:rPr>
          <w:rFonts w:hint="eastAsia" w:ascii="宋体" w:hAnsi="宋体" w:eastAsia="宋体"/>
          <w:szCs w:val="21"/>
          <w:highlight w:val="none"/>
        </w:rPr>
        <w:t>乙方</w:t>
      </w:r>
      <w:r>
        <w:rPr>
          <w:rFonts w:hint="eastAsia" w:ascii="宋体" w:hAnsi="宋体" w:eastAsia="宋体"/>
          <w:szCs w:val="21"/>
          <w:highlight w:val="none"/>
          <w:lang w:val="en-US" w:eastAsia="zh-CN"/>
        </w:rPr>
        <w:t>1</w:t>
      </w:r>
      <w:r>
        <w:rPr>
          <w:rFonts w:hint="eastAsia" w:ascii="宋体" w:hAnsi="宋体" w:eastAsia="宋体"/>
          <w:szCs w:val="21"/>
          <w:highlight w:val="none"/>
        </w:rPr>
        <w:t>（全称）：</w:t>
      </w:r>
      <w:r>
        <w:rPr>
          <w:rFonts w:hint="eastAsia" w:ascii="宋体" w:hAnsi="宋体" w:eastAsia="宋体"/>
          <w:szCs w:val="21"/>
          <w:highlight w:val="none"/>
          <w:u w:val="single"/>
        </w:rPr>
        <w:t xml:space="preserve">                       </w:t>
      </w:r>
      <w:r>
        <w:rPr>
          <w:rFonts w:hint="eastAsia" w:ascii="宋体" w:hAnsi="宋体" w:eastAsia="宋体"/>
          <w:szCs w:val="21"/>
          <w:highlight w:val="none"/>
        </w:rPr>
        <w:t>（供应商）</w:t>
      </w:r>
    </w:p>
    <w:p>
      <w:pPr>
        <w:adjustRightInd w:val="0"/>
        <w:snapToGrid w:val="0"/>
        <w:spacing w:before="0" w:beforeLines="0" w:line="400" w:lineRule="exact"/>
        <w:rPr>
          <w:rFonts w:hint="eastAsia" w:ascii="宋体" w:hAnsi="宋体" w:eastAsia="宋体"/>
          <w:szCs w:val="21"/>
          <w:highlight w:val="none"/>
        </w:rPr>
      </w:pPr>
      <w:r>
        <w:rPr>
          <w:rFonts w:hint="eastAsia" w:ascii="宋体" w:hAnsi="宋体" w:eastAsia="宋体"/>
          <w:szCs w:val="21"/>
          <w:highlight w:val="none"/>
        </w:rPr>
        <w:t>乙方2（全称）：</w:t>
      </w:r>
      <w:r>
        <w:rPr>
          <w:rFonts w:hint="eastAsia" w:ascii="宋体" w:hAnsi="宋体" w:eastAsia="宋体"/>
          <w:szCs w:val="21"/>
          <w:highlight w:val="none"/>
          <w:u w:val="single"/>
        </w:rPr>
        <w:t xml:space="preserve">                        </w:t>
      </w:r>
      <w:r>
        <w:rPr>
          <w:rFonts w:hint="eastAsia" w:ascii="宋体" w:hAnsi="宋体" w:eastAsia="宋体"/>
          <w:szCs w:val="21"/>
          <w:highlight w:val="none"/>
        </w:rPr>
        <w:t>（联合体成员供应商或其他合同主体）（如有）</w:t>
      </w:r>
    </w:p>
    <w:p>
      <w:pPr>
        <w:adjustRightInd w:val="0"/>
        <w:snapToGrid w:val="0"/>
        <w:spacing w:before="0" w:beforeLines="0" w:line="400" w:lineRule="exact"/>
        <w:rPr>
          <w:rFonts w:hint="eastAsia" w:ascii="宋体" w:hAnsi="宋体" w:eastAsia="宋体"/>
          <w:szCs w:val="21"/>
          <w:highlight w:val="none"/>
        </w:rPr>
      </w:pPr>
      <w:r>
        <w:rPr>
          <w:rFonts w:hint="eastAsia" w:eastAsia="宋体"/>
          <w:highlight w:val="none"/>
          <w:lang w:eastAsia="zh-CN"/>
        </w:rPr>
        <w:t>乙方</w:t>
      </w:r>
      <w:r>
        <w:rPr>
          <w:rFonts w:hint="eastAsia" w:ascii="宋体" w:hAnsi="宋体" w:eastAsia="宋体"/>
          <w:szCs w:val="21"/>
          <w:highlight w:val="none"/>
          <w:lang w:val="en-US" w:eastAsia="zh-CN"/>
        </w:rPr>
        <w:t>3</w:t>
      </w:r>
      <w:r>
        <w:rPr>
          <w:rFonts w:hint="eastAsia" w:eastAsia="宋体"/>
          <w:highlight w:val="none"/>
          <w:lang w:val="en-US" w:eastAsia="zh-CN"/>
        </w:rPr>
        <w:t>（全称）</w:t>
      </w:r>
      <w:r>
        <w:rPr>
          <w:rFonts w:hint="eastAsia" w:ascii="宋体" w:hAnsi="宋体" w:eastAsia="宋体"/>
          <w:szCs w:val="21"/>
          <w:highlight w:val="none"/>
          <w:u w:val="single"/>
        </w:rPr>
        <w:t xml:space="preserve">                          </w:t>
      </w:r>
      <w:r>
        <w:rPr>
          <w:rFonts w:hint="eastAsia" w:ascii="宋体" w:hAnsi="宋体" w:eastAsia="宋体"/>
          <w:szCs w:val="21"/>
          <w:highlight w:val="none"/>
        </w:rPr>
        <w:t>（联合体成员供应商或其他合同主体）（如有）</w:t>
      </w:r>
    </w:p>
    <w:p>
      <w:pPr>
        <w:spacing w:beforeLines="0" w:line="400" w:lineRule="exact"/>
        <w:rPr>
          <w:rFonts w:hint="default" w:eastAsia="宋体"/>
          <w:highlight w:val="none"/>
          <w:lang w:val="en-US" w:eastAsia="zh-CN"/>
        </w:rPr>
      </w:pPr>
    </w:p>
    <w:p>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依据《中华人民共和国民法典》《中华人民共和国政府采购法》《深圳经济特区政府采购条例》等有关的法律法规，以及</w:t>
      </w:r>
      <w:r>
        <w:rPr>
          <w:rFonts w:hint="eastAsia" w:ascii="宋体" w:hAnsi="宋体" w:eastAsia="宋体" w:cs="Times New Roman"/>
          <w:i w:val="0"/>
          <w:iCs w:val="0"/>
          <w:kern w:val="2"/>
          <w:sz w:val="21"/>
          <w:szCs w:val="21"/>
          <w:highlight w:val="none"/>
          <w:u w:val="none"/>
          <w:lang w:val="en-US" w:eastAsia="zh-CN" w:bidi="ar-SA"/>
        </w:rPr>
        <w:t>本采购项目</w:t>
      </w:r>
      <w:r>
        <w:rPr>
          <w:rFonts w:hint="eastAsia" w:ascii="宋体" w:hAnsi="宋体" w:eastAsia="宋体" w:cs="Times New Roman"/>
          <w:kern w:val="2"/>
          <w:sz w:val="21"/>
          <w:szCs w:val="21"/>
          <w:highlight w:val="none"/>
          <w:lang w:val="en-US" w:eastAsia="zh-CN" w:bidi="ar-SA"/>
        </w:rPr>
        <w:t xml:space="preserve">的招标文件等采购文件、乙方的《投标（响应）文件》及《中标（成交）通知书》，甲乙双方同意签订本合同。具体情况及要求如下：     </w:t>
      </w:r>
    </w:p>
    <w:p>
      <w:pPr>
        <w:numPr>
          <w:ilvl w:val="0"/>
          <w:numId w:val="4"/>
        </w:numPr>
        <w:adjustRightInd w:val="0"/>
        <w:snapToGrid w:val="0"/>
        <w:spacing w:before="0" w:beforeLines="0" w:line="400" w:lineRule="exact"/>
        <w:ind w:firstLine="422" w:firstLineChars="200"/>
        <w:rPr>
          <w:rFonts w:ascii="宋体" w:hAnsi="宋体" w:eastAsia="宋体"/>
          <w:b/>
          <w:szCs w:val="21"/>
          <w:highlight w:val="none"/>
        </w:rPr>
      </w:pPr>
      <w:r>
        <w:rPr>
          <w:rFonts w:hint="eastAsia" w:ascii="宋体" w:hAnsi="宋体" w:eastAsia="宋体"/>
          <w:b/>
          <w:szCs w:val="21"/>
          <w:highlight w:val="none"/>
        </w:rPr>
        <w:t>项目信息</w:t>
      </w:r>
    </w:p>
    <w:p>
      <w:pPr>
        <w:widowControl w:val="0"/>
        <w:numPr>
          <w:ilvl w:val="0"/>
          <w:numId w:val="5"/>
        </w:numPr>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highlight w:val="none"/>
          <w:u w:val="single"/>
          <w:lang w:val="en-US" w:eastAsia="zh-CN" w:bidi="ar-SA"/>
        </w:rPr>
      </w:pPr>
      <w:r>
        <w:rPr>
          <w:rFonts w:hint="eastAsia" w:ascii="宋体" w:hAnsi="宋体" w:eastAsia="宋体" w:cs="Times New Roman"/>
          <w:kern w:val="2"/>
          <w:sz w:val="21"/>
          <w:szCs w:val="21"/>
          <w:highlight w:val="none"/>
          <w:lang w:val="en-US" w:eastAsia="zh-CN" w:bidi="ar-SA"/>
        </w:rPr>
        <w:t>采购项目名称：</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p>
    <w:p>
      <w:pPr>
        <w:widowControl w:val="0"/>
        <w:numPr>
          <w:ilvl w:val="-1"/>
          <w:numId w:val="0"/>
        </w:numPr>
        <w:tabs>
          <w:tab w:val="left" w:pos="999"/>
        </w:tabs>
        <w:adjustRightInd w:val="0"/>
        <w:snapToGrid w:val="0"/>
        <w:spacing w:before="0" w:beforeLines="0" w:after="0" w:line="400" w:lineRule="exact"/>
        <w:ind w:left="0" w:leftChars="0" w:firstLine="0" w:firstLineChars="0"/>
        <w:jc w:val="both"/>
        <w:rPr>
          <w:rFonts w:hint="default" w:ascii="宋体" w:hAnsi="宋体" w:eastAsia="宋体" w:cs="Times New Roman"/>
          <w:kern w:val="2"/>
          <w:sz w:val="21"/>
          <w:szCs w:val="21"/>
          <w:highlight w:val="none"/>
          <w:u w:val="none"/>
          <w:lang w:val="en-US" w:eastAsia="zh-CN" w:bidi="ar-SA"/>
        </w:rPr>
      </w:pPr>
      <w:r>
        <w:rPr>
          <w:rFonts w:hint="eastAsia" w:ascii="宋体" w:hAnsi="宋体" w:eastAsia="宋体" w:cs="Times New Roman"/>
          <w:kern w:val="2"/>
          <w:sz w:val="21"/>
          <w:szCs w:val="21"/>
          <w:highlight w:val="none"/>
          <w:u w:val="none"/>
          <w:lang w:val="en-US" w:eastAsia="zh-CN" w:bidi="ar-SA"/>
        </w:rPr>
        <w:t xml:space="preserve">         采购项目编号：</w:t>
      </w:r>
      <w:r>
        <w:rPr>
          <w:rFonts w:ascii="宋体" w:hAnsi="宋体" w:eastAsia="宋体" w:cs="Times New Roman"/>
          <w:kern w:val="2"/>
          <w:sz w:val="21"/>
          <w:szCs w:val="21"/>
          <w:highlight w:val="none"/>
          <w:u w:val="single"/>
          <w:lang w:val="en-US" w:eastAsia="zh-CN" w:bidi="ar-SA"/>
        </w:rPr>
        <w:t xml:space="preserve">                                          </w:t>
      </w:r>
    </w:p>
    <w:p>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（2）采购计划编号：</w:t>
      </w:r>
      <w:r>
        <w:rPr>
          <w:rFonts w:ascii="宋体" w:hAnsi="宋体" w:eastAsia="宋体" w:cs="Times New Roman"/>
          <w:kern w:val="2"/>
          <w:sz w:val="21"/>
          <w:szCs w:val="21"/>
          <w:highlight w:val="none"/>
          <w:u w:val="single"/>
          <w:lang w:val="en-US" w:eastAsia="zh-CN" w:bidi="ar-SA"/>
        </w:rPr>
        <w:t xml:space="preserve">                     </w:t>
      </w:r>
      <w:r>
        <w:rPr>
          <w:rFonts w:hint="eastAsia" w:ascii="宋体" w:hAnsi="宋体" w:eastAsia="宋体" w:cs="Times New Roman"/>
          <w:kern w:val="2"/>
          <w:sz w:val="21"/>
          <w:szCs w:val="21"/>
          <w:highlight w:val="none"/>
          <w:u w:val="single"/>
          <w:lang w:val="en-US" w:eastAsia="zh-CN" w:bidi="ar-SA"/>
        </w:rPr>
        <w:t xml:space="preserve">                </w:t>
      </w:r>
      <w:r>
        <w:rPr>
          <w:rFonts w:ascii="宋体" w:hAnsi="宋体" w:eastAsia="宋体" w:cs="Times New Roman"/>
          <w:kern w:val="2"/>
          <w:sz w:val="21"/>
          <w:szCs w:val="21"/>
          <w:highlight w:val="none"/>
          <w:u w:val="single"/>
          <w:lang w:val="en-US" w:eastAsia="zh-CN" w:bidi="ar-SA"/>
        </w:rPr>
        <w:t xml:space="preserve">     </w:t>
      </w:r>
      <w:r>
        <w:rPr>
          <w:rFonts w:ascii="宋体" w:hAnsi="宋体" w:eastAsia="宋体" w:cs="Times New Roman"/>
          <w:kern w:val="2"/>
          <w:sz w:val="21"/>
          <w:szCs w:val="21"/>
          <w:highlight w:val="none"/>
          <w:lang w:val="en-US" w:eastAsia="zh-CN" w:bidi="ar-SA"/>
        </w:rPr>
        <w:t xml:space="preserve"> </w:t>
      </w:r>
    </w:p>
    <w:p>
      <w:pPr>
        <w:adjustRightInd w:val="0"/>
        <w:snapToGrid w:val="0"/>
        <w:spacing w:before="0" w:beforeLines="0" w:line="400" w:lineRule="exact"/>
        <w:ind w:firstLine="420" w:firstLineChars="200"/>
        <w:rPr>
          <w:rFonts w:hint="eastAsia" w:ascii="宋体" w:hAnsi="宋体" w:eastAsia="宋体"/>
          <w:szCs w:val="21"/>
          <w:highlight w:val="none"/>
        </w:rPr>
      </w:pPr>
      <w:r>
        <w:rPr>
          <w:rFonts w:hint="eastAsia" w:ascii="宋体" w:hAnsi="宋体" w:eastAsia="宋体"/>
          <w:szCs w:val="21"/>
          <w:highlight w:val="none"/>
        </w:rPr>
        <w:t>（3）项目内容：</w:t>
      </w:r>
    </w:p>
    <w:p>
      <w:pPr>
        <w:adjustRightInd w:val="0"/>
        <w:snapToGrid w:val="0"/>
        <w:spacing w:before="0" w:beforeLines="0" w:line="400" w:lineRule="exact"/>
        <w:ind w:firstLine="420" w:firstLineChars="200"/>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lang w:eastAsia="zh-CN"/>
        </w:rPr>
        <w:t>采购标的及数量</w:t>
      </w:r>
      <w:r>
        <w:rPr>
          <w:rFonts w:hint="eastAsia" w:ascii="宋体" w:hAnsi="宋体" w:eastAsia="宋体"/>
          <w:szCs w:val="21"/>
          <w:highlight w:val="none"/>
          <w:lang w:val="en-US" w:eastAsia="zh-CN"/>
        </w:rPr>
        <w:t>（台/套</w:t>
      </w:r>
      <w:r>
        <w:rPr>
          <w:rFonts w:hint="default" w:ascii="宋体" w:hAnsi="宋体" w:eastAsia="宋体"/>
          <w:szCs w:val="21"/>
          <w:highlight w:val="none"/>
          <w:lang w:val="en" w:eastAsia="zh-CN"/>
        </w:rPr>
        <w:t>/</w:t>
      </w:r>
      <w:r>
        <w:rPr>
          <w:rFonts w:hint="eastAsia" w:ascii="宋体" w:hAnsi="宋体" w:eastAsia="宋体"/>
          <w:szCs w:val="21"/>
          <w:highlight w:val="none"/>
          <w:lang w:val="en" w:eastAsia="zh-CN"/>
        </w:rPr>
        <w:t>个</w:t>
      </w:r>
      <w:r>
        <w:rPr>
          <w:rFonts w:hint="default" w:ascii="宋体" w:hAnsi="宋体" w:eastAsia="宋体"/>
          <w:szCs w:val="21"/>
          <w:highlight w:val="none"/>
          <w:lang w:val="en" w:eastAsia="zh-CN"/>
        </w:rPr>
        <w:t>/</w:t>
      </w:r>
      <w:r>
        <w:rPr>
          <w:rFonts w:hint="eastAsia" w:ascii="宋体" w:hAnsi="宋体" w:eastAsia="宋体"/>
          <w:szCs w:val="21"/>
          <w:highlight w:val="none"/>
          <w:lang w:val="en" w:eastAsia="zh-CN"/>
        </w:rPr>
        <w:t>架</w:t>
      </w:r>
      <w:r>
        <w:rPr>
          <w:rFonts w:hint="default" w:ascii="宋体" w:hAnsi="宋体" w:eastAsia="宋体"/>
          <w:szCs w:val="21"/>
          <w:highlight w:val="none"/>
          <w:lang w:val="en" w:eastAsia="zh-CN"/>
        </w:rPr>
        <w:t>/</w:t>
      </w:r>
      <w:r>
        <w:rPr>
          <w:rFonts w:hint="eastAsia" w:ascii="宋体" w:hAnsi="宋体" w:eastAsia="宋体"/>
          <w:szCs w:val="21"/>
          <w:highlight w:val="none"/>
          <w:lang w:val="en" w:eastAsia="zh-CN"/>
        </w:rPr>
        <w:t>组等</w:t>
      </w:r>
      <w:r>
        <w:rPr>
          <w:rFonts w:hint="eastAsia" w:ascii="宋体" w:hAnsi="宋体" w:eastAsia="宋体"/>
          <w:szCs w:val="21"/>
          <w:highlight w:val="none"/>
          <w:lang w:val="en-US" w:eastAsia="zh-CN"/>
        </w:rPr>
        <w:t>）</w:t>
      </w:r>
      <w:r>
        <w:rPr>
          <w:rFonts w:hint="eastAsia" w:ascii="宋体" w:hAnsi="宋体" w:eastAsia="宋体"/>
          <w:szCs w:val="21"/>
          <w:highlight w:val="none"/>
          <w:lang w:eastAsia="zh-CN"/>
        </w:rPr>
        <w:t>：</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none"/>
          <w:lang w:val="en-US" w:eastAsia="zh-CN"/>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lang w:val="en-US" w:eastAsia="zh-CN"/>
        </w:rPr>
        <w:t xml:space="preserve"> </w:t>
      </w:r>
    </w:p>
    <w:p>
      <w:pPr>
        <w:numPr>
          <w:ilvl w:val="-1"/>
          <w:numId w:val="0"/>
        </w:numPr>
        <w:adjustRightInd w:val="0"/>
        <w:snapToGrid w:val="0"/>
        <w:spacing w:before="0" w:beforeLines="0" w:line="400" w:lineRule="exact"/>
        <w:ind w:firstLine="420" w:firstLineChars="200"/>
        <w:rPr>
          <w:rFonts w:hint="default" w:ascii="宋体" w:hAnsi="宋体" w:eastAsia="宋体" w:cs="宋体"/>
          <w:szCs w:val="21"/>
          <w:highlight w:val="none"/>
          <w:lang w:val="en" w:eastAsia="zh-CN"/>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highlight w:val="none"/>
          <w:lang w:val="en-US" w:eastAsia="zh-CN"/>
        </w:rPr>
        <w:t>品牌：</w:t>
      </w:r>
      <w:r>
        <w:rPr>
          <w:rFonts w:hint="eastAsia" w:ascii="宋体" w:hAnsi="宋体" w:eastAsia="宋体" w:cs="宋体"/>
          <w:szCs w:val="21"/>
          <w:highlight w:val="none"/>
          <w:u w:val="single"/>
          <w:lang w:val="en-US" w:eastAsia="zh-CN"/>
        </w:rPr>
        <w:t xml:space="preserve">      </w:t>
      </w:r>
      <w:r>
        <w:rPr>
          <w:rFonts w:hint="default" w:ascii="宋体" w:hAnsi="宋体" w:eastAsia="宋体" w:cs="宋体"/>
          <w:szCs w:val="21"/>
          <w:highlight w:val="none"/>
          <w:u w:val="single"/>
          <w:lang w:val="en" w:eastAsia="zh-CN"/>
        </w:rPr>
        <w:t xml:space="preserve">   </w:t>
      </w:r>
      <w:r>
        <w:rPr>
          <w:rFonts w:hint="eastAsia" w:ascii="宋体" w:hAnsi="宋体" w:eastAsia="宋体" w:cs="宋体"/>
          <w:szCs w:val="21"/>
          <w:highlight w:val="none"/>
          <w:u w:val="single"/>
          <w:lang w:val="en-US" w:eastAsia="zh-CN"/>
        </w:rPr>
        <w:t xml:space="preserve">    </w:t>
      </w:r>
      <w:r>
        <w:rPr>
          <w:rFonts w:hint="default" w:ascii="宋体" w:hAnsi="宋体" w:eastAsia="宋体" w:cs="宋体"/>
          <w:szCs w:val="21"/>
          <w:highlight w:val="none"/>
          <w:u w:val="single"/>
          <w:lang w:val="en" w:eastAsia="zh-CN"/>
        </w:rPr>
        <w:t xml:space="preserve"> </w:t>
      </w:r>
      <w:r>
        <w:rPr>
          <w:rFonts w:hint="eastAsia" w:ascii="宋体" w:hAnsi="宋体" w:eastAsia="宋体" w:cs="宋体"/>
          <w:szCs w:val="21"/>
          <w:highlight w:val="none"/>
          <w:u w:val="single"/>
          <w:lang w:val="en-US" w:eastAsia="zh-CN"/>
        </w:rPr>
        <w:t xml:space="preserve"> </w:t>
      </w:r>
      <w:r>
        <w:rPr>
          <w:rFonts w:hint="default" w:ascii="宋体" w:hAnsi="宋体" w:eastAsia="宋体" w:cs="宋体"/>
          <w:szCs w:val="21"/>
          <w:highlight w:val="none"/>
          <w:u w:val="none"/>
          <w:lang w:val="en" w:eastAsia="zh-CN"/>
        </w:rPr>
        <w:t xml:space="preserve">     </w:t>
      </w:r>
      <w:r>
        <w:rPr>
          <w:rFonts w:hint="eastAsia" w:ascii="宋体" w:hAnsi="宋体" w:eastAsia="宋体" w:cs="宋体"/>
          <w:szCs w:val="21"/>
          <w:highlight w:val="none"/>
          <w:lang w:val="en-US" w:eastAsia="zh-CN"/>
        </w:rPr>
        <w:t>规格型号：</w:t>
      </w:r>
      <w:r>
        <w:rPr>
          <w:rFonts w:hint="eastAsia" w:ascii="宋体" w:hAnsi="宋体" w:eastAsia="宋体" w:cs="宋体"/>
          <w:szCs w:val="21"/>
          <w:highlight w:val="none"/>
          <w:u w:val="single"/>
          <w:lang w:val="en-US" w:eastAsia="zh-CN"/>
        </w:rPr>
        <w:t xml:space="preserve">   </w:t>
      </w:r>
      <w:r>
        <w:rPr>
          <w:rFonts w:hint="default" w:ascii="宋体" w:hAnsi="宋体" w:eastAsia="宋体" w:cs="宋体"/>
          <w:szCs w:val="21"/>
          <w:highlight w:val="none"/>
          <w:u w:val="single"/>
          <w:lang w:val="en" w:eastAsia="zh-CN"/>
        </w:rPr>
        <w:t xml:space="preserve">  </w:t>
      </w:r>
      <w:r>
        <w:rPr>
          <w:rFonts w:hint="eastAsia" w:ascii="宋体" w:hAnsi="宋体" w:eastAsia="宋体" w:cs="宋体"/>
          <w:szCs w:val="21"/>
          <w:highlight w:val="none"/>
          <w:u w:val="single"/>
          <w:lang w:val="en-US" w:eastAsia="zh-CN"/>
        </w:rPr>
        <w:t xml:space="preserve">       </w:t>
      </w:r>
      <w:r>
        <w:rPr>
          <w:rFonts w:hint="default" w:ascii="宋体" w:hAnsi="宋体" w:eastAsia="宋体" w:cs="宋体"/>
          <w:szCs w:val="21"/>
          <w:highlight w:val="none"/>
          <w:u w:val="single"/>
          <w:lang w:val="en" w:eastAsia="zh-CN"/>
        </w:rPr>
        <w:t xml:space="preserve">   </w:t>
      </w:r>
    </w:p>
    <w:p>
      <w:pPr>
        <w:adjustRightInd w:val="0"/>
        <w:snapToGrid w:val="0"/>
        <w:spacing w:before="0" w:beforeLines="0" w:line="400" w:lineRule="exact"/>
        <w:ind w:firstLine="945" w:firstLineChars="450"/>
        <w:rPr>
          <w:rFonts w:ascii="宋体" w:hAnsi="宋体" w:eastAsia="宋体"/>
          <w:szCs w:val="21"/>
          <w:highlight w:val="none"/>
          <w:u w:val="single"/>
        </w:rPr>
      </w:pPr>
      <w:r>
        <w:rPr>
          <w:rFonts w:hint="eastAsia" w:ascii="宋体" w:hAnsi="宋体" w:eastAsia="宋体"/>
          <w:szCs w:val="21"/>
          <w:highlight w:val="none"/>
          <w:u w:val="none"/>
          <w:lang w:val="en-US" w:eastAsia="zh-CN"/>
        </w:rPr>
        <w:t>采购标的的技术要求、商务要求具体见附件。</w:t>
      </w:r>
    </w:p>
    <w:p>
      <w:pPr>
        <w:numPr>
          <w:ilvl w:val="-1"/>
          <w:numId w:val="0"/>
        </w:numPr>
        <w:adjustRightInd w:val="0"/>
        <w:snapToGrid w:val="0"/>
        <w:spacing w:before="0" w:beforeLines="0" w:line="400" w:lineRule="exact"/>
        <w:ind w:firstLine="945" w:firstLineChars="450"/>
        <w:rPr>
          <w:rFonts w:hint="eastAsia" w:ascii="宋体" w:hAnsi="宋体" w:eastAsia="宋体" w:cs="宋体"/>
          <w:szCs w:val="21"/>
          <w:highlight w:val="none"/>
          <w:lang w:val="en-US" w:eastAsia="zh-CN"/>
        </w:rPr>
      </w:pPr>
      <w:r>
        <w:rPr>
          <w:rFonts w:hint="eastAsia" w:ascii="汉仪书宋二S" w:hAnsi="汉仪书宋二S" w:eastAsia="汉仪书宋二S" w:cs="汉仪书宋二S"/>
          <w:szCs w:val="21"/>
          <w:highlight w:val="none"/>
          <w:lang w:val="en-US" w:eastAsia="zh-CN"/>
        </w:rPr>
        <w:t>①</w:t>
      </w:r>
      <w:r>
        <w:rPr>
          <w:rFonts w:hint="eastAsia" w:ascii="宋体" w:hAnsi="宋体" w:eastAsia="宋体" w:cs="宋体"/>
          <w:szCs w:val="21"/>
          <w:highlight w:val="none"/>
          <w:lang w:val="en-US" w:eastAsia="zh-CN"/>
        </w:rPr>
        <w:t>涉及信息类产品，请填写该产品关键部件的品牌、型号：</w:t>
      </w:r>
    </w:p>
    <w:p>
      <w:pPr>
        <w:numPr>
          <w:ilvl w:val="-1"/>
          <w:numId w:val="0"/>
        </w:numPr>
        <w:adjustRightInd w:val="0"/>
        <w:snapToGrid w:val="0"/>
        <w:spacing w:before="0" w:beforeLines="0" w:line="400" w:lineRule="exact"/>
        <w:ind w:firstLine="420" w:firstLineChars="200"/>
        <w:rPr>
          <w:rFonts w:hint="eastAsia" w:ascii="宋体" w:hAnsi="宋体" w:eastAsia="宋体" w:cs="宋体"/>
          <w:kern w:val="0"/>
          <w:szCs w:val="21"/>
          <w:highlight w:val="none"/>
          <w:u w:val="single"/>
          <w:lang w:val="en-US" w:eastAsia="zh-CN"/>
        </w:rPr>
      </w:pPr>
      <w:r>
        <w:rPr>
          <w:rFonts w:hint="eastAsia" w:ascii="宋体" w:hAnsi="宋体" w:eastAsia="宋体" w:cs="宋体"/>
          <w:szCs w:val="21"/>
          <w:highlight w:val="none"/>
          <w:lang w:val="en-US" w:eastAsia="zh-CN"/>
        </w:rPr>
        <w:t xml:space="preserve">     标的名称：</w:t>
      </w:r>
      <w:r>
        <w:rPr>
          <w:rFonts w:hint="eastAsia" w:ascii="宋体" w:hAnsi="宋体" w:eastAsia="宋体" w:cs="宋体"/>
          <w:kern w:val="0"/>
          <w:szCs w:val="21"/>
          <w:highlight w:val="none"/>
          <w:u w:val="single"/>
          <w:lang w:val="en-US" w:eastAsia="zh-CN"/>
        </w:rPr>
        <w:t xml:space="preserve">      </w:t>
      </w:r>
      <w:r>
        <w:rPr>
          <w:rFonts w:hint="default" w:ascii="宋体" w:hAnsi="宋体" w:eastAsia="宋体" w:cs="宋体"/>
          <w:kern w:val="0"/>
          <w:szCs w:val="21"/>
          <w:highlight w:val="none"/>
          <w:u w:val="single"/>
          <w:lang w:val="en" w:eastAsia="zh-CN"/>
        </w:rPr>
        <w:t xml:space="preserve">               </w:t>
      </w:r>
      <w:r>
        <w:rPr>
          <w:rFonts w:hint="eastAsia" w:ascii="宋体" w:hAnsi="宋体" w:eastAsia="宋体" w:cs="宋体"/>
          <w:kern w:val="0"/>
          <w:szCs w:val="21"/>
          <w:highlight w:val="none"/>
          <w:u w:val="single"/>
          <w:lang w:val="en-US" w:eastAsia="zh-CN"/>
        </w:rPr>
        <w:t xml:space="preserve">    </w:t>
      </w:r>
    </w:p>
    <w:p>
      <w:pPr>
        <w:numPr>
          <w:ilvl w:val="-1"/>
          <w:numId w:val="0"/>
        </w:numPr>
        <w:adjustRightInd w:val="0"/>
        <w:snapToGrid w:val="0"/>
        <w:spacing w:before="0" w:beforeLines="0" w:line="400"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     关键部件：</w:t>
      </w:r>
      <w:r>
        <w:rPr>
          <w:rFonts w:hint="eastAsia" w:ascii="宋体" w:hAnsi="宋体" w:eastAsia="宋体" w:cs="宋体"/>
          <w:kern w:val="0"/>
          <w:szCs w:val="21"/>
          <w:highlight w:val="none"/>
          <w:u w:val="single"/>
          <w:lang w:val="en-US" w:eastAsia="zh-CN"/>
        </w:rPr>
        <w:t xml:space="preserve">          </w:t>
      </w:r>
      <w:r>
        <w:rPr>
          <w:rFonts w:hint="eastAsia" w:ascii="宋体" w:hAnsi="宋体" w:eastAsia="宋体" w:cs="宋体"/>
          <w:kern w:val="0"/>
          <w:szCs w:val="21"/>
          <w:highlight w:val="none"/>
          <w:u w:val="none"/>
          <w:lang w:val="en-US" w:eastAsia="zh-CN"/>
        </w:rPr>
        <w:t xml:space="preserve"> </w:t>
      </w:r>
      <w:r>
        <w:rPr>
          <w:rFonts w:hint="eastAsia" w:ascii="宋体" w:hAnsi="宋体" w:eastAsia="宋体" w:cs="宋体"/>
          <w:szCs w:val="21"/>
          <w:highlight w:val="none"/>
          <w:lang w:val="en-US" w:eastAsia="zh-CN"/>
        </w:rPr>
        <w:t>品牌：</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none"/>
          <w:lang w:val="en-US" w:eastAsia="zh-CN"/>
        </w:rPr>
        <w:t xml:space="preserve"> </w:t>
      </w:r>
      <w:r>
        <w:rPr>
          <w:rFonts w:hint="eastAsia" w:ascii="宋体" w:hAnsi="宋体" w:eastAsia="宋体" w:cs="宋体"/>
          <w:szCs w:val="21"/>
          <w:highlight w:val="none"/>
          <w:lang w:val="en-US" w:eastAsia="zh-CN"/>
        </w:rPr>
        <w:t>型号：</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w:t>
      </w:r>
      <w:r>
        <w:rPr>
          <w:rFonts w:hint="eastAsia" w:ascii="宋体" w:hAnsi="宋体" w:eastAsia="宋体" w:cs="宋体"/>
          <w:kern w:val="2"/>
          <w:sz w:val="21"/>
          <w:szCs w:val="21"/>
          <w:highlight w:val="none"/>
          <w:lang w:val="en-US" w:eastAsia="zh-CN" w:bidi="ar-SA"/>
        </w:rPr>
        <w:t>关键部件</w:t>
      </w:r>
      <w:r>
        <w:rPr>
          <w:rFonts w:hint="eastAsia" w:ascii="宋体" w:hAnsi="宋体" w:eastAsia="宋体" w:cs="宋体"/>
          <w:sz w:val="21"/>
          <w:szCs w:val="21"/>
          <w:highlight w:val="none"/>
          <w:lang w:val="en-US" w:eastAsia="zh-CN" w:bidi="ar-SA"/>
        </w:rPr>
        <w:t>：</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u w:val="none"/>
          <w:lang w:val="en-US" w:eastAsia="zh-CN" w:bidi="ar-SA"/>
        </w:rPr>
        <w:t xml:space="preserve"> </w:t>
      </w:r>
      <w:r>
        <w:rPr>
          <w:rFonts w:hint="eastAsia" w:ascii="宋体" w:hAnsi="宋体" w:eastAsia="宋体" w:cs="宋体"/>
          <w:sz w:val="21"/>
          <w:szCs w:val="21"/>
          <w:highlight w:val="none"/>
          <w:lang w:val="en-US" w:eastAsia="zh-CN" w:bidi="ar-SA"/>
        </w:rPr>
        <w:t>品牌：</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u w:val="none"/>
          <w:lang w:val="en-US" w:eastAsia="zh-CN" w:bidi="ar-SA"/>
        </w:rPr>
        <w:t xml:space="preserve"> </w:t>
      </w:r>
      <w:r>
        <w:rPr>
          <w:rFonts w:hint="eastAsia" w:ascii="宋体" w:hAnsi="宋体" w:eastAsia="宋体" w:cs="宋体"/>
          <w:sz w:val="21"/>
          <w:szCs w:val="21"/>
          <w:highlight w:val="none"/>
          <w:lang w:val="en-US" w:eastAsia="zh-CN" w:bidi="ar-SA"/>
        </w:rPr>
        <w:t>型号：</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lang w:val="en-US" w:eastAsia="zh-CN" w:bidi="ar-SA"/>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关键部件：</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u w:val="none"/>
          <w:lang w:val="en-US" w:eastAsia="zh-CN" w:bidi="ar-SA"/>
        </w:rPr>
        <w:t xml:space="preserve"> </w:t>
      </w:r>
      <w:r>
        <w:rPr>
          <w:rFonts w:hint="eastAsia" w:ascii="宋体" w:hAnsi="宋体" w:eastAsia="宋体" w:cs="宋体"/>
          <w:sz w:val="21"/>
          <w:szCs w:val="21"/>
          <w:highlight w:val="none"/>
          <w:lang w:val="en-US" w:eastAsia="zh-CN" w:bidi="ar-SA"/>
        </w:rPr>
        <w:t>品牌：</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u w:val="none"/>
          <w:lang w:val="en-US" w:eastAsia="zh-CN" w:bidi="ar-SA"/>
        </w:rPr>
        <w:t xml:space="preserve"> </w:t>
      </w:r>
      <w:r>
        <w:rPr>
          <w:rFonts w:hint="eastAsia" w:ascii="宋体" w:hAnsi="宋体" w:eastAsia="宋体" w:cs="宋体"/>
          <w:sz w:val="21"/>
          <w:szCs w:val="21"/>
          <w:highlight w:val="none"/>
          <w:lang w:val="en-US" w:eastAsia="zh-CN" w:bidi="ar-SA"/>
        </w:rPr>
        <w:t>型号：</w:t>
      </w:r>
      <w:r>
        <w:rPr>
          <w:rFonts w:hint="eastAsia" w:ascii="宋体" w:hAnsi="宋体" w:eastAsia="宋体" w:cs="宋体"/>
          <w:sz w:val="21"/>
          <w:szCs w:val="21"/>
          <w:highlight w:val="none"/>
          <w:u w:val="single"/>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w:t>
      </w:r>
      <w:r>
        <w:rPr>
          <w:rFonts w:hint="eastAsia" w:ascii="汉仪书宋二S" w:hAnsi="汉仪书宋二S" w:eastAsia="汉仪书宋二S" w:cs="汉仪书宋二S"/>
          <w:sz w:val="21"/>
          <w:szCs w:val="21"/>
          <w:highlight w:val="none"/>
          <w:lang w:val="en-US" w:eastAsia="zh-CN" w:bidi="ar-SA"/>
        </w:rPr>
        <w:t>②</w:t>
      </w:r>
      <w:r>
        <w:rPr>
          <w:rFonts w:hint="eastAsia" w:ascii="宋体" w:hAnsi="宋体" w:eastAsia="宋体" w:cs="宋体"/>
          <w:sz w:val="21"/>
          <w:szCs w:val="21"/>
          <w:highlight w:val="none"/>
          <w:lang w:val="en-US" w:eastAsia="zh-CN" w:bidi="ar-SA"/>
        </w:rPr>
        <w:t>涉及车辆采购，请填写是否属于新能源汽车：</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是，《政府采购品目分类目录》底级品目名称</w:t>
      </w:r>
      <w:r>
        <w:rPr>
          <w:rFonts w:hint="eastAsia" w:ascii="宋体" w:hAnsi="宋体" w:eastAsia="宋体" w:cs="宋体"/>
          <w:sz w:val="21"/>
          <w:szCs w:val="21"/>
          <w:highlight w:val="none"/>
          <w:lang w:val="en-US" w:eastAsia="zh-CN" w:bidi="ar-SA"/>
        </w:rPr>
        <w:t>：</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lang w:val="en-US" w:eastAsia="zh-CN" w:bidi="ar-SA"/>
        </w:rPr>
        <w:t xml:space="preserve"> 数量：</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lang w:val="en-US" w:eastAsia="zh-CN" w:bidi="ar-SA"/>
        </w:rPr>
        <w:t xml:space="preserve"> 金额：</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iCs w:val="0"/>
          <w:sz w:val="21"/>
          <w:szCs w:val="21"/>
          <w:highlight w:val="none"/>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highlight w:val="none"/>
          <w:lang w:val="en-US" w:eastAsia="zh-CN" w:bidi="ar-SA"/>
        </w:rPr>
      </w:pPr>
      <w:r>
        <w:rPr>
          <w:rFonts w:hint="eastAsia" w:ascii="宋体" w:hAnsi="宋体" w:eastAsia="宋体" w:cs="宋体"/>
          <w:iCs w:val="0"/>
          <w:sz w:val="21"/>
          <w:szCs w:val="21"/>
          <w:highlight w:val="none"/>
          <w:lang w:val="en-US" w:eastAsia="zh-CN" w:bidi="ar-SA"/>
        </w:rPr>
        <w:t xml:space="preserve">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否</w:t>
      </w:r>
    </w:p>
    <w:p>
      <w:pPr>
        <w:numPr>
          <w:ilvl w:val="-1"/>
          <w:numId w:val="0"/>
        </w:numPr>
        <w:autoSpaceDE w:val="0"/>
        <w:autoSpaceDN w:val="0"/>
        <w:adjustRightInd w:val="0"/>
        <w:snapToGrid w:val="0"/>
        <w:spacing w:before="0" w:beforeLines="0" w:line="400" w:lineRule="exact"/>
        <w:ind w:left="0" w:firstLine="0" w:firstLineChars="0"/>
        <w:rPr>
          <w:rFonts w:hint="eastAsia" w:ascii="宋体" w:hAnsi="宋体" w:eastAsia="宋体" w:cs="宋体"/>
          <w:iCs w:val="0"/>
          <w:sz w:val="21"/>
          <w:szCs w:val="21"/>
          <w:highlight w:val="none"/>
          <w:lang w:val="en-US" w:eastAsia="zh-CN" w:bidi="ar-SA"/>
        </w:rPr>
      </w:pPr>
      <w:r>
        <w:rPr>
          <w:rFonts w:hint="eastAsia" w:ascii="宋体" w:hAnsi="宋体" w:eastAsia="宋体" w:cs="宋体"/>
          <w:iCs w:val="0"/>
          <w:sz w:val="21"/>
          <w:szCs w:val="21"/>
          <w:highlight w:val="none"/>
          <w:lang w:val="en-US" w:eastAsia="zh-CN" w:bidi="ar-SA"/>
        </w:rPr>
        <w:t xml:space="preserve">    （</w:t>
      </w:r>
      <w:r>
        <w:rPr>
          <w:rFonts w:hint="default" w:ascii="宋体" w:hAnsi="宋体" w:eastAsia="宋体" w:cs="宋体"/>
          <w:iCs w:val="0"/>
          <w:sz w:val="21"/>
          <w:szCs w:val="21"/>
          <w:highlight w:val="none"/>
          <w:lang w:val="en" w:eastAsia="zh-CN" w:bidi="ar-SA"/>
        </w:rPr>
        <w:t>4</w:t>
      </w:r>
      <w:r>
        <w:rPr>
          <w:rFonts w:hint="eastAsia" w:ascii="宋体" w:hAnsi="宋体" w:eastAsia="宋体" w:cs="宋体"/>
          <w:iCs w:val="0"/>
          <w:sz w:val="21"/>
          <w:szCs w:val="21"/>
          <w:highlight w:val="none"/>
          <w:lang w:val="en-US" w:eastAsia="zh-CN" w:bidi="ar-SA"/>
        </w:rPr>
        <w:t>）政府采购组织形式：</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集中采购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自行采购</w:t>
      </w:r>
    </w:p>
    <w:p>
      <w:pPr>
        <w:numPr>
          <w:ilvl w:val="-1"/>
          <w:numId w:val="0"/>
        </w:numPr>
        <w:autoSpaceDE w:val="0"/>
        <w:autoSpaceDN w:val="0"/>
        <w:adjustRightInd w:val="0"/>
        <w:snapToGrid w:val="0"/>
        <w:spacing w:before="0" w:beforeLines="0" w:line="400" w:lineRule="exact"/>
        <w:ind w:left="210" w:leftChars="100" w:firstLine="210" w:firstLineChars="100"/>
        <w:rPr>
          <w:rFonts w:hint="eastAsia" w:ascii="宋体" w:hAnsi="宋体" w:eastAsia="宋体" w:cs="宋体"/>
          <w:iCs w:val="0"/>
          <w:sz w:val="21"/>
          <w:szCs w:val="21"/>
          <w:highlight w:val="none"/>
          <w:u w:val="single"/>
          <w:lang w:val="en-US" w:eastAsia="zh-CN" w:bidi="ar-SA"/>
        </w:rPr>
      </w:pPr>
      <w:r>
        <w:rPr>
          <w:rFonts w:hint="eastAsia" w:ascii="宋体" w:hAnsi="宋体" w:eastAsia="宋体" w:cs="宋体"/>
          <w:iCs w:val="0"/>
          <w:sz w:val="21"/>
          <w:szCs w:val="21"/>
          <w:highlight w:val="none"/>
          <w:lang w:val="en-US" w:eastAsia="zh-CN" w:bidi="ar-SA"/>
        </w:rPr>
        <w:t>（</w:t>
      </w:r>
      <w:r>
        <w:rPr>
          <w:rFonts w:hint="default" w:ascii="宋体" w:hAnsi="宋体" w:eastAsia="宋体" w:cs="宋体"/>
          <w:iCs w:val="0"/>
          <w:sz w:val="21"/>
          <w:szCs w:val="21"/>
          <w:highlight w:val="none"/>
          <w:lang w:val="en" w:eastAsia="zh-CN" w:bidi="ar-SA"/>
        </w:rPr>
        <w:t>5</w:t>
      </w:r>
      <w:r>
        <w:rPr>
          <w:rFonts w:hint="eastAsia" w:ascii="宋体" w:hAnsi="宋体" w:eastAsia="宋体" w:cs="宋体"/>
          <w:iCs w:val="0"/>
          <w:sz w:val="21"/>
          <w:szCs w:val="21"/>
          <w:highlight w:val="none"/>
          <w:lang w:val="en-US" w:eastAsia="zh-CN" w:bidi="ar-SA"/>
        </w:rPr>
        <w:t>）政府采购方式：</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公开招标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竞争性谈判</w:t>
      </w:r>
      <w:r>
        <w:rPr>
          <w:rFonts w:hint="eastAsia" w:ascii="宋体" w:hAnsi="宋体" w:eastAsia="华文楷体" w:cs="宋体"/>
          <w:sz w:val="22"/>
          <w:szCs w:val="21"/>
          <w:highlight w:val="none"/>
          <w:u w:val="none"/>
          <w:lang w:val="en-US" w:eastAsia="zh-CN" w:bidi="ar-SA"/>
        </w:rPr>
        <w:t xml:space="preserve">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单一来源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竞价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框架协议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其他：</w:t>
      </w:r>
      <w:r>
        <w:rPr>
          <w:rFonts w:hint="eastAsia" w:ascii="宋体" w:hAnsi="宋体" w:eastAsia="宋体" w:cs="宋体"/>
          <w:iCs w:val="0"/>
          <w:sz w:val="21"/>
          <w:szCs w:val="21"/>
          <w:highlight w:val="none"/>
          <w:u w:val="single"/>
          <w:lang w:val="en-US" w:eastAsia="zh-CN" w:bidi="ar-SA"/>
        </w:rPr>
        <w:t xml:space="preserve">          </w:t>
      </w:r>
    </w:p>
    <w:p>
      <w:pPr>
        <w:numPr>
          <w:ilvl w:val="-1"/>
          <w:numId w:val="0"/>
        </w:numPr>
        <w:autoSpaceDE w:val="0"/>
        <w:autoSpaceDN w:val="0"/>
        <w:adjustRightInd w:val="0"/>
        <w:snapToGrid w:val="0"/>
        <w:spacing w:before="0" w:beforeLines="0" w:line="400" w:lineRule="exact"/>
        <w:ind w:left="0" w:firstLine="420" w:firstLineChars="0"/>
        <w:rPr>
          <w:rFonts w:hint="default" w:ascii="宋体" w:hAnsi="宋体" w:eastAsia="宋体" w:cs="宋体"/>
          <w:iCs w:val="0"/>
          <w:sz w:val="21"/>
          <w:szCs w:val="21"/>
          <w:highlight w:val="none"/>
          <w:u w:val="none"/>
          <w:lang w:val="en-US" w:eastAsia="zh-CN" w:bidi="ar-SA"/>
        </w:rPr>
      </w:pPr>
      <w:r>
        <w:rPr>
          <w:rFonts w:hint="eastAsia" w:ascii="宋体" w:hAnsi="宋体" w:eastAsia="宋体" w:cs="宋体"/>
          <w:iCs w:val="0"/>
          <w:sz w:val="21"/>
          <w:szCs w:val="21"/>
          <w:highlight w:val="none"/>
          <w:u w:val="none"/>
          <w:lang w:val="en-US" w:eastAsia="zh-CN" w:bidi="ar-SA"/>
        </w:rPr>
        <w:t>（注：在框架协议采购的第二阶段，可选择使用该合同文本）</w:t>
      </w:r>
    </w:p>
    <w:p>
      <w:pPr>
        <w:numPr>
          <w:ilvl w:val="-1"/>
          <w:numId w:val="0"/>
        </w:numPr>
        <w:autoSpaceDE w:val="0"/>
        <w:autoSpaceDN w:val="0"/>
        <w:adjustRightInd w:val="0"/>
        <w:snapToGrid w:val="0"/>
        <w:spacing w:before="0" w:beforeLines="0" w:line="400" w:lineRule="exact"/>
        <w:ind w:firstLine="220" w:firstLineChars="100"/>
        <w:rPr>
          <w:rFonts w:hint="eastAsia" w:ascii="宋体" w:hAnsi="宋体" w:eastAsia="宋体" w:cs="Times New Roman"/>
          <w:w w:val="100"/>
          <w:kern w:val="2"/>
          <w:sz w:val="21"/>
          <w:szCs w:val="21"/>
          <w:highlight w:val="none"/>
          <w:lang w:val="en-US" w:eastAsia="zh-CN" w:bidi="ar-SA"/>
        </w:rPr>
      </w:pPr>
      <w:r>
        <w:rPr>
          <w:rFonts w:hint="eastAsia" w:ascii="宋体" w:hAnsi="宋体" w:eastAsia="华文楷体" w:cs="华文楷体"/>
          <w:sz w:val="22"/>
          <w:szCs w:val="21"/>
          <w:highlight w:val="none"/>
          <w:lang w:val="en-US" w:eastAsia="zh-CN" w:bidi="ar-SA"/>
        </w:rPr>
        <w:t xml:space="preserve"> （</w:t>
      </w:r>
      <w:r>
        <w:rPr>
          <w:rFonts w:hint="default" w:ascii="宋体" w:hAnsi="宋体" w:eastAsia="华文楷体" w:cs="华文楷体"/>
          <w:sz w:val="22"/>
          <w:szCs w:val="21"/>
          <w:highlight w:val="none"/>
          <w:lang w:val="en" w:eastAsia="zh-CN" w:bidi="ar-SA"/>
        </w:rPr>
        <w:t>6</w:t>
      </w:r>
      <w:r>
        <w:rPr>
          <w:rFonts w:hint="eastAsia" w:ascii="宋体" w:hAnsi="宋体" w:eastAsia="华文楷体" w:cs="华文楷体"/>
          <w:sz w:val="22"/>
          <w:szCs w:val="21"/>
          <w:highlight w:val="none"/>
          <w:lang w:val="en-US" w:eastAsia="zh-CN" w:bidi="ar-SA"/>
        </w:rPr>
        <w:t>）</w:t>
      </w:r>
      <w:r>
        <w:rPr>
          <w:rFonts w:hint="eastAsia" w:ascii="宋体" w:hAnsi="宋体" w:eastAsia="宋体" w:cs="Times New Roman"/>
          <w:w w:val="100"/>
          <w:kern w:val="2"/>
          <w:sz w:val="21"/>
          <w:szCs w:val="21"/>
          <w:highlight w:val="none"/>
          <w:lang w:val="en-US" w:eastAsia="zh-CN" w:bidi="ar-SA"/>
        </w:rPr>
        <w:t>中标（成交）采购标的制造商是否为中小企业：</w:t>
      </w:r>
      <w:r>
        <w:rPr>
          <w:rFonts w:hint="eastAsia" w:ascii="宋体" w:hAnsi="宋体" w:eastAsia="宋体" w:cs="Times New Roman"/>
          <w:w w:val="100"/>
          <w:kern w:val="2"/>
          <w:sz w:val="21"/>
          <w:szCs w:val="21"/>
          <w:highlight w:val="none"/>
          <w:lang w:val="en-US" w:eastAsia="zh-CN" w:bidi="ar-SA"/>
        </w:rPr>
        <w:sym w:font="Wingdings" w:char="00A8"/>
      </w:r>
      <w:r>
        <w:rPr>
          <w:rFonts w:hint="eastAsia" w:ascii="宋体" w:hAnsi="宋体" w:eastAsia="宋体" w:cs="Times New Roman"/>
          <w:w w:val="100"/>
          <w:kern w:val="2"/>
          <w:sz w:val="21"/>
          <w:szCs w:val="21"/>
          <w:highlight w:val="none"/>
          <w:lang w:val="en-US" w:eastAsia="zh-CN" w:bidi="ar-SA"/>
        </w:rPr>
        <w:t xml:space="preserve">是      </w:t>
      </w:r>
      <w:r>
        <w:rPr>
          <w:rFonts w:hint="eastAsia" w:ascii="宋体" w:hAnsi="宋体" w:eastAsia="宋体" w:cs="Times New Roman"/>
          <w:w w:val="100"/>
          <w:kern w:val="2"/>
          <w:sz w:val="21"/>
          <w:szCs w:val="21"/>
          <w:highlight w:val="none"/>
          <w:lang w:val="en-US" w:eastAsia="zh-CN" w:bidi="ar-SA"/>
        </w:rPr>
        <w:sym w:font="Wingdings" w:char="00A8"/>
      </w:r>
      <w:r>
        <w:rPr>
          <w:rFonts w:hint="eastAsia" w:ascii="宋体" w:hAnsi="宋体" w:eastAsia="宋体" w:cs="Times New Roman"/>
          <w:w w:val="100"/>
          <w:kern w:val="2"/>
          <w:sz w:val="21"/>
          <w:szCs w:val="21"/>
          <w:highlight w:val="none"/>
          <w:lang w:val="en-US" w:eastAsia="zh-CN" w:bidi="ar-SA"/>
        </w:rPr>
        <w:t>否</w:t>
      </w:r>
    </w:p>
    <w:p>
      <w:pPr>
        <w:numPr>
          <w:ilvl w:val="-1"/>
          <w:numId w:val="0"/>
        </w:numPr>
        <w:adjustRightInd w:val="0"/>
        <w:snapToGrid w:val="0"/>
        <w:spacing w:before="0" w:beforeLines="0" w:line="400" w:lineRule="exact"/>
        <w:ind w:left="0" w:leftChars="0" w:firstLine="0" w:firstLineChars="0"/>
        <w:rPr>
          <w:rFonts w:hint="eastAsia" w:ascii="宋体" w:hAnsi="宋体" w:eastAsia="宋体"/>
          <w:iCs/>
          <w:szCs w:val="21"/>
          <w:highlight w:val="none"/>
        </w:rPr>
      </w:pPr>
      <w:r>
        <w:rPr>
          <w:rFonts w:hint="eastAsia" w:ascii="宋体" w:hAnsi="宋体" w:eastAsia="宋体"/>
          <w:w w:val="100"/>
          <w:szCs w:val="21"/>
          <w:highlight w:val="none"/>
          <w:lang w:val="en-US" w:eastAsia="zh-CN"/>
        </w:rPr>
        <w:t xml:space="preserve">         本合同</w:t>
      </w:r>
      <w:r>
        <w:rPr>
          <w:rFonts w:hint="eastAsia" w:ascii="宋体" w:hAnsi="宋体" w:eastAsia="宋体"/>
          <w:w w:val="100"/>
          <w:szCs w:val="21"/>
          <w:highlight w:val="none"/>
        </w:rPr>
        <w:t>是否</w:t>
      </w:r>
      <w:r>
        <w:rPr>
          <w:rFonts w:hint="eastAsia" w:ascii="宋体" w:hAnsi="宋体" w:eastAsia="宋体"/>
          <w:w w:val="100"/>
          <w:szCs w:val="21"/>
          <w:highlight w:val="none"/>
          <w:lang w:eastAsia="zh-CN"/>
        </w:rPr>
        <w:t>为专门面向</w:t>
      </w:r>
      <w:r>
        <w:rPr>
          <w:rFonts w:hint="eastAsia" w:ascii="宋体" w:hAnsi="宋体" w:eastAsia="宋体"/>
          <w:w w:val="100"/>
          <w:szCs w:val="21"/>
          <w:highlight w:val="none"/>
        </w:rPr>
        <w:t>中小企业</w:t>
      </w:r>
      <w:r>
        <w:rPr>
          <w:rFonts w:hint="eastAsia" w:ascii="宋体" w:hAnsi="宋体" w:eastAsia="宋体"/>
          <w:w w:val="100"/>
          <w:szCs w:val="21"/>
          <w:highlight w:val="none"/>
          <w:lang w:eastAsia="zh-CN"/>
        </w:rPr>
        <w:t>的采</w:t>
      </w:r>
      <w:r>
        <w:rPr>
          <w:rFonts w:hint="eastAsia" w:ascii="宋体" w:hAnsi="宋体" w:eastAsia="宋体"/>
          <w:w w:val="100"/>
          <w:szCs w:val="21"/>
          <w:highlight w:val="none"/>
          <w:shd w:val="clear"/>
          <w:lang w:eastAsia="zh-CN"/>
        </w:rPr>
        <w:t>购</w:t>
      </w:r>
      <w:r>
        <w:rPr>
          <w:rFonts w:hint="eastAsia" w:ascii="宋体" w:hAnsi="宋体" w:eastAsia="宋体"/>
          <w:w w:val="100"/>
          <w:szCs w:val="21"/>
          <w:highlight w:val="none"/>
          <w:shd w:val="clear"/>
        </w:rPr>
        <w:t>合同</w:t>
      </w:r>
      <w:r>
        <w:rPr>
          <w:rFonts w:hint="eastAsia" w:ascii="宋体" w:hAnsi="宋体" w:eastAsia="宋体"/>
          <w:w w:val="100"/>
          <w:szCs w:val="21"/>
          <w:highlight w:val="none"/>
          <w:shd w:val="clear"/>
          <w:lang w:eastAsia="zh-CN"/>
        </w:rPr>
        <w:t>（中小企业预留合同）</w:t>
      </w:r>
      <w:r>
        <w:rPr>
          <w:rFonts w:hint="eastAsia" w:ascii="宋体" w:hAnsi="宋体" w:eastAsia="宋体"/>
          <w:szCs w:val="21"/>
          <w:highlight w:val="none"/>
          <w:shd w:val="clear"/>
        </w:rPr>
        <w:t>：</w:t>
      </w:r>
      <w:r>
        <w:rPr>
          <w:rFonts w:hint="eastAsia" w:ascii="宋体" w:hAnsi="宋体" w:eastAsia="宋体"/>
          <w:iCs/>
          <w:szCs w:val="21"/>
          <w:highlight w:val="none"/>
        </w:rPr>
        <w:sym w:font="Wingdings" w:char="00A8"/>
      </w:r>
      <w:r>
        <w:rPr>
          <w:rFonts w:hint="eastAsia" w:ascii="宋体" w:hAnsi="宋体" w:eastAsia="宋体"/>
          <w:iCs/>
          <w:szCs w:val="21"/>
          <w:highlight w:val="none"/>
        </w:rPr>
        <w:t xml:space="preserve">是 </w:t>
      </w: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rPr>
        <w:t>否</w:t>
      </w:r>
    </w:p>
    <w:p>
      <w:pPr>
        <w:numPr>
          <w:ilvl w:val="-1"/>
          <w:numId w:val="0"/>
        </w:numPr>
        <w:adjustRightInd w:val="0"/>
        <w:snapToGrid w:val="0"/>
        <w:spacing w:before="0" w:beforeLines="0" w:line="400" w:lineRule="exact"/>
        <w:ind w:firstLine="0" w:firstLineChars="0"/>
        <w:rPr>
          <w:rFonts w:hint="eastAsia" w:ascii="宋体" w:hAnsi="宋体" w:eastAsia="宋体"/>
          <w:iCs/>
          <w:szCs w:val="21"/>
          <w:highlight w:val="none"/>
        </w:rPr>
      </w:pPr>
      <w:r>
        <w:rPr>
          <w:rFonts w:hint="eastAsia" w:eastAsia="宋体"/>
          <w:highlight w:val="none"/>
          <w:lang w:val="en-US" w:eastAsia="zh-CN"/>
        </w:rPr>
        <w:t xml:space="preserve">         若本项目不专门面向中小企业采购，是否给予小微企业评审优惠：</w:t>
      </w:r>
      <w:r>
        <w:rPr>
          <w:rFonts w:hint="eastAsia" w:ascii="宋体" w:hAnsi="宋体" w:eastAsia="宋体"/>
          <w:iCs/>
          <w:szCs w:val="21"/>
          <w:highlight w:val="none"/>
        </w:rPr>
        <w:sym w:font="Wingdings" w:char="00A8"/>
      </w:r>
      <w:r>
        <w:rPr>
          <w:rFonts w:hint="eastAsia" w:ascii="宋体" w:hAnsi="宋体" w:eastAsia="宋体"/>
          <w:iCs/>
          <w:szCs w:val="21"/>
          <w:highlight w:val="none"/>
        </w:rPr>
        <w:t xml:space="preserve">是   </w:t>
      </w:r>
      <w:r>
        <w:rPr>
          <w:rFonts w:hint="eastAsia" w:ascii="宋体" w:hAnsi="宋体" w:eastAsia="宋体"/>
          <w:iCs/>
          <w:szCs w:val="21"/>
          <w:highlight w:val="none"/>
        </w:rPr>
        <w:sym w:font="Wingdings" w:char="00A8"/>
      </w:r>
      <w:r>
        <w:rPr>
          <w:rFonts w:hint="eastAsia" w:ascii="宋体" w:hAnsi="宋体" w:eastAsia="宋体"/>
          <w:iCs/>
          <w:szCs w:val="21"/>
          <w:highlight w:val="none"/>
        </w:rPr>
        <w:t>否</w:t>
      </w:r>
    </w:p>
    <w:p>
      <w:pPr>
        <w:numPr>
          <w:ilvl w:val="-1"/>
          <w:numId w:val="0"/>
        </w:numPr>
        <w:adjustRightInd w:val="0"/>
        <w:snapToGrid w:val="0"/>
        <w:spacing w:before="0" w:beforeLines="0" w:line="400" w:lineRule="exact"/>
        <w:ind w:firstLine="0" w:firstLineChars="0"/>
        <w:rPr>
          <w:rFonts w:hint="eastAsia" w:ascii="宋体" w:hAnsi="宋体" w:eastAsia="宋体"/>
          <w:iCs/>
          <w:szCs w:val="21"/>
          <w:highlight w:val="none"/>
        </w:rPr>
      </w:pPr>
      <w:r>
        <w:rPr>
          <w:rFonts w:hint="eastAsia" w:eastAsia="宋体"/>
          <w:highlight w:val="none"/>
          <w:lang w:val="en-US" w:eastAsia="zh-CN"/>
        </w:rPr>
        <w:t xml:space="preserve">         中标（成交）采购标的制造商是否为残疾人福利性单位：</w:t>
      </w:r>
      <w:r>
        <w:rPr>
          <w:rFonts w:hint="eastAsia" w:ascii="宋体" w:hAnsi="宋体" w:eastAsia="宋体"/>
          <w:iCs/>
          <w:szCs w:val="21"/>
          <w:highlight w:val="none"/>
        </w:rPr>
        <w:sym w:font="Wingdings" w:char="00A8"/>
      </w:r>
      <w:r>
        <w:rPr>
          <w:rFonts w:hint="eastAsia" w:ascii="宋体" w:hAnsi="宋体" w:eastAsia="宋体"/>
          <w:iCs/>
          <w:szCs w:val="21"/>
          <w:highlight w:val="none"/>
        </w:rPr>
        <w:t xml:space="preserve">是   </w:t>
      </w:r>
      <w:r>
        <w:rPr>
          <w:rFonts w:hint="eastAsia" w:ascii="宋体" w:hAnsi="宋体" w:eastAsia="宋体"/>
          <w:iCs/>
          <w:szCs w:val="21"/>
          <w:highlight w:val="none"/>
        </w:rPr>
        <w:sym w:font="Wingdings" w:char="00A8"/>
      </w:r>
      <w:r>
        <w:rPr>
          <w:rFonts w:hint="eastAsia" w:ascii="宋体" w:hAnsi="宋体" w:eastAsia="宋体"/>
          <w:iCs/>
          <w:szCs w:val="21"/>
          <w:highlight w:val="none"/>
        </w:rPr>
        <w:t>否</w:t>
      </w:r>
    </w:p>
    <w:p>
      <w:pPr>
        <w:numPr>
          <w:ilvl w:val="0"/>
          <w:numId w:val="0"/>
        </w:numPr>
        <w:snapToGrid w:val="0"/>
        <w:spacing w:beforeLines="0" w:line="400" w:lineRule="exact"/>
        <w:ind w:firstLine="0" w:firstLineChars="0"/>
        <w:rPr>
          <w:rFonts w:hint="default" w:eastAsia="宋体"/>
          <w:highlight w:val="none"/>
          <w:lang w:val="en-US" w:eastAsia="zh-CN"/>
        </w:rPr>
      </w:pPr>
      <w:r>
        <w:rPr>
          <w:rFonts w:hint="eastAsia" w:eastAsia="宋体"/>
          <w:highlight w:val="none"/>
          <w:lang w:val="en-US" w:eastAsia="zh-CN"/>
        </w:rPr>
        <w:t xml:space="preserve">         中标（成交）采购标的制造商是否为监狱企业：</w:t>
      </w:r>
      <w:r>
        <w:rPr>
          <w:rFonts w:hint="eastAsia" w:ascii="宋体" w:hAnsi="宋体" w:eastAsia="宋体"/>
          <w:iCs/>
          <w:szCs w:val="21"/>
          <w:highlight w:val="none"/>
        </w:rPr>
        <w:sym w:font="Wingdings" w:char="00A8"/>
      </w:r>
      <w:r>
        <w:rPr>
          <w:rFonts w:hint="eastAsia" w:ascii="宋体" w:hAnsi="宋体" w:eastAsia="宋体"/>
          <w:iCs/>
          <w:szCs w:val="21"/>
          <w:highlight w:val="none"/>
        </w:rPr>
        <w:t xml:space="preserve">是       </w:t>
      </w:r>
      <w:r>
        <w:rPr>
          <w:rFonts w:hint="eastAsia" w:ascii="宋体" w:hAnsi="宋体" w:eastAsia="宋体"/>
          <w:iCs/>
          <w:szCs w:val="21"/>
          <w:highlight w:val="none"/>
        </w:rPr>
        <w:sym w:font="Wingdings" w:char="00A8"/>
      </w:r>
      <w:r>
        <w:rPr>
          <w:rFonts w:hint="eastAsia" w:ascii="宋体" w:hAnsi="宋体" w:eastAsia="宋体"/>
          <w:iCs/>
          <w:szCs w:val="21"/>
          <w:highlight w:val="none"/>
        </w:rPr>
        <w:t>否</w:t>
      </w:r>
    </w:p>
    <w:p>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w:t>
      </w:r>
      <w:r>
        <w:rPr>
          <w:rFonts w:hint="default" w:ascii="宋体" w:hAnsi="宋体" w:eastAsia="宋体"/>
          <w:szCs w:val="21"/>
          <w:highlight w:val="none"/>
          <w:lang w:val="en" w:eastAsia="zh-CN"/>
        </w:rPr>
        <w:t>7</w:t>
      </w:r>
      <w:r>
        <w:rPr>
          <w:rFonts w:hint="eastAsia" w:ascii="宋体" w:hAnsi="宋体" w:eastAsia="宋体"/>
          <w:szCs w:val="21"/>
          <w:highlight w:val="none"/>
        </w:rPr>
        <w:t>）合同是否分包：</w:t>
      </w:r>
      <w:r>
        <w:rPr>
          <w:rFonts w:hint="eastAsia" w:ascii="宋体" w:hAnsi="宋体" w:eastAsia="宋体"/>
          <w:iCs/>
          <w:szCs w:val="21"/>
          <w:highlight w:val="none"/>
        </w:rPr>
        <w:sym w:font="Wingdings" w:char="00A8"/>
      </w:r>
      <w:r>
        <w:rPr>
          <w:rFonts w:hint="eastAsia" w:ascii="宋体" w:hAnsi="宋体" w:eastAsia="宋体"/>
          <w:iCs/>
          <w:szCs w:val="21"/>
          <w:highlight w:val="none"/>
        </w:rPr>
        <w:t xml:space="preserve">是       </w:t>
      </w:r>
      <w:r>
        <w:rPr>
          <w:rFonts w:hint="eastAsia" w:ascii="宋体" w:hAnsi="宋体" w:eastAsia="宋体"/>
          <w:iCs/>
          <w:szCs w:val="21"/>
          <w:highlight w:val="none"/>
        </w:rPr>
        <w:sym w:font="Wingdings" w:char="00A8"/>
      </w:r>
      <w:r>
        <w:rPr>
          <w:rFonts w:hint="eastAsia" w:ascii="宋体" w:hAnsi="宋体" w:eastAsia="宋体"/>
          <w:iCs/>
          <w:szCs w:val="21"/>
          <w:highlight w:val="none"/>
        </w:rPr>
        <w:t>否</w:t>
      </w:r>
    </w:p>
    <w:p>
      <w:pPr>
        <w:adjustRightInd w:val="0"/>
        <w:snapToGrid w:val="0"/>
        <w:spacing w:before="0" w:beforeLines="0" w:line="400" w:lineRule="exact"/>
        <w:ind w:firstLine="840" w:firstLineChars="400"/>
        <w:rPr>
          <w:rFonts w:hint="eastAsia" w:ascii="宋体" w:hAnsi="宋体" w:eastAsia="宋体"/>
          <w:szCs w:val="21"/>
          <w:highlight w:val="none"/>
          <w:u w:val="single"/>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分包主要内容：</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p>
    <w:p>
      <w:pPr>
        <w:adjustRightInd w:val="0"/>
        <w:snapToGrid w:val="0"/>
        <w:spacing w:before="0" w:beforeLines="0" w:line="400" w:lineRule="exact"/>
        <w:ind w:firstLine="840" w:firstLineChars="400"/>
        <w:rPr>
          <w:rFonts w:hint="eastAsia" w:ascii="宋体" w:hAnsi="宋体" w:eastAsia="宋体"/>
          <w:szCs w:val="21"/>
          <w:highlight w:val="none"/>
        </w:rPr>
      </w:pPr>
      <w:r>
        <w:rPr>
          <w:rFonts w:hint="eastAsia" w:ascii="宋体" w:hAnsi="宋体" w:eastAsia="宋体"/>
          <w:szCs w:val="21"/>
          <w:highlight w:val="none"/>
          <w:u w:val="none"/>
          <w:lang w:val="en-US" w:eastAsia="zh-CN"/>
        </w:rPr>
        <w:t xml:space="preserve"> </w:t>
      </w:r>
      <w:r>
        <w:rPr>
          <w:rFonts w:hint="eastAsia" w:ascii="宋体" w:hAnsi="宋体" w:eastAsia="宋体"/>
          <w:szCs w:val="21"/>
          <w:highlight w:val="none"/>
        </w:rPr>
        <w:t>分包供应商</w:t>
      </w:r>
      <w:r>
        <w:rPr>
          <w:rFonts w:hint="eastAsia" w:ascii="宋体" w:hAnsi="宋体" w:eastAsia="宋体"/>
          <w:szCs w:val="21"/>
          <w:highlight w:val="none"/>
          <w:lang w:eastAsia="zh-CN"/>
        </w:rPr>
        <w:t>/制造商</w:t>
      </w:r>
      <w:r>
        <w:rPr>
          <w:rFonts w:hint="eastAsia" w:ascii="宋体" w:hAnsi="宋体" w:eastAsia="宋体"/>
          <w:szCs w:val="21"/>
          <w:highlight w:val="none"/>
        </w:rPr>
        <w:t>名称</w:t>
      </w:r>
      <w:r>
        <w:rPr>
          <w:rFonts w:hint="eastAsia" w:ascii="宋体" w:hAnsi="宋体" w:eastAsia="宋体"/>
          <w:szCs w:val="21"/>
          <w:highlight w:val="none"/>
          <w:lang w:eastAsia="zh-CN"/>
        </w:rPr>
        <w:t>（如供应商和制造商不同，请分别填写）</w:t>
      </w:r>
      <w:r>
        <w:rPr>
          <w:rFonts w:hint="eastAsia" w:ascii="宋体" w:hAnsi="宋体" w:eastAsia="宋体"/>
          <w:szCs w:val="21"/>
          <w:highlight w:val="none"/>
        </w:rPr>
        <w:t>：</w:t>
      </w:r>
    </w:p>
    <w:p>
      <w:pPr>
        <w:adjustRightInd w:val="0"/>
        <w:snapToGrid w:val="0"/>
        <w:spacing w:before="0" w:beforeLines="0" w:line="400" w:lineRule="exact"/>
        <w:ind w:firstLine="840" w:firstLineChars="400"/>
        <w:rPr>
          <w:rFonts w:ascii="宋体" w:hAnsi="宋体" w:eastAsia="宋体"/>
          <w:szCs w:val="21"/>
          <w:highlight w:val="none"/>
          <w:u w:val="single"/>
        </w:rPr>
      </w:pPr>
      <w:r>
        <w:rPr>
          <w:rFonts w:hint="eastAsia" w:ascii="宋体" w:hAnsi="宋体" w:eastAsia="宋体"/>
          <w:szCs w:val="21"/>
          <w:highlight w:val="none"/>
          <w:u w:val="non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p>
    <w:p>
      <w:pPr>
        <w:adjustRightInd w:val="0"/>
        <w:snapToGrid w:val="0"/>
        <w:spacing w:before="0" w:beforeLines="0" w:line="400" w:lineRule="exact"/>
        <w:ind w:firstLine="840" w:firstLineChars="400"/>
        <w:rPr>
          <w:rFonts w:hint="eastAsia" w:ascii="宋体" w:hAnsi="宋体" w:eastAsia="宋体"/>
          <w:szCs w:val="21"/>
          <w:highlight w:val="none"/>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分包供应商</w:t>
      </w:r>
      <w:r>
        <w:rPr>
          <w:rFonts w:hint="eastAsia" w:ascii="宋体" w:hAnsi="宋体" w:eastAsia="宋体"/>
          <w:szCs w:val="21"/>
          <w:highlight w:val="none"/>
          <w:lang w:val="en-US" w:eastAsia="zh-CN"/>
        </w:rPr>
        <w:t>/</w:t>
      </w:r>
      <w:r>
        <w:rPr>
          <w:rFonts w:hint="eastAsia" w:ascii="宋体" w:hAnsi="宋体" w:eastAsia="宋体"/>
          <w:szCs w:val="21"/>
          <w:highlight w:val="none"/>
          <w:lang w:eastAsia="zh-CN"/>
        </w:rPr>
        <w:t>制造商</w:t>
      </w:r>
      <w:r>
        <w:rPr>
          <w:rFonts w:hint="eastAsia" w:ascii="宋体" w:hAnsi="宋体" w:eastAsia="宋体"/>
          <w:szCs w:val="21"/>
          <w:highlight w:val="none"/>
        </w:rPr>
        <w:t>类型</w:t>
      </w:r>
      <w:r>
        <w:rPr>
          <w:rFonts w:hint="eastAsia" w:ascii="宋体" w:hAnsi="宋体" w:eastAsia="宋体"/>
          <w:szCs w:val="21"/>
          <w:highlight w:val="none"/>
          <w:lang w:eastAsia="zh-CN"/>
        </w:rPr>
        <w:t>（如果供应商和制造商不同，只填写制造商类型）</w:t>
      </w:r>
      <w:r>
        <w:rPr>
          <w:rFonts w:hint="eastAsia" w:ascii="宋体" w:hAnsi="宋体" w:eastAsia="宋体"/>
          <w:szCs w:val="21"/>
          <w:highlight w:val="none"/>
        </w:rPr>
        <w:t>：</w:t>
      </w:r>
    </w:p>
    <w:p>
      <w:pPr>
        <w:adjustRightInd w:val="0"/>
        <w:snapToGrid w:val="0"/>
        <w:spacing w:beforeLines="0" w:line="400" w:lineRule="exact"/>
        <w:ind w:firstLine="840" w:firstLineChars="400"/>
        <w:rPr>
          <w:rFonts w:hint="eastAsia" w:ascii="宋体" w:hAnsi="宋体" w:eastAsia="宋体"/>
          <w:iCs/>
          <w:szCs w:val="21"/>
          <w:highlight w:val="none"/>
          <w:lang w:val="en-US" w:eastAsia="zh-CN"/>
        </w:rPr>
      </w:pP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rPr>
        <w:t xml:space="preserve">大型企业  </w:t>
      </w:r>
      <w:r>
        <w:rPr>
          <w:rFonts w:hint="eastAsia" w:ascii="宋体" w:hAnsi="宋体" w:eastAsia="宋体"/>
          <w:iCs/>
          <w:szCs w:val="21"/>
          <w:highlight w:val="none"/>
        </w:rPr>
        <w:sym w:font="Wingdings" w:char="00A8"/>
      </w:r>
      <w:r>
        <w:rPr>
          <w:rFonts w:hint="eastAsia" w:ascii="宋体" w:hAnsi="宋体" w:eastAsia="宋体"/>
          <w:iCs/>
          <w:szCs w:val="21"/>
          <w:highlight w:val="none"/>
        </w:rPr>
        <w:t xml:space="preserve">中型企业  </w:t>
      </w:r>
      <w:r>
        <w:rPr>
          <w:rFonts w:hint="eastAsia" w:ascii="宋体" w:hAnsi="宋体" w:eastAsia="宋体"/>
          <w:iCs/>
          <w:szCs w:val="21"/>
          <w:highlight w:val="none"/>
        </w:rPr>
        <w:sym w:font="Wingdings" w:char="00A8"/>
      </w:r>
      <w:r>
        <w:rPr>
          <w:rFonts w:hint="eastAsia" w:ascii="宋体" w:hAnsi="宋体" w:eastAsia="宋体"/>
          <w:iCs/>
          <w:szCs w:val="21"/>
          <w:highlight w:val="none"/>
        </w:rPr>
        <w:t>小微型企业</w:t>
      </w:r>
      <w:r>
        <w:rPr>
          <w:rFonts w:hint="eastAsia" w:ascii="宋体" w:hAnsi="宋体" w:eastAsia="宋体"/>
          <w:iCs/>
          <w:szCs w:val="21"/>
          <w:highlight w:val="none"/>
          <w:lang w:val="en-US" w:eastAsia="zh-CN"/>
        </w:rPr>
        <w:t xml:space="preserve">  </w:t>
      </w:r>
    </w:p>
    <w:p>
      <w:pPr>
        <w:adjustRightInd w:val="0"/>
        <w:snapToGrid w:val="0"/>
        <w:spacing w:beforeLines="0" w:line="400" w:lineRule="exact"/>
        <w:ind w:firstLine="840" w:firstLineChars="400"/>
        <w:rPr>
          <w:rFonts w:hint="default" w:eastAsia="华文楷体"/>
          <w:highlight w:val="none"/>
          <w:u w:val="none"/>
          <w:lang w:val="en-US" w:eastAsia="zh-CN"/>
        </w:rPr>
      </w:pP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lang w:eastAsia="zh-CN"/>
        </w:rPr>
        <w:t>残疾人福利性单位</w:t>
      </w: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lang w:eastAsia="zh-CN"/>
        </w:rPr>
        <w:t>监狱</w:t>
      </w:r>
      <w:r>
        <w:rPr>
          <w:rFonts w:hint="eastAsia" w:ascii="宋体" w:hAnsi="宋体" w:eastAsia="宋体"/>
          <w:iCs/>
          <w:szCs w:val="21"/>
          <w:highlight w:val="none"/>
        </w:rPr>
        <w:t>企业</w:t>
      </w: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lang w:eastAsia="zh-CN"/>
        </w:rPr>
        <w:t>其他</w:t>
      </w:r>
    </w:p>
    <w:p>
      <w:pPr>
        <w:numPr>
          <w:ilvl w:val="-1"/>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highlight w:val="none"/>
          <w:u w:val="none"/>
          <w:lang w:val="en-US" w:eastAsia="zh-CN"/>
        </w:rPr>
        <w:t>（</w:t>
      </w:r>
      <w:r>
        <w:rPr>
          <w:rFonts w:hint="default"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pPr>
        <w:tabs>
          <w:tab w:val="left" w:pos="1340"/>
        </w:tabs>
        <w:autoSpaceDE w:val="0"/>
        <w:autoSpaceDN w:val="0"/>
        <w:adjustRightInd w:val="0"/>
        <w:spacing w:beforeLines="0" w:line="400" w:lineRule="exact"/>
        <w:ind w:firstLine="420" w:firstLineChars="200"/>
        <w:rPr>
          <w:rFonts w:hint="eastAsia" w:ascii="宋体" w:hAnsi="宋体" w:eastAsia="宋体" w:cs="宋体"/>
          <w:sz w:val="21"/>
          <w:szCs w:val="21"/>
          <w:highlight w:val="none"/>
          <w:u w:val="single"/>
          <w:lang w:val="en-US" w:eastAsia="zh-CN" w:bidi="ar-SA"/>
        </w:rPr>
      </w:pPr>
      <w:r>
        <w:rPr>
          <w:rFonts w:hint="eastAsia" w:ascii="宋体" w:hAnsi="宋体" w:eastAsia="宋体" w:cs="宋体"/>
          <w:sz w:val="21"/>
          <w:szCs w:val="21"/>
          <w:highlight w:val="none"/>
          <w:u w:val="none"/>
          <w:lang w:val="en-US" w:eastAsia="zh-CN" w:bidi="ar-SA"/>
        </w:rPr>
        <w:t xml:space="preserve">     外商投资企业类型：</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sz w:val="21"/>
          <w:szCs w:val="21"/>
          <w:highlight w:val="none"/>
          <w:u w:val="none"/>
          <w:lang w:val="en-US" w:eastAsia="zh-CN" w:bidi="ar-SA"/>
        </w:rPr>
        <w:t xml:space="preserve">全部由外国投资者投资  </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iCs/>
          <w:sz w:val="21"/>
          <w:szCs w:val="21"/>
          <w:highlight w:val="none"/>
          <w:lang w:val="en-US" w:eastAsia="zh-CN" w:bidi="ar-SA"/>
        </w:rPr>
        <w:t>部分由外国投资者投资</w:t>
      </w:r>
    </w:p>
    <w:p>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w:t>
      </w:r>
      <w:r>
        <w:rPr>
          <w:rFonts w:hint="default" w:ascii="宋体" w:hAnsi="宋体" w:eastAsia="宋体" w:cs="宋体"/>
          <w:b w:val="0"/>
          <w:bCs w:val="0"/>
          <w:sz w:val="21"/>
          <w:szCs w:val="21"/>
          <w:highlight w:val="none"/>
          <w:u w:val="none"/>
          <w:lang w:val="en" w:eastAsia="zh-CN"/>
        </w:rPr>
        <w:t>9</w:t>
      </w:r>
      <w:r>
        <w:rPr>
          <w:rFonts w:hint="eastAsia" w:ascii="宋体" w:hAnsi="宋体" w:eastAsia="宋体" w:cs="宋体"/>
          <w:b w:val="0"/>
          <w:bCs w:val="0"/>
          <w:sz w:val="21"/>
          <w:szCs w:val="21"/>
          <w:highlight w:val="none"/>
          <w:u w:val="none"/>
          <w:lang w:val="en-US" w:eastAsia="zh-CN"/>
        </w:rPr>
        <w:t>）是否涉及进口产品：</w:t>
      </w:r>
    </w:p>
    <w:p>
      <w:pPr>
        <w:numPr>
          <w:ilvl w:val="-1"/>
          <w:numId w:val="0"/>
        </w:numPr>
        <w:adjustRightInd w:val="0"/>
        <w:snapToGrid w:val="0"/>
        <w:spacing w:before="0" w:beforeLines="0" w:line="400" w:lineRule="exact"/>
        <w:ind w:firstLine="840" w:firstLineChars="400"/>
        <w:rPr>
          <w:rFonts w:hint="eastAsia" w:ascii="宋体" w:hAnsi="宋体" w:eastAsia="宋体" w:cs="宋体"/>
          <w:szCs w:val="21"/>
          <w:highlight w:val="none"/>
          <w:u w:val="single"/>
          <w:lang w:val="en-US" w:eastAsia="zh-CN"/>
        </w:rPr>
      </w:pPr>
      <w:r>
        <w:rPr>
          <w:rFonts w:hint="eastAsia" w:ascii="宋体" w:hAnsi="宋体" w:eastAsia="宋体" w:cs="宋体"/>
          <w:iCs w:val="0"/>
          <w:szCs w:val="21"/>
          <w:highlight w:val="none"/>
          <w:lang w:val="en-US" w:eastAsia="zh-CN"/>
        </w:rPr>
        <w:t xml:space="preserve"> </w:t>
      </w:r>
      <w:r>
        <w:rPr>
          <w:rFonts w:hint="eastAsia" w:ascii="宋体" w:hAnsi="宋体" w:eastAsia="宋体" w:cs="宋体"/>
          <w:iCs w:val="0"/>
          <w:szCs w:val="21"/>
          <w:highlight w:val="none"/>
        </w:rPr>
        <w:sym w:font="Wingdings" w:char="00A8"/>
      </w:r>
      <w:r>
        <w:rPr>
          <w:rFonts w:hint="eastAsia" w:ascii="宋体" w:hAnsi="宋体" w:eastAsia="宋体" w:cs="宋体"/>
          <w:iCs w:val="0"/>
          <w:szCs w:val="21"/>
          <w:highlight w:val="none"/>
        </w:rPr>
        <w:t>是</w:t>
      </w:r>
      <w:r>
        <w:rPr>
          <w:rFonts w:hint="eastAsia" w:ascii="宋体" w:hAnsi="宋体" w:eastAsia="宋体" w:cs="宋体"/>
          <w:iCs w:val="0"/>
          <w:szCs w:val="21"/>
          <w:highlight w:val="none"/>
          <w:lang w:eastAsia="zh-CN"/>
        </w:rPr>
        <w:t>，《政府采购品目分类目录》底级品目名称</w:t>
      </w:r>
      <w:r>
        <w:rPr>
          <w:rFonts w:hint="eastAsia" w:ascii="宋体" w:hAnsi="宋体" w:eastAsia="宋体" w:cs="宋体"/>
          <w:szCs w:val="21"/>
          <w:highlight w:val="none"/>
          <w:lang w:val="en-US" w:eastAsia="zh-CN"/>
        </w:rPr>
        <w:t>：</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金额：</w:t>
      </w:r>
      <w:r>
        <w:rPr>
          <w:rFonts w:hint="eastAsia" w:ascii="宋体" w:hAnsi="宋体" w:eastAsia="宋体" w:cs="宋体"/>
          <w:szCs w:val="21"/>
          <w:highlight w:val="none"/>
          <w:u w:val="single"/>
          <w:lang w:val="en-US" w:eastAsia="zh-CN"/>
        </w:rPr>
        <w:t xml:space="preserve">        </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highlight w:val="none"/>
        </w:rPr>
      </w:pPr>
      <w:r>
        <w:rPr>
          <w:rFonts w:hint="eastAsia" w:ascii="宋体" w:hAnsi="宋体" w:eastAsia="宋体" w:cs="宋体"/>
          <w:szCs w:val="21"/>
          <w:highlight w:val="none"/>
          <w:lang w:val="en-US" w:eastAsia="zh-CN"/>
        </w:rPr>
        <w:t xml:space="preserve">        国别：</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品牌：</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none"/>
          <w:lang w:val="en-US" w:eastAsia="zh-CN"/>
        </w:rPr>
        <w:t xml:space="preserve"> 规格型号：</w:t>
      </w:r>
      <w:r>
        <w:rPr>
          <w:rFonts w:hint="eastAsia" w:ascii="宋体" w:hAnsi="宋体" w:eastAsia="宋体" w:cs="宋体"/>
          <w:szCs w:val="21"/>
          <w:highlight w:val="none"/>
          <w:u w:val="single"/>
          <w:lang w:val="en-US" w:eastAsia="zh-CN"/>
        </w:rPr>
        <w:t xml:space="preserve">        </w:t>
      </w:r>
      <w:r>
        <w:rPr>
          <w:rFonts w:hint="eastAsia" w:ascii="宋体" w:hAnsi="宋体" w:eastAsia="宋体"/>
          <w:iCs w:val="0"/>
          <w:szCs w:val="21"/>
          <w:highlight w:val="none"/>
        </w:rPr>
        <w:t xml:space="preserve">      </w:t>
      </w:r>
    </w:p>
    <w:p>
      <w:pPr>
        <w:adjustRightInd w:val="0"/>
        <w:snapToGrid w:val="0"/>
        <w:spacing w:before="0" w:beforeLines="0" w:line="400" w:lineRule="exact"/>
        <w:ind w:firstLine="840" w:firstLineChars="400"/>
        <w:rPr>
          <w:rFonts w:hint="eastAsia" w:ascii="宋体" w:hAnsi="宋体" w:eastAsia="宋体"/>
          <w:szCs w:val="21"/>
          <w:highlight w:val="none"/>
          <w:u w:val="none"/>
          <w:lang w:val="en-US" w:eastAsia="zh-CN"/>
        </w:rPr>
      </w:pPr>
      <w:r>
        <w:rPr>
          <w:rFonts w:hint="eastAsia" w:ascii="宋体" w:hAnsi="宋体" w:eastAsia="宋体"/>
          <w:iCs w:val="0"/>
          <w:szCs w:val="21"/>
          <w:highlight w:val="none"/>
          <w:lang w:val="en-US" w:eastAsia="zh-CN"/>
        </w:rPr>
        <w:t xml:space="preserve"> </w:t>
      </w:r>
      <w:r>
        <w:rPr>
          <w:rFonts w:hint="eastAsia" w:ascii="宋体" w:hAnsi="宋体" w:eastAsia="宋体"/>
          <w:iCs w:val="0"/>
          <w:szCs w:val="21"/>
          <w:highlight w:val="none"/>
        </w:rPr>
        <w:sym w:font="Wingdings" w:char="00A8"/>
      </w:r>
      <w:r>
        <w:rPr>
          <w:rFonts w:hint="eastAsia" w:ascii="宋体" w:hAnsi="宋体" w:eastAsia="宋体"/>
          <w:iCs w:val="0"/>
          <w:szCs w:val="21"/>
          <w:highlight w:val="none"/>
          <w:lang w:eastAsia="zh-CN"/>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highlight w:val="none"/>
          <w:u w:val="none"/>
          <w:lang w:val="en-US" w:eastAsia="zh-CN"/>
        </w:rPr>
      </w:pPr>
      <w:r>
        <w:rPr>
          <w:rFonts w:hint="eastAsia" w:ascii="宋体" w:hAnsi="宋体" w:eastAsia="宋体"/>
          <w:b w:val="0"/>
          <w:bCs w:val="0"/>
          <w:sz w:val="21"/>
          <w:szCs w:val="21"/>
          <w:highlight w:val="none"/>
          <w:u w:val="none"/>
          <w:lang w:val="en-US" w:eastAsia="zh-CN"/>
        </w:rPr>
        <w:t xml:space="preserve">    （1</w:t>
      </w:r>
      <w:r>
        <w:rPr>
          <w:rFonts w:hint="default" w:ascii="宋体" w:hAnsi="宋体" w:eastAsia="宋体"/>
          <w:b w:val="0"/>
          <w:bCs w:val="0"/>
          <w:sz w:val="21"/>
          <w:szCs w:val="21"/>
          <w:highlight w:val="none"/>
          <w:u w:val="none"/>
          <w:lang w:val="en" w:eastAsia="zh-CN"/>
        </w:rPr>
        <w:t>0</w:t>
      </w:r>
      <w:r>
        <w:rPr>
          <w:rFonts w:hint="eastAsia" w:ascii="宋体" w:hAnsi="宋体" w:eastAsia="宋体"/>
          <w:b w:val="0"/>
          <w:bCs w:val="0"/>
          <w:sz w:val="21"/>
          <w:szCs w:val="21"/>
          <w:highlight w:val="none"/>
          <w:u w:val="none"/>
          <w:lang w:val="en-US" w:eastAsia="zh-CN"/>
        </w:rPr>
        <w:t>）是否涉及节能产品：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highlight w:val="none"/>
          <w:lang w:val="en-US" w:eastAsia="zh-CN"/>
        </w:rPr>
      </w:pPr>
      <w:r>
        <w:rPr>
          <w:rFonts w:hint="eastAsia" w:ascii="宋体" w:hAnsi="宋体" w:eastAsia="宋体"/>
          <w:b w:val="0"/>
          <w:bCs w:val="0"/>
          <w:sz w:val="21"/>
          <w:szCs w:val="21"/>
          <w:highlight w:val="none"/>
          <w:u w:val="none"/>
          <w:lang w:val="en-US" w:eastAsia="zh-CN"/>
        </w:rPr>
        <w:t xml:space="preserve">         </w:t>
      </w:r>
      <w:r>
        <w:rPr>
          <w:rFonts w:hint="eastAsia" w:ascii="宋体" w:hAnsi="宋体" w:eastAsia="宋体"/>
          <w:iCs w:val="0"/>
          <w:szCs w:val="21"/>
          <w:highlight w:val="none"/>
        </w:rPr>
        <w:sym w:font="Wingdings" w:char="00A8"/>
      </w:r>
      <w:r>
        <w:rPr>
          <w:rFonts w:hint="eastAsia" w:ascii="宋体" w:hAnsi="宋体" w:eastAsia="宋体"/>
          <w:iCs w:val="0"/>
          <w:szCs w:val="21"/>
          <w:highlight w:val="none"/>
        </w:rPr>
        <w:t>是</w:t>
      </w:r>
      <w:r>
        <w:rPr>
          <w:rFonts w:hint="eastAsia" w:ascii="宋体" w:hAnsi="宋体" w:eastAsia="宋体"/>
          <w:iCs w:val="0"/>
          <w:szCs w:val="21"/>
          <w:highlight w:val="none"/>
          <w:lang w:eastAsia="zh-CN"/>
        </w:rPr>
        <w:t>，《节能产品政府采购品目清单》的底级品目名称：</w:t>
      </w:r>
      <w:r>
        <w:rPr>
          <w:rFonts w:hint="eastAsia" w:ascii="宋体" w:hAnsi="宋体" w:eastAsia="宋体"/>
          <w:szCs w:val="21"/>
          <w:highlight w:val="none"/>
          <w:u w:val="single"/>
          <w:lang w:val="en-US" w:eastAsia="zh-CN"/>
        </w:rPr>
        <w:t xml:space="preserve">         </w:t>
      </w:r>
      <w:r>
        <w:rPr>
          <w:rFonts w:hint="eastAsia" w:ascii="宋体" w:hAnsi="宋体" w:eastAsia="宋体"/>
          <w:iCs/>
          <w:szCs w:val="21"/>
          <w:highlight w:val="none"/>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highlight w:val="none"/>
          <w:lang w:val="en-US" w:eastAsia="zh-CN"/>
        </w:rPr>
      </w:pP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lang w:eastAsia="zh-CN"/>
        </w:rPr>
        <w:t>强制采购</w:t>
      </w: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lang w:eastAsia="zh-CN"/>
        </w:rPr>
        <w:t>优先采购</w:t>
      </w:r>
      <w:r>
        <w:rPr>
          <w:rFonts w:hint="eastAsia" w:ascii="宋体" w:hAnsi="宋体" w:eastAsia="宋体"/>
          <w:iCs/>
          <w:szCs w:val="21"/>
          <w:highlight w:val="none"/>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highlight w:val="none"/>
        </w:rPr>
      </w:pPr>
      <w:r>
        <w:rPr>
          <w:rFonts w:hint="eastAsia" w:ascii="宋体" w:hAnsi="宋体" w:eastAsia="宋体"/>
          <w:iCs/>
          <w:szCs w:val="21"/>
          <w:highlight w:val="none"/>
          <w:lang w:val="en-US" w:eastAsia="zh-CN"/>
        </w:rPr>
        <w:t xml:space="preserve">         </w:t>
      </w:r>
      <w:r>
        <w:rPr>
          <w:rFonts w:hint="eastAsia" w:ascii="宋体" w:hAnsi="宋体" w:eastAsia="宋体"/>
          <w:iCs w:val="0"/>
          <w:szCs w:val="21"/>
          <w:highlight w:val="none"/>
        </w:rPr>
        <w:sym w:font="Wingdings" w:char="00A8"/>
      </w:r>
      <w:r>
        <w:rPr>
          <w:rFonts w:hint="eastAsia" w:ascii="宋体" w:hAnsi="宋体" w:eastAsia="宋体"/>
          <w:iCs w:val="0"/>
          <w:szCs w:val="21"/>
          <w:highlight w:val="none"/>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highlight w:val="none"/>
          <w:u w:val="none"/>
          <w:lang w:val="en-US" w:eastAsia="zh-CN"/>
        </w:rPr>
      </w:pPr>
      <w:r>
        <w:rPr>
          <w:rFonts w:hint="eastAsia" w:ascii="宋体" w:hAnsi="宋体" w:eastAsia="宋体"/>
          <w:b w:val="0"/>
          <w:bCs w:val="0"/>
          <w:sz w:val="21"/>
          <w:szCs w:val="21"/>
          <w:highlight w:val="none"/>
          <w:u w:val="none"/>
          <w:lang w:val="en-US" w:eastAsia="zh-CN"/>
        </w:rPr>
        <w:t xml:space="preserve">          是否涉及环境标志产品：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highlight w:val="none"/>
          <w:lang w:eastAsia="zh-CN"/>
        </w:rPr>
      </w:pPr>
      <w:r>
        <w:rPr>
          <w:rFonts w:hint="eastAsia" w:ascii="宋体" w:hAnsi="宋体" w:eastAsia="宋体"/>
          <w:b w:val="0"/>
          <w:bCs w:val="0"/>
          <w:sz w:val="21"/>
          <w:szCs w:val="21"/>
          <w:highlight w:val="none"/>
          <w:u w:val="none"/>
          <w:lang w:val="en-US" w:eastAsia="zh-CN"/>
        </w:rPr>
        <w:t xml:space="preserve">         </w:t>
      </w:r>
      <w:r>
        <w:rPr>
          <w:rFonts w:hint="eastAsia" w:ascii="宋体" w:hAnsi="宋体" w:eastAsia="宋体"/>
          <w:iCs w:val="0"/>
          <w:szCs w:val="21"/>
          <w:highlight w:val="none"/>
        </w:rPr>
        <w:sym w:font="Wingdings" w:char="00A8"/>
      </w:r>
      <w:r>
        <w:rPr>
          <w:rFonts w:hint="eastAsia" w:ascii="宋体" w:hAnsi="宋体" w:eastAsia="宋体"/>
          <w:iCs w:val="0"/>
          <w:szCs w:val="21"/>
          <w:highlight w:val="none"/>
        </w:rPr>
        <w:t>是</w:t>
      </w:r>
      <w:r>
        <w:rPr>
          <w:rFonts w:hint="eastAsia" w:ascii="宋体" w:hAnsi="宋体" w:eastAsia="宋体"/>
          <w:iCs w:val="0"/>
          <w:szCs w:val="21"/>
          <w:highlight w:val="none"/>
          <w:lang w:eastAsia="zh-CN"/>
        </w:rPr>
        <w:t>，《环境标志产品政府采购品目清单》的底级品目名称：</w:t>
      </w:r>
      <w:r>
        <w:rPr>
          <w:rFonts w:hint="eastAsia" w:ascii="宋体" w:hAnsi="宋体" w:eastAsia="宋体"/>
          <w:szCs w:val="21"/>
          <w:highlight w:val="none"/>
          <w:u w:val="single"/>
          <w:lang w:val="en-US" w:eastAsia="zh-CN"/>
        </w:rPr>
        <w:t xml:space="preserve">         </w:t>
      </w:r>
      <w:r>
        <w:rPr>
          <w:rFonts w:hint="eastAsia" w:ascii="宋体" w:hAnsi="宋体" w:eastAsia="宋体"/>
          <w:iCs/>
          <w:szCs w:val="21"/>
          <w:highlight w:val="none"/>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highlight w:val="none"/>
          <w:lang w:val="en-US" w:eastAsia="zh-CN"/>
        </w:rPr>
      </w:pP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lang w:eastAsia="zh-CN"/>
        </w:rPr>
        <w:t>强制采购</w:t>
      </w: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lang w:eastAsia="zh-CN"/>
        </w:rPr>
        <w:t>优先采购</w:t>
      </w:r>
      <w:r>
        <w:rPr>
          <w:rFonts w:hint="eastAsia" w:ascii="宋体" w:hAnsi="宋体" w:eastAsia="宋体"/>
          <w:iCs/>
          <w:szCs w:val="21"/>
          <w:highlight w:val="none"/>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b w:val="0"/>
          <w:bCs w:val="0"/>
          <w:sz w:val="21"/>
          <w:szCs w:val="21"/>
          <w:highlight w:val="none"/>
          <w:u w:val="none"/>
          <w:lang w:val="en-US" w:eastAsia="zh-CN"/>
        </w:rPr>
      </w:pPr>
      <w:r>
        <w:rPr>
          <w:rFonts w:hint="eastAsia" w:ascii="宋体" w:hAnsi="宋体" w:eastAsia="宋体"/>
          <w:iCs/>
          <w:szCs w:val="21"/>
          <w:highlight w:val="none"/>
          <w:lang w:val="en-US" w:eastAsia="zh-CN"/>
        </w:rPr>
        <w:t xml:space="preserve">         </w:t>
      </w:r>
      <w:r>
        <w:rPr>
          <w:rFonts w:hint="eastAsia" w:ascii="宋体" w:hAnsi="宋体" w:eastAsia="宋体"/>
          <w:iCs w:val="0"/>
          <w:szCs w:val="21"/>
          <w:highlight w:val="none"/>
        </w:rPr>
        <w:sym w:font="Wingdings" w:char="00A8"/>
      </w:r>
      <w:r>
        <w:rPr>
          <w:rFonts w:hint="eastAsia" w:ascii="宋体" w:hAnsi="宋体" w:eastAsia="宋体"/>
          <w:iCs w:val="0"/>
          <w:szCs w:val="21"/>
          <w:highlight w:val="none"/>
        </w:rPr>
        <w:t>否</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Times New Roman"/>
          <w:iCs w:val="0"/>
          <w:kern w:val="2"/>
          <w:sz w:val="21"/>
          <w:szCs w:val="21"/>
          <w:highlight w:val="none"/>
          <w:u w:val="none"/>
          <w:lang w:val="en-US" w:eastAsia="zh-CN" w:bidi="ar-SA"/>
        </w:rPr>
      </w:pPr>
      <w:r>
        <w:rPr>
          <w:rFonts w:hint="eastAsia" w:ascii="宋体" w:hAnsi="宋体" w:eastAsia="华文楷体" w:cs="华文楷体"/>
          <w:b w:val="0"/>
          <w:bCs w:val="0"/>
          <w:sz w:val="21"/>
          <w:szCs w:val="21"/>
          <w:highlight w:val="none"/>
          <w:u w:val="none"/>
          <w:lang w:val="en-US" w:eastAsia="zh-CN" w:bidi="ar-SA"/>
        </w:rPr>
        <w:t xml:space="preserve">          </w:t>
      </w:r>
      <w:r>
        <w:rPr>
          <w:rFonts w:hint="eastAsia" w:ascii="宋体" w:hAnsi="宋体" w:eastAsia="宋体" w:cs="Times New Roman"/>
          <w:b w:val="0"/>
          <w:bCs w:val="0"/>
          <w:kern w:val="2"/>
          <w:sz w:val="21"/>
          <w:szCs w:val="21"/>
          <w:highlight w:val="none"/>
          <w:u w:val="none"/>
          <w:lang w:val="en-US" w:eastAsia="zh-CN" w:bidi="ar-SA"/>
        </w:rPr>
        <w:t>是否涉及绿色产品：</w:t>
      </w:r>
      <w:r>
        <w:rPr>
          <w:rFonts w:hint="eastAsia" w:ascii="宋体" w:hAnsi="宋体" w:eastAsia="宋体" w:cs="Times New Roman"/>
          <w:iCs w:val="0"/>
          <w:kern w:val="2"/>
          <w:sz w:val="21"/>
          <w:szCs w:val="21"/>
          <w:highlight w:val="none"/>
          <w:u w:val="none"/>
          <w:lang w:val="en-US" w:eastAsia="zh-CN" w:bidi="ar-SA"/>
        </w:rPr>
        <w:t xml:space="preserve"> </w:t>
      </w:r>
    </w:p>
    <w:p>
      <w:pPr>
        <w:autoSpaceDE w:val="0"/>
        <w:autoSpaceDN w:val="0"/>
        <w:adjustRightInd w:val="0"/>
        <w:spacing w:beforeLines="0" w:line="400" w:lineRule="exact"/>
        <w:ind w:firstLine="420" w:firstLineChars="0"/>
        <w:rPr>
          <w:rFonts w:hint="eastAsia" w:ascii="宋体" w:hAnsi="宋体" w:eastAsia="宋体" w:cs="华文楷体"/>
          <w:sz w:val="22"/>
          <w:szCs w:val="21"/>
          <w:highlight w:val="none"/>
          <w:u w:val="single"/>
          <w:lang w:val="en-US" w:eastAsia="zh-CN" w:bidi="ar-SA"/>
        </w:rPr>
      </w:pPr>
      <w:r>
        <w:rPr>
          <w:rFonts w:hint="eastAsia" w:ascii="宋体" w:hAnsi="宋体" w:eastAsia="宋体" w:cs="Times New Roman"/>
          <w:iCs w:val="0"/>
          <w:kern w:val="2"/>
          <w:sz w:val="21"/>
          <w:szCs w:val="21"/>
          <w:highlight w:val="none"/>
          <w:u w:val="none"/>
          <w:lang w:val="en-US" w:eastAsia="zh-CN" w:bidi="ar-SA"/>
        </w:rPr>
        <w:t xml:space="preserve">     </w:t>
      </w:r>
      <w:r>
        <w:rPr>
          <w:rFonts w:hint="eastAsia" w:ascii="宋体" w:hAnsi="宋体" w:eastAsia="宋体" w:cs="Times New Roman"/>
          <w:iCs w:val="0"/>
          <w:kern w:val="2"/>
          <w:sz w:val="21"/>
          <w:szCs w:val="21"/>
          <w:highlight w:val="none"/>
          <w:u w:val="none"/>
          <w:lang w:val="en-US" w:eastAsia="zh-CN" w:bidi="ar-SA"/>
        </w:rPr>
        <w:sym w:font="Wingdings" w:char="00A8"/>
      </w:r>
      <w:r>
        <w:rPr>
          <w:rFonts w:hint="eastAsia" w:ascii="宋体" w:hAnsi="宋体" w:eastAsia="宋体" w:cs="Times New Roman"/>
          <w:iCs w:val="0"/>
          <w:kern w:val="2"/>
          <w:sz w:val="21"/>
          <w:szCs w:val="21"/>
          <w:highlight w:val="none"/>
          <w:u w:val="none"/>
          <w:lang w:val="en-US" w:eastAsia="zh-CN" w:bidi="ar-SA"/>
        </w:rPr>
        <w:t>是，绿色产品政府采购相关政策确定的底级品目名称：</w:t>
      </w:r>
      <w:r>
        <w:rPr>
          <w:rFonts w:hint="eastAsia" w:ascii="宋体" w:hAnsi="宋体" w:eastAsia="宋体" w:cs="华文楷体"/>
          <w:sz w:val="22"/>
          <w:szCs w:val="21"/>
          <w:highlight w:val="none"/>
          <w:u w:val="single"/>
          <w:lang w:val="en-US" w:eastAsia="zh-CN" w:bidi="ar-SA"/>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highlight w:val="none"/>
          <w:lang w:val="en-US" w:eastAsia="zh-CN"/>
        </w:rPr>
      </w:pP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lang w:eastAsia="zh-CN"/>
        </w:rPr>
        <w:t>强制采购</w:t>
      </w: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lang w:eastAsia="zh-CN"/>
        </w:rPr>
        <w:t>优先采购</w:t>
      </w:r>
      <w:r>
        <w:rPr>
          <w:rFonts w:hint="eastAsia" w:ascii="宋体" w:hAnsi="宋体" w:eastAsia="宋体"/>
          <w:iCs/>
          <w:szCs w:val="21"/>
          <w:highlight w:val="none"/>
          <w:lang w:val="en-US" w:eastAsia="zh-CN"/>
        </w:rPr>
        <w:t xml:space="preserve">    </w:t>
      </w:r>
    </w:p>
    <w:p>
      <w:pPr>
        <w:autoSpaceDE w:val="0"/>
        <w:autoSpaceDN w:val="0"/>
        <w:adjustRightInd w:val="0"/>
        <w:spacing w:beforeLines="0" w:line="400" w:lineRule="exact"/>
        <w:ind w:firstLine="420" w:firstLineChars="0"/>
        <w:rPr>
          <w:rFonts w:hint="eastAsia" w:ascii="宋体" w:hAnsi="宋体" w:eastAsia="华文楷体" w:cs="华文楷体"/>
          <w:b w:val="0"/>
          <w:bCs w:val="0"/>
          <w:sz w:val="21"/>
          <w:szCs w:val="21"/>
          <w:highlight w:val="none"/>
          <w:u w:val="none"/>
          <w:lang w:val="en-US" w:eastAsia="zh-CN" w:bidi="ar-SA"/>
        </w:rPr>
      </w:pPr>
      <w:r>
        <w:rPr>
          <w:rFonts w:hint="eastAsia" w:ascii="宋体" w:hAnsi="宋体" w:eastAsia="宋体" w:cs="Times New Roman"/>
          <w:iCs w:val="0"/>
          <w:kern w:val="2"/>
          <w:sz w:val="21"/>
          <w:szCs w:val="21"/>
          <w:highlight w:val="none"/>
          <w:u w:val="none"/>
          <w:lang w:val="en-US" w:eastAsia="zh-CN" w:bidi="ar-SA"/>
        </w:rPr>
        <w:t xml:space="preserve">     </w:t>
      </w:r>
      <w:r>
        <w:rPr>
          <w:rFonts w:hint="eastAsia" w:ascii="宋体" w:hAnsi="宋体" w:eastAsia="宋体" w:cs="Times New Roman"/>
          <w:iCs w:val="0"/>
          <w:kern w:val="2"/>
          <w:sz w:val="21"/>
          <w:szCs w:val="21"/>
          <w:highlight w:val="none"/>
          <w:u w:val="none"/>
          <w:lang w:val="en-US" w:eastAsia="zh-CN" w:bidi="ar-SA"/>
        </w:rPr>
        <w:sym w:font="Wingdings" w:char="00A8"/>
      </w:r>
      <w:r>
        <w:rPr>
          <w:rFonts w:hint="eastAsia" w:ascii="宋体" w:hAnsi="宋体" w:eastAsia="宋体" w:cs="Times New Roman"/>
          <w:iCs w:val="0"/>
          <w:kern w:val="2"/>
          <w:sz w:val="21"/>
          <w:szCs w:val="21"/>
          <w:highlight w:val="none"/>
          <w:u w:val="none"/>
          <w:lang w:val="en-US" w:eastAsia="zh-CN" w:bidi="ar-SA"/>
        </w:rPr>
        <w:t>否</w:t>
      </w:r>
    </w:p>
    <w:p>
      <w:pPr>
        <w:numPr>
          <w:ilvl w:val="-1"/>
          <w:numId w:val="0"/>
        </w:numPr>
        <w:adjustRightInd w:val="0"/>
        <w:snapToGrid w:val="0"/>
        <w:spacing w:before="0" w:beforeLines="0" w:line="400" w:lineRule="exact"/>
        <w:ind w:firstLine="0" w:firstLineChars="0"/>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 xml:space="preserve">    （1</w:t>
      </w:r>
      <w:r>
        <w:rPr>
          <w:rFonts w:hint="default" w:ascii="宋体" w:hAnsi="宋体" w:eastAsia="宋体"/>
          <w:szCs w:val="21"/>
          <w:highlight w:val="none"/>
          <w:lang w:val="en" w:eastAsia="zh-CN"/>
        </w:rPr>
        <w:t>1</w:t>
      </w:r>
      <w:r>
        <w:rPr>
          <w:rFonts w:hint="eastAsia" w:ascii="宋体" w:hAnsi="宋体" w:eastAsia="宋体"/>
          <w:szCs w:val="21"/>
          <w:highlight w:val="none"/>
          <w:lang w:val="en-US" w:eastAsia="zh-CN"/>
        </w:rPr>
        <w:t>）涉及商品包装和快递包装的，是否参考</w:t>
      </w:r>
      <w:r>
        <w:rPr>
          <w:rFonts w:hint="eastAsia" w:ascii="宋体" w:hAnsi="宋体" w:eastAsia="宋体"/>
          <w:szCs w:val="21"/>
          <w:highlight w:val="none"/>
        </w:rPr>
        <w:t>《商品包装政府采购需求标准（试行）》、《快递包装政府采购需求标准（试行）》</w:t>
      </w:r>
      <w:r>
        <w:rPr>
          <w:rFonts w:hint="eastAsia" w:ascii="宋体" w:hAnsi="宋体" w:eastAsia="宋体"/>
          <w:szCs w:val="21"/>
          <w:highlight w:val="none"/>
          <w:lang w:eastAsia="zh-CN"/>
        </w:rPr>
        <w:t>明确产品及相关快递服务的具体包装要求：</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highlight w:val="none"/>
          <w:lang w:val="en-US" w:eastAsia="zh-CN"/>
        </w:rPr>
      </w:pPr>
      <w:r>
        <w:rPr>
          <w:rFonts w:hint="eastAsia" w:ascii="宋体" w:hAnsi="宋体" w:eastAsia="宋体"/>
          <w:iCs w:val="0"/>
          <w:szCs w:val="21"/>
          <w:highlight w:val="none"/>
        </w:rPr>
        <w:sym w:font="Wingdings" w:char="00A8"/>
      </w:r>
      <w:r>
        <w:rPr>
          <w:rFonts w:hint="eastAsia" w:ascii="宋体" w:hAnsi="宋体" w:eastAsia="宋体"/>
          <w:iCs w:val="0"/>
          <w:szCs w:val="21"/>
          <w:highlight w:val="none"/>
        </w:rPr>
        <w:t xml:space="preserve">是       </w:t>
      </w:r>
      <w:r>
        <w:rPr>
          <w:rFonts w:hint="eastAsia" w:ascii="宋体" w:hAnsi="宋体" w:eastAsia="宋体"/>
          <w:iCs w:val="0"/>
          <w:szCs w:val="21"/>
          <w:highlight w:val="none"/>
        </w:rPr>
        <w:sym w:font="Wingdings" w:char="00A8"/>
      </w:r>
      <w:r>
        <w:rPr>
          <w:rFonts w:hint="eastAsia" w:ascii="宋体" w:hAnsi="宋体" w:eastAsia="宋体"/>
          <w:iCs w:val="0"/>
          <w:szCs w:val="21"/>
          <w:highlight w:val="none"/>
        </w:rPr>
        <w:t>否</w:t>
      </w:r>
      <w:r>
        <w:rPr>
          <w:rFonts w:hint="eastAsia" w:ascii="宋体" w:hAnsi="宋体" w:eastAsia="宋体"/>
          <w:iCs w:val="0"/>
          <w:szCs w:val="21"/>
          <w:highlight w:val="none"/>
          <w:lang w:val="en-US" w:eastAsia="zh-CN"/>
        </w:rPr>
        <w:t xml:space="preserve">      </w:t>
      </w:r>
      <w:r>
        <w:rPr>
          <w:rFonts w:hint="eastAsia" w:ascii="宋体" w:hAnsi="宋体" w:eastAsia="宋体"/>
          <w:iCs w:val="0"/>
          <w:szCs w:val="21"/>
          <w:highlight w:val="none"/>
        </w:rPr>
        <w:sym w:font="Wingdings" w:char="00A8"/>
      </w:r>
      <w:r>
        <w:rPr>
          <w:rFonts w:hint="eastAsia" w:ascii="宋体" w:hAnsi="宋体" w:eastAsia="宋体"/>
          <w:iCs w:val="0"/>
          <w:szCs w:val="21"/>
          <w:highlight w:val="none"/>
          <w:lang w:eastAsia="zh-CN"/>
        </w:rPr>
        <w:t>不涉及</w:t>
      </w:r>
    </w:p>
    <w:p>
      <w:pPr>
        <w:numPr>
          <w:ilvl w:val="0"/>
          <w:numId w:val="4"/>
        </w:numPr>
        <w:adjustRightInd w:val="0"/>
        <w:snapToGrid w:val="0"/>
        <w:spacing w:before="0" w:beforeLines="0" w:line="400" w:lineRule="exact"/>
        <w:ind w:firstLine="422" w:firstLineChars="200"/>
        <w:rPr>
          <w:rFonts w:ascii="宋体" w:hAnsi="宋体" w:eastAsia="宋体"/>
          <w:b/>
          <w:szCs w:val="21"/>
          <w:highlight w:val="none"/>
        </w:rPr>
      </w:pPr>
      <w:r>
        <w:rPr>
          <w:rFonts w:hint="eastAsia" w:ascii="宋体" w:hAnsi="宋体" w:eastAsia="宋体"/>
          <w:b/>
          <w:szCs w:val="21"/>
          <w:highlight w:val="none"/>
        </w:rPr>
        <w:t>合同金额</w:t>
      </w:r>
    </w:p>
    <w:p>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（1）合同金额小写：</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p>
    <w:p>
      <w:pPr>
        <w:adjustRightInd w:val="0"/>
        <w:snapToGrid w:val="0"/>
        <w:spacing w:before="0" w:beforeLines="0" w:line="400" w:lineRule="exact"/>
        <w:ind w:left="0" w:firstLine="0" w:firstLineChars="0"/>
        <w:rPr>
          <w:rFonts w:ascii="宋体" w:hAnsi="宋体" w:eastAsia="宋体"/>
          <w:szCs w:val="21"/>
          <w:highlight w:val="none"/>
          <w:u w:val="single"/>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大写：</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p>
    <w:p>
      <w:pPr>
        <w:adjustRightInd w:val="0"/>
        <w:snapToGrid w:val="0"/>
        <w:spacing w:before="0" w:beforeLines="0" w:line="400" w:lineRule="exact"/>
        <w:ind w:firstLine="0" w:firstLineChars="0"/>
        <w:rPr>
          <w:rFonts w:ascii="宋体" w:hAnsi="宋体" w:eastAsia="宋体"/>
          <w:szCs w:val="21"/>
          <w:highlight w:val="none"/>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分包金额</w:t>
      </w:r>
      <w:r>
        <w:rPr>
          <w:rFonts w:hint="eastAsia" w:ascii="宋体" w:hAnsi="宋体" w:eastAsia="宋体"/>
          <w:szCs w:val="21"/>
          <w:highlight w:val="none"/>
          <w:lang w:eastAsia="zh-CN"/>
        </w:rPr>
        <w:t>（如有）</w:t>
      </w:r>
      <w:r>
        <w:rPr>
          <w:rFonts w:hint="eastAsia" w:ascii="宋体" w:hAnsi="宋体" w:eastAsia="宋体"/>
          <w:szCs w:val="21"/>
          <w:highlight w:val="none"/>
        </w:rPr>
        <w:t>小写：</w:t>
      </w:r>
      <w:r>
        <w:rPr>
          <w:rFonts w:hint="eastAsia" w:ascii="宋体" w:hAnsi="宋体" w:eastAsia="宋体"/>
          <w:szCs w:val="21"/>
          <w:highlight w:val="none"/>
          <w:u w:val="single"/>
        </w:rPr>
        <w:t xml:space="preserve">                   </w:t>
      </w:r>
    </w:p>
    <w:p>
      <w:pPr>
        <w:adjustRightInd w:val="0"/>
        <w:snapToGrid w:val="0"/>
        <w:spacing w:before="0" w:beforeLines="0" w:line="400" w:lineRule="exact"/>
        <w:ind w:firstLine="0" w:firstLineChars="0"/>
        <w:rPr>
          <w:rFonts w:hint="eastAsia" w:ascii="宋体" w:hAnsi="宋体" w:eastAsia="宋体"/>
          <w:szCs w:val="21"/>
          <w:highlight w:val="none"/>
          <w:u w:val="single"/>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大写：</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p>
    <w:p>
      <w:pPr>
        <w:adjustRightInd w:val="0"/>
        <w:snapToGrid w:val="0"/>
        <w:spacing w:before="0" w:beforeLines="0" w:line="400" w:lineRule="exact"/>
        <w:ind w:firstLine="0" w:firstLineChars="0"/>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 xml:space="preserve">    （注：固定单价合同应填写单价和最高限价）</w:t>
      </w:r>
    </w:p>
    <w:p>
      <w:pPr>
        <w:numPr>
          <w:ilvl w:val="-1"/>
          <w:numId w:val="0"/>
        </w:numPr>
        <w:adjustRightInd w:val="0"/>
        <w:snapToGrid w:val="0"/>
        <w:spacing w:before="0" w:beforeLines="0" w:line="400" w:lineRule="exact"/>
        <w:ind w:firstLine="0" w:firstLineChars="0"/>
        <w:rPr>
          <w:rFonts w:hint="eastAsia" w:ascii="宋体" w:hAnsi="宋体" w:eastAsia="宋体"/>
          <w:szCs w:val="21"/>
          <w:highlight w:val="none"/>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lang w:eastAsia="zh-CN"/>
        </w:rPr>
        <w:t>（</w:t>
      </w:r>
      <w:r>
        <w:rPr>
          <w:rFonts w:hint="eastAsia" w:ascii="宋体" w:hAnsi="宋体" w:eastAsia="宋体"/>
          <w:szCs w:val="21"/>
          <w:highlight w:val="none"/>
          <w:lang w:val="en-US" w:eastAsia="zh-CN"/>
        </w:rPr>
        <w:t>2</w:t>
      </w:r>
      <w:r>
        <w:rPr>
          <w:rFonts w:hint="eastAsia" w:ascii="宋体" w:hAnsi="宋体" w:eastAsia="宋体"/>
          <w:szCs w:val="21"/>
          <w:highlight w:val="none"/>
          <w:lang w:eastAsia="zh-CN"/>
        </w:rPr>
        <w:t>）</w:t>
      </w:r>
      <w:r>
        <w:rPr>
          <w:rFonts w:hint="eastAsia" w:ascii="宋体" w:hAnsi="宋体" w:eastAsia="宋体"/>
          <w:szCs w:val="21"/>
          <w:highlight w:val="none"/>
        </w:rPr>
        <w:t>合同定价方式</w:t>
      </w:r>
      <w:r>
        <w:rPr>
          <w:rFonts w:hint="eastAsia" w:ascii="宋体" w:hAnsi="宋体" w:eastAsia="宋体"/>
          <w:szCs w:val="21"/>
          <w:highlight w:val="none"/>
          <w:lang w:eastAsia="zh-CN"/>
        </w:rPr>
        <w:t>（采用组合定价方式的，可以勾选多项）</w:t>
      </w:r>
      <w:r>
        <w:rPr>
          <w:rFonts w:hint="eastAsia" w:ascii="宋体" w:hAnsi="宋体" w:eastAsia="宋体"/>
          <w:szCs w:val="21"/>
          <w:highlight w:val="none"/>
        </w:rPr>
        <w:t>：</w:t>
      </w:r>
    </w:p>
    <w:p>
      <w:pPr>
        <w:adjustRightInd w:val="0"/>
        <w:snapToGrid w:val="0"/>
        <w:spacing w:before="0" w:beforeLines="0" w:line="400" w:lineRule="exact"/>
        <w:ind w:firstLine="420" w:firstLineChars="200"/>
        <w:rPr>
          <w:rFonts w:hint="eastAsia" w:ascii="宋体" w:hAnsi="宋体" w:eastAsia="宋体"/>
          <w:szCs w:val="21"/>
          <w:highlight w:val="none"/>
          <w:lang w:eastAsia="zh-CN"/>
        </w:rPr>
      </w:pP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rPr>
        <w:t xml:space="preserve">固定总价 </w:t>
      </w:r>
      <w:r>
        <w:rPr>
          <w:rFonts w:hint="eastAsia" w:ascii="宋体" w:hAnsi="宋体" w:eastAsia="宋体"/>
          <w:iCs/>
          <w:szCs w:val="21"/>
          <w:highlight w:val="none"/>
        </w:rPr>
        <w:sym w:font="Wingdings" w:char="00A8"/>
      </w:r>
      <w:r>
        <w:rPr>
          <w:rFonts w:hint="eastAsia" w:ascii="宋体" w:hAnsi="宋体" w:eastAsia="宋体"/>
          <w:iCs/>
          <w:szCs w:val="21"/>
          <w:highlight w:val="none"/>
        </w:rPr>
        <w:t>固定单价</w:t>
      </w: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lang w:eastAsia="zh-CN"/>
        </w:rPr>
        <w:t>固定费率</w:t>
      </w:r>
      <w:r>
        <w:rPr>
          <w:rFonts w:hint="eastAsia" w:ascii="宋体" w:hAnsi="宋体" w:eastAsia="宋体"/>
          <w:iCs/>
          <w:szCs w:val="21"/>
          <w:highlight w:val="none"/>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rPr>
        <w:t xml:space="preserve">成本补偿 </w:t>
      </w:r>
      <w:r>
        <w:rPr>
          <w:rFonts w:hint="eastAsia" w:ascii="宋体" w:hAnsi="宋体" w:eastAsia="宋体"/>
          <w:iCs/>
          <w:szCs w:val="21"/>
          <w:highlight w:val="none"/>
        </w:rPr>
        <w:sym w:font="Wingdings" w:char="00A8"/>
      </w:r>
      <w:r>
        <w:rPr>
          <w:rFonts w:hint="eastAsia" w:ascii="宋体" w:hAnsi="宋体" w:eastAsia="宋体"/>
          <w:iCs/>
          <w:szCs w:val="21"/>
          <w:highlight w:val="none"/>
        </w:rPr>
        <w:t>绩效激励</w:t>
      </w: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lang w:eastAsia="zh-CN"/>
        </w:rPr>
        <w:t>其他</w:t>
      </w:r>
      <w:r>
        <w:rPr>
          <w:rFonts w:hint="eastAsia" w:ascii="宋体" w:hAnsi="宋体" w:eastAsia="宋体"/>
          <w:szCs w:val="21"/>
          <w:highlight w:val="none"/>
          <w:u w:val="single"/>
        </w:rPr>
        <w:t xml:space="preserve">       </w:t>
      </w:r>
    </w:p>
    <w:p>
      <w:pPr>
        <w:widowControl w:val="0"/>
        <w:spacing w:beforeLines="0" w:line="400" w:lineRule="exact"/>
        <w:ind w:firstLine="420" w:firstLineChars="200"/>
        <w:jc w:val="both"/>
        <w:rPr>
          <w:rFonts w:ascii="Times New Roman" w:hAnsi="Times New Roman"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（3）付款方式（按项目实际勾选填写）：</w:t>
      </w:r>
    </w:p>
    <w:p>
      <w:pPr>
        <w:adjustRightInd w:val="0"/>
        <w:snapToGrid w:val="0"/>
        <w:spacing w:before="0" w:beforeLines="0" w:line="400" w:lineRule="exact"/>
        <w:ind w:firstLine="630" w:firstLineChars="300"/>
        <w:rPr>
          <w:rFonts w:ascii="宋体" w:hAnsi="宋体" w:eastAsia="宋体"/>
          <w:szCs w:val="21"/>
          <w:highlight w:val="none"/>
          <w:u w:val="single"/>
        </w:rPr>
      </w:pPr>
      <w:r>
        <w:rPr>
          <w:rFonts w:hint="eastAsia" w:ascii="宋体" w:hAnsi="宋体" w:eastAsia="宋体"/>
          <w:szCs w:val="21"/>
          <w:highlight w:val="none"/>
        </w:rPr>
        <w:sym w:font="Wingdings" w:char="00A8"/>
      </w:r>
      <w:r>
        <w:rPr>
          <w:rFonts w:hint="eastAsia" w:ascii="宋体" w:hAnsi="宋体" w:eastAsia="宋体"/>
          <w:szCs w:val="21"/>
          <w:highlight w:val="none"/>
        </w:rPr>
        <w:t>全额付款：</w:t>
      </w:r>
      <w:r>
        <w:rPr>
          <w:rFonts w:hint="eastAsia" w:ascii="宋体" w:hAnsi="宋体" w:eastAsia="宋体"/>
          <w:szCs w:val="21"/>
          <w:highlight w:val="none"/>
          <w:u w:val="single"/>
        </w:rPr>
        <w:t xml:space="preserve">     （应</w:t>
      </w:r>
      <w:r>
        <w:rPr>
          <w:rFonts w:hint="eastAsia" w:ascii="宋体" w:hAnsi="宋体" w:eastAsia="宋体"/>
          <w:szCs w:val="21"/>
          <w:highlight w:val="none"/>
          <w:u w:val="single"/>
          <w:lang w:eastAsia="zh-CN"/>
        </w:rPr>
        <w:t>明确</w:t>
      </w:r>
      <w:r>
        <w:rPr>
          <w:rFonts w:hint="eastAsia" w:ascii="宋体" w:hAnsi="宋体" w:eastAsia="宋体"/>
          <w:szCs w:val="21"/>
          <w:highlight w:val="none"/>
          <w:u w:val="single"/>
        </w:rPr>
        <w:t>一次性支付合同款项</w:t>
      </w:r>
      <w:r>
        <w:rPr>
          <w:rFonts w:hint="eastAsia" w:ascii="宋体" w:hAnsi="宋体" w:eastAsia="宋体"/>
          <w:szCs w:val="21"/>
          <w:highlight w:val="none"/>
          <w:u w:val="single"/>
          <w:lang w:eastAsia="zh-CN"/>
        </w:rPr>
        <w:t>的条件</w:t>
      </w:r>
      <w:r>
        <w:rPr>
          <w:rFonts w:hint="eastAsia" w:ascii="宋体" w:hAnsi="宋体" w:eastAsia="宋体"/>
          <w:szCs w:val="21"/>
          <w:highlight w:val="none"/>
          <w:u w:val="single"/>
        </w:rPr>
        <w:t xml:space="preserve">）                    </w:t>
      </w:r>
    </w:p>
    <w:p>
      <w:pPr>
        <w:snapToGrid w:val="0"/>
        <w:spacing w:beforeLines="0" w:line="400" w:lineRule="exact"/>
        <w:ind w:firstLine="630" w:firstLineChars="300"/>
        <w:rPr>
          <w:rFonts w:eastAsia="宋体"/>
          <w:highlight w:val="none"/>
        </w:rPr>
      </w:pPr>
      <w:r>
        <w:rPr>
          <w:rFonts w:hint="eastAsia" w:ascii="宋体" w:hAnsi="宋体" w:eastAsia="宋体"/>
          <w:szCs w:val="21"/>
          <w:highlight w:val="none"/>
        </w:rPr>
        <w:sym w:font="Wingdings" w:char="00A8"/>
      </w:r>
      <w:r>
        <w:rPr>
          <w:rFonts w:hint="eastAsia" w:ascii="宋体" w:hAnsi="宋体" w:eastAsia="宋体"/>
          <w:szCs w:val="21"/>
          <w:highlight w:val="none"/>
        </w:rPr>
        <w:t>分期付款：</w:t>
      </w:r>
      <w:r>
        <w:rPr>
          <w:rFonts w:hint="eastAsia" w:ascii="宋体" w:hAnsi="宋体" w:eastAsia="宋体"/>
          <w:szCs w:val="21"/>
          <w:highlight w:val="none"/>
          <w:u w:val="single"/>
        </w:rPr>
        <w:t xml:space="preserve">  （应明确分期支付合同款项的各期比例和支付条件</w:t>
      </w:r>
      <w:r>
        <w:rPr>
          <w:rFonts w:hint="eastAsia" w:ascii="宋体" w:hAnsi="宋体" w:eastAsia="宋体"/>
          <w:szCs w:val="21"/>
          <w:highlight w:val="none"/>
          <w:u w:val="single"/>
          <w:lang w:eastAsia="zh-CN"/>
        </w:rPr>
        <w:t>，各期支付条件应与分期履约验收情况挂钩</w:t>
      </w:r>
      <w:r>
        <w:rPr>
          <w:rFonts w:hint="eastAsia" w:ascii="宋体" w:hAnsi="宋体" w:eastAsia="宋体"/>
          <w:szCs w:val="21"/>
          <w:highlight w:val="none"/>
          <w:u w:val="single"/>
        </w:rPr>
        <w:t xml:space="preserve">） </w:t>
      </w:r>
      <w:r>
        <w:rPr>
          <w:rFonts w:hint="eastAsia" w:ascii="宋体" w:hAnsi="宋体" w:eastAsia="宋体"/>
          <w:szCs w:val="21"/>
          <w:highlight w:val="none"/>
          <w:u w:val="none"/>
          <w:lang w:eastAsia="zh-CN"/>
        </w:rPr>
        <w:t>，</w:t>
      </w:r>
      <w:r>
        <w:rPr>
          <w:rFonts w:hint="eastAsia" w:ascii="宋体" w:hAnsi="宋体" w:eastAsia="宋体"/>
          <w:szCs w:val="21"/>
          <w:highlight w:val="none"/>
          <w:lang w:eastAsia="zh-CN"/>
        </w:rPr>
        <w:t>其中涉及预付款的</w:t>
      </w:r>
      <w:r>
        <w:rPr>
          <w:rFonts w:hint="eastAsia" w:ascii="宋体" w:hAnsi="宋体" w:eastAsia="宋体"/>
          <w:szCs w:val="21"/>
          <w:highlight w:val="none"/>
        </w:rPr>
        <w:t>：</w:t>
      </w:r>
      <w:r>
        <w:rPr>
          <w:rFonts w:hint="eastAsia" w:ascii="宋体" w:hAnsi="宋体" w:eastAsia="宋体"/>
          <w:szCs w:val="21"/>
          <w:highlight w:val="none"/>
          <w:u w:val="single"/>
        </w:rPr>
        <w:t xml:space="preserve"> （应明确预付款的支付比例和支付条件） </w:t>
      </w:r>
    </w:p>
    <w:p>
      <w:pPr>
        <w:adjustRightInd w:val="0"/>
        <w:snapToGrid w:val="0"/>
        <w:spacing w:before="0" w:beforeLines="0" w:line="400" w:lineRule="exact"/>
        <w:ind w:firstLine="630" w:firstLineChars="300"/>
        <w:rPr>
          <w:rFonts w:ascii="宋体" w:hAnsi="宋体" w:eastAsia="宋体"/>
          <w:szCs w:val="21"/>
          <w:highlight w:val="none"/>
          <w:u w:val="single"/>
        </w:rPr>
      </w:pPr>
      <w:r>
        <w:rPr>
          <w:rFonts w:hint="eastAsia" w:ascii="宋体" w:hAnsi="宋体" w:eastAsia="宋体"/>
          <w:szCs w:val="21"/>
          <w:highlight w:val="none"/>
        </w:rPr>
        <w:sym w:font="Wingdings" w:char="00A8"/>
      </w:r>
      <w:r>
        <w:rPr>
          <w:rFonts w:hint="eastAsia" w:ascii="宋体" w:hAnsi="宋体" w:eastAsia="宋体"/>
          <w:szCs w:val="21"/>
          <w:highlight w:val="none"/>
        </w:rPr>
        <w:t>成本补偿：</w:t>
      </w:r>
      <w:r>
        <w:rPr>
          <w:rFonts w:hint="eastAsia" w:ascii="宋体" w:hAnsi="宋体" w:eastAsia="宋体"/>
          <w:szCs w:val="21"/>
          <w:highlight w:val="none"/>
          <w:u w:val="single"/>
        </w:rPr>
        <w:t xml:space="preserve">      （应明确按照成本补偿方式的支付方式和支付条件）   </w:t>
      </w:r>
    </w:p>
    <w:p>
      <w:pPr>
        <w:adjustRightInd w:val="0"/>
        <w:snapToGrid w:val="0"/>
        <w:spacing w:before="0" w:beforeLines="0" w:line="400" w:lineRule="exact"/>
        <w:ind w:firstLine="630" w:firstLineChars="300"/>
        <w:rPr>
          <w:rFonts w:ascii="宋体" w:hAnsi="宋体" w:eastAsia="宋体"/>
          <w:szCs w:val="21"/>
          <w:highlight w:val="none"/>
        </w:rPr>
      </w:pPr>
      <w:r>
        <w:rPr>
          <w:rFonts w:hint="eastAsia" w:ascii="宋体" w:hAnsi="宋体" w:eastAsia="宋体"/>
          <w:szCs w:val="21"/>
          <w:highlight w:val="none"/>
        </w:rPr>
        <w:sym w:font="Wingdings" w:char="00A8"/>
      </w:r>
      <w:r>
        <w:rPr>
          <w:rFonts w:hint="eastAsia" w:ascii="宋体" w:hAnsi="宋体" w:eastAsia="宋体"/>
          <w:szCs w:val="21"/>
          <w:highlight w:val="none"/>
        </w:rPr>
        <w:t>绩效激励：</w:t>
      </w:r>
      <w:r>
        <w:rPr>
          <w:rFonts w:hint="eastAsia" w:ascii="宋体" w:hAnsi="宋体" w:eastAsia="宋体"/>
          <w:szCs w:val="21"/>
          <w:highlight w:val="none"/>
          <w:u w:val="single"/>
        </w:rPr>
        <w:t xml:space="preserve">      （应明确按照绩效激励方式的支付方式和支付条件）   </w:t>
      </w:r>
    </w:p>
    <w:p>
      <w:pPr>
        <w:numPr>
          <w:ilvl w:val="0"/>
          <w:numId w:val="4"/>
        </w:numPr>
        <w:adjustRightInd w:val="0"/>
        <w:snapToGrid w:val="0"/>
        <w:spacing w:before="0" w:beforeLines="0" w:line="400" w:lineRule="exact"/>
        <w:ind w:firstLine="422" w:firstLineChars="200"/>
        <w:rPr>
          <w:rFonts w:ascii="宋体" w:hAnsi="宋体" w:eastAsia="宋体"/>
          <w:b/>
          <w:bCs w:val="0"/>
          <w:szCs w:val="21"/>
          <w:highlight w:val="none"/>
          <w:u w:val="single"/>
        </w:rPr>
      </w:pPr>
      <w:r>
        <w:rPr>
          <w:rFonts w:hint="eastAsia" w:ascii="宋体" w:hAnsi="宋体" w:eastAsia="宋体"/>
          <w:b/>
          <w:bCs w:val="0"/>
          <w:szCs w:val="21"/>
          <w:highlight w:val="none"/>
        </w:rPr>
        <w:t>合同履行</w:t>
      </w:r>
    </w:p>
    <w:p>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（1）起始日期：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日，完成日期：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pPr>
        <w:adjustRightInd w:val="0"/>
        <w:snapToGrid w:val="0"/>
        <w:spacing w:before="0" w:beforeLines="0" w:line="400" w:lineRule="exact"/>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（2）</w:t>
      </w:r>
      <w:r>
        <w:rPr>
          <w:rFonts w:hint="eastAsia" w:ascii="宋体" w:hAnsi="宋体" w:eastAsia="宋体" w:cs="宋体"/>
          <w:szCs w:val="21"/>
          <w:highlight w:val="none"/>
          <w:lang w:eastAsia="zh-CN"/>
        </w:rPr>
        <w:t>履约</w:t>
      </w:r>
      <w:r>
        <w:rPr>
          <w:rFonts w:hint="eastAsia" w:ascii="宋体" w:hAnsi="宋体" w:eastAsia="宋体" w:cs="宋体"/>
          <w:szCs w:val="21"/>
          <w:highlight w:val="none"/>
        </w:rPr>
        <w:t>地点</w:t>
      </w:r>
      <w:r>
        <w:rPr>
          <w:rFonts w:hint="eastAsia" w:ascii="宋体" w:hAnsi="宋体" w:eastAsia="宋体" w:cs="宋体"/>
          <w:b w:val="0"/>
          <w:bCs/>
          <w:szCs w:val="21"/>
          <w:highlight w:val="none"/>
        </w:rPr>
        <w:t>：</w:t>
      </w:r>
      <w:r>
        <w:rPr>
          <w:rFonts w:hint="eastAsia" w:ascii="宋体" w:hAnsi="宋体" w:eastAsia="宋体" w:cs="宋体"/>
          <w:szCs w:val="21"/>
          <w:highlight w:val="none"/>
          <w:u w:val="single"/>
        </w:rPr>
        <w:t xml:space="preserve">                             </w:t>
      </w:r>
    </w:p>
    <w:p>
      <w:pPr>
        <w:adjustRightInd w:val="0"/>
        <w:snapToGrid w:val="0"/>
        <w:spacing w:before="0" w:beforeLines="0"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bCs/>
          <w:szCs w:val="21"/>
          <w:highlight w:val="none"/>
        </w:rPr>
        <w:t>（3）履约担保：</w:t>
      </w:r>
      <w:r>
        <w:rPr>
          <w:rFonts w:hint="eastAsia" w:ascii="宋体" w:hAnsi="宋体" w:eastAsia="宋体" w:cs="宋体"/>
          <w:sz w:val="21"/>
          <w:highlight w:val="none"/>
          <w:lang w:val="en-US" w:eastAsia="zh-CN"/>
        </w:rPr>
        <w:t>是否收取履约保证金：</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lang w:eastAsia="zh-CN"/>
        </w:rPr>
        <w:t>是</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lang w:eastAsia="zh-CN"/>
        </w:rPr>
        <w:t>否</w:t>
      </w:r>
    </w:p>
    <w:p>
      <w:pPr>
        <w:autoSpaceDE w:val="0"/>
        <w:autoSpaceDN w:val="0"/>
        <w:adjustRightInd w:val="0"/>
        <w:spacing w:beforeLines="0" w:line="400" w:lineRule="exact"/>
        <w:ind w:firstLine="440" w:firstLineChars="200"/>
        <w:rPr>
          <w:rFonts w:hint="eastAsia" w:ascii="宋体" w:hAnsi="宋体" w:eastAsia="宋体" w:cs="宋体"/>
          <w:sz w:val="21"/>
          <w:szCs w:val="21"/>
          <w:highlight w:val="none"/>
          <w:lang w:val="en-US" w:eastAsia="zh-CN" w:bidi="ar-SA"/>
        </w:rPr>
      </w:pPr>
      <w:r>
        <w:rPr>
          <w:rFonts w:hint="eastAsia" w:ascii="宋体" w:hAnsi="宋体" w:eastAsia="华文楷体" w:cs="宋体"/>
          <w:bCs/>
          <w:sz w:val="22"/>
          <w:szCs w:val="21"/>
          <w:highlight w:val="none"/>
          <w:u w:val="none"/>
          <w:lang w:val="en-US" w:eastAsia="zh-CN" w:bidi="ar-SA"/>
        </w:rPr>
        <w:t xml:space="preserve">  </w:t>
      </w:r>
      <w:r>
        <w:rPr>
          <w:rFonts w:hint="eastAsia" w:ascii="宋体" w:hAnsi="宋体" w:eastAsia="宋体" w:cs="宋体"/>
          <w:sz w:val="21"/>
          <w:szCs w:val="21"/>
          <w:highlight w:val="none"/>
          <w:lang w:val="en-US" w:eastAsia="zh-CN" w:bidi="ar-SA"/>
        </w:rPr>
        <w:t xml:space="preserve">  收取履约保证金形式：</w:t>
      </w:r>
      <w:r>
        <w:rPr>
          <w:rFonts w:hint="eastAsia" w:ascii="宋体" w:hAnsi="宋体" w:eastAsia="宋体" w:cs="宋体"/>
          <w:bCs/>
          <w:sz w:val="21"/>
          <w:szCs w:val="21"/>
          <w:highlight w:val="none"/>
          <w:u w:val="single"/>
          <w:lang w:val="en-US" w:eastAsia="zh-CN" w:bidi="ar-SA"/>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收取履约保证金金额：</w:t>
      </w:r>
      <w:r>
        <w:rPr>
          <w:rFonts w:hint="eastAsia" w:ascii="宋体" w:hAnsi="宋体" w:eastAsia="宋体" w:cs="宋体"/>
          <w:bCs/>
          <w:sz w:val="21"/>
          <w:szCs w:val="21"/>
          <w:highlight w:val="none"/>
          <w:u w:val="single"/>
          <w:lang w:val="en-US" w:eastAsia="zh-CN" w:bidi="ar-SA"/>
        </w:rPr>
        <w:t xml:space="preserve">                            </w:t>
      </w:r>
    </w:p>
    <w:p>
      <w:pPr>
        <w:snapToGrid w:val="0"/>
        <w:spacing w:beforeLines="0" w:line="400" w:lineRule="exact"/>
        <w:ind w:firstLine="420" w:firstLineChars="200"/>
        <w:rPr>
          <w:rFonts w:hint="eastAsia" w:ascii="宋体" w:hAnsi="宋体" w:eastAsia="宋体" w:cs="宋体"/>
          <w:sz w:val="21"/>
          <w:highlight w:val="none"/>
          <w:lang w:val="en-US" w:eastAsia="zh-CN"/>
        </w:rPr>
      </w:pPr>
      <w:r>
        <w:rPr>
          <w:rFonts w:hint="eastAsia" w:ascii="宋体" w:hAnsi="宋体" w:eastAsia="宋体" w:cs="宋体"/>
          <w:bCs/>
          <w:szCs w:val="21"/>
          <w:highlight w:val="none"/>
          <w:u w:val="none"/>
          <w:lang w:val="en-US" w:eastAsia="zh-CN"/>
        </w:rPr>
        <w:t xml:space="preserve">    履约担保期限</w:t>
      </w:r>
      <w:r>
        <w:rPr>
          <w:rFonts w:hint="eastAsia" w:ascii="宋体" w:hAnsi="宋体" w:eastAsia="宋体" w:cs="宋体"/>
          <w:bCs/>
          <w:szCs w:val="21"/>
          <w:highlight w:val="none"/>
          <w:u w:val="none"/>
          <w:lang w:eastAsia="zh-CN"/>
        </w:rPr>
        <w:t>：</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u w:val="single"/>
          <w:lang w:val="en-US" w:eastAsia="zh-CN"/>
        </w:rPr>
        <w:t xml:space="preserve">                     </w:t>
      </w:r>
      <w:r>
        <w:rPr>
          <w:rFonts w:hint="eastAsia" w:ascii="宋体" w:hAnsi="宋体" w:eastAsia="宋体" w:cs="宋体"/>
          <w:bCs/>
          <w:sz w:val="21"/>
          <w:szCs w:val="21"/>
          <w:highlight w:val="none"/>
          <w:u w:val="single"/>
        </w:rPr>
        <w:t xml:space="preserve">       </w:t>
      </w:r>
    </w:p>
    <w:p>
      <w:pPr>
        <w:adjustRightInd w:val="0"/>
        <w:snapToGrid w:val="0"/>
        <w:spacing w:before="0" w:beforeLines="0" w:line="40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（4）分期履行要求：</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u w:val="single"/>
          <w:lang w:val="en-US" w:eastAsia="zh-CN"/>
        </w:rPr>
        <w:t xml:space="preserve">    </w:t>
      </w:r>
      <w:r>
        <w:rPr>
          <w:rFonts w:hint="eastAsia" w:ascii="宋体" w:hAnsi="宋体" w:eastAsia="宋体" w:cs="宋体"/>
          <w:bCs/>
          <w:szCs w:val="21"/>
          <w:highlight w:val="none"/>
          <w:u w:val="single"/>
        </w:rPr>
        <w:t xml:space="preserve"> </w:t>
      </w:r>
    </w:p>
    <w:p>
      <w:pPr>
        <w:adjustRightInd w:val="0"/>
        <w:snapToGrid w:val="0"/>
        <w:spacing w:before="0" w:beforeLines="0" w:line="400" w:lineRule="exact"/>
        <w:ind w:firstLine="420" w:firstLineChars="200"/>
        <w:rPr>
          <w:rFonts w:hint="eastAsia" w:ascii="宋体" w:hAnsi="宋体" w:eastAsia="宋体" w:cs="宋体"/>
          <w:szCs w:val="21"/>
          <w:highlight w:val="none"/>
          <w:u w:val="single"/>
        </w:rPr>
      </w:pPr>
      <w:r>
        <w:rPr>
          <w:rFonts w:hint="eastAsia" w:ascii="宋体" w:hAnsi="宋体" w:eastAsia="宋体" w:cs="宋体"/>
          <w:bCs/>
          <w:szCs w:val="21"/>
          <w:highlight w:val="none"/>
        </w:rPr>
        <w:t>（5）</w:t>
      </w:r>
      <w:r>
        <w:rPr>
          <w:rFonts w:hint="eastAsia" w:ascii="宋体" w:hAnsi="宋体" w:eastAsia="宋体" w:cs="宋体"/>
          <w:bCs/>
          <w:szCs w:val="21"/>
          <w:highlight w:val="none"/>
          <w:lang w:eastAsia="zh-CN"/>
        </w:rPr>
        <w:t>风险处置措施和替代方案</w:t>
      </w:r>
      <w:r>
        <w:rPr>
          <w:rFonts w:hint="eastAsia" w:ascii="宋体" w:hAnsi="宋体" w:eastAsia="宋体" w:cs="宋体"/>
          <w:bCs/>
          <w:szCs w:val="21"/>
          <w:highlight w:val="none"/>
        </w:rPr>
        <w:t>：</w:t>
      </w:r>
      <w:r>
        <w:rPr>
          <w:rFonts w:hint="eastAsia" w:ascii="宋体" w:hAnsi="宋体" w:eastAsia="宋体" w:cs="宋体"/>
          <w:color w:val="0000FF"/>
          <w:szCs w:val="21"/>
          <w:highlight w:val="none"/>
          <w:u w:val="single"/>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szCs w:val="21"/>
          <w:highlight w:val="none"/>
          <w:u w:val="single"/>
        </w:rPr>
        <w:t xml:space="preserve">                                                </w:t>
      </w:r>
    </w:p>
    <w:p>
      <w:pPr>
        <w:numPr>
          <w:ilvl w:val="0"/>
          <w:numId w:val="4"/>
        </w:numPr>
        <w:adjustRightInd w:val="0"/>
        <w:snapToGrid w:val="0"/>
        <w:spacing w:before="0" w:beforeLines="0" w:line="400" w:lineRule="exact"/>
        <w:ind w:firstLine="422" w:firstLineChars="200"/>
        <w:rPr>
          <w:rFonts w:ascii="宋体" w:hAnsi="宋体" w:eastAsia="宋体"/>
          <w:b/>
          <w:szCs w:val="21"/>
          <w:highlight w:val="none"/>
        </w:rPr>
      </w:pPr>
      <w:r>
        <w:rPr>
          <w:rFonts w:hint="eastAsia" w:ascii="宋体" w:hAnsi="宋体" w:eastAsia="宋体"/>
          <w:b/>
          <w:szCs w:val="21"/>
          <w:highlight w:val="none"/>
        </w:rPr>
        <w:t>合同验收</w:t>
      </w:r>
    </w:p>
    <w:p>
      <w:pPr>
        <w:numPr>
          <w:ilvl w:val="0"/>
          <w:numId w:val="6"/>
        </w:numPr>
        <w:adjustRightInd w:val="0"/>
        <w:snapToGrid w:val="0"/>
        <w:spacing w:before="0" w:beforeLines="0" w:line="400" w:lineRule="exact"/>
        <w:ind w:firstLine="420" w:firstLineChars="200"/>
        <w:rPr>
          <w:rFonts w:hint="eastAsia" w:ascii="宋体" w:hAnsi="宋体" w:eastAsia="宋体"/>
          <w:bCs/>
          <w:szCs w:val="21"/>
          <w:highlight w:val="none"/>
        </w:rPr>
      </w:pPr>
      <w:r>
        <w:rPr>
          <w:rFonts w:hint="eastAsia" w:ascii="宋体" w:hAnsi="宋体" w:eastAsia="宋体"/>
          <w:bCs/>
          <w:szCs w:val="21"/>
          <w:highlight w:val="none"/>
        </w:rPr>
        <w:t>验收组织方式：</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 xml:space="preserve">自行组织 </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委托第三方组织</w:t>
      </w:r>
    </w:p>
    <w:p>
      <w:pPr>
        <w:numPr>
          <w:ilvl w:val="0"/>
          <w:numId w:val="0"/>
        </w:numPr>
        <w:adjustRightInd w:val="0"/>
        <w:snapToGrid w:val="0"/>
        <w:spacing w:before="0" w:beforeLines="0" w:line="400" w:lineRule="exact"/>
        <w:rPr>
          <w:rFonts w:ascii="宋体" w:hAnsi="宋体" w:eastAsia="宋体"/>
          <w:bCs/>
          <w:szCs w:val="21"/>
          <w:highlight w:val="none"/>
        </w:rPr>
      </w:pPr>
      <w:r>
        <w:rPr>
          <w:rFonts w:hint="eastAsia" w:ascii="宋体" w:hAnsi="宋体" w:eastAsia="宋体"/>
          <w:bCs/>
          <w:szCs w:val="21"/>
          <w:highlight w:val="none"/>
          <w:lang w:val="en-US" w:eastAsia="zh-CN"/>
        </w:rPr>
        <w:t xml:space="preserve">         </w:t>
      </w:r>
      <w:r>
        <w:rPr>
          <w:rFonts w:hint="eastAsia" w:ascii="宋体" w:hAnsi="宋体" w:eastAsia="宋体"/>
          <w:bCs/>
          <w:szCs w:val="21"/>
          <w:highlight w:val="none"/>
        </w:rPr>
        <w:t>验收主体：</w:t>
      </w:r>
      <w:r>
        <w:rPr>
          <w:rFonts w:hint="eastAsia" w:ascii="宋体" w:hAnsi="宋体" w:eastAsia="宋体"/>
          <w:bCs/>
          <w:szCs w:val="21"/>
          <w:highlight w:val="none"/>
          <w:u w:val="single"/>
        </w:rPr>
        <w:t xml:space="preserve">                  </w:t>
      </w:r>
    </w:p>
    <w:p>
      <w:pPr>
        <w:adjustRightInd w:val="0"/>
        <w:snapToGrid w:val="0"/>
        <w:spacing w:before="0" w:beforeLines="0" w:line="400" w:lineRule="exact"/>
        <w:ind w:firstLine="0" w:firstLineChars="0"/>
        <w:rPr>
          <w:rFonts w:ascii="宋体" w:hAnsi="宋体" w:eastAsia="宋体"/>
          <w:bCs/>
          <w:szCs w:val="21"/>
          <w:highlight w:val="none"/>
        </w:rPr>
      </w:pPr>
      <w:r>
        <w:rPr>
          <w:rFonts w:hint="eastAsia" w:ascii="宋体" w:hAnsi="宋体" w:eastAsia="宋体"/>
          <w:bCs/>
          <w:szCs w:val="21"/>
          <w:highlight w:val="none"/>
          <w:lang w:val="en-US" w:eastAsia="zh-CN"/>
        </w:rPr>
        <w:t xml:space="preserve">        </w:t>
      </w:r>
      <w:r>
        <w:rPr>
          <w:rFonts w:hint="eastAsia" w:ascii="宋体" w:hAnsi="宋体" w:eastAsia="宋体"/>
          <w:bCs/>
          <w:szCs w:val="21"/>
          <w:highlight w:val="none"/>
        </w:rPr>
        <w:t>是否邀请本项目的其他供应商</w:t>
      </w:r>
      <w:r>
        <w:rPr>
          <w:rFonts w:hint="eastAsia" w:ascii="宋体" w:hAnsi="宋体" w:eastAsia="宋体"/>
          <w:bCs/>
          <w:szCs w:val="21"/>
          <w:highlight w:val="none"/>
          <w:lang w:eastAsia="zh-CN"/>
        </w:rPr>
        <w:t>参加验收</w:t>
      </w:r>
      <w:r>
        <w:rPr>
          <w:rFonts w:hint="eastAsia" w:ascii="宋体" w:hAnsi="宋体" w:eastAsia="宋体"/>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否</w:t>
      </w:r>
    </w:p>
    <w:p>
      <w:pPr>
        <w:adjustRightInd w:val="0"/>
        <w:snapToGrid w:val="0"/>
        <w:spacing w:before="0" w:beforeLines="0" w:line="400" w:lineRule="exact"/>
        <w:ind w:firstLine="840" w:firstLineChars="400"/>
        <w:rPr>
          <w:rFonts w:ascii="宋体" w:hAnsi="宋体" w:eastAsia="宋体"/>
          <w:bCs/>
          <w:szCs w:val="21"/>
          <w:highlight w:val="none"/>
        </w:rPr>
      </w:pPr>
      <w:r>
        <w:rPr>
          <w:rFonts w:hint="eastAsia" w:ascii="宋体" w:hAnsi="宋体" w:eastAsia="宋体"/>
          <w:bCs/>
          <w:szCs w:val="21"/>
          <w:highlight w:val="none"/>
        </w:rPr>
        <w:t>是否邀请专家</w:t>
      </w:r>
      <w:r>
        <w:rPr>
          <w:rFonts w:hint="eastAsia" w:ascii="宋体" w:hAnsi="宋体" w:eastAsia="宋体"/>
          <w:bCs/>
          <w:szCs w:val="21"/>
          <w:highlight w:val="none"/>
          <w:lang w:eastAsia="zh-CN"/>
        </w:rPr>
        <w:t>参加验收</w:t>
      </w:r>
      <w:r>
        <w:rPr>
          <w:rFonts w:hint="eastAsia" w:ascii="宋体" w:hAnsi="宋体" w:eastAsia="宋体"/>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否</w:t>
      </w:r>
    </w:p>
    <w:p>
      <w:pPr>
        <w:adjustRightInd w:val="0"/>
        <w:snapToGrid w:val="0"/>
        <w:spacing w:before="0" w:beforeLines="0" w:line="400" w:lineRule="exact"/>
        <w:ind w:firstLine="840" w:firstLineChars="400"/>
        <w:rPr>
          <w:rFonts w:ascii="宋体" w:hAnsi="宋体" w:eastAsia="宋体"/>
          <w:bCs/>
          <w:szCs w:val="21"/>
          <w:highlight w:val="none"/>
        </w:rPr>
      </w:pPr>
      <w:r>
        <w:rPr>
          <w:rFonts w:hint="eastAsia" w:ascii="宋体" w:hAnsi="宋体" w:eastAsia="宋体"/>
          <w:bCs/>
          <w:szCs w:val="21"/>
          <w:highlight w:val="none"/>
        </w:rPr>
        <w:t>是否邀请服务对象</w:t>
      </w:r>
      <w:r>
        <w:rPr>
          <w:rFonts w:hint="eastAsia" w:ascii="宋体" w:hAnsi="宋体" w:eastAsia="宋体"/>
          <w:bCs/>
          <w:szCs w:val="21"/>
          <w:highlight w:val="none"/>
          <w:lang w:eastAsia="zh-CN"/>
        </w:rPr>
        <w:t>参加验收</w:t>
      </w:r>
      <w:r>
        <w:rPr>
          <w:rFonts w:hint="eastAsia" w:ascii="宋体" w:hAnsi="宋体" w:eastAsia="宋体"/>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否</w:t>
      </w:r>
    </w:p>
    <w:p>
      <w:pPr>
        <w:adjustRightInd w:val="0"/>
        <w:snapToGrid w:val="0"/>
        <w:spacing w:before="0" w:beforeLines="0" w:line="400" w:lineRule="exact"/>
        <w:ind w:firstLine="840" w:firstLineChars="400"/>
        <w:rPr>
          <w:rFonts w:ascii="宋体" w:hAnsi="宋体" w:eastAsia="宋体"/>
          <w:bCs/>
          <w:szCs w:val="21"/>
          <w:highlight w:val="none"/>
        </w:rPr>
      </w:pPr>
      <w:r>
        <w:rPr>
          <w:rFonts w:hint="eastAsia" w:ascii="宋体" w:hAnsi="宋体" w:eastAsia="宋体"/>
          <w:bCs/>
          <w:szCs w:val="21"/>
          <w:highlight w:val="none"/>
        </w:rPr>
        <w:t>是否邀请第三方检测机构</w:t>
      </w:r>
      <w:r>
        <w:rPr>
          <w:rFonts w:hint="eastAsia" w:ascii="宋体" w:hAnsi="宋体" w:eastAsia="宋体"/>
          <w:bCs/>
          <w:szCs w:val="21"/>
          <w:highlight w:val="none"/>
          <w:lang w:eastAsia="zh-CN"/>
        </w:rPr>
        <w:t>参加验收</w:t>
      </w:r>
      <w:r>
        <w:rPr>
          <w:rFonts w:hint="eastAsia" w:ascii="宋体" w:hAnsi="宋体" w:eastAsia="宋体"/>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否</w:t>
      </w:r>
    </w:p>
    <w:p>
      <w:pPr>
        <w:adjustRightInd w:val="0"/>
        <w:snapToGrid w:val="0"/>
        <w:spacing w:before="0" w:beforeLines="0" w:line="400" w:lineRule="exact"/>
        <w:ind w:firstLine="840" w:firstLineChars="400"/>
        <w:rPr>
          <w:rFonts w:hint="eastAsia" w:ascii="宋体" w:hAnsi="宋体" w:eastAsia="宋体"/>
          <w:bCs/>
          <w:szCs w:val="21"/>
          <w:highlight w:val="none"/>
        </w:rPr>
      </w:pPr>
      <w:r>
        <w:rPr>
          <w:rFonts w:hint="eastAsia" w:ascii="宋体" w:hAnsi="宋体" w:eastAsia="宋体"/>
          <w:bCs/>
          <w:szCs w:val="21"/>
          <w:highlight w:val="none"/>
          <w:lang w:eastAsia="zh-CN"/>
        </w:rPr>
        <w:t>是否进行抽查检测：</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是</w:t>
      </w:r>
      <w:r>
        <w:rPr>
          <w:rFonts w:hint="eastAsia" w:ascii="宋体" w:hAnsi="宋体" w:eastAsia="宋体"/>
          <w:bCs/>
          <w:szCs w:val="21"/>
          <w:highlight w:val="none"/>
          <w:lang w:eastAsia="zh-CN"/>
        </w:rPr>
        <w:t>，抽查比例：</w:t>
      </w:r>
      <w:r>
        <w:rPr>
          <w:rFonts w:hint="eastAsia" w:ascii="宋体" w:hAnsi="宋体" w:eastAsia="宋体"/>
          <w:bCs/>
          <w:szCs w:val="21"/>
          <w:highlight w:val="none"/>
          <w:u w:val="single"/>
        </w:rPr>
        <w:t xml:space="preserve">   </w:t>
      </w:r>
      <w:r>
        <w:rPr>
          <w:rFonts w:hint="eastAsia" w:ascii="宋体" w:hAnsi="宋体" w:eastAsia="宋体"/>
          <w:bCs/>
          <w:szCs w:val="21"/>
          <w:highlight w:val="none"/>
          <w:u w:val="single"/>
          <w:lang w:val="en-US" w:eastAsia="zh-CN"/>
        </w:rPr>
        <w:t xml:space="preserve">     </w:t>
      </w:r>
      <w:r>
        <w:rPr>
          <w:rFonts w:hint="eastAsia" w:ascii="宋体" w:hAnsi="宋体" w:eastAsia="宋体"/>
          <w:bCs/>
          <w:szCs w:val="21"/>
          <w:highlight w:val="none"/>
        </w:rPr>
        <w:t xml:space="preserve"> </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否</w:t>
      </w:r>
    </w:p>
    <w:p>
      <w:pPr>
        <w:adjustRightInd w:val="0"/>
        <w:snapToGrid w:val="0"/>
        <w:spacing w:before="0" w:beforeLines="0" w:line="400" w:lineRule="exact"/>
        <w:ind w:firstLine="840" w:firstLineChars="400"/>
        <w:rPr>
          <w:rFonts w:hint="eastAsia" w:ascii="宋体" w:hAnsi="宋体" w:eastAsia="宋体"/>
          <w:bCs/>
          <w:szCs w:val="21"/>
          <w:highlight w:val="none"/>
          <w:u w:val="single"/>
          <w:lang w:eastAsia="zh-CN"/>
        </w:rPr>
      </w:pPr>
      <w:r>
        <w:rPr>
          <w:rFonts w:hint="eastAsia" w:ascii="宋体" w:hAnsi="宋体" w:eastAsia="宋体"/>
          <w:bCs/>
          <w:szCs w:val="21"/>
          <w:highlight w:val="none"/>
          <w:lang w:val="en-US" w:eastAsia="zh-CN"/>
        </w:rPr>
        <w:t>是否存在破坏性检测：</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是</w:t>
      </w:r>
      <w:r>
        <w:rPr>
          <w:rFonts w:hint="eastAsia" w:ascii="宋体" w:hAnsi="宋体" w:eastAsia="宋体"/>
          <w:bCs/>
          <w:szCs w:val="21"/>
          <w:highlight w:val="none"/>
          <w:lang w:eastAsia="zh-CN"/>
        </w:rPr>
        <w:t>，</w:t>
      </w:r>
      <w:r>
        <w:rPr>
          <w:rFonts w:hint="eastAsia" w:ascii="宋体" w:hAnsi="宋体" w:eastAsia="宋体"/>
          <w:bCs/>
          <w:szCs w:val="21"/>
          <w:highlight w:val="none"/>
          <w:u w:val="single"/>
          <w:lang w:eastAsia="zh-CN"/>
        </w:rPr>
        <w:t>（应明确对被破坏的检测产品的处理方式）</w:t>
      </w:r>
    </w:p>
    <w:p>
      <w:pPr>
        <w:adjustRightInd w:val="0"/>
        <w:snapToGrid w:val="0"/>
        <w:spacing w:before="0" w:beforeLines="0" w:line="400" w:lineRule="exact"/>
        <w:ind w:firstLine="840" w:firstLineChars="400"/>
        <w:rPr>
          <w:rFonts w:hint="eastAsia" w:ascii="宋体" w:hAnsi="宋体" w:eastAsia="宋体"/>
          <w:bCs/>
          <w:szCs w:val="21"/>
          <w:highlight w:val="none"/>
          <w:lang w:eastAsia="zh-CN"/>
        </w:rPr>
      </w:pPr>
      <w:r>
        <w:rPr>
          <w:rFonts w:hint="eastAsia" w:ascii="宋体" w:hAnsi="宋体" w:eastAsia="宋体"/>
          <w:bCs/>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否</w:t>
      </w:r>
    </w:p>
    <w:p>
      <w:pPr>
        <w:adjustRightInd w:val="0"/>
        <w:snapToGrid w:val="0"/>
        <w:spacing w:before="0" w:beforeLines="0" w:line="400" w:lineRule="exact"/>
        <w:ind w:firstLine="840" w:firstLineChars="400"/>
        <w:rPr>
          <w:rFonts w:hint="eastAsia" w:ascii="宋体" w:hAnsi="宋体" w:eastAsia="宋体"/>
          <w:bCs/>
          <w:szCs w:val="21"/>
          <w:highlight w:val="none"/>
          <w:u w:val="single"/>
        </w:rPr>
      </w:pPr>
      <w:r>
        <w:rPr>
          <w:rFonts w:hint="eastAsia" w:ascii="宋体" w:hAnsi="宋体" w:eastAsia="宋体"/>
          <w:bCs/>
          <w:szCs w:val="21"/>
          <w:highlight w:val="none"/>
        </w:rPr>
        <w:t>验收组织的其他事项：</w:t>
      </w:r>
      <w:r>
        <w:rPr>
          <w:rFonts w:hint="eastAsia" w:ascii="宋体" w:hAnsi="宋体" w:eastAsia="宋体"/>
          <w:bCs/>
          <w:szCs w:val="21"/>
          <w:highlight w:val="none"/>
          <w:u w:val="single"/>
        </w:rPr>
        <w:t xml:space="preserve">                </w:t>
      </w:r>
    </w:p>
    <w:p>
      <w:pPr>
        <w:adjustRightInd w:val="0"/>
        <w:snapToGrid w:val="0"/>
        <w:spacing w:before="0" w:beforeLines="0" w:line="400" w:lineRule="exact"/>
        <w:ind w:firstLine="420" w:firstLineChars="200"/>
        <w:rPr>
          <w:rFonts w:hint="eastAsia" w:ascii="宋体" w:hAnsi="宋体" w:eastAsia="宋体"/>
          <w:bCs/>
          <w:szCs w:val="21"/>
          <w:highlight w:val="none"/>
          <w:u w:val="single"/>
        </w:rPr>
      </w:pPr>
      <w:r>
        <w:rPr>
          <w:rFonts w:hint="eastAsia" w:ascii="宋体" w:hAnsi="宋体" w:eastAsia="宋体"/>
          <w:bCs/>
          <w:szCs w:val="21"/>
          <w:highlight w:val="none"/>
        </w:rPr>
        <w:t>（2）履约验收时间：</w:t>
      </w:r>
      <w:r>
        <w:rPr>
          <w:rFonts w:hint="eastAsia" w:ascii="宋体" w:hAnsi="宋体" w:eastAsia="宋体"/>
          <w:bCs/>
          <w:szCs w:val="21"/>
          <w:highlight w:val="none"/>
          <w:u w:val="single"/>
        </w:rPr>
        <w:t>（计划于何时验收/供应商提出验收申请之日起   日内组织验收）</w:t>
      </w:r>
      <w:r>
        <w:rPr>
          <w:rFonts w:hint="eastAsia" w:ascii="宋体" w:hAnsi="宋体" w:eastAsia="宋体"/>
          <w:bCs/>
          <w:szCs w:val="21"/>
          <w:highlight w:val="none"/>
          <w:u w:val="single"/>
          <w:lang w:val="en-US" w:eastAsia="zh-CN"/>
        </w:rPr>
        <w:t xml:space="preserve"> </w:t>
      </w:r>
    </w:p>
    <w:p>
      <w:pPr>
        <w:adjustRightInd w:val="0"/>
        <w:snapToGrid w:val="0"/>
        <w:spacing w:before="0" w:beforeLines="0" w:line="400" w:lineRule="exact"/>
        <w:ind w:firstLine="420" w:firstLineChars="200"/>
        <w:rPr>
          <w:rFonts w:hint="eastAsia" w:ascii="宋体" w:hAnsi="宋体" w:eastAsia="宋体"/>
          <w:bCs/>
          <w:szCs w:val="21"/>
          <w:highlight w:val="none"/>
        </w:rPr>
      </w:pPr>
      <w:r>
        <w:rPr>
          <w:rFonts w:hint="eastAsia" w:ascii="宋体" w:hAnsi="宋体" w:eastAsia="宋体"/>
          <w:bCs/>
          <w:szCs w:val="21"/>
          <w:highlight w:val="none"/>
        </w:rPr>
        <w:t>（3）履约验收方式：</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 xml:space="preserve">一次性验收         </w:t>
      </w:r>
    </w:p>
    <w:p>
      <w:pPr>
        <w:adjustRightInd w:val="0"/>
        <w:snapToGrid w:val="0"/>
        <w:spacing w:before="0" w:beforeLines="0" w:line="400" w:lineRule="exact"/>
        <w:ind w:firstLine="0" w:firstLineChars="0"/>
        <w:rPr>
          <w:rFonts w:hint="eastAsia" w:ascii="宋体" w:hAnsi="宋体" w:eastAsia="宋体"/>
          <w:bCs/>
          <w:szCs w:val="21"/>
          <w:highlight w:val="none"/>
          <w:lang w:val="en-US" w:eastAsia="zh-CN"/>
        </w:rPr>
      </w:pPr>
      <w:r>
        <w:rPr>
          <w:rFonts w:hint="eastAsia" w:ascii="宋体" w:hAnsi="宋体" w:eastAsia="宋体"/>
          <w:bCs/>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分期/分项验收</w:t>
      </w:r>
      <w:r>
        <w:rPr>
          <w:rFonts w:hint="eastAsia" w:ascii="宋体" w:hAnsi="宋体" w:eastAsia="宋体"/>
          <w:bCs/>
          <w:szCs w:val="21"/>
          <w:highlight w:val="none"/>
          <w:lang w:eastAsia="zh-CN"/>
        </w:rPr>
        <w:t>：</w:t>
      </w:r>
      <w:r>
        <w:rPr>
          <w:rFonts w:hint="eastAsia" w:ascii="宋体" w:hAnsi="宋体" w:eastAsia="宋体"/>
          <w:bCs/>
          <w:szCs w:val="21"/>
          <w:highlight w:val="none"/>
          <w:u w:val="single"/>
        </w:rPr>
        <w:t xml:space="preserve"> </w:t>
      </w:r>
      <w:r>
        <w:rPr>
          <w:rFonts w:hint="eastAsia" w:ascii="宋体" w:hAnsi="宋体" w:eastAsia="宋体"/>
          <w:bCs/>
          <w:szCs w:val="21"/>
          <w:highlight w:val="none"/>
          <w:u w:val="single"/>
          <w:lang w:eastAsia="zh-CN"/>
        </w:rPr>
        <w:t>（应明确分期</w:t>
      </w:r>
      <w:r>
        <w:rPr>
          <w:rFonts w:hint="default" w:ascii="宋体" w:hAnsi="宋体" w:eastAsia="宋体"/>
          <w:bCs/>
          <w:szCs w:val="21"/>
          <w:highlight w:val="none"/>
          <w:u w:val="single"/>
          <w:lang w:val="en" w:eastAsia="zh-CN"/>
        </w:rPr>
        <w:t>/</w:t>
      </w:r>
      <w:r>
        <w:rPr>
          <w:rFonts w:hint="eastAsia" w:ascii="宋体" w:hAnsi="宋体" w:eastAsia="宋体"/>
          <w:bCs/>
          <w:szCs w:val="21"/>
          <w:highlight w:val="none"/>
          <w:u w:val="single"/>
          <w:lang w:val="en" w:eastAsia="zh-CN"/>
        </w:rPr>
        <w:t>分项验收的工作安排</w:t>
      </w:r>
      <w:r>
        <w:rPr>
          <w:rFonts w:hint="eastAsia" w:ascii="宋体" w:hAnsi="宋体" w:eastAsia="宋体"/>
          <w:bCs/>
          <w:szCs w:val="21"/>
          <w:highlight w:val="none"/>
          <w:u w:val="single"/>
          <w:lang w:eastAsia="zh-CN"/>
        </w:rPr>
        <w:t>）</w:t>
      </w:r>
      <w:r>
        <w:rPr>
          <w:rFonts w:hint="eastAsia" w:ascii="宋体" w:hAnsi="宋体" w:eastAsia="宋体"/>
          <w:bCs/>
          <w:szCs w:val="21"/>
          <w:highlight w:val="none"/>
          <w:u w:val="single"/>
        </w:rPr>
        <w:t xml:space="preserve"> </w:t>
      </w:r>
      <w:r>
        <w:rPr>
          <w:rFonts w:hint="eastAsia" w:ascii="宋体" w:hAnsi="宋体" w:eastAsia="宋体"/>
          <w:bCs/>
          <w:szCs w:val="21"/>
          <w:highlight w:val="none"/>
          <w:u w:val="single"/>
          <w:lang w:val="en-US" w:eastAsia="zh-CN"/>
        </w:rPr>
        <w:t xml:space="preserve"> </w:t>
      </w:r>
    </w:p>
    <w:p>
      <w:pPr>
        <w:adjustRightInd w:val="0"/>
        <w:snapToGrid w:val="0"/>
        <w:spacing w:before="0" w:beforeLines="0" w:line="400" w:lineRule="exact"/>
        <w:ind w:firstLine="420" w:firstLineChars="200"/>
        <w:rPr>
          <w:rFonts w:ascii="宋体" w:hAnsi="宋体" w:eastAsia="宋体"/>
          <w:bCs/>
          <w:szCs w:val="21"/>
          <w:highlight w:val="none"/>
        </w:rPr>
      </w:pPr>
      <w:r>
        <w:rPr>
          <w:rFonts w:hint="eastAsia" w:ascii="宋体" w:hAnsi="宋体" w:eastAsia="宋体"/>
          <w:bCs/>
          <w:szCs w:val="21"/>
          <w:highlight w:val="none"/>
        </w:rPr>
        <w:t>（4）履约验收程序：</w:t>
      </w:r>
      <w:r>
        <w:rPr>
          <w:rFonts w:hint="eastAsia" w:ascii="宋体" w:hAnsi="宋体" w:eastAsia="宋体"/>
          <w:bCs/>
          <w:szCs w:val="21"/>
          <w:highlight w:val="none"/>
          <w:u w:val="single"/>
        </w:rPr>
        <w:t xml:space="preserve">                                         </w:t>
      </w:r>
    </w:p>
    <w:p>
      <w:pPr>
        <w:adjustRightInd w:val="0"/>
        <w:snapToGrid w:val="0"/>
        <w:spacing w:before="0" w:beforeLines="0" w:line="400" w:lineRule="exact"/>
        <w:ind w:firstLine="420" w:firstLineChars="200"/>
        <w:rPr>
          <w:rFonts w:ascii="宋体" w:hAnsi="宋体" w:eastAsia="宋体"/>
          <w:bCs/>
          <w:szCs w:val="21"/>
          <w:highlight w:val="none"/>
          <w:u w:val="single"/>
        </w:rPr>
      </w:pPr>
      <w:r>
        <w:rPr>
          <w:rFonts w:hint="eastAsia" w:ascii="宋体" w:hAnsi="宋体" w:eastAsia="宋体"/>
          <w:bCs/>
          <w:szCs w:val="21"/>
          <w:highlight w:val="none"/>
        </w:rPr>
        <w:t>（5）履约验收的内容：</w:t>
      </w:r>
      <w:r>
        <w:rPr>
          <w:rFonts w:hint="eastAsia" w:ascii="宋体" w:hAnsi="宋体" w:eastAsia="宋体"/>
          <w:bCs/>
          <w:szCs w:val="21"/>
          <w:highlight w:val="none"/>
          <w:u w:val="single"/>
        </w:rPr>
        <w:t xml:space="preserve"> </w:t>
      </w:r>
      <w:r>
        <w:rPr>
          <w:rFonts w:hint="eastAsia" w:ascii="宋体" w:hAnsi="宋体" w:eastAsia="宋体"/>
          <w:bCs/>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bCs/>
          <w:szCs w:val="21"/>
          <w:highlight w:val="none"/>
          <w:u w:val="single"/>
        </w:rPr>
        <w:t xml:space="preserve">                                      </w:t>
      </w:r>
    </w:p>
    <w:p>
      <w:pPr>
        <w:adjustRightInd w:val="0"/>
        <w:snapToGrid w:val="0"/>
        <w:spacing w:before="0" w:beforeLines="0" w:line="400" w:lineRule="exact"/>
        <w:ind w:firstLine="420" w:firstLineChars="200"/>
        <w:rPr>
          <w:rFonts w:hint="eastAsia" w:ascii="宋体" w:hAnsi="宋体" w:eastAsia="宋体"/>
          <w:bCs/>
          <w:szCs w:val="21"/>
          <w:highlight w:val="none"/>
          <w:u w:val="single"/>
        </w:rPr>
      </w:pPr>
      <w:r>
        <w:rPr>
          <w:rFonts w:hint="eastAsia" w:ascii="宋体" w:hAnsi="宋体" w:eastAsia="宋体"/>
          <w:bCs/>
          <w:szCs w:val="21"/>
          <w:highlight w:val="none"/>
        </w:rPr>
        <w:t>（6）履约验收标准：</w:t>
      </w:r>
      <w:r>
        <w:rPr>
          <w:rFonts w:hint="eastAsia" w:ascii="宋体" w:hAnsi="宋体" w:eastAsia="宋体"/>
          <w:bCs/>
          <w:szCs w:val="21"/>
          <w:highlight w:val="none"/>
          <w:u w:val="single"/>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bCs/>
          <w:sz w:val="21"/>
          <w:szCs w:val="21"/>
          <w:highlight w:val="none"/>
          <w:u w:val="none"/>
          <w:lang w:val="en-US" w:eastAsia="zh-CN" w:bidi="ar-SA"/>
        </w:rPr>
        <w:t>（7）是否以采购活动中供应商提供的样品作为参考：</w:t>
      </w:r>
      <w:r>
        <w:rPr>
          <w:rFonts w:hint="eastAsia" w:ascii="宋体" w:hAnsi="宋体" w:eastAsia="宋体" w:cs="宋体"/>
          <w:sz w:val="21"/>
          <w:szCs w:val="21"/>
          <w:highlight w:val="none"/>
          <w:lang w:val="en-US" w:eastAsia="zh-CN" w:bidi="ar-SA"/>
        </w:rPr>
        <w:sym w:font="Wingdings" w:char="00A8"/>
      </w:r>
      <w:r>
        <w:rPr>
          <w:rFonts w:hint="eastAsia" w:ascii="宋体" w:hAnsi="宋体" w:eastAsia="宋体" w:cs="宋体"/>
          <w:bCs/>
          <w:sz w:val="21"/>
          <w:szCs w:val="21"/>
          <w:highlight w:val="none"/>
          <w:lang w:val="en-US" w:eastAsia="zh-CN" w:bidi="ar-SA"/>
        </w:rPr>
        <w:t xml:space="preserve">是  </w:t>
      </w:r>
      <w:r>
        <w:rPr>
          <w:rFonts w:hint="eastAsia" w:ascii="宋体" w:hAnsi="宋体" w:eastAsia="宋体" w:cs="宋体"/>
          <w:sz w:val="21"/>
          <w:szCs w:val="21"/>
          <w:highlight w:val="none"/>
          <w:lang w:val="en-US" w:eastAsia="zh-CN" w:bidi="ar-SA"/>
        </w:rPr>
        <w:sym w:font="Wingdings" w:char="00A8"/>
      </w:r>
      <w:r>
        <w:rPr>
          <w:rFonts w:hint="eastAsia" w:ascii="宋体" w:hAnsi="宋体" w:eastAsia="宋体" w:cs="宋体"/>
          <w:bCs/>
          <w:sz w:val="21"/>
          <w:szCs w:val="21"/>
          <w:highlight w:val="none"/>
          <w:lang w:val="en-US" w:eastAsia="zh-CN" w:bidi="ar-SA"/>
        </w:rPr>
        <w:t>否</w:t>
      </w:r>
    </w:p>
    <w:p>
      <w:pPr>
        <w:adjustRightInd w:val="0"/>
        <w:snapToGrid w:val="0"/>
        <w:spacing w:before="0" w:beforeLines="0" w:line="400" w:lineRule="exact"/>
        <w:ind w:firstLine="420" w:firstLineChars="200"/>
        <w:rPr>
          <w:rFonts w:hint="eastAsia" w:ascii="宋体" w:hAnsi="宋体" w:eastAsia="宋体" w:cs="宋体"/>
          <w:bCs/>
          <w:szCs w:val="21"/>
          <w:highlight w:val="none"/>
          <w:u w:val="single"/>
        </w:rPr>
      </w:pPr>
      <w:r>
        <w:rPr>
          <w:rFonts w:hint="eastAsia" w:ascii="宋体" w:hAnsi="宋体" w:eastAsia="宋体" w:cs="宋体"/>
          <w:bCs/>
          <w:szCs w:val="21"/>
          <w:highlight w:val="none"/>
        </w:rPr>
        <w:t>（8）履约验收其他事项：</w:t>
      </w:r>
      <w:r>
        <w:rPr>
          <w:rFonts w:hint="eastAsia" w:ascii="宋体" w:hAnsi="宋体" w:eastAsia="宋体" w:cs="宋体"/>
          <w:bCs/>
          <w:szCs w:val="21"/>
          <w:highlight w:val="none"/>
          <w:u w:val="single"/>
        </w:rPr>
        <w:t xml:space="preserve">      </w:t>
      </w:r>
      <w:r>
        <w:rPr>
          <w:rFonts w:hint="eastAsia" w:ascii="宋体" w:hAnsi="宋体" w:eastAsia="宋体" w:cs="宋体"/>
          <w:bCs/>
          <w:i w:val="0"/>
          <w:iCs w:val="0"/>
          <w:szCs w:val="21"/>
          <w:highlight w:val="none"/>
          <w:u w:val="single"/>
        </w:rPr>
        <w:t>（产权过户登记等）</w:t>
      </w:r>
      <w:r>
        <w:rPr>
          <w:rFonts w:hint="eastAsia" w:ascii="宋体" w:hAnsi="宋体" w:eastAsia="宋体" w:cs="宋体"/>
          <w:bCs/>
          <w:szCs w:val="21"/>
          <w:highlight w:val="none"/>
          <w:u w:val="single"/>
        </w:rPr>
        <w:t xml:space="preserve">          </w:t>
      </w:r>
    </w:p>
    <w:p>
      <w:pPr>
        <w:numPr>
          <w:ilvl w:val="0"/>
          <w:numId w:val="4"/>
        </w:numPr>
        <w:adjustRightInd w:val="0"/>
        <w:snapToGrid w:val="0"/>
        <w:spacing w:before="0" w:beforeLines="0" w:line="400" w:lineRule="exact"/>
        <w:ind w:firstLine="422" w:firstLineChars="200"/>
        <w:rPr>
          <w:rFonts w:hint="eastAsia" w:ascii="宋体" w:hAnsi="宋体" w:eastAsia="宋体"/>
          <w:b/>
          <w:szCs w:val="21"/>
          <w:highlight w:val="none"/>
        </w:rPr>
      </w:pPr>
      <w:r>
        <w:rPr>
          <w:rFonts w:hint="eastAsia" w:ascii="宋体" w:hAnsi="宋体" w:eastAsia="宋体"/>
          <w:b/>
          <w:szCs w:val="21"/>
          <w:highlight w:val="none"/>
        </w:rPr>
        <w:t>组成合同的文件</w:t>
      </w:r>
    </w:p>
    <w:p>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本协议书与下列文件一起构成合同文件，如下述文件之间有任何抵触、矛盾或歧义，应按以下顺序解释：</w:t>
      </w:r>
    </w:p>
    <w:p>
      <w:pPr>
        <w:adjustRightInd w:val="0"/>
        <w:snapToGrid w:val="0"/>
        <w:spacing w:before="0" w:beforeLines="0" w:line="400" w:lineRule="exact"/>
        <w:ind w:firstLine="420" w:firstLineChars="200"/>
        <w:rPr>
          <w:rFonts w:hint="eastAsia" w:ascii="宋体" w:hAnsi="宋体" w:eastAsia="宋体"/>
          <w:color w:val="auto"/>
          <w:szCs w:val="21"/>
          <w:highlight w:val="none"/>
          <w:lang w:eastAsia="zh-CN"/>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政府采购</w:t>
      </w:r>
      <w:r>
        <w:rPr>
          <w:rFonts w:hint="eastAsia" w:ascii="宋体" w:hAnsi="宋体" w:eastAsia="宋体"/>
          <w:color w:val="auto"/>
          <w:szCs w:val="21"/>
          <w:highlight w:val="none"/>
        </w:rPr>
        <w:t>合同协议书及其变更、补充</w:t>
      </w:r>
      <w:r>
        <w:rPr>
          <w:rFonts w:hint="eastAsia" w:ascii="宋体" w:hAnsi="宋体" w:eastAsia="宋体"/>
          <w:color w:val="auto"/>
          <w:szCs w:val="21"/>
          <w:highlight w:val="none"/>
          <w:lang w:eastAsia="zh-CN"/>
        </w:rPr>
        <w:t>协议</w:t>
      </w:r>
    </w:p>
    <w:p>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w:t>
      </w:r>
      <w:r>
        <w:rPr>
          <w:rFonts w:hint="eastAsia" w:ascii="宋体" w:hAnsi="宋体" w:eastAsia="宋体"/>
          <w:szCs w:val="21"/>
          <w:highlight w:val="none"/>
          <w:lang w:val="en-US" w:eastAsia="zh-CN"/>
        </w:rPr>
        <w:t>2</w:t>
      </w:r>
      <w:r>
        <w:rPr>
          <w:rFonts w:hint="eastAsia" w:ascii="宋体" w:hAnsi="宋体" w:eastAsia="宋体"/>
          <w:szCs w:val="21"/>
          <w:highlight w:val="none"/>
        </w:rPr>
        <w:t>）政府采购合同专用条款</w:t>
      </w:r>
    </w:p>
    <w:p>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w:t>
      </w:r>
      <w:r>
        <w:rPr>
          <w:rFonts w:hint="eastAsia" w:ascii="宋体" w:hAnsi="宋体" w:eastAsia="宋体"/>
          <w:szCs w:val="21"/>
          <w:highlight w:val="none"/>
          <w:lang w:val="en-US" w:eastAsia="zh-CN"/>
        </w:rPr>
        <w:t>3</w:t>
      </w:r>
      <w:r>
        <w:rPr>
          <w:rFonts w:hint="eastAsia" w:ascii="宋体" w:hAnsi="宋体" w:eastAsia="宋体"/>
          <w:szCs w:val="21"/>
          <w:highlight w:val="none"/>
        </w:rPr>
        <w:t>）政府采购合同通用条款</w:t>
      </w:r>
    </w:p>
    <w:p>
      <w:pPr>
        <w:adjustRightInd w:val="0"/>
        <w:snapToGrid w:val="0"/>
        <w:spacing w:before="0" w:beforeLines="0" w:line="4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）中标</w:t>
      </w:r>
      <w:r>
        <w:rPr>
          <w:rFonts w:hint="eastAsia" w:ascii="宋体" w:hAnsi="宋体" w:eastAsia="宋体"/>
          <w:color w:val="auto"/>
          <w:szCs w:val="21"/>
          <w:highlight w:val="none"/>
          <w:lang w:eastAsia="zh-CN"/>
        </w:rPr>
        <w:t>（成交）</w:t>
      </w:r>
      <w:r>
        <w:rPr>
          <w:rFonts w:hint="eastAsia" w:ascii="宋体" w:hAnsi="宋体" w:eastAsia="宋体"/>
          <w:color w:val="auto"/>
          <w:szCs w:val="21"/>
          <w:highlight w:val="none"/>
        </w:rPr>
        <w:t>通知书</w:t>
      </w:r>
    </w:p>
    <w:p>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w:t>
      </w:r>
      <w:r>
        <w:rPr>
          <w:rFonts w:hint="eastAsia" w:ascii="宋体" w:hAnsi="宋体" w:eastAsia="宋体"/>
          <w:szCs w:val="21"/>
          <w:highlight w:val="none"/>
          <w:lang w:val="en-US" w:eastAsia="zh-CN"/>
        </w:rPr>
        <w:t>5</w:t>
      </w:r>
      <w:r>
        <w:rPr>
          <w:rFonts w:hint="eastAsia" w:ascii="宋体" w:hAnsi="宋体" w:eastAsia="宋体"/>
          <w:szCs w:val="21"/>
          <w:highlight w:val="none"/>
        </w:rPr>
        <w:t>）投标（响应）文件</w:t>
      </w:r>
    </w:p>
    <w:p>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（6）采购文件</w:t>
      </w:r>
    </w:p>
    <w:p>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（7）有关技术文件，图纸</w:t>
      </w:r>
    </w:p>
    <w:p>
      <w:pPr>
        <w:autoSpaceDE w:val="0"/>
        <w:autoSpaceDN w:val="0"/>
        <w:adjustRightInd w:val="0"/>
        <w:spacing w:beforeLines="0"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bidi="ar-SA"/>
        </w:rPr>
        <w:t>（8）</w:t>
      </w:r>
      <w:r>
        <w:rPr>
          <w:rFonts w:hint="eastAsia" w:ascii="宋体" w:hAnsi="宋体" w:eastAsia="宋体" w:cs="宋体"/>
          <w:bCs w:val="0"/>
          <w:color w:val="000000"/>
          <w:kern w:val="2"/>
          <w:sz w:val="21"/>
          <w:szCs w:val="21"/>
          <w:highlight w:val="none"/>
          <w:lang w:val="en-US" w:eastAsia="zh-CN" w:bidi="ar-SA"/>
        </w:rPr>
        <w:t>国家法律、行政法规和规章制度规定或合同约定的作为合同组成部分的其他文件</w:t>
      </w:r>
    </w:p>
    <w:p>
      <w:pPr>
        <w:numPr>
          <w:ilvl w:val="0"/>
          <w:numId w:val="4"/>
        </w:numPr>
        <w:adjustRightInd w:val="0"/>
        <w:snapToGrid w:val="0"/>
        <w:spacing w:before="0" w:beforeLines="0" w:line="400" w:lineRule="exact"/>
        <w:ind w:firstLine="422" w:firstLineChars="200"/>
        <w:rPr>
          <w:rFonts w:hint="eastAsia" w:ascii="宋体" w:hAnsi="宋体" w:eastAsia="宋体"/>
          <w:b/>
          <w:szCs w:val="21"/>
          <w:highlight w:val="none"/>
        </w:rPr>
      </w:pPr>
      <w:r>
        <w:rPr>
          <w:rFonts w:hint="eastAsia" w:ascii="宋体" w:hAnsi="宋体" w:eastAsia="宋体"/>
          <w:b/>
          <w:szCs w:val="21"/>
          <w:highlight w:val="none"/>
        </w:rPr>
        <w:t>合同生效</w:t>
      </w:r>
    </w:p>
    <w:p>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本合同自</w:t>
      </w:r>
      <w:r>
        <w:rPr>
          <w:rFonts w:hint="eastAsia" w:ascii="宋体" w:hAnsi="宋体" w:eastAsia="宋体"/>
          <w:szCs w:val="21"/>
          <w:highlight w:val="none"/>
          <w:u w:val="single"/>
        </w:rPr>
        <w:t xml:space="preserve">                             </w:t>
      </w:r>
      <w:r>
        <w:rPr>
          <w:rFonts w:hint="eastAsia" w:ascii="宋体" w:hAnsi="宋体" w:eastAsia="宋体"/>
          <w:szCs w:val="21"/>
          <w:highlight w:val="none"/>
        </w:rPr>
        <w:t>生效。</w:t>
      </w:r>
    </w:p>
    <w:p>
      <w:pPr>
        <w:numPr>
          <w:ilvl w:val="0"/>
          <w:numId w:val="4"/>
        </w:numPr>
        <w:adjustRightInd w:val="0"/>
        <w:snapToGrid w:val="0"/>
        <w:spacing w:before="0" w:beforeLines="0" w:line="400" w:lineRule="exact"/>
        <w:ind w:firstLine="422" w:firstLineChars="200"/>
        <w:rPr>
          <w:rFonts w:hint="eastAsia" w:ascii="宋体" w:hAnsi="宋体" w:eastAsia="宋体"/>
          <w:b/>
          <w:szCs w:val="21"/>
          <w:highlight w:val="none"/>
        </w:rPr>
      </w:pPr>
      <w:r>
        <w:rPr>
          <w:rFonts w:hint="eastAsia" w:ascii="宋体" w:hAnsi="宋体" w:eastAsia="宋体"/>
          <w:b/>
          <w:szCs w:val="21"/>
          <w:highlight w:val="none"/>
        </w:rPr>
        <w:t>合同份数</w:t>
      </w:r>
    </w:p>
    <w:p>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本合同一式</w:t>
      </w:r>
      <w:r>
        <w:rPr>
          <w:rFonts w:hint="eastAsia" w:ascii="宋体" w:hAnsi="宋体" w:eastAsia="宋体"/>
          <w:szCs w:val="21"/>
          <w:highlight w:val="none"/>
          <w:u w:val="single"/>
        </w:rPr>
        <w:t xml:space="preserve">    </w:t>
      </w:r>
      <w:r>
        <w:rPr>
          <w:rFonts w:hint="eastAsia" w:ascii="宋体" w:hAnsi="宋体" w:eastAsia="宋体"/>
          <w:szCs w:val="21"/>
          <w:highlight w:val="none"/>
        </w:rPr>
        <w:t>份，</w:t>
      </w:r>
      <w:r>
        <w:rPr>
          <w:rFonts w:hint="eastAsia" w:ascii="宋体" w:hAnsi="宋体" w:eastAsia="宋体"/>
          <w:szCs w:val="21"/>
          <w:highlight w:val="none"/>
          <w:lang w:eastAsia="zh-CN"/>
        </w:rPr>
        <w:t>甲方</w:t>
      </w:r>
      <w:r>
        <w:rPr>
          <w:rFonts w:hint="eastAsia" w:ascii="宋体" w:hAnsi="宋体" w:eastAsia="宋体"/>
          <w:szCs w:val="21"/>
          <w:highlight w:val="none"/>
        </w:rPr>
        <w:t>执</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rPr>
        <w:t>份，</w:t>
      </w:r>
      <w:r>
        <w:rPr>
          <w:rFonts w:hint="eastAsia" w:ascii="宋体" w:hAnsi="宋体" w:eastAsia="宋体"/>
          <w:szCs w:val="21"/>
          <w:highlight w:val="none"/>
          <w:lang w:eastAsia="zh-CN"/>
        </w:rPr>
        <w:t>乙方</w:t>
      </w:r>
      <w:r>
        <w:rPr>
          <w:rFonts w:hint="eastAsia" w:ascii="宋体" w:hAnsi="宋体" w:eastAsia="宋体"/>
          <w:szCs w:val="21"/>
          <w:highlight w:val="none"/>
        </w:rPr>
        <w:t>执</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rPr>
        <w:t>份，均具有同等法律效力。</w:t>
      </w:r>
    </w:p>
    <w:p>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合同订立时间：</w:t>
      </w:r>
      <w:r>
        <w:rPr>
          <w:rFonts w:hint="eastAsia" w:ascii="宋体" w:hAnsi="宋体" w:eastAsia="宋体"/>
          <w:szCs w:val="21"/>
          <w:highlight w:val="none"/>
          <w:u w:val="single"/>
        </w:rPr>
        <w:t xml:space="preserve">         </w:t>
      </w:r>
      <w:r>
        <w:rPr>
          <w:rFonts w:hint="eastAsia" w:ascii="宋体" w:hAnsi="宋体" w:eastAsia="宋体"/>
          <w:szCs w:val="21"/>
          <w:highlight w:val="none"/>
        </w:rPr>
        <w:t>年</w:t>
      </w:r>
      <w:r>
        <w:rPr>
          <w:rFonts w:hint="eastAsia" w:ascii="宋体" w:hAnsi="宋体" w:eastAsia="宋体"/>
          <w:szCs w:val="21"/>
          <w:highlight w:val="none"/>
          <w:u w:val="single"/>
        </w:rPr>
        <w:t xml:space="preserve">      </w:t>
      </w:r>
      <w:r>
        <w:rPr>
          <w:rFonts w:hint="eastAsia" w:ascii="宋体" w:hAnsi="宋体" w:eastAsia="宋体"/>
          <w:szCs w:val="21"/>
          <w:highlight w:val="none"/>
        </w:rPr>
        <w:t>月</w:t>
      </w:r>
      <w:r>
        <w:rPr>
          <w:rFonts w:hint="eastAsia" w:ascii="宋体" w:hAnsi="宋体" w:eastAsia="宋体"/>
          <w:szCs w:val="21"/>
          <w:highlight w:val="none"/>
          <w:u w:val="single"/>
        </w:rPr>
        <w:t xml:space="preserve">      </w:t>
      </w:r>
      <w:r>
        <w:rPr>
          <w:rFonts w:hint="eastAsia" w:ascii="宋体" w:hAnsi="宋体" w:eastAsia="宋体"/>
          <w:szCs w:val="21"/>
          <w:highlight w:val="none"/>
        </w:rPr>
        <w:t>日</w:t>
      </w:r>
    </w:p>
    <w:p>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合同订立地点：</w:t>
      </w:r>
      <w:r>
        <w:rPr>
          <w:rFonts w:hint="eastAsia" w:ascii="宋体" w:hAnsi="宋体" w:eastAsia="宋体"/>
          <w:szCs w:val="21"/>
          <w:highlight w:val="none"/>
          <w:u w:val="single"/>
        </w:rPr>
        <w:t xml:space="preserve">                           </w:t>
      </w:r>
    </w:p>
    <w:p>
      <w:pPr>
        <w:adjustRightInd w:val="0"/>
        <w:snapToGrid w:val="0"/>
        <w:spacing w:before="0" w:beforeLines="0" w:line="400" w:lineRule="exact"/>
        <w:ind w:firstLine="420" w:firstLineChars="200"/>
        <w:rPr>
          <w:rFonts w:eastAsia="宋体"/>
          <w:highlight w:val="none"/>
        </w:rPr>
      </w:pPr>
      <w:r>
        <w:rPr>
          <w:rFonts w:hint="eastAsia" w:ascii="宋体" w:hAnsi="宋体" w:eastAsia="宋体"/>
          <w:szCs w:val="21"/>
          <w:highlight w:val="none"/>
        </w:rPr>
        <w:t>附件：具体标</w:t>
      </w:r>
      <w:r>
        <w:rPr>
          <w:rFonts w:hint="eastAsia" w:ascii="宋体" w:hAnsi="宋体" w:eastAsia="宋体"/>
          <w:szCs w:val="21"/>
          <w:highlight w:val="none"/>
          <w:lang w:eastAsia="zh-CN"/>
        </w:rPr>
        <w:t>的及其</w:t>
      </w:r>
      <w:r>
        <w:rPr>
          <w:rFonts w:hint="eastAsia" w:ascii="宋体" w:hAnsi="宋体" w:eastAsia="宋体"/>
          <w:szCs w:val="21"/>
          <w:highlight w:val="none"/>
          <w:u w:val="none"/>
          <w:lang w:val="en-US" w:eastAsia="zh-CN"/>
        </w:rPr>
        <w:t>技术要求和商务要求</w:t>
      </w:r>
      <w:r>
        <w:rPr>
          <w:rFonts w:hint="eastAsia" w:ascii="宋体" w:hAnsi="宋体" w:eastAsia="宋体"/>
          <w:szCs w:val="21"/>
          <w:highlight w:val="none"/>
        </w:rPr>
        <w:t>、联合协议、分包</w:t>
      </w:r>
      <w:r>
        <w:rPr>
          <w:rFonts w:hint="eastAsia" w:ascii="宋体" w:hAnsi="宋体" w:eastAsia="宋体"/>
          <w:szCs w:val="21"/>
          <w:highlight w:val="none"/>
          <w:lang w:eastAsia="zh-CN"/>
        </w:rPr>
        <w:t>意向</w:t>
      </w:r>
      <w:r>
        <w:rPr>
          <w:rFonts w:hint="eastAsia" w:ascii="宋体" w:hAnsi="宋体" w:eastAsia="宋体"/>
          <w:szCs w:val="21"/>
          <w:highlight w:val="none"/>
        </w:rPr>
        <w:t>协议等。</w:t>
      </w:r>
    </w:p>
    <w:p>
      <w:pPr>
        <w:rPr>
          <w:rFonts w:hint="eastAsia" w:eastAsia="宋体"/>
          <w:highlight w:val="none"/>
        </w:rPr>
      </w:pPr>
      <w:r>
        <w:rPr>
          <w:rFonts w:hint="eastAsia" w:eastAsia="宋体"/>
          <w:highlight w:val="none"/>
        </w:rPr>
        <w:br w:type="page"/>
      </w:r>
    </w:p>
    <w:p>
      <w:pPr>
        <w:widowControl w:val="0"/>
        <w:ind w:firstLine="420" w:firstLineChars="200"/>
        <w:jc w:val="both"/>
        <w:rPr>
          <w:rFonts w:hint="eastAsia" w:ascii="Times New Roman" w:hAnsi="Times New Roman" w:eastAsia="宋体" w:cs="Times New Roman"/>
          <w:kern w:val="2"/>
          <w:sz w:val="21"/>
          <w:szCs w:val="21"/>
          <w:highlight w:val="none"/>
          <w:lang w:val="en-US" w:eastAsia="zh-CN" w:bidi="ar-SA"/>
        </w:rPr>
      </w:pPr>
    </w:p>
    <w:tbl>
      <w:tblPr>
        <w:tblStyle w:val="16"/>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pPr>
              <w:adjustRightInd w:val="0"/>
              <w:snapToGrid w:val="0"/>
              <w:spacing w:line="300" w:lineRule="exact"/>
              <w:jc w:val="center"/>
              <w:rPr>
                <w:rFonts w:eastAsia="宋体"/>
                <w:highlight w:val="none"/>
              </w:rPr>
            </w:pPr>
            <w:r>
              <w:rPr>
                <w:rFonts w:eastAsia="宋体"/>
                <w:szCs w:val="21"/>
                <w:highlight w:val="none"/>
              </w:rPr>
              <w:t>甲方</w:t>
            </w:r>
            <w:r>
              <w:rPr>
                <w:rFonts w:hint="eastAsia" w:eastAsia="宋体"/>
                <w:szCs w:val="21"/>
                <w:highlight w:val="none"/>
              </w:rPr>
              <w:t>（采购人</w:t>
            </w:r>
            <w:r>
              <w:rPr>
                <w:rFonts w:hint="eastAsia" w:ascii="宋体" w:hAnsi="宋体" w:eastAsia="宋体"/>
                <w:szCs w:val="21"/>
                <w:highlight w:val="none"/>
                <w:lang w:eastAsia="zh-CN"/>
              </w:rPr>
              <w:t>、受采购人委托签订合同的单位</w:t>
            </w:r>
            <w:r>
              <w:rPr>
                <w:rFonts w:hint="eastAsia" w:ascii="宋体" w:hAnsi="宋体" w:eastAsia="宋体"/>
                <w:szCs w:val="21"/>
                <w:highlight w:val="none"/>
              </w:rPr>
              <w:t>或</w:t>
            </w:r>
            <w:r>
              <w:rPr>
                <w:rFonts w:hint="eastAsia" w:eastAsia="宋体"/>
                <w:szCs w:val="21"/>
                <w:highlight w:val="none"/>
              </w:rPr>
              <w:t>采购文件约定的合同甲方）</w:t>
            </w:r>
          </w:p>
        </w:tc>
        <w:tc>
          <w:tcPr>
            <w:tcW w:w="4095" w:type="dxa"/>
            <w:gridSpan w:val="2"/>
            <w:tcBorders>
              <w:left w:val="single" w:color="auto" w:sz="2" w:space="0"/>
              <w:bottom w:val="single" w:color="auto" w:sz="2" w:space="0"/>
            </w:tcBorders>
            <w:vAlign w:val="center"/>
          </w:tcPr>
          <w:p>
            <w:pPr>
              <w:adjustRightInd w:val="0"/>
              <w:snapToGrid w:val="0"/>
              <w:spacing w:line="300" w:lineRule="exact"/>
              <w:jc w:val="center"/>
              <w:rPr>
                <w:rFonts w:eastAsia="宋体"/>
                <w:highlight w:val="none"/>
              </w:rPr>
            </w:pPr>
            <w:r>
              <w:rPr>
                <w:rFonts w:eastAsia="宋体"/>
                <w:szCs w:val="21"/>
                <w:highlight w:val="none"/>
              </w:rPr>
              <w:t>乙方</w:t>
            </w:r>
            <w:r>
              <w:rPr>
                <w:rFonts w:hint="eastAsia" w:eastAsia="宋体"/>
                <w:szCs w:val="21"/>
                <w:highlight w:val="none"/>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r>
              <w:rPr>
                <w:rFonts w:eastAsia="宋体"/>
                <w:szCs w:val="21"/>
                <w:highlight w:val="none"/>
              </w:rPr>
              <w:t>单位名称</w:t>
            </w:r>
            <w:r>
              <w:rPr>
                <w:rFonts w:hint="eastAsia" w:eastAsia="宋体"/>
                <w:szCs w:val="21"/>
                <w:highlight w:val="none"/>
              </w:rPr>
              <w:t>（公章</w:t>
            </w:r>
            <w:r>
              <w:rPr>
                <w:rFonts w:hint="eastAsia" w:eastAsia="宋体"/>
                <w:szCs w:val="21"/>
                <w:highlight w:val="none"/>
                <w:lang w:eastAsia="zh-CN"/>
              </w:rPr>
              <w:t>或合同章</w:t>
            </w:r>
            <w:r>
              <w:rPr>
                <w:rFonts w:hint="eastAsia" w:eastAsia="宋体"/>
                <w:szCs w:val="21"/>
                <w:highlight w:val="none"/>
              </w:rPr>
              <w:t>）</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r>
              <w:rPr>
                <w:rFonts w:eastAsia="宋体"/>
                <w:szCs w:val="21"/>
                <w:highlight w:val="none"/>
              </w:rPr>
              <w:t>单位名称</w:t>
            </w:r>
            <w:r>
              <w:rPr>
                <w:rFonts w:hint="eastAsia" w:eastAsia="宋体"/>
                <w:szCs w:val="21"/>
                <w:highlight w:val="none"/>
              </w:rPr>
              <w:t>（公章</w:t>
            </w:r>
            <w:r>
              <w:rPr>
                <w:rFonts w:hint="eastAsia" w:eastAsia="宋体"/>
                <w:szCs w:val="21"/>
                <w:highlight w:val="none"/>
                <w:lang w:eastAsia="zh-CN"/>
              </w:rPr>
              <w:t>或合同章</w:t>
            </w:r>
            <w:r>
              <w:rPr>
                <w:rFonts w:hint="eastAsia" w:eastAsia="宋体"/>
                <w:szCs w:val="21"/>
                <w:highlight w:val="none"/>
              </w:rPr>
              <w:t>）</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r>
              <w:rPr>
                <w:rFonts w:eastAsia="宋体"/>
                <w:szCs w:val="21"/>
                <w:highlight w:val="none"/>
              </w:rPr>
              <w:t>法定代表人</w:t>
            </w:r>
          </w:p>
          <w:p>
            <w:pPr>
              <w:adjustRightInd w:val="0"/>
              <w:snapToGrid w:val="0"/>
              <w:spacing w:line="300" w:lineRule="exact"/>
              <w:ind w:firstLine="100" w:firstLineChars="48"/>
              <w:jc w:val="center"/>
              <w:rPr>
                <w:rFonts w:eastAsia="宋体"/>
                <w:szCs w:val="21"/>
                <w:highlight w:val="none"/>
              </w:rPr>
            </w:pPr>
            <w:r>
              <w:rPr>
                <w:rFonts w:hint="eastAsia" w:eastAsia="宋体"/>
                <w:szCs w:val="21"/>
                <w:highlight w:val="none"/>
              </w:rPr>
              <w:t>或其</w:t>
            </w:r>
            <w:r>
              <w:rPr>
                <w:rFonts w:eastAsia="宋体"/>
                <w:szCs w:val="21"/>
                <w:highlight w:val="none"/>
              </w:rPr>
              <w:t>委托代理人</w:t>
            </w:r>
            <w:r>
              <w:rPr>
                <w:rFonts w:hint="eastAsia" w:eastAsia="宋体"/>
                <w:szCs w:val="21"/>
                <w:highlight w:val="none"/>
              </w:rPr>
              <w:t>（签章）</w:t>
            </w:r>
          </w:p>
        </w:tc>
        <w:tc>
          <w:tcPr>
            <w:tcW w:w="2412"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r>
              <w:rPr>
                <w:rFonts w:eastAsia="宋体"/>
                <w:szCs w:val="21"/>
                <w:highlight w:val="none"/>
              </w:rPr>
              <w:t>法定代表人</w:t>
            </w:r>
          </w:p>
          <w:p>
            <w:pPr>
              <w:adjustRightInd w:val="0"/>
              <w:snapToGrid w:val="0"/>
              <w:spacing w:line="300" w:lineRule="exact"/>
              <w:jc w:val="center"/>
              <w:rPr>
                <w:rFonts w:eastAsia="宋体"/>
                <w:szCs w:val="21"/>
                <w:highlight w:val="none"/>
              </w:rPr>
            </w:pPr>
            <w:r>
              <w:rPr>
                <w:rFonts w:hint="eastAsia" w:eastAsia="宋体"/>
                <w:szCs w:val="21"/>
                <w:highlight w:val="none"/>
              </w:rPr>
              <w:t>或其</w:t>
            </w:r>
            <w:r>
              <w:rPr>
                <w:rFonts w:eastAsia="宋体"/>
                <w:szCs w:val="21"/>
                <w:highlight w:val="none"/>
              </w:rPr>
              <w:t>委托代理人</w:t>
            </w:r>
            <w:r>
              <w:rPr>
                <w:rFonts w:hint="eastAsia" w:eastAsia="宋体"/>
                <w:szCs w:val="21"/>
                <w:highlight w:val="none"/>
              </w:rPr>
              <w:t>（签章）</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p>
        </w:tc>
        <w:tc>
          <w:tcPr>
            <w:tcW w:w="2412"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highlight w:val="none"/>
                <w:lang w:eastAsia="zh-CN"/>
              </w:rPr>
            </w:pPr>
            <w:r>
              <w:rPr>
                <w:rFonts w:hint="eastAsia" w:eastAsia="宋体"/>
                <w:szCs w:val="21"/>
                <w:highlight w:val="none"/>
                <w:lang w:eastAsia="zh-CN"/>
              </w:rPr>
              <w:t>拥有者性别</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highlight w:val="none"/>
                <w:lang w:eastAsia="zh-CN"/>
              </w:rPr>
            </w:pPr>
            <w:r>
              <w:rPr>
                <w:rFonts w:hint="eastAsia" w:eastAsia="宋体"/>
                <w:szCs w:val="21"/>
                <w:highlight w:val="none"/>
                <w:lang w:eastAsia="zh-CN"/>
              </w:rPr>
              <w:t>住</w:t>
            </w:r>
            <w:r>
              <w:rPr>
                <w:rFonts w:hint="eastAsia" w:eastAsia="宋体"/>
                <w:szCs w:val="21"/>
                <w:highlight w:val="none"/>
                <w:lang w:val="en-US" w:eastAsia="zh-CN"/>
              </w:rPr>
              <w:t xml:space="preserve">  </w:t>
            </w:r>
            <w:r>
              <w:rPr>
                <w:rFonts w:hint="eastAsia" w:eastAsia="宋体"/>
                <w:szCs w:val="21"/>
                <w:highlight w:val="none"/>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highlight w:val="none"/>
                <w:lang w:eastAsia="zh-CN"/>
              </w:rPr>
            </w:pPr>
            <w:r>
              <w:rPr>
                <w:rFonts w:hint="eastAsia" w:eastAsia="宋体"/>
                <w:szCs w:val="21"/>
                <w:highlight w:val="none"/>
                <w:lang w:eastAsia="zh-CN"/>
              </w:rPr>
              <w:t>住</w:t>
            </w:r>
            <w:r>
              <w:rPr>
                <w:rFonts w:hint="eastAsia" w:eastAsia="宋体"/>
                <w:szCs w:val="21"/>
                <w:highlight w:val="none"/>
                <w:lang w:val="en-US" w:eastAsia="zh-CN"/>
              </w:rPr>
              <w:t xml:space="preserve">  </w:t>
            </w:r>
            <w:r>
              <w:rPr>
                <w:rFonts w:hint="eastAsia" w:eastAsia="宋体"/>
                <w:szCs w:val="21"/>
                <w:highlight w:val="none"/>
                <w:lang w:eastAsia="zh-CN"/>
              </w:rPr>
              <w:t>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r>
              <w:rPr>
                <w:rFonts w:eastAsia="宋体"/>
                <w:szCs w:val="21"/>
                <w:highlight w:val="none"/>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r>
              <w:rPr>
                <w:rFonts w:eastAsia="宋体"/>
                <w:szCs w:val="21"/>
                <w:highlight w:val="none"/>
              </w:rPr>
              <w:t>联 系 人</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r>
              <w:rPr>
                <w:rFonts w:eastAsia="宋体"/>
                <w:szCs w:val="21"/>
                <w:highlight w:val="none"/>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r>
              <w:rPr>
                <w:rFonts w:eastAsia="宋体"/>
                <w:szCs w:val="21"/>
                <w:highlight w:val="none"/>
              </w:rPr>
              <w:t>联系电话</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highlight w:val="none"/>
                <w:lang w:eastAsia="zh-CN"/>
              </w:rPr>
            </w:pPr>
            <w:r>
              <w:rPr>
                <w:rFonts w:hint="eastAsia" w:eastAsia="宋体"/>
                <w:szCs w:val="21"/>
                <w:highlight w:val="none"/>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r>
              <w:rPr>
                <w:rFonts w:hint="eastAsia" w:eastAsia="宋体"/>
                <w:szCs w:val="21"/>
                <w:highlight w:val="none"/>
                <w:lang w:eastAsia="zh-CN"/>
              </w:rPr>
              <w:t>通信地址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r>
              <w:rPr>
                <w:rFonts w:eastAsia="宋体"/>
                <w:szCs w:val="21"/>
                <w:highlight w:val="none"/>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r>
              <w:rPr>
                <w:rFonts w:eastAsia="宋体"/>
                <w:szCs w:val="21"/>
                <w:highlight w:val="none"/>
              </w:rPr>
              <w:t>邮政编码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r>
              <w:rPr>
                <w:rFonts w:hint="eastAsia" w:eastAsia="宋体"/>
                <w:szCs w:val="21"/>
                <w:highlight w:val="none"/>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r>
              <w:rPr>
                <w:rFonts w:hint="eastAsia" w:eastAsia="宋体"/>
                <w:szCs w:val="21"/>
                <w:highlight w:val="none"/>
              </w:rPr>
              <w:t>电子邮箱</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r>
              <w:rPr>
                <w:rFonts w:hint="eastAsia" w:eastAsia="宋体"/>
                <w:szCs w:val="21"/>
                <w:highlight w:val="none"/>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r>
              <w:rPr>
                <w:rFonts w:hint="eastAsia" w:eastAsia="宋体"/>
                <w:szCs w:val="21"/>
                <w:highlight w:val="none"/>
              </w:rPr>
              <w:t>统一社会信用代码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r>
              <w:rPr>
                <w:rFonts w:eastAsia="宋体"/>
                <w:szCs w:val="21"/>
                <w:highlight w:val="none"/>
              </w:rPr>
              <w:t>开户名称</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r>
              <w:rPr>
                <w:rFonts w:eastAsia="宋体"/>
                <w:szCs w:val="21"/>
                <w:highlight w:val="none"/>
              </w:rPr>
              <w:t>开户银行</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r>
              <w:rPr>
                <w:rFonts w:eastAsia="宋体"/>
                <w:szCs w:val="21"/>
                <w:highlight w:val="none"/>
              </w:rPr>
              <w:t>银行账号</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pPr>
              <w:widowControl w:val="0"/>
              <w:adjustRightInd w:val="0"/>
              <w:snapToGrid w:val="0"/>
              <w:spacing w:before="156" w:beforeLines="50" w:after="0" w:line="360" w:lineRule="auto"/>
              <w:ind w:left="0" w:leftChars="0"/>
              <w:jc w:val="left"/>
              <w:rPr>
                <w:rFonts w:ascii="Times New Roman" w:hAnsi="Times New Roman" w:eastAsia="宋体" w:cs="Times New Roman"/>
                <w:spacing w:val="20"/>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注：涉及联合体或其他合同主体的信息应按上表格式加列。</w:t>
            </w:r>
          </w:p>
        </w:tc>
      </w:tr>
    </w:tbl>
    <w:p>
      <w:pPr>
        <w:keepNext w:val="0"/>
        <w:keepLines w:val="0"/>
        <w:pageBreakBefore w:val="0"/>
        <w:widowControl w:val="0"/>
        <w:kinsoku/>
        <w:wordWrap/>
        <w:overflowPunct/>
        <w:topLinePunct w:val="0"/>
        <w:autoSpaceDE/>
        <w:autoSpaceDN/>
        <w:bidi w:val="0"/>
        <w:adjustRightInd/>
        <w:snapToGrid/>
        <w:ind w:firstLine="527" w:firstLineChars="250"/>
        <w:textAlignment w:val="auto"/>
        <w:outlineLvl w:val="9"/>
        <w:rPr>
          <w:rFonts w:ascii="宋体" w:hAnsi="宋体"/>
          <w:b/>
          <w:szCs w:val="21"/>
          <w:highlight w:val="none"/>
        </w:rPr>
      </w:pPr>
    </w:p>
    <w:p>
      <w:pPr>
        <w:keepNext/>
        <w:keepLines/>
        <w:widowControl w:val="0"/>
        <w:adjustRightInd w:val="0"/>
        <w:snapToGrid w:val="0"/>
        <w:spacing w:before="156" w:beforeLines="50" w:line="360" w:lineRule="auto"/>
        <w:jc w:val="center"/>
        <w:outlineLvl w:val="1"/>
        <w:rPr>
          <w:rFonts w:ascii="黑体" w:hAnsi="黑体" w:eastAsia="黑体" w:cs="Times New Roman"/>
          <w:b/>
          <w:bCs/>
          <w:kern w:val="2"/>
          <w:sz w:val="28"/>
          <w:szCs w:val="28"/>
          <w:highlight w:val="none"/>
          <w:lang w:val="en-US" w:eastAsia="zh-CN" w:bidi="ar-SA"/>
        </w:rPr>
      </w:pPr>
      <w:bookmarkStart w:id="31" w:name="_Toc27624"/>
      <w:r>
        <w:rPr>
          <w:rFonts w:hint="eastAsia" w:ascii="黑体" w:hAnsi="黑体" w:eastAsia="黑体" w:cs="Times New Roman"/>
          <w:b w:val="0"/>
          <w:bCs w:val="0"/>
          <w:kern w:val="2"/>
          <w:sz w:val="28"/>
          <w:szCs w:val="28"/>
          <w:highlight w:val="none"/>
          <w:lang w:val="en-US" w:eastAsia="zh-CN" w:bidi="ar-SA"/>
        </w:rPr>
        <w:t>第二节 政府采购合同通用条款</w:t>
      </w:r>
      <w:bookmarkEnd w:id="31"/>
    </w:p>
    <w:p>
      <w:pPr>
        <w:tabs>
          <w:tab w:val="left" w:pos="8820"/>
          <w:tab w:val="left" w:pos="9345"/>
          <w:tab w:val="left" w:pos="9765"/>
        </w:tabs>
        <w:adjustRightInd w:val="0"/>
        <w:snapToGrid w:val="0"/>
        <w:spacing w:before="0" w:line="400" w:lineRule="exact"/>
        <w:jc w:val="left"/>
        <w:rPr>
          <w:rFonts w:ascii="宋体" w:hAnsi="宋体" w:eastAsia="宋体"/>
          <w:b/>
          <w:bCs/>
          <w:sz w:val="24"/>
          <w:highlight w:val="none"/>
        </w:rPr>
      </w:pPr>
      <w:r>
        <w:rPr>
          <w:rFonts w:hint="eastAsia" w:ascii="宋体" w:hAnsi="宋体" w:eastAsia="宋体"/>
          <w:b/>
          <w:sz w:val="24"/>
          <w:highlight w:val="none"/>
        </w:rPr>
        <w:t>1.</w:t>
      </w:r>
      <w:r>
        <w:rPr>
          <w:rFonts w:hint="eastAsia" w:ascii="宋体" w:hAnsi="宋体" w:eastAsia="宋体"/>
          <w:b/>
          <w:sz w:val="24"/>
          <w:highlight w:val="none"/>
          <w:lang w:val="en-US" w:eastAsia="zh-CN"/>
        </w:rPr>
        <w:t xml:space="preserve"> </w:t>
      </w:r>
      <w:r>
        <w:rPr>
          <w:rFonts w:hint="eastAsia" w:ascii="宋体" w:hAnsi="宋体" w:eastAsia="宋体"/>
          <w:b/>
          <w:bCs/>
          <w:sz w:val="24"/>
          <w:highlight w:val="none"/>
        </w:rPr>
        <w:t>定义</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1.1合同当事人</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（1）采购人（以下称甲方）是指使用财政性资金，通过政府采购方式向供应商购买货物</w:t>
      </w:r>
      <w:r>
        <w:rPr>
          <w:rFonts w:hint="eastAsia" w:ascii="宋体" w:hAnsi="宋体" w:eastAsia="宋体"/>
          <w:color w:val="auto"/>
          <w:szCs w:val="21"/>
          <w:highlight w:val="none"/>
          <w:lang w:val="en-US" w:eastAsia="zh-CN"/>
        </w:rPr>
        <w:t>及其相关服务的</w:t>
      </w:r>
      <w:r>
        <w:rPr>
          <w:rFonts w:hint="eastAsia" w:ascii="宋体" w:hAnsi="宋体" w:eastAsia="宋体"/>
          <w:color w:val="auto"/>
          <w:szCs w:val="21"/>
          <w:highlight w:val="none"/>
        </w:rPr>
        <w:t>国家机关、事业单位、团体组织。</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（2）供应商（以下称</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方）是指参加政府采购活动并且中标（成交），向采购人提供</w:t>
      </w:r>
      <w:r>
        <w:rPr>
          <w:rFonts w:hint="eastAsia" w:ascii="宋体" w:hAnsi="宋体" w:eastAsia="宋体"/>
          <w:color w:val="auto"/>
          <w:szCs w:val="21"/>
          <w:highlight w:val="none"/>
          <w:lang w:val="en-US" w:eastAsia="zh-CN"/>
        </w:rPr>
        <w:t>合同约定的货物及其相关服务的法人、非法人组织或者自然人</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（3）其他合同主体是指除采购人和供应商以外，</w:t>
      </w:r>
      <w:r>
        <w:rPr>
          <w:rFonts w:hint="eastAsia" w:ascii="宋体" w:hAnsi="宋体" w:eastAsia="宋体" w:cs="宋体"/>
          <w:bCs/>
          <w:color w:val="000000"/>
          <w:szCs w:val="21"/>
          <w:highlight w:val="none"/>
        </w:rPr>
        <w:t>依法参与合同缔结或履行，享有权利、承担义务的合同当事人</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1.2本合同下列术语应解释为：</w:t>
      </w:r>
    </w:p>
    <w:p>
      <w:pPr>
        <w:adjustRightInd w:val="0"/>
        <w:snapToGrid w:val="0"/>
        <w:spacing w:before="0" w:beforeLines="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（1）“合同”系指</w:t>
      </w:r>
      <w:r>
        <w:rPr>
          <w:rFonts w:hint="eastAsia" w:ascii="宋体" w:hAnsi="宋体" w:eastAsia="宋体" w:cs="宋体"/>
          <w:bCs/>
          <w:color w:val="000000"/>
          <w:szCs w:val="21"/>
          <w:highlight w:val="none"/>
        </w:rPr>
        <w:t>合同当事人意思表示达成一致的任何协议，包括签署的</w:t>
      </w:r>
      <w:r>
        <w:rPr>
          <w:rFonts w:hint="eastAsia" w:ascii="宋体" w:hAnsi="宋体" w:eastAsia="宋体"/>
          <w:color w:val="auto"/>
          <w:szCs w:val="21"/>
          <w:highlight w:val="none"/>
          <w:lang w:eastAsia="zh-CN"/>
        </w:rPr>
        <w:t>政府采购</w:t>
      </w:r>
      <w:r>
        <w:rPr>
          <w:rFonts w:hint="eastAsia" w:ascii="宋体" w:hAnsi="宋体" w:eastAsia="宋体"/>
          <w:color w:val="auto"/>
          <w:szCs w:val="21"/>
          <w:highlight w:val="none"/>
        </w:rPr>
        <w:t>合同协议书及其变更、补充</w:t>
      </w:r>
      <w:r>
        <w:rPr>
          <w:rFonts w:hint="eastAsia" w:ascii="宋体" w:hAnsi="宋体" w:eastAsia="宋体"/>
          <w:color w:val="auto"/>
          <w:szCs w:val="21"/>
          <w:highlight w:val="none"/>
          <w:lang w:eastAsia="zh-CN"/>
        </w:rPr>
        <w:t>协议，</w:t>
      </w:r>
      <w:r>
        <w:rPr>
          <w:rFonts w:hint="eastAsia" w:ascii="宋体" w:hAnsi="宋体" w:eastAsia="宋体"/>
          <w:szCs w:val="21"/>
          <w:highlight w:val="none"/>
        </w:rPr>
        <w:t>政府采购合同专用条款</w:t>
      </w:r>
      <w:r>
        <w:rPr>
          <w:rFonts w:hint="eastAsia" w:ascii="宋体" w:hAnsi="宋体" w:eastAsia="宋体"/>
          <w:szCs w:val="21"/>
          <w:highlight w:val="none"/>
          <w:lang w:eastAsia="zh-CN"/>
        </w:rPr>
        <w:t>，</w:t>
      </w:r>
      <w:r>
        <w:rPr>
          <w:rFonts w:hint="eastAsia" w:ascii="宋体" w:hAnsi="宋体" w:eastAsia="宋体"/>
          <w:szCs w:val="21"/>
          <w:highlight w:val="none"/>
        </w:rPr>
        <w:t>政府采购合同通用条款</w:t>
      </w:r>
      <w:r>
        <w:rPr>
          <w:rFonts w:hint="eastAsia" w:ascii="宋体" w:hAnsi="宋体" w:eastAsia="宋体"/>
          <w:szCs w:val="21"/>
          <w:highlight w:val="none"/>
          <w:lang w:eastAsia="zh-CN"/>
        </w:rPr>
        <w:t>，</w:t>
      </w:r>
      <w:r>
        <w:rPr>
          <w:rFonts w:hint="eastAsia" w:ascii="宋体" w:hAnsi="宋体" w:eastAsia="宋体"/>
          <w:color w:val="auto"/>
          <w:szCs w:val="21"/>
          <w:highlight w:val="none"/>
        </w:rPr>
        <w:t>中标</w:t>
      </w:r>
      <w:r>
        <w:rPr>
          <w:rFonts w:hint="eastAsia" w:ascii="宋体" w:hAnsi="宋体" w:eastAsia="宋体"/>
          <w:color w:val="auto"/>
          <w:szCs w:val="21"/>
          <w:highlight w:val="none"/>
          <w:lang w:eastAsia="zh-CN"/>
        </w:rPr>
        <w:t>（成交）</w:t>
      </w:r>
      <w:r>
        <w:rPr>
          <w:rFonts w:hint="eastAsia" w:ascii="宋体" w:hAnsi="宋体" w:eastAsia="宋体"/>
          <w:color w:val="auto"/>
          <w:szCs w:val="21"/>
          <w:highlight w:val="none"/>
        </w:rPr>
        <w:t>通知书</w:t>
      </w:r>
      <w:r>
        <w:rPr>
          <w:rFonts w:hint="eastAsia" w:ascii="宋体" w:hAnsi="宋体" w:eastAsia="宋体"/>
          <w:color w:val="auto"/>
          <w:szCs w:val="21"/>
          <w:highlight w:val="none"/>
          <w:lang w:eastAsia="zh-CN"/>
        </w:rPr>
        <w:t>，</w:t>
      </w:r>
      <w:r>
        <w:rPr>
          <w:rFonts w:hint="eastAsia" w:ascii="宋体" w:hAnsi="宋体" w:eastAsia="宋体"/>
          <w:szCs w:val="21"/>
          <w:highlight w:val="none"/>
        </w:rPr>
        <w:t>投标（响应）文件</w:t>
      </w:r>
      <w:r>
        <w:rPr>
          <w:rFonts w:hint="eastAsia" w:ascii="宋体" w:hAnsi="宋体" w:eastAsia="宋体"/>
          <w:szCs w:val="21"/>
          <w:highlight w:val="none"/>
          <w:lang w:eastAsia="zh-CN"/>
        </w:rPr>
        <w:t>，</w:t>
      </w:r>
      <w:r>
        <w:rPr>
          <w:rFonts w:hint="eastAsia" w:ascii="宋体" w:hAnsi="宋体" w:eastAsia="宋体"/>
          <w:szCs w:val="21"/>
          <w:highlight w:val="none"/>
        </w:rPr>
        <w:t>采购文件</w:t>
      </w:r>
      <w:r>
        <w:rPr>
          <w:rFonts w:hint="eastAsia" w:ascii="宋体" w:hAnsi="宋体" w:eastAsia="宋体"/>
          <w:szCs w:val="21"/>
          <w:highlight w:val="none"/>
          <w:lang w:eastAsia="zh-CN"/>
        </w:rPr>
        <w:t>，</w:t>
      </w:r>
      <w:r>
        <w:rPr>
          <w:rFonts w:hint="eastAsia" w:ascii="宋体" w:hAnsi="宋体" w:eastAsia="宋体"/>
          <w:szCs w:val="21"/>
          <w:highlight w:val="none"/>
        </w:rPr>
        <w:t>有关技术文件</w:t>
      </w:r>
      <w:r>
        <w:rPr>
          <w:rFonts w:hint="eastAsia" w:ascii="宋体" w:hAnsi="宋体" w:eastAsia="宋体"/>
          <w:szCs w:val="21"/>
          <w:highlight w:val="none"/>
          <w:lang w:eastAsia="zh-CN"/>
        </w:rPr>
        <w:t>和</w:t>
      </w:r>
      <w:r>
        <w:rPr>
          <w:rFonts w:hint="eastAsia" w:ascii="宋体" w:hAnsi="宋体" w:eastAsia="宋体"/>
          <w:szCs w:val="21"/>
          <w:highlight w:val="none"/>
        </w:rPr>
        <w:t>图纸</w:t>
      </w:r>
      <w:r>
        <w:rPr>
          <w:rFonts w:hint="eastAsia" w:ascii="宋体" w:hAnsi="宋体" w:eastAsia="宋体"/>
          <w:szCs w:val="21"/>
          <w:highlight w:val="none"/>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）“合同价</w:t>
      </w:r>
      <w:r>
        <w:rPr>
          <w:rFonts w:hint="eastAsia" w:ascii="宋体" w:hAnsi="宋体" w:eastAsia="宋体"/>
          <w:color w:val="auto"/>
          <w:szCs w:val="21"/>
          <w:highlight w:val="none"/>
          <w:lang w:val="en-US" w:eastAsia="zh-CN"/>
        </w:rPr>
        <w:t>款</w:t>
      </w:r>
      <w:r>
        <w:rPr>
          <w:rFonts w:hint="eastAsia" w:ascii="宋体" w:hAnsi="宋体" w:eastAsia="宋体"/>
          <w:color w:val="auto"/>
          <w:szCs w:val="21"/>
          <w:highlight w:val="none"/>
        </w:rPr>
        <w:t>”系指根据本合同规定乙方在全面履行合同义务后甲方应支付给乙方的价款。</w:t>
      </w:r>
    </w:p>
    <w:p>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szCs w:val="21"/>
          <w:highlight w:val="none"/>
          <w:lang w:eastAsia="zh-CN"/>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）“货物”系指乙方根据本合同规定须向甲方提供的各种形态和种类的物品，包括原材料、设备、产品（</w:t>
      </w:r>
      <w:r>
        <w:rPr>
          <w:rFonts w:hint="eastAsia" w:ascii="宋体" w:hAnsi="宋体" w:eastAsia="宋体"/>
          <w:color w:val="000000"/>
          <w:szCs w:val="21"/>
          <w:highlight w:val="none"/>
        </w:rPr>
        <w:t>包括软件）及相关的其备品备件、工具、手册及</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技术资料和材料</w:t>
      </w:r>
      <w:r>
        <w:rPr>
          <w:rFonts w:hint="eastAsia" w:ascii="宋体" w:hAnsi="宋体" w:eastAsia="宋体"/>
          <w:color w:val="000000"/>
          <w:szCs w:val="21"/>
          <w:highlight w:val="none"/>
          <w:lang w:eastAsia="zh-CN"/>
        </w:rPr>
        <w:t>等</w:t>
      </w:r>
      <w:r>
        <w:rPr>
          <w:rFonts w:hint="eastAsia" w:ascii="宋体" w:hAnsi="宋体" w:eastAsia="宋体"/>
          <w:color w:val="000000"/>
          <w:szCs w:val="21"/>
          <w:highlight w:val="none"/>
        </w:rPr>
        <w:t>。</w:t>
      </w:r>
    </w:p>
    <w:p>
      <w:pPr>
        <w:adjustRightInd w:val="0"/>
        <w:snapToGrid w:val="0"/>
        <w:spacing w:before="0" w:line="400" w:lineRule="exact"/>
        <w:ind w:firstLine="420" w:firstLineChars="200"/>
        <w:jc w:val="left"/>
        <w:rPr>
          <w:rFonts w:hint="eastAsia" w:ascii="宋体" w:hAnsi="宋体" w:eastAsia="宋体"/>
          <w:color w:val="000000"/>
          <w:szCs w:val="21"/>
          <w:highlight w:val="none"/>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4</w:t>
      </w:r>
      <w:r>
        <w:rPr>
          <w:rFonts w:hint="eastAsia" w:ascii="宋体" w:hAnsi="宋体" w:eastAsia="宋体"/>
          <w:color w:val="000000"/>
          <w:szCs w:val="21"/>
          <w:highlight w:val="none"/>
        </w:rPr>
        <w:t>）“</w:t>
      </w:r>
      <w:r>
        <w:rPr>
          <w:rFonts w:hint="eastAsia" w:ascii="宋体" w:hAnsi="宋体" w:eastAsia="宋体"/>
          <w:color w:val="auto"/>
          <w:szCs w:val="21"/>
          <w:highlight w:val="none"/>
          <w:lang w:val="en-US" w:eastAsia="zh-CN"/>
        </w:rPr>
        <w:t>相关</w:t>
      </w:r>
      <w:r>
        <w:rPr>
          <w:rFonts w:hint="eastAsia" w:ascii="宋体" w:hAnsi="宋体" w:eastAsia="宋体"/>
          <w:color w:val="000000"/>
          <w:szCs w:val="21"/>
          <w:highlight w:val="none"/>
        </w:rPr>
        <w:t>服务”系指根据合同规定，乙方应提供的</w:t>
      </w:r>
      <w:r>
        <w:rPr>
          <w:rFonts w:hint="eastAsia" w:ascii="宋体" w:hAnsi="宋体" w:eastAsia="宋体"/>
          <w:color w:val="000000"/>
          <w:szCs w:val="21"/>
          <w:highlight w:val="none"/>
          <w:lang w:val="en-US" w:eastAsia="zh-CN"/>
        </w:rPr>
        <w:t>与货物有关的</w:t>
      </w:r>
      <w:r>
        <w:rPr>
          <w:rFonts w:hint="eastAsia" w:ascii="宋体" w:hAnsi="宋体" w:eastAsia="宋体"/>
          <w:color w:val="000000"/>
          <w:szCs w:val="21"/>
          <w:highlight w:val="none"/>
        </w:rPr>
        <w:t>技术、管理和</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服务，包括但不限于：管理和质量保证、运输、保险、检验、现场准备、安装、集成、调试、培训、维修、</w:t>
      </w:r>
      <w:r>
        <w:rPr>
          <w:rFonts w:hint="eastAsia" w:ascii="宋体" w:hAnsi="宋体" w:eastAsia="宋体"/>
          <w:color w:val="000000"/>
          <w:szCs w:val="21"/>
          <w:highlight w:val="none"/>
          <w:lang w:eastAsia="zh-CN"/>
        </w:rPr>
        <w:t>废弃处置、</w:t>
      </w:r>
      <w:r>
        <w:rPr>
          <w:rFonts w:hint="eastAsia" w:ascii="宋体" w:hAnsi="宋体" w:eastAsia="宋体"/>
          <w:color w:val="000000"/>
          <w:szCs w:val="21"/>
          <w:highlight w:val="none"/>
        </w:rPr>
        <w:t>技术支持等以及合同中规定乙方应承担的</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义务。</w:t>
      </w:r>
    </w:p>
    <w:p>
      <w:pPr>
        <w:adjustRightInd w:val="0"/>
        <w:snapToGrid w:val="0"/>
        <w:spacing w:before="0" w:line="400" w:lineRule="exact"/>
        <w:ind w:firstLine="420" w:firstLineChars="200"/>
        <w:jc w:val="left"/>
        <w:rPr>
          <w:rFonts w:hint="eastAsia" w:ascii="宋体" w:hAnsi="宋体" w:eastAsia="宋体"/>
          <w:color w:val="000000"/>
          <w:szCs w:val="21"/>
          <w:highlight w:val="none"/>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5</w:t>
      </w:r>
      <w:r>
        <w:rPr>
          <w:rFonts w:hint="eastAsia" w:ascii="宋体" w:hAnsi="宋体" w:eastAsia="宋体"/>
          <w:color w:val="000000"/>
          <w:szCs w:val="21"/>
          <w:highlight w:val="none"/>
        </w:rPr>
        <w:t>）“分包”系指中标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供应商按采购文件、投标（响应）文件的规定，根据分包意向协议，将中标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项目中的部分履约内容，分给具有相应资质条件的供应商履行合同的行为。</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hint="eastAsia" w:ascii="宋体" w:hAnsi="宋体" w:eastAsia="宋体"/>
          <w:color w:val="000000"/>
          <w:szCs w:val="21"/>
          <w:highlight w:val="none"/>
        </w:rPr>
        <w:t>）</w:t>
      </w:r>
      <w:r>
        <w:rPr>
          <w:rFonts w:hint="eastAsia" w:ascii="宋体" w:hAnsi="宋体" w:eastAsia="宋体"/>
          <w:szCs w:val="21"/>
          <w:highlight w:val="none"/>
        </w:rPr>
        <w:t>“联合体”系指</w:t>
      </w:r>
      <w:r>
        <w:rPr>
          <w:rFonts w:hint="eastAsia" w:ascii="宋体" w:hAnsi="宋体" w:eastAsia="宋体"/>
          <w:szCs w:val="21"/>
          <w:highlight w:val="none"/>
          <w:lang w:eastAsia="zh-CN"/>
        </w:rPr>
        <w:t>由</w:t>
      </w:r>
      <w:r>
        <w:rPr>
          <w:rFonts w:hint="eastAsia" w:ascii="宋体" w:hAnsi="宋体" w:eastAsia="宋体"/>
          <w:szCs w:val="21"/>
          <w:highlight w:val="none"/>
        </w:rPr>
        <w:t>两个以上的自然人、法人或者</w:t>
      </w:r>
      <w:r>
        <w:rPr>
          <w:rFonts w:hint="eastAsia" w:ascii="宋体" w:hAnsi="宋体" w:eastAsia="宋体"/>
          <w:szCs w:val="21"/>
          <w:highlight w:val="none"/>
          <w:lang w:val="en-US" w:eastAsia="zh-CN"/>
        </w:rPr>
        <w:t>非法人</w:t>
      </w:r>
      <w:r>
        <w:rPr>
          <w:rFonts w:hint="eastAsia" w:ascii="宋体" w:hAnsi="宋体" w:eastAsia="宋体"/>
          <w:szCs w:val="21"/>
          <w:highlight w:val="none"/>
        </w:rPr>
        <w:t>组织组成，</w:t>
      </w:r>
      <w:r>
        <w:rPr>
          <w:rFonts w:hint="eastAsia" w:ascii="宋体" w:hAnsi="宋体" w:eastAsia="宋体"/>
          <w:szCs w:val="21"/>
          <w:highlight w:val="none"/>
          <w:lang w:eastAsia="zh-CN"/>
        </w:rPr>
        <w:t>以一个供应商的身份共同参加政府采购的主体</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olor w:val="000000"/>
          <w:szCs w:val="21"/>
          <w:highlight w:val="none"/>
          <w:lang w:eastAsia="zh-CN"/>
        </w:rPr>
        <w:t>甲方</w:t>
      </w:r>
      <w:r>
        <w:rPr>
          <w:rFonts w:hint="eastAsia" w:ascii="宋体" w:hAnsi="宋体" w:eastAsia="宋体"/>
          <w:color w:val="000000"/>
          <w:szCs w:val="21"/>
          <w:highlight w:val="none"/>
        </w:rPr>
        <w:t>承担连带责任。联合体具体要求见【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7</w:t>
      </w:r>
      <w:r>
        <w:rPr>
          <w:rFonts w:hint="eastAsia" w:ascii="宋体" w:hAnsi="宋体" w:eastAsia="宋体"/>
          <w:color w:val="000000"/>
          <w:szCs w:val="21"/>
          <w:highlight w:val="none"/>
        </w:rPr>
        <w:t>）其他术语解释，见【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pPr>
        <w:numPr>
          <w:ilvl w:val="0"/>
          <w:numId w:val="7"/>
        </w:num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color w:val="000000"/>
          <w:sz w:val="24"/>
          <w:highlight w:val="none"/>
        </w:rPr>
        <w:t>合同标的及金额</w:t>
      </w:r>
    </w:p>
    <w:p>
      <w:pPr>
        <w:autoSpaceDE w:val="0"/>
        <w:autoSpaceDN w:val="0"/>
        <w:adjustRightInd w:val="0"/>
        <w:snapToGrid w:val="0"/>
        <w:spacing w:before="0" w:line="400" w:lineRule="exact"/>
        <w:ind w:firstLine="420" w:firstLineChars="200"/>
        <w:jc w:val="left"/>
        <w:rPr>
          <w:rFonts w:ascii="宋体" w:hAnsi="宋体" w:eastAsia="宋体"/>
          <w:b/>
          <w:bCs/>
          <w:i/>
          <w:iCs/>
          <w:color w:val="000000"/>
          <w:szCs w:val="21"/>
          <w:highlight w:val="none"/>
        </w:rPr>
      </w:pPr>
      <w:r>
        <w:rPr>
          <w:rFonts w:hint="eastAsia" w:ascii="宋体" w:hAnsi="宋体" w:eastAsia="宋体"/>
          <w:color w:val="000000"/>
          <w:szCs w:val="21"/>
          <w:highlight w:val="none"/>
          <w:lang w:eastAsia="zh-CN"/>
        </w:rPr>
        <w:t>2</w:t>
      </w:r>
      <w:r>
        <w:rPr>
          <w:rFonts w:hint="eastAsia" w:ascii="宋体" w:hAnsi="宋体" w:eastAsia="宋体"/>
          <w:color w:val="000000"/>
          <w:szCs w:val="21"/>
          <w:highlight w:val="none"/>
        </w:rPr>
        <w:t>.1 合同标的及金额应与中标（成交）结果一致。乙方为履行本合同而发生的所有费用均应包含在合同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中，甲方不再另行支付</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任何费用。</w:t>
      </w:r>
    </w:p>
    <w:p>
      <w:pPr>
        <w:adjustRightInd w:val="0"/>
        <w:snapToGrid w:val="0"/>
        <w:spacing w:before="0" w:line="400" w:lineRule="exact"/>
        <w:jc w:val="left"/>
        <w:rPr>
          <w:rFonts w:ascii="宋体" w:hAnsi="宋体" w:eastAsia="宋体"/>
          <w:b/>
          <w:color w:val="000000"/>
          <w:sz w:val="24"/>
          <w:highlight w:val="none"/>
        </w:rPr>
      </w:pPr>
      <w:r>
        <w:rPr>
          <w:rFonts w:hint="eastAsia" w:ascii="宋体" w:hAnsi="宋体" w:eastAsia="宋体"/>
          <w:b/>
          <w:color w:val="000000"/>
          <w:sz w:val="24"/>
          <w:highlight w:val="none"/>
          <w:lang w:eastAsia="zh-CN"/>
        </w:rPr>
        <w:t>3</w:t>
      </w:r>
      <w:r>
        <w:rPr>
          <w:rFonts w:hint="eastAsia" w:ascii="宋体" w:hAnsi="宋体" w:eastAsia="宋体"/>
          <w:b/>
          <w:color w:val="000000"/>
          <w:sz w:val="24"/>
          <w:highlight w:val="none"/>
          <w:lang w:val="en-US" w:eastAsia="zh-CN"/>
        </w:rPr>
        <w:t xml:space="preserve">. </w:t>
      </w:r>
      <w:r>
        <w:rPr>
          <w:rFonts w:hint="eastAsia" w:ascii="宋体" w:hAnsi="宋体" w:eastAsia="宋体"/>
          <w:b/>
          <w:color w:val="000000"/>
          <w:sz w:val="24"/>
          <w:highlight w:val="none"/>
        </w:rPr>
        <w:t>履行合同的时间、地点和方式</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3</w:t>
      </w:r>
      <w:r>
        <w:rPr>
          <w:rFonts w:hint="eastAsia" w:ascii="宋体" w:hAnsi="宋体" w:eastAsia="宋体"/>
          <w:color w:val="000000"/>
          <w:szCs w:val="21"/>
          <w:highlight w:val="none"/>
        </w:rPr>
        <w:t xml:space="preserve">.1 </w:t>
      </w:r>
      <w:r>
        <w:rPr>
          <w:rFonts w:hint="eastAsia" w:ascii="宋体" w:hAnsi="宋体" w:eastAsia="宋体" w:cs="宋体"/>
          <w:szCs w:val="21"/>
          <w:highlight w:val="none"/>
        </w:rPr>
        <w:t>乙方应当在约定的时间、地点</w:t>
      </w:r>
      <w:r>
        <w:rPr>
          <w:rFonts w:hint="eastAsia" w:ascii="宋体" w:hAnsi="宋体" w:eastAsia="宋体" w:cs="宋体"/>
          <w:szCs w:val="21"/>
          <w:highlight w:val="none"/>
          <w:lang w:eastAsia="zh-CN"/>
        </w:rPr>
        <w:t>，按照约定</w:t>
      </w:r>
      <w:r>
        <w:rPr>
          <w:rFonts w:hint="eastAsia" w:ascii="宋体" w:hAnsi="宋体" w:eastAsia="宋体" w:cs="宋体"/>
          <w:szCs w:val="21"/>
          <w:highlight w:val="none"/>
        </w:rPr>
        <w:t>方式履行合同。</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4</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甲方的权利和义务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.1</w:t>
      </w:r>
      <w:r>
        <w:rPr>
          <w:rFonts w:ascii="宋体" w:hAnsi="宋体" w:eastAsia="宋体"/>
          <w:color w:val="000000"/>
          <w:szCs w:val="21"/>
          <w:highlight w:val="none"/>
        </w:rPr>
        <w:t xml:space="preserve"> 签署合同后，甲方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r>
        <w:rPr>
          <w:rFonts w:hint="eastAsia" w:ascii="宋体" w:hAnsi="宋体" w:eastAsia="宋体"/>
          <w:color w:val="000000"/>
          <w:szCs w:val="21"/>
          <w:highlight w:val="none"/>
        </w:rPr>
        <w:t>甲方有权对乙方的履约行为进行检查，并</w:t>
      </w:r>
      <w:r>
        <w:rPr>
          <w:rFonts w:ascii="宋体" w:hAnsi="宋体" w:eastAsia="宋体"/>
          <w:color w:val="000000"/>
          <w:szCs w:val="21"/>
          <w:highlight w:val="none"/>
        </w:rPr>
        <w:t>及时确认乙方提交的事项</w:t>
      </w:r>
      <w:r>
        <w:rPr>
          <w:rFonts w:hint="eastAsia" w:ascii="宋体" w:hAnsi="宋体" w:eastAsia="宋体"/>
          <w:color w:val="000000"/>
          <w:szCs w:val="21"/>
          <w:highlight w:val="none"/>
        </w:rPr>
        <w:t>。甲方应当</w:t>
      </w:r>
      <w:r>
        <w:rPr>
          <w:rFonts w:ascii="宋体" w:hAnsi="宋体" w:eastAsia="宋体"/>
          <w:color w:val="000000"/>
          <w:szCs w:val="21"/>
          <w:highlight w:val="none"/>
        </w:rPr>
        <w:t>配合乙方完成</w:t>
      </w:r>
      <w:r>
        <w:rPr>
          <w:rFonts w:hint="eastAsia" w:ascii="宋体" w:hAnsi="宋体" w:eastAsia="宋体"/>
          <w:color w:val="000000"/>
          <w:szCs w:val="21"/>
          <w:highlight w:val="none"/>
        </w:rPr>
        <w:t>相关项目</w:t>
      </w:r>
      <w:r>
        <w:rPr>
          <w:rFonts w:ascii="宋体" w:hAnsi="宋体" w:eastAsia="宋体"/>
          <w:color w:val="000000"/>
          <w:szCs w:val="21"/>
          <w:highlight w:val="none"/>
        </w:rPr>
        <w:t>实施工作。</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 xml:space="preserve">.2 </w:t>
      </w:r>
      <w:r>
        <w:rPr>
          <w:rFonts w:ascii="宋体" w:hAnsi="宋体" w:eastAsia="宋体"/>
          <w:color w:val="000000"/>
          <w:szCs w:val="21"/>
          <w:highlight w:val="none"/>
        </w:rPr>
        <w:t>甲方有权要求乙方按时提交各阶段有关</w:t>
      </w:r>
      <w:r>
        <w:rPr>
          <w:rFonts w:hint="eastAsia" w:ascii="宋体" w:hAnsi="宋体" w:eastAsia="宋体"/>
          <w:color w:val="000000"/>
          <w:szCs w:val="21"/>
          <w:highlight w:val="none"/>
        </w:rPr>
        <w:t>安排计划</w:t>
      </w:r>
      <w:r>
        <w:rPr>
          <w:rFonts w:ascii="宋体" w:hAnsi="宋体" w:eastAsia="宋体"/>
          <w:color w:val="000000"/>
          <w:szCs w:val="21"/>
          <w:highlight w:val="none"/>
        </w:rPr>
        <w:t>，并有权</w:t>
      </w:r>
      <w:r>
        <w:rPr>
          <w:rFonts w:hint="eastAsia" w:ascii="宋体" w:hAnsi="宋体" w:eastAsia="宋体"/>
          <w:color w:val="000000"/>
          <w:szCs w:val="21"/>
          <w:highlight w:val="none"/>
        </w:rPr>
        <w:t>定期核对乙方提供货物数量、规格、质量等内容。甲方</w:t>
      </w:r>
      <w:r>
        <w:rPr>
          <w:rFonts w:ascii="宋体" w:hAnsi="宋体" w:eastAsia="宋体"/>
          <w:color w:val="000000"/>
          <w:szCs w:val="21"/>
          <w:highlight w:val="none"/>
        </w:rPr>
        <w:t>有权督促乙方工作并要求乙方</w:t>
      </w:r>
      <w:r>
        <w:rPr>
          <w:rFonts w:hint="eastAsia" w:ascii="宋体" w:hAnsi="宋体" w:eastAsia="宋体"/>
          <w:color w:val="000000"/>
          <w:szCs w:val="21"/>
          <w:highlight w:val="none"/>
        </w:rPr>
        <w:t>更</w:t>
      </w:r>
      <w:r>
        <w:rPr>
          <w:rFonts w:ascii="宋体" w:hAnsi="宋体" w:eastAsia="宋体"/>
          <w:color w:val="000000"/>
          <w:szCs w:val="21"/>
          <w:highlight w:val="none"/>
        </w:rPr>
        <w:t>换不符合要求的</w:t>
      </w:r>
      <w:r>
        <w:rPr>
          <w:rFonts w:hint="eastAsia" w:ascii="宋体" w:hAnsi="宋体" w:eastAsia="宋体"/>
          <w:color w:val="000000"/>
          <w:szCs w:val="21"/>
          <w:highlight w:val="none"/>
        </w:rPr>
        <w:t>货物</w:t>
      </w:r>
      <w:r>
        <w:rPr>
          <w:rFonts w:ascii="宋体" w:hAnsi="宋体" w:eastAsia="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ascii="宋体" w:hAnsi="宋体" w:eastAsia="宋体"/>
          <w:color w:val="000000"/>
          <w:szCs w:val="21"/>
          <w:highlight w:val="none"/>
        </w:rPr>
        <w:t>3</w:t>
      </w:r>
      <w:r>
        <w:rPr>
          <w:rFonts w:hint="eastAsia" w:ascii="宋体" w:hAnsi="宋体" w:eastAsia="宋体"/>
          <w:color w:val="000000"/>
          <w:szCs w:val="21"/>
          <w:highlight w:val="none"/>
        </w:rPr>
        <w:t xml:space="preserve"> </w:t>
      </w:r>
      <w:r>
        <w:rPr>
          <w:rFonts w:ascii="宋体" w:hAnsi="宋体" w:eastAsia="宋体"/>
          <w:color w:val="000000"/>
          <w:szCs w:val="21"/>
          <w:highlight w:val="none"/>
        </w:rPr>
        <w:t>甲方</w:t>
      </w:r>
      <w:r>
        <w:rPr>
          <w:rFonts w:hint="eastAsia" w:ascii="宋体" w:hAnsi="宋体" w:eastAsia="宋体"/>
          <w:color w:val="000000"/>
          <w:szCs w:val="21"/>
          <w:highlight w:val="none"/>
        </w:rPr>
        <w:t>有权要求乙方对缺陷部分予以修复，并按合同约定享有货物保修及其他合同约定的权利。</w:t>
      </w:r>
    </w:p>
    <w:p>
      <w:pPr>
        <w:snapToGrid w:val="0"/>
        <w:spacing w:line="400" w:lineRule="exact"/>
        <w:ind w:firstLine="420" w:firstLineChars="200"/>
        <w:rPr>
          <w:rFonts w:hint="eastAsia" w:eastAsia="华文楷体"/>
          <w:highlight w:val="none"/>
          <w:lang w:val="en-US" w:eastAsia="zh-CN"/>
        </w:rPr>
      </w:pPr>
      <w:r>
        <w:rPr>
          <w:rFonts w:hint="default" w:ascii="宋体" w:hAnsi="宋体" w:eastAsia="宋体"/>
          <w:color w:val="000000"/>
          <w:szCs w:val="21"/>
          <w:highlight w:val="none"/>
          <w:lang w:val="en-US" w:eastAsia="zh-CN"/>
        </w:rPr>
        <w:t>4.4 甲方应当按照合同约定及时对交付的货物进行验收</w:t>
      </w:r>
      <w:r>
        <w:rPr>
          <w:rFonts w:hint="eastAsia" w:ascii="宋体" w:hAnsi="宋体" w:eastAsia="宋体"/>
          <w:color w:val="000000"/>
          <w:szCs w:val="21"/>
          <w:highlight w:val="none"/>
          <w:lang w:val="en-US" w:eastAsia="zh-CN"/>
        </w:rPr>
        <w:t>，</w:t>
      </w:r>
      <w:r>
        <w:rPr>
          <w:rFonts w:hint="eastAsia" w:ascii="宋体" w:hAnsi="宋体" w:eastAsia="宋体" w:cs="宋体"/>
          <w:b w:val="0"/>
          <w:bCs w:val="0"/>
          <w:szCs w:val="21"/>
          <w:highlight w:val="none"/>
          <w:lang w:eastAsia="zh-CN"/>
        </w:rPr>
        <w:t>未</w:t>
      </w:r>
      <w:r>
        <w:rPr>
          <w:rFonts w:hint="eastAsia" w:ascii="宋体" w:hAnsi="宋体" w:eastAsia="宋体"/>
          <w:color w:val="000000"/>
          <w:szCs w:val="21"/>
          <w:highlight w:val="none"/>
          <w:lang w:val="en-US" w:eastAsia="zh-CN"/>
        </w:rPr>
        <w:t>在</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olor w:val="000000"/>
          <w:szCs w:val="21"/>
          <w:highlight w:val="none"/>
          <w:lang w:val="en-US" w:eastAsia="zh-CN"/>
        </w:rPr>
        <w:t>视为验收通过。</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highlight w:val="none"/>
        </w:rPr>
      </w:pPr>
      <w:r>
        <w:rPr>
          <w:rFonts w:hint="default"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default" w:ascii="宋体" w:hAnsi="宋体" w:eastAsia="宋体"/>
          <w:color w:val="000000"/>
          <w:szCs w:val="21"/>
          <w:highlight w:val="none"/>
          <w:lang w:val="en-US" w:eastAsia="zh-CN"/>
        </w:rPr>
        <w:t>5</w:t>
      </w:r>
      <w:r>
        <w:rPr>
          <w:rFonts w:ascii="宋体" w:hAnsi="宋体" w:eastAsia="宋体"/>
          <w:color w:val="000000"/>
          <w:szCs w:val="21"/>
          <w:highlight w:val="none"/>
        </w:rPr>
        <w:t xml:space="preserve"> </w:t>
      </w:r>
      <w:r>
        <w:rPr>
          <w:rFonts w:hint="eastAsia" w:ascii="宋体" w:hAnsi="宋体" w:eastAsia="宋体"/>
          <w:color w:val="000000"/>
          <w:szCs w:val="21"/>
          <w:highlight w:val="none"/>
        </w:rPr>
        <w:t>甲方应当根据合同约定</w:t>
      </w:r>
      <w:r>
        <w:rPr>
          <w:rFonts w:hint="eastAsia" w:ascii="宋体" w:hAnsi="宋体" w:eastAsia="宋体"/>
          <w:color w:val="000000"/>
          <w:szCs w:val="21"/>
          <w:highlight w:val="none"/>
          <w:lang w:eastAsia="zh-CN"/>
        </w:rPr>
        <w:t>及</w:t>
      </w:r>
      <w:r>
        <w:rPr>
          <w:rFonts w:hint="eastAsia" w:ascii="宋体" w:hAnsi="宋体" w:eastAsia="宋体"/>
          <w:color w:val="000000"/>
          <w:szCs w:val="21"/>
          <w:highlight w:val="none"/>
        </w:rPr>
        <w:t>时向乙方支付</w:t>
      </w:r>
      <w:r>
        <w:rPr>
          <w:rFonts w:hint="eastAsia" w:ascii="宋体" w:hAnsi="宋体" w:eastAsia="宋体"/>
          <w:color w:val="000000"/>
          <w:szCs w:val="21"/>
          <w:highlight w:val="none"/>
          <w:lang w:eastAsia="zh-CN"/>
        </w:rPr>
        <w:t>合同价款</w:t>
      </w:r>
      <w:r>
        <w:rPr>
          <w:rFonts w:hint="default" w:ascii="宋体" w:hAnsi="宋体" w:eastAsia="宋体"/>
          <w:color w:val="000000"/>
          <w:szCs w:val="21"/>
          <w:highlight w:val="none"/>
          <w:lang w:eastAsia="zh-CN"/>
        </w:rPr>
        <w:t>，不得以内部人员变更、履行内部付款流程等为由，拒绝或迟延支付。</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ascii="宋体" w:hAnsi="宋体" w:eastAsia="宋体"/>
          <w:color w:val="000000"/>
          <w:szCs w:val="21"/>
          <w:highlight w:val="none"/>
        </w:rPr>
        <w:t xml:space="preserve"> </w:t>
      </w:r>
      <w:r>
        <w:rPr>
          <w:rFonts w:hint="eastAsia" w:ascii="宋体" w:hAnsi="宋体" w:eastAsia="宋体"/>
          <w:color w:val="000000"/>
          <w:szCs w:val="21"/>
          <w:highlight w:val="none"/>
        </w:rPr>
        <w:t>国家法律法规规定</w:t>
      </w:r>
      <w:r>
        <w:rPr>
          <w:rFonts w:hint="eastAsia" w:ascii="宋体" w:hAnsi="宋体" w:eastAsia="宋体"/>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lang w:eastAsia="zh-CN"/>
        </w:rPr>
        <w:t>约定应</w:t>
      </w:r>
      <w:r>
        <w:rPr>
          <w:rFonts w:hint="eastAsia" w:ascii="宋体" w:hAnsi="宋体" w:eastAsia="宋体"/>
          <w:color w:val="000000"/>
          <w:szCs w:val="21"/>
          <w:highlight w:val="none"/>
        </w:rPr>
        <w:t>由甲方承担的其他义务和责任。</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5</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乙方的权利和义务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 xml:space="preserve">.1 </w:t>
      </w:r>
      <w:r>
        <w:rPr>
          <w:rFonts w:ascii="宋体" w:hAnsi="宋体" w:eastAsia="宋体"/>
          <w:color w:val="000000"/>
          <w:szCs w:val="21"/>
          <w:highlight w:val="none"/>
        </w:rPr>
        <w:t>签署合同后，乙方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w:t>
      </w:r>
      <w:r>
        <w:rPr>
          <w:rFonts w:ascii="宋体" w:hAnsi="宋体" w:eastAsia="宋体"/>
          <w:color w:val="000000"/>
          <w:szCs w:val="21"/>
          <w:highlight w:val="none"/>
        </w:rPr>
        <w:t>2 乙方应按照合同要求</w:t>
      </w:r>
      <w:r>
        <w:rPr>
          <w:rFonts w:hint="eastAsia" w:ascii="宋体" w:hAnsi="宋体" w:eastAsia="宋体"/>
          <w:color w:val="000000"/>
          <w:szCs w:val="21"/>
          <w:highlight w:val="none"/>
        </w:rPr>
        <w:t>履约</w:t>
      </w:r>
      <w:r>
        <w:rPr>
          <w:rFonts w:ascii="宋体" w:hAnsi="宋体" w:eastAsia="宋体"/>
          <w:color w:val="000000"/>
          <w:szCs w:val="21"/>
          <w:highlight w:val="none"/>
        </w:rPr>
        <w:t>，充分合理安排，确保</w:t>
      </w:r>
      <w:r>
        <w:rPr>
          <w:rFonts w:hint="eastAsia" w:ascii="宋体" w:hAnsi="宋体" w:eastAsia="宋体"/>
          <w:color w:val="000000"/>
          <w:szCs w:val="21"/>
          <w:highlight w:val="none"/>
        </w:rPr>
        <w:t>提供的货物</w:t>
      </w:r>
      <w:r>
        <w:rPr>
          <w:rFonts w:hint="eastAsia" w:ascii="宋体" w:hAnsi="宋体" w:eastAsia="宋体"/>
          <w:color w:val="000000"/>
          <w:szCs w:val="21"/>
          <w:highlight w:val="none"/>
          <w:lang w:eastAsia="zh-CN"/>
        </w:rPr>
        <w:t>及相关</w:t>
      </w:r>
      <w:r>
        <w:rPr>
          <w:rFonts w:hint="eastAsia" w:ascii="宋体" w:hAnsi="宋体" w:eastAsia="宋体"/>
          <w:color w:val="000000"/>
          <w:szCs w:val="21"/>
          <w:highlight w:val="none"/>
        </w:rPr>
        <w:t>服务符合合同</w:t>
      </w:r>
      <w:r>
        <w:rPr>
          <w:rFonts w:hint="eastAsia" w:ascii="宋体" w:hAnsi="宋体" w:eastAsia="宋体"/>
          <w:color w:val="000000"/>
          <w:szCs w:val="21"/>
          <w:highlight w:val="none"/>
          <w:lang w:eastAsia="zh-CN"/>
        </w:rPr>
        <w:t>有关</w:t>
      </w:r>
      <w:r>
        <w:rPr>
          <w:rFonts w:ascii="宋体" w:hAnsi="宋体" w:eastAsia="宋体"/>
          <w:color w:val="000000"/>
          <w:szCs w:val="21"/>
          <w:highlight w:val="none"/>
        </w:rPr>
        <w:t>要求</w:t>
      </w:r>
      <w:r>
        <w:rPr>
          <w:rFonts w:hint="eastAsia" w:ascii="宋体" w:hAnsi="宋体" w:eastAsia="宋体"/>
          <w:color w:val="000000"/>
          <w:szCs w:val="21"/>
          <w:highlight w:val="none"/>
        </w:rPr>
        <w:t>。接受项目行业管理部门及政府有关部门的指导，配合甲方的履约检查</w:t>
      </w:r>
      <w:r>
        <w:rPr>
          <w:rFonts w:hint="eastAsia" w:ascii="宋体" w:hAnsi="宋体" w:eastAsia="宋体"/>
          <w:color w:val="000000"/>
          <w:szCs w:val="21"/>
          <w:highlight w:val="none"/>
          <w:lang w:eastAsia="zh-CN"/>
        </w:rPr>
        <w:t>及验收</w:t>
      </w:r>
      <w:r>
        <w:rPr>
          <w:rFonts w:hint="eastAsia" w:ascii="宋体" w:hAnsi="宋体" w:eastAsia="宋体"/>
          <w:color w:val="000000"/>
          <w:szCs w:val="21"/>
          <w:highlight w:val="none"/>
        </w:rPr>
        <w:t>，并</w:t>
      </w:r>
      <w:r>
        <w:rPr>
          <w:rFonts w:ascii="宋体" w:hAnsi="宋体" w:eastAsia="宋体"/>
          <w:color w:val="000000"/>
          <w:szCs w:val="21"/>
          <w:highlight w:val="none"/>
        </w:rPr>
        <w:t>负责项目实施过程中的所有协调工作。</w:t>
      </w:r>
    </w:p>
    <w:p>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3</w:t>
      </w:r>
      <w:r>
        <w:rPr>
          <w:rFonts w:hint="eastAsia" w:ascii="宋体" w:hAnsi="宋体" w:eastAsia="宋体" w:cs="Times New Roman"/>
          <w:color w:val="000000"/>
          <w:kern w:val="2"/>
          <w:sz w:val="21"/>
          <w:szCs w:val="21"/>
          <w:highlight w:val="none"/>
          <w:lang w:val="en-US" w:eastAsia="zh-CN" w:bidi="ar-SA"/>
        </w:rPr>
        <w:t>乙方有权</w:t>
      </w:r>
      <w:r>
        <w:rPr>
          <w:rFonts w:hint="eastAsia" w:ascii="宋体" w:hAnsi="宋体" w:eastAsia="宋体" w:cs="宋体"/>
          <w:color w:val="000000"/>
          <w:kern w:val="2"/>
          <w:sz w:val="21"/>
          <w:szCs w:val="21"/>
          <w:highlight w:val="none"/>
          <w:lang w:val="en-US" w:eastAsia="zh-CN" w:bidi="ar-SA"/>
        </w:rPr>
        <w:t>根据合同约定向甲方收取合同价款。</w:t>
      </w:r>
    </w:p>
    <w:p>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4</w:t>
      </w:r>
      <w:r>
        <w:rPr>
          <w:rFonts w:hint="eastAsia" w:ascii="宋体" w:hAnsi="宋体" w:eastAsia="宋体" w:cs="宋体"/>
          <w:color w:val="000000"/>
          <w:kern w:val="2"/>
          <w:sz w:val="21"/>
          <w:szCs w:val="21"/>
          <w:highlight w:val="none"/>
          <w:lang w:val="en-US" w:eastAsia="zh-CN" w:bidi="ar-SA"/>
        </w:rPr>
        <w:t>国家法律法规规定</w:t>
      </w:r>
      <w:r>
        <w:rPr>
          <w:rFonts w:hint="eastAsia" w:ascii="宋体" w:hAnsi="宋体" w:eastAsia="宋体" w:cs="Times New Roman"/>
          <w:color w:val="000000"/>
          <w:kern w:val="2"/>
          <w:sz w:val="21"/>
          <w:szCs w:val="21"/>
          <w:highlight w:val="none"/>
          <w:lang w:val="en-US" w:eastAsia="zh-CN" w:bidi="ar-SA"/>
        </w:rPr>
        <w:t>及</w:t>
      </w:r>
      <w:r>
        <w:rPr>
          <w:rFonts w:hint="eastAsia" w:ascii="宋体" w:hAnsi="宋体" w:eastAsia="宋体" w:cs="宋体"/>
          <w:b/>
          <w:bCs/>
          <w:kern w:val="2"/>
          <w:sz w:val="21"/>
          <w:szCs w:val="21"/>
          <w:highlight w:val="none"/>
          <w:lang w:val="en-US" w:eastAsia="zh-CN" w:bidi="ar-SA"/>
        </w:rPr>
        <w:t>【政府采购合同专用条款】</w:t>
      </w:r>
      <w:r>
        <w:rPr>
          <w:rFonts w:hint="eastAsia" w:ascii="宋体" w:hAnsi="宋体" w:eastAsia="宋体" w:cs="宋体"/>
          <w:b w:val="0"/>
          <w:bCs w:val="0"/>
          <w:kern w:val="2"/>
          <w:sz w:val="21"/>
          <w:szCs w:val="21"/>
          <w:highlight w:val="none"/>
          <w:lang w:val="en-US" w:eastAsia="zh-CN" w:bidi="ar-SA"/>
        </w:rPr>
        <w:t>约定应</w:t>
      </w:r>
      <w:r>
        <w:rPr>
          <w:rFonts w:hint="eastAsia" w:ascii="宋体" w:hAnsi="宋体" w:eastAsia="宋体" w:cs="宋体"/>
          <w:color w:val="000000"/>
          <w:kern w:val="2"/>
          <w:sz w:val="21"/>
          <w:szCs w:val="21"/>
          <w:highlight w:val="none"/>
          <w:lang w:val="en-US" w:eastAsia="zh-CN" w:bidi="ar-SA"/>
        </w:rPr>
        <w:t>由乙方承担的其他义务和责任。</w:t>
      </w:r>
    </w:p>
    <w:p>
      <w:pPr>
        <w:numPr>
          <w:ilvl w:val="0"/>
          <w:numId w:val="8"/>
        </w:numPr>
        <w:autoSpaceDE w:val="0"/>
        <w:autoSpaceDN w:val="0"/>
        <w:adjustRightInd w:val="0"/>
        <w:snapToGrid w:val="0"/>
        <w:spacing w:before="0" w:line="400" w:lineRule="exact"/>
        <w:jc w:val="left"/>
        <w:rPr>
          <w:rFonts w:hint="eastAsia" w:ascii="宋体" w:hAnsi="宋体" w:eastAsia="宋体"/>
          <w:b/>
          <w:bCs/>
          <w:color w:val="000000"/>
          <w:sz w:val="24"/>
          <w:highlight w:val="none"/>
        </w:rPr>
      </w:pPr>
      <w:r>
        <w:rPr>
          <w:rFonts w:hint="eastAsia" w:ascii="宋体" w:hAnsi="宋体" w:eastAsia="宋体"/>
          <w:b/>
          <w:bCs/>
          <w:color w:val="000000"/>
          <w:sz w:val="24"/>
          <w:highlight w:val="none"/>
        </w:rPr>
        <w:t>合同履</w:t>
      </w:r>
      <w:r>
        <w:rPr>
          <w:rFonts w:hint="eastAsia" w:ascii="宋体" w:hAnsi="宋体" w:eastAsia="宋体"/>
          <w:b/>
          <w:bCs/>
          <w:color w:val="000000"/>
          <w:sz w:val="24"/>
          <w:highlight w:val="none"/>
          <w:lang w:val="en-US" w:eastAsia="zh-CN"/>
        </w:rPr>
        <w:t>行</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.1 甲乙双方应当按照</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rPr>
        <w:t>约定顺序履行合同义务；如果没有先后顺序的，应当同时履行。</w:t>
      </w:r>
    </w:p>
    <w:p>
      <w:pPr>
        <w:autoSpaceDE w:val="0"/>
        <w:autoSpaceDN w:val="0"/>
        <w:adjustRightInd w:val="0"/>
        <w:snapToGrid w:val="0"/>
        <w:spacing w:before="0" w:line="400" w:lineRule="exact"/>
        <w:ind w:firstLine="420" w:firstLineChars="200"/>
        <w:jc w:val="left"/>
        <w:rPr>
          <w:rFonts w:eastAsia="宋体"/>
          <w:highlight w:val="none"/>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7</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货物包装、运输</w:t>
      </w:r>
      <w:r>
        <w:rPr>
          <w:rFonts w:hint="eastAsia" w:ascii="宋体" w:hAnsi="宋体" w:eastAsia="宋体"/>
          <w:b/>
          <w:bCs/>
          <w:color w:val="000000"/>
          <w:sz w:val="24"/>
          <w:highlight w:val="none"/>
          <w:lang w:eastAsia="zh-CN"/>
        </w:rPr>
        <w:t>、</w:t>
      </w:r>
      <w:r>
        <w:rPr>
          <w:rFonts w:hint="eastAsia" w:ascii="宋体" w:hAnsi="宋体" w:eastAsia="宋体"/>
          <w:b/>
          <w:bCs/>
          <w:color w:val="000000"/>
          <w:sz w:val="24"/>
          <w:highlight w:val="none"/>
        </w:rPr>
        <w:t>保险</w:t>
      </w:r>
      <w:r>
        <w:rPr>
          <w:rFonts w:hint="eastAsia" w:ascii="宋体" w:hAnsi="宋体" w:eastAsia="宋体"/>
          <w:b/>
          <w:bCs/>
          <w:color w:val="000000"/>
          <w:sz w:val="24"/>
          <w:highlight w:val="none"/>
          <w:lang w:eastAsia="zh-CN"/>
        </w:rPr>
        <w:t>和交付</w:t>
      </w:r>
      <w:r>
        <w:rPr>
          <w:rFonts w:hint="eastAsia" w:ascii="宋体" w:hAnsi="宋体" w:eastAsia="宋体"/>
          <w:b/>
          <w:bCs/>
          <w:color w:val="000000"/>
          <w:sz w:val="24"/>
          <w:highlight w:val="none"/>
        </w:rPr>
        <w:t>要求</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.1 本合同</w:t>
      </w:r>
      <w:r>
        <w:rPr>
          <w:rFonts w:hint="eastAsia" w:ascii="宋体" w:hAnsi="宋体" w:eastAsia="宋体"/>
          <w:bCs/>
          <w:color w:val="000000"/>
          <w:szCs w:val="21"/>
          <w:highlight w:val="none"/>
        </w:rPr>
        <w:t>涉及商品包装</w:t>
      </w:r>
      <w:r>
        <w:rPr>
          <w:rFonts w:hint="eastAsia" w:ascii="宋体" w:hAnsi="宋体" w:eastAsia="宋体"/>
          <w:bCs/>
          <w:color w:val="000000"/>
          <w:szCs w:val="21"/>
          <w:highlight w:val="none"/>
          <w:lang w:eastAsia="zh-CN"/>
        </w:rPr>
        <w:t>、</w:t>
      </w:r>
      <w:r>
        <w:rPr>
          <w:rFonts w:hint="eastAsia" w:ascii="宋体" w:hAnsi="宋体" w:eastAsia="宋体"/>
          <w:bCs/>
          <w:color w:val="000000"/>
          <w:szCs w:val="21"/>
          <w:highlight w:val="none"/>
        </w:rPr>
        <w:t>快递包装的，</w:t>
      </w:r>
      <w:r>
        <w:rPr>
          <w:rFonts w:hint="eastAsia" w:ascii="宋体" w:hAnsi="宋体" w:eastAsia="宋体"/>
          <w:color w:val="000000"/>
          <w:szCs w:val="21"/>
          <w:highlight w:val="none"/>
        </w:rPr>
        <w:t>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包装应适应远距离运输、防潮、防震、防锈和防野蛮装卸等要求，确保货物安全无损地运抵</w:t>
      </w:r>
      <w:r>
        <w:rPr>
          <w:rFonts w:hint="eastAsia" w:ascii="宋体" w:hAnsi="宋体" w:eastAsia="宋体"/>
          <w:b/>
          <w:color w:val="000000"/>
          <w:szCs w:val="21"/>
          <w:highlight w:val="none"/>
        </w:rPr>
        <w:t>【政府采购合同专用条款】</w:t>
      </w:r>
      <w:r>
        <w:rPr>
          <w:rFonts w:hint="eastAsia" w:ascii="宋体" w:hAnsi="宋体" w:eastAsia="宋体"/>
          <w:b w:val="0"/>
          <w:bCs/>
          <w:color w:val="000000"/>
          <w:szCs w:val="21"/>
          <w:highlight w:val="none"/>
          <w:lang w:eastAsia="zh-CN"/>
        </w:rPr>
        <w:t>约定的</w:t>
      </w:r>
      <w:r>
        <w:rPr>
          <w:rFonts w:hint="eastAsia" w:ascii="宋体" w:hAnsi="宋体" w:eastAsia="宋体"/>
          <w:color w:val="000000"/>
          <w:szCs w:val="21"/>
          <w:highlight w:val="none"/>
        </w:rPr>
        <w:t>指定现场。</w:t>
      </w:r>
    </w:p>
    <w:p>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.2 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乙方负责办理将货物运抵本合同规定的交货地点</w:t>
      </w:r>
      <w:r>
        <w:rPr>
          <w:rFonts w:hint="eastAsia" w:ascii="宋体" w:hAnsi="宋体" w:eastAsia="宋体"/>
          <w:color w:val="000000"/>
          <w:szCs w:val="21"/>
          <w:highlight w:val="none"/>
          <w:lang w:eastAsia="zh-CN"/>
        </w:rPr>
        <w:t>，并装卸、交付至甲方</w:t>
      </w:r>
      <w:r>
        <w:rPr>
          <w:rFonts w:hint="eastAsia" w:ascii="宋体" w:hAnsi="宋体" w:eastAsia="宋体"/>
          <w:color w:val="000000"/>
          <w:szCs w:val="21"/>
          <w:highlight w:val="none"/>
        </w:rPr>
        <w:t>的一切运输事项，相关费用应</w:t>
      </w:r>
      <w:r>
        <w:rPr>
          <w:rFonts w:hint="eastAsia" w:ascii="宋体" w:hAnsi="宋体" w:eastAsia="宋体"/>
          <w:color w:val="000000"/>
          <w:szCs w:val="21"/>
          <w:highlight w:val="none"/>
          <w:lang w:eastAsia="zh-CN"/>
        </w:rPr>
        <w:t>包含</w:t>
      </w:r>
      <w:r>
        <w:rPr>
          <w:rFonts w:hint="eastAsia" w:ascii="宋体" w:hAnsi="宋体" w:eastAsia="宋体"/>
          <w:color w:val="000000"/>
          <w:szCs w:val="21"/>
          <w:highlight w:val="none"/>
        </w:rPr>
        <w:t>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w:t>
      </w:r>
    </w:p>
    <w:p>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.3 货物保险要求按</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规定执行</w:t>
      </w:r>
      <w:r>
        <w:rPr>
          <w:rFonts w:hint="eastAsia" w:ascii="宋体" w:hAnsi="宋体" w:eastAsia="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 xml:space="preserve">.4 </w:t>
      </w:r>
      <w:r>
        <w:rPr>
          <w:rFonts w:hint="eastAsia" w:ascii="宋体" w:hAnsi="宋体" w:eastAsia="宋体"/>
          <w:color w:val="000000"/>
          <w:szCs w:val="21"/>
          <w:highlight w:val="none"/>
          <w:lang w:val="en-US" w:eastAsia="zh-CN"/>
        </w:rPr>
        <w:t>除采购活动</w:t>
      </w:r>
      <w:r>
        <w:rPr>
          <w:rFonts w:hint="eastAsia" w:ascii="宋体" w:hAnsi="宋体" w:eastAsia="宋体"/>
          <w:color w:val="000000"/>
          <w:szCs w:val="21"/>
          <w:highlight w:val="none"/>
        </w:rPr>
        <w:t>对商品包装</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w:t>
      </w:r>
      <w:r>
        <w:rPr>
          <w:rFonts w:hint="eastAsia" w:ascii="宋体" w:hAnsi="宋体" w:eastAsia="宋体"/>
          <w:color w:val="000000"/>
          <w:szCs w:val="21"/>
          <w:highlight w:val="none"/>
          <w:lang w:val="en-US" w:eastAsia="zh-CN"/>
        </w:rPr>
        <w:t>达成具体约定外</w:t>
      </w:r>
      <w:r>
        <w:rPr>
          <w:rFonts w:hint="eastAsia" w:ascii="宋体" w:hAnsi="宋体" w:eastAsia="宋体"/>
          <w:color w:val="000000"/>
          <w:szCs w:val="21"/>
          <w:highlight w:val="none"/>
        </w:rPr>
        <w:t>，乙方提供产品及相关快递服务</w:t>
      </w:r>
      <w:r>
        <w:rPr>
          <w:rFonts w:hint="eastAsia" w:ascii="宋体" w:hAnsi="宋体" w:eastAsia="宋体"/>
          <w:color w:val="000000"/>
          <w:szCs w:val="21"/>
          <w:highlight w:val="none"/>
          <w:lang w:val="en-US" w:eastAsia="zh-CN"/>
        </w:rPr>
        <w:t>涉及到</w:t>
      </w:r>
      <w:r>
        <w:rPr>
          <w:rFonts w:hint="eastAsia" w:ascii="宋体" w:hAnsi="宋体" w:eastAsia="宋体"/>
          <w:color w:val="000000"/>
          <w:szCs w:val="21"/>
          <w:highlight w:val="none"/>
        </w:rPr>
        <w:t>具体包装要求</w:t>
      </w:r>
      <w:r>
        <w:rPr>
          <w:rFonts w:hint="eastAsia" w:ascii="宋体" w:hAnsi="宋体" w:eastAsia="宋体"/>
          <w:color w:val="000000"/>
          <w:szCs w:val="21"/>
          <w:highlight w:val="none"/>
          <w:lang w:val="en-US" w:eastAsia="zh-CN"/>
        </w:rPr>
        <w:t>的，</w:t>
      </w:r>
      <w:r>
        <w:rPr>
          <w:rFonts w:hint="eastAsia" w:ascii="宋体" w:hAnsi="宋体" w:eastAsia="宋体"/>
          <w:color w:val="000000"/>
          <w:szCs w:val="21"/>
          <w:highlight w:val="none"/>
        </w:rPr>
        <w:t>应</w:t>
      </w:r>
      <w:r>
        <w:rPr>
          <w:rFonts w:hint="eastAsia" w:ascii="宋体" w:hAnsi="宋体" w:eastAsia="宋体"/>
          <w:color w:val="000000"/>
          <w:szCs w:val="21"/>
          <w:highlight w:val="none"/>
          <w:lang w:val="en-US" w:eastAsia="zh-CN"/>
        </w:rPr>
        <w:t>不低于</w:t>
      </w:r>
      <w:r>
        <w:rPr>
          <w:rFonts w:hint="eastAsia" w:ascii="宋体" w:hAnsi="宋体" w:eastAsia="宋体"/>
          <w:color w:val="000000"/>
          <w:szCs w:val="21"/>
          <w:highlight w:val="none"/>
        </w:rPr>
        <w:t>《商品包装政府采购需求标准（试行）</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快递包装政府采购需求标准（试行）》</w:t>
      </w:r>
      <w:r>
        <w:rPr>
          <w:rFonts w:hint="eastAsia" w:ascii="宋体" w:hAnsi="宋体" w:eastAsia="宋体"/>
          <w:color w:val="000000"/>
          <w:szCs w:val="21"/>
          <w:highlight w:val="none"/>
          <w:lang w:val="en-US" w:eastAsia="zh-CN"/>
        </w:rPr>
        <w:t>标准</w:t>
      </w:r>
      <w:r>
        <w:rPr>
          <w:rFonts w:hint="eastAsia" w:ascii="宋体" w:hAnsi="宋体" w:eastAsia="宋体"/>
          <w:color w:val="000000"/>
          <w:szCs w:val="21"/>
          <w:highlight w:val="none"/>
        </w:rPr>
        <w:t>，并作为履约验收的内容，必要时甲方可以要求乙方在履约验收环节出具检测报告。</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val="en-US" w:eastAsia="zh-CN"/>
        </w:rPr>
        <w:t xml:space="preserve">7.5 </w:t>
      </w:r>
      <w:r>
        <w:rPr>
          <w:rFonts w:hint="eastAsia" w:ascii="宋体" w:hAnsi="宋体" w:eastAsia="宋体" w:cs="宋体"/>
          <w:color w:val="000000"/>
          <w:szCs w:val="21"/>
          <w:highlight w:val="none"/>
        </w:rPr>
        <w:t>乙方在运输到达之前</w:t>
      </w:r>
      <w:r>
        <w:rPr>
          <w:rFonts w:hint="eastAsia" w:ascii="宋体" w:hAnsi="宋体" w:eastAsia="宋体" w:cs="宋体"/>
          <w:color w:val="000000"/>
          <w:szCs w:val="21"/>
          <w:highlight w:val="none"/>
          <w:lang w:eastAsia="zh-CN"/>
        </w:rPr>
        <w:t>应</w:t>
      </w:r>
      <w:r>
        <w:rPr>
          <w:rFonts w:hint="eastAsia" w:ascii="宋体" w:hAnsi="宋体" w:eastAsia="宋体" w:cs="宋体"/>
          <w:color w:val="000000"/>
          <w:szCs w:val="21"/>
          <w:highlight w:val="none"/>
        </w:rPr>
        <w:t>提前通知</w:t>
      </w:r>
      <w:r>
        <w:rPr>
          <w:rFonts w:hint="eastAsia" w:ascii="宋体" w:hAnsi="宋体" w:eastAsia="宋体" w:cs="宋体"/>
          <w:color w:val="000000"/>
          <w:szCs w:val="21"/>
          <w:highlight w:val="none"/>
          <w:lang w:eastAsia="zh-CN"/>
        </w:rPr>
        <w:t>甲方</w:t>
      </w:r>
      <w:r>
        <w:rPr>
          <w:rFonts w:hint="eastAsia" w:ascii="宋体" w:hAnsi="宋体" w:eastAsia="宋体" w:cs="宋体"/>
          <w:color w:val="000000"/>
          <w:szCs w:val="21"/>
          <w:highlight w:val="none"/>
        </w:rPr>
        <w:t>，并提示货物运输装卸的注意事项</w:t>
      </w:r>
      <w:r>
        <w:rPr>
          <w:rFonts w:hint="eastAsia" w:ascii="宋体" w:hAnsi="宋体" w:eastAsia="宋体" w:cs="宋体"/>
          <w:color w:val="000000"/>
          <w:szCs w:val="21"/>
          <w:highlight w:val="none"/>
          <w:lang w:eastAsia="zh-CN"/>
        </w:rPr>
        <w:t>，甲方配合乙方做好货物的接收工作。</w:t>
      </w:r>
    </w:p>
    <w:p>
      <w:pPr>
        <w:autoSpaceDE w:val="0"/>
        <w:autoSpaceDN w:val="0"/>
        <w:adjustRightInd w:val="0"/>
        <w:spacing w:line="400" w:lineRule="exact"/>
        <w:ind w:firstLine="420" w:firstLineChars="200"/>
        <w:rPr>
          <w:rFonts w:hint="default" w:ascii="华文楷体" w:hAnsi="华文楷体" w:eastAsia="华文楷体" w:cs="华文楷体"/>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pPr>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000000"/>
          <w:sz w:val="24"/>
          <w:highlight w:val="none"/>
          <w:lang w:eastAsia="zh-CN"/>
        </w:rPr>
        <w:t>8</w:t>
      </w:r>
      <w:r>
        <w:rPr>
          <w:rFonts w:hint="eastAsia" w:ascii="宋体" w:hAnsi="宋体" w:eastAsia="宋体"/>
          <w:b/>
          <w:color w:val="000000"/>
          <w:sz w:val="24"/>
          <w:highlight w:val="none"/>
          <w:lang w:val="en-US" w:eastAsia="zh-CN"/>
        </w:rPr>
        <w:t xml:space="preserve">. </w:t>
      </w:r>
      <w:r>
        <w:rPr>
          <w:rFonts w:hint="eastAsia" w:ascii="宋体" w:hAnsi="宋体" w:eastAsia="宋体"/>
          <w:b/>
          <w:color w:val="auto"/>
          <w:sz w:val="24"/>
          <w:highlight w:val="none"/>
        </w:rPr>
        <w:t>质量标准和保证</w:t>
      </w:r>
    </w:p>
    <w:p>
      <w:pPr>
        <w:widowControl w:val="0"/>
        <w:adjustRightInd w:val="0"/>
        <w:snapToGrid w:val="0"/>
        <w:spacing w:before="0" w:line="400" w:lineRule="exact"/>
        <w:ind w:firstLine="420" w:firstLineChars="200"/>
        <w:jc w:val="left"/>
        <w:rPr>
          <w:rFonts w:ascii="宋体" w:hAnsi="宋体" w:eastAsia="宋体" w:cs="Courier New"/>
          <w:b/>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8.1 质量标准</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（1）本合同下</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w:t>
      </w:r>
      <w:r>
        <w:rPr>
          <w:rFonts w:hint="eastAsia" w:ascii="宋体" w:hAnsi="宋体" w:eastAsia="宋体"/>
          <w:color w:val="auto"/>
          <w:szCs w:val="21"/>
          <w:highlight w:val="none"/>
          <w:lang w:eastAsia="zh-CN"/>
        </w:rPr>
        <w:t>合同</w:t>
      </w:r>
      <w:r>
        <w:rPr>
          <w:rFonts w:hint="eastAsia" w:ascii="宋体" w:hAnsi="宋体" w:eastAsia="宋体" w:cs="宋体"/>
          <w:color w:val="000000"/>
          <w:szCs w:val="21"/>
          <w:highlight w:val="none"/>
          <w:lang w:eastAsia="zh-CN"/>
        </w:rPr>
        <w:t>约</w:t>
      </w:r>
      <w:r>
        <w:rPr>
          <w:rFonts w:hint="eastAsia" w:ascii="宋体" w:hAnsi="宋体" w:eastAsia="宋体" w:cs="宋体"/>
          <w:color w:val="000000"/>
          <w:szCs w:val="21"/>
          <w:highlight w:val="none"/>
        </w:rPr>
        <w:t>定的</w:t>
      </w:r>
      <w:r>
        <w:rPr>
          <w:rFonts w:hint="eastAsia" w:ascii="宋体" w:hAnsi="宋体" w:eastAsia="宋体" w:cs="宋体"/>
          <w:szCs w:val="21"/>
          <w:highlight w:val="none"/>
        </w:rPr>
        <w:t>品牌、规格型号、技术性能、配置、质量、数量等要求。</w:t>
      </w:r>
      <w:r>
        <w:rPr>
          <w:rFonts w:hint="eastAsia" w:ascii="宋体" w:hAnsi="宋体" w:eastAsia="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olor w:val="auto"/>
          <w:szCs w:val="21"/>
          <w:highlight w:val="none"/>
          <w:lang w:eastAsia="zh-CN"/>
        </w:rPr>
        <w:t>。</w:t>
      </w:r>
    </w:p>
    <w:p>
      <w:pPr>
        <w:widowControl w:val="0"/>
        <w:adjustRightInd w:val="0"/>
        <w:snapToGrid w:val="0"/>
        <w:spacing w:before="0" w:line="400" w:lineRule="exact"/>
        <w:ind w:firstLine="420" w:firstLineChars="200"/>
        <w:jc w:val="left"/>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（2）采用中华人民共和国法定计量单位。</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的货物应符合国家有关安全、环保、卫生</w:t>
      </w:r>
      <w:r>
        <w:rPr>
          <w:rFonts w:hint="eastAsia" w:ascii="宋体" w:hAnsi="宋体" w:eastAsia="宋体"/>
          <w:color w:val="auto"/>
          <w:szCs w:val="21"/>
          <w:highlight w:val="none"/>
          <w:lang w:eastAsia="zh-CN"/>
        </w:rPr>
        <w:t>的</w:t>
      </w:r>
      <w:r>
        <w:rPr>
          <w:rFonts w:hint="eastAsia" w:ascii="宋体" w:hAnsi="宋体" w:eastAsia="宋体"/>
          <w:color w:val="auto"/>
          <w:szCs w:val="21"/>
          <w:highlight w:val="none"/>
        </w:rPr>
        <w:t>规定。</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（4）乙方应向甲方提交所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货物的技术文件，包括相应的中文技术文件，如：产品目录、图纸、操作手册、使用说明、维护手册或服务指南</w:t>
      </w:r>
      <w:r>
        <w:rPr>
          <w:rFonts w:hint="eastAsia" w:ascii="宋体" w:hAnsi="宋体" w:eastAsia="宋体"/>
          <w:color w:val="auto"/>
          <w:szCs w:val="21"/>
          <w:highlight w:val="none"/>
          <w:lang w:eastAsia="zh-CN"/>
        </w:rPr>
        <w:t>等</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上述</w:t>
      </w:r>
      <w:r>
        <w:rPr>
          <w:rFonts w:hint="eastAsia" w:ascii="宋体" w:hAnsi="宋体" w:eastAsia="宋体"/>
          <w:color w:val="auto"/>
          <w:szCs w:val="21"/>
          <w:highlight w:val="none"/>
        </w:rPr>
        <w:t>文件应包装好随货物一同发运。</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8</w:t>
      </w:r>
      <w:r>
        <w:rPr>
          <w:rFonts w:hint="eastAsia" w:ascii="宋体" w:hAnsi="宋体" w:eastAsia="宋体"/>
          <w:color w:val="auto"/>
          <w:szCs w:val="21"/>
          <w:highlight w:val="none"/>
        </w:rPr>
        <w:t>.2 保证</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（1）乙方应保证</w:t>
      </w:r>
      <w:r>
        <w:rPr>
          <w:rFonts w:hint="eastAsia" w:ascii="宋体" w:hAnsi="宋体" w:eastAsia="宋体"/>
          <w:color w:val="auto"/>
          <w:szCs w:val="21"/>
          <w:highlight w:val="none"/>
          <w:lang w:eastAsia="zh-CN"/>
        </w:rPr>
        <w:t>提供的货物</w:t>
      </w:r>
      <w:r>
        <w:rPr>
          <w:rFonts w:hint="eastAsia" w:ascii="宋体" w:hAnsi="宋体" w:eastAsia="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highlight w:val="none"/>
        </w:rPr>
        <w:t>在其使用寿命期内具</w:t>
      </w:r>
      <w:r>
        <w:rPr>
          <w:rFonts w:hint="eastAsia" w:ascii="宋体" w:hAnsi="宋体" w:eastAsia="宋体" w:cs="宋体"/>
          <w:szCs w:val="21"/>
          <w:highlight w:val="none"/>
          <w:lang w:eastAsia="zh-CN"/>
        </w:rPr>
        <w:t>备合同约定</w:t>
      </w:r>
      <w:r>
        <w:rPr>
          <w:rFonts w:hint="eastAsia" w:ascii="宋体" w:hAnsi="宋体" w:eastAsia="宋体" w:cs="宋体"/>
          <w:szCs w:val="21"/>
          <w:highlight w:val="none"/>
        </w:rPr>
        <w:t>的性能</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存在</w:t>
      </w:r>
      <w:r>
        <w:rPr>
          <w:rFonts w:hint="eastAsia" w:ascii="宋体" w:hAnsi="宋体" w:eastAsia="宋体"/>
          <w:color w:val="auto"/>
          <w:szCs w:val="21"/>
          <w:highlight w:val="none"/>
        </w:rPr>
        <w:t>质量保证期的，货物最终交付验收</w:t>
      </w:r>
      <w:r>
        <w:rPr>
          <w:rFonts w:hint="eastAsia" w:ascii="宋体" w:hAnsi="宋体" w:eastAsia="宋体"/>
          <w:color w:val="auto"/>
          <w:szCs w:val="21"/>
          <w:highlight w:val="none"/>
          <w:lang w:eastAsia="zh-CN"/>
        </w:rPr>
        <w:t>合格</w:t>
      </w:r>
      <w:r>
        <w:rPr>
          <w:rFonts w:hint="eastAsia" w:ascii="宋体" w:hAnsi="宋体" w:eastAsia="宋体"/>
          <w:color w:val="auto"/>
          <w:szCs w:val="21"/>
          <w:highlight w:val="none"/>
        </w:rPr>
        <w:t>后</w:t>
      </w:r>
      <w:r>
        <w:rPr>
          <w:rFonts w:hint="eastAsia" w:ascii="宋体" w:hAnsi="宋体" w:eastAsia="宋体"/>
          <w:color w:val="auto"/>
          <w:szCs w:val="21"/>
          <w:highlight w:val="none"/>
          <w:lang w:eastAsia="zh-CN"/>
        </w:rPr>
        <w:t>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规定或乙方</w:t>
      </w:r>
      <w:r>
        <w:rPr>
          <w:rFonts w:hint="eastAsia" w:ascii="宋体" w:hAnsi="宋体" w:eastAsia="宋体"/>
          <w:color w:val="auto"/>
          <w:szCs w:val="21"/>
          <w:highlight w:val="none"/>
          <w:lang w:eastAsia="zh-CN"/>
        </w:rPr>
        <w:t>书面</w:t>
      </w:r>
      <w:r>
        <w:rPr>
          <w:rFonts w:hint="eastAsia" w:ascii="宋体" w:hAnsi="宋体" w:eastAsia="宋体"/>
          <w:color w:val="auto"/>
          <w:szCs w:val="21"/>
          <w:highlight w:val="none"/>
        </w:rPr>
        <w:t>承诺（两者以较长的为准）的质量保证期内，本保证保持有效。</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（2）在质量保证期内所发现的缺陷，甲方应尽快以书面形式通知乙方。</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（3）乙方收到通知后</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应在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规定的响应时间内以合理的速度免费维修或更换有缺陷的货物或部件。</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highlight w:val="none"/>
          <w:lang w:val="en-US" w:eastAsia="zh-CN"/>
        </w:rPr>
        <w:t>5</w:t>
      </w:r>
      <w:r>
        <w:rPr>
          <w:rFonts w:hint="eastAsia" w:ascii="宋体" w:hAnsi="宋体" w:eastAsia="宋体"/>
          <w:color w:val="auto"/>
          <w:szCs w:val="21"/>
          <w:highlight w:val="none"/>
        </w:rPr>
        <w:t>.1条规定以书面形式</w:t>
      </w:r>
      <w:r>
        <w:rPr>
          <w:rFonts w:hint="eastAsia" w:ascii="宋体" w:hAnsi="宋体" w:eastAsia="宋体"/>
          <w:color w:val="000000"/>
          <w:szCs w:val="21"/>
          <w:highlight w:val="none"/>
          <w:lang w:eastAsia="zh-CN"/>
        </w:rPr>
        <w:t>追究</w:t>
      </w:r>
      <w:r>
        <w:rPr>
          <w:rFonts w:hint="eastAsia" w:ascii="宋体" w:hAnsi="宋体" w:eastAsia="宋体"/>
          <w:color w:val="auto"/>
          <w:szCs w:val="21"/>
          <w:highlight w:val="none"/>
        </w:rPr>
        <w:t>乙方</w:t>
      </w:r>
      <w:r>
        <w:rPr>
          <w:rFonts w:hint="eastAsia" w:ascii="宋体" w:hAnsi="宋体" w:eastAsia="宋体"/>
          <w:color w:val="000000"/>
          <w:szCs w:val="21"/>
          <w:highlight w:val="none"/>
          <w:lang w:eastAsia="zh-CN"/>
        </w:rPr>
        <w:t>的违约责任</w:t>
      </w:r>
      <w:r>
        <w:rPr>
          <w:rFonts w:hint="eastAsia" w:ascii="宋体" w:hAnsi="宋体" w:eastAsia="宋体"/>
          <w:color w:val="auto"/>
          <w:szCs w:val="21"/>
          <w:highlight w:val="none"/>
        </w:rPr>
        <w:t>。</w:t>
      </w:r>
    </w:p>
    <w:p>
      <w:pPr>
        <w:adjustRightInd w:val="0"/>
        <w:snapToGrid w:val="0"/>
        <w:spacing w:before="0" w:line="400" w:lineRule="exact"/>
        <w:ind w:firstLine="420" w:firstLineChars="200"/>
        <w:jc w:val="left"/>
        <w:rPr>
          <w:rFonts w:eastAsia="宋体"/>
          <w:color w:val="auto"/>
          <w:highlight w:val="none"/>
        </w:rPr>
      </w:pPr>
      <w:r>
        <w:rPr>
          <w:rFonts w:hint="eastAsia" w:ascii="宋体" w:hAnsi="宋体" w:eastAsia="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对乙方行使的其他权利不受影响。</w:t>
      </w:r>
    </w:p>
    <w:p>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000000"/>
          <w:sz w:val="24"/>
          <w:highlight w:val="none"/>
          <w:lang w:eastAsia="zh-CN"/>
        </w:rPr>
        <w:t>9</w:t>
      </w:r>
      <w:r>
        <w:rPr>
          <w:rFonts w:hint="eastAsia" w:ascii="宋体" w:hAnsi="宋体" w:eastAsia="宋体"/>
          <w:b/>
          <w:bCs/>
          <w:color w:val="auto"/>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auto"/>
          <w:sz w:val="24"/>
          <w:highlight w:val="none"/>
        </w:rPr>
        <w:t>权利瑕疵担保</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.1 乙方保证对其出售的货物享有合法的权利。</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 xml:space="preserve">.2 </w:t>
      </w:r>
      <w:r>
        <w:rPr>
          <w:rFonts w:hint="eastAsia" w:ascii="宋体" w:hAnsi="宋体" w:eastAsia="宋体" w:cs="宋体"/>
          <w:szCs w:val="15"/>
          <w:highlight w:val="none"/>
        </w:rPr>
        <w:t>乙方保证在交付的货物上不存在抵押权等担保物权。</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.3 如甲方使用</w:t>
      </w:r>
      <w:r>
        <w:rPr>
          <w:rFonts w:hint="eastAsia" w:ascii="宋体" w:hAnsi="宋体" w:eastAsia="宋体"/>
          <w:color w:val="000000"/>
          <w:szCs w:val="21"/>
          <w:highlight w:val="none"/>
          <w:lang w:val="en-US" w:eastAsia="zh-CN"/>
        </w:rPr>
        <w:t>上述</w:t>
      </w:r>
      <w:r>
        <w:rPr>
          <w:rFonts w:hint="eastAsia" w:ascii="宋体" w:hAnsi="宋体" w:eastAsia="宋体"/>
          <w:color w:val="000000"/>
          <w:szCs w:val="21"/>
          <w:highlight w:val="none"/>
        </w:rPr>
        <w:t>货物构成</w:t>
      </w:r>
      <w:r>
        <w:rPr>
          <w:rFonts w:hint="eastAsia" w:ascii="宋体" w:hAnsi="宋体" w:eastAsia="宋体"/>
          <w:color w:val="000000"/>
          <w:szCs w:val="21"/>
          <w:highlight w:val="none"/>
          <w:lang w:val="en-US" w:eastAsia="zh-CN"/>
        </w:rPr>
        <w:t>对第三人</w:t>
      </w:r>
      <w:r>
        <w:rPr>
          <w:rFonts w:hint="eastAsia" w:ascii="宋体" w:hAnsi="宋体" w:eastAsia="宋体"/>
          <w:color w:val="000000"/>
          <w:szCs w:val="21"/>
          <w:highlight w:val="none"/>
        </w:rPr>
        <w:t>侵权的，则由乙方承担全部责任。</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rPr>
        <w:t>1</w:t>
      </w:r>
      <w:r>
        <w:rPr>
          <w:rFonts w:hint="eastAsia" w:ascii="宋体" w:hAnsi="宋体" w:eastAsia="宋体"/>
          <w:b/>
          <w:bCs/>
          <w:color w:val="000000"/>
          <w:sz w:val="24"/>
          <w:highlight w:val="none"/>
          <w:lang w:eastAsia="zh-CN"/>
        </w:rPr>
        <w:t>0</w:t>
      </w:r>
      <w:r>
        <w:rPr>
          <w:rFonts w:hint="eastAsia" w:ascii="宋体" w:hAnsi="宋体" w:eastAsia="宋体"/>
          <w:b/>
          <w:bCs/>
          <w:color w:val="000000"/>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知识产权保护</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000000"/>
          <w:szCs w:val="21"/>
          <w:highlight w:val="none"/>
        </w:rPr>
        <w:t>1</w:t>
      </w:r>
      <w:r>
        <w:rPr>
          <w:rFonts w:hint="eastAsia" w:ascii="宋体" w:hAnsi="宋体" w:eastAsia="宋体"/>
          <w:color w:val="000000"/>
          <w:szCs w:val="21"/>
          <w:highlight w:val="none"/>
          <w:lang w:eastAsia="zh-CN"/>
        </w:rPr>
        <w:t>0</w:t>
      </w:r>
      <w:r>
        <w:rPr>
          <w:rFonts w:hint="eastAsia" w:ascii="宋体" w:hAnsi="宋体" w:eastAsia="宋体"/>
          <w:color w:val="000000"/>
          <w:szCs w:val="21"/>
          <w:highlight w:val="none"/>
        </w:rPr>
        <w:t>.1 乙方对其所销售的货物应当享有知识产权或经权利人合法授权，保证没有侵犯任</w:t>
      </w:r>
      <w:r>
        <w:rPr>
          <w:rFonts w:hint="eastAsia" w:ascii="宋体" w:hAnsi="宋体" w:eastAsia="宋体"/>
          <w:color w:val="auto"/>
          <w:szCs w:val="21"/>
          <w:highlight w:val="none"/>
        </w:rPr>
        <w:t>何第三人的知识产权等权利。</w:t>
      </w:r>
      <w:bookmarkStart w:id="32" w:name="_Hlk163047038"/>
      <w:r>
        <w:rPr>
          <w:rFonts w:hint="eastAsia" w:ascii="宋体" w:hAnsi="宋体" w:eastAsia="宋体" w:cs="宋体"/>
          <w:szCs w:val="15"/>
          <w:highlight w:val="none"/>
        </w:rPr>
        <w:t>因违反前述约定对第三人构成侵权的，应当由乙方向第三人承担法律责任；甲方依法向第三人赔偿后，有权向乙方追偿。甲方有其他损失的，乙方应当赔偿</w:t>
      </w:r>
      <w:bookmarkEnd w:id="32"/>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保密义务</w:t>
      </w:r>
    </w:p>
    <w:p>
      <w:pPr>
        <w:autoSpaceDE w:val="0"/>
        <w:autoSpaceDN w:val="0"/>
        <w:adjustRightInd w:val="0"/>
        <w:snapToGrid w:val="0"/>
        <w:spacing w:before="0" w:line="400" w:lineRule="exact"/>
        <w:ind w:firstLine="420" w:firstLineChars="200"/>
        <w:jc w:val="left"/>
        <w:rPr>
          <w:rFonts w:hint="eastAsia" w:ascii="宋体" w:hAnsi="宋体" w:eastAsia="宋体" w:cs="宋体"/>
          <w:szCs w:val="15"/>
          <w:highlight w:val="none"/>
        </w:rPr>
      </w:pPr>
      <w:r>
        <w:rPr>
          <w:rFonts w:hint="eastAsia" w:ascii="宋体" w:hAnsi="宋体" w:eastAsia="宋体" w:cs="宋体"/>
          <w:szCs w:val="15"/>
          <w:highlight w:val="none"/>
          <w:lang w:val="en-US" w:eastAsia="zh-CN"/>
        </w:rPr>
        <w:t xml:space="preserve">11.1 </w:t>
      </w:r>
      <w:r>
        <w:rPr>
          <w:rFonts w:hint="eastAsia" w:ascii="宋体" w:hAnsi="宋体" w:eastAsia="宋体" w:cs="宋体"/>
          <w:szCs w:val="15"/>
          <w:highlight w:val="none"/>
        </w:rPr>
        <w:t>甲、乙双方</w:t>
      </w:r>
      <w:r>
        <w:rPr>
          <w:rFonts w:hint="eastAsia" w:ascii="宋体" w:hAnsi="宋体" w:eastAsia="宋体" w:cs="宋体"/>
          <w:szCs w:val="15"/>
          <w:highlight w:val="none"/>
          <w:lang w:eastAsia="zh-CN"/>
        </w:rPr>
        <w:t>对</w:t>
      </w:r>
      <w:r>
        <w:rPr>
          <w:rFonts w:hint="eastAsia" w:ascii="宋体" w:hAnsi="宋体" w:eastAsia="宋体" w:cs="宋体"/>
          <w:szCs w:val="15"/>
          <w:highlight w:val="none"/>
        </w:rPr>
        <w:t>采购和合同履行过程中所获悉的</w:t>
      </w:r>
      <w:r>
        <w:rPr>
          <w:rFonts w:hint="eastAsia" w:ascii="宋体" w:hAnsi="宋体" w:eastAsia="宋体" w:cs="宋体"/>
          <w:szCs w:val="15"/>
          <w:highlight w:val="none"/>
          <w:lang w:eastAsia="zh-CN"/>
        </w:rPr>
        <w:t>国家秘密、工作秘密、</w:t>
      </w:r>
      <w:r>
        <w:rPr>
          <w:rFonts w:hint="eastAsia" w:ascii="宋体" w:hAnsi="宋体" w:eastAsia="宋体" w:cs="宋体"/>
          <w:szCs w:val="15"/>
          <w:highlight w:val="none"/>
        </w:rPr>
        <w:t>商业秘密或者其他应当保密的信息，均有保密义务</w:t>
      </w:r>
      <w:r>
        <w:rPr>
          <w:rFonts w:hint="eastAsia" w:ascii="宋体" w:hAnsi="宋体" w:eastAsia="宋体" w:cs="宋体"/>
          <w:szCs w:val="15"/>
          <w:highlight w:val="none"/>
          <w:lang w:eastAsia="zh-CN"/>
        </w:rPr>
        <w:t>且不受合同有效期所限，直至该信息成为公开信息</w:t>
      </w:r>
      <w:r>
        <w:rPr>
          <w:rFonts w:hint="eastAsia" w:ascii="宋体" w:hAnsi="宋体" w:eastAsia="宋体" w:cs="宋体"/>
          <w:szCs w:val="15"/>
          <w:highlight w:val="none"/>
        </w:rPr>
        <w:t>。泄露、不正当地使用</w:t>
      </w:r>
      <w:r>
        <w:rPr>
          <w:rFonts w:hint="eastAsia" w:ascii="宋体" w:hAnsi="宋体" w:eastAsia="宋体" w:cs="宋体"/>
          <w:szCs w:val="15"/>
          <w:highlight w:val="none"/>
          <w:lang w:eastAsia="zh-CN"/>
        </w:rPr>
        <w:t>国家秘密、工作秘密、</w:t>
      </w:r>
      <w:r>
        <w:rPr>
          <w:rFonts w:hint="eastAsia" w:ascii="宋体" w:hAnsi="宋体" w:eastAsia="宋体" w:cs="宋体"/>
          <w:szCs w:val="15"/>
          <w:highlight w:val="none"/>
        </w:rPr>
        <w:t>商业秘密或者</w:t>
      </w:r>
      <w:r>
        <w:rPr>
          <w:rFonts w:hint="eastAsia" w:ascii="宋体" w:hAnsi="宋体" w:eastAsia="宋体" w:cs="宋体"/>
          <w:szCs w:val="15"/>
          <w:highlight w:val="none"/>
          <w:lang w:eastAsia="zh-CN"/>
        </w:rPr>
        <w:t>其他应当保密的</w:t>
      </w:r>
      <w:r>
        <w:rPr>
          <w:rFonts w:hint="eastAsia" w:ascii="宋体" w:hAnsi="宋体" w:eastAsia="宋体" w:cs="宋体"/>
          <w:szCs w:val="15"/>
          <w:highlight w:val="none"/>
        </w:rPr>
        <w:t>信息，应当承担</w:t>
      </w:r>
      <w:r>
        <w:rPr>
          <w:rFonts w:hint="eastAsia" w:ascii="宋体" w:hAnsi="宋体" w:eastAsia="宋体" w:cs="宋体"/>
          <w:szCs w:val="15"/>
          <w:highlight w:val="none"/>
          <w:lang w:eastAsia="zh-CN"/>
        </w:rPr>
        <w:t>相应</w:t>
      </w:r>
      <w:r>
        <w:rPr>
          <w:rFonts w:hint="eastAsia" w:ascii="宋体" w:hAnsi="宋体" w:eastAsia="宋体" w:cs="宋体"/>
          <w:szCs w:val="15"/>
          <w:highlight w:val="none"/>
        </w:rPr>
        <w:t>责任。其他应当保密的信息由双方在</w:t>
      </w:r>
      <w:r>
        <w:rPr>
          <w:rFonts w:hint="eastAsia" w:ascii="宋体" w:hAnsi="宋体" w:eastAsia="宋体" w:cs="宋体"/>
          <w:b/>
          <w:bCs/>
          <w:szCs w:val="15"/>
          <w:highlight w:val="none"/>
        </w:rPr>
        <w:t>【政府采购合同专用条款】</w:t>
      </w:r>
      <w:r>
        <w:rPr>
          <w:rFonts w:hint="eastAsia" w:ascii="宋体" w:hAnsi="宋体" w:eastAsia="宋体" w:cs="宋体"/>
          <w:szCs w:val="15"/>
          <w:highlight w:val="none"/>
        </w:rPr>
        <w:t>中约定。</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2</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合同价款支付</w:t>
      </w:r>
    </w:p>
    <w:p>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2</w:t>
      </w:r>
      <w:r>
        <w:rPr>
          <w:rFonts w:hint="eastAsia" w:ascii="宋体" w:hAnsi="宋体" w:eastAsia="宋体"/>
          <w:color w:val="auto"/>
          <w:szCs w:val="21"/>
          <w:highlight w:val="none"/>
        </w:rPr>
        <w:t xml:space="preserve">.1 </w:t>
      </w:r>
      <w:r>
        <w:rPr>
          <w:rFonts w:hint="eastAsia" w:ascii="宋体" w:hAnsi="宋体" w:eastAsia="宋体"/>
          <w:color w:val="auto"/>
          <w:szCs w:val="21"/>
          <w:highlight w:val="none"/>
          <w:lang w:eastAsia="zh-CN"/>
        </w:rPr>
        <w:t>合同价款支付</w:t>
      </w:r>
      <w:r>
        <w:rPr>
          <w:rFonts w:hint="eastAsia" w:ascii="宋体" w:hAnsi="宋体" w:eastAsia="宋体"/>
          <w:color w:val="auto"/>
          <w:szCs w:val="21"/>
          <w:highlight w:val="none"/>
        </w:rPr>
        <w:t>按照国库集中支付</w:t>
      </w:r>
      <w:r>
        <w:rPr>
          <w:rFonts w:hint="eastAsia" w:ascii="宋体" w:hAnsi="宋体" w:eastAsia="宋体"/>
          <w:color w:val="auto"/>
          <w:szCs w:val="21"/>
          <w:highlight w:val="none"/>
          <w:lang w:eastAsia="zh-CN"/>
        </w:rPr>
        <w:t>制度及财政管理相关</w:t>
      </w:r>
      <w:r>
        <w:rPr>
          <w:rFonts w:hint="eastAsia" w:ascii="宋体" w:hAnsi="宋体" w:eastAsia="宋体"/>
          <w:color w:val="auto"/>
          <w:szCs w:val="21"/>
          <w:highlight w:val="none"/>
        </w:rPr>
        <w:t>规定执行。</w:t>
      </w:r>
    </w:p>
    <w:p>
      <w:pPr>
        <w:keepNext/>
        <w:keepLines/>
        <w:widowControl w:val="0"/>
        <w:spacing w:line="400" w:lineRule="exact"/>
        <w:ind w:firstLine="420" w:firstLineChars="200"/>
        <w:jc w:val="both"/>
        <w:outlineLvl w:val="1"/>
        <w:rPr>
          <w:rFonts w:hint="eastAsia" w:ascii="Arial" w:hAnsi="Arial" w:eastAsia="宋体" w:cs="Times New Roman"/>
          <w:b/>
          <w:bCs/>
          <w:color w:val="auto"/>
          <w:kern w:val="2"/>
          <w:sz w:val="24"/>
          <w:szCs w:val="32"/>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12.2 对于满足合同约定支付条件的，甲方</w:t>
      </w:r>
      <w:r>
        <w:rPr>
          <w:rFonts w:hint="eastAsia" w:ascii="宋体" w:hAnsi="宋体" w:eastAsia="宋体" w:cs="Times New Roman"/>
          <w:b w:val="0"/>
          <w:bCs w:val="0"/>
          <w:i w:val="0"/>
          <w:iCs w:val="0"/>
          <w:caps w:val="0"/>
          <w:color w:val="auto"/>
          <w:spacing w:val="0"/>
          <w:kern w:val="2"/>
          <w:sz w:val="21"/>
          <w:szCs w:val="21"/>
          <w:highlight w:val="none"/>
          <w:shd w:val="clear"/>
          <w:vertAlign w:val="baseline"/>
          <w:lang w:val="en-US" w:eastAsia="zh-CN" w:bidi="ar-SA"/>
        </w:rPr>
        <w:t>原则上应当自收到发票后10个工作日内</w:t>
      </w:r>
      <w:r>
        <w:rPr>
          <w:rFonts w:hint="eastAsia" w:ascii="宋体" w:hAnsi="宋体" w:eastAsia="宋体" w:cs="Times New Roman"/>
          <w:b w:val="0"/>
          <w:bCs w:val="0"/>
          <w:color w:val="auto"/>
          <w:kern w:val="2"/>
          <w:sz w:val="21"/>
          <w:szCs w:val="21"/>
          <w:highlight w:val="none"/>
          <w:lang w:val="en-US" w:eastAsia="zh-CN" w:bidi="ar-SA"/>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pPr>
        <w:widowControl w:val="0"/>
        <w:spacing w:after="0" w:line="400" w:lineRule="exact"/>
        <w:jc w:val="both"/>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 履约保证金</w:t>
      </w:r>
    </w:p>
    <w:p>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 xml:space="preserve">.1 </w:t>
      </w:r>
      <w:r>
        <w:rPr>
          <w:rFonts w:hint="eastAsia" w:ascii="宋体" w:hAnsi="宋体" w:eastAsia="宋体" w:cs="宋体"/>
          <w:szCs w:val="15"/>
          <w:highlight w:val="none"/>
        </w:rPr>
        <w:t>乙方应当以支票、汇票、本票或者金融机构、担保机构出具的保函等非现金形式提交。</w:t>
      </w:r>
    </w:p>
    <w:p>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.2 如果乙方</w:t>
      </w:r>
      <w:r>
        <w:rPr>
          <w:rFonts w:hint="eastAsia" w:ascii="宋体" w:hAnsi="宋体" w:eastAsia="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eastAsia="宋体" w:cs="宋体"/>
          <w:b w:val="0"/>
          <w:bCs w:val="0"/>
          <w:szCs w:val="15"/>
          <w:highlight w:val="none"/>
          <w:lang w:eastAsia="zh-CN"/>
        </w:rPr>
        <w:t>约定情形的</w:t>
      </w:r>
      <w:r>
        <w:rPr>
          <w:rFonts w:hint="eastAsia" w:ascii="宋体" w:hAnsi="宋体" w:eastAsia="宋体"/>
          <w:color w:val="auto"/>
          <w:szCs w:val="21"/>
          <w:highlight w:val="none"/>
        </w:rPr>
        <w:t>，履约保证金不予退还；如果乙方未能按合同约定全面履行义务，甲方有权从履约保证金中取得补偿或赔偿，</w:t>
      </w:r>
      <w:r>
        <w:rPr>
          <w:rFonts w:hint="eastAsia" w:ascii="宋体" w:hAnsi="宋体" w:eastAsia="宋体"/>
          <w:color w:val="auto"/>
          <w:szCs w:val="21"/>
          <w:highlight w:val="none"/>
          <w:lang w:eastAsia="zh-CN"/>
        </w:rPr>
        <w:t>且</w:t>
      </w:r>
      <w:r>
        <w:rPr>
          <w:rFonts w:hint="eastAsia" w:ascii="宋体" w:hAnsi="宋体" w:eastAsia="宋体"/>
          <w:color w:val="auto"/>
          <w:szCs w:val="21"/>
          <w:highlight w:val="none"/>
        </w:rPr>
        <w:t>不影响甲方要求乙方承担合同约定的超过履约保证金的违约责任的权利。</w:t>
      </w:r>
    </w:p>
    <w:p>
      <w:pPr>
        <w:spacing w:line="400" w:lineRule="exact"/>
        <w:ind w:firstLine="420"/>
        <w:rPr>
          <w:rFonts w:eastAsia="宋体"/>
          <w:color w:val="auto"/>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.3 甲方在项目通过验收后按照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规定的时间内将履约保证金退还乙方；逾期退还的，乙方可要求甲方支付违约金，违约金按照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规定支付。</w:t>
      </w:r>
    </w:p>
    <w:p>
      <w:p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4</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eastAsia="宋体"/>
          <w:b/>
          <w:color w:val="auto"/>
          <w:sz w:val="24"/>
          <w:highlight w:val="none"/>
        </w:rPr>
        <w:t>售后</w:t>
      </w:r>
      <w:r>
        <w:rPr>
          <w:rFonts w:hint="eastAsia" w:ascii="宋体" w:hAnsi="宋体" w:eastAsia="宋体"/>
          <w:b/>
          <w:color w:val="auto"/>
          <w:sz w:val="24"/>
          <w:highlight w:val="none"/>
        </w:rPr>
        <w:t>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4</w:t>
      </w:r>
      <w:r>
        <w:rPr>
          <w:rFonts w:hint="eastAsia" w:ascii="宋体" w:hAnsi="宋体" w:eastAsia="宋体"/>
          <w:color w:val="auto"/>
          <w:szCs w:val="21"/>
          <w:highlight w:val="none"/>
        </w:rPr>
        <w:t>.1 除项目不涉及或采购活动中明确约定无须承担外，乙方还应提供下列服务：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（1）货物的现场移动、安装、调试、启动监督及技术支持；</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（2）提供货物组装和维修所需的专用工具和辅助材料；</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的期限内对所有的货物实施运行监督、维修，但前提条件是该服务并不能免除乙方在质量保证期内所承担的义务；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（4）在制造商</w:t>
      </w:r>
      <w:r>
        <w:rPr>
          <w:rFonts w:hint="eastAsia" w:ascii="宋体" w:hAnsi="宋体" w:eastAsia="宋体"/>
          <w:color w:val="auto"/>
          <w:szCs w:val="21"/>
          <w:highlight w:val="none"/>
          <w:lang w:eastAsia="zh-CN"/>
        </w:rPr>
        <w:t>所在地</w:t>
      </w:r>
      <w:r>
        <w:rPr>
          <w:rFonts w:hint="eastAsia" w:ascii="宋体" w:hAnsi="宋体" w:eastAsia="宋体"/>
          <w:color w:val="auto"/>
          <w:szCs w:val="21"/>
          <w:highlight w:val="none"/>
        </w:rPr>
        <w:t>或</w:t>
      </w:r>
      <w:r>
        <w:rPr>
          <w:rFonts w:hint="eastAsia" w:ascii="宋体" w:hAnsi="宋体" w:eastAsia="宋体"/>
          <w:color w:val="auto"/>
          <w:szCs w:val="21"/>
          <w:highlight w:val="none"/>
          <w:lang w:eastAsia="zh-CN"/>
        </w:rPr>
        <w:t>指定</w:t>
      </w:r>
      <w:r>
        <w:rPr>
          <w:rFonts w:hint="eastAsia" w:ascii="宋体" w:hAnsi="宋体" w:eastAsia="宋体"/>
          <w:color w:val="auto"/>
          <w:szCs w:val="21"/>
          <w:highlight w:val="none"/>
        </w:rPr>
        <w:t>现场就货物的安装、启动、运营、维护</w:t>
      </w:r>
      <w:r>
        <w:rPr>
          <w:rFonts w:hint="eastAsia" w:ascii="宋体" w:hAnsi="宋体" w:eastAsia="宋体"/>
          <w:color w:val="auto"/>
          <w:szCs w:val="21"/>
          <w:highlight w:val="none"/>
          <w:lang w:eastAsia="zh-CN"/>
        </w:rPr>
        <w:t>、废弃处置等</w:t>
      </w:r>
      <w:r>
        <w:rPr>
          <w:rFonts w:hint="eastAsia" w:ascii="宋体" w:hAnsi="宋体" w:eastAsia="宋体"/>
          <w:color w:val="auto"/>
          <w:szCs w:val="21"/>
          <w:highlight w:val="none"/>
        </w:rPr>
        <w:t>对甲方操作人员进行培训</w:t>
      </w:r>
      <w:r>
        <w:rPr>
          <w:rFonts w:hint="eastAsia" w:ascii="宋体" w:hAnsi="宋体" w:eastAsia="宋体" w:cs="宋体"/>
          <w:szCs w:val="15"/>
          <w:highlight w:val="none"/>
          <w:lang w:eastAsia="zh-CN"/>
        </w:rPr>
        <w:t>；</w:t>
      </w:r>
    </w:p>
    <w:p>
      <w:pPr>
        <w:autoSpaceDE w:val="0"/>
        <w:autoSpaceDN w:val="0"/>
        <w:adjustRightInd w:val="0"/>
        <w:spacing w:line="40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（5）依照法律、行政法规的规定或者按照</w:t>
      </w:r>
      <w:r>
        <w:rPr>
          <w:rFonts w:hint="eastAsia" w:ascii="宋体" w:hAnsi="宋体" w:eastAsia="宋体" w:cs="宋体"/>
          <w:b/>
          <w:bCs/>
          <w:sz w:val="21"/>
          <w:szCs w:val="21"/>
          <w:highlight w:val="none"/>
          <w:lang w:val="en-US" w:eastAsia="zh-CN" w:bidi="ar-SA"/>
        </w:rPr>
        <w:t>【政府采购合同专用条款】</w:t>
      </w:r>
      <w:r>
        <w:rPr>
          <w:rFonts w:hint="eastAsia" w:ascii="宋体" w:hAnsi="宋体" w:eastAsia="宋体" w:cs="宋体"/>
          <w:sz w:val="21"/>
          <w:szCs w:val="21"/>
          <w:highlight w:val="none"/>
          <w:lang w:val="en-US" w:eastAsia="zh-CN" w:bidi="ar-SA"/>
        </w:rPr>
        <w:t>约定，货物在有效使用年限届满后应予回收的，乙方负有自行或者委托第三人对货物予以回收的义务；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规定由乙方提供的其他服务。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.2 乙方提供的</w:t>
      </w:r>
      <w:r>
        <w:rPr>
          <w:rFonts w:hint="eastAsia" w:ascii="宋体" w:hAnsi="宋体" w:eastAsia="宋体"/>
          <w:color w:val="auto"/>
          <w:szCs w:val="21"/>
          <w:highlight w:val="none"/>
          <w:lang w:eastAsia="zh-CN"/>
        </w:rPr>
        <w:t>售后</w:t>
      </w:r>
      <w:r>
        <w:rPr>
          <w:rFonts w:hint="eastAsia" w:ascii="宋体" w:hAnsi="宋体" w:eastAsia="宋体"/>
          <w:color w:val="auto"/>
          <w:szCs w:val="21"/>
          <w:highlight w:val="none"/>
        </w:rPr>
        <w:t>服务的费用</w:t>
      </w:r>
      <w:r>
        <w:rPr>
          <w:rFonts w:hint="eastAsia" w:ascii="宋体" w:hAnsi="宋体" w:eastAsia="宋体"/>
          <w:color w:val="auto"/>
          <w:szCs w:val="21"/>
          <w:highlight w:val="none"/>
          <w:lang w:val="en-US" w:eastAsia="zh-CN"/>
        </w:rPr>
        <w:t>已</w:t>
      </w:r>
      <w:r>
        <w:rPr>
          <w:rFonts w:hint="eastAsia" w:ascii="宋体" w:hAnsi="宋体" w:eastAsia="宋体"/>
          <w:color w:val="auto"/>
          <w:szCs w:val="21"/>
          <w:highlight w:val="none"/>
        </w:rPr>
        <w:t>包含在合同价款中，甲方不再另行支付。</w:t>
      </w:r>
    </w:p>
    <w:p>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5</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违约责任</w:t>
      </w:r>
    </w:p>
    <w:p>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.1质量瑕疵的</w:t>
      </w:r>
      <w:r>
        <w:rPr>
          <w:rFonts w:hint="eastAsia" w:ascii="宋体" w:hAnsi="宋体" w:eastAsia="宋体"/>
          <w:bCs/>
          <w:color w:val="auto"/>
          <w:szCs w:val="21"/>
          <w:highlight w:val="none"/>
          <w:lang w:eastAsia="zh-CN"/>
        </w:rPr>
        <w:t>违约责任</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乙方</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的产品不符合</w:t>
      </w:r>
      <w:r>
        <w:rPr>
          <w:rFonts w:hint="eastAsia" w:ascii="宋体" w:hAnsi="宋体" w:eastAsia="宋体"/>
          <w:color w:val="auto"/>
          <w:szCs w:val="21"/>
          <w:highlight w:val="none"/>
          <w:lang w:eastAsia="zh-CN"/>
        </w:rPr>
        <w:t>合同约定的</w:t>
      </w:r>
      <w:r>
        <w:rPr>
          <w:rFonts w:hint="eastAsia" w:ascii="宋体" w:hAnsi="宋体" w:eastAsia="宋体"/>
          <w:color w:val="auto"/>
          <w:szCs w:val="21"/>
          <w:highlight w:val="none"/>
        </w:rPr>
        <w:t>质量标准或存在产品质量缺陷，</w:t>
      </w:r>
      <w:r>
        <w:rPr>
          <w:rFonts w:hint="eastAsia" w:ascii="宋体" w:hAnsi="宋体" w:eastAsia="宋体"/>
          <w:color w:val="auto"/>
          <w:szCs w:val="21"/>
          <w:highlight w:val="none"/>
          <w:lang w:eastAsia="zh-CN"/>
        </w:rPr>
        <w:t>甲方有权要求乙方根据</w:t>
      </w:r>
      <w:r>
        <w:rPr>
          <w:rFonts w:hint="eastAsia" w:ascii="宋体" w:hAnsi="宋体" w:eastAsia="宋体"/>
          <w:b/>
          <w:color w:val="auto"/>
          <w:szCs w:val="21"/>
          <w:highlight w:val="none"/>
        </w:rPr>
        <w:t>【政府采购合同专用条款】</w:t>
      </w:r>
      <w:r>
        <w:rPr>
          <w:rFonts w:hint="eastAsia" w:ascii="宋体" w:hAnsi="宋体" w:eastAsia="宋体"/>
          <w:b w:val="0"/>
          <w:bCs/>
          <w:color w:val="auto"/>
          <w:szCs w:val="21"/>
          <w:highlight w:val="none"/>
          <w:lang w:eastAsia="zh-CN"/>
        </w:rPr>
        <w:t>要求</w:t>
      </w:r>
      <w:r>
        <w:rPr>
          <w:rFonts w:hint="eastAsia" w:ascii="宋体" w:hAnsi="宋体" w:eastAsia="宋体"/>
          <w:color w:val="auto"/>
          <w:szCs w:val="21"/>
          <w:highlight w:val="none"/>
          <w:lang w:eastAsia="zh-CN"/>
        </w:rPr>
        <w:t>及时修理、重作、更换，并承担由此给甲</w:t>
      </w:r>
      <w:r>
        <w:rPr>
          <w:rFonts w:hint="eastAsia" w:ascii="宋体" w:hAnsi="宋体" w:eastAsia="宋体"/>
          <w:color w:val="auto"/>
          <w:szCs w:val="21"/>
          <w:highlight w:val="none"/>
        </w:rPr>
        <w:t>方</w:t>
      </w:r>
      <w:r>
        <w:rPr>
          <w:rFonts w:hint="eastAsia" w:ascii="宋体" w:hAnsi="宋体" w:eastAsia="宋体"/>
          <w:color w:val="auto"/>
          <w:szCs w:val="21"/>
          <w:highlight w:val="none"/>
          <w:lang w:eastAsia="zh-CN"/>
        </w:rPr>
        <w:t>造成的损失</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.2 迟延交货的违约责任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（1）乙方应按照本合同规定的时间、地点交货和提供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服务。在履行合同过程中，如果乙方遇到可能</w:t>
      </w:r>
      <w:r>
        <w:rPr>
          <w:rFonts w:hint="eastAsia" w:ascii="宋体" w:hAnsi="宋体" w:eastAsia="宋体"/>
          <w:color w:val="auto"/>
          <w:szCs w:val="21"/>
          <w:highlight w:val="none"/>
          <w:lang w:eastAsia="zh-CN"/>
        </w:rPr>
        <w:t>影响</w:t>
      </w:r>
      <w:r>
        <w:rPr>
          <w:rFonts w:hint="eastAsia" w:ascii="宋体" w:hAnsi="宋体" w:eastAsia="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olor w:val="auto"/>
          <w:szCs w:val="21"/>
          <w:highlight w:val="none"/>
          <w:lang w:eastAsia="zh-CN"/>
        </w:rPr>
        <w:t>长</w:t>
      </w:r>
      <w:r>
        <w:rPr>
          <w:rFonts w:hint="eastAsia" w:ascii="宋体" w:hAnsi="宋体" w:eastAsia="宋体"/>
          <w:color w:val="auto"/>
          <w:szCs w:val="21"/>
          <w:highlight w:val="none"/>
        </w:rPr>
        <w:t>交货时间或延期提供服务。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（2）如果乙方没有按照合同规定的时间交货和提供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服务，甲方有权从货款中扣除误期赔偿费而不影响合同项下的其他补救方法，赔偿费按</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规定执行。如果涉及公共利益，且赔偿金额无法弥补公共利益损失，</w:t>
      </w:r>
      <w:r>
        <w:rPr>
          <w:rFonts w:hint="eastAsia" w:ascii="宋体" w:hAnsi="宋体" w:eastAsia="宋体"/>
          <w:color w:val="auto"/>
          <w:szCs w:val="21"/>
          <w:highlight w:val="none"/>
          <w:lang w:eastAsia="zh-CN"/>
        </w:rPr>
        <w:t>甲方</w:t>
      </w:r>
      <w:r>
        <w:rPr>
          <w:rFonts w:hint="eastAsia" w:ascii="宋体" w:hAnsi="宋体" w:eastAsia="宋体"/>
          <w:color w:val="auto"/>
          <w:szCs w:val="21"/>
          <w:highlight w:val="none"/>
        </w:rPr>
        <w:t>可要求继续履行或者</w:t>
      </w:r>
      <w:r>
        <w:rPr>
          <w:rFonts w:hint="eastAsia" w:ascii="宋体" w:hAnsi="宋体" w:eastAsia="宋体"/>
          <w:color w:val="auto"/>
          <w:szCs w:val="21"/>
          <w:highlight w:val="none"/>
          <w:lang w:eastAsia="zh-CN"/>
        </w:rPr>
        <w:t>采取其他补救措施</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5</w:t>
      </w:r>
      <w:r>
        <w:rPr>
          <w:rFonts w:hint="eastAsia" w:ascii="宋体" w:hAnsi="宋体" w:eastAsia="宋体"/>
          <w:color w:val="auto"/>
          <w:szCs w:val="21"/>
          <w:highlight w:val="none"/>
        </w:rPr>
        <w:t>.3 迟延支付的违约责任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甲方存在迟延支付乙方合同款项的，应当承担</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规定的逾期付款利息。</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.4其他违约责任根据项目实际需要按</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规定执行。</w:t>
      </w:r>
    </w:p>
    <w:p>
      <w:pPr>
        <w:numPr>
          <w:ilvl w:val="0"/>
          <w:numId w:val="9"/>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rPr>
        <w:t>合同变更</w:t>
      </w:r>
      <w:r>
        <w:rPr>
          <w:rFonts w:hint="eastAsia" w:ascii="宋体" w:hAnsi="宋体" w:eastAsia="宋体"/>
          <w:b/>
          <w:color w:val="auto"/>
          <w:sz w:val="24"/>
          <w:highlight w:val="none"/>
          <w:lang w:eastAsia="zh-CN"/>
        </w:rPr>
        <w:t>、中止与终止</w:t>
      </w:r>
    </w:p>
    <w:p>
      <w:pPr>
        <w:autoSpaceDE/>
        <w:autoSpaceDN/>
        <w:adjustRightInd w:val="0"/>
        <w:snapToGrid w:val="0"/>
        <w:spacing w:before="0" w:line="400" w:lineRule="exact"/>
        <w:ind w:firstLine="0" w:firstLineChars="0"/>
        <w:jc w:val="left"/>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 xml:space="preserve">    </w:t>
      </w: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.1合同的</w:t>
      </w:r>
      <w:r>
        <w:rPr>
          <w:rFonts w:hint="eastAsia" w:ascii="宋体" w:hAnsi="宋体" w:eastAsia="宋体"/>
          <w:color w:val="auto"/>
          <w:szCs w:val="21"/>
          <w:highlight w:val="none"/>
          <w:lang w:eastAsia="zh-CN"/>
        </w:rPr>
        <w:t>变更</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政府采购合同履行中，</w:t>
      </w:r>
      <w:r>
        <w:rPr>
          <w:rFonts w:hint="eastAsia" w:ascii="宋体" w:hAnsi="宋体" w:eastAsia="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olor w:val="auto"/>
          <w:szCs w:val="21"/>
          <w:highlight w:val="none"/>
          <w:lang w:eastAsia="zh-CN"/>
        </w:rPr>
        <w:t>一致后</w:t>
      </w:r>
      <w:r>
        <w:rPr>
          <w:rFonts w:hint="eastAsia" w:ascii="宋体" w:hAnsi="宋体" w:eastAsia="宋体"/>
          <w:color w:val="auto"/>
          <w:szCs w:val="21"/>
          <w:highlight w:val="none"/>
        </w:rPr>
        <w:t>签订补充协议。</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合同的中止</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（1）合同履行过程中因供应商就采购文件、采购过程或结果提起投诉的，甲方认为有必要的，</w:t>
      </w:r>
      <w:r>
        <w:rPr>
          <w:rFonts w:hint="eastAsia" w:ascii="宋体" w:hAnsi="宋体" w:eastAsia="宋体"/>
          <w:color w:val="auto"/>
          <w:szCs w:val="21"/>
          <w:highlight w:val="none"/>
          <w:lang w:eastAsia="zh-CN"/>
        </w:rPr>
        <w:t>可以</w:t>
      </w:r>
      <w:r>
        <w:rPr>
          <w:rFonts w:hint="eastAsia" w:ascii="宋体" w:hAnsi="宋体" w:eastAsia="宋体"/>
          <w:color w:val="auto"/>
          <w:szCs w:val="21"/>
          <w:highlight w:val="none"/>
        </w:rPr>
        <w:t>中止合同的履行。</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合同履行过程中，</w:t>
      </w:r>
      <w:r>
        <w:rPr>
          <w:rFonts w:hint="eastAsia" w:ascii="宋体" w:hAnsi="宋体" w:eastAsia="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olor w:val="auto"/>
          <w:szCs w:val="21"/>
          <w:highlight w:val="none"/>
          <w:lang w:eastAsia="zh-CN"/>
        </w:rPr>
        <w:t>，乙方有义务及时告知甲方</w:t>
      </w:r>
      <w:r>
        <w:rPr>
          <w:rFonts w:hint="eastAsia" w:ascii="宋体" w:hAnsi="宋体" w:eastAsia="宋体"/>
          <w:color w:val="auto"/>
          <w:szCs w:val="21"/>
          <w:highlight w:val="none"/>
        </w:rPr>
        <w:t>。甲方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以书面形式通知乙方中止合同</w:t>
      </w:r>
      <w:r>
        <w:rPr>
          <w:rFonts w:hint="eastAsia" w:ascii="宋体" w:hAnsi="宋体" w:eastAsia="宋体"/>
          <w:color w:val="auto"/>
          <w:szCs w:val="21"/>
          <w:highlight w:val="none"/>
          <w:lang w:eastAsia="zh-CN"/>
        </w:rPr>
        <w:t>并要求乙方在合理期限内消除相关情形或者提供适当担保。</w:t>
      </w:r>
      <w:r>
        <w:rPr>
          <w:rFonts w:hint="eastAsia" w:ascii="宋体" w:hAnsi="宋体" w:eastAsia="宋体"/>
          <w:color w:val="auto"/>
          <w:szCs w:val="21"/>
          <w:highlight w:val="none"/>
        </w:rPr>
        <w:t>乙方提供适当担保的，</w:t>
      </w:r>
      <w:r>
        <w:rPr>
          <w:rFonts w:hint="eastAsia" w:ascii="宋体" w:hAnsi="宋体" w:eastAsia="宋体"/>
          <w:color w:val="auto"/>
          <w:szCs w:val="21"/>
          <w:highlight w:val="none"/>
          <w:lang w:eastAsia="zh-CN"/>
        </w:rPr>
        <w:t>合同继续</w:t>
      </w:r>
      <w:r>
        <w:rPr>
          <w:rFonts w:hint="eastAsia" w:ascii="宋体" w:hAnsi="宋体" w:eastAsia="宋体"/>
          <w:color w:val="auto"/>
          <w:szCs w:val="21"/>
          <w:highlight w:val="none"/>
        </w:rPr>
        <w:t>履行</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方在合理期限内未恢复履约能力且未提供适当担保的，视为拒绝</w:t>
      </w:r>
      <w:r>
        <w:rPr>
          <w:rFonts w:hint="eastAsia" w:ascii="宋体" w:hAnsi="宋体" w:eastAsia="宋体"/>
          <w:color w:val="auto"/>
          <w:szCs w:val="21"/>
          <w:highlight w:val="none"/>
          <w:lang w:eastAsia="zh-CN"/>
        </w:rPr>
        <w:t>继续</w:t>
      </w:r>
      <w:r>
        <w:rPr>
          <w:rFonts w:hint="eastAsia" w:ascii="宋体" w:hAnsi="宋体" w:eastAsia="宋体"/>
          <w:color w:val="auto"/>
          <w:szCs w:val="21"/>
          <w:highlight w:val="none"/>
        </w:rPr>
        <w:t>履约，甲方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解除合同并要求乙方承担</w:t>
      </w:r>
      <w:r>
        <w:rPr>
          <w:rFonts w:hint="eastAsia" w:ascii="宋体" w:hAnsi="宋体" w:eastAsia="宋体"/>
          <w:color w:val="auto"/>
          <w:szCs w:val="21"/>
          <w:highlight w:val="none"/>
          <w:lang w:eastAsia="zh-CN"/>
        </w:rPr>
        <w:t>由此给甲方造成的损失</w:t>
      </w:r>
      <w:r>
        <w:rPr>
          <w:rFonts w:hint="eastAsia" w:ascii="宋体" w:hAnsi="宋体" w:eastAsia="宋体"/>
          <w:color w:val="auto"/>
          <w:szCs w:val="21"/>
          <w:highlight w:val="none"/>
        </w:rPr>
        <w:t>。</w:t>
      </w:r>
    </w:p>
    <w:p>
      <w:pPr>
        <w:autoSpaceDE w:val="0"/>
        <w:autoSpaceDN w:val="0"/>
        <w:adjustRightInd w:val="0"/>
        <w:spacing w:line="400" w:lineRule="exact"/>
        <w:ind w:firstLine="420" w:firstLineChars="200"/>
        <w:jc w:val="both"/>
        <w:rPr>
          <w:rFonts w:ascii="华文楷体" w:hAnsi="华文楷体" w:eastAsia="华文楷体" w:cs="华文楷体"/>
          <w:sz w:val="21"/>
          <w:szCs w:val="21"/>
          <w:highlight w:val="none"/>
          <w:lang w:val="en-US" w:eastAsia="zh-CN" w:bidi="ar-SA"/>
        </w:rPr>
      </w:pPr>
      <w:r>
        <w:rPr>
          <w:rFonts w:hint="eastAsia" w:ascii="宋体" w:hAnsi="宋体" w:eastAsia="宋体" w:cs="宋体"/>
          <w:sz w:val="21"/>
          <w:szCs w:val="21"/>
          <w:highlight w:val="none"/>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rPr>
          <w:rFonts w:eastAsia="宋体"/>
          <w:sz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）甲方不得以行政区划调整、政府换届、机构或者职能调整以及相关责任人更替为由中止合同。</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合同的终止</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（1）合同因有效期限届满而终止；</w:t>
      </w:r>
    </w:p>
    <w:p>
      <w:pPr>
        <w:snapToGrid w:val="0"/>
        <w:spacing w:line="400" w:lineRule="exact"/>
        <w:ind w:firstLine="420" w:firstLineChars="200"/>
        <w:rPr>
          <w:rFonts w:hint="eastAsia" w:ascii="宋体" w:hAnsi="宋体" w:eastAsia="宋体" w:cs="宋体"/>
          <w:szCs w:val="21"/>
          <w:highlight w:val="none"/>
          <w:lang w:eastAsia="zh-CN"/>
        </w:rPr>
      </w:pPr>
      <w:r>
        <w:rPr>
          <w:rFonts w:hint="eastAsia" w:ascii="宋体" w:hAnsi="宋体" w:eastAsia="宋体"/>
          <w:color w:val="auto"/>
          <w:szCs w:val="21"/>
          <w:highlight w:val="none"/>
        </w:rPr>
        <w:t>（2）乙方未</w:t>
      </w:r>
      <w:r>
        <w:rPr>
          <w:rFonts w:hint="eastAsia" w:ascii="宋体" w:hAnsi="宋体" w:eastAsia="宋体"/>
          <w:color w:val="auto"/>
          <w:szCs w:val="21"/>
          <w:highlight w:val="none"/>
          <w:lang w:eastAsia="zh-CN"/>
        </w:rPr>
        <w:t>按</w:t>
      </w:r>
      <w:r>
        <w:rPr>
          <w:rFonts w:hint="eastAsia" w:ascii="宋体" w:hAnsi="宋体" w:eastAsia="宋体"/>
          <w:color w:val="auto"/>
          <w:szCs w:val="21"/>
          <w:highlight w:val="none"/>
        </w:rPr>
        <w:t>合同约定履行，构成根本性违约的，甲方有权终止合同</w:t>
      </w:r>
      <w:r>
        <w:rPr>
          <w:rFonts w:hint="eastAsia" w:ascii="宋体" w:hAnsi="宋体" w:eastAsia="宋体"/>
          <w:color w:val="auto"/>
          <w:szCs w:val="21"/>
          <w:highlight w:val="none"/>
          <w:lang w:eastAsia="zh-CN"/>
        </w:rPr>
        <w:t>，</w:t>
      </w:r>
      <w:r>
        <w:rPr>
          <w:rFonts w:hint="eastAsia" w:ascii="宋体" w:hAnsi="宋体" w:eastAsia="宋体" w:cs="宋体"/>
          <w:szCs w:val="21"/>
          <w:highlight w:val="none"/>
        </w:rPr>
        <w:t>并追究乙方的违约责</w:t>
      </w:r>
      <w:r>
        <w:rPr>
          <w:rFonts w:hint="eastAsia" w:ascii="宋体" w:hAnsi="宋体" w:eastAsia="宋体" w:cs="宋体"/>
          <w:szCs w:val="21"/>
          <w:highlight w:val="none"/>
          <w:lang w:val="en-US" w:eastAsia="zh-CN"/>
        </w:rPr>
        <w:t>任</w:t>
      </w:r>
      <w:r>
        <w:rPr>
          <w:rFonts w:hint="eastAsia" w:ascii="宋体" w:hAnsi="宋体" w:eastAsia="宋体"/>
          <w:color w:val="auto"/>
          <w:szCs w:val="21"/>
          <w:highlight w:val="none"/>
        </w:rPr>
        <w:t>。</w:t>
      </w:r>
    </w:p>
    <w:p>
      <w:pPr>
        <w:autoSpaceDE w:val="0"/>
        <w:autoSpaceDN w:val="0"/>
        <w:adjustRightInd w:val="0"/>
        <w:spacing w:line="400" w:lineRule="exact"/>
        <w:ind w:firstLine="440" w:firstLineChars="200"/>
        <w:rPr>
          <w:rFonts w:hint="eastAsia" w:ascii="宋体" w:hAnsi="宋体" w:eastAsia="华文楷体" w:cs="华文楷体"/>
          <w:color w:val="auto"/>
          <w:sz w:val="22"/>
          <w:szCs w:val="21"/>
          <w:highlight w:val="none"/>
          <w:lang w:val="en-US" w:eastAsia="zh-CN" w:bidi="ar-SA"/>
        </w:rPr>
      </w:pPr>
      <w:r>
        <w:rPr>
          <w:rFonts w:hint="eastAsia" w:ascii="宋体" w:hAnsi="宋体" w:eastAsia="华文楷体" w:cs="华文楷体"/>
          <w:color w:val="auto"/>
          <w:sz w:val="22"/>
          <w:szCs w:val="21"/>
          <w:highlight w:val="none"/>
          <w:lang w:val="en-US" w:eastAsia="zh-CN" w:bidi="ar-SA"/>
        </w:rPr>
        <w:t xml:space="preserve">16.4 </w:t>
      </w:r>
      <w:r>
        <w:rPr>
          <w:rFonts w:hint="eastAsia" w:ascii="宋体" w:hAnsi="宋体" w:eastAsia="宋体" w:cs="Times New Roman"/>
          <w:color w:val="auto"/>
          <w:kern w:val="2"/>
          <w:sz w:val="21"/>
          <w:szCs w:val="21"/>
          <w:highlight w:val="none"/>
          <w:lang w:val="en-US" w:eastAsia="zh-CN" w:bidi="ar-SA"/>
        </w:rPr>
        <w:t>涉及国家利益、社会公共利益的情形</w:t>
      </w:r>
    </w:p>
    <w:p>
      <w:pPr>
        <w:autoSpaceDE w:val="0"/>
        <w:autoSpaceDN w:val="0"/>
        <w:adjustRightInd w:val="0"/>
        <w:spacing w:line="400" w:lineRule="exact"/>
        <w:ind w:firstLine="420" w:firstLineChars="200"/>
        <w:jc w:val="both"/>
        <w:rPr>
          <w:rFonts w:ascii="华文楷体" w:hAnsi="华文楷体" w:eastAsia="华文楷体" w:cs="华文楷体"/>
          <w:sz w:val="21"/>
          <w:szCs w:val="21"/>
          <w:highlight w:val="none"/>
          <w:lang w:val="en-US" w:eastAsia="zh-CN" w:bidi="ar-SA"/>
        </w:rPr>
      </w:pPr>
      <w:r>
        <w:rPr>
          <w:rFonts w:hint="eastAsia" w:ascii="宋体" w:hAnsi="宋体" w:eastAsia="宋体" w:cs="宋体"/>
          <w:sz w:val="21"/>
          <w:szCs w:val="21"/>
          <w:highlight w:val="none"/>
          <w:lang w:val="en-US" w:eastAsia="zh-CN" w:bidi="ar-SA"/>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val="en-US" w:eastAsia="zh-CN"/>
        </w:rPr>
        <w:t>7</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合同分包</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.1 乙方不得</w:t>
      </w:r>
      <w:r>
        <w:rPr>
          <w:rFonts w:hint="eastAsia" w:ascii="宋体" w:hAnsi="宋体" w:eastAsia="宋体"/>
          <w:color w:val="auto"/>
          <w:szCs w:val="21"/>
          <w:highlight w:val="none"/>
          <w:lang w:eastAsia="zh-CN"/>
        </w:rPr>
        <w:t>将合同转包给其他供应商。涉及合同分包的，乙方</w:t>
      </w:r>
      <w:r>
        <w:rPr>
          <w:rFonts w:hint="eastAsia" w:ascii="宋体" w:hAnsi="宋体" w:eastAsia="宋体"/>
          <w:color w:val="auto"/>
          <w:szCs w:val="21"/>
          <w:highlight w:val="none"/>
          <w:lang w:val="en-US" w:eastAsia="zh-CN"/>
        </w:rPr>
        <w:t>应</w:t>
      </w:r>
      <w:r>
        <w:rPr>
          <w:rFonts w:hint="eastAsia" w:ascii="宋体" w:hAnsi="宋体" w:eastAsia="宋体"/>
          <w:color w:val="auto"/>
          <w:szCs w:val="21"/>
          <w:highlight w:val="none"/>
          <w:lang w:eastAsia="zh-CN"/>
        </w:rPr>
        <w:t>根据采购文件和投标（响应）文件规定进行</w:t>
      </w:r>
      <w:r>
        <w:rPr>
          <w:rFonts w:hint="eastAsia" w:ascii="宋体" w:hAnsi="宋体" w:eastAsia="宋体"/>
          <w:color w:val="auto"/>
          <w:szCs w:val="21"/>
          <w:highlight w:val="none"/>
        </w:rPr>
        <w:t>合同分包。</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.2 乙方执行政府采购政策向中小企业依法分包的</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乙方应当按采购文件</w:t>
      </w:r>
      <w:r>
        <w:rPr>
          <w:rFonts w:hint="eastAsia" w:ascii="宋体" w:hAnsi="宋体" w:eastAsia="宋体"/>
          <w:color w:val="auto"/>
          <w:szCs w:val="21"/>
          <w:highlight w:val="none"/>
          <w:lang w:eastAsia="zh-CN"/>
        </w:rPr>
        <w:t>和</w:t>
      </w:r>
      <w:r>
        <w:rPr>
          <w:rFonts w:hint="eastAsia" w:ascii="宋体" w:hAnsi="宋体" w:eastAsia="宋体"/>
          <w:color w:val="auto"/>
          <w:szCs w:val="21"/>
          <w:highlight w:val="none"/>
        </w:rPr>
        <w:t>投标（响应）文件签订分包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协议属于本合同组成部分。</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lang w:val="en-US" w:eastAsia="zh-CN"/>
        </w:rPr>
        <w:t>8</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不可抗力</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.1 不可抗力是指合同双方不能预见、不能避免且不能克服的客观情况。</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.2 任何一方对由于不可抗力造成的部分或全部不能履行合同不承担违约责任。但迟延履行后发生不可抗力的，不能免除责任。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.3 遇有不可抗力的一方，应及时将事件情况以书面形式</w:t>
      </w:r>
      <w:r>
        <w:rPr>
          <w:rFonts w:hint="eastAsia" w:ascii="宋体" w:hAnsi="宋体" w:eastAsia="宋体"/>
          <w:color w:val="auto"/>
          <w:szCs w:val="21"/>
          <w:highlight w:val="none"/>
          <w:lang w:eastAsia="zh-CN"/>
        </w:rPr>
        <w:t>告</w:t>
      </w:r>
      <w:r>
        <w:rPr>
          <w:rFonts w:hint="eastAsia" w:ascii="宋体" w:hAnsi="宋体" w:eastAsia="宋体"/>
          <w:color w:val="auto"/>
          <w:szCs w:val="21"/>
          <w:highlight w:val="none"/>
        </w:rPr>
        <w:t>知另一方，并在事件发生后及时向另一方提交合同不能履行或部分不能履行或需要延期履行</w:t>
      </w:r>
      <w:r>
        <w:rPr>
          <w:rFonts w:hint="eastAsia" w:ascii="宋体" w:hAnsi="宋体" w:eastAsia="宋体"/>
          <w:color w:val="auto"/>
          <w:szCs w:val="21"/>
          <w:highlight w:val="none"/>
          <w:lang w:eastAsia="zh-CN"/>
        </w:rPr>
        <w:t>的详细</w:t>
      </w:r>
      <w:r>
        <w:rPr>
          <w:rFonts w:hint="eastAsia" w:ascii="宋体" w:hAnsi="宋体" w:eastAsia="宋体"/>
          <w:color w:val="auto"/>
          <w:szCs w:val="21"/>
          <w:highlight w:val="none"/>
        </w:rPr>
        <w:t>报告</w:t>
      </w:r>
      <w:r>
        <w:rPr>
          <w:rFonts w:hint="eastAsia" w:ascii="宋体" w:hAnsi="宋体" w:eastAsia="宋体"/>
          <w:color w:val="auto"/>
          <w:szCs w:val="21"/>
          <w:highlight w:val="none"/>
          <w:lang w:eastAsia="zh-CN"/>
        </w:rPr>
        <w:t>，以</w:t>
      </w:r>
      <w:r>
        <w:rPr>
          <w:rFonts w:hint="eastAsia" w:ascii="宋体" w:hAnsi="宋体" w:eastAsia="宋体"/>
          <w:color w:val="auto"/>
          <w:szCs w:val="21"/>
          <w:highlight w:val="none"/>
          <w:lang w:val="en-US" w:eastAsia="zh-CN"/>
        </w:rPr>
        <w:t>及证明不可抗力发生及其持续时间的证据</w:t>
      </w:r>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rPr>
          <w:rFonts w:hint="eastAsia" w:ascii="宋体" w:hAnsi="宋体" w:eastAsia="宋体"/>
          <w:b/>
          <w:bCs/>
          <w:color w:val="auto"/>
          <w:sz w:val="24"/>
          <w:highlight w:val="none"/>
        </w:rPr>
      </w:pPr>
      <w:r>
        <w:rPr>
          <w:rFonts w:hint="eastAsia" w:ascii="宋体" w:hAnsi="宋体" w:eastAsia="宋体"/>
          <w:b/>
          <w:bCs/>
          <w:color w:val="auto"/>
          <w:sz w:val="24"/>
          <w:highlight w:val="none"/>
          <w:lang w:val="en-US" w:eastAsia="zh-CN"/>
        </w:rPr>
        <w:t>19</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解决争议的方法</w:t>
      </w:r>
    </w:p>
    <w:p>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19.2 选择仲裁的，应在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highlight w:val="none"/>
          <w:lang w:val="en-US" w:eastAsia="zh-CN" w:bidi="ar-SA"/>
        </w:rPr>
        <w:t>中明确仲裁机构及仲裁地；通过诉讼方式解决的，可以在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highlight w:val="none"/>
          <w:lang w:val="en-US" w:eastAsia="zh-CN" w:bidi="ar-SA"/>
        </w:rPr>
        <w:t>中进一步约定选择与争议有实际联系的地点的人民法院管辖，但管辖法院的约定不得违反级别管辖和专属管辖的规定。</w:t>
      </w:r>
    </w:p>
    <w:p>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19.3 如甲乙双方有争议的事项不影响合同其他部分的履行，在争议解决期间，合同其他部分应当继续履行。</w:t>
      </w:r>
    </w:p>
    <w:p>
      <w:pPr>
        <w:autoSpaceDE w:val="0"/>
        <w:autoSpaceDN w:val="0"/>
        <w:adjustRightInd w:val="0"/>
        <w:snapToGrid w:val="0"/>
        <w:spacing w:before="0" w:line="400" w:lineRule="exact"/>
        <w:jc w:val="left"/>
        <w:rPr>
          <w:rFonts w:ascii="宋体" w:hAnsi="宋体" w:eastAsia="宋体"/>
          <w:color w:val="auto"/>
          <w:sz w:val="24"/>
          <w:highlight w:val="none"/>
        </w:rPr>
      </w:pPr>
      <w:r>
        <w:rPr>
          <w:rFonts w:hint="eastAsia" w:ascii="宋体" w:hAnsi="宋体" w:eastAsia="宋体"/>
          <w:b/>
          <w:color w:val="auto"/>
          <w:sz w:val="24"/>
          <w:highlight w:val="none"/>
          <w:lang w:val="en-US" w:eastAsia="zh-CN"/>
        </w:rPr>
        <w:t>20</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政府采购政策</w:t>
      </w:r>
    </w:p>
    <w:p>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 xml:space="preserve">20.1 </w:t>
      </w:r>
      <w:r>
        <w:rPr>
          <w:rFonts w:hint="eastAsia" w:ascii="宋体" w:hAnsi="宋体" w:eastAsia="宋体" w:cs="宋体"/>
          <w:highlight w:val="none"/>
          <w:lang w:val="en-GB"/>
        </w:rPr>
        <w:t>本合同应当按照规定执行政府采购政策。</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lang w:val="en-US" w:eastAsia="zh-CN"/>
        </w:rPr>
        <w:t>0</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 xml:space="preserve"> 本合同依法执行政府采购政策的方式和内容，属于合同履约验收的范围。</w:t>
      </w:r>
      <w:r>
        <w:rPr>
          <w:rFonts w:hint="eastAsia" w:ascii="宋体" w:hAnsi="宋体" w:eastAsia="宋体" w:cs="宋体"/>
          <w:sz w:val="21"/>
          <w:highlight w:val="none"/>
          <w:lang w:eastAsia="zh-CN"/>
        </w:rPr>
        <w:t>甲乙双方</w:t>
      </w:r>
      <w:r>
        <w:rPr>
          <w:rFonts w:hint="eastAsia" w:ascii="宋体" w:hAnsi="宋体" w:eastAsia="宋体" w:cs="宋体"/>
          <w:highlight w:val="none"/>
          <w:lang w:val="en-GB"/>
        </w:rPr>
        <w:t>未按规定要求执行政府采购政策造成损失的</w:t>
      </w:r>
      <w:r>
        <w:rPr>
          <w:rFonts w:hint="eastAsia" w:ascii="宋体" w:hAnsi="宋体" w:eastAsia="宋体"/>
          <w:color w:val="auto"/>
          <w:szCs w:val="21"/>
          <w:highlight w:val="none"/>
        </w:rPr>
        <w:t>，有过错的一方应当承担赔偿责任，双方都有过错的，各自承担相应的责任。</w:t>
      </w:r>
    </w:p>
    <w:p>
      <w:pPr>
        <w:widowControl w:val="0"/>
        <w:spacing w:after="0" w:line="400" w:lineRule="exact"/>
        <w:ind w:firstLine="420" w:firstLineChars="200"/>
        <w:jc w:val="both"/>
        <w:rPr>
          <w:rFonts w:ascii="Calibri" w:hAnsi="Calibri" w:eastAsia="宋体" w:cs="Times New Roman"/>
          <w:color w:val="auto"/>
          <w:kern w:val="2"/>
          <w:sz w:val="21"/>
          <w:szCs w:val="22"/>
          <w:highlight w:val="none"/>
          <w:lang w:val="en-US" w:eastAsia="zh-CN" w:bidi="ar-SA"/>
        </w:rPr>
      </w:pPr>
      <w:r>
        <w:rPr>
          <w:rFonts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before="0" w:line="400" w:lineRule="exact"/>
        <w:jc w:val="left"/>
        <w:rPr>
          <w:rFonts w:hint="eastAsia"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法律适用</w:t>
      </w:r>
    </w:p>
    <w:p>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21.1 本合同的订立、生效、解释、履行及与本合同有关的争议解决，均适用法律、行政法规。</w:t>
      </w:r>
    </w:p>
    <w:p>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21.2 本合同条款与法律、行政法规的强制性规定不一致的，双方当事人应按照法律、行政法规的强制性规定修改本合同的相关条款。</w:t>
      </w:r>
    </w:p>
    <w:p>
      <w:pPr>
        <w:numPr>
          <w:ilvl w:val="-1"/>
          <w:numId w:val="0"/>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lang w:val="en-US" w:eastAsia="zh-CN"/>
        </w:rPr>
        <w:t xml:space="preserve">22. </w:t>
      </w:r>
      <w:r>
        <w:rPr>
          <w:rFonts w:hint="eastAsia" w:ascii="宋体" w:hAnsi="宋体" w:eastAsia="宋体"/>
          <w:b/>
          <w:color w:val="auto"/>
          <w:sz w:val="24"/>
          <w:highlight w:val="none"/>
        </w:rPr>
        <w:t>通知</w:t>
      </w:r>
    </w:p>
    <w:p>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22.1 本合同任何一方向对方发出的通知、信件、数据电文等，应当发送至本合同第一部分《政府采购合同协议书》所约定的通讯地址、联系人、联系电话或电子邮箱。</w:t>
      </w:r>
    </w:p>
    <w:p>
      <w:pPr>
        <w:autoSpaceDE w:val="0"/>
        <w:autoSpaceDN w:val="0"/>
        <w:adjustRightInd w:val="0"/>
        <w:spacing w:line="400" w:lineRule="exact"/>
        <w:ind w:firstLine="0" w:firstLineChars="0"/>
        <w:jc w:val="both"/>
        <w:rPr>
          <w:rFonts w:ascii="华文楷体" w:hAnsi="华文楷体" w:eastAsia="华文楷体" w:cs="华文楷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本合同一方给另一方的通知均应采用书面形式，传真或快递送到本合同中规定的对方的地址和办理签收手续。</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通知以送达之日或通知书中规定的生效之日起生效，两者中以较迟之日为准。</w:t>
      </w:r>
    </w:p>
    <w:p>
      <w:pPr>
        <w:numPr>
          <w:ilvl w:val="0"/>
          <w:numId w:val="10"/>
        </w:num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合同未尽事项</w:t>
      </w:r>
    </w:p>
    <w:p>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2</w:t>
      </w:r>
      <w:r>
        <w:rPr>
          <w:rFonts w:hint="eastAsia" w:ascii="宋体" w:hAnsi="宋体" w:eastAsia="宋体"/>
          <w:bCs/>
          <w:color w:val="auto"/>
          <w:szCs w:val="21"/>
          <w:highlight w:val="none"/>
          <w:lang w:val="en-US" w:eastAsia="zh-CN"/>
        </w:rPr>
        <w:t>3</w:t>
      </w:r>
      <w:r>
        <w:rPr>
          <w:rFonts w:hint="eastAsia" w:ascii="宋体" w:hAnsi="宋体" w:eastAsia="宋体"/>
          <w:bCs/>
          <w:color w:val="auto"/>
          <w:szCs w:val="21"/>
          <w:highlight w:val="none"/>
        </w:rPr>
        <w:t>.1合同未尽事项见</w:t>
      </w:r>
      <w:r>
        <w:rPr>
          <w:rFonts w:hint="eastAsia" w:ascii="宋体" w:hAnsi="宋体" w:eastAsia="宋体"/>
          <w:b/>
          <w:color w:val="auto"/>
          <w:szCs w:val="21"/>
          <w:highlight w:val="none"/>
        </w:rPr>
        <w:t>【政府采购合同专用条款】</w:t>
      </w:r>
      <w:r>
        <w:rPr>
          <w:rFonts w:hint="eastAsia" w:ascii="宋体" w:hAnsi="宋体" w:eastAsia="宋体"/>
          <w:bCs/>
          <w:color w:val="auto"/>
          <w:szCs w:val="21"/>
          <w:highlight w:val="none"/>
        </w:rPr>
        <w:t>。</w:t>
      </w:r>
    </w:p>
    <w:p>
      <w:pPr>
        <w:adjustRightInd w:val="0"/>
        <w:snapToGrid w:val="0"/>
        <w:spacing w:line="400" w:lineRule="exact"/>
        <w:ind w:firstLine="0" w:firstLineChars="0"/>
        <w:jc w:val="left"/>
        <w:rPr>
          <w:rFonts w:ascii="黑体" w:hAnsi="华文中宋" w:eastAsia="黑体"/>
          <w:color w:val="auto"/>
          <w:sz w:val="28"/>
          <w:szCs w:val="28"/>
          <w:highlight w:val="none"/>
        </w:rPr>
      </w:pPr>
      <w:r>
        <w:rPr>
          <w:rFonts w:hint="eastAsia" w:ascii="宋体" w:hAnsi="宋体" w:eastAsia="宋体"/>
          <w:bCs/>
          <w:color w:val="auto"/>
          <w:szCs w:val="21"/>
          <w:highlight w:val="none"/>
          <w:lang w:val="en-US" w:eastAsia="zh-CN"/>
        </w:rPr>
        <w:t xml:space="preserve">    23.2 合同附件与合同正文具有同等的法律效力。</w:t>
      </w:r>
      <w:bookmarkStart w:id="33" w:name="_Toc20313"/>
    </w:p>
    <w:p>
      <w:pPr>
        <w:adjustRightInd w:val="0"/>
        <w:snapToGrid w:val="0"/>
        <w:jc w:val="center"/>
        <w:rPr>
          <w:rFonts w:hint="eastAsia" w:ascii="黑体" w:hAnsi="华文中宋" w:eastAsia="黑体"/>
          <w:b w:val="0"/>
          <w:bCs w:val="0"/>
          <w:sz w:val="28"/>
          <w:szCs w:val="28"/>
          <w:highlight w:val="none"/>
        </w:rPr>
      </w:pPr>
      <w:r>
        <w:rPr>
          <w:rFonts w:hint="eastAsia" w:ascii="黑体" w:hAnsi="华文中宋" w:eastAsia="黑体"/>
          <w:b w:val="0"/>
          <w:bCs w:val="0"/>
          <w:sz w:val="28"/>
          <w:szCs w:val="28"/>
          <w:highlight w:val="none"/>
        </w:rPr>
        <w:br w:type="page"/>
      </w:r>
    </w:p>
    <w:p>
      <w:pPr>
        <w:keepNext/>
        <w:keepLines/>
        <w:widowControl w:val="0"/>
        <w:adjustRightInd w:val="0"/>
        <w:snapToGrid w:val="0"/>
        <w:spacing w:line="360" w:lineRule="auto"/>
        <w:jc w:val="center"/>
        <w:outlineLvl w:val="1"/>
        <w:rPr>
          <w:rFonts w:ascii="黑体" w:hAnsi="华文中宋" w:eastAsia="黑体" w:cs="Times New Roman"/>
          <w:b w:val="0"/>
          <w:bCs w:val="0"/>
          <w:kern w:val="2"/>
          <w:sz w:val="28"/>
          <w:szCs w:val="28"/>
          <w:highlight w:val="none"/>
          <w:lang w:val="en-US" w:eastAsia="zh-CN" w:bidi="ar-SA"/>
        </w:rPr>
      </w:pPr>
      <w:r>
        <w:rPr>
          <w:rFonts w:hint="eastAsia" w:ascii="黑体" w:hAnsi="华文中宋" w:eastAsia="黑体" w:cs="Times New Roman"/>
          <w:b w:val="0"/>
          <w:bCs w:val="0"/>
          <w:kern w:val="2"/>
          <w:sz w:val="28"/>
          <w:szCs w:val="28"/>
          <w:highlight w:val="none"/>
          <w:lang w:val="en-US" w:eastAsia="zh-CN" w:bidi="ar-SA"/>
        </w:rPr>
        <w:t>第三节 政府采购合同专用条款</w:t>
      </w:r>
      <w:bookmarkEnd w:id="33"/>
    </w:p>
    <w:tbl>
      <w:tblPr>
        <w:tblStyle w:val="1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pPr>
              <w:adjustRightInd w:val="0"/>
              <w:snapToGrid w:val="0"/>
              <w:jc w:val="center"/>
              <w:rPr>
                <w:rFonts w:ascii="宋体" w:hAnsi="宋体" w:eastAsia="宋体"/>
                <w:szCs w:val="21"/>
                <w:highlight w:val="none"/>
              </w:rPr>
            </w:pPr>
            <w:r>
              <w:rPr>
                <w:rFonts w:hint="eastAsia" w:ascii="宋体" w:hAnsi="宋体" w:eastAsia="宋体"/>
                <w:szCs w:val="21"/>
                <w:highlight w:val="none"/>
              </w:rPr>
              <w:t>第1.2（</w:t>
            </w:r>
            <w:r>
              <w:rPr>
                <w:rFonts w:hint="eastAsia" w:ascii="宋体" w:hAnsi="宋体" w:eastAsia="宋体"/>
                <w:szCs w:val="21"/>
                <w:highlight w:val="none"/>
                <w:lang w:val="en-US" w:eastAsia="zh-CN"/>
              </w:rPr>
              <w:t>6</w:t>
            </w:r>
            <w:r>
              <w:rPr>
                <w:rFonts w:hint="eastAsia" w:ascii="宋体" w:hAnsi="宋体" w:eastAsia="宋体"/>
                <w:szCs w:val="21"/>
                <w:highlight w:val="none"/>
              </w:rPr>
              <w:t>）项</w:t>
            </w:r>
          </w:p>
        </w:tc>
        <w:tc>
          <w:tcPr>
            <w:tcW w:w="1742" w:type="dxa"/>
            <w:vAlign w:val="center"/>
          </w:tcPr>
          <w:p>
            <w:pPr>
              <w:adjustRightInd w:val="0"/>
              <w:snapToGrid w:val="0"/>
              <w:jc w:val="left"/>
              <w:rPr>
                <w:rFonts w:ascii="宋体" w:hAnsi="宋体" w:eastAsia="宋体"/>
                <w:szCs w:val="21"/>
                <w:highlight w:val="none"/>
              </w:rPr>
            </w:pPr>
            <w:r>
              <w:rPr>
                <w:rFonts w:hint="eastAsia" w:ascii="宋体" w:hAnsi="宋体" w:eastAsia="宋体"/>
                <w:szCs w:val="21"/>
                <w:highlight w:val="none"/>
                <w:lang w:eastAsia="zh-CN"/>
              </w:rPr>
              <w:t>联合体具体要求</w:t>
            </w:r>
          </w:p>
        </w:tc>
        <w:tc>
          <w:tcPr>
            <w:tcW w:w="5170" w:type="dxa"/>
            <w:vAlign w:val="center"/>
          </w:tcPr>
          <w:p>
            <w:pPr>
              <w:adjustRightInd w:val="0"/>
              <w:snapToGrid w:val="0"/>
              <w:jc w:val="left"/>
              <w:rPr>
                <w:rFonts w:ascii="宋体" w:hAnsi="宋体" w:eastAsia="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pPr>
              <w:adjustRightInd w:val="0"/>
              <w:snapToGrid w:val="0"/>
              <w:jc w:val="center"/>
              <w:rPr>
                <w:rFonts w:hint="eastAsia" w:ascii="宋体" w:hAnsi="宋体" w:eastAsia="宋体" w:cs="Times New Roman"/>
                <w:kern w:val="2"/>
                <w:sz w:val="21"/>
                <w:szCs w:val="21"/>
                <w:highlight w:val="none"/>
                <w:lang w:val="en-US" w:eastAsia="zh-CN" w:bidi="ar-SA"/>
              </w:rPr>
            </w:pPr>
            <w:r>
              <w:rPr>
                <w:rFonts w:hint="eastAsia" w:ascii="宋体" w:hAnsi="宋体" w:eastAsia="宋体"/>
                <w:szCs w:val="21"/>
                <w:highlight w:val="none"/>
              </w:rPr>
              <w:t>第1.2（</w:t>
            </w:r>
            <w:r>
              <w:rPr>
                <w:rFonts w:hint="eastAsia" w:ascii="宋体" w:hAnsi="宋体" w:eastAsia="宋体"/>
                <w:szCs w:val="21"/>
                <w:highlight w:val="none"/>
                <w:lang w:val="en-US" w:eastAsia="zh-CN"/>
              </w:rPr>
              <w:t>7</w:t>
            </w:r>
            <w:r>
              <w:rPr>
                <w:rFonts w:hint="eastAsia" w:ascii="宋体" w:hAnsi="宋体" w:eastAsia="宋体"/>
                <w:szCs w:val="21"/>
                <w:highlight w:val="none"/>
              </w:rPr>
              <w:t>）项</w:t>
            </w:r>
          </w:p>
        </w:tc>
        <w:tc>
          <w:tcPr>
            <w:tcW w:w="1742" w:type="dxa"/>
            <w:vAlign w:val="center"/>
          </w:tcPr>
          <w:p>
            <w:pPr>
              <w:adjustRightInd w:val="0"/>
              <w:snapToGrid w:val="0"/>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szCs w:val="21"/>
                <w:highlight w:val="none"/>
              </w:rPr>
              <w:t>其他术语解释</w:t>
            </w:r>
          </w:p>
        </w:tc>
        <w:tc>
          <w:tcPr>
            <w:tcW w:w="5170" w:type="dxa"/>
            <w:vAlign w:val="center"/>
          </w:tcPr>
          <w:p>
            <w:pPr>
              <w:adjustRightInd w:val="0"/>
              <w:snapToGrid w:val="0"/>
              <w:jc w:val="left"/>
              <w:rPr>
                <w:rFonts w:ascii="宋体" w:hAnsi="宋体" w:eastAsia="宋体" w:cs="Times New Roman"/>
                <w:kern w:val="2"/>
                <w:sz w:val="21"/>
                <w:szCs w:val="21"/>
                <w:highlight w:val="no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pPr>
              <w:adjustRightInd w:val="0"/>
              <w:snapToGrid w:val="0"/>
              <w:jc w:val="center"/>
              <w:rPr>
                <w:rFonts w:hint="default" w:ascii="宋体" w:hAnsi="宋体" w:eastAsia="宋体"/>
                <w:szCs w:val="21"/>
                <w:highlight w:val="none"/>
                <w:lang w:val="en-US" w:eastAsia="zh-CN"/>
              </w:rPr>
            </w:pPr>
            <w:r>
              <w:rPr>
                <w:rFonts w:hint="eastAsia" w:ascii="宋体" w:hAnsi="宋体" w:eastAsia="宋体"/>
                <w:szCs w:val="21"/>
                <w:highlight w:val="none"/>
                <w:lang w:eastAsia="zh-CN"/>
              </w:rPr>
              <w:t>第</w:t>
            </w:r>
            <w:r>
              <w:rPr>
                <w:rFonts w:hint="eastAsia" w:ascii="宋体" w:hAnsi="宋体" w:eastAsia="宋体"/>
                <w:szCs w:val="21"/>
                <w:highlight w:val="none"/>
                <w:lang w:val="en-US" w:eastAsia="zh-CN"/>
              </w:rPr>
              <w:t>4.4款</w:t>
            </w:r>
          </w:p>
        </w:tc>
        <w:tc>
          <w:tcPr>
            <w:tcW w:w="1742" w:type="dxa"/>
            <w:vAlign w:val="center"/>
          </w:tcPr>
          <w:p>
            <w:pPr>
              <w:adjustRightInd w:val="0"/>
              <w:snapToGrid w:val="0"/>
              <w:jc w:val="left"/>
              <w:rPr>
                <w:rFonts w:hint="eastAsia" w:ascii="宋体" w:hAnsi="宋体" w:eastAsia="宋体"/>
                <w:szCs w:val="21"/>
                <w:highlight w:val="none"/>
                <w:lang w:eastAsia="zh-CN"/>
              </w:rPr>
            </w:pPr>
            <w:r>
              <w:rPr>
                <w:rFonts w:hint="eastAsia" w:ascii="宋体" w:hAnsi="宋体" w:eastAsia="宋体"/>
                <w:szCs w:val="21"/>
                <w:highlight w:val="none"/>
                <w:lang w:eastAsia="zh-CN"/>
              </w:rPr>
              <w:t>履约验收中甲方提出异议或作出说明的期限</w:t>
            </w:r>
          </w:p>
        </w:tc>
        <w:tc>
          <w:tcPr>
            <w:tcW w:w="5170" w:type="dxa"/>
            <w:vAlign w:val="center"/>
          </w:tcPr>
          <w:p>
            <w:pPr>
              <w:adjustRightInd w:val="0"/>
              <w:snapToGrid w:val="0"/>
              <w:jc w:val="left"/>
              <w:rPr>
                <w:rFonts w:ascii="宋体" w:hAnsi="宋体" w:eastAsia="宋体" w:cs="Times New Roman"/>
                <w:kern w:val="2"/>
                <w:sz w:val="21"/>
                <w:szCs w:val="21"/>
                <w:highlight w:val="no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pPr>
              <w:adjustRightInd w:val="0"/>
              <w:snapToGrid w:val="0"/>
              <w:jc w:val="center"/>
              <w:rPr>
                <w:rFonts w:hint="eastAsia" w:ascii="宋体" w:hAnsi="宋体" w:eastAsia="宋体"/>
                <w:szCs w:val="21"/>
                <w:highlight w:val="none"/>
              </w:rPr>
            </w:pPr>
            <w:r>
              <w:rPr>
                <w:rFonts w:hint="eastAsia" w:ascii="宋体" w:hAnsi="宋体" w:eastAsia="宋体"/>
                <w:szCs w:val="21"/>
                <w:highlight w:val="none"/>
                <w:lang w:eastAsia="zh-CN"/>
              </w:rPr>
              <w:t>第</w:t>
            </w:r>
            <w:r>
              <w:rPr>
                <w:rFonts w:hint="eastAsia" w:ascii="宋体" w:hAnsi="宋体" w:eastAsia="宋体"/>
                <w:szCs w:val="21"/>
                <w:highlight w:val="none"/>
                <w:lang w:val="en-US" w:eastAsia="zh-CN"/>
              </w:rPr>
              <w:t>4.6款</w:t>
            </w:r>
          </w:p>
        </w:tc>
        <w:tc>
          <w:tcPr>
            <w:tcW w:w="1742" w:type="dxa"/>
            <w:vAlign w:val="center"/>
          </w:tcPr>
          <w:p>
            <w:pPr>
              <w:adjustRightInd w:val="0"/>
              <w:snapToGrid w:val="0"/>
              <w:jc w:val="left"/>
              <w:rPr>
                <w:rFonts w:hint="eastAsia" w:ascii="宋体" w:hAnsi="宋体" w:eastAsia="宋体"/>
                <w:szCs w:val="21"/>
                <w:highlight w:val="none"/>
                <w:lang w:eastAsia="zh-CN"/>
              </w:rPr>
            </w:pPr>
            <w:r>
              <w:rPr>
                <w:rFonts w:hint="eastAsia" w:ascii="宋体" w:hAnsi="宋体" w:eastAsia="宋体"/>
                <w:szCs w:val="21"/>
                <w:highlight w:val="none"/>
                <w:lang w:eastAsia="zh-CN"/>
              </w:rPr>
              <w:t>约定甲方承担的其他义务和责任</w:t>
            </w:r>
          </w:p>
        </w:tc>
        <w:tc>
          <w:tcPr>
            <w:tcW w:w="5170" w:type="dxa"/>
            <w:vAlign w:val="center"/>
          </w:tcPr>
          <w:p>
            <w:pPr>
              <w:adjustRightInd w:val="0"/>
              <w:snapToGrid w:val="0"/>
              <w:jc w:val="left"/>
              <w:rPr>
                <w:rFonts w:ascii="宋体" w:hAnsi="宋体" w:eastAsia="宋体" w:cs="Times New Roman"/>
                <w:kern w:val="2"/>
                <w:sz w:val="21"/>
                <w:szCs w:val="21"/>
                <w:highlight w:val="no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highlight w:val="none"/>
                <w:lang w:eastAsia="zh-CN"/>
              </w:rPr>
            </w:pPr>
            <w:r>
              <w:rPr>
                <w:rFonts w:hint="eastAsia" w:ascii="宋体" w:hAnsi="宋体" w:eastAsia="宋体"/>
                <w:szCs w:val="21"/>
                <w:highlight w:val="none"/>
                <w:lang w:eastAsia="zh-CN"/>
              </w:rPr>
              <w:t>第二节</w:t>
            </w:r>
          </w:p>
          <w:p>
            <w:pPr>
              <w:snapToGrid w:val="0"/>
              <w:jc w:val="center"/>
              <w:rPr>
                <w:rFonts w:hint="default" w:eastAsia="宋体"/>
                <w:highlight w:val="none"/>
                <w:lang w:val="en-US" w:eastAsia="zh-CN"/>
              </w:rPr>
            </w:pPr>
            <w:r>
              <w:rPr>
                <w:rFonts w:hint="eastAsia" w:ascii="宋体" w:hAnsi="宋体" w:eastAsia="宋体"/>
                <w:szCs w:val="21"/>
                <w:highlight w:val="none"/>
                <w:lang w:eastAsia="zh-CN"/>
              </w:rPr>
              <w:t>第</w:t>
            </w:r>
            <w:r>
              <w:rPr>
                <w:rFonts w:hint="eastAsia" w:ascii="宋体" w:hAnsi="宋体" w:eastAsia="宋体"/>
                <w:szCs w:val="21"/>
                <w:highlight w:val="none"/>
                <w:lang w:val="en-US" w:eastAsia="zh-CN"/>
              </w:rPr>
              <w:t>5.4款</w:t>
            </w:r>
          </w:p>
        </w:tc>
        <w:tc>
          <w:tcPr>
            <w:tcW w:w="1742" w:type="dxa"/>
            <w:vAlign w:val="center"/>
          </w:tcPr>
          <w:p>
            <w:pPr>
              <w:adjustRightInd w:val="0"/>
              <w:snapToGrid w:val="0"/>
              <w:jc w:val="left"/>
              <w:rPr>
                <w:rFonts w:hint="eastAsia" w:ascii="宋体" w:hAnsi="宋体" w:eastAsia="宋体"/>
                <w:szCs w:val="21"/>
                <w:highlight w:val="none"/>
                <w:lang w:eastAsia="zh-CN"/>
              </w:rPr>
            </w:pPr>
            <w:r>
              <w:rPr>
                <w:rFonts w:hint="eastAsia" w:ascii="宋体" w:hAnsi="宋体" w:eastAsia="宋体"/>
                <w:szCs w:val="21"/>
                <w:highlight w:val="none"/>
                <w:lang w:eastAsia="zh-CN"/>
              </w:rPr>
              <w:t>约定乙方承担的其他义务和责任</w:t>
            </w:r>
          </w:p>
        </w:tc>
        <w:tc>
          <w:tcPr>
            <w:tcW w:w="5170" w:type="dxa"/>
            <w:vAlign w:val="center"/>
          </w:tcPr>
          <w:p>
            <w:pPr>
              <w:adjustRightInd w:val="0"/>
              <w:snapToGrid w:val="0"/>
              <w:jc w:val="left"/>
              <w:rPr>
                <w:rFonts w:ascii="宋体" w:hAnsi="宋体" w:eastAsia="宋体" w:cs="Times New Roman"/>
                <w:kern w:val="2"/>
                <w:sz w:val="21"/>
                <w:szCs w:val="21"/>
                <w:highlight w:val="no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highlight w:val="none"/>
                <w:lang w:eastAsia="zh-CN"/>
              </w:rPr>
            </w:pPr>
            <w:r>
              <w:rPr>
                <w:rFonts w:hint="eastAsia" w:ascii="宋体" w:hAnsi="宋体" w:eastAsia="宋体"/>
                <w:szCs w:val="21"/>
                <w:highlight w:val="none"/>
                <w:lang w:eastAsia="zh-CN"/>
              </w:rPr>
              <w:t>第二节</w:t>
            </w:r>
          </w:p>
          <w:p>
            <w:pPr>
              <w:snapToGrid w:val="0"/>
              <w:jc w:val="center"/>
              <w:rPr>
                <w:rFonts w:hint="eastAsia" w:ascii="宋体" w:hAnsi="宋体" w:eastAsia="宋体"/>
                <w:szCs w:val="21"/>
                <w:highlight w:val="none"/>
                <w:lang w:eastAsia="zh-CN"/>
              </w:rPr>
            </w:pPr>
            <w:r>
              <w:rPr>
                <w:rFonts w:hint="eastAsia" w:ascii="宋体" w:hAnsi="宋体" w:eastAsia="宋体"/>
                <w:szCs w:val="21"/>
                <w:highlight w:val="none"/>
                <w:lang w:eastAsia="zh-CN"/>
              </w:rPr>
              <w:t>第</w:t>
            </w:r>
            <w:r>
              <w:rPr>
                <w:rFonts w:hint="eastAsia" w:ascii="宋体" w:hAnsi="宋体" w:eastAsia="宋体"/>
                <w:szCs w:val="21"/>
                <w:highlight w:val="none"/>
                <w:lang w:val="en-US" w:eastAsia="zh-CN"/>
              </w:rPr>
              <w:t>6.1款</w:t>
            </w:r>
          </w:p>
        </w:tc>
        <w:tc>
          <w:tcPr>
            <w:tcW w:w="1742" w:type="dxa"/>
            <w:vAlign w:val="center"/>
          </w:tcPr>
          <w:p>
            <w:pPr>
              <w:adjustRightInd w:val="0"/>
              <w:snapToGrid w:val="0"/>
              <w:jc w:val="left"/>
              <w:rPr>
                <w:rFonts w:hint="eastAsia" w:ascii="宋体" w:hAnsi="宋体" w:eastAsia="宋体"/>
                <w:szCs w:val="21"/>
                <w:highlight w:val="none"/>
                <w:lang w:eastAsia="zh-CN"/>
              </w:rPr>
            </w:pPr>
            <w:r>
              <w:rPr>
                <w:rFonts w:hint="eastAsia" w:ascii="宋体" w:hAnsi="宋体" w:eastAsia="宋体"/>
                <w:szCs w:val="21"/>
                <w:highlight w:val="none"/>
                <w:lang w:eastAsia="zh-CN"/>
              </w:rPr>
              <w:t>履行合同义务的顺序</w:t>
            </w:r>
          </w:p>
        </w:tc>
        <w:tc>
          <w:tcPr>
            <w:tcW w:w="5170" w:type="dxa"/>
            <w:vAlign w:val="center"/>
          </w:tcPr>
          <w:p>
            <w:pPr>
              <w:adjustRightInd w:val="0"/>
              <w:snapToGrid w:val="0"/>
              <w:jc w:val="left"/>
              <w:rPr>
                <w:rFonts w:ascii="宋体" w:hAnsi="宋体" w:eastAsia="宋体" w:cs="Times New Roman"/>
                <w:kern w:val="2"/>
                <w:sz w:val="21"/>
                <w:szCs w:val="21"/>
                <w:highlight w:val="no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pPr>
              <w:adjustRightInd w:val="0"/>
              <w:snapToGrid w:val="0"/>
              <w:jc w:val="center"/>
              <w:rPr>
                <w:rFonts w:ascii="宋体" w:hAnsi="宋体" w:eastAsia="宋体"/>
                <w:szCs w:val="21"/>
                <w:highlight w:val="none"/>
              </w:rPr>
            </w:pPr>
            <w:r>
              <w:rPr>
                <w:rFonts w:hint="eastAsia" w:ascii="宋体" w:hAnsi="宋体" w:eastAsia="宋体"/>
                <w:szCs w:val="21"/>
                <w:highlight w:val="none"/>
              </w:rPr>
              <w:t>第</w:t>
            </w:r>
            <w:r>
              <w:rPr>
                <w:rFonts w:hint="eastAsia" w:ascii="宋体" w:hAnsi="宋体" w:eastAsia="宋体"/>
                <w:szCs w:val="21"/>
                <w:highlight w:val="none"/>
                <w:lang w:val="en-US" w:eastAsia="zh-CN"/>
              </w:rPr>
              <w:t>7</w:t>
            </w:r>
            <w:r>
              <w:rPr>
                <w:rFonts w:hint="eastAsia" w:ascii="宋体" w:hAnsi="宋体" w:eastAsia="宋体"/>
                <w:szCs w:val="21"/>
                <w:highlight w:val="none"/>
              </w:rPr>
              <w:t>.1</w:t>
            </w:r>
            <w:r>
              <w:rPr>
                <w:rFonts w:hint="eastAsia" w:ascii="宋体" w:hAnsi="宋体" w:eastAsia="宋体"/>
                <w:szCs w:val="21"/>
                <w:highlight w:val="none"/>
                <w:lang w:val="en-US" w:eastAsia="zh-CN"/>
              </w:rPr>
              <w:t>款</w:t>
            </w:r>
          </w:p>
        </w:tc>
        <w:tc>
          <w:tcPr>
            <w:tcW w:w="1742" w:type="dxa"/>
            <w:vAlign w:val="center"/>
          </w:tcPr>
          <w:p>
            <w:pPr>
              <w:adjustRightInd w:val="0"/>
              <w:snapToGrid w:val="0"/>
              <w:jc w:val="left"/>
              <w:rPr>
                <w:rFonts w:ascii="宋体" w:hAnsi="宋体" w:eastAsia="宋体"/>
                <w:szCs w:val="21"/>
                <w:highlight w:val="none"/>
              </w:rPr>
            </w:pPr>
            <w:r>
              <w:rPr>
                <w:rFonts w:hint="eastAsia" w:ascii="宋体" w:hAnsi="宋体" w:eastAsia="宋体"/>
                <w:szCs w:val="21"/>
                <w:highlight w:val="none"/>
              </w:rPr>
              <w:t>包装</w:t>
            </w:r>
            <w:r>
              <w:rPr>
                <w:rFonts w:hint="eastAsia" w:ascii="宋体" w:hAnsi="宋体" w:eastAsia="宋体"/>
                <w:szCs w:val="21"/>
                <w:highlight w:val="none"/>
                <w:lang w:eastAsia="zh-CN"/>
              </w:rPr>
              <w:t>特殊要求</w:t>
            </w:r>
          </w:p>
        </w:tc>
        <w:tc>
          <w:tcPr>
            <w:tcW w:w="5170" w:type="dxa"/>
            <w:vAlign w:val="center"/>
          </w:tcPr>
          <w:p>
            <w:pPr>
              <w:rPr>
                <w:rFonts w:eastAsia="宋体"/>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jc w:val="center"/>
              <w:rPr>
                <w:rFonts w:hint="eastAsia" w:ascii="宋体" w:hAnsi="宋体" w:eastAsia="宋体"/>
                <w:szCs w:val="21"/>
                <w:highlight w:val="none"/>
              </w:rPr>
            </w:pPr>
          </w:p>
        </w:tc>
        <w:tc>
          <w:tcPr>
            <w:tcW w:w="1742" w:type="dxa"/>
            <w:vAlign w:val="center"/>
          </w:tcPr>
          <w:p>
            <w:pPr>
              <w:adjustRightInd w:val="0"/>
              <w:snapToGrid w:val="0"/>
              <w:jc w:val="left"/>
              <w:rPr>
                <w:rFonts w:hint="eastAsia" w:ascii="宋体" w:hAnsi="宋体" w:eastAsia="宋体"/>
                <w:szCs w:val="21"/>
                <w:highlight w:val="none"/>
                <w:lang w:eastAsia="zh-CN"/>
              </w:rPr>
            </w:pPr>
            <w:r>
              <w:rPr>
                <w:rFonts w:hint="eastAsia" w:ascii="宋体" w:hAnsi="宋体" w:eastAsia="宋体"/>
                <w:szCs w:val="21"/>
                <w:highlight w:val="none"/>
                <w:lang w:eastAsia="zh-CN"/>
              </w:rPr>
              <w:t>指定现场</w:t>
            </w:r>
          </w:p>
        </w:tc>
        <w:tc>
          <w:tcPr>
            <w:tcW w:w="5170" w:type="dxa"/>
            <w:vAlign w:val="center"/>
          </w:tcPr>
          <w:p>
            <w:pPr>
              <w:rPr>
                <w:rFonts w:hint="eastAsia" w:eastAsia="宋体"/>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pPr>
              <w:adjustRightInd w:val="0"/>
              <w:snapToGrid w:val="0"/>
              <w:jc w:val="center"/>
              <w:rPr>
                <w:rFonts w:hint="eastAsia" w:ascii="宋体" w:hAnsi="宋体" w:eastAsia="宋体"/>
                <w:szCs w:val="21"/>
                <w:highlight w:val="none"/>
              </w:rPr>
            </w:pPr>
            <w:r>
              <w:rPr>
                <w:rFonts w:hint="eastAsia" w:ascii="宋体" w:hAnsi="宋体" w:eastAsia="宋体"/>
                <w:szCs w:val="21"/>
                <w:highlight w:val="none"/>
              </w:rPr>
              <w:t>第</w:t>
            </w:r>
            <w:r>
              <w:rPr>
                <w:rFonts w:hint="eastAsia" w:ascii="宋体" w:hAnsi="宋体" w:eastAsia="宋体"/>
                <w:szCs w:val="21"/>
                <w:highlight w:val="none"/>
                <w:lang w:val="en-US" w:eastAsia="zh-CN"/>
              </w:rPr>
              <w:t>7</w:t>
            </w:r>
            <w:r>
              <w:rPr>
                <w:rFonts w:hint="eastAsia" w:ascii="宋体" w:hAnsi="宋体" w:eastAsia="宋体"/>
                <w:szCs w:val="21"/>
                <w:highlight w:val="none"/>
              </w:rPr>
              <w:t>.2</w:t>
            </w:r>
            <w:r>
              <w:rPr>
                <w:rFonts w:hint="eastAsia" w:ascii="宋体" w:hAnsi="宋体" w:eastAsia="宋体"/>
                <w:szCs w:val="21"/>
                <w:highlight w:val="none"/>
                <w:lang w:val="en-US" w:eastAsia="zh-CN"/>
              </w:rPr>
              <w:t>款</w:t>
            </w:r>
          </w:p>
        </w:tc>
        <w:tc>
          <w:tcPr>
            <w:tcW w:w="1742" w:type="dxa"/>
            <w:vAlign w:val="center"/>
          </w:tcPr>
          <w:p>
            <w:pPr>
              <w:adjustRightInd w:val="0"/>
              <w:snapToGrid w:val="0"/>
              <w:jc w:val="left"/>
              <w:rPr>
                <w:rFonts w:hint="eastAsia" w:ascii="宋体" w:hAnsi="宋体" w:eastAsia="宋体"/>
                <w:szCs w:val="21"/>
                <w:highlight w:val="none"/>
                <w:lang w:eastAsia="zh-CN"/>
              </w:rPr>
            </w:pPr>
            <w:r>
              <w:rPr>
                <w:rFonts w:hint="eastAsia" w:ascii="宋体" w:hAnsi="宋体" w:eastAsia="宋体"/>
                <w:szCs w:val="21"/>
                <w:highlight w:val="none"/>
                <w:lang w:eastAsia="zh-CN"/>
              </w:rPr>
              <w:t>运输特殊要求</w:t>
            </w:r>
          </w:p>
        </w:tc>
        <w:tc>
          <w:tcPr>
            <w:tcW w:w="5170" w:type="dxa"/>
            <w:vAlign w:val="center"/>
          </w:tcPr>
          <w:p>
            <w:pPr>
              <w:rPr>
                <w:rFonts w:hint="eastAsia" w:eastAsia="宋体"/>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pPr>
              <w:adjustRightInd w:val="0"/>
              <w:snapToGrid w:val="0"/>
              <w:jc w:val="center"/>
              <w:rPr>
                <w:rFonts w:hint="eastAsia" w:ascii="宋体" w:hAnsi="宋体" w:eastAsia="宋体"/>
                <w:szCs w:val="21"/>
                <w:highlight w:val="none"/>
              </w:rPr>
            </w:pPr>
            <w:r>
              <w:rPr>
                <w:rFonts w:hint="eastAsia" w:ascii="宋体" w:hAnsi="宋体" w:eastAsia="宋体"/>
                <w:szCs w:val="21"/>
                <w:highlight w:val="none"/>
              </w:rPr>
              <w:t>第</w:t>
            </w:r>
            <w:r>
              <w:rPr>
                <w:rFonts w:hint="eastAsia" w:ascii="宋体" w:hAnsi="宋体" w:eastAsia="宋体"/>
                <w:szCs w:val="21"/>
                <w:highlight w:val="none"/>
                <w:lang w:val="en-US" w:eastAsia="zh-CN"/>
              </w:rPr>
              <w:t>7</w:t>
            </w:r>
            <w:r>
              <w:rPr>
                <w:rFonts w:hint="eastAsia" w:ascii="宋体" w:hAnsi="宋体" w:eastAsia="宋体"/>
                <w:szCs w:val="21"/>
                <w:highlight w:val="none"/>
              </w:rPr>
              <w:t>.3</w:t>
            </w:r>
            <w:r>
              <w:rPr>
                <w:rFonts w:hint="eastAsia" w:ascii="宋体" w:hAnsi="宋体" w:eastAsia="宋体"/>
                <w:szCs w:val="21"/>
                <w:highlight w:val="none"/>
                <w:lang w:val="en-US" w:eastAsia="zh-CN"/>
              </w:rPr>
              <w:t>款</w:t>
            </w:r>
          </w:p>
        </w:tc>
        <w:tc>
          <w:tcPr>
            <w:tcW w:w="1742" w:type="dxa"/>
            <w:vAlign w:val="center"/>
          </w:tcPr>
          <w:p>
            <w:pPr>
              <w:adjustRightInd w:val="0"/>
              <w:snapToGrid w:val="0"/>
              <w:jc w:val="left"/>
              <w:rPr>
                <w:rFonts w:hint="eastAsia" w:ascii="宋体" w:hAnsi="宋体" w:eastAsia="宋体"/>
                <w:szCs w:val="21"/>
                <w:highlight w:val="none"/>
                <w:lang w:eastAsia="zh-CN"/>
              </w:rPr>
            </w:pPr>
            <w:r>
              <w:rPr>
                <w:rFonts w:hint="eastAsia" w:ascii="宋体" w:hAnsi="宋体" w:eastAsia="宋体"/>
                <w:szCs w:val="21"/>
                <w:highlight w:val="none"/>
                <w:lang w:eastAsia="zh-CN"/>
              </w:rPr>
              <w:t>保险要求</w:t>
            </w:r>
          </w:p>
        </w:tc>
        <w:tc>
          <w:tcPr>
            <w:tcW w:w="5170" w:type="dxa"/>
            <w:vAlign w:val="center"/>
          </w:tcPr>
          <w:p>
            <w:pPr>
              <w:rPr>
                <w:rFonts w:hint="eastAsia" w:eastAsia="宋体"/>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pPr>
              <w:adjustRightInd w:val="0"/>
              <w:snapToGrid w:val="0"/>
              <w:jc w:val="center"/>
              <w:rPr>
                <w:rFonts w:ascii="宋体" w:hAnsi="宋体" w:eastAsia="宋体"/>
                <w:szCs w:val="21"/>
                <w:highlight w:val="none"/>
              </w:rPr>
            </w:pPr>
            <w:r>
              <w:rPr>
                <w:rFonts w:hint="eastAsia" w:ascii="宋体" w:hAnsi="宋体" w:eastAsia="宋体"/>
                <w:szCs w:val="21"/>
                <w:highlight w:val="none"/>
              </w:rPr>
              <w:t>第</w:t>
            </w:r>
            <w:r>
              <w:rPr>
                <w:rFonts w:hint="eastAsia" w:ascii="宋体" w:hAnsi="宋体" w:eastAsia="宋体"/>
                <w:szCs w:val="21"/>
                <w:highlight w:val="none"/>
                <w:lang w:val="en-US" w:eastAsia="zh-CN"/>
              </w:rPr>
              <w:t>8</w:t>
            </w:r>
            <w:r>
              <w:rPr>
                <w:rFonts w:hint="eastAsia" w:ascii="宋体" w:hAnsi="宋体" w:eastAsia="宋体"/>
                <w:szCs w:val="21"/>
                <w:highlight w:val="none"/>
              </w:rPr>
              <w:t>.2（1）项</w:t>
            </w:r>
          </w:p>
        </w:tc>
        <w:tc>
          <w:tcPr>
            <w:tcW w:w="1742" w:type="dxa"/>
            <w:vAlign w:val="center"/>
          </w:tcPr>
          <w:p>
            <w:pPr>
              <w:adjustRightInd w:val="0"/>
              <w:snapToGrid w:val="0"/>
              <w:jc w:val="left"/>
              <w:rPr>
                <w:rFonts w:ascii="宋体" w:hAnsi="宋体" w:eastAsia="宋体"/>
                <w:szCs w:val="21"/>
                <w:highlight w:val="none"/>
              </w:rPr>
            </w:pPr>
            <w:r>
              <w:rPr>
                <w:rFonts w:hint="eastAsia" w:ascii="宋体" w:hAnsi="宋体" w:eastAsia="宋体"/>
                <w:szCs w:val="21"/>
                <w:highlight w:val="none"/>
              </w:rPr>
              <w:t>质量保证期</w:t>
            </w:r>
          </w:p>
        </w:tc>
        <w:tc>
          <w:tcPr>
            <w:tcW w:w="5170" w:type="dxa"/>
            <w:vAlign w:val="center"/>
          </w:tcPr>
          <w:p>
            <w:pPr>
              <w:autoSpaceDE w:val="0"/>
              <w:autoSpaceDN w:val="0"/>
              <w:adjustRightInd w:val="0"/>
              <w:snapToGrid w:val="0"/>
              <w:ind w:firstLine="420" w:firstLineChars="200"/>
              <w:jc w:val="left"/>
              <w:rPr>
                <w:rFonts w:ascii="宋体" w:hAnsi="宋体" w:eastAsia="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pPr>
              <w:adjustRightInd w:val="0"/>
              <w:snapToGrid w:val="0"/>
              <w:jc w:val="center"/>
              <w:rPr>
                <w:rFonts w:ascii="宋体" w:hAnsi="宋体" w:eastAsia="宋体"/>
                <w:szCs w:val="21"/>
                <w:highlight w:val="none"/>
              </w:rPr>
            </w:pPr>
            <w:r>
              <w:rPr>
                <w:rFonts w:hint="eastAsia" w:ascii="宋体" w:hAnsi="宋体" w:eastAsia="宋体"/>
                <w:szCs w:val="21"/>
                <w:highlight w:val="none"/>
              </w:rPr>
              <w:t>第</w:t>
            </w:r>
            <w:r>
              <w:rPr>
                <w:rFonts w:hint="eastAsia" w:ascii="宋体" w:hAnsi="宋体" w:eastAsia="宋体"/>
                <w:szCs w:val="21"/>
                <w:highlight w:val="none"/>
                <w:lang w:val="en-US" w:eastAsia="zh-CN"/>
              </w:rPr>
              <w:t>8</w:t>
            </w:r>
            <w:r>
              <w:rPr>
                <w:rFonts w:hint="eastAsia" w:ascii="宋体" w:hAnsi="宋体" w:eastAsia="宋体"/>
                <w:szCs w:val="21"/>
                <w:highlight w:val="none"/>
              </w:rPr>
              <w:t>.2（3）项</w:t>
            </w:r>
          </w:p>
        </w:tc>
        <w:tc>
          <w:tcPr>
            <w:tcW w:w="1742" w:type="dxa"/>
            <w:vAlign w:val="center"/>
          </w:tcPr>
          <w:p>
            <w:pPr>
              <w:adjustRightInd w:val="0"/>
              <w:snapToGrid w:val="0"/>
              <w:jc w:val="left"/>
              <w:rPr>
                <w:rFonts w:hint="eastAsia" w:ascii="宋体" w:hAnsi="宋体" w:eastAsia="宋体"/>
                <w:szCs w:val="21"/>
                <w:highlight w:val="none"/>
                <w:lang w:eastAsia="zh-CN"/>
              </w:rPr>
            </w:pPr>
            <w:r>
              <w:rPr>
                <w:rFonts w:hint="eastAsia" w:ascii="宋体" w:hAnsi="宋体" w:eastAsia="宋体"/>
                <w:szCs w:val="21"/>
                <w:highlight w:val="none"/>
                <w:lang w:eastAsia="zh-CN"/>
              </w:rPr>
              <w:t>货物质量缺陷</w:t>
            </w:r>
          </w:p>
          <w:p>
            <w:pPr>
              <w:adjustRightInd w:val="0"/>
              <w:snapToGrid w:val="0"/>
              <w:jc w:val="left"/>
              <w:rPr>
                <w:rFonts w:ascii="宋体" w:hAnsi="宋体" w:eastAsia="宋体"/>
                <w:szCs w:val="21"/>
                <w:highlight w:val="none"/>
              </w:rPr>
            </w:pPr>
            <w:r>
              <w:rPr>
                <w:rFonts w:hint="eastAsia" w:ascii="宋体" w:hAnsi="宋体" w:eastAsia="宋体"/>
                <w:szCs w:val="21"/>
                <w:highlight w:val="none"/>
              </w:rPr>
              <w:t>响应时间</w:t>
            </w:r>
          </w:p>
        </w:tc>
        <w:tc>
          <w:tcPr>
            <w:tcW w:w="5170" w:type="dxa"/>
            <w:vAlign w:val="center"/>
          </w:tcPr>
          <w:p>
            <w:pPr>
              <w:adjustRightInd w:val="0"/>
              <w:snapToGrid w:val="0"/>
              <w:jc w:val="left"/>
              <w:rPr>
                <w:rFonts w:ascii="宋体" w:hAnsi="宋体" w:eastAsia="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snapToGrid w:val="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第二节</w:t>
            </w:r>
          </w:p>
          <w:p>
            <w:pPr>
              <w:autoSpaceDE w:val="0"/>
              <w:autoSpaceDN w:val="0"/>
              <w:adjustRightInd w:val="0"/>
              <w:spacing w:line="400" w:lineRule="exact"/>
              <w:ind w:firstLine="0" w:firstLineChars="0"/>
              <w:jc w:val="center"/>
              <w:rPr>
                <w:rFonts w:hint="default" w:ascii="华文楷体" w:hAnsi="华文楷体" w:eastAsia="华文楷体" w:cs="华文楷体"/>
                <w:sz w:val="22"/>
                <w:szCs w:val="21"/>
                <w:highlight w:val="none"/>
                <w:lang w:val="en-US" w:eastAsia="zh-CN" w:bidi="ar-SA"/>
              </w:rPr>
            </w:pPr>
            <w:r>
              <w:rPr>
                <w:rFonts w:hint="eastAsia" w:ascii="宋体" w:hAnsi="宋体" w:eastAsia="宋体" w:cs="宋体"/>
                <w:sz w:val="22"/>
                <w:szCs w:val="21"/>
                <w:highlight w:val="none"/>
                <w:lang w:val="en-US" w:eastAsia="zh-CN" w:bidi="ar-SA"/>
              </w:rPr>
              <w:t>第11.1款</w:t>
            </w:r>
          </w:p>
        </w:tc>
        <w:tc>
          <w:tcPr>
            <w:tcW w:w="1742" w:type="dxa"/>
            <w:vAlign w:val="center"/>
          </w:tcPr>
          <w:p>
            <w:pPr>
              <w:adjustRightInd w:val="0"/>
              <w:snapToGrid w:val="0"/>
              <w:jc w:val="both"/>
              <w:rPr>
                <w:rFonts w:hint="default" w:ascii="宋体" w:hAnsi="宋体" w:eastAsia="宋体"/>
                <w:szCs w:val="21"/>
                <w:highlight w:val="none"/>
                <w:lang w:val="en-US" w:eastAsia="zh-CN"/>
              </w:rPr>
            </w:pPr>
            <w:r>
              <w:rPr>
                <w:rFonts w:hint="eastAsia" w:ascii="宋体" w:hAnsi="宋体" w:eastAsia="宋体"/>
                <w:szCs w:val="21"/>
                <w:highlight w:val="none"/>
                <w:lang w:val="en-US" w:eastAsia="zh-CN"/>
              </w:rPr>
              <w:t>其他应当保密的信息</w:t>
            </w:r>
          </w:p>
        </w:tc>
        <w:tc>
          <w:tcPr>
            <w:tcW w:w="5170" w:type="dxa"/>
            <w:vAlign w:val="center"/>
          </w:tcPr>
          <w:p>
            <w:pPr>
              <w:adjustRightInd w:val="0"/>
              <w:snapToGrid w:val="0"/>
              <w:jc w:val="left"/>
              <w:rPr>
                <w:rFonts w:ascii="宋体" w:hAnsi="宋体" w:eastAsia="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pPr>
              <w:adjustRightInd w:val="0"/>
              <w:snapToGrid w:val="0"/>
              <w:jc w:val="center"/>
              <w:rPr>
                <w:rFonts w:ascii="宋体" w:hAnsi="宋体" w:eastAsia="宋体"/>
                <w:szCs w:val="21"/>
                <w:highlight w:val="none"/>
              </w:rPr>
            </w:pPr>
            <w:r>
              <w:rPr>
                <w:rFonts w:hint="eastAsia" w:ascii="宋体" w:hAnsi="宋体" w:eastAsia="宋体"/>
                <w:szCs w:val="21"/>
                <w:highlight w:val="none"/>
              </w:rPr>
              <w:t>第1</w:t>
            </w:r>
            <w:r>
              <w:rPr>
                <w:rFonts w:hint="eastAsia" w:ascii="宋体" w:hAnsi="宋体" w:eastAsia="宋体"/>
                <w:szCs w:val="21"/>
                <w:highlight w:val="none"/>
                <w:lang w:val="en-US" w:eastAsia="zh-CN"/>
              </w:rPr>
              <w:t>2</w:t>
            </w:r>
            <w:r>
              <w:rPr>
                <w:rFonts w:hint="eastAsia" w:ascii="宋体" w:hAnsi="宋体" w:eastAsia="宋体"/>
                <w:szCs w:val="21"/>
                <w:highlight w:val="none"/>
              </w:rPr>
              <w:t>.2款</w:t>
            </w:r>
          </w:p>
        </w:tc>
        <w:tc>
          <w:tcPr>
            <w:tcW w:w="1742" w:type="dxa"/>
            <w:vAlign w:val="center"/>
          </w:tcPr>
          <w:p>
            <w:pPr>
              <w:adjustRightInd w:val="0"/>
              <w:snapToGrid w:val="0"/>
              <w:jc w:val="left"/>
              <w:rPr>
                <w:rFonts w:hint="eastAsia" w:ascii="宋体" w:hAnsi="宋体" w:eastAsia="宋体"/>
                <w:szCs w:val="21"/>
                <w:highlight w:val="none"/>
                <w:lang w:eastAsia="zh-CN"/>
              </w:rPr>
            </w:pPr>
            <w:r>
              <w:rPr>
                <w:rFonts w:hint="eastAsia" w:ascii="宋体" w:hAnsi="宋体" w:eastAsia="宋体"/>
                <w:szCs w:val="21"/>
                <w:highlight w:val="none"/>
              </w:rPr>
              <w:t>合同价款支付</w:t>
            </w:r>
            <w:r>
              <w:rPr>
                <w:rFonts w:hint="eastAsia" w:ascii="宋体" w:hAnsi="宋体" w:eastAsia="宋体"/>
                <w:szCs w:val="21"/>
                <w:highlight w:val="none"/>
                <w:lang w:eastAsia="zh-CN"/>
              </w:rPr>
              <w:t>时间</w:t>
            </w:r>
          </w:p>
        </w:tc>
        <w:tc>
          <w:tcPr>
            <w:tcW w:w="5170" w:type="dxa"/>
            <w:vAlign w:val="center"/>
          </w:tcPr>
          <w:p>
            <w:pPr>
              <w:adjustRightInd w:val="0"/>
              <w:snapToGrid w:val="0"/>
              <w:jc w:val="left"/>
              <w:rPr>
                <w:rFonts w:ascii="宋体" w:hAnsi="宋体" w:eastAsia="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宋体" w:hAnsi="宋体" w:eastAsia="宋体"/>
                <w:szCs w:val="21"/>
                <w:highlight w:val="none"/>
              </w:rPr>
            </w:pPr>
            <w:r>
              <w:rPr>
                <w:rFonts w:hint="eastAsia" w:ascii="宋体" w:hAnsi="宋体" w:eastAsia="宋体"/>
                <w:szCs w:val="21"/>
                <w:highlight w:val="none"/>
              </w:rPr>
              <w:t>第二节</w:t>
            </w:r>
          </w:p>
          <w:p>
            <w:pPr>
              <w:adjustRightInd w:val="0"/>
              <w:snapToGrid w:val="0"/>
              <w:jc w:val="center"/>
              <w:rPr>
                <w:rFonts w:hint="eastAsia" w:ascii="宋体" w:hAnsi="宋体" w:eastAsia="宋体"/>
                <w:szCs w:val="21"/>
                <w:highlight w:val="none"/>
              </w:rPr>
            </w:pPr>
            <w:r>
              <w:rPr>
                <w:rFonts w:hint="eastAsia" w:ascii="宋体" w:hAnsi="宋体" w:eastAsia="宋体"/>
                <w:szCs w:val="21"/>
                <w:highlight w:val="none"/>
              </w:rPr>
              <w:t>第</w:t>
            </w:r>
            <w:r>
              <w:rPr>
                <w:rFonts w:hint="eastAsia" w:ascii="宋体" w:hAnsi="宋体" w:eastAsia="宋体"/>
                <w:szCs w:val="21"/>
                <w:highlight w:val="none"/>
                <w:lang w:val="en-US" w:eastAsia="zh-CN"/>
              </w:rPr>
              <w:t>13.2</w:t>
            </w:r>
            <w:r>
              <w:rPr>
                <w:rFonts w:hint="eastAsia" w:ascii="宋体" w:hAnsi="宋体" w:eastAsia="宋体"/>
                <w:szCs w:val="21"/>
                <w:highlight w:val="none"/>
              </w:rPr>
              <w:t>款</w:t>
            </w:r>
          </w:p>
        </w:tc>
        <w:tc>
          <w:tcPr>
            <w:tcW w:w="1742" w:type="dxa"/>
            <w:vAlign w:val="center"/>
          </w:tcPr>
          <w:p>
            <w:pPr>
              <w:adjustRightInd w:val="0"/>
              <w:snapToGrid w:val="0"/>
              <w:jc w:val="left"/>
              <w:rPr>
                <w:rFonts w:hint="default" w:ascii="宋体" w:hAnsi="宋体" w:eastAsia="宋体"/>
                <w:szCs w:val="21"/>
                <w:highlight w:val="none"/>
                <w:lang w:val="en-US" w:eastAsia="zh-CN"/>
              </w:rPr>
            </w:pPr>
            <w:r>
              <w:rPr>
                <w:rFonts w:hint="eastAsia" w:ascii="宋体" w:hAnsi="宋体" w:eastAsia="宋体"/>
                <w:szCs w:val="21"/>
                <w:highlight w:val="none"/>
                <w:lang w:val="en-US" w:eastAsia="zh-CN"/>
              </w:rPr>
              <w:t>履约保证金不予退还的情形</w:t>
            </w:r>
          </w:p>
        </w:tc>
        <w:tc>
          <w:tcPr>
            <w:tcW w:w="5170" w:type="dxa"/>
            <w:vAlign w:val="center"/>
          </w:tcPr>
          <w:p>
            <w:pPr>
              <w:adjustRightInd w:val="0"/>
              <w:snapToGrid w:val="0"/>
              <w:jc w:val="left"/>
              <w:rPr>
                <w:rFonts w:ascii="宋体" w:hAnsi="宋体" w:eastAsia="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highlight w:val="none"/>
              </w:rPr>
            </w:pPr>
            <w:r>
              <w:rPr>
                <w:rFonts w:hint="eastAsia" w:ascii="宋体" w:hAnsi="宋体" w:eastAsia="宋体"/>
                <w:szCs w:val="21"/>
                <w:highlight w:val="none"/>
              </w:rPr>
              <w:t>第二节</w:t>
            </w:r>
          </w:p>
          <w:p>
            <w:pPr>
              <w:adjustRightInd w:val="0"/>
              <w:snapToGrid w:val="0"/>
              <w:jc w:val="center"/>
              <w:rPr>
                <w:rFonts w:hint="eastAsia" w:ascii="宋体" w:hAnsi="宋体" w:eastAsia="宋体"/>
                <w:szCs w:val="21"/>
                <w:highlight w:val="none"/>
              </w:rPr>
            </w:pPr>
            <w:r>
              <w:rPr>
                <w:rFonts w:hint="eastAsia" w:ascii="宋体" w:hAnsi="宋体" w:eastAsia="宋体"/>
                <w:szCs w:val="21"/>
                <w:highlight w:val="none"/>
              </w:rPr>
              <w:t>第</w:t>
            </w:r>
            <w:r>
              <w:rPr>
                <w:rFonts w:hint="eastAsia" w:ascii="宋体" w:hAnsi="宋体" w:eastAsia="宋体"/>
                <w:szCs w:val="21"/>
                <w:highlight w:val="none"/>
                <w:lang w:val="en-US" w:eastAsia="zh-CN"/>
              </w:rPr>
              <w:t>13.3</w:t>
            </w:r>
            <w:r>
              <w:rPr>
                <w:rFonts w:hint="eastAsia" w:ascii="宋体" w:hAnsi="宋体" w:eastAsia="宋体"/>
                <w:szCs w:val="21"/>
                <w:highlight w:val="none"/>
              </w:rPr>
              <w:t>款</w:t>
            </w:r>
          </w:p>
        </w:tc>
        <w:tc>
          <w:tcPr>
            <w:tcW w:w="1742" w:type="dxa"/>
            <w:vAlign w:val="center"/>
          </w:tcPr>
          <w:p>
            <w:pPr>
              <w:adjustRightInd w:val="0"/>
              <w:snapToGrid w:val="0"/>
              <w:jc w:val="left"/>
              <w:rPr>
                <w:rFonts w:ascii="宋体" w:hAnsi="宋体" w:eastAsia="宋体"/>
                <w:szCs w:val="21"/>
                <w:highlight w:val="none"/>
              </w:rPr>
            </w:pPr>
            <w:r>
              <w:rPr>
                <w:rFonts w:hint="eastAsia" w:ascii="宋体" w:hAnsi="宋体" w:eastAsia="宋体"/>
                <w:szCs w:val="21"/>
                <w:highlight w:val="none"/>
              </w:rPr>
              <w:t>履约保证金退还时间及</w:t>
            </w:r>
            <w:r>
              <w:rPr>
                <w:rFonts w:hint="eastAsia" w:ascii="宋体" w:hAnsi="宋体" w:eastAsia="宋体"/>
                <w:szCs w:val="21"/>
                <w:highlight w:val="none"/>
                <w:lang w:eastAsia="zh-CN"/>
              </w:rPr>
              <w:t>逾期退还的</w:t>
            </w:r>
            <w:r>
              <w:rPr>
                <w:rFonts w:hint="eastAsia" w:ascii="宋体" w:hAnsi="宋体" w:eastAsia="宋体"/>
                <w:szCs w:val="21"/>
                <w:highlight w:val="none"/>
              </w:rPr>
              <w:t>违约金</w:t>
            </w:r>
          </w:p>
        </w:tc>
        <w:tc>
          <w:tcPr>
            <w:tcW w:w="5170" w:type="dxa"/>
            <w:vAlign w:val="center"/>
          </w:tcPr>
          <w:p>
            <w:pPr>
              <w:adjustRightInd w:val="0"/>
              <w:snapToGrid w:val="0"/>
              <w:jc w:val="left"/>
              <w:rPr>
                <w:rFonts w:ascii="宋体" w:hAnsi="宋体" w:eastAsia="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pPr>
              <w:adjustRightInd w:val="0"/>
              <w:snapToGrid w:val="0"/>
              <w:jc w:val="center"/>
              <w:rPr>
                <w:rFonts w:hint="eastAsia" w:ascii="宋体" w:hAnsi="宋体" w:eastAsia="宋体"/>
                <w:szCs w:val="21"/>
                <w:highlight w:val="none"/>
              </w:rPr>
            </w:pPr>
            <w:r>
              <w:rPr>
                <w:rFonts w:hint="eastAsia" w:ascii="宋体" w:hAnsi="宋体" w:eastAsia="宋体"/>
                <w:szCs w:val="21"/>
                <w:highlight w:val="none"/>
              </w:rPr>
              <w:t>第1</w:t>
            </w:r>
            <w:r>
              <w:rPr>
                <w:rFonts w:hint="eastAsia" w:ascii="宋体" w:hAnsi="宋体" w:eastAsia="宋体"/>
                <w:szCs w:val="21"/>
                <w:highlight w:val="none"/>
                <w:lang w:val="en-US" w:eastAsia="zh-CN"/>
              </w:rPr>
              <w:t>4</w:t>
            </w:r>
            <w:r>
              <w:rPr>
                <w:rFonts w:hint="eastAsia" w:ascii="宋体" w:hAnsi="宋体" w:eastAsia="宋体"/>
                <w:szCs w:val="21"/>
                <w:highlight w:val="none"/>
              </w:rPr>
              <w:t>.1（</w:t>
            </w:r>
            <w:r>
              <w:rPr>
                <w:rFonts w:hint="eastAsia" w:ascii="宋体" w:hAnsi="宋体" w:eastAsia="宋体"/>
                <w:szCs w:val="21"/>
                <w:highlight w:val="none"/>
                <w:lang w:val="en-US" w:eastAsia="zh-CN"/>
              </w:rPr>
              <w:t>3</w:t>
            </w:r>
            <w:r>
              <w:rPr>
                <w:rFonts w:hint="eastAsia" w:ascii="宋体" w:hAnsi="宋体" w:eastAsia="宋体"/>
                <w:szCs w:val="21"/>
                <w:highlight w:val="none"/>
              </w:rPr>
              <w:t>）项</w:t>
            </w:r>
          </w:p>
        </w:tc>
        <w:tc>
          <w:tcPr>
            <w:tcW w:w="1742" w:type="dxa"/>
            <w:vAlign w:val="center"/>
          </w:tcPr>
          <w:p>
            <w:pPr>
              <w:adjustRightInd w:val="0"/>
              <w:snapToGrid w:val="0"/>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运行监督、维修期限</w:t>
            </w:r>
          </w:p>
        </w:tc>
        <w:tc>
          <w:tcPr>
            <w:tcW w:w="5170" w:type="dxa"/>
            <w:vAlign w:val="center"/>
          </w:tcPr>
          <w:p>
            <w:pPr>
              <w:adjustRightInd w:val="0"/>
              <w:snapToGrid w:val="0"/>
              <w:jc w:val="left"/>
              <w:rPr>
                <w:rFonts w:ascii="宋体" w:hAnsi="宋体" w:eastAsia="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pPr>
              <w:adjustRightInd w:val="0"/>
              <w:snapToGrid w:val="0"/>
              <w:jc w:val="center"/>
              <w:rPr>
                <w:rFonts w:hint="eastAsia" w:ascii="宋体" w:hAnsi="宋体" w:eastAsia="宋体"/>
                <w:szCs w:val="21"/>
                <w:highlight w:val="none"/>
              </w:rPr>
            </w:pPr>
            <w:r>
              <w:rPr>
                <w:rFonts w:hint="eastAsia" w:ascii="宋体" w:hAnsi="宋体" w:eastAsia="宋体"/>
                <w:szCs w:val="21"/>
                <w:highlight w:val="none"/>
              </w:rPr>
              <w:t>第1</w:t>
            </w:r>
            <w:r>
              <w:rPr>
                <w:rFonts w:hint="eastAsia" w:ascii="宋体" w:hAnsi="宋体" w:eastAsia="宋体"/>
                <w:szCs w:val="21"/>
                <w:highlight w:val="none"/>
                <w:lang w:val="en-US" w:eastAsia="zh-CN"/>
              </w:rPr>
              <w:t>4</w:t>
            </w:r>
            <w:r>
              <w:rPr>
                <w:rFonts w:hint="eastAsia" w:ascii="宋体" w:hAnsi="宋体" w:eastAsia="宋体"/>
                <w:szCs w:val="21"/>
                <w:highlight w:val="none"/>
              </w:rPr>
              <w:t>.1（</w:t>
            </w:r>
            <w:r>
              <w:rPr>
                <w:rFonts w:hint="eastAsia" w:ascii="宋体" w:hAnsi="宋体" w:eastAsia="宋体"/>
                <w:szCs w:val="21"/>
                <w:highlight w:val="none"/>
                <w:lang w:val="en-US" w:eastAsia="zh-CN"/>
              </w:rPr>
              <w:t>5</w:t>
            </w:r>
            <w:r>
              <w:rPr>
                <w:rFonts w:hint="eastAsia" w:ascii="宋体" w:hAnsi="宋体" w:eastAsia="宋体"/>
                <w:szCs w:val="21"/>
                <w:highlight w:val="none"/>
              </w:rPr>
              <w:t>）项</w:t>
            </w:r>
          </w:p>
        </w:tc>
        <w:tc>
          <w:tcPr>
            <w:tcW w:w="1742" w:type="dxa"/>
            <w:vAlign w:val="center"/>
          </w:tcPr>
          <w:p>
            <w:pPr>
              <w:adjustRightInd w:val="0"/>
              <w:snapToGrid w:val="0"/>
              <w:jc w:val="left"/>
              <w:rPr>
                <w:rFonts w:hint="default" w:ascii="宋体" w:hAnsi="宋体" w:eastAsia="宋体"/>
                <w:szCs w:val="21"/>
                <w:highlight w:val="none"/>
                <w:lang w:val="en-US" w:eastAsia="zh-CN"/>
              </w:rPr>
            </w:pPr>
            <w:r>
              <w:rPr>
                <w:rFonts w:hint="eastAsia" w:ascii="宋体" w:hAnsi="宋体" w:eastAsia="宋体"/>
                <w:szCs w:val="21"/>
                <w:highlight w:val="none"/>
                <w:lang w:val="en-US" w:eastAsia="zh-CN"/>
              </w:rPr>
              <w:t>货物回收的约定</w:t>
            </w:r>
          </w:p>
        </w:tc>
        <w:tc>
          <w:tcPr>
            <w:tcW w:w="5170" w:type="dxa"/>
            <w:vAlign w:val="center"/>
          </w:tcPr>
          <w:p>
            <w:pPr>
              <w:adjustRightInd w:val="0"/>
              <w:snapToGrid w:val="0"/>
              <w:jc w:val="left"/>
              <w:rPr>
                <w:rFonts w:ascii="宋体" w:hAnsi="宋体" w:eastAsia="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pPr>
              <w:adjustRightInd w:val="0"/>
              <w:snapToGrid w:val="0"/>
              <w:jc w:val="center"/>
              <w:rPr>
                <w:rFonts w:ascii="宋体" w:hAnsi="宋体" w:eastAsia="宋体"/>
                <w:szCs w:val="21"/>
                <w:highlight w:val="none"/>
              </w:rPr>
            </w:pPr>
            <w:r>
              <w:rPr>
                <w:rFonts w:hint="eastAsia" w:ascii="宋体" w:hAnsi="宋体" w:eastAsia="宋体"/>
                <w:szCs w:val="21"/>
                <w:highlight w:val="none"/>
              </w:rPr>
              <w:t>第1</w:t>
            </w:r>
            <w:r>
              <w:rPr>
                <w:rFonts w:hint="eastAsia" w:ascii="宋体" w:hAnsi="宋体" w:eastAsia="宋体"/>
                <w:szCs w:val="21"/>
                <w:highlight w:val="none"/>
                <w:lang w:val="en-US" w:eastAsia="zh-CN"/>
              </w:rPr>
              <w:t>4</w:t>
            </w:r>
            <w:r>
              <w:rPr>
                <w:rFonts w:hint="eastAsia" w:ascii="宋体" w:hAnsi="宋体" w:eastAsia="宋体"/>
                <w:szCs w:val="21"/>
                <w:highlight w:val="none"/>
              </w:rPr>
              <w:t>.1（</w:t>
            </w:r>
            <w:r>
              <w:rPr>
                <w:rFonts w:hint="eastAsia" w:ascii="宋体" w:hAnsi="宋体" w:eastAsia="宋体"/>
                <w:szCs w:val="21"/>
                <w:highlight w:val="none"/>
                <w:lang w:val="en-US" w:eastAsia="zh-CN"/>
              </w:rPr>
              <w:t>6</w:t>
            </w:r>
            <w:r>
              <w:rPr>
                <w:rFonts w:hint="eastAsia" w:ascii="宋体" w:hAnsi="宋体" w:eastAsia="宋体"/>
                <w:szCs w:val="21"/>
                <w:highlight w:val="none"/>
              </w:rPr>
              <w:t>）项</w:t>
            </w:r>
          </w:p>
        </w:tc>
        <w:tc>
          <w:tcPr>
            <w:tcW w:w="1742" w:type="dxa"/>
            <w:vAlign w:val="center"/>
          </w:tcPr>
          <w:p>
            <w:pPr>
              <w:adjustRightInd w:val="0"/>
              <w:snapToGrid w:val="0"/>
              <w:jc w:val="left"/>
              <w:rPr>
                <w:rFonts w:ascii="宋体" w:hAnsi="宋体" w:eastAsia="宋体"/>
                <w:szCs w:val="21"/>
                <w:highlight w:val="none"/>
              </w:rPr>
            </w:pPr>
            <w:r>
              <w:rPr>
                <w:rFonts w:hint="eastAsia" w:ascii="宋体" w:hAnsi="宋体" w:eastAsia="宋体"/>
                <w:szCs w:val="21"/>
                <w:highlight w:val="none"/>
              </w:rPr>
              <w:t>乙方提供的其他服务</w:t>
            </w:r>
          </w:p>
        </w:tc>
        <w:tc>
          <w:tcPr>
            <w:tcW w:w="5170" w:type="dxa"/>
            <w:vAlign w:val="center"/>
          </w:tcPr>
          <w:p>
            <w:pPr>
              <w:adjustRightInd w:val="0"/>
              <w:snapToGrid w:val="0"/>
              <w:jc w:val="left"/>
              <w:rPr>
                <w:rFonts w:ascii="宋体" w:hAnsi="宋体" w:eastAsia="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pPr>
              <w:adjustRightInd w:val="0"/>
              <w:snapToGrid w:val="0"/>
              <w:jc w:val="center"/>
              <w:rPr>
                <w:rFonts w:hint="default" w:ascii="宋体" w:hAnsi="宋体" w:eastAsia="宋体"/>
                <w:szCs w:val="21"/>
                <w:highlight w:val="none"/>
                <w:lang w:val="en-US" w:eastAsia="zh-CN"/>
              </w:rPr>
            </w:pPr>
            <w:r>
              <w:rPr>
                <w:rFonts w:hint="eastAsia" w:ascii="宋体" w:hAnsi="宋体" w:eastAsia="宋体"/>
                <w:szCs w:val="21"/>
                <w:highlight w:val="none"/>
              </w:rPr>
              <w:t>第1</w:t>
            </w:r>
            <w:r>
              <w:rPr>
                <w:rFonts w:hint="eastAsia" w:ascii="宋体" w:hAnsi="宋体" w:eastAsia="宋体"/>
                <w:szCs w:val="21"/>
                <w:highlight w:val="none"/>
                <w:lang w:val="en-US" w:eastAsia="zh-CN"/>
              </w:rPr>
              <w:t>5</w:t>
            </w:r>
            <w:r>
              <w:rPr>
                <w:rFonts w:hint="eastAsia" w:ascii="宋体" w:hAnsi="宋体" w:eastAsia="宋体"/>
                <w:szCs w:val="21"/>
                <w:highlight w:val="none"/>
              </w:rPr>
              <w:t>.</w:t>
            </w:r>
            <w:r>
              <w:rPr>
                <w:rFonts w:hint="eastAsia" w:ascii="宋体" w:hAnsi="宋体" w:eastAsia="宋体"/>
                <w:szCs w:val="21"/>
                <w:highlight w:val="none"/>
                <w:lang w:val="en-US" w:eastAsia="zh-CN"/>
              </w:rPr>
              <w:t>1款</w:t>
            </w:r>
          </w:p>
        </w:tc>
        <w:tc>
          <w:tcPr>
            <w:tcW w:w="1742" w:type="dxa"/>
            <w:vAlign w:val="center"/>
          </w:tcPr>
          <w:p>
            <w:pPr>
              <w:adjustRightInd w:val="0"/>
              <w:snapToGrid w:val="0"/>
              <w:jc w:val="left"/>
              <w:rPr>
                <w:rFonts w:hint="eastAsia" w:ascii="宋体" w:hAnsi="宋体" w:eastAsia="宋体"/>
                <w:szCs w:val="21"/>
                <w:highlight w:val="none"/>
              </w:rPr>
            </w:pPr>
            <w:r>
              <w:rPr>
                <w:rFonts w:hint="eastAsia" w:ascii="宋体" w:hAnsi="宋体" w:eastAsia="宋体"/>
                <w:color w:val="auto"/>
                <w:szCs w:val="21"/>
                <w:highlight w:val="none"/>
                <w:lang w:eastAsia="zh-CN"/>
              </w:rPr>
              <w:t>修理、重作、更换相关具体规定</w:t>
            </w:r>
          </w:p>
        </w:tc>
        <w:tc>
          <w:tcPr>
            <w:tcW w:w="5170" w:type="dxa"/>
            <w:vAlign w:val="center"/>
          </w:tcPr>
          <w:p>
            <w:pPr>
              <w:adjustRightInd w:val="0"/>
              <w:snapToGrid w:val="0"/>
              <w:jc w:val="left"/>
              <w:rPr>
                <w:rFonts w:ascii="宋体" w:hAnsi="宋体" w:eastAsia="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pPr>
              <w:adjustRightInd w:val="0"/>
              <w:snapToGrid w:val="0"/>
              <w:jc w:val="center"/>
              <w:rPr>
                <w:rFonts w:ascii="宋体" w:hAnsi="宋体" w:eastAsia="宋体"/>
                <w:szCs w:val="21"/>
                <w:highlight w:val="none"/>
              </w:rPr>
            </w:pPr>
            <w:r>
              <w:rPr>
                <w:rFonts w:hint="eastAsia" w:ascii="宋体" w:hAnsi="宋体" w:eastAsia="宋体"/>
                <w:szCs w:val="21"/>
                <w:highlight w:val="none"/>
              </w:rPr>
              <w:t>第1</w:t>
            </w:r>
            <w:r>
              <w:rPr>
                <w:rFonts w:hint="eastAsia" w:ascii="宋体" w:hAnsi="宋体" w:eastAsia="宋体"/>
                <w:szCs w:val="21"/>
                <w:highlight w:val="none"/>
                <w:lang w:val="en-US" w:eastAsia="zh-CN"/>
              </w:rPr>
              <w:t>5</w:t>
            </w:r>
            <w:r>
              <w:rPr>
                <w:rFonts w:hint="eastAsia" w:ascii="宋体" w:hAnsi="宋体" w:eastAsia="宋体"/>
                <w:szCs w:val="21"/>
                <w:highlight w:val="none"/>
              </w:rPr>
              <w:t>.2（2）项</w:t>
            </w:r>
          </w:p>
        </w:tc>
        <w:tc>
          <w:tcPr>
            <w:tcW w:w="1742" w:type="dxa"/>
            <w:vAlign w:val="center"/>
          </w:tcPr>
          <w:p>
            <w:pPr>
              <w:adjustRightInd w:val="0"/>
              <w:snapToGrid w:val="0"/>
              <w:jc w:val="left"/>
              <w:rPr>
                <w:rFonts w:ascii="宋体" w:hAnsi="宋体" w:eastAsia="宋体"/>
                <w:szCs w:val="21"/>
                <w:highlight w:val="none"/>
              </w:rPr>
            </w:pPr>
            <w:r>
              <w:rPr>
                <w:rFonts w:hint="eastAsia" w:ascii="宋体" w:hAnsi="宋体" w:eastAsia="宋体"/>
                <w:szCs w:val="21"/>
                <w:highlight w:val="none"/>
              </w:rPr>
              <w:t>迟延交货赔偿费</w:t>
            </w:r>
          </w:p>
        </w:tc>
        <w:tc>
          <w:tcPr>
            <w:tcW w:w="5170" w:type="dxa"/>
            <w:vAlign w:val="center"/>
          </w:tcPr>
          <w:p>
            <w:pPr>
              <w:adjustRightInd w:val="0"/>
              <w:snapToGrid w:val="0"/>
              <w:jc w:val="left"/>
              <w:rPr>
                <w:rFonts w:ascii="宋体" w:hAnsi="宋体" w:eastAsia="宋体"/>
                <w:szCs w:val="21"/>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pPr>
              <w:adjustRightInd w:val="0"/>
              <w:snapToGrid w:val="0"/>
              <w:jc w:val="center"/>
              <w:rPr>
                <w:rFonts w:hint="eastAsia" w:ascii="宋体" w:hAnsi="宋体" w:eastAsia="宋体"/>
                <w:szCs w:val="21"/>
                <w:highlight w:val="none"/>
              </w:rPr>
            </w:pPr>
            <w:r>
              <w:rPr>
                <w:rFonts w:hint="eastAsia" w:ascii="宋体" w:hAnsi="宋体" w:eastAsia="宋体"/>
                <w:szCs w:val="21"/>
                <w:highlight w:val="none"/>
              </w:rPr>
              <w:t>第1</w:t>
            </w:r>
            <w:r>
              <w:rPr>
                <w:rFonts w:hint="eastAsia" w:ascii="宋体" w:hAnsi="宋体" w:eastAsia="宋体"/>
                <w:szCs w:val="21"/>
                <w:highlight w:val="none"/>
                <w:lang w:val="en-US" w:eastAsia="zh-CN"/>
              </w:rPr>
              <w:t>5</w:t>
            </w:r>
            <w:r>
              <w:rPr>
                <w:rFonts w:hint="eastAsia" w:ascii="宋体" w:hAnsi="宋体" w:eastAsia="宋体"/>
                <w:szCs w:val="21"/>
                <w:highlight w:val="none"/>
              </w:rPr>
              <w:t>.</w:t>
            </w:r>
            <w:r>
              <w:rPr>
                <w:rFonts w:hint="eastAsia" w:ascii="宋体" w:hAnsi="宋体" w:eastAsia="宋体"/>
                <w:szCs w:val="21"/>
                <w:highlight w:val="none"/>
                <w:lang w:val="en-US" w:eastAsia="zh-CN"/>
              </w:rPr>
              <w:t>3款</w:t>
            </w:r>
          </w:p>
        </w:tc>
        <w:tc>
          <w:tcPr>
            <w:tcW w:w="1742" w:type="dxa"/>
            <w:vAlign w:val="center"/>
          </w:tcPr>
          <w:p>
            <w:pPr>
              <w:adjustRightInd w:val="0"/>
              <w:snapToGrid w:val="0"/>
              <w:jc w:val="left"/>
              <w:rPr>
                <w:rFonts w:hint="eastAsia" w:ascii="宋体" w:hAnsi="宋体" w:eastAsia="宋体"/>
                <w:szCs w:val="21"/>
                <w:highlight w:val="none"/>
              </w:rPr>
            </w:pPr>
            <w:r>
              <w:rPr>
                <w:rFonts w:hint="eastAsia" w:ascii="宋体" w:hAnsi="宋体" w:eastAsia="宋体"/>
                <w:szCs w:val="21"/>
                <w:highlight w:val="none"/>
              </w:rPr>
              <w:t>逾期付款利息</w:t>
            </w:r>
          </w:p>
        </w:tc>
        <w:tc>
          <w:tcPr>
            <w:tcW w:w="5170" w:type="dxa"/>
            <w:vAlign w:val="center"/>
          </w:tcPr>
          <w:p>
            <w:pPr>
              <w:adjustRightInd w:val="0"/>
              <w:snapToGrid w:val="0"/>
              <w:jc w:val="left"/>
              <w:rPr>
                <w:rFonts w:ascii="宋体" w:hAnsi="宋体" w:eastAsia="宋体"/>
                <w:szCs w:val="21"/>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pPr>
              <w:adjustRightInd w:val="0"/>
              <w:snapToGrid w:val="0"/>
              <w:jc w:val="center"/>
              <w:rPr>
                <w:rFonts w:ascii="宋体" w:hAnsi="宋体" w:eastAsia="宋体"/>
                <w:szCs w:val="21"/>
                <w:highlight w:val="none"/>
              </w:rPr>
            </w:pPr>
            <w:r>
              <w:rPr>
                <w:rFonts w:hint="eastAsia" w:ascii="宋体" w:hAnsi="宋体" w:eastAsia="宋体"/>
                <w:szCs w:val="21"/>
                <w:highlight w:val="none"/>
              </w:rPr>
              <w:t>第1</w:t>
            </w:r>
            <w:r>
              <w:rPr>
                <w:rFonts w:hint="eastAsia" w:ascii="宋体" w:hAnsi="宋体" w:eastAsia="宋体"/>
                <w:szCs w:val="21"/>
                <w:highlight w:val="none"/>
                <w:lang w:val="en-US" w:eastAsia="zh-CN"/>
              </w:rPr>
              <w:t>5</w:t>
            </w:r>
            <w:r>
              <w:rPr>
                <w:rFonts w:hint="eastAsia" w:ascii="宋体" w:hAnsi="宋体" w:eastAsia="宋体"/>
                <w:szCs w:val="21"/>
                <w:highlight w:val="none"/>
              </w:rPr>
              <w:t>.4</w:t>
            </w:r>
            <w:r>
              <w:rPr>
                <w:rFonts w:hint="eastAsia" w:ascii="宋体" w:hAnsi="宋体" w:eastAsia="宋体"/>
                <w:szCs w:val="21"/>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ascii="宋体" w:hAnsi="宋体" w:eastAsia="宋体"/>
                <w:szCs w:val="21"/>
                <w:highlight w:val="none"/>
              </w:rPr>
            </w:pPr>
            <w:r>
              <w:rPr>
                <w:rFonts w:hint="eastAsia" w:ascii="宋体" w:hAnsi="宋体" w:eastAsia="宋体"/>
                <w:szCs w:val="21"/>
                <w:highlight w:val="none"/>
              </w:rPr>
              <w:t>其他违约责任</w:t>
            </w:r>
          </w:p>
        </w:tc>
        <w:tc>
          <w:tcPr>
            <w:tcW w:w="5170" w:type="dxa"/>
            <w:tcBorders>
              <w:left w:val="single" w:color="auto" w:sz="2" w:space="0"/>
              <w:bottom w:val="single" w:color="auto" w:sz="2" w:space="0"/>
            </w:tcBorders>
            <w:vAlign w:val="center"/>
          </w:tcPr>
          <w:p>
            <w:pPr>
              <w:adjustRightInd w:val="0"/>
              <w:snapToGrid w:val="0"/>
              <w:jc w:val="left"/>
              <w:rPr>
                <w:rFonts w:ascii="宋体" w:hAnsi="宋体" w:eastAsia="宋体"/>
                <w:szCs w:val="21"/>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pPr>
              <w:adjustRightInd w:val="0"/>
              <w:snapToGrid w:val="0"/>
              <w:jc w:val="center"/>
              <w:rPr>
                <w:rFonts w:ascii="宋体" w:hAnsi="宋体" w:eastAsia="宋体"/>
                <w:szCs w:val="21"/>
                <w:highlight w:val="none"/>
              </w:rPr>
            </w:pPr>
            <w:r>
              <w:rPr>
                <w:rFonts w:hint="eastAsia" w:ascii="宋体" w:hAnsi="宋体" w:eastAsia="宋体"/>
                <w:szCs w:val="21"/>
                <w:highlight w:val="none"/>
              </w:rPr>
              <w:t>第</w:t>
            </w:r>
            <w:r>
              <w:rPr>
                <w:rFonts w:hint="eastAsia" w:ascii="宋体" w:hAnsi="宋体" w:eastAsia="宋体"/>
                <w:szCs w:val="21"/>
                <w:highlight w:val="none"/>
                <w:lang w:val="en-US" w:eastAsia="zh-CN"/>
              </w:rPr>
              <w:t>19</w:t>
            </w:r>
            <w:r>
              <w:rPr>
                <w:rFonts w:hint="eastAsia" w:ascii="宋体" w:hAnsi="宋体" w:eastAsia="宋体"/>
                <w:szCs w:val="21"/>
                <w:highlight w:val="none"/>
              </w:rPr>
              <w:t>.2</w:t>
            </w:r>
            <w:r>
              <w:rPr>
                <w:rFonts w:hint="eastAsia" w:ascii="宋体" w:hAnsi="宋体" w:eastAsia="宋体"/>
                <w:szCs w:val="21"/>
                <w:highlight w:val="none"/>
                <w:lang w:val="en-US" w:eastAsia="zh-CN"/>
              </w:rPr>
              <w:t>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ascii="宋体" w:hAnsi="宋体" w:eastAsia="宋体"/>
                <w:szCs w:val="21"/>
                <w:highlight w:val="none"/>
              </w:rPr>
            </w:pPr>
            <w:r>
              <w:rPr>
                <w:rFonts w:hint="eastAsia" w:ascii="宋体" w:hAnsi="宋体" w:eastAsia="宋体"/>
                <w:szCs w:val="21"/>
                <w:highlight w:val="none"/>
                <w:lang w:val="en-US" w:eastAsia="zh-CN"/>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hint="eastAsia" w:ascii="宋体" w:hAnsi="宋体" w:eastAsia="宋体" w:cs="宋体"/>
                <w:b w:val="0"/>
                <w:bCs w:val="0"/>
                <w:iCs/>
                <w:szCs w:val="21"/>
                <w:highlight w:val="none"/>
              </w:rPr>
            </w:pPr>
            <w:r>
              <w:rPr>
                <w:rFonts w:hint="eastAsia" w:ascii="宋体" w:hAnsi="宋体" w:eastAsia="宋体" w:cs="宋体"/>
                <w:b w:val="0"/>
                <w:bCs w:val="0"/>
                <w:iCs/>
                <w:szCs w:val="21"/>
                <w:highlight w:val="none"/>
              </w:rPr>
              <w:t>因本合同及合同有关事项发生的争议，按下列第</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种方式解决：</w:t>
            </w:r>
          </w:p>
          <w:p>
            <w:pPr>
              <w:autoSpaceDE w:val="0"/>
              <w:autoSpaceDN w:val="0"/>
              <w:adjustRightInd w:val="0"/>
              <w:snapToGrid w:val="0"/>
              <w:spacing w:line="400" w:lineRule="exact"/>
              <w:jc w:val="left"/>
              <w:rPr>
                <w:rFonts w:hint="eastAsia" w:ascii="宋体" w:hAnsi="宋体" w:eastAsia="宋体" w:cs="宋体"/>
                <w:b w:val="0"/>
                <w:bCs w:val="0"/>
                <w:iCs/>
                <w:szCs w:val="21"/>
                <w:highlight w:val="none"/>
              </w:rPr>
            </w:pPr>
            <w:r>
              <w:rPr>
                <w:rFonts w:hint="eastAsia" w:ascii="宋体" w:hAnsi="宋体" w:eastAsia="宋体" w:cs="宋体"/>
                <w:b w:val="0"/>
                <w:bCs w:val="0"/>
                <w:iCs/>
                <w:szCs w:val="21"/>
                <w:highlight w:val="none"/>
              </w:rPr>
              <w:t>（1）向</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仲裁委员会申请仲裁，仲裁地点为</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w:t>
            </w:r>
          </w:p>
          <w:p>
            <w:pPr>
              <w:adjustRightInd w:val="0"/>
              <w:snapToGrid w:val="0"/>
              <w:ind w:firstLine="0" w:firstLineChars="0"/>
              <w:jc w:val="left"/>
              <w:rPr>
                <w:rFonts w:ascii="宋体" w:hAnsi="宋体" w:eastAsia="宋体"/>
                <w:szCs w:val="21"/>
                <w:highlight w:val="none"/>
                <w:u w:val="single"/>
              </w:rPr>
            </w:pPr>
            <w:r>
              <w:rPr>
                <w:rFonts w:hint="eastAsia" w:ascii="宋体" w:hAnsi="宋体" w:eastAsia="宋体" w:cs="宋体"/>
                <w:b w:val="0"/>
                <w:bCs w:val="0"/>
                <w:iCs/>
                <w:szCs w:val="21"/>
                <w:highlight w:val="none"/>
              </w:rPr>
              <w:t>（2）向</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pPr>
              <w:adjustRightInd w:val="0"/>
              <w:snapToGrid w:val="0"/>
              <w:jc w:val="center"/>
              <w:rPr>
                <w:rFonts w:ascii="宋体" w:hAnsi="宋体" w:eastAsia="宋体"/>
                <w:szCs w:val="21"/>
                <w:highlight w:val="none"/>
              </w:rPr>
            </w:pPr>
            <w:r>
              <w:rPr>
                <w:rFonts w:hint="eastAsia" w:ascii="宋体" w:hAnsi="宋体" w:eastAsia="宋体"/>
                <w:szCs w:val="21"/>
                <w:highlight w:val="none"/>
              </w:rPr>
              <w:t>第2</w:t>
            </w:r>
            <w:r>
              <w:rPr>
                <w:rFonts w:hint="eastAsia" w:ascii="宋体" w:hAnsi="宋体" w:eastAsia="宋体"/>
                <w:szCs w:val="21"/>
                <w:highlight w:val="none"/>
                <w:lang w:val="en-US" w:eastAsia="zh-CN"/>
              </w:rPr>
              <w:t>3.1</w:t>
            </w:r>
            <w:r>
              <w:rPr>
                <w:rFonts w:hint="eastAsia" w:ascii="宋体" w:hAnsi="宋体" w:eastAsia="宋体"/>
                <w:szCs w:val="21"/>
                <w:highlight w:val="none"/>
                <w:lang w:eastAsia="zh-CN"/>
              </w:rPr>
              <w:t>款</w:t>
            </w:r>
          </w:p>
        </w:tc>
        <w:tc>
          <w:tcPr>
            <w:tcW w:w="1742" w:type="dxa"/>
            <w:vAlign w:val="center"/>
          </w:tcPr>
          <w:p>
            <w:pPr>
              <w:adjustRightInd w:val="0"/>
              <w:snapToGrid w:val="0"/>
              <w:jc w:val="left"/>
              <w:rPr>
                <w:rFonts w:ascii="宋体" w:hAnsi="宋体" w:eastAsia="宋体"/>
                <w:szCs w:val="21"/>
                <w:highlight w:val="none"/>
              </w:rPr>
            </w:pPr>
            <w:r>
              <w:rPr>
                <w:rFonts w:hint="eastAsia" w:ascii="宋体" w:hAnsi="宋体" w:eastAsia="宋体"/>
                <w:bCs/>
                <w:color w:val="auto"/>
                <w:szCs w:val="21"/>
                <w:highlight w:val="none"/>
                <w:lang w:eastAsia="zh-CN"/>
              </w:rPr>
              <w:t>其他专用条款</w:t>
            </w:r>
          </w:p>
        </w:tc>
        <w:tc>
          <w:tcPr>
            <w:tcW w:w="5170" w:type="dxa"/>
            <w:vAlign w:val="center"/>
          </w:tcPr>
          <w:p>
            <w:pPr>
              <w:adjustRightInd w:val="0"/>
              <w:snapToGrid w:val="0"/>
              <w:jc w:val="left"/>
              <w:rPr>
                <w:rFonts w:hint="default" w:ascii="宋体" w:hAnsi="宋体" w:eastAsia="宋体"/>
                <w:szCs w:val="21"/>
                <w:highlight w:val="none"/>
                <w:lang w:val="en-US" w:eastAsia="zh-CN"/>
              </w:rPr>
            </w:pPr>
          </w:p>
        </w:tc>
      </w:tr>
    </w:tbl>
    <w:p>
      <w:pPr>
        <w:rPr>
          <w:rFonts w:eastAsia="宋体"/>
          <w:highlight w:val="none"/>
        </w:rPr>
      </w:pPr>
    </w:p>
    <w:p>
      <w:pPr>
        <w:widowControl/>
        <w:jc w:val="left"/>
        <w:rPr>
          <w:rFonts w:ascii="Arial" w:hAnsi="Arial" w:eastAsia="宋体" w:cs="Times New Roman"/>
          <w:color w:val="FF0000"/>
          <w:szCs w:val="24"/>
          <w:highlight w:val="none"/>
        </w:rPr>
      </w:pPr>
    </w:p>
    <w:p>
      <w:pPr>
        <w:widowControl/>
        <w:jc w:val="left"/>
        <w:rPr>
          <w:rFonts w:ascii="宋体" w:hAnsi="宋体" w:eastAsia="黑体" w:cs="Times New Roman"/>
          <w:b/>
          <w:bCs/>
          <w:color w:val="0000FF"/>
          <w:kern w:val="44"/>
          <w:sz w:val="36"/>
          <w:szCs w:val="44"/>
          <w:highlight w:val="none"/>
        </w:rPr>
      </w:pPr>
      <w:r>
        <w:rPr>
          <w:rFonts w:ascii="宋体" w:hAnsi="宋体" w:eastAsia="黑体" w:cs="Times New Roman"/>
          <w:b/>
          <w:bCs/>
          <w:color w:val="0000FF"/>
          <w:kern w:val="44"/>
          <w:sz w:val="36"/>
          <w:szCs w:val="44"/>
          <w:highlight w:val="none"/>
        </w:rPr>
        <w:br w:type="page"/>
      </w:r>
    </w:p>
    <w:p>
      <w:pPr>
        <w:keepNext/>
        <w:keepLines/>
        <w:spacing w:before="340" w:afterLines="25" w:line="578" w:lineRule="auto"/>
        <w:jc w:val="center"/>
        <w:outlineLvl w:val="0"/>
        <w:rPr>
          <w:rFonts w:ascii="Arial" w:hAnsi="Arial" w:eastAsia="宋体" w:cs="Times New Roman"/>
          <w:b/>
          <w:bCs/>
          <w:kern w:val="44"/>
          <w:sz w:val="32"/>
          <w:szCs w:val="32"/>
          <w:highlight w:val="none"/>
        </w:rPr>
      </w:pPr>
      <w:r>
        <w:rPr>
          <w:rFonts w:hint="eastAsia" w:ascii="Arial" w:hAnsi="Arial" w:eastAsia="宋体" w:cs="Times New Roman"/>
          <w:b/>
          <w:bCs/>
          <w:kern w:val="44"/>
          <w:sz w:val="32"/>
          <w:szCs w:val="32"/>
          <w:highlight w:val="none"/>
        </w:rPr>
        <w:t>第二册  通用条款（公开招标）</w:t>
      </w:r>
    </w:p>
    <w:p>
      <w:pPr>
        <w:pStyle w:val="28"/>
        <w:keepNext/>
        <w:keepLines/>
        <w:numPr>
          <w:ilvl w:val="0"/>
          <w:numId w:val="11"/>
        </w:numPr>
        <w:tabs>
          <w:tab w:val="left" w:pos="720"/>
        </w:tabs>
        <w:adjustRightInd w:val="0"/>
        <w:spacing w:beforeLines="50" w:afterLines="50"/>
        <w:ind w:firstLineChars="0"/>
        <w:jc w:val="center"/>
        <w:textAlignment w:val="baseline"/>
        <w:outlineLvl w:val="1"/>
        <w:rPr>
          <w:rFonts w:asciiTheme="majorHAnsi" w:hAnsiTheme="majorHAnsi" w:eastAsiaTheme="majorEastAsia" w:cstheme="majorBidi"/>
          <w:b/>
          <w:bCs/>
          <w:sz w:val="28"/>
          <w:szCs w:val="28"/>
          <w:highlight w:val="none"/>
        </w:rPr>
      </w:pPr>
      <w:bookmarkStart w:id="34" w:name="_Hlk72399513"/>
      <w:r>
        <w:rPr>
          <w:rFonts w:hint="eastAsia" w:asciiTheme="majorHAnsi" w:hAnsiTheme="majorHAnsi" w:eastAsiaTheme="majorEastAsia" w:cstheme="majorBidi"/>
          <w:b/>
          <w:bCs/>
          <w:sz w:val="28"/>
          <w:szCs w:val="28"/>
          <w:highlight w:val="none"/>
        </w:rPr>
        <w:t>总则</w:t>
      </w:r>
    </w:p>
    <w:bookmarkEnd w:id="34"/>
    <w:p>
      <w:pPr>
        <w:rPr>
          <w:rFonts w:ascii="黑体" w:hAnsi="宋体" w:eastAsia="黑体"/>
          <w:sz w:val="24"/>
          <w:highlight w:val="none"/>
        </w:rPr>
      </w:pPr>
      <w:bookmarkStart w:id="35" w:name="_Hlk72439706"/>
      <w:r>
        <w:rPr>
          <w:rFonts w:hint="eastAsia" w:ascii="黑体" w:hAnsi="宋体" w:eastAsia="黑体"/>
          <w:sz w:val="24"/>
          <w:highlight w:val="none"/>
        </w:rPr>
        <w:t>1. 通用条款说明</w:t>
      </w:r>
    </w:p>
    <w:p>
      <w:pPr>
        <w:ind w:firstLine="411" w:firstLineChars="196"/>
        <w:rPr>
          <w:rFonts w:ascii="宋体" w:hAnsi="宋体"/>
          <w:szCs w:val="21"/>
          <w:highlight w:val="none"/>
        </w:rPr>
      </w:pPr>
      <w:r>
        <w:rPr>
          <w:rFonts w:hint="eastAsia" w:ascii="宋体" w:hAnsi="宋体"/>
          <w:szCs w:val="21"/>
          <w:highlight w:val="none"/>
        </w:rPr>
        <w:t>1.1政府集中采购机构发出招标文件通用条款版本，列出深圳市政府采购项目进行招标采购所适用的通用条款内容。</w:t>
      </w:r>
      <w:bookmarkStart w:id="36" w:name="_Hlk72399729"/>
      <w:r>
        <w:rPr>
          <w:rFonts w:hint="eastAsia" w:ascii="宋体" w:hAnsi="宋体"/>
          <w:szCs w:val="21"/>
          <w:highlight w:val="none"/>
        </w:rPr>
        <w:t>如有需要，政府集中采购机构可以对通用条款的内容进行补充。</w:t>
      </w:r>
      <w:bookmarkEnd w:id="36"/>
    </w:p>
    <w:p>
      <w:pPr>
        <w:ind w:firstLine="411" w:firstLineChars="196"/>
        <w:rPr>
          <w:rFonts w:ascii="宋体" w:hAnsi="宋体"/>
          <w:szCs w:val="21"/>
          <w:highlight w:val="none"/>
        </w:rPr>
      </w:pPr>
      <w:r>
        <w:rPr>
          <w:rFonts w:hint="eastAsia" w:ascii="宋体" w:hAnsi="宋体"/>
          <w:szCs w:val="21"/>
          <w:highlight w:val="none"/>
        </w:rPr>
        <w:t>1.2招标文件分为第一册“专用条款”和第二册“通用条款”。</w:t>
      </w:r>
    </w:p>
    <w:p>
      <w:pPr>
        <w:ind w:firstLine="411" w:firstLineChars="196"/>
        <w:rPr>
          <w:rFonts w:ascii="宋体" w:hAnsi="宋体"/>
          <w:szCs w:val="21"/>
          <w:highlight w:val="none"/>
        </w:rPr>
      </w:pPr>
      <w:r>
        <w:rPr>
          <w:rFonts w:hint="eastAsia" w:ascii="宋体" w:hAnsi="宋体"/>
          <w:szCs w:val="21"/>
          <w:highlight w:val="none"/>
        </w:rPr>
        <w:t>1.3“专用条款”是对本次采购项目的具体要求，包含招标公告、对通用条款的补充内容及其他关键信息、用户需求书、投标文件格式及附件、合同条款及格式等内容。</w:t>
      </w:r>
    </w:p>
    <w:p>
      <w:pPr>
        <w:ind w:firstLine="411" w:firstLineChars="196"/>
        <w:rPr>
          <w:rFonts w:ascii="宋体" w:hAnsi="宋体"/>
          <w:szCs w:val="21"/>
          <w:highlight w:val="none"/>
        </w:rPr>
      </w:pPr>
      <w:r>
        <w:rPr>
          <w:rFonts w:hint="eastAsia" w:ascii="宋体" w:hAnsi="宋体"/>
          <w:szCs w:val="21"/>
          <w:highlight w:val="none"/>
        </w:rPr>
        <w:t>1.4“通用条款”是适用于政府采购公开招标项目的基础性条款，具有普遍性和通用性。</w:t>
      </w:r>
    </w:p>
    <w:p>
      <w:pPr>
        <w:ind w:firstLine="411" w:firstLineChars="196"/>
        <w:rPr>
          <w:rFonts w:ascii="宋体" w:hAnsi="宋体"/>
          <w:szCs w:val="21"/>
          <w:highlight w:val="none"/>
        </w:rPr>
      </w:pPr>
      <w:r>
        <w:rPr>
          <w:rFonts w:hint="eastAsia" w:ascii="宋体" w:hAnsi="宋体"/>
          <w:szCs w:val="21"/>
          <w:highlight w:val="none"/>
        </w:rPr>
        <w:t>1.5 “专用条款”和“通用条款”表述不一致或有冲突时，以“专用条款”为准。</w:t>
      </w:r>
    </w:p>
    <w:p>
      <w:pPr>
        <w:rPr>
          <w:rFonts w:ascii="黑体" w:hAnsi="宋体" w:eastAsia="黑体"/>
          <w:sz w:val="24"/>
          <w:highlight w:val="none"/>
        </w:rPr>
      </w:pPr>
      <w:r>
        <w:rPr>
          <w:rFonts w:hint="eastAsia" w:ascii="黑体" w:hAnsi="宋体" w:eastAsia="黑体"/>
          <w:sz w:val="24"/>
          <w:highlight w:val="none"/>
        </w:rPr>
        <w:t>2</w:t>
      </w:r>
      <w:r>
        <w:rPr>
          <w:rFonts w:ascii="黑体" w:hAnsi="宋体" w:eastAsia="黑体"/>
          <w:sz w:val="24"/>
          <w:highlight w:val="none"/>
        </w:rPr>
        <w:t>．</w:t>
      </w:r>
      <w:r>
        <w:rPr>
          <w:rFonts w:hint="eastAsia" w:ascii="黑体" w:hAnsi="宋体" w:eastAsia="黑体"/>
          <w:sz w:val="24"/>
          <w:highlight w:val="none"/>
        </w:rPr>
        <w:t>招标说明</w:t>
      </w:r>
    </w:p>
    <w:p>
      <w:pPr>
        <w:ind w:firstLine="411" w:firstLineChars="196"/>
        <w:rPr>
          <w:rFonts w:ascii="宋体" w:hAnsi="宋体"/>
          <w:szCs w:val="21"/>
          <w:highlight w:val="none"/>
        </w:rPr>
      </w:pPr>
      <w:r>
        <w:rPr>
          <w:rFonts w:hint="eastAsia" w:ascii="宋体" w:hAnsi="宋体"/>
          <w:szCs w:val="21"/>
          <w:highlight w:val="none"/>
        </w:rPr>
        <w:t>本项目按照《深圳经济特区政府采购条例》、《深圳经济特区政府采购条例实施细则》及政府采购其他法律法规，通过公开招标方式确定中标供应商。</w:t>
      </w:r>
    </w:p>
    <w:p>
      <w:pPr>
        <w:rPr>
          <w:rFonts w:ascii="黑体" w:hAnsi="宋体" w:eastAsia="黑体"/>
          <w:sz w:val="24"/>
          <w:highlight w:val="none"/>
        </w:rPr>
      </w:pPr>
      <w:r>
        <w:rPr>
          <w:rFonts w:hint="eastAsia" w:ascii="黑体" w:hAnsi="宋体" w:eastAsia="黑体"/>
          <w:sz w:val="24"/>
          <w:highlight w:val="none"/>
        </w:rPr>
        <w:t>3．定义</w:t>
      </w:r>
    </w:p>
    <w:p>
      <w:pPr>
        <w:ind w:firstLine="420" w:firstLineChars="200"/>
        <w:rPr>
          <w:rFonts w:ascii="宋体" w:hAnsi="宋体"/>
          <w:szCs w:val="21"/>
          <w:highlight w:val="none"/>
        </w:rPr>
      </w:pPr>
      <w:r>
        <w:rPr>
          <w:rFonts w:ascii="宋体" w:hAnsi="宋体"/>
          <w:szCs w:val="21"/>
          <w:highlight w:val="none"/>
        </w:rPr>
        <w:t>招标文件中下列术语应解释为：</w:t>
      </w:r>
    </w:p>
    <w:p>
      <w:pPr>
        <w:ind w:firstLine="411" w:firstLineChars="196"/>
        <w:rPr>
          <w:rFonts w:ascii="宋体" w:hAnsi="宋体"/>
          <w:szCs w:val="21"/>
          <w:highlight w:val="none"/>
        </w:rPr>
      </w:pPr>
      <w:r>
        <w:rPr>
          <w:rFonts w:hint="eastAsia" w:ascii="宋体" w:hAnsi="宋体"/>
          <w:szCs w:val="21"/>
          <w:highlight w:val="none"/>
        </w:rPr>
        <w:t>3.</w:t>
      </w:r>
      <w:r>
        <w:rPr>
          <w:rFonts w:ascii="宋体" w:hAnsi="宋体"/>
          <w:szCs w:val="21"/>
          <w:highlight w:val="none"/>
        </w:rPr>
        <w:t>1</w:t>
      </w:r>
      <w:r>
        <w:rPr>
          <w:rFonts w:hint="eastAsia" w:ascii="宋体" w:hAnsi="宋体"/>
          <w:szCs w:val="21"/>
          <w:highlight w:val="none"/>
        </w:rPr>
        <w:t>“采购人”：指利用财政性资金依法进行政府采购的国家机关、事业单位、团体组织；</w:t>
      </w:r>
      <w:r>
        <w:rPr>
          <w:rFonts w:ascii="宋体" w:hAnsi="宋体"/>
          <w:szCs w:val="21"/>
          <w:highlight w:val="none"/>
        </w:rPr>
        <w:t xml:space="preserve"> </w:t>
      </w:r>
    </w:p>
    <w:p>
      <w:pPr>
        <w:ind w:firstLine="411" w:firstLineChars="196"/>
        <w:rPr>
          <w:rFonts w:ascii="宋体" w:hAnsi="宋体"/>
          <w:szCs w:val="21"/>
          <w:highlight w:val="none"/>
        </w:rPr>
      </w:pPr>
      <w:r>
        <w:rPr>
          <w:rFonts w:hint="eastAsia" w:ascii="宋体" w:hAnsi="宋体"/>
          <w:szCs w:val="21"/>
          <w:highlight w:val="none"/>
        </w:rPr>
        <w:t>3.2 “政府集中采购机构”</w:t>
      </w:r>
      <w:r>
        <w:rPr>
          <w:rFonts w:hint="eastAsia" w:ascii="Arial" w:hAnsi="Arial" w:cs="Arial"/>
          <w:szCs w:val="21"/>
          <w:highlight w:val="none"/>
          <w:shd w:val="clear" w:color="auto" w:fill="FFFFFF"/>
        </w:rPr>
        <w:t>是指市政府设立的，组织实施政府采购项目，并对政府采购活动提供服务的专门机构；</w:t>
      </w:r>
      <w:r>
        <w:rPr>
          <w:rFonts w:hint="eastAsia" w:ascii="宋体" w:hAnsi="宋体"/>
          <w:szCs w:val="21"/>
          <w:highlight w:val="none"/>
        </w:rPr>
        <w:t>本文件所述的“政府集中采购机构”</w:t>
      </w:r>
      <w:r>
        <w:rPr>
          <w:rFonts w:ascii="宋体" w:hAnsi="宋体"/>
          <w:szCs w:val="21"/>
          <w:highlight w:val="none"/>
        </w:rPr>
        <w:t>指</w:t>
      </w:r>
      <w:r>
        <w:rPr>
          <w:rFonts w:hint="eastAsia" w:ascii="宋体" w:hAnsi="宋体"/>
          <w:b/>
          <w:bCs/>
          <w:szCs w:val="21"/>
          <w:highlight w:val="none"/>
        </w:rPr>
        <w:t>深圳公共资源交易中心</w:t>
      </w:r>
      <w:r>
        <w:rPr>
          <w:rFonts w:hint="eastAsia" w:ascii="宋体" w:hAnsi="宋体"/>
          <w:szCs w:val="21"/>
          <w:highlight w:val="none"/>
        </w:rPr>
        <w:t>；</w:t>
      </w:r>
    </w:p>
    <w:p>
      <w:pPr>
        <w:ind w:firstLine="411" w:firstLineChars="196"/>
        <w:rPr>
          <w:rFonts w:ascii="宋体" w:hAnsi="宋体"/>
          <w:szCs w:val="21"/>
          <w:highlight w:val="none"/>
        </w:rPr>
      </w:pPr>
      <w:r>
        <w:rPr>
          <w:rFonts w:hint="eastAsia" w:ascii="宋体" w:hAnsi="宋体"/>
          <w:szCs w:val="21"/>
          <w:highlight w:val="none"/>
        </w:rPr>
        <w:t>3.3“投标人”，即供应商，指参加投标竞争并愿意按照招标文件要求向采购人提供货物、工程或者服务的依法成立的法人、其他组织或者自然人；</w:t>
      </w:r>
    </w:p>
    <w:p>
      <w:pPr>
        <w:ind w:firstLine="411" w:firstLineChars="196"/>
        <w:rPr>
          <w:rFonts w:ascii="宋体" w:hAnsi="宋体"/>
          <w:szCs w:val="21"/>
          <w:highlight w:val="none"/>
        </w:rPr>
      </w:pPr>
      <w:r>
        <w:rPr>
          <w:rFonts w:hint="eastAsia" w:ascii="宋体" w:hAnsi="宋体"/>
          <w:szCs w:val="21"/>
          <w:highlight w:val="none"/>
        </w:rPr>
        <w:t>3.4“评审委员会”是依据《深圳经济特区政府采购条例》、《深圳经济特区政府采购条例实施细则》等有关规定组建的专门负责本次招标其评审工作的临时性机构；</w:t>
      </w:r>
    </w:p>
    <w:p>
      <w:pPr>
        <w:ind w:firstLine="411" w:firstLineChars="196"/>
        <w:rPr>
          <w:rFonts w:ascii="宋体" w:hAnsi="宋体"/>
          <w:szCs w:val="21"/>
          <w:highlight w:val="none"/>
        </w:rPr>
      </w:pPr>
      <w:r>
        <w:rPr>
          <w:rFonts w:hint="eastAsia" w:ascii="宋体" w:hAnsi="宋体"/>
          <w:szCs w:val="21"/>
          <w:highlight w:val="none"/>
        </w:rPr>
        <w:t>3.5“日期”</w:t>
      </w:r>
      <w:r>
        <w:rPr>
          <w:rFonts w:ascii="宋体" w:hAnsi="宋体"/>
          <w:szCs w:val="21"/>
          <w:highlight w:val="none"/>
        </w:rPr>
        <w:t>指</w:t>
      </w:r>
      <w:r>
        <w:rPr>
          <w:rFonts w:hint="eastAsia" w:ascii="宋体" w:hAnsi="宋体"/>
          <w:szCs w:val="21"/>
          <w:highlight w:val="none"/>
        </w:rPr>
        <w:t>公历日；</w:t>
      </w:r>
    </w:p>
    <w:p>
      <w:pPr>
        <w:ind w:firstLine="411" w:firstLineChars="196"/>
        <w:rPr>
          <w:rFonts w:ascii="宋体" w:hAnsi="宋体"/>
          <w:szCs w:val="21"/>
          <w:highlight w:val="none"/>
        </w:rPr>
      </w:pPr>
      <w:r>
        <w:rPr>
          <w:rFonts w:hint="eastAsia" w:ascii="宋体" w:hAnsi="宋体"/>
          <w:szCs w:val="21"/>
          <w:highlight w:val="none"/>
        </w:rPr>
        <w:t>3.6“合同”指由本次招标所产生的合同或合约文件；</w:t>
      </w:r>
    </w:p>
    <w:p>
      <w:pPr>
        <w:ind w:firstLine="411" w:firstLineChars="196"/>
        <w:rPr>
          <w:rFonts w:ascii="宋体" w:hAnsi="宋体"/>
          <w:szCs w:val="21"/>
          <w:highlight w:val="none"/>
        </w:rPr>
      </w:pPr>
      <w:r>
        <w:rPr>
          <w:rFonts w:hint="eastAsia" w:ascii="宋体" w:hAnsi="宋体"/>
          <w:szCs w:val="21"/>
          <w:highlight w:val="none"/>
        </w:rPr>
        <w:t>3.7“电子投标文件”指利用</w:t>
      </w:r>
      <w:r>
        <w:rPr>
          <w:rFonts w:hint="eastAsia" w:ascii="宋体" w:hAnsi="宋体"/>
          <w:b/>
          <w:bCs/>
          <w:color w:val="FF0000"/>
          <w:szCs w:val="21"/>
          <w:highlight w:val="none"/>
        </w:rPr>
        <w:t>深圳公共资源交易中心（深圳交易集团有限公司</w:t>
      </w:r>
      <w:r>
        <w:rPr>
          <w:rFonts w:hint="eastAsia" w:ascii="宋体" w:hAnsi="宋体"/>
          <w:b/>
          <w:bCs/>
          <w:color w:val="FF0000"/>
          <w:szCs w:val="21"/>
          <w:highlight w:val="none"/>
          <w:lang w:val="en-US" w:eastAsia="zh-CN"/>
        </w:rPr>
        <w:t>宝安</w:t>
      </w:r>
      <w:r>
        <w:rPr>
          <w:rFonts w:hint="eastAsia" w:ascii="宋体" w:hAnsi="宋体"/>
          <w:b/>
          <w:bCs/>
          <w:color w:val="FF0000"/>
          <w:szCs w:val="21"/>
          <w:highlight w:val="none"/>
        </w:rPr>
        <w:t>分公司）</w:t>
      </w:r>
      <w:r>
        <w:rPr>
          <w:rFonts w:hint="eastAsia" w:ascii="宋体" w:hAnsi="宋体"/>
          <w:szCs w:val="21"/>
          <w:highlight w:val="none"/>
        </w:rPr>
        <w:t>网站提供的深圳市自行采购系统投标文件制作专用软件（以下简称：投标文件制作软件）制作并加密的投标文件,适用于网上投标；（投标文件制作软件可从“下载地址：https://www.szggzy.com/jyfw/details.html?contentId=2053275深圳市自行采购系统投标文件编制工具”下载）</w:t>
      </w:r>
    </w:p>
    <w:p>
      <w:pPr>
        <w:ind w:firstLine="411" w:firstLineChars="196"/>
        <w:rPr>
          <w:rFonts w:ascii="宋体" w:hAnsi="宋体"/>
          <w:szCs w:val="21"/>
          <w:highlight w:val="none"/>
        </w:rPr>
      </w:pPr>
      <w:r>
        <w:rPr>
          <w:rFonts w:hint="eastAsia" w:ascii="宋体" w:hAnsi="宋体"/>
          <w:szCs w:val="21"/>
          <w:highlight w:val="none"/>
        </w:rPr>
        <w:t>3.8“网上投标”指通过</w:t>
      </w:r>
      <w:r>
        <w:rPr>
          <w:rFonts w:hint="eastAsia" w:ascii="宋体" w:hAnsi="宋体"/>
          <w:b/>
          <w:bCs/>
          <w:color w:val="FF0000"/>
          <w:szCs w:val="21"/>
          <w:highlight w:val="none"/>
        </w:rPr>
        <w:t>深圳公共资源交易中心（深圳交易集团有限公司</w:t>
      </w:r>
      <w:r>
        <w:rPr>
          <w:rFonts w:hint="eastAsia" w:ascii="宋体" w:hAnsi="宋体"/>
          <w:b/>
          <w:bCs/>
          <w:color w:val="FF0000"/>
          <w:szCs w:val="21"/>
          <w:highlight w:val="none"/>
          <w:lang w:val="en-US" w:eastAsia="zh-CN"/>
        </w:rPr>
        <w:t>宝安</w:t>
      </w:r>
      <w:r>
        <w:rPr>
          <w:rFonts w:hint="eastAsia" w:ascii="宋体" w:hAnsi="宋体"/>
          <w:b/>
          <w:bCs/>
          <w:color w:val="FF0000"/>
          <w:szCs w:val="21"/>
          <w:highlight w:val="none"/>
        </w:rPr>
        <w:t>分公司）</w:t>
      </w:r>
      <w:r>
        <w:rPr>
          <w:rFonts w:hint="eastAsia" w:ascii="宋体" w:hAnsi="宋体"/>
          <w:szCs w:val="21"/>
          <w:highlight w:val="none"/>
        </w:rPr>
        <w:t>网站上传电子投标文件；</w:t>
      </w:r>
    </w:p>
    <w:p>
      <w:pPr>
        <w:ind w:firstLine="411" w:firstLineChars="196"/>
        <w:rPr>
          <w:rFonts w:ascii="宋体" w:hAnsi="宋体"/>
          <w:szCs w:val="21"/>
          <w:highlight w:val="none"/>
        </w:rPr>
      </w:pPr>
      <w:r>
        <w:rPr>
          <w:rFonts w:hint="eastAsia" w:ascii="宋体" w:hAnsi="宋体"/>
          <w:szCs w:val="21"/>
          <w:highlight w:val="none"/>
        </w:rPr>
        <w:t>3.9招标文件中的标题或题名仅起引导作用，而不应视为对招标文件内容的理解和解释。</w:t>
      </w:r>
    </w:p>
    <w:p>
      <w:pPr>
        <w:rPr>
          <w:rFonts w:ascii="黑体" w:hAnsi="宋体" w:eastAsia="黑体"/>
          <w:sz w:val="24"/>
          <w:highlight w:val="none"/>
        </w:rPr>
      </w:pPr>
      <w:r>
        <w:rPr>
          <w:rFonts w:hint="eastAsia" w:ascii="黑体" w:hAnsi="宋体" w:eastAsia="黑体"/>
          <w:sz w:val="24"/>
          <w:highlight w:val="none"/>
        </w:rPr>
        <w:t xml:space="preserve">4. </w:t>
      </w:r>
      <w:bookmarkStart w:id="37" w:name="_Hlk72398643"/>
      <w:r>
        <w:rPr>
          <w:rFonts w:hint="eastAsia" w:ascii="黑体" w:hAnsi="宋体" w:eastAsia="黑体"/>
          <w:sz w:val="24"/>
          <w:highlight w:val="none"/>
        </w:rPr>
        <w:t>政府采购供应商责任</w:t>
      </w:r>
    </w:p>
    <w:p>
      <w:pPr>
        <w:ind w:firstLine="411" w:firstLineChars="196"/>
        <w:rPr>
          <w:rFonts w:ascii="宋体" w:hAnsi="宋体"/>
          <w:szCs w:val="21"/>
          <w:highlight w:val="none"/>
        </w:rPr>
      </w:pPr>
      <w:r>
        <w:rPr>
          <w:rFonts w:hint="eastAsia" w:ascii="宋体" w:hAnsi="宋体"/>
          <w:szCs w:val="21"/>
          <w:highlight w:val="none"/>
        </w:rPr>
        <w:t>4.1欢迎诚信、有实力和有社会责任心的供应商参与政府采购事业。</w:t>
      </w:r>
    </w:p>
    <w:p>
      <w:pPr>
        <w:ind w:firstLine="411" w:firstLineChars="196"/>
        <w:rPr>
          <w:rFonts w:ascii="宋体" w:hAnsi="宋体"/>
          <w:szCs w:val="21"/>
          <w:highlight w:val="none"/>
        </w:rPr>
      </w:pPr>
      <w:r>
        <w:rPr>
          <w:rFonts w:hint="eastAsia" w:ascii="宋体" w:hAnsi="宋体"/>
          <w:szCs w:val="21"/>
          <w:highlight w:val="none"/>
        </w:rPr>
        <w:t>4.2投标人应当遵循公平竞争的原则，不得恶意串通，不得妨碍其他投标人的竞争行为，不得损害采购人或者其他投标人的合法权益。如违反上述要求，经核实后，供应商的投标无效。</w:t>
      </w:r>
    </w:p>
    <w:p>
      <w:pPr>
        <w:rPr>
          <w:rFonts w:ascii="黑体" w:hAnsi="宋体" w:eastAsia="黑体"/>
          <w:sz w:val="24"/>
          <w:highlight w:val="none"/>
        </w:rPr>
      </w:pPr>
      <w:r>
        <w:rPr>
          <w:rFonts w:hint="eastAsia" w:ascii="黑体" w:hAnsi="宋体" w:eastAsia="黑体"/>
          <w:sz w:val="24"/>
          <w:highlight w:val="none"/>
        </w:rPr>
        <w:t>5．投标人参加政府采购的条件</w:t>
      </w:r>
    </w:p>
    <w:p>
      <w:pPr>
        <w:ind w:firstLine="411" w:firstLineChars="196"/>
        <w:jc w:val="left"/>
        <w:rPr>
          <w:rFonts w:ascii="宋体" w:hAnsi="宋体"/>
          <w:szCs w:val="21"/>
          <w:highlight w:val="none"/>
        </w:rPr>
      </w:pPr>
      <w:r>
        <w:rPr>
          <w:rFonts w:hint="eastAsia" w:ascii="宋体" w:hAnsi="宋体"/>
          <w:szCs w:val="21"/>
          <w:highlight w:val="none"/>
        </w:rPr>
        <w:t>5.1投标人应在投标前到</w:t>
      </w:r>
      <w:r>
        <w:rPr>
          <w:rFonts w:hint="eastAsia" w:ascii="宋体" w:hAnsi="宋体"/>
          <w:b/>
          <w:bCs/>
          <w:szCs w:val="21"/>
          <w:highlight w:val="none"/>
        </w:rPr>
        <w:t>深圳公共资源交易中心（具体在深圳交易集团有限公司政府采购业务分公司进行办理）</w:t>
      </w:r>
      <w:r>
        <w:rPr>
          <w:rFonts w:hint="eastAsia" w:ascii="宋体" w:hAnsi="宋体"/>
          <w:szCs w:val="21"/>
          <w:highlight w:val="none"/>
        </w:rPr>
        <w:t>进行注册并办理电子密钥。《供应商注册及信息变更指引》详见www.szggzy.com网站“交易服务指南-政府采购”</w:t>
      </w:r>
      <w:r>
        <w:rPr>
          <w:rFonts w:hint="eastAsia" w:ascii="宋体" w:hAnsi="宋体"/>
          <w:szCs w:val="21"/>
          <w:highlight w:val="none"/>
          <w:lang w:val="en-US" w:eastAsia="zh-CN"/>
        </w:rPr>
        <w:t>。</w:t>
      </w:r>
    </w:p>
    <w:p>
      <w:pPr>
        <w:ind w:firstLine="411" w:firstLineChars="196"/>
        <w:rPr>
          <w:rFonts w:ascii="宋体" w:hAnsi="宋体"/>
          <w:szCs w:val="21"/>
          <w:highlight w:val="none"/>
        </w:rPr>
      </w:pPr>
      <w:r>
        <w:rPr>
          <w:rFonts w:hint="eastAsia" w:ascii="宋体" w:hAnsi="宋体"/>
          <w:szCs w:val="21"/>
          <w:highlight w:val="none"/>
        </w:rPr>
        <w:t>5.2投标人资格要求</w:t>
      </w:r>
    </w:p>
    <w:p>
      <w:pPr>
        <w:ind w:firstLine="411" w:firstLineChars="196"/>
        <w:rPr>
          <w:rFonts w:ascii="宋体" w:hAnsi="宋体"/>
          <w:szCs w:val="21"/>
          <w:highlight w:val="none"/>
        </w:rPr>
      </w:pPr>
      <w:r>
        <w:rPr>
          <w:rFonts w:hint="eastAsia" w:ascii="宋体" w:hAnsi="宋体"/>
          <w:szCs w:val="21"/>
          <w:highlight w:val="none"/>
        </w:rPr>
        <w:t>参加本项目的投标人应具备的资格条件详见本项目招标公告中 “投标人资格要求”（即申请人的资格要求）的内容。</w:t>
      </w:r>
    </w:p>
    <w:p>
      <w:pPr>
        <w:ind w:firstLine="411" w:firstLineChars="196"/>
        <w:rPr>
          <w:rFonts w:ascii="宋体" w:hAnsi="宋体"/>
          <w:szCs w:val="21"/>
          <w:highlight w:val="none"/>
        </w:rPr>
      </w:pPr>
      <w:r>
        <w:rPr>
          <w:rFonts w:hint="eastAsia" w:ascii="宋体" w:hAnsi="宋体"/>
          <w:szCs w:val="21"/>
          <w:highlight w:val="none"/>
        </w:rPr>
        <w:t>5.3联合体投标</w:t>
      </w:r>
    </w:p>
    <w:p>
      <w:pPr>
        <w:ind w:firstLine="411" w:firstLineChars="196"/>
        <w:rPr>
          <w:rFonts w:ascii="宋体" w:hAnsi="宋体"/>
          <w:szCs w:val="21"/>
          <w:highlight w:val="none"/>
        </w:rPr>
      </w:pPr>
      <w:r>
        <w:rPr>
          <w:rFonts w:hint="eastAsia" w:ascii="宋体" w:hAnsi="宋体"/>
          <w:szCs w:val="21"/>
          <w:highlight w:val="none"/>
        </w:rPr>
        <w:t>5.3.1　以下有关联合体投标的条款仅适用于允许投标人组成联合体投标的项目。</w:t>
      </w:r>
    </w:p>
    <w:p>
      <w:pPr>
        <w:ind w:firstLine="411" w:firstLineChars="196"/>
        <w:rPr>
          <w:rFonts w:ascii="宋体" w:hAnsi="宋体"/>
          <w:szCs w:val="21"/>
          <w:highlight w:val="none"/>
        </w:rPr>
      </w:pPr>
      <w:r>
        <w:rPr>
          <w:rFonts w:hint="eastAsia" w:ascii="宋体" w:hAnsi="宋体"/>
          <w:szCs w:val="21"/>
          <w:highlight w:val="none"/>
        </w:rPr>
        <w:t>5.3.2  由两个或两个以上的自然人、法人或者其他组织可以组成一个联合体，以一个供应商的身份共同投标时，应符合以下原则：</w:t>
      </w:r>
    </w:p>
    <w:p>
      <w:pPr>
        <w:ind w:firstLine="411" w:firstLineChars="196"/>
        <w:rPr>
          <w:rFonts w:ascii="宋体" w:hAnsi="宋体"/>
          <w:highlight w:val="none"/>
        </w:rPr>
      </w:pPr>
      <w:r>
        <w:rPr>
          <w:rFonts w:hint="eastAsia" w:ascii="宋体" w:hAnsi="宋体"/>
          <w:highlight w:val="none"/>
        </w:rPr>
        <w:t>（1）投标联合体各方参加政府采购活动应当具备下列条件：</w:t>
      </w:r>
      <w:r>
        <w:rPr>
          <w:rFonts w:ascii="宋体" w:hAnsi="宋体"/>
          <w:highlight w:val="none"/>
        </w:rPr>
        <w:t xml:space="preserve"> </w:t>
      </w:r>
    </w:p>
    <w:p>
      <w:pPr>
        <w:ind w:left="420" w:leftChars="200" w:firstLine="411" w:firstLineChars="196"/>
        <w:rPr>
          <w:rFonts w:ascii="宋体" w:hAnsi="宋体"/>
          <w:highlight w:val="none"/>
        </w:rPr>
      </w:pPr>
      <w:r>
        <w:rPr>
          <w:rFonts w:hint="eastAsia" w:ascii="宋体" w:hAnsi="宋体"/>
          <w:highlight w:val="none"/>
        </w:rPr>
        <w:t>1、具有独立承担民事责任的能力；</w:t>
      </w:r>
      <w:r>
        <w:rPr>
          <w:rFonts w:ascii="宋体" w:hAnsi="宋体"/>
          <w:highlight w:val="none"/>
        </w:rPr>
        <w:t xml:space="preserve"> </w:t>
      </w:r>
    </w:p>
    <w:p>
      <w:pPr>
        <w:ind w:left="420" w:firstLine="411" w:firstLineChars="196"/>
        <w:rPr>
          <w:rFonts w:ascii="宋体" w:hAnsi="宋体"/>
          <w:highlight w:val="none"/>
        </w:rPr>
      </w:pPr>
      <w:r>
        <w:rPr>
          <w:rFonts w:hint="eastAsia" w:ascii="宋体" w:hAnsi="宋体"/>
          <w:highlight w:val="none"/>
        </w:rPr>
        <w:t>2、有良好的商业信誉和健全的财务会计制度；</w:t>
      </w:r>
      <w:r>
        <w:rPr>
          <w:rFonts w:ascii="宋体" w:hAnsi="宋体"/>
          <w:highlight w:val="none"/>
        </w:rPr>
        <w:t xml:space="preserve"> </w:t>
      </w:r>
    </w:p>
    <w:p>
      <w:pPr>
        <w:ind w:left="420" w:leftChars="200" w:firstLine="411" w:firstLineChars="196"/>
        <w:rPr>
          <w:rFonts w:ascii="宋体" w:hAnsi="宋体"/>
          <w:highlight w:val="none"/>
        </w:rPr>
      </w:pPr>
      <w:r>
        <w:rPr>
          <w:rFonts w:hint="eastAsia" w:ascii="宋体" w:hAnsi="宋体"/>
          <w:highlight w:val="none"/>
        </w:rPr>
        <w:t>3、具有履行合同所必需的设备和专业技术能力；</w:t>
      </w:r>
      <w:r>
        <w:rPr>
          <w:rFonts w:ascii="宋体" w:hAnsi="宋体"/>
          <w:highlight w:val="none"/>
        </w:rPr>
        <w:t xml:space="preserve"> </w:t>
      </w:r>
    </w:p>
    <w:p>
      <w:pPr>
        <w:ind w:left="420" w:leftChars="200" w:firstLine="411" w:firstLineChars="196"/>
        <w:rPr>
          <w:rFonts w:ascii="宋体" w:hAnsi="宋体"/>
          <w:highlight w:val="none"/>
        </w:rPr>
      </w:pPr>
      <w:r>
        <w:rPr>
          <w:rFonts w:hint="eastAsia" w:ascii="宋体" w:hAnsi="宋体"/>
          <w:highlight w:val="none"/>
        </w:rPr>
        <w:t>4、有依法缴纳税收和社会保障资金的良好记录；</w:t>
      </w:r>
      <w:r>
        <w:rPr>
          <w:rFonts w:ascii="宋体" w:hAnsi="宋体"/>
          <w:highlight w:val="none"/>
        </w:rPr>
        <w:t xml:space="preserve"> </w:t>
      </w:r>
    </w:p>
    <w:p>
      <w:pPr>
        <w:ind w:left="420" w:leftChars="200" w:firstLine="411" w:firstLineChars="196"/>
        <w:rPr>
          <w:rFonts w:ascii="宋体" w:hAnsi="宋体"/>
          <w:highlight w:val="none"/>
        </w:rPr>
      </w:pPr>
      <w:r>
        <w:rPr>
          <w:rFonts w:hint="eastAsia" w:ascii="宋体" w:hAnsi="宋体"/>
          <w:highlight w:val="none"/>
        </w:rPr>
        <w:t>5、参加政府采购活动前三年内，在经营活动中没有重大违法记录；</w:t>
      </w:r>
      <w:r>
        <w:rPr>
          <w:rFonts w:ascii="宋体" w:hAnsi="宋体"/>
          <w:highlight w:val="none"/>
        </w:rPr>
        <w:t xml:space="preserve"> </w:t>
      </w:r>
    </w:p>
    <w:p>
      <w:pPr>
        <w:ind w:left="420" w:leftChars="200" w:firstLine="411" w:firstLineChars="196"/>
        <w:rPr>
          <w:rFonts w:ascii="宋体" w:hAnsi="宋体"/>
          <w:highlight w:val="none"/>
        </w:rPr>
      </w:pPr>
      <w:r>
        <w:rPr>
          <w:rFonts w:hint="eastAsia" w:ascii="宋体" w:hAnsi="宋体"/>
          <w:highlight w:val="none"/>
        </w:rPr>
        <w:t>6、法律、行政法规规定的其他条件。</w:t>
      </w:r>
      <w:r>
        <w:rPr>
          <w:rFonts w:ascii="宋体" w:hAnsi="宋体"/>
          <w:highlight w:val="none"/>
        </w:rPr>
        <w:t xml:space="preserve"> </w:t>
      </w:r>
    </w:p>
    <w:p>
      <w:pPr>
        <w:ind w:firstLine="411" w:firstLineChars="196"/>
        <w:rPr>
          <w:rFonts w:ascii="宋体" w:hAnsi="宋体"/>
          <w:highlight w:val="none"/>
        </w:rPr>
      </w:pPr>
      <w:r>
        <w:rPr>
          <w:rFonts w:hint="eastAsia" w:ascii="宋体" w:hAnsi="宋体"/>
          <w:highlight w:val="none"/>
        </w:rPr>
        <w:t>（2）在投标截止前，投标联合体各方均应注册成政府集中采购机构供应商；</w:t>
      </w:r>
    </w:p>
    <w:p>
      <w:pPr>
        <w:ind w:firstLine="411" w:firstLineChars="196"/>
        <w:rPr>
          <w:rFonts w:ascii="宋体" w:hAnsi="宋体"/>
          <w:highlight w:val="none"/>
        </w:rPr>
      </w:pPr>
      <w:r>
        <w:rPr>
          <w:rFonts w:hint="eastAsia" w:ascii="宋体" w:hAnsi="宋体"/>
          <w:highlight w:val="none"/>
        </w:rPr>
        <w:t>（3）联合体中有同类资质的供应商按照联合体分工承担相同工作的，应当按照资质等级较低的供应商确定资质等级；</w:t>
      </w:r>
    </w:p>
    <w:p>
      <w:pPr>
        <w:ind w:firstLine="411" w:firstLineChars="196"/>
        <w:rPr>
          <w:highlight w:val="none"/>
        </w:rPr>
      </w:pPr>
      <w:r>
        <w:rPr>
          <w:rFonts w:hint="eastAsia"/>
          <w:highlight w:val="none"/>
        </w:rPr>
        <w:t>（4）是否允许联合体参加投标，应当由采购人和采购代理机构根据项目的实际情况和潜在供应商的数量自主决定，如果决定接受联合体投标则应当在招标公告中明示；</w:t>
      </w:r>
    </w:p>
    <w:p>
      <w:pPr>
        <w:ind w:firstLine="411" w:firstLineChars="196"/>
        <w:rPr>
          <w:rFonts w:ascii="宋体" w:hAnsi="宋体"/>
          <w:highlight w:val="none"/>
        </w:rPr>
      </w:pPr>
      <w:r>
        <w:rPr>
          <w:rFonts w:hint="eastAsia" w:ascii="宋体" w:hAnsi="宋体"/>
          <w:highlight w:val="none"/>
        </w:rPr>
        <w:t>（5）投标人的投标文件及中标后签署的合同协议对联合体各方均具法律约束力；</w:t>
      </w:r>
    </w:p>
    <w:p>
      <w:pPr>
        <w:ind w:firstLine="411" w:firstLineChars="196"/>
        <w:rPr>
          <w:rFonts w:ascii="宋体" w:hAnsi="宋体"/>
          <w:highlight w:val="none"/>
        </w:rPr>
      </w:pPr>
      <w:r>
        <w:rPr>
          <w:rFonts w:hint="eastAsia" w:ascii="宋体" w:hAnsi="宋体"/>
          <w:highlight w:val="none"/>
        </w:rPr>
        <w:t>（6）联合体各方应当签订联合体投标协议，明确约定各方拟承担的工作和责任，并将该协议随投标文件一并递交给政府集中采购机构；</w:t>
      </w:r>
    </w:p>
    <w:p>
      <w:pPr>
        <w:ind w:firstLine="411" w:firstLineChars="196"/>
        <w:rPr>
          <w:rFonts w:ascii="宋体" w:hAnsi="宋体"/>
          <w:highlight w:val="none"/>
        </w:rPr>
      </w:pPr>
      <w:r>
        <w:rPr>
          <w:rFonts w:hint="eastAsia" w:ascii="宋体" w:hAnsi="宋体"/>
          <w:highlight w:val="none"/>
        </w:rPr>
        <w:t>（7）联合体中标后，联合体各方应当共同与采购人签订合同，就中标项目向采购人承担连带责任；</w:t>
      </w:r>
    </w:p>
    <w:p>
      <w:pPr>
        <w:ind w:firstLine="411" w:firstLineChars="196"/>
        <w:rPr>
          <w:rFonts w:ascii="宋体" w:hAnsi="宋体"/>
          <w:highlight w:val="none"/>
        </w:rPr>
      </w:pPr>
      <w:r>
        <w:rPr>
          <w:rFonts w:hint="eastAsia" w:ascii="宋体" w:hAnsi="宋体"/>
          <w:highlight w:val="none"/>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ind w:firstLine="411" w:firstLineChars="196"/>
        <w:rPr>
          <w:rFonts w:ascii="宋体" w:hAnsi="宋体"/>
          <w:szCs w:val="21"/>
          <w:highlight w:val="none"/>
        </w:rPr>
      </w:pPr>
      <w:r>
        <w:rPr>
          <w:rFonts w:hint="eastAsia" w:ascii="宋体" w:hAnsi="宋体"/>
          <w:highlight w:val="none"/>
        </w:rPr>
        <w:t>（9）本通用条款中“投标人”一词亦指联合体各方，专用条款另有规定或说明的除外。</w:t>
      </w:r>
    </w:p>
    <w:p>
      <w:pPr>
        <w:rPr>
          <w:rFonts w:ascii="黑体" w:hAnsi="宋体" w:eastAsia="黑体"/>
          <w:sz w:val="24"/>
          <w:highlight w:val="none"/>
        </w:rPr>
      </w:pPr>
      <w:r>
        <w:rPr>
          <w:rFonts w:hint="eastAsia" w:ascii="黑体" w:hAnsi="宋体" w:eastAsia="黑体"/>
          <w:sz w:val="24"/>
          <w:highlight w:val="none"/>
        </w:rPr>
        <w:t>6．政策导向</w:t>
      </w:r>
    </w:p>
    <w:p>
      <w:pPr>
        <w:ind w:firstLine="411" w:firstLineChars="196"/>
        <w:rPr>
          <w:rFonts w:ascii="宋体" w:hAnsi="宋体"/>
          <w:highlight w:val="none"/>
        </w:rPr>
      </w:pPr>
      <w:r>
        <w:rPr>
          <w:rFonts w:hint="eastAsia" w:ascii="宋体" w:hAnsi="宋体"/>
          <w:highlight w:val="none"/>
        </w:rPr>
        <w:t>6.1</w:t>
      </w:r>
      <w:r>
        <w:rPr>
          <w:rFonts w:ascii="宋体" w:hAnsi="宋体"/>
          <w:highlight w:val="none"/>
        </w:rPr>
        <w:t xml:space="preserve">  </w:t>
      </w:r>
      <w:r>
        <w:rPr>
          <w:rFonts w:hint="eastAsia" w:ascii="宋体" w:hAnsi="宋体"/>
          <w:highlight w:val="none"/>
        </w:rPr>
        <w:t>政府采购支持本国产品、支持中小企业、监狱企业和残疾人福利性单位发展，支持乡村产业振兴，支持创新、节能减排、绿色环保等。</w:t>
      </w:r>
    </w:p>
    <w:p>
      <w:pPr>
        <w:ind w:firstLine="405"/>
        <w:rPr>
          <w:rFonts w:hint="eastAsia" w:ascii="宋体" w:hAnsi="宋体"/>
          <w:highlight w:val="none"/>
        </w:rPr>
      </w:pPr>
      <w:r>
        <w:rPr>
          <w:rFonts w:hint="eastAsia" w:ascii="宋体" w:hAnsi="宋体"/>
          <w:highlight w:val="none"/>
        </w:rPr>
        <w:t>6.2</w:t>
      </w:r>
      <w:r>
        <w:rPr>
          <w:rFonts w:ascii="宋体" w:hAnsi="宋体"/>
          <w:highlight w:val="none"/>
        </w:rPr>
        <w:t xml:space="preserve">  </w:t>
      </w:r>
      <w:r>
        <w:rPr>
          <w:rFonts w:hint="eastAsia" w:ascii="宋体" w:hAnsi="宋体"/>
          <w:highlight w:val="none"/>
        </w:rPr>
        <w:t>本项目落实深圳市政府采购供应商诚信管理政策要求。</w:t>
      </w:r>
    </w:p>
    <w:p>
      <w:pPr>
        <w:ind w:firstLine="405"/>
        <w:rPr>
          <w:rFonts w:hint="default" w:eastAsia="宋体"/>
          <w:highlight w:val="none"/>
          <w:lang w:val="en-US" w:eastAsia="zh-CN"/>
        </w:rPr>
      </w:pPr>
      <w:r>
        <w:rPr>
          <w:rFonts w:hint="eastAsia" w:ascii="宋体" w:hAnsi="宋体"/>
          <w:highlight w:val="none"/>
          <w:lang w:val="en-US" w:eastAsia="zh-CN"/>
        </w:rPr>
        <w:t>6.3  本项目支持投标人性别平等的相关政策。</w:t>
      </w:r>
    </w:p>
    <w:p>
      <w:pPr>
        <w:rPr>
          <w:rFonts w:ascii="黑体" w:hAnsi="宋体" w:eastAsia="黑体"/>
          <w:sz w:val="24"/>
          <w:highlight w:val="none"/>
        </w:rPr>
      </w:pPr>
      <w:r>
        <w:rPr>
          <w:rFonts w:hint="eastAsia" w:ascii="黑体" w:hAnsi="宋体" w:eastAsia="黑体"/>
          <w:sz w:val="24"/>
          <w:highlight w:val="none"/>
        </w:rPr>
        <w:t>7. 本项目若涉及采购货物，则合格的货物及相应服务应满足以下要求：</w:t>
      </w:r>
    </w:p>
    <w:p>
      <w:pPr>
        <w:ind w:firstLine="411" w:firstLineChars="196"/>
        <w:rPr>
          <w:rFonts w:ascii="宋体" w:hAnsi="宋体"/>
          <w:highlight w:val="none"/>
        </w:rPr>
      </w:pPr>
      <w:r>
        <w:rPr>
          <w:rFonts w:hint="eastAsia" w:ascii="宋体" w:hAnsi="宋体"/>
          <w:highlight w:val="none"/>
        </w:rPr>
        <w:t>7</w:t>
      </w:r>
      <w:r>
        <w:rPr>
          <w:rFonts w:ascii="宋体" w:hAnsi="宋体"/>
          <w:highlight w:val="none"/>
        </w:rPr>
        <w:t xml:space="preserve">.1  </w:t>
      </w:r>
      <w:r>
        <w:rPr>
          <w:rFonts w:hint="eastAsia" w:ascii="宋体" w:hAnsi="宋体"/>
          <w:highlight w:val="none"/>
        </w:rPr>
        <w:t>必须是全新、未使用过的原装合格正品（包括零部件），如安装或配置了软件的，须为正版软件。</w:t>
      </w:r>
    </w:p>
    <w:p>
      <w:pPr>
        <w:ind w:firstLine="411" w:firstLineChars="196"/>
        <w:rPr>
          <w:rFonts w:ascii="宋体" w:hAnsi="宋体"/>
          <w:highlight w:val="none"/>
        </w:rPr>
      </w:pPr>
      <w:r>
        <w:rPr>
          <w:rFonts w:hint="eastAsia" w:ascii="宋体" w:hAnsi="宋体"/>
          <w:highlight w:val="none"/>
        </w:rPr>
        <w:t>7.2  国产的货物及其有关服务必须符合中华人民共和国的设计、制造生产标准及行业标准。招标公告有其他要求的，亦应符合其要求。</w:t>
      </w:r>
    </w:p>
    <w:p>
      <w:pPr>
        <w:ind w:firstLine="411" w:firstLineChars="196"/>
        <w:rPr>
          <w:rFonts w:ascii="宋体" w:hAnsi="宋体"/>
          <w:highlight w:val="none"/>
        </w:rPr>
      </w:pPr>
      <w:r>
        <w:rPr>
          <w:rFonts w:hint="eastAsia" w:ascii="宋体" w:hAnsi="宋体"/>
          <w:highlight w:val="none"/>
        </w:rPr>
        <w:t>7</w:t>
      </w:r>
      <w:r>
        <w:rPr>
          <w:rFonts w:ascii="宋体" w:hAnsi="宋体"/>
          <w:highlight w:val="none"/>
        </w:rPr>
        <w:t>.</w:t>
      </w:r>
      <w:r>
        <w:rPr>
          <w:rFonts w:hint="eastAsia" w:ascii="宋体" w:hAnsi="宋体"/>
          <w:highlight w:val="none"/>
        </w:rPr>
        <w:t>3</w:t>
      </w:r>
      <w:r>
        <w:rPr>
          <w:rFonts w:ascii="宋体" w:hAnsi="宋体"/>
          <w:highlight w:val="none"/>
        </w:rPr>
        <w:t xml:space="preserve">  </w:t>
      </w:r>
      <w:r>
        <w:rPr>
          <w:rFonts w:hint="eastAsia" w:ascii="宋体" w:hAnsi="宋体"/>
          <w:highlight w:val="none"/>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11" w:firstLineChars="196"/>
        <w:rPr>
          <w:rFonts w:ascii="宋体" w:hAnsi="宋体"/>
          <w:highlight w:val="none"/>
        </w:rPr>
      </w:pPr>
      <w:r>
        <w:rPr>
          <w:rFonts w:hint="eastAsia" w:ascii="宋体" w:hAnsi="宋体"/>
          <w:highlight w:val="none"/>
        </w:rPr>
        <w:t>7</w:t>
      </w:r>
      <w:r>
        <w:rPr>
          <w:rFonts w:ascii="宋体" w:hAnsi="宋体"/>
          <w:highlight w:val="none"/>
        </w:rPr>
        <w:t>.</w:t>
      </w:r>
      <w:r>
        <w:rPr>
          <w:rFonts w:hint="eastAsia" w:ascii="宋体" w:hAnsi="宋体"/>
          <w:highlight w:val="none"/>
        </w:rPr>
        <w:t>4</w:t>
      </w:r>
      <w:r>
        <w:rPr>
          <w:rFonts w:ascii="宋体" w:hAnsi="宋体"/>
          <w:highlight w:val="none"/>
        </w:rPr>
        <w:t xml:space="preserve">  </w:t>
      </w:r>
      <w:r>
        <w:rPr>
          <w:rFonts w:hint="eastAsia" w:ascii="宋体" w:hAnsi="宋体"/>
          <w:highlight w:val="none"/>
        </w:rPr>
        <w:t>投标人</w:t>
      </w:r>
      <w:bookmarkStart w:id="38" w:name="_Hlk72152753"/>
      <w:r>
        <w:rPr>
          <w:rFonts w:hint="eastAsia" w:ascii="宋体" w:hAnsi="宋体"/>
          <w:highlight w:val="none"/>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38"/>
    </w:p>
    <w:p>
      <w:pPr>
        <w:ind w:firstLine="411" w:firstLineChars="196"/>
        <w:rPr>
          <w:rFonts w:ascii="宋体" w:hAnsi="宋体"/>
          <w:highlight w:val="none"/>
        </w:rPr>
      </w:pPr>
      <w:r>
        <w:rPr>
          <w:rFonts w:hint="eastAsia" w:ascii="宋体" w:hAnsi="宋体"/>
          <w:highlight w:val="none"/>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11" w:firstLineChars="196"/>
        <w:rPr>
          <w:rFonts w:ascii="宋体" w:hAnsi="宋体"/>
          <w:highlight w:val="none"/>
        </w:rPr>
      </w:pPr>
      <w:r>
        <w:rPr>
          <w:rFonts w:hint="eastAsia" w:ascii="宋体" w:hAnsi="宋体"/>
          <w:highlight w:val="none"/>
        </w:rPr>
        <w:t>7.6  工期要求：投标人在投标时对其所投项目应提交交货进度、交货计划等，在合同规定的时间内完成项目实施工作。</w:t>
      </w:r>
    </w:p>
    <w:p>
      <w:pPr>
        <w:ind w:firstLine="411" w:firstLineChars="196"/>
        <w:rPr>
          <w:rFonts w:ascii="宋体" w:hAnsi="宋体"/>
          <w:highlight w:val="none"/>
        </w:rPr>
      </w:pPr>
      <w:r>
        <w:rPr>
          <w:rFonts w:hint="eastAsia" w:ascii="宋体" w:hAnsi="宋体"/>
          <w:highlight w:val="none"/>
        </w:rPr>
        <w:t>7.7  投标人必须承担的设备运输、安装调试、验收检测和提供设备操作说明书、图纸等其他相关及类似的义务。</w:t>
      </w:r>
    </w:p>
    <w:p>
      <w:pPr>
        <w:rPr>
          <w:rFonts w:ascii="黑体" w:hAnsi="宋体" w:eastAsia="黑体"/>
          <w:sz w:val="24"/>
          <w:highlight w:val="none"/>
        </w:rPr>
      </w:pPr>
      <w:r>
        <w:rPr>
          <w:rFonts w:hint="eastAsia" w:ascii="黑体" w:hAnsi="宋体" w:eastAsia="黑体"/>
          <w:sz w:val="24"/>
          <w:highlight w:val="none"/>
        </w:rPr>
        <w:t>8．投标费用</w:t>
      </w:r>
    </w:p>
    <w:p>
      <w:pPr>
        <w:ind w:firstLine="411" w:firstLineChars="196"/>
        <w:rPr>
          <w:rFonts w:ascii="宋体" w:hAnsi="宋体"/>
          <w:szCs w:val="21"/>
          <w:highlight w:val="none"/>
        </w:rPr>
      </w:pPr>
      <w:r>
        <w:rPr>
          <w:rFonts w:hint="eastAsia" w:ascii="宋体" w:hAnsi="宋体"/>
          <w:szCs w:val="21"/>
          <w:highlight w:val="none"/>
        </w:rPr>
        <w:t>不论投标结果如何，投标人应承担其编制投标文件与递交投标文件所涉及的一切费用。</w:t>
      </w:r>
    </w:p>
    <w:p>
      <w:pPr>
        <w:rPr>
          <w:rFonts w:ascii="黑体" w:hAnsi="宋体" w:eastAsia="黑体"/>
          <w:sz w:val="24"/>
          <w:highlight w:val="none"/>
        </w:rPr>
      </w:pPr>
      <w:r>
        <w:rPr>
          <w:rFonts w:hint="eastAsia" w:ascii="黑体" w:hAnsi="宋体" w:eastAsia="黑体"/>
          <w:sz w:val="24"/>
          <w:highlight w:val="none"/>
        </w:rPr>
        <w:t>9．踏勘现场</w:t>
      </w:r>
    </w:p>
    <w:p>
      <w:pPr>
        <w:ind w:firstLine="411" w:firstLineChars="196"/>
        <w:rPr>
          <w:rFonts w:ascii="宋体" w:hAnsi="宋体"/>
          <w:szCs w:val="21"/>
          <w:highlight w:val="none"/>
        </w:rPr>
      </w:pPr>
      <w:r>
        <w:rPr>
          <w:rFonts w:hint="eastAsia" w:ascii="宋体" w:hAnsi="宋体"/>
          <w:szCs w:val="21"/>
          <w:highlight w:val="none"/>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11" w:firstLineChars="196"/>
        <w:rPr>
          <w:rFonts w:ascii="宋体" w:hAnsi="宋体"/>
          <w:highlight w:val="none"/>
        </w:rPr>
      </w:pPr>
      <w:r>
        <w:rPr>
          <w:rFonts w:hint="eastAsia" w:ascii="宋体" w:hAnsi="宋体"/>
          <w:highlight w:val="none"/>
        </w:rPr>
        <w:t>9.2投标人及其人员经过采购人的允许，可以进入采购人的项目现场踏勘。若招标文件要求投标人于统一时间地点踏勘现场的，投标人应当按时前往。</w:t>
      </w:r>
    </w:p>
    <w:p>
      <w:pPr>
        <w:ind w:firstLine="411" w:firstLineChars="196"/>
        <w:rPr>
          <w:rFonts w:ascii="宋体" w:hAnsi="宋体"/>
          <w:highlight w:val="none"/>
        </w:rPr>
      </w:pPr>
      <w:r>
        <w:rPr>
          <w:rFonts w:hint="eastAsia" w:ascii="宋体" w:hAnsi="宋体"/>
          <w:highlight w:val="none"/>
        </w:rPr>
        <w:t>9.3采购人应当通过政府集中采购机构向投标人提供有关现场的书面资料和数据。</w:t>
      </w:r>
    </w:p>
    <w:p>
      <w:pPr>
        <w:ind w:firstLine="411" w:firstLineChars="196"/>
        <w:rPr>
          <w:rFonts w:ascii="宋体" w:hAnsi="宋体"/>
          <w:highlight w:val="none"/>
        </w:rPr>
      </w:pPr>
      <w:r>
        <w:rPr>
          <w:rFonts w:hint="eastAsia" w:ascii="宋体" w:hAnsi="宋体"/>
          <w:highlight w:val="none"/>
        </w:rPr>
        <w:t>9.4任何人或任何组织在踏勘现场时向投标人提供的任何书面资料或口头承诺，未经政府集中采购机构在网上发布或书面通知，均作无效处理。</w:t>
      </w:r>
    </w:p>
    <w:p>
      <w:pPr>
        <w:ind w:firstLine="411" w:firstLineChars="196"/>
        <w:rPr>
          <w:rFonts w:ascii="宋体" w:hAnsi="宋体"/>
          <w:highlight w:val="none"/>
        </w:rPr>
      </w:pPr>
      <w:r>
        <w:rPr>
          <w:rFonts w:ascii="宋体" w:hAnsi="宋体"/>
          <w:szCs w:val="21"/>
          <w:highlight w:val="none"/>
        </w:rPr>
        <w:t>9</w:t>
      </w: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未参与踏勘现场不作为否定投标人资格的理由。</w:t>
      </w:r>
    </w:p>
    <w:p>
      <w:pPr>
        <w:rPr>
          <w:rFonts w:ascii="宋体" w:hAnsi="宋体"/>
          <w:szCs w:val="21"/>
          <w:highlight w:val="none"/>
        </w:rPr>
      </w:pPr>
      <w:r>
        <w:rPr>
          <w:rFonts w:hint="eastAsia" w:ascii="黑体" w:hAnsi="宋体" w:eastAsia="黑体"/>
          <w:sz w:val="24"/>
          <w:highlight w:val="none"/>
        </w:rPr>
        <w:t>1</w:t>
      </w:r>
      <w:r>
        <w:rPr>
          <w:rFonts w:ascii="黑体" w:hAnsi="宋体" w:eastAsia="黑体"/>
          <w:sz w:val="24"/>
          <w:highlight w:val="none"/>
        </w:rPr>
        <w:t>0</w:t>
      </w:r>
      <w:r>
        <w:rPr>
          <w:rFonts w:hint="eastAsia" w:ascii="黑体" w:hAnsi="宋体" w:eastAsia="黑体"/>
          <w:sz w:val="24"/>
          <w:highlight w:val="none"/>
        </w:rPr>
        <w:t>．标前会议</w:t>
      </w:r>
    </w:p>
    <w:p>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ind w:firstLine="411" w:firstLineChars="196"/>
        <w:rPr>
          <w:rFonts w:ascii="宋体" w:hAnsi="宋体"/>
          <w:szCs w:val="21"/>
          <w:highlight w:val="none"/>
        </w:rPr>
      </w:pPr>
      <w:r>
        <w:rPr>
          <w:rFonts w:ascii="宋体" w:hAnsi="宋体"/>
          <w:highlight w:val="none"/>
        </w:rPr>
        <w:t>10</w:t>
      </w:r>
      <w:r>
        <w:rPr>
          <w:rFonts w:hint="eastAsia" w:ascii="宋体" w:hAnsi="宋体"/>
          <w:highlight w:val="none"/>
        </w:rPr>
        <w:t>.</w:t>
      </w:r>
      <w:r>
        <w:rPr>
          <w:rFonts w:ascii="宋体" w:hAnsi="宋体"/>
          <w:highlight w:val="none"/>
        </w:rPr>
        <w:t>2</w:t>
      </w:r>
      <w:r>
        <w:rPr>
          <w:rFonts w:hint="eastAsia" w:ascii="宋体" w:hAnsi="宋体"/>
          <w:highlight w:val="none"/>
        </w:rPr>
        <w:t>任何人或任何组织在标前会议时向投标人提供的任何书面资料或口头承诺，未经政府集中采购机构在网上发布或书面通知，均作无效处理。</w:t>
      </w:r>
    </w:p>
    <w:p>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未参与标前会议不作为否定投标人资格的理由。</w:t>
      </w:r>
    </w:p>
    <w:bookmarkEnd w:id="37"/>
    <w:p>
      <w:pPr>
        <w:ind w:firstLine="411" w:firstLineChars="196"/>
        <w:rPr>
          <w:rFonts w:ascii="宋体" w:hAnsi="宋体"/>
          <w:highlight w:val="none"/>
        </w:rPr>
      </w:pPr>
    </w:p>
    <w:p>
      <w:pPr>
        <w:pStyle w:val="3"/>
        <w:numPr>
          <w:ilvl w:val="0"/>
          <w:numId w:val="12"/>
        </w:numPr>
        <w:spacing w:before="120" w:beforeLines="50" w:after="120" w:afterLines="50"/>
        <w:ind w:left="562" w:hanging="562"/>
        <w:rPr>
          <w:sz w:val="28"/>
          <w:szCs w:val="28"/>
          <w:highlight w:val="none"/>
        </w:rPr>
      </w:pPr>
      <w:r>
        <w:rPr>
          <w:rFonts w:hint="eastAsia"/>
          <w:sz w:val="28"/>
          <w:szCs w:val="28"/>
          <w:highlight w:val="none"/>
        </w:rPr>
        <w:t>招标文件</w:t>
      </w:r>
    </w:p>
    <w:p>
      <w:pPr>
        <w:rPr>
          <w:rFonts w:ascii="黑体" w:hAnsi="宋体" w:eastAsia="黑体"/>
          <w:sz w:val="24"/>
          <w:highlight w:val="none"/>
        </w:rPr>
      </w:pPr>
      <w:r>
        <w:rPr>
          <w:rFonts w:hint="eastAsia" w:ascii="黑体" w:hAnsi="宋体" w:eastAsia="黑体"/>
          <w:sz w:val="24"/>
          <w:highlight w:val="none"/>
        </w:rPr>
        <w:t>1</w:t>
      </w:r>
      <w:r>
        <w:rPr>
          <w:rFonts w:ascii="黑体" w:hAnsi="宋体" w:eastAsia="黑体"/>
          <w:sz w:val="24"/>
          <w:highlight w:val="none"/>
        </w:rPr>
        <w:t>1</w:t>
      </w:r>
      <w:r>
        <w:rPr>
          <w:rFonts w:hint="eastAsia" w:ascii="黑体" w:hAnsi="宋体" w:eastAsia="黑体"/>
          <w:sz w:val="24"/>
          <w:highlight w:val="none"/>
        </w:rPr>
        <w:t>．</w:t>
      </w:r>
      <w:bookmarkStart w:id="39" w:name="_Hlk72399819"/>
      <w:r>
        <w:rPr>
          <w:rFonts w:hint="eastAsia" w:ascii="黑体" w:hAnsi="宋体" w:eastAsia="黑体"/>
          <w:sz w:val="24"/>
          <w:highlight w:val="none"/>
        </w:rPr>
        <w:t>招标文件的编制与组成</w:t>
      </w:r>
    </w:p>
    <w:p>
      <w:pPr>
        <w:snapToGrid w:val="0"/>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.1招标文件除以下内容外，政府集中采购机构在招标期间发出的澄清或修改等相关公告或通知内容，均是招标文件的组成部分，对投标人起约束作用；</w:t>
      </w:r>
    </w:p>
    <w:p>
      <w:pPr>
        <w:ind w:firstLine="411" w:firstLineChars="196"/>
        <w:rPr>
          <w:rFonts w:ascii="宋体" w:hAnsi="宋体"/>
          <w:szCs w:val="21"/>
          <w:highlight w:val="none"/>
        </w:rPr>
      </w:pPr>
      <w:r>
        <w:rPr>
          <w:rFonts w:hint="eastAsia" w:ascii="宋体" w:hAnsi="宋体"/>
          <w:szCs w:val="21"/>
          <w:highlight w:val="none"/>
        </w:rPr>
        <w:t>招标文件包括下列内容：</w:t>
      </w:r>
    </w:p>
    <w:p>
      <w:pPr>
        <w:ind w:left="420" w:leftChars="200" w:firstLine="413" w:firstLineChars="196"/>
        <w:rPr>
          <w:rFonts w:ascii="宋体" w:hAnsi="宋体"/>
          <w:b/>
          <w:szCs w:val="21"/>
          <w:highlight w:val="none"/>
        </w:rPr>
      </w:pPr>
      <w:r>
        <w:rPr>
          <w:rFonts w:hint="eastAsia" w:ascii="宋体" w:hAnsi="宋体"/>
          <w:b/>
          <w:szCs w:val="21"/>
          <w:highlight w:val="none"/>
        </w:rPr>
        <w:t>第一册  专用条款</w:t>
      </w:r>
    </w:p>
    <w:p>
      <w:pPr>
        <w:ind w:left="1079" w:leftChars="514"/>
        <w:rPr>
          <w:rFonts w:ascii="宋体" w:hAnsi="宋体"/>
          <w:b/>
          <w:szCs w:val="21"/>
          <w:highlight w:val="none"/>
        </w:rPr>
      </w:pPr>
      <w:r>
        <w:rPr>
          <w:rFonts w:hint="eastAsia" w:ascii="宋体" w:hAnsi="宋体"/>
          <w:b/>
          <w:szCs w:val="21"/>
          <w:highlight w:val="none"/>
        </w:rPr>
        <w:t>关键信息</w:t>
      </w:r>
    </w:p>
    <w:p>
      <w:pPr>
        <w:ind w:left="630" w:leftChars="300" w:firstLine="411" w:firstLineChars="196"/>
        <w:rPr>
          <w:rFonts w:ascii="宋体" w:hAnsi="宋体"/>
          <w:szCs w:val="21"/>
          <w:highlight w:val="none"/>
        </w:rPr>
      </w:pPr>
      <w:r>
        <w:rPr>
          <w:rFonts w:hint="eastAsia" w:ascii="宋体" w:hAnsi="宋体"/>
          <w:szCs w:val="21"/>
          <w:highlight w:val="none"/>
        </w:rPr>
        <w:t>第一章  招标公告</w:t>
      </w:r>
    </w:p>
    <w:p>
      <w:pPr>
        <w:ind w:left="630" w:leftChars="300" w:firstLine="411" w:firstLineChars="196"/>
        <w:rPr>
          <w:rFonts w:ascii="宋体" w:hAnsi="宋体"/>
          <w:szCs w:val="21"/>
          <w:highlight w:val="none"/>
        </w:rPr>
      </w:pPr>
      <w:r>
        <w:rPr>
          <w:rFonts w:hint="eastAsia" w:ascii="宋体" w:hAnsi="宋体"/>
          <w:szCs w:val="21"/>
          <w:highlight w:val="none"/>
        </w:rPr>
        <w:t>第二章  对通用条款的补充内容及其他关键信息</w:t>
      </w:r>
    </w:p>
    <w:p>
      <w:pPr>
        <w:ind w:left="630" w:leftChars="300" w:firstLine="411" w:firstLineChars="196"/>
        <w:rPr>
          <w:rFonts w:ascii="宋体" w:hAnsi="宋体"/>
          <w:szCs w:val="21"/>
          <w:highlight w:val="none"/>
        </w:rPr>
      </w:pPr>
      <w:r>
        <w:rPr>
          <w:rFonts w:hint="eastAsia" w:ascii="宋体" w:hAnsi="宋体"/>
          <w:szCs w:val="21"/>
          <w:highlight w:val="none"/>
        </w:rPr>
        <w:t>第三章  用户需求书</w:t>
      </w:r>
    </w:p>
    <w:p>
      <w:pPr>
        <w:ind w:left="630" w:leftChars="300" w:firstLine="411" w:firstLineChars="196"/>
        <w:rPr>
          <w:rFonts w:ascii="宋体" w:hAnsi="宋体"/>
          <w:szCs w:val="21"/>
          <w:highlight w:val="none"/>
        </w:rPr>
      </w:pPr>
      <w:r>
        <w:rPr>
          <w:rFonts w:hint="eastAsia"/>
          <w:highlight w:val="none"/>
        </w:rPr>
        <w:t xml:space="preserve">第四章 </w:t>
      </w:r>
      <w:r>
        <w:rPr>
          <w:highlight w:val="none"/>
        </w:rPr>
        <w:t xml:space="preserve"> </w:t>
      </w:r>
      <w:r>
        <w:rPr>
          <w:rFonts w:hint="eastAsia"/>
          <w:highlight w:val="none"/>
        </w:rPr>
        <w:t>投标文件格式及附件</w:t>
      </w:r>
    </w:p>
    <w:p>
      <w:pPr>
        <w:ind w:left="630" w:leftChars="300" w:firstLine="411" w:firstLineChars="196"/>
        <w:rPr>
          <w:rFonts w:ascii="宋体" w:hAnsi="宋体"/>
          <w:szCs w:val="21"/>
          <w:highlight w:val="none"/>
        </w:rPr>
      </w:pPr>
      <w:r>
        <w:rPr>
          <w:rFonts w:hint="eastAsia" w:ascii="宋体" w:hAnsi="宋体"/>
          <w:szCs w:val="21"/>
          <w:highlight w:val="none"/>
        </w:rPr>
        <w:t>第五章  合同条款及格式</w:t>
      </w:r>
    </w:p>
    <w:p>
      <w:pPr>
        <w:ind w:left="420" w:leftChars="200" w:firstLine="413" w:firstLineChars="196"/>
        <w:rPr>
          <w:rFonts w:ascii="宋体" w:hAnsi="宋体"/>
          <w:b/>
          <w:szCs w:val="21"/>
          <w:highlight w:val="none"/>
        </w:rPr>
      </w:pPr>
      <w:r>
        <w:rPr>
          <w:rFonts w:hint="eastAsia" w:ascii="宋体" w:hAnsi="宋体"/>
          <w:b/>
          <w:szCs w:val="21"/>
          <w:highlight w:val="none"/>
        </w:rPr>
        <w:t>第二册  通用条款</w:t>
      </w:r>
    </w:p>
    <w:p>
      <w:pPr>
        <w:ind w:left="630" w:leftChars="300" w:firstLine="411" w:firstLineChars="196"/>
        <w:rPr>
          <w:rFonts w:ascii="宋体" w:hAnsi="宋体"/>
          <w:szCs w:val="21"/>
          <w:highlight w:val="none"/>
        </w:rPr>
      </w:pPr>
      <w:r>
        <w:rPr>
          <w:rFonts w:hint="eastAsia" w:ascii="宋体" w:hAnsi="宋体"/>
          <w:szCs w:val="21"/>
          <w:highlight w:val="none"/>
        </w:rPr>
        <w:t>第一章  总则</w:t>
      </w:r>
    </w:p>
    <w:p>
      <w:pPr>
        <w:ind w:left="630" w:leftChars="300" w:firstLine="411" w:firstLineChars="196"/>
        <w:rPr>
          <w:rFonts w:ascii="宋体" w:hAnsi="宋体"/>
          <w:szCs w:val="21"/>
          <w:highlight w:val="none"/>
        </w:rPr>
      </w:pPr>
      <w:r>
        <w:rPr>
          <w:rFonts w:hint="eastAsia" w:ascii="宋体" w:hAnsi="宋体"/>
          <w:szCs w:val="21"/>
          <w:highlight w:val="none"/>
        </w:rPr>
        <w:t>第二章  招标文件</w:t>
      </w:r>
    </w:p>
    <w:p>
      <w:pPr>
        <w:ind w:left="630" w:leftChars="300" w:firstLine="411" w:firstLineChars="196"/>
        <w:rPr>
          <w:rFonts w:ascii="宋体" w:hAnsi="宋体"/>
          <w:szCs w:val="21"/>
          <w:highlight w:val="none"/>
        </w:rPr>
      </w:pPr>
      <w:r>
        <w:rPr>
          <w:rFonts w:hint="eastAsia" w:ascii="宋体" w:hAnsi="宋体"/>
          <w:szCs w:val="21"/>
          <w:highlight w:val="none"/>
        </w:rPr>
        <w:t>第三章  投标文件的编制</w:t>
      </w:r>
    </w:p>
    <w:p>
      <w:pPr>
        <w:ind w:left="630" w:leftChars="300" w:firstLine="411" w:firstLineChars="196"/>
        <w:rPr>
          <w:rFonts w:ascii="宋体" w:hAnsi="宋体"/>
          <w:szCs w:val="21"/>
          <w:highlight w:val="none"/>
        </w:rPr>
      </w:pPr>
      <w:r>
        <w:rPr>
          <w:rFonts w:hint="eastAsia" w:ascii="宋体" w:hAnsi="宋体"/>
          <w:szCs w:val="21"/>
          <w:highlight w:val="none"/>
        </w:rPr>
        <w:t>第四章  投标文件的递交</w:t>
      </w:r>
    </w:p>
    <w:p>
      <w:pPr>
        <w:ind w:left="630" w:leftChars="300" w:firstLine="411" w:firstLineChars="196"/>
        <w:rPr>
          <w:rFonts w:ascii="宋体" w:hAnsi="宋体"/>
          <w:szCs w:val="21"/>
          <w:highlight w:val="none"/>
        </w:rPr>
      </w:pPr>
      <w:r>
        <w:rPr>
          <w:rFonts w:hint="eastAsia" w:ascii="宋体" w:hAnsi="宋体"/>
          <w:szCs w:val="21"/>
          <w:highlight w:val="none"/>
        </w:rPr>
        <w:t>第五章  开标</w:t>
      </w:r>
    </w:p>
    <w:p>
      <w:pPr>
        <w:ind w:left="630" w:leftChars="300" w:firstLine="411" w:firstLineChars="196"/>
        <w:rPr>
          <w:rFonts w:ascii="宋体" w:hAnsi="宋体"/>
          <w:szCs w:val="21"/>
          <w:highlight w:val="none"/>
        </w:rPr>
      </w:pPr>
      <w:r>
        <w:rPr>
          <w:rFonts w:hint="eastAsia" w:ascii="宋体" w:hAnsi="宋体"/>
          <w:szCs w:val="21"/>
          <w:highlight w:val="none"/>
        </w:rPr>
        <w:t>第六章  评审要求</w:t>
      </w:r>
    </w:p>
    <w:p>
      <w:pPr>
        <w:ind w:left="630" w:leftChars="300" w:firstLine="411" w:firstLineChars="196"/>
        <w:rPr>
          <w:rFonts w:ascii="宋体" w:hAnsi="宋体"/>
          <w:szCs w:val="21"/>
          <w:highlight w:val="none"/>
        </w:rPr>
      </w:pPr>
      <w:r>
        <w:rPr>
          <w:rFonts w:hint="eastAsia" w:ascii="宋体" w:hAnsi="宋体"/>
          <w:szCs w:val="21"/>
          <w:highlight w:val="none"/>
        </w:rPr>
        <w:t>第七章  评审程序及评审方法</w:t>
      </w:r>
    </w:p>
    <w:p>
      <w:pPr>
        <w:ind w:left="630" w:leftChars="300" w:firstLine="411" w:firstLineChars="196"/>
        <w:rPr>
          <w:rFonts w:ascii="宋体" w:hAnsi="宋体"/>
          <w:szCs w:val="21"/>
          <w:highlight w:val="none"/>
        </w:rPr>
      </w:pPr>
      <w:r>
        <w:rPr>
          <w:rFonts w:hint="eastAsia" w:ascii="宋体" w:hAnsi="宋体"/>
          <w:szCs w:val="21"/>
          <w:highlight w:val="none"/>
        </w:rPr>
        <w:t>第八章  定标及公示</w:t>
      </w:r>
    </w:p>
    <w:p>
      <w:pPr>
        <w:ind w:left="630" w:leftChars="300" w:firstLine="411" w:firstLineChars="196"/>
        <w:rPr>
          <w:rFonts w:ascii="宋体" w:hAnsi="宋体"/>
          <w:szCs w:val="21"/>
          <w:highlight w:val="none"/>
        </w:rPr>
      </w:pPr>
      <w:r>
        <w:rPr>
          <w:rFonts w:hint="eastAsia" w:ascii="宋体" w:hAnsi="宋体"/>
          <w:szCs w:val="21"/>
          <w:highlight w:val="none"/>
        </w:rPr>
        <w:t>第九章  公开招标失败的后续处理</w:t>
      </w:r>
    </w:p>
    <w:p>
      <w:pPr>
        <w:ind w:left="630" w:leftChars="300" w:firstLine="411" w:firstLineChars="196"/>
        <w:rPr>
          <w:rFonts w:ascii="宋体" w:hAnsi="宋体"/>
          <w:szCs w:val="21"/>
          <w:highlight w:val="none"/>
        </w:rPr>
      </w:pPr>
      <w:r>
        <w:rPr>
          <w:rFonts w:hint="eastAsia" w:ascii="宋体" w:hAnsi="宋体"/>
          <w:szCs w:val="21"/>
          <w:highlight w:val="none"/>
        </w:rPr>
        <w:t>第十章  合同的授予与备案</w:t>
      </w:r>
    </w:p>
    <w:p>
      <w:pPr>
        <w:ind w:left="630" w:leftChars="300" w:firstLine="411" w:firstLineChars="196"/>
        <w:rPr>
          <w:rFonts w:ascii="宋体" w:hAnsi="宋体"/>
          <w:szCs w:val="21"/>
          <w:highlight w:val="none"/>
        </w:rPr>
      </w:pPr>
      <w:r>
        <w:rPr>
          <w:rFonts w:hint="eastAsia" w:ascii="宋体" w:hAnsi="宋体"/>
          <w:szCs w:val="21"/>
          <w:highlight w:val="none"/>
        </w:rPr>
        <w:t>第十一章  质疑处理</w:t>
      </w:r>
    </w:p>
    <w:p>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.3</w:t>
      </w:r>
      <w:r>
        <w:rPr>
          <w:rFonts w:hint="eastAsia" w:ascii="宋体" w:hAnsi="宋体"/>
          <w:highlight w:val="none"/>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rPr>
          <w:rFonts w:ascii="黑体" w:hAnsi="宋体" w:eastAsia="黑体"/>
          <w:sz w:val="24"/>
          <w:highlight w:val="none"/>
        </w:rPr>
      </w:pPr>
      <w:r>
        <w:rPr>
          <w:rFonts w:hint="eastAsia" w:ascii="黑体" w:hAnsi="宋体" w:eastAsia="黑体"/>
          <w:sz w:val="24"/>
          <w:highlight w:val="none"/>
        </w:rPr>
        <w:t>1</w:t>
      </w:r>
      <w:r>
        <w:rPr>
          <w:rFonts w:ascii="黑体" w:hAnsi="宋体" w:eastAsia="黑体"/>
          <w:sz w:val="24"/>
          <w:highlight w:val="none"/>
        </w:rPr>
        <w:t>2</w:t>
      </w:r>
      <w:r>
        <w:rPr>
          <w:rFonts w:hint="eastAsia" w:ascii="黑体" w:hAnsi="宋体" w:eastAsia="黑体"/>
          <w:sz w:val="24"/>
          <w:highlight w:val="none"/>
        </w:rPr>
        <w:t>．招标文件的澄清</w:t>
      </w:r>
    </w:p>
    <w:p>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.1招标文件澄清的目的是澄清、解答投标人在查阅招标文件后或现场踏勘中可能提出的与投标有关的疑问或询问。</w:t>
      </w:r>
    </w:p>
    <w:p>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.2投标人如对招标文件内容有疑问，应当在招标公告规定的澄清（提问）截止时间前以网上提问的形式通过网上政府采购系统提交政府集中采购机构。</w:t>
      </w:r>
    </w:p>
    <w:p>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highlight w:val="none"/>
        </w:rPr>
        <w:t>3.3</w:t>
      </w:r>
      <w:r>
        <w:rPr>
          <w:rFonts w:hint="eastAsia" w:ascii="宋体" w:hAnsi="宋体"/>
          <w:szCs w:val="21"/>
          <w:highlight w:val="none"/>
        </w:rPr>
        <w:t>、1</w:t>
      </w:r>
      <w:r>
        <w:rPr>
          <w:rFonts w:ascii="宋体" w:hAnsi="宋体"/>
          <w:szCs w:val="21"/>
          <w:highlight w:val="none"/>
        </w:rPr>
        <w:t>3.4</w:t>
      </w:r>
      <w:r>
        <w:rPr>
          <w:rFonts w:hint="eastAsia" w:ascii="宋体" w:hAnsi="宋体"/>
          <w:szCs w:val="21"/>
          <w:highlight w:val="none"/>
        </w:rPr>
        <w:t>款规定执行。</w:t>
      </w:r>
    </w:p>
    <w:p>
      <w:pPr>
        <w:rPr>
          <w:rFonts w:ascii="黑体" w:hAnsi="宋体" w:eastAsia="黑体"/>
          <w:sz w:val="24"/>
          <w:highlight w:val="none"/>
        </w:rPr>
      </w:pPr>
      <w:r>
        <w:rPr>
          <w:rFonts w:ascii="黑体" w:hAnsi="宋体" w:eastAsia="黑体"/>
          <w:sz w:val="24"/>
          <w:highlight w:val="none"/>
        </w:rPr>
        <w:t>1</w:t>
      </w:r>
      <w:r>
        <w:rPr>
          <w:rFonts w:hint="eastAsia" w:ascii="黑体" w:hAnsi="宋体" w:eastAsia="黑体"/>
          <w:sz w:val="24"/>
          <w:highlight w:val="none"/>
        </w:rPr>
        <w:t>3．招标文件的修改</w:t>
      </w:r>
    </w:p>
    <w:p>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3.1招标文件发出后，在投标截止日期前任何时候，确需要变更招标文件内容的，政府集中采购机构可主动或在解答投标人提出的澄清问题时对招标文件进行修改。</w:t>
      </w:r>
    </w:p>
    <w:p>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3.2招标文件的修改以书面形式（包括政府集中采购机构网站发布方式，如更正公告等）发送给所有投标人，招标文件的修改内容作为招标文件的组成部分，并具有约束力。</w:t>
      </w:r>
    </w:p>
    <w:p>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39"/>
    </w:p>
    <w:p>
      <w:pPr>
        <w:rPr>
          <w:rFonts w:ascii="宋体" w:hAnsi="宋体"/>
          <w:szCs w:val="21"/>
          <w:highlight w:val="none"/>
        </w:rPr>
      </w:pPr>
    </w:p>
    <w:p>
      <w:pPr>
        <w:pStyle w:val="3"/>
        <w:numPr>
          <w:ilvl w:val="0"/>
          <w:numId w:val="12"/>
        </w:numPr>
        <w:spacing w:before="120" w:beforeLines="50" w:after="120" w:afterLines="50"/>
        <w:ind w:left="562" w:hanging="562"/>
        <w:rPr>
          <w:sz w:val="28"/>
          <w:szCs w:val="28"/>
          <w:highlight w:val="none"/>
        </w:rPr>
      </w:pPr>
      <w:r>
        <w:rPr>
          <w:rFonts w:hint="eastAsia"/>
          <w:sz w:val="28"/>
          <w:szCs w:val="28"/>
          <w:highlight w:val="none"/>
        </w:rPr>
        <w:t>投标文件的编制</w:t>
      </w:r>
    </w:p>
    <w:p>
      <w:pPr>
        <w:rPr>
          <w:rFonts w:ascii="黑体" w:hAnsi="宋体" w:eastAsia="黑体"/>
          <w:sz w:val="24"/>
          <w:highlight w:val="none"/>
        </w:rPr>
      </w:pPr>
      <w:r>
        <w:rPr>
          <w:rFonts w:hint="eastAsia" w:ascii="黑体" w:hAnsi="宋体" w:eastAsia="黑体"/>
          <w:sz w:val="24"/>
          <w:highlight w:val="none"/>
        </w:rPr>
        <w:t>14．</w:t>
      </w:r>
      <w:bookmarkStart w:id="40" w:name="_Hlk72400236"/>
      <w:r>
        <w:rPr>
          <w:rFonts w:hint="eastAsia" w:ascii="黑体" w:hAnsi="宋体" w:eastAsia="黑体"/>
          <w:sz w:val="24"/>
          <w:highlight w:val="none"/>
        </w:rPr>
        <w:t>投标文件的语言及度量单位</w:t>
      </w:r>
    </w:p>
    <w:p>
      <w:pPr>
        <w:ind w:firstLine="411" w:firstLineChars="196"/>
        <w:rPr>
          <w:rFonts w:ascii="宋体" w:hAnsi="宋体"/>
          <w:szCs w:val="21"/>
          <w:highlight w:val="none"/>
        </w:rPr>
      </w:pPr>
      <w:r>
        <w:rPr>
          <w:rFonts w:hint="eastAsia" w:ascii="宋体" w:hAnsi="宋体"/>
          <w:szCs w:val="21"/>
          <w:highlight w:val="none"/>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ind w:firstLine="411" w:firstLineChars="196"/>
        <w:rPr>
          <w:rFonts w:ascii="宋体" w:hAnsi="宋体"/>
          <w:szCs w:val="21"/>
          <w:highlight w:val="none"/>
        </w:rPr>
      </w:pPr>
      <w:r>
        <w:rPr>
          <w:rFonts w:hint="eastAsia" w:ascii="宋体" w:hAnsi="宋体"/>
          <w:szCs w:val="21"/>
          <w:highlight w:val="none"/>
        </w:rPr>
        <w:t>14.2 除技术规范另有规定外，投标文件使用的度量单位，均采用中华人民共和国法定计量单位。</w:t>
      </w:r>
    </w:p>
    <w:bookmarkEnd w:id="40"/>
    <w:p>
      <w:pPr>
        <w:rPr>
          <w:rFonts w:ascii="黑体" w:hAnsi="宋体" w:eastAsia="黑体"/>
          <w:sz w:val="24"/>
          <w:highlight w:val="none"/>
        </w:rPr>
      </w:pPr>
      <w:r>
        <w:rPr>
          <w:rFonts w:hint="eastAsia" w:ascii="黑体" w:hAnsi="宋体" w:eastAsia="黑体"/>
          <w:sz w:val="24"/>
          <w:highlight w:val="none"/>
        </w:rPr>
        <w:t>15．</w:t>
      </w:r>
      <w:bookmarkStart w:id="41" w:name="_Hlk72401567"/>
      <w:r>
        <w:rPr>
          <w:rFonts w:hint="eastAsia" w:ascii="黑体" w:hAnsi="宋体" w:eastAsia="黑体"/>
          <w:sz w:val="24"/>
          <w:highlight w:val="none"/>
        </w:rPr>
        <w:t>投标文件的组成</w:t>
      </w:r>
    </w:p>
    <w:p>
      <w:pPr>
        <w:ind w:firstLine="411" w:firstLineChars="196"/>
        <w:rPr>
          <w:rFonts w:ascii="宋体" w:hAnsi="宋体"/>
          <w:szCs w:val="21"/>
          <w:highlight w:val="none"/>
        </w:rPr>
      </w:pPr>
      <w:r>
        <w:rPr>
          <w:rFonts w:hint="eastAsia" w:ascii="宋体" w:hAnsi="宋体"/>
          <w:szCs w:val="21"/>
          <w:highlight w:val="none"/>
        </w:rPr>
        <w:t>具体内容在招标文件专用条款中进行规定。</w:t>
      </w:r>
    </w:p>
    <w:p>
      <w:pPr>
        <w:rPr>
          <w:rFonts w:ascii="黑体" w:hAnsi="宋体" w:eastAsia="黑体"/>
          <w:sz w:val="24"/>
          <w:highlight w:val="none"/>
        </w:rPr>
      </w:pPr>
      <w:r>
        <w:rPr>
          <w:rFonts w:ascii="黑体" w:hAnsi="宋体" w:eastAsia="黑体"/>
          <w:sz w:val="24"/>
          <w:highlight w:val="none"/>
        </w:rPr>
        <w:t>16．投标文件格式</w:t>
      </w:r>
    </w:p>
    <w:p>
      <w:pPr>
        <w:ind w:firstLine="411" w:firstLineChars="196"/>
        <w:rPr>
          <w:rFonts w:ascii="宋体" w:hAnsi="宋体"/>
          <w:szCs w:val="21"/>
          <w:highlight w:val="none"/>
        </w:rPr>
      </w:pPr>
      <w:r>
        <w:rPr>
          <w:rFonts w:hint="eastAsia" w:ascii="宋体" w:hAnsi="宋体"/>
          <w:szCs w:val="21"/>
          <w:highlight w:val="none"/>
        </w:rPr>
        <w:t>投标文件包括本通用条款第</w:t>
      </w:r>
      <w:r>
        <w:rPr>
          <w:rFonts w:ascii="宋体" w:hAnsi="宋体"/>
          <w:szCs w:val="21"/>
          <w:highlight w:val="none"/>
        </w:rPr>
        <w:t>15条中规定的内容。如招标文件提供了投标文件格式，则</w:t>
      </w:r>
      <w:r>
        <w:rPr>
          <w:rFonts w:hint="eastAsia" w:ascii="宋体" w:hAnsi="宋体"/>
          <w:b/>
          <w:bCs/>
          <w:szCs w:val="21"/>
          <w:highlight w:val="none"/>
        </w:rPr>
        <w:t>投标人提交的投标文件应毫无例外地使用招标文件所提供的相应格式</w:t>
      </w:r>
      <w:r>
        <w:rPr>
          <w:rFonts w:hint="eastAsia" w:ascii="宋体" w:hAnsi="宋体"/>
          <w:szCs w:val="21"/>
          <w:highlight w:val="none"/>
        </w:rPr>
        <w:t>（表格均可按同样格式扩展）。</w:t>
      </w:r>
    </w:p>
    <w:p>
      <w:pPr>
        <w:rPr>
          <w:rFonts w:ascii="黑体" w:hAnsi="宋体" w:eastAsia="黑体"/>
          <w:sz w:val="24"/>
          <w:highlight w:val="none"/>
        </w:rPr>
      </w:pPr>
      <w:r>
        <w:rPr>
          <w:rFonts w:hint="eastAsia" w:ascii="黑体" w:hAnsi="宋体" w:eastAsia="黑体"/>
          <w:sz w:val="24"/>
          <w:highlight w:val="none"/>
        </w:rPr>
        <w:t>17．投标货币</w:t>
      </w:r>
    </w:p>
    <w:p>
      <w:pPr>
        <w:ind w:firstLine="411" w:firstLineChars="196"/>
        <w:rPr>
          <w:rFonts w:ascii="宋体" w:hAnsi="宋体"/>
          <w:szCs w:val="21"/>
          <w:highlight w:val="none"/>
        </w:rPr>
      </w:pPr>
      <w:r>
        <w:rPr>
          <w:rFonts w:hint="eastAsia" w:ascii="宋体" w:hAnsi="宋体"/>
          <w:szCs w:val="21"/>
          <w:highlight w:val="none"/>
        </w:rPr>
        <w:t>本项目的投标报价应以人民币计。</w:t>
      </w:r>
    </w:p>
    <w:bookmarkEnd w:id="41"/>
    <w:p>
      <w:pPr>
        <w:rPr>
          <w:rFonts w:ascii="黑体" w:hAnsi="宋体" w:eastAsia="黑体"/>
          <w:sz w:val="24"/>
          <w:highlight w:val="none"/>
        </w:rPr>
      </w:pPr>
      <w:r>
        <w:rPr>
          <w:rFonts w:hint="eastAsia" w:ascii="黑体" w:hAnsi="宋体" w:eastAsia="黑体"/>
          <w:sz w:val="24"/>
          <w:highlight w:val="none"/>
        </w:rPr>
        <w:t>18．</w:t>
      </w:r>
      <w:bookmarkStart w:id="42" w:name="_Hlk72401735"/>
      <w:r>
        <w:rPr>
          <w:rFonts w:hint="eastAsia" w:ascii="黑体" w:hAnsi="宋体" w:eastAsia="黑体"/>
          <w:sz w:val="24"/>
          <w:highlight w:val="none"/>
        </w:rPr>
        <w:t>证明投标文件投标技术方案的合格性和符合招标文件规定的文件要求</w:t>
      </w:r>
    </w:p>
    <w:p>
      <w:pPr>
        <w:ind w:firstLine="411" w:firstLineChars="196"/>
        <w:rPr>
          <w:rFonts w:ascii="宋体" w:hAnsi="宋体"/>
          <w:szCs w:val="21"/>
          <w:highlight w:val="none"/>
        </w:rPr>
      </w:pPr>
      <w:r>
        <w:rPr>
          <w:rFonts w:hint="eastAsia" w:ascii="宋体" w:hAnsi="宋体"/>
          <w:szCs w:val="21"/>
          <w:highlight w:val="none"/>
        </w:rPr>
        <w:t>18</w:t>
      </w:r>
      <w:r>
        <w:rPr>
          <w:rFonts w:ascii="宋体" w:hAnsi="宋体"/>
          <w:szCs w:val="21"/>
          <w:highlight w:val="none"/>
        </w:rPr>
        <w:t xml:space="preserve">.1 </w:t>
      </w:r>
      <w:r>
        <w:rPr>
          <w:rFonts w:hint="eastAsia" w:ascii="宋体" w:hAnsi="宋体"/>
          <w:szCs w:val="21"/>
          <w:highlight w:val="none"/>
        </w:rPr>
        <w:t>投标人应提交证明文件，证明其投标技术方案项下的货物和服务的合格性符合招标文件规定。该投标技术方案及其证明文件均作为投标文件组成部分。</w:t>
      </w:r>
    </w:p>
    <w:p>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 xml:space="preserve">.2 </w:t>
      </w:r>
      <w:r>
        <w:rPr>
          <w:rFonts w:hint="eastAsia" w:ascii="宋体" w:hAnsi="宋体"/>
          <w:szCs w:val="21"/>
          <w:highlight w:val="none"/>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11" w:firstLineChars="196"/>
        <w:rPr>
          <w:rFonts w:ascii="宋体" w:hAnsi="宋体"/>
          <w:szCs w:val="21"/>
          <w:highlight w:val="none"/>
        </w:rPr>
      </w:pPr>
      <w:r>
        <w:rPr>
          <w:rFonts w:hint="eastAsia" w:ascii="宋体" w:hAnsi="宋体"/>
          <w:szCs w:val="21"/>
          <w:highlight w:val="none"/>
        </w:rPr>
        <w:t>18.2.1主要技术指标和性能的详细说明。</w:t>
      </w:r>
    </w:p>
    <w:p>
      <w:pPr>
        <w:ind w:firstLine="411" w:firstLineChars="196"/>
        <w:rPr>
          <w:rFonts w:ascii="宋体" w:hAnsi="宋体"/>
          <w:szCs w:val="21"/>
          <w:highlight w:val="none"/>
        </w:rPr>
      </w:pPr>
      <w:r>
        <w:rPr>
          <w:rFonts w:hint="eastAsia" w:ascii="宋体" w:hAnsi="宋体"/>
          <w:szCs w:val="21"/>
          <w:highlight w:val="none"/>
        </w:rPr>
        <w:t>18.2.</w:t>
      </w:r>
      <w:r>
        <w:rPr>
          <w:rFonts w:ascii="宋体" w:hAnsi="宋体"/>
          <w:szCs w:val="21"/>
          <w:highlight w:val="none"/>
        </w:rPr>
        <w:t>2</w:t>
      </w:r>
      <w:r>
        <w:rPr>
          <w:rFonts w:hint="eastAsia" w:ascii="宋体" w:hAnsi="宋体"/>
          <w:szCs w:val="21"/>
          <w:highlight w:val="none"/>
        </w:rPr>
        <w:t>投标产品从采购人开始使用至招标文件中规定的周期内正常、连续地使用所必须的备件和专用工具清单，包括备件和专用工具的货源及现行价格。</w:t>
      </w:r>
    </w:p>
    <w:p>
      <w:pPr>
        <w:ind w:firstLine="411" w:firstLineChars="196"/>
        <w:rPr>
          <w:rFonts w:ascii="宋体" w:hAnsi="宋体"/>
          <w:szCs w:val="21"/>
          <w:highlight w:val="none"/>
        </w:rPr>
      </w:pPr>
      <w:r>
        <w:rPr>
          <w:rFonts w:hint="eastAsia" w:ascii="宋体" w:hAnsi="宋体"/>
          <w:szCs w:val="21"/>
          <w:highlight w:val="none"/>
        </w:rPr>
        <w:t>18.2.</w:t>
      </w:r>
      <w:r>
        <w:rPr>
          <w:rFonts w:ascii="宋体" w:hAnsi="宋体"/>
          <w:szCs w:val="21"/>
          <w:highlight w:val="none"/>
        </w:rPr>
        <w:t>3</w:t>
      </w:r>
      <w:r>
        <w:rPr>
          <w:rFonts w:hint="eastAsia" w:ascii="宋体" w:hAnsi="宋体"/>
          <w:szCs w:val="21"/>
          <w:highlight w:val="none"/>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11" w:firstLineChars="196"/>
        <w:rPr>
          <w:rFonts w:ascii="宋体" w:hAnsi="宋体"/>
          <w:szCs w:val="21"/>
          <w:highlight w:val="none"/>
        </w:rPr>
      </w:pPr>
      <w:r>
        <w:rPr>
          <w:rFonts w:hint="eastAsia" w:ascii="宋体" w:hAnsi="宋体"/>
          <w:szCs w:val="21"/>
          <w:highlight w:val="none"/>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highlight w:val="none"/>
        </w:rPr>
        <w:t>清晰度要求能够使用电脑阅读、识别和判断</w:t>
      </w:r>
      <w:r>
        <w:rPr>
          <w:rFonts w:hint="eastAsia" w:ascii="宋体" w:hAnsi="宋体"/>
          <w:szCs w:val="21"/>
          <w:highlight w:val="none"/>
        </w:rPr>
        <w:t>；</w:t>
      </w:r>
    </w:p>
    <w:p>
      <w:pPr>
        <w:ind w:firstLine="411" w:firstLineChars="196"/>
        <w:rPr>
          <w:rFonts w:ascii="宋体" w:hAnsi="宋体"/>
          <w:szCs w:val="21"/>
          <w:highlight w:val="none"/>
        </w:rPr>
      </w:pPr>
      <w:r>
        <w:rPr>
          <w:rFonts w:hint="eastAsia" w:ascii="宋体" w:hAnsi="宋体"/>
          <w:szCs w:val="21"/>
          <w:highlight w:val="none"/>
        </w:rPr>
        <w:t>18.2.5我国政府机构出具的产品检验和核准证件应为证件正面、背面和附件标注的全部具体内容；产品检验和核准证件的尺寸和清晰度应该能够在电脑上被阅读、识别和判断，提供原件扫描件。</w:t>
      </w:r>
    </w:p>
    <w:p>
      <w:pPr>
        <w:ind w:firstLine="411" w:firstLineChars="196"/>
        <w:rPr>
          <w:rFonts w:ascii="宋体" w:hAnsi="宋体"/>
          <w:szCs w:val="21"/>
          <w:highlight w:val="none"/>
        </w:rPr>
      </w:pPr>
      <w:r>
        <w:rPr>
          <w:rFonts w:hint="eastAsia" w:ascii="宋体" w:hAnsi="宋体"/>
          <w:szCs w:val="21"/>
          <w:highlight w:val="none"/>
        </w:rPr>
        <w:t>18.3相关资料不符合18.2款要求的，评审委员会有权认定为投标技术方案不合格响应，其相关分数予以扣减或作投标无效处理。</w:t>
      </w:r>
    </w:p>
    <w:p>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highlight w:val="none"/>
        </w:rPr>
        <w:t>满足要求</w:t>
      </w:r>
      <w:r>
        <w:rPr>
          <w:rFonts w:hint="eastAsia" w:ascii="宋体" w:hAnsi="宋体"/>
          <w:szCs w:val="21"/>
          <w:highlight w:val="none"/>
        </w:rPr>
        <w:t>，由评审委员会来评判。</w:t>
      </w:r>
    </w:p>
    <w:p>
      <w:pPr>
        <w:ind w:firstLine="411" w:firstLineChars="196"/>
        <w:rPr>
          <w:rFonts w:ascii="宋体" w:hAnsi="宋体"/>
          <w:szCs w:val="21"/>
          <w:highlight w:val="none"/>
        </w:rPr>
      </w:pPr>
      <w:r>
        <w:rPr>
          <w:rFonts w:hint="eastAsia" w:ascii="宋体" w:hAnsi="宋体"/>
          <w:szCs w:val="21"/>
          <w:highlight w:val="none"/>
        </w:rPr>
        <w:t>18.5除非另有规定或说明，投标人对同一项目投标时，不得同时提供两套或两套以上的投标方案。</w:t>
      </w:r>
    </w:p>
    <w:bookmarkEnd w:id="42"/>
    <w:p>
      <w:pPr>
        <w:rPr>
          <w:rFonts w:ascii="黑体" w:hAnsi="宋体" w:eastAsia="黑体"/>
          <w:sz w:val="24"/>
          <w:highlight w:val="none"/>
        </w:rPr>
      </w:pPr>
      <w:r>
        <w:rPr>
          <w:rFonts w:hint="eastAsia" w:ascii="黑体" w:hAnsi="宋体" w:eastAsia="黑体"/>
          <w:sz w:val="24"/>
          <w:highlight w:val="none"/>
        </w:rPr>
        <w:t>19．</w:t>
      </w:r>
      <w:bookmarkStart w:id="43" w:name="_Hlk72402034"/>
      <w:r>
        <w:rPr>
          <w:rFonts w:hint="eastAsia" w:ascii="黑体" w:hAnsi="宋体" w:eastAsia="黑体"/>
          <w:sz w:val="24"/>
          <w:highlight w:val="none"/>
        </w:rPr>
        <w:t>投标文件其他证明文件的要求</w:t>
      </w:r>
    </w:p>
    <w:p>
      <w:pPr>
        <w:rPr>
          <w:rFonts w:ascii="宋体" w:hAnsi="宋体"/>
          <w:color w:val="FF0000"/>
          <w:szCs w:val="21"/>
          <w:highlight w:val="none"/>
        </w:rPr>
      </w:pPr>
      <w:r>
        <w:rPr>
          <w:rFonts w:hint="eastAsia" w:ascii="黑体" w:hAnsi="宋体" w:eastAsia="黑体"/>
          <w:sz w:val="24"/>
          <w:highlight w:val="none"/>
        </w:rPr>
        <w:t xml:space="preserve">    </w:t>
      </w:r>
      <w:r>
        <w:rPr>
          <w:rFonts w:hint="eastAsia" w:ascii="宋体" w:hAnsi="宋体"/>
          <w:szCs w:val="21"/>
          <w:highlight w:val="none"/>
        </w:rPr>
        <w:t>19.1</w:t>
      </w:r>
      <w:bookmarkStart w:id="44" w:name="_Hlk71407299"/>
      <w:r>
        <w:rPr>
          <w:rFonts w:hint="eastAsia" w:ascii="宋体" w:hAnsi="宋体"/>
          <w:szCs w:val="21"/>
          <w:highlight w:val="none"/>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44"/>
    <w:p>
      <w:pPr>
        <w:ind w:firstLine="411" w:firstLineChars="196"/>
        <w:rPr>
          <w:rFonts w:ascii="宋体" w:hAnsi="宋体"/>
          <w:szCs w:val="21"/>
          <w:highlight w:val="none"/>
        </w:rPr>
      </w:pPr>
      <w:r>
        <w:rPr>
          <w:rFonts w:hint="eastAsia" w:ascii="宋体" w:hAnsi="宋体"/>
          <w:szCs w:val="21"/>
          <w:highlight w:val="none"/>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ascii="黑体" w:hAnsi="宋体" w:eastAsia="黑体"/>
          <w:sz w:val="24"/>
          <w:highlight w:val="none"/>
        </w:rPr>
      </w:pPr>
      <w:r>
        <w:rPr>
          <w:rFonts w:hint="eastAsia" w:ascii="黑体" w:hAnsi="宋体" w:eastAsia="黑体"/>
          <w:sz w:val="24"/>
          <w:highlight w:val="none"/>
        </w:rPr>
        <w:t>20．投标有效期</w:t>
      </w:r>
    </w:p>
    <w:bookmarkEnd w:id="43"/>
    <w:p>
      <w:pPr>
        <w:ind w:firstLine="411" w:firstLineChars="196"/>
        <w:rPr>
          <w:rFonts w:ascii="宋体" w:hAnsi="宋体"/>
          <w:szCs w:val="21"/>
          <w:highlight w:val="none"/>
        </w:rPr>
      </w:pPr>
      <w:bookmarkStart w:id="45" w:name="_Hlk72402214"/>
      <w:r>
        <w:rPr>
          <w:rFonts w:hint="eastAsia" w:ascii="宋体" w:hAnsi="宋体"/>
          <w:szCs w:val="21"/>
          <w:highlight w:val="none"/>
        </w:rPr>
        <w:t>20.1 投标有效期为</w:t>
      </w:r>
      <w:r>
        <w:rPr>
          <w:rFonts w:hint="eastAsia" w:ascii="Arial" w:hAnsi="Arial" w:cs="Arial"/>
          <w:szCs w:val="21"/>
          <w:highlight w:val="none"/>
        </w:rPr>
        <w:t>从投标截止之日算起的日历天数。</w:t>
      </w:r>
      <w:r>
        <w:rPr>
          <w:rFonts w:hint="eastAsia" w:ascii="宋体" w:hAnsi="宋体"/>
          <w:szCs w:val="21"/>
          <w:highlight w:val="none"/>
        </w:rPr>
        <w:t>在此期限内，所有投标文件均保持有效。</w:t>
      </w:r>
    </w:p>
    <w:p>
      <w:pPr>
        <w:ind w:firstLine="411" w:firstLineChars="196"/>
        <w:rPr>
          <w:rFonts w:ascii="宋体" w:hAnsi="宋体"/>
          <w:szCs w:val="21"/>
          <w:highlight w:val="none"/>
        </w:rPr>
      </w:pPr>
      <w:r>
        <w:rPr>
          <w:rFonts w:hint="eastAsia" w:ascii="宋体" w:hAnsi="宋体"/>
          <w:szCs w:val="21"/>
          <w:highlight w:val="none"/>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11" w:firstLineChars="196"/>
        <w:rPr>
          <w:rFonts w:ascii="宋体" w:hAnsi="宋体"/>
          <w:szCs w:val="21"/>
          <w:highlight w:val="none"/>
        </w:rPr>
      </w:pPr>
      <w:r>
        <w:rPr>
          <w:rFonts w:hint="eastAsia" w:ascii="宋体" w:hAnsi="宋体"/>
          <w:szCs w:val="21"/>
          <w:highlight w:val="none"/>
        </w:rPr>
        <w:t>20</w:t>
      </w:r>
      <w:r>
        <w:rPr>
          <w:rFonts w:ascii="宋体" w:hAnsi="宋体"/>
          <w:szCs w:val="21"/>
          <w:highlight w:val="none"/>
        </w:rPr>
        <w:t>.3</w:t>
      </w:r>
      <w:r>
        <w:rPr>
          <w:rFonts w:hint="eastAsia" w:ascii="宋体" w:hAnsi="宋体"/>
          <w:szCs w:val="21"/>
          <w:highlight w:val="none"/>
        </w:rPr>
        <w:t xml:space="preserve"> 中标供应商的投标文件有效期，截止于完成本招标文件规定的全部项目内容，并通过竣工验收及保修期结束。</w:t>
      </w:r>
    </w:p>
    <w:bookmarkEnd w:id="45"/>
    <w:p>
      <w:pPr>
        <w:rPr>
          <w:rFonts w:ascii="黑体" w:hAnsi="宋体" w:eastAsia="黑体"/>
          <w:sz w:val="24"/>
          <w:highlight w:val="none"/>
        </w:rPr>
      </w:pPr>
      <w:r>
        <w:rPr>
          <w:rFonts w:hint="eastAsia" w:ascii="黑体" w:hAnsi="宋体" w:eastAsia="黑体"/>
          <w:sz w:val="24"/>
          <w:highlight w:val="none"/>
        </w:rPr>
        <w:t>21．</w:t>
      </w:r>
      <w:bookmarkStart w:id="46" w:name="_Hlk72402325"/>
      <w:r>
        <w:rPr>
          <w:rFonts w:hint="eastAsia" w:ascii="黑体" w:hAnsi="宋体" w:eastAsia="黑体"/>
          <w:sz w:val="24"/>
          <w:highlight w:val="none"/>
        </w:rPr>
        <w:t xml:space="preserve">关于投标保证金 </w:t>
      </w:r>
    </w:p>
    <w:p>
      <w:pPr>
        <w:rPr>
          <w:rFonts w:ascii="宋体" w:hAnsi="宋体"/>
          <w:szCs w:val="21"/>
          <w:highlight w:val="none"/>
        </w:rPr>
      </w:pPr>
      <w:r>
        <w:rPr>
          <w:rFonts w:hint="eastAsia" w:ascii="宋体" w:hAnsi="宋体"/>
          <w:szCs w:val="21"/>
          <w:highlight w:val="none"/>
        </w:rPr>
        <w:t xml:space="preserve">    21.1</w:t>
      </w:r>
      <w:r>
        <w:rPr>
          <w:rFonts w:hint="eastAsia"/>
          <w:highlight w:val="none"/>
        </w:rPr>
        <w:t>根据《深圳市财政局关于调整政府采购投标（响应）保证金管理政策的通知》（深财购〔2021〕51号）文的规定，本项目不收取投标保证金。</w:t>
      </w:r>
    </w:p>
    <w:p>
      <w:pPr>
        <w:rPr>
          <w:rFonts w:ascii="黑体" w:hAnsi="宋体" w:eastAsia="黑体"/>
          <w:sz w:val="24"/>
          <w:highlight w:val="none"/>
        </w:rPr>
      </w:pPr>
      <w:r>
        <w:rPr>
          <w:rFonts w:hint="eastAsia" w:ascii="黑体" w:hAnsi="宋体" w:eastAsia="黑体"/>
          <w:sz w:val="24"/>
          <w:highlight w:val="none"/>
        </w:rPr>
        <w:t>22．投标人的替代方案</w:t>
      </w:r>
    </w:p>
    <w:p>
      <w:pPr>
        <w:ind w:firstLine="411" w:firstLineChars="196"/>
        <w:rPr>
          <w:rFonts w:ascii="宋体" w:hAnsi="宋体"/>
          <w:szCs w:val="21"/>
          <w:highlight w:val="none"/>
        </w:rPr>
      </w:pPr>
      <w:r>
        <w:rPr>
          <w:rFonts w:hint="eastAsia" w:ascii="宋体" w:hAnsi="宋体"/>
          <w:szCs w:val="21"/>
          <w:highlight w:val="none"/>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11" w:firstLineChars="196"/>
        <w:rPr>
          <w:rFonts w:ascii="宋体" w:hAnsi="宋体"/>
          <w:szCs w:val="21"/>
          <w:highlight w:val="none"/>
        </w:rPr>
      </w:pPr>
      <w:r>
        <w:rPr>
          <w:rFonts w:hint="eastAsia" w:ascii="宋体" w:hAnsi="宋体"/>
          <w:szCs w:val="21"/>
          <w:highlight w:val="none"/>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46"/>
    <w:p>
      <w:pPr>
        <w:rPr>
          <w:rFonts w:ascii="黑体" w:hAnsi="宋体" w:eastAsia="黑体"/>
          <w:sz w:val="24"/>
          <w:highlight w:val="none"/>
        </w:rPr>
      </w:pPr>
      <w:r>
        <w:rPr>
          <w:rFonts w:hint="eastAsia" w:ascii="黑体" w:hAnsi="宋体" w:eastAsia="黑体"/>
          <w:sz w:val="24"/>
          <w:highlight w:val="none"/>
        </w:rPr>
        <w:t>23．</w:t>
      </w:r>
      <w:bookmarkStart w:id="47" w:name="_Hlk72402860"/>
      <w:r>
        <w:rPr>
          <w:rFonts w:ascii="黑体" w:hAnsi="宋体" w:eastAsia="黑体"/>
          <w:sz w:val="24"/>
          <w:highlight w:val="none"/>
        </w:rPr>
        <w:t>投标文件的</w:t>
      </w:r>
      <w:r>
        <w:rPr>
          <w:rFonts w:hint="eastAsia" w:ascii="黑体" w:hAnsi="宋体" w:eastAsia="黑体"/>
          <w:sz w:val="24"/>
          <w:highlight w:val="none"/>
        </w:rPr>
        <w:t>制作</w:t>
      </w:r>
      <w:r>
        <w:rPr>
          <w:rFonts w:ascii="黑体" w:hAnsi="宋体" w:eastAsia="黑体"/>
          <w:sz w:val="24"/>
          <w:highlight w:val="none"/>
        </w:rPr>
        <w:t>要求</w:t>
      </w:r>
    </w:p>
    <w:p>
      <w:pPr>
        <w:ind w:firstLine="411" w:firstLineChars="196"/>
        <w:rPr>
          <w:rFonts w:ascii="宋体" w:hAnsi="宋体"/>
          <w:highlight w:val="none"/>
        </w:rPr>
      </w:pPr>
      <w:r>
        <w:rPr>
          <w:rFonts w:hint="eastAsia" w:ascii="宋体" w:hAnsi="宋体"/>
          <w:highlight w:val="none"/>
        </w:rPr>
        <w:t>23.1投标人应准备所投项目的电子投标文件一份。</w:t>
      </w:r>
    </w:p>
    <w:p>
      <w:pPr>
        <w:ind w:firstLine="411" w:firstLineChars="196"/>
        <w:rPr>
          <w:rFonts w:ascii="宋体" w:hAnsi="宋体"/>
          <w:highlight w:val="none"/>
        </w:rPr>
      </w:pPr>
      <w:r>
        <w:rPr>
          <w:rFonts w:hint="eastAsia" w:ascii="宋体" w:hAnsi="宋体"/>
          <w:highlight w:val="none"/>
        </w:rPr>
        <w:t>23.2投标人在使用《投标书编制软件》编制投标书时须注意：</w:t>
      </w:r>
    </w:p>
    <w:p>
      <w:pPr>
        <w:ind w:firstLine="411" w:firstLineChars="196"/>
        <w:rPr>
          <w:rFonts w:ascii="宋体" w:hAnsi="宋体"/>
          <w:highlight w:val="none"/>
        </w:rPr>
      </w:pPr>
      <w:r>
        <w:rPr>
          <w:rFonts w:hint="eastAsia" w:ascii="宋体" w:hAnsi="宋体"/>
          <w:highlight w:val="none"/>
        </w:rPr>
        <w:t>23.2.1导入《投标书编制软件》的招标文件项目编号、包号应与以此制作的投标文件项目编号、包号一致。例如，不能将甲项目A包的招标书导入《投标书编制软件》，制作乙项目B包的投标书。</w:t>
      </w:r>
    </w:p>
    <w:p>
      <w:pPr>
        <w:ind w:firstLine="411" w:firstLineChars="196"/>
        <w:rPr>
          <w:rFonts w:ascii="宋体" w:hAnsi="宋体"/>
          <w:highlight w:val="none"/>
        </w:rPr>
      </w:pPr>
      <w:r>
        <w:rPr>
          <w:rFonts w:hint="eastAsia" w:ascii="宋体" w:hAnsi="宋体"/>
          <w:highlight w:val="none"/>
        </w:rPr>
        <w:t>23.2.2不能用非本公司的电子密钥加密本公司的投标文件，或者用其它公司的登录用户上传本公司的投标文件。</w:t>
      </w:r>
    </w:p>
    <w:p>
      <w:pPr>
        <w:ind w:firstLine="411" w:firstLineChars="196"/>
        <w:rPr>
          <w:rFonts w:ascii="宋体" w:hAnsi="宋体"/>
          <w:highlight w:val="none"/>
        </w:rPr>
      </w:pPr>
      <w:r>
        <w:rPr>
          <w:rFonts w:hint="eastAsia" w:ascii="宋体" w:hAnsi="宋体"/>
          <w:highlight w:val="none"/>
        </w:rPr>
        <w:t>23.2.3要求用《投标书编制软件》编制投标书的包，不能用其它方式编制投标书。编制投标文件时，电脑须连通互联网。</w:t>
      </w:r>
    </w:p>
    <w:p>
      <w:pPr>
        <w:ind w:firstLine="411" w:firstLineChars="196"/>
        <w:rPr>
          <w:rFonts w:ascii="宋体" w:hAnsi="宋体"/>
          <w:highlight w:val="none"/>
        </w:rPr>
      </w:pPr>
      <w:r>
        <w:rPr>
          <w:rFonts w:hint="eastAsia" w:ascii="宋体" w:hAnsi="宋体"/>
          <w:highlight w:val="none"/>
        </w:rPr>
        <w:t>23.2.4投标文件不能带病毒。政府集中采购机构将用专业杀毒软件对投标文件进行病毒检测，如果这两种软件均报告发现病毒，则政府集中采购机构认为该投标文件带病毒。</w:t>
      </w:r>
    </w:p>
    <w:p>
      <w:pPr>
        <w:ind w:firstLine="411" w:firstLineChars="196"/>
        <w:rPr>
          <w:rFonts w:ascii="宋体" w:hAnsi="宋体"/>
          <w:highlight w:val="none"/>
        </w:rPr>
      </w:pPr>
      <w:r>
        <w:rPr>
          <w:rFonts w:hint="eastAsia" w:ascii="宋体" w:hAnsi="宋体"/>
          <w:highlight w:val="none"/>
        </w:rPr>
        <w:t>23.2.6投标人在编辑投标文件时，</w:t>
      </w:r>
      <w:r>
        <w:rPr>
          <w:rFonts w:hint="eastAsia" w:ascii="宋体" w:hAnsi="宋体"/>
          <w:b/>
          <w:highlight w:val="none"/>
        </w:rPr>
        <w:t>在投标文件目录中属于本节点内容的必须在本节点中填写，填写到其他节点或附件，</w:t>
      </w:r>
      <w:r>
        <w:rPr>
          <w:rFonts w:hint="eastAsia" w:ascii="宋体" w:hAnsi="宋体"/>
          <w:highlight w:val="none"/>
        </w:rPr>
        <w:t>一切后果由供应商自行承担。</w:t>
      </w:r>
    </w:p>
    <w:p>
      <w:pPr>
        <w:ind w:firstLine="411" w:firstLineChars="196"/>
        <w:rPr>
          <w:rFonts w:ascii="宋体" w:hAnsi="宋体"/>
          <w:highlight w:val="none"/>
        </w:rPr>
      </w:pPr>
      <w:r>
        <w:rPr>
          <w:rFonts w:hint="eastAsia" w:ascii="宋体" w:hAnsi="宋体"/>
          <w:highlight w:val="none"/>
        </w:rPr>
        <w:t>23.2.7投标文件编写完成后，</w:t>
      </w:r>
      <w:r>
        <w:rPr>
          <w:rFonts w:hint="eastAsia" w:ascii="宋体" w:hAnsi="宋体"/>
          <w:b/>
          <w:highlight w:val="none"/>
        </w:rPr>
        <w:t>必须用属于投标人的电子密钥</w:t>
      </w:r>
      <w:r>
        <w:rPr>
          <w:rFonts w:hint="eastAsia" w:ascii="宋体" w:hAnsi="宋体"/>
          <w:b/>
          <w:highlight w:val="none"/>
          <w:lang w:val="en-US" w:eastAsia="zh-CN"/>
        </w:rPr>
        <w:t>或电子营业执照</w:t>
      </w:r>
      <w:r>
        <w:rPr>
          <w:rFonts w:hint="eastAsia" w:ascii="宋体" w:hAnsi="宋体"/>
          <w:b/>
          <w:highlight w:val="none"/>
        </w:rPr>
        <w:t>进行加密，否则视同未盖公章，将导致投标文件无效。</w:t>
      </w:r>
    </w:p>
    <w:p>
      <w:pPr>
        <w:ind w:firstLine="411" w:firstLineChars="196"/>
        <w:rPr>
          <w:rFonts w:ascii="宋体" w:hAnsi="宋体"/>
          <w:highlight w:val="none"/>
        </w:rPr>
      </w:pPr>
      <w:r>
        <w:rPr>
          <w:rFonts w:hint="eastAsia" w:ascii="宋体" w:hAnsi="宋体"/>
          <w:highlight w:val="none"/>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11" w:firstLineChars="196"/>
        <w:rPr>
          <w:rFonts w:ascii="宋体" w:hAnsi="宋体"/>
          <w:highlight w:val="none"/>
        </w:rPr>
      </w:pPr>
      <w:r>
        <w:rPr>
          <w:rFonts w:hint="eastAsia" w:ascii="宋体" w:hAnsi="宋体"/>
          <w:highlight w:val="none"/>
        </w:rPr>
        <w:t>23.2.9如果开标时出现网络故障、技术故障，影响了政府采购活动，政府集中采购机构有权采取措施如延期、接受无法从网上上传的投标书等，以保障政府采购活动的公开、公平和公正。</w:t>
      </w:r>
    </w:p>
    <w:p>
      <w:pPr>
        <w:ind w:firstLine="411" w:firstLineChars="196"/>
        <w:rPr>
          <w:rFonts w:ascii="宋体" w:hAnsi="宋体"/>
          <w:highlight w:val="none"/>
        </w:rPr>
      </w:pPr>
      <w:r>
        <w:rPr>
          <w:rFonts w:hint="eastAsia" w:ascii="宋体" w:hAnsi="宋体"/>
          <w:highlight w:val="none"/>
        </w:rPr>
        <w:t>23.3电报、电话、传真形式的投标概不接受。</w:t>
      </w:r>
    </w:p>
    <w:p>
      <w:pPr>
        <w:ind w:firstLine="413" w:firstLineChars="196"/>
        <w:rPr>
          <w:rFonts w:ascii="宋体" w:hAnsi="宋体"/>
          <w:b/>
          <w:highlight w:val="none"/>
        </w:rPr>
      </w:pPr>
      <w:r>
        <w:rPr>
          <w:rFonts w:hint="eastAsia" w:ascii="宋体" w:hAnsi="宋体"/>
          <w:b/>
          <w:highlight w:val="none"/>
        </w:rPr>
        <w:t>23.4经投标人电子密钥</w:t>
      </w:r>
      <w:r>
        <w:rPr>
          <w:rFonts w:hint="eastAsia" w:ascii="宋体" w:hAnsi="宋体"/>
          <w:b/>
          <w:highlight w:val="none"/>
          <w:lang w:val="en-US" w:eastAsia="zh-CN"/>
        </w:rPr>
        <w:t>或电子营业执照</w:t>
      </w:r>
      <w:r>
        <w:rPr>
          <w:rFonts w:hint="eastAsia" w:ascii="宋体" w:hAnsi="宋体"/>
          <w:b/>
          <w:highlight w:val="none"/>
        </w:rPr>
        <w:t>加密的投标文件无须盖章或签字，</w:t>
      </w:r>
      <w:r>
        <w:rPr>
          <w:rFonts w:hint="eastAsia" w:ascii="宋体" w:hAnsi="宋体"/>
          <w:highlight w:val="none"/>
        </w:rPr>
        <w:t>专用条款另有要求的除外。</w:t>
      </w:r>
    </w:p>
    <w:p>
      <w:pPr>
        <w:ind w:firstLine="413" w:firstLineChars="196"/>
        <w:rPr>
          <w:rFonts w:ascii="宋体" w:hAnsi="宋体"/>
          <w:highlight w:val="none"/>
        </w:rPr>
      </w:pPr>
      <w:r>
        <w:rPr>
          <w:rFonts w:hint="eastAsia" w:ascii="宋体" w:hAnsi="宋体"/>
          <w:b/>
          <w:highlight w:val="none"/>
        </w:rPr>
        <w:t>23.5</w:t>
      </w:r>
      <w:r>
        <w:rPr>
          <w:rFonts w:hint="eastAsia" w:ascii="宋体" w:hAnsi="宋体"/>
          <w:highlight w:val="none"/>
        </w:rPr>
        <w:t xml:space="preserve"> 各类资格（资质）文件提供扫描件，专用条款另有要求的除外。</w:t>
      </w:r>
      <w:bookmarkEnd w:id="47"/>
    </w:p>
    <w:p>
      <w:pPr>
        <w:ind w:firstLine="411" w:firstLineChars="196"/>
        <w:rPr>
          <w:rFonts w:ascii="宋体" w:hAnsi="宋体"/>
          <w:szCs w:val="21"/>
          <w:highlight w:val="none"/>
        </w:rPr>
      </w:pPr>
    </w:p>
    <w:p>
      <w:pPr>
        <w:pStyle w:val="3"/>
        <w:numPr>
          <w:ilvl w:val="0"/>
          <w:numId w:val="12"/>
        </w:numPr>
        <w:spacing w:before="120" w:beforeLines="50" w:after="120" w:afterLines="50"/>
        <w:ind w:left="562" w:hanging="562"/>
        <w:rPr>
          <w:sz w:val="28"/>
          <w:szCs w:val="28"/>
          <w:highlight w:val="none"/>
        </w:rPr>
      </w:pPr>
      <w:r>
        <w:rPr>
          <w:rFonts w:hint="eastAsia"/>
          <w:sz w:val="28"/>
          <w:szCs w:val="28"/>
          <w:highlight w:val="none"/>
        </w:rPr>
        <w:t>投标文件的递交</w:t>
      </w:r>
    </w:p>
    <w:p>
      <w:pPr>
        <w:rPr>
          <w:rFonts w:ascii="黑体" w:hAnsi="宋体" w:eastAsia="黑体"/>
          <w:sz w:val="24"/>
          <w:highlight w:val="none"/>
        </w:rPr>
      </w:pPr>
      <w:bookmarkStart w:id="48" w:name="_Hlk72405459"/>
      <w:r>
        <w:rPr>
          <w:rFonts w:hint="eastAsia" w:ascii="黑体" w:hAnsi="宋体" w:eastAsia="黑体"/>
          <w:sz w:val="24"/>
          <w:highlight w:val="none"/>
        </w:rPr>
        <w:t>24．投标文件的保密</w:t>
      </w:r>
    </w:p>
    <w:p>
      <w:pPr>
        <w:ind w:firstLine="411" w:firstLineChars="196"/>
        <w:rPr>
          <w:rFonts w:hint="eastAsia" w:ascii="宋体" w:hAnsi="宋体" w:eastAsiaTheme="minorEastAsia"/>
          <w:highlight w:val="none"/>
          <w:lang w:eastAsia="zh-CN"/>
        </w:rPr>
      </w:pPr>
      <w:r>
        <w:rPr>
          <w:rFonts w:hint="eastAsia" w:ascii="宋体" w:hAnsi="宋体"/>
          <w:highlight w:val="none"/>
        </w:rPr>
        <w:t>24.1在投标文件制作完成后，生成后会选择是否加密投标文件，如不加密则直接点击生成文件即可，如需加密请插入CA锁，点击加密后生成文件，需输入CA锁密码即可加密成功</w:t>
      </w:r>
      <w:r>
        <w:rPr>
          <w:rFonts w:hint="eastAsia" w:ascii="宋体" w:hAnsi="宋体"/>
          <w:highlight w:val="none"/>
          <w:lang w:eastAsia="zh-CN"/>
        </w:rPr>
        <w:t>。加密后会提示文件生成成功！(注意：加密的投标文件开标时须使用加密文件时使用的锁在项目规定时间内解密！)</w:t>
      </w:r>
    </w:p>
    <w:p>
      <w:pPr>
        <w:rPr>
          <w:rFonts w:ascii="宋体" w:hAnsi="宋体"/>
          <w:b/>
          <w:highlight w:val="none"/>
        </w:rPr>
      </w:pPr>
      <w:r>
        <w:rPr>
          <w:rFonts w:hint="eastAsia" w:ascii="宋体" w:hAnsi="宋体"/>
          <w:b/>
          <w:highlight w:val="none"/>
        </w:rPr>
        <w:t>24.2若采购项目出现延期情况：</w:t>
      </w:r>
    </w:p>
    <w:p>
      <w:pPr>
        <w:ind w:firstLine="422" w:firstLineChars="200"/>
        <w:rPr>
          <w:rFonts w:ascii="黑体" w:hAnsi="宋体" w:eastAsia="黑体"/>
          <w:b/>
          <w:sz w:val="24"/>
          <w:highlight w:val="none"/>
        </w:rPr>
      </w:pPr>
      <w:r>
        <w:rPr>
          <w:rFonts w:hint="eastAsia" w:ascii="宋体" w:hAnsi="宋体"/>
          <w:b/>
          <w:highlight w:val="none"/>
        </w:rPr>
        <w:t>如果供下载的招标文件有更新，投标人必须重新下载招标文件、重新制作投标文件、重新加密投标文件、重新上传投标文件。</w:t>
      </w:r>
    </w:p>
    <w:p>
      <w:pPr>
        <w:rPr>
          <w:rFonts w:ascii="黑体" w:hAnsi="宋体" w:eastAsia="黑体"/>
          <w:sz w:val="24"/>
          <w:highlight w:val="none"/>
        </w:rPr>
      </w:pPr>
      <w:r>
        <w:rPr>
          <w:rFonts w:hint="eastAsia" w:ascii="黑体" w:hAnsi="宋体" w:eastAsia="黑体"/>
          <w:sz w:val="24"/>
          <w:highlight w:val="none"/>
        </w:rPr>
        <w:t>25．上传投标文件及投标截止日期</w:t>
      </w:r>
    </w:p>
    <w:p>
      <w:pPr>
        <w:ind w:firstLine="411" w:firstLineChars="196"/>
        <w:rPr>
          <w:rFonts w:ascii="宋体" w:hAnsi="宋体"/>
          <w:highlight w:val="none"/>
        </w:rPr>
      </w:pPr>
      <w:r>
        <w:rPr>
          <w:rFonts w:hint="eastAsia" w:ascii="宋体" w:hAnsi="宋体"/>
          <w:highlight w:val="none"/>
        </w:rPr>
        <w:t>25</w:t>
      </w:r>
      <w:r>
        <w:rPr>
          <w:rFonts w:ascii="宋体" w:hAnsi="宋体"/>
          <w:highlight w:val="none"/>
        </w:rPr>
        <w:t>.</w:t>
      </w:r>
      <w:r>
        <w:rPr>
          <w:rFonts w:hint="eastAsia" w:ascii="宋体" w:hAnsi="宋体"/>
          <w:highlight w:val="none"/>
        </w:rPr>
        <w:t>1实行网上投标，</w:t>
      </w:r>
      <w:r>
        <w:rPr>
          <w:rFonts w:ascii="宋体" w:hAnsi="宋体"/>
          <w:highlight w:val="none"/>
        </w:rPr>
        <w:t>投标人必须</w:t>
      </w:r>
      <w:r>
        <w:rPr>
          <w:rFonts w:hint="eastAsia" w:ascii="宋体" w:hAnsi="宋体"/>
          <w:highlight w:val="none"/>
        </w:rPr>
        <w:t>在招标</w:t>
      </w:r>
      <w:r>
        <w:rPr>
          <w:rFonts w:ascii="宋体" w:hAnsi="宋体"/>
          <w:highlight w:val="none"/>
        </w:rPr>
        <w:t>文件规定的投标截止时间前</w:t>
      </w:r>
      <w:r>
        <w:rPr>
          <w:rFonts w:hint="eastAsia" w:ascii="宋体" w:hAnsi="宋体"/>
          <w:highlight w:val="none"/>
        </w:rPr>
        <w:t>用电子密钥登录“深圳市自行采购系统（https://trade.szggzy.com/ggzy/center/#/login）”上传投标文件。如上传过程中遇到问题，可拨打</w:t>
      </w:r>
      <w:r>
        <w:rPr>
          <w:rFonts w:hint="eastAsia" w:ascii="宋体" w:hAnsi="宋体"/>
          <w:highlight w:val="none"/>
          <w:lang w:val="en-US" w:eastAsia="zh-CN"/>
        </w:rPr>
        <w:t>采购公告中的技术支持电话</w:t>
      </w:r>
      <w:r>
        <w:rPr>
          <w:rFonts w:hint="eastAsia" w:ascii="宋体" w:hAnsi="宋体"/>
          <w:highlight w:val="none"/>
        </w:rPr>
        <w:t>。如多次上传均告失败，请在投标截止时间之前携带加密后的电子投标文件送达至</w:t>
      </w:r>
      <w:r>
        <w:rPr>
          <w:rFonts w:hint="eastAsia" w:ascii="宋体" w:hAnsi="宋体"/>
          <w:b/>
          <w:bCs/>
          <w:szCs w:val="21"/>
          <w:highlight w:val="none"/>
        </w:rPr>
        <w:t>深圳公共资源交易中心（深圳交易集团有限公司</w:t>
      </w:r>
      <w:r>
        <w:rPr>
          <w:rFonts w:hint="eastAsia" w:ascii="宋体" w:hAnsi="宋体"/>
          <w:b/>
          <w:bCs/>
          <w:szCs w:val="21"/>
          <w:highlight w:val="none"/>
          <w:lang w:val="en-US" w:eastAsia="zh-CN"/>
        </w:rPr>
        <w:t>宝安</w:t>
      </w:r>
      <w:r>
        <w:rPr>
          <w:rFonts w:hint="eastAsia" w:ascii="宋体" w:hAnsi="宋体"/>
          <w:b/>
          <w:bCs/>
          <w:szCs w:val="21"/>
          <w:highlight w:val="none"/>
        </w:rPr>
        <w:t>分公司）</w:t>
      </w:r>
      <w:r>
        <w:rPr>
          <w:rFonts w:hint="eastAsia" w:ascii="宋体" w:hAnsi="宋体"/>
          <w:b/>
          <w:bCs/>
          <w:highlight w:val="none"/>
          <w:lang w:val="en-US" w:eastAsia="zh-CN"/>
        </w:rPr>
        <w:t>一</w:t>
      </w:r>
      <w:r>
        <w:rPr>
          <w:rFonts w:hint="eastAsia" w:ascii="宋体" w:hAnsi="宋体"/>
          <w:b/>
          <w:bCs/>
          <w:highlight w:val="none"/>
        </w:rPr>
        <w:t>楼</w:t>
      </w:r>
      <w:r>
        <w:rPr>
          <w:rFonts w:hint="eastAsia" w:ascii="宋体" w:hAnsi="宋体"/>
          <w:b/>
          <w:bCs/>
          <w:highlight w:val="none"/>
          <w:lang w:val="en-US" w:eastAsia="zh-CN"/>
        </w:rPr>
        <w:t>服务大厅</w:t>
      </w:r>
      <w:r>
        <w:rPr>
          <w:rFonts w:hint="eastAsia" w:ascii="宋体" w:hAnsi="宋体"/>
          <w:b/>
          <w:bCs/>
          <w:highlight w:val="none"/>
        </w:rPr>
        <w:t>（地址：</w:t>
      </w:r>
      <w:r>
        <w:rPr>
          <w:rFonts w:hint="eastAsia" w:ascii="宋体" w:hAnsi="宋体"/>
          <w:b/>
          <w:bCs/>
          <w:highlight w:val="none"/>
          <w:lang w:val="en-US" w:eastAsia="zh-CN"/>
        </w:rPr>
        <w:t>深圳市宝安区湖滨东路40号</w:t>
      </w:r>
      <w:r>
        <w:rPr>
          <w:rFonts w:hint="eastAsia" w:ascii="宋体" w:hAnsi="宋体"/>
          <w:b/>
          <w:bCs/>
          <w:highlight w:val="none"/>
        </w:rPr>
        <w:t>）</w:t>
      </w:r>
      <w:r>
        <w:rPr>
          <w:rFonts w:ascii="宋体" w:hAnsi="宋体"/>
          <w:b/>
          <w:bCs/>
          <w:highlight w:val="none"/>
        </w:rPr>
        <w:t>协助上传</w:t>
      </w:r>
      <w:r>
        <w:rPr>
          <w:rFonts w:hint="eastAsia" w:ascii="宋体" w:hAnsi="宋体"/>
          <w:b/>
          <w:bCs/>
          <w:highlight w:val="none"/>
        </w:rPr>
        <w:t>，</w:t>
      </w:r>
      <w:r>
        <w:rPr>
          <w:rFonts w:ascii="宋体" w:hAnsi="宋体"/>
          <w:b/>
          <w:bCs/>
          <w:highlight w:val="none"/>
        </w:rPr>
        <w:t>但上传过程</w:t>
      </w:r>
      <w:r>
        <w:rPr>
          <w:rFonts w:hint="eastAsia" w:ascii="宋体" w:hAnsi="宋体"/>
          <w:b/>
          <w:bCs/>
          <w:highlight w:val="none"/>
        </w:rPr>
        <w:t>中</w:t>
      </w:r>
      <w:r>
        <w:rPr>
          <w:rFonts w:ascii="宋体" w:hAnsi="宋体"/>
          <w:b/>
          <w:bCs/>
          <w:highlight w:val="none"/>
        </w:rPr>
        <w:t>投标截止时间到达仍无法上传成功的，由投标人自行负责</w:t>
      </w:r>
      <w:r>
        <w:rPr>
          <w:rFonts w:hint="eastAsia" w:ascii="宋体" w:hAnsi="宋体"/>
          <w:highlight w:val="none"/>
        </w:rPr>
        <w:t>。</w:t>
      </w:r>
    </w:p>
    <w:p>
      <w:pPr>
        <w:ind w:firstLine="411" w:firstLineChars="196"/>
        <w:rPr>
          <w:rFonts w:ascii="宋体" w:hAnsi="宋体"/>
          <w:highlight w:val="none"/>
        </w:rPr>
      </w:pPr>
      <w:r>
        <w:rPr>
          <w:rFonts w:hint="eastAsia" w:ascii="宋体" w:hAnsi="宋体"/>
          <w:highlight w:val="none"/>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11" w:firstLineChars="196"/>
        <w:rPr>
          <w:rFonts w:ascii="宋体" w:hAnsi="宋体"/>
          <w:highlight w:val="none"/>
        </w:rPr>
      </w:pPr>
      <w:r>
        <w:rPr>
          <w:rFonts w:hint="eastAsia" w:ascii="宋体" w:hAnsi="宋体"/>
          <w:highlight w:val="none"/>
        </w:rPr>
        <w:t>25</w:t>
      </w:r>
      <w:r>
        <w:rPr>
          <w:rFonts w:ascii="宋体" w:hAnsi="宋体"/>
          <w:highlight w:val="none"/>
        </w:rPr>
        <w:t>.</w:t>
      </w:r>
      <w:r>
        <w:rPr>
          <w:rFonts w:hint="eastAsia" w:ascii="宋体" w:hAnsi="宋体"/>
          <w:highlight w:val="none"/>
        </w:rPr>
        <w:t>3投标截止时间以后不得上传投标文件。</w:t>
      </w:r>
    </w:p>
    <w:p>
      <w:pPr>
        <w:ind w:firstLine="411" w:firstLineChars="196"/>
        <w:rPr>
          <w:rFonts w:ascii="宋体" w:hAnsi="宋体"/>
          <w:highlight w:val="none"/>
        </w:rPr>
      </w:pPr>
    </w:p>
    <w:p>
      <w:pPr>
        <w:ind w:firstLine="411" w:firstLineChars="196"/>
        <w:rPr>
          <w:rFonts w:ascii="宋体" w:hAnsi="宋体"/>
          <w:highlight w:val="none"/>
        </w:rPr>
      </w:pPr>
    </w:p>
    <w:bookmarkEnd w:id="48"/>
    <w:p>
      <w:pPr>
        <w:rPr>
          <w:rFonts w:ascii="黑体" w:hAnsi="宋体" w:eastAsia="黑体"/>
          <w:sz w:val="24"/>
          <w:highlight w:val="none"/>
        </w:rPr>
      </w:pPr>
      <w:r>
        <w:rPr>
          <w:rFonts w:hint="eastAsia" w:ascii="黑体" w:hAnsi="宋体" w:eastAsia="黑体"/>
          <w:sz w:val="24"/>
          <w:highlight w:val="none"/>
        </w:rPr>
        <w:t>26. 样品、现场演示、方案讲解</w:t>
      </w:r>
    </w:p>
    <w:p>
      <w:pPr>
        <w:ind w:firstLine="411" w:firstLineChars="196"/>
        <w:rPr>
          <w:rFonts w:ascii="宋体" w:hAnsi="宋体"/>
          <w:szCs w:val="21"/>
          <w:highlight w:val="none"/>
        </w:rPr>
      </w:pPr>
      <w:r>
        <w:rPr>
          <w:rFonts w:hint="eastAsia" w:ascii="宋体" w:hAnsi="宋体"/>
          <w:szCs w:val="21"/>
          <w:highlight w:val="none"/>
        </w:rPr>
        <w:t>26.1 样品、现场演示、方案讲解等事项在招标文件专用条款中进行规定。</w:t>
      </w:r>
    </w:p>
    <w:p>
      <w:pPr>
        <w:rPr>
          <w:rFonts w:ascii="黑体" w:hAnsi="宋体" w:eastAsia="黑体"/>
          <w:sz w:val="24"/>
          <w:highlight w:val="none"/>
        </w:rPr>
      </w:pPr>
      <w:bookmarkStart w:id="49" w:name="_Hlk72428346"/>
      <w:r>
        <w:rPr>
          <w:rFonts w:ascii="黑体" w:hAnsi="宋体" w:eastAsia="黑体"/>
          <w:sz w:val="24"/>
          <w:highlight w:val="none"/>
        </w:rPr>
        <w:t>2</w:t>
      </w:r>
      <w:r>
        <w:rPr>
          <w:rFonts w:hint="eastAsia" w:ascii="黑体" w:hAnsi="宋体" w:eastAsia="黑体"/>
          <w:sz w:val="24"/>
          <w:highlight w:val="none"/>
        </w:rPr>
        <w:t>7．</w:t>
      </w:r>
      <w:r>
        <w:rPr>
          <w:rFonts w:ascii="黑体" w:hAnsi="宋体" w:eastAsia="黑体"/>
          <w:sz w:val="24"/>
          <w:highlight w:val="none"/>
        </w:rPr>
        <w:t>投标文件的修改和撤销</w:t>
      </w:r>
    </w:p>
    <w:p>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1</w:t>
      </w:r>
      <w:r>
        <w:rPr>
          <w:rFonts w:ascii="宋体" w:hAnsi="宋体"/>
          <w:highlight w:val="none"/>
        </w:rPr>
        <w:t>投标方在提交投标文件后可对其投标文件进行修改</w:t>
      </w:r>
      <w:r>
        <w:rPr>
          <w:rFonts w:hint="eastAsia" w:ascii="宋体" w:hAnsi="宋体"/>
          <w:highlight w:val="none"/>
        </w:rPr>
        <w:t>并重新上传投标文件</w:t>
      </w:r>
      <w:r>
        <w:rPr>
          <w:rFonts w:ascii="宋体" w:hAnsi="宋体"/>
          <w:highlight w:val="none"/>
        </w:rPr>
        <w:t>或</w:t>
      </w:r>
      <w:r>
        <w:rPr>
          <w:rFonts w:hint="eastAsia" w:ascii="宋体" w:hAnsi="宋体"/>
          <w:highlight w:val="none"/>
        </w:rPr>
        <w:t>在网上进行</w:t>
      </w:r>
      <w:r>
        <w:rPr>
          <w:rFonts w:ascii="宋体" w:hAnsi="宋体"/>
          <w:highlight w:val="none"/>
        </w:rPr>
        <w:t>撤销</w:t>
      </w:r>
      <w:r>
        <w:rPr>
          <w:rFonts w:hint="eastAsia" w:ascii="宋体" w:hAnsi="宋体"/>
          <w:highlight w:val="none"/>
        </w:rPr>
        <w:t>投标的操作</w:t>
      </w:r>
      <w:r>
        <w:rPr>
          <w:rFonts w:ascii="宋体" w:hAnsi="宋体"/>
          <w:highlight w:val="none"/>
        </w:rPr>
        <w:t>。</w:t>
      </w:r>
    </w:p>
    <w:p>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2</w:t>
      </w:r>
      <w:r>
        <w:rPr>
          <w:rFonts w:ascii="宋体" w:hAnsi="宋体"/>
          <w:highlight w:val="none"/>
        </w:rPr>
        <w:t>投标截止时间以后不得修改投标文件。</w:t>
      </w:r>
    </w:p>
    <w:p>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3从投标截止期至投标人在投标文件中确定的投标有效期之间的这段时间内，投标人不得撤回其投标。</w:t>
      </w:r>
    </w:p>
    <w:p>
      <w:pPr>
        <w:ind w:firstLine="411" w:firstLineChars="196"/>
        <w:rPr>
          <w:rFonts w:ascii="宋体" w:hAnsi="宋体"/>
          <w:szCs w:val="21"/>
          <w:highlight w:val="none"/>
        </w:rPr>
      </w:pPr>
      <w:r>
        <w:rPr>
          <w:rFonts w:hint="eastAsia" w:ascii="宋体" w:hAnsi="宋体"/>
          <w:szCs w:val="21"/>
          <w:highlight w:val="none"/>
        </w:rPr>
        <w:t>27.4政府集中采购机构不退还投标文件，专用条款另有规定的除外。</w:t>
      </w:r>
    </w:p>
    <w:bookmarkEnd w:id="49"/>
    <w:p>
      <w:pPr>
        <w:pStyle w:val="3"/>
        <w:numPr>
          <w:ilvl w:val="0"/>
          <w:numId w:val="12"/>
        </w:numPr>
        <w:spacing w:before="120" w:beforeLines="50" w:after="120" w:afterLines="50"/>
        <w:ind w:left="562" w:hanging="562"/>
        <w:rPr>
          <w:sz w:val="28"/>
          <w:szCs w:val="28"/>
          <w:highlight w:val="none"/>
        </w:rPr>
      </w:pPr>
      <w:r>
        <w:rPr>
          <w:rFonts w:hint="eastAsia"/>
          <w:sz w:val="28"/>
          <w:szCs w:val="28"/>
          <w:highlight w:val="none"/>
        </w:rPr>
        <w:t>开标</w:t>
      </w:r>
    </w:p>
    <w:p>
      <w:pPr>
        <w:rPr>
          <w:rFonts w:ascii="黑体" w:hAnsi="宋体" w:eastAsia="黑体"/>
          <w:sz w:val="24"/>
          <w:highlight w:val="none"/>
        </w:rPr>
      </w:pPr>
      <w:r>
        <w:rPr>
          <w:rFonts w:hint="eastAsia" w:ascii="黑体" w:hAnsi="宋体" w:eastAsia="黑体"/>
          <w:sz w:val="24"/>
          <w:highlight w:val="none"/>
        </w:rPr>
        <w:t>28．开标</w:t>
      </w:r>
    </w:p>
    <w:p>
      <w:pPr>
        <w:ind w:firstLine="359" w:firstLineChars="171"/>
        <w:rPr>
          <w:rFonts w:ascii="宋体" w:hAnsi="宋体"/>
          <w:szCs w:val="21"/>
          <w:highlight w:val="none"/>
        </w:rPr>
      </w:pPr>
      <w:r>
        <w:rPr>
          <w:rFonts w:ascii="宋体" w:hAnsi="宋体"/>
          <w:szCs w:val="21"/>
          <w:highlight w:val="none"/>
        </w:rPr>
        <w:t>2</w:t>
      </w: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1投标人须在开标当日的开标时间至解密截止时间内进行解密，逾期未解密的作无效处理。解密方法：登录“</w:t>
      </w:r>
      <w:r>
        <w:rPr>
          <w:rFonts w:hint="eastAsia" w:ascii="宋体" w:hAnsi="宋体"/>
          <w:highlight w:val="none"/>
        </w:rPr>
        <w:t>深圳市自行采购系统（https://trade.szggzy.com/ggzy/center/#/login）</w:t>
      </w:r>
      <w:r>
        <w:rPr>
          <w:rFonts w:hint="eastAsia" w:ascii="宋体" w:hAnsi="宋体"/>
          <w:szCs w:val="21"/>
          <w:highlight w:val="none"/>
        </w:rPr>
        <w:t>”，使用本单位制作电子投标文件同一个电子密钥进行在线解密、查询开标情况。</w:t>
      </w:r>
    </w:p>
    <w:p>
      <w:pPr>
        <w:ind w:firstLine="315" w:firstLineChars="150"/>
        <w:rPr>
          <w:rFonts w:ascii="宋体" w:hAnsi="宋体"/>
          <w:szCs w:val="21"/>
          <w:highlight w:val="none"/>
        </w:rPr>
      </w:pPr>
      <w:r>
        <w:rPr>
          <w:rFonts w:hint="eastAsia" w:ascii="宋体" w:hAnsi="宋体"/>
          <w:szCs w:val="21"/>
          <w:highlight w:val="none"/>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ind w:firstLine="315" w:firstLineChars="150"/>
        <w:rPr>
          <w:rFonts w:ascii="宋体" w:hAnsi="宋体"/>
          <w:szCs w:val="21"/>
          <w:highlight w:val="none"/>
        </w:rPr>
      </w:pPr>
    </w:p>
    <w:p>
      <w:pPr>
        <w:pStyle w:val="3"/>
        <w:numPr>
          <w:ilvl w:val="0"/>
          <w:numId w:val="12"/>
        </w:numPr>
        <w:spacing w:before="120" w:beforeLines="50" w:after="120" w:afterLines="50"/>
        <w:ind w:left="562" w:hanging="562"/>
        <w:rPr>
          <w:sz w:val="28"/>
          <w:szCs w:val="28"/>
          <w:highlight w:val="none"/>
        </w:rPr>
      </w:pPr>
      <w:r>
        <w:rPr>
          <w:rFonts w:hint="eastAsia"/>
          <w:sz w:val="28"/>
          <w:szCs w:val="28"/>
          <w:highlight w:val="none"/>
        </w:rPr>
        <w:t>评审要求</w:t>
      </w:r>
    </w:p>
    <w:p>
      <w:pPr>
        <w:rPr>
          <w:rFonts w:ascii="黑体" w:hAnsi="宋体" w:eastAsia="黑体"/>
          <w:sz w:val="24"/>
          <w:highlight w:val="none"/>
        </w:rPr>
      </w:pPr>
      <w:r>
        <w:rPr>
          <w:rFonts w:hint="eastAsia" w:ascii="黑体" w:hAnsi="宋体" w:eastAsia="黑体"/>
          <w:sz w:val="24"/>
          <w:highlight w:val="none"/>
        </w:rPr>
        <w:t>29．评审委员会组成</w:t>
      </w:r>
    </w:p>
    <w:p>
      <w:pPr>
        <w:ind w:firstLine="411" w:firstLineChars="196"/>
        <w:rPr>
          <w:rFonts w:ascii="宋体" w:hAnsi="宋体"/>
          <w:highlight w:val="none"/>
        </w:rPr>
      </w:pPr>
      <w:r>
        <w:rPr>
          <w:rFonts w:hint="eastAsia" w:ascii="宋体" w:hAnsi="宋体"/>
          <w:highlight w:val="none"/>
        </w:rPr>
        <w:t>29.1网上开标结束后召开评审会议，</w:t>
      </w:r>
      <w:r>
        <w:rPr>
          <w:rFonts w:hint="eastAsia" w:ascii="宋体" w:hAnsi="宋体"/>
          <w:szCs w:val="21"/>
          <w:highlight w:val="none"/>
        </w:rPr>
        <w:t>评审委员会</w:t>
      </w:r>
      <w:r>
        <w:rPr>
          <w:rFonts w:hint="eastAsia" w:ascii="宋体" w:hAnsi="宋体"/>
          <w:highlight w:val="none"/>
        </w:rPr>
        <w:t>由政府集中采购机构依法组建，负责评审活动。</w:t>
      </w:r>
    </w:p>
    <w:p>
      <w:pPr>
        <w:ind w:firstLine="411" w:firstLineChars="196"/>
        <w:rPr>
          <w:rFonts w:ascii="宋体" w:hAnsi="宋体"/>
          <w:highlight w:val="none"/>
        </w:rPr>
      </w:pPr>
      <w:bookmarkStart w:id="50" w:name="_Hlk72436580"/>
      <w:r>
        <w:rPr>
          <w:rFonts w:hint="eastAsia" w:ascii="宋体" w:hAnsi="宋体"/>
          <w:highlight w:val="none"/>
        </w:rPr>
        <w:t>评审委员会由采购人代表和评审专家组成，成员人数应当为5人以上单数（部分条件下为7人以上单数），其中评审专家不得少于成员总数的三分之二。</w:t>
      </w:r>
      <w:bookmarkEnd w:id="50"/>
      <w:r>
        <w:rPr>
          <w:rFonts w:hint="eastAsia" w:ascii="宋体" w:hAnsi="宋体"/>
          <w:highlight w:val="none"/>
        </w:rPr>
        <w:t>评定</w:t>
      </w:r>
      <w:r>
        <w:rPr>
          <w:rFonts w:hint="eastAsia"/>
          <w:highlight w:val="none"/>
        </w:rPr>
        <w:t>分离项目</w:t>
      </w:r>
      <w:r>
        <w:rPr>
          <w:highlight w:val="none"/>
        </w:rPr>
        <w:t>评审专家</w:t>
      </w:r>
      <w:r>
        <w:rPr>
          <w:rFonts w:hint="eastAsia"/>
          <w:highlight w:val="none"/>
        </w:rPr>
        <w:t>均</w:t>
      </w:r>
      <w:r>
        <w:rPr>
          <w:highlight w:val="none"/>
        </w:rPr>
        <w:t>由</w:t>
      </w:r>
      <w:r>
        <w:rPr>
          <w:rFonts w:hint="eastAsia"/>
          <w:highlight w:val="none"/>
        </w:rPr>
        <w:t>评审专家组成。</w:t>
      </w:r>
      <w:r>
        <w:rPr>
          <w:rFonts w:hint="eastAsia" w:ascii="宋体" w:hAnsi="宋体"/>
          <w:szCs w:val="21"/>
          <w:highlight w:val="none"/>
        </w:rPr>
        <w:t>评审专家一般是</w:t>
      </w:r>
      <w:r>
        <w:rPr>
          <w:rFonts w:hint="eastAsia" w:ascii="宋体" w:hAnsi="宋体"/>
          <w:highlight w:val="none"/>
        </w:rPr>
        <w:t>从深圳市政府采购评审专家库中随机抽取。采购人代表须持本单位签发的《评审授权书》参加评审。</w:t>
      </w:r>
    </w:p>
    <w:p>
      <w:pPr>
        <w:ind w:firstLine="411" w:firstLineChars="196"/>
        <w:rPr>
          <w:rFonts w:ascii="宋体" w:hAnsi="宋体"/>
          <w:highlight w:val="none"/>
        </w:rPr>
      </w:pPr>
      <w:r>
        <w:rPr>
          <w:rFonts w:hint="eastAsia" w:ascii="宋体" w:hAnsi="宋体"/>
          <w:highlight w:val="none"/>
        </w:rPr>
        <w:t>29.2评审定标应当遵循公平、公正、科学、择优的原则。</w:t>
      </w:r>
    </w:p>
    <w:p>
      <w:pPr>
        <w:ind w:firstLine="411" w:firstLineChars="196"/>
        <w:rPr>
          <w:rFonts w:ascii="宋体" w:hAnsi="宋体"/>
          <w:highlight w:val="none"/>
        </w:rPr>
      </w:pPr>
      <w:r>
        <w:rPr>
          <w:rFonts w:hint="eastAsia" w:ascii="宋体" w:hAnsi="宋体"/>
          <w:highlight w:val="none"/>
        </w:rPr>
        <w:t>29.3评审活动依法进行，任何单位和个人不得非法干预评标过程和结果。</w:t>
      </w:r>
    </w:p>
    <w:p>
      <w:pPr>
        <w:ind w:firstLine="411" w:firstLineChars="196"/>
        <w:rPr>
          <w:rFonts w:ascii="宋体" w:hAnsi="宋体"/>
          <w:highlight w:val="none"/>
        </w:rPr>
      </w:pPr>
      <w:r>
        <w:rPr>
          <w:rFonts w:hint="eastAsia" w:ascii="宋体" w:hAnsi="宋体"/>
          <w:highlight w:val="none"/>
        </w:rPr>
        <w:t>29.4评审过程中不允许违背评标程序或采用招标文件未载明的评标方法或评标因素进行评标。</w:t>
      </w:r>
    </w:p>
    <w:p>
      <w:pPr>
        <w:ind w:firstLine="411" w:firstLineChars="196"/>
        <w:rPr>
          <w:rFonts w:ascii="宋体" w:hAnsi="宋体"/>
          <w:bCs/>
          <w:highlight w:val="none"/>
        </w:rPr>
      </w:pPr>
      <w:r>
        <w:rPr>
          <w:rFonts w:hint="eastAsia" w:ascii="宋体" w:hAnsi="宋体"/>
          <w:bCs/>
          <w:highlight w:val="none"/>
        </w:rPr>
        <w:t>29.5 开标后，直到签订合同为止，凡属于对投标文件的审查、澄清、评价和比较的有关资料以及中标候选人的推荐情况、与评审有关的其他任何情况均严格保密（</w:t>
      </w:r>
      <w:r>
        <w:rPr>
          <w:rFonts w:hint="eastAsia"/>
          <w:highlight w:val="none"/>
        </w:rPr>
        <w:t>信息公开的内容除外</w:t>
      </w:r>
      <w:r>
        <w:rPr>
          <w:rFonts w:hint="eastAsia" w:ascii="宋体" w:hAnsi="宋体"/>
          <w:bCs/>
          <w:highlight w:val="none"/>
        </w:rPr>
        <w:t>）。</w:t>
      </w:r>
    </w:p>
    <w:p>
      <w:pPr>
        <w:rPr>
          <w:rFonts w:ascii="黑体" w:hAnsi="宋体" w:eastAsia="黑体"/>
          <w:sz w:val="24"/>
          <w:highlight w:val="none"/>
        </w:rPr>
      </w:pPr>
      <w:r>
        <w:rPr>
          <w:rFonts w:hint="eastAsia" w:ascii="黑体" w:hAnsi="宋体" w:eastAsia="黑体"/>
          <w:sz w:val="24"/>
          <w:highlight w:val="none"/>
        </w:rPr>
        <w:t>30．向评审委员会提供的资料</w:t>
      </w:r>
    </w:p>
    <w:p>
      <w:pPr>
        <w:ind w:firstLine="411" w:firstLineChars="196"/>
        <w:rPr>
          <w:rFonts w:ascii="宋体" w:hAnsi="宋体"/>
          <w:highlight w:val="none"/>
        </w:rPr>
      </w:pPr>
      <w:r>
        <w:rPr>
          <w:rFonts w:hint="eastAsia" w:ascii="宋体" w:hAnsi="宋体"/>
          <w:highlight w:val="none"/>
        </w:rPr>
        <w:t>30.1公开发布的招标文件，包括图纸、服务清单、答疑文件等；</w:t>
      </w:r>
    </w:p>
    <w:p>
      <w:pPr>
        <w:ind w:firstLine="411" w:firstLineChars="196"/>
        <w:rPr>
          <w:rFonts w:ascii="宋体" w:hAnsi="宋体"/>
          <w:highlight w:val="none"/>
        </w:rPr>
      </w:pPr>
      <w:r>
        <w:rPr>
          <w:rFonts w:hint="eastAsia" w:ascii="宋体" w:hAnsi="宋体"/>
          <w:highlight w:val="none"/>
        </w:rPr>
        <w:t>30.2其他评标必须的资料。</w:t>
      </w:r>
    </w:p>
    <w:p>
      <w:pPr>
        <w:ind w:firstLine="411" w:firstLineChars="196"/>
        <w:rPr>
          <w:rFonts w:ascii="宋体" w:hAnsi="宋体"/>
          <w:highlight w:val="none"/>
        </w:rPr>
      </w:pPr>
      <w:r>
        <w:rPr>
          <w:rFonts w:hint="eastAsia" w:ascii="宋体" w:hAnsi="宋体"/>
          <w:highlight w:val="none"/>
        </w:rPr>
        <w:t>30.3</w:t>
      </w:r>
      <w:r>
        <w:rPr>
          <w:rFonts w:hint="eastAsia" w:ascii="宋体" w:hAnsi="宋体"/>
          <w:szCs w:val="21"/>
          <w:highlight w:val="none"/>
        </w:rPr>
        <w:t>评审委员会</w:t>
      </w:r>
      <w:r>
        <w:rPr>
          <w:rFonts w:hint="eastAsia" w:ascii="宋体" w:hAnsi="宋体"/>
          <w:highlight w:val="none"/>
        </w:rPr>
        <w:t>应当认真研究招标文件，至少应了解熟悉以下内容：</w:t>
      </w:r>
    </w:p>
    <w:p>
      <w:pPr>
        <w:ind w:firstLine="411" w:firstLineChars="196"/>
        <w:rPr>
          <w:rFonts w:ascii="宋体" w:hAnsi="宋体"/>
          <w:highlight w:val="none"/>
        </w:rPr>
      </w:pPr>
      <w:r>
        <w:rPr>
          <w:rFonts w:hint="eastAsia" w:ascii="宋体" w:hAnsi="宋体"/>
          <w:highlight w:val="none"/>
        </w:rPr>
        <w:t>（1）招标的目的；</w:t>
      </w:r>
    </w:p>
    <w:p>
      <w:pPr>
        <w:ind w:firstLine="411" w:firstLineChars="196"/>
        <w:rPr>
          <w:rFonts w:ascii="宋体" w:hAnsi="宋体"/>
          <w:highlight w:val="none"/>
        </w:rPr>
      </w:pPr>
      <w:r>
        <w:rPr>
          <w:rFonts w:hint="eastAsia" w:ascii="宋体" w:hAnsi="宋体"/>
          <w:highlight w:val="none"/>
        </w:rPr>
        <w:t>（2）招标项目需求的范围和性质；</w:t>
      </w:r>
    </w:p>
    <w:p>
      <w:pPr>
        <w:ind w:firstLine="411" w:firstLineChars="196"/>
        <w:rPr>
          <w:rFonts w:ascii="宋体" w:hAnsi="宋体"/>
          <w:highlight w:val="none"/>
        </w:rPr>
      </w:pPr>
      <w:r>
        <w:rPr>
          <w:rFonts w:hint="eastAsia" w:ascii="宋体" w:hAnsi="宋体"/>
          <w:highlight w:val="none"/>
        </w:rPr>
        <w:t>（3）招标文件规定的投标人的资格、财政预算限额、商务条款；</w:t>
      </w:r>
    </w:p>
    <w:p>
      <w:pPr>
        <w:ind w:firstLine="411" w:firstLineChars="196"/>
        <w:rPr>
          <w:rFonts w:ascii="宋体" w:hAnsi="宋体"/>
          <w:highlight w:val="none"/>
        </w:rPr>
      </w:pPr>
      <w:r>
        <w:rPr>
          <w:rFonts w:hint="eastAsia" w:ascii="宋体" w:hAnsi="宋体"/>
          <w:highlight w:val="none"/>
        </w:rPr>
        <w:t>（4）招标文件规定的评标程序、评标方法和评标因素；</w:t>
      </w:r>
    </w:p>
    <w:p>
      <w:pPr>
        <w:ind w:firstLine="411" w:firstLineChars="196"/>
        <w:rPr>
          <w:rFonts w:ascii="宋体" w:hAnsi="宋体"/>
          <w:highlight w:val="none"/>
        </w:rPr>
      </w:pPr>
      <w:r>
        <w:rPr>
          <w:rFonts w:hint="eastAsia" w:ascii="宋体" w:hAnsi="宋体"/>
          <w:highlight w:val="none"/>
        </w:rPr>
        <w:t>（5）招标文件所列示的资格性审查表及符合性审查表。</w:t>
      </w:r>
    </w:p>
    <w:p>
      <w:pPr>
        <w:rPr>
          <w:rFonts w:ascii="黑体" w:hAnsi="宋体" w:eastAsia="黑体"/>
          <w:sz w:val="24"/>
          <w:highlight w:val="none"/>
        </w:rPr>
      </w:pPr>
      <w:r>
        <w:rPr>
          <w:rFonts w:hint="eastAsia" w:ascii="黑体" w:hAnsi="宋体" w:eastAsia="黑体"/>
          <w:sz w:val="24"/>
          <w:highlight w:val="none"/>
        </w:rPr>
        <w:t>31．独立评审</w:t>
      </w:r>
    </w:p>
    <w:p>
      <w:pPr>
        <w:ind w:firstLine="411" w:firstLineChars="196"/>
        <w:rPr>
          <w:rFonts w:ascii="宋体" w:hAnsi="宋体"/>
          <w:bCs/>
          <w:highlight w:val="none"/>
        </w:rPr>
      </w:pPr>
      <w:r>
        <w:rPr>
          <w:rFonts w:hint="eastAsia" w:ascii="宋体" w:hAnsi="宋体"/>
          <w:bCs/>
          <w:highlight w:val="none"/>
        </w:rPr>
        <w:t>3</w:t>
      </w:r>
      <w:r>
        <w:rPr>
          <w:rFonts w:ascii="宋体" w:hAnsi="宋体"/>
          <w:bCs/>
          <w:highlight w:val="none"/>
        </w:rPr>
        <w:t>1</w:t>
      </w:r>
      <w:r>
        <w:rPr>
          <w:rFonts w:hint="eastAsia" w:ascii="宋体" w:hAnsi="宋体"/>
          <w:bCs/>
          <w:highlight w:val="none"/>
        </w:rPr>
        <w:t>.1</w:t>
      </w:r>
      <w:r>
        <w:rPr>
          <w:rFonts w:hint="eastAsia" w:ascii="宋体" w:hAnsi="宋体"/>
          <w:szCs w:val="21"/>
          <w:highlight w:val="none"/>
        </w:rPr>
        <w:t>评审委员会</w:t>
      </w:r>
      <w:r>
        <w:rPr>
          <w:rFonts w:hint="eastAsia" w:ascii="宋体" w:hAnsi="宋体"/>
          <w:bCs/>
          <w:highlight w:val="none"/>
        </w:rPr>
        <w:t>成员的评标活动应当独立进行，并应遵循投标文件初审、澄清有关问题、比较与评价、确定中标供应商、编写评审报告的工作程序。</w:t>
      </w:r>
    </w:p>
    <w:p>
      <w:pPr>
        <w:ind w:firstLine="411" w:firstLineChars="196"/>
        <w:rPr>
          <w:rFonts w:ascii="宋体" w:hAnsi="宋体"/>
          <w:bCs/>
          <w:szCs w:val="21"/>
          <w:highlight w:val="none"/>
        </w:rPr>
      </w:pPr>
    </w:p>
    <w:p>
      <w:pPr>
        <w:pStyle w:val="3"/>
        <w:numPr>
          <w:ilvl w:val="0"/>
          <w:numId w:val="12"/>
        </w:numPr>
        <w:spacing w:before="120" w:beforeLines="50" w:after="120" w:afterLines="50"/>
        <w:ind w:left="562" w:hanging="562"/>
        <w:rPr>
          <w:sz w:val="28"/>
          <w:szCs w:val="28"/>
          <w:highlight w:val="none"/>
        </w:rPr>
      </w:pPr>
      <w:r>
        <w:rPr>
          <w:rFonts w:hint="eastAsia"/>
          <w:sz w:val="28"/>
          <w:szCs w:val="28"/>
          <w:highlight w:val="none"/>
        </w:rPr>
        <w:t>评审程序及评审方法</w:t>
      </w:r>
    </w:p>
    <w:p>
      <w:pPr>
        <w:rPr>
          <w:rFonts w:ascii="黑体" w:hAnsi="宋体" w:eastAsia="黑体"/>
          <w:sz w:val="24"/>
          <w:highlight w:val="none"/>
        </w:rPr>
      </w:pPr>
      <w:r>
        <w:rPr>
          <w:rFonts w:hint="eastAsia" w:ascii="黑体" w:hAnsi="宋体" w:eastAsia="黑体"/>
          <w:sz w:val="24"/>
          <w:highlight w:val="none"/>
        </w:rPr>
        <w:t>32．投标文件初审</w:t>
      </w:r>
    </w:p>
    <w:p>
      <w:pPr>
        <w:ind w:firstLine="411" w:firstLineChars="196"/>
        <w:rPr>
          <w:rFonts w:ascii="宋体" w:hAnsi="宋体"/>
          <w:highlight w:val="none"/>
        </w:rPr>
      </w:pPr>
      <w:r>
        <w:rPr>
          <w:rFonts w:hint="eastAsia" w:ascii="宋体" w:hAnsi="宋体"/>
          <w:highlight w:val="none"/>
        </w:rPr>
        <w:t>32.1投标文件初审包括资格性审查和符合性审查。</w:t>
      </w:r>
    </w:p>
    <w:p>
      <w:pPr>
        <w:ind w:firstLine="411" w:firstLineChars="196"/>
        <w:rPr>
          <w:rFonts w:ascii="宋体" w:hAnsi="宋体"/>
          <w:highlight w:val="none"/>
        </w:rPr>
      </w:pPr>
      <w:r>
        <w:rPr>
          <w:rFonts w:hint="eastAsia" w:ascii="宋体" w:hAnsi="宋体"/>
          <w:highlight w:val="none"/>
        </w:rPr>
        <w:t>资格性审查：依据法律法规和招标文件的规定，对投标文件中的资格证明等进行审查，以确定投标供应商是否具备投标资格。</w:t>
      </w:r>
    </w:p>
    <w:p>
      <w:pPr>
        <w:ind w:firstLine="411" w:firstLineChars="196"/>
        <w:rPr>
          <w:rFonts w:ascii="宋体" w:hAnsi="宋体"/>
          <w:highlight w:val="none"/>
        </w:rPr>
      </w:pPr>
      <w:r>
        <w:rPr>
          <w:rFonts w:hint="eastAsia" w:ascii="宋体" w:hAnsi="宋体"/>
          <w:highlight w:val="none"/>
        </w:rPr>
        <w:t>符合性审查：依据招标文件的规定，对投标文件的有效性、完整性和对招标文件的响应程度进行审查，以确定是否满足符合性审查的要求。</w:t>
      </w:r>
    </w:p>
    <w:p>
      <w:pPr>
        <w:ind w:firstLine="411" w:firstLineChars="196"/>
        <w:rPr>
          <w:rFonts w:ascii="宋体" w:hAnsi="宋体"/>
          <w:highlight w:val="none"/>
        </w:rPr>
      </w:pPr>
      <w:r>
        <w:rPr>
          <w:rFonts w:hint="eastAsia" w:ascii="宋体" w:hAnsi="宋体"/>
          <w:highlight w:val="none"/>
        </w:rPr>
        <w:t>32.2 投标文件初审内容请详见《资格性审查表》和《符合性审查表》部分。投标人若有一条审查不通过则按投标无效处理。</w:t>
      </w:r>
    </w:p>
    <w:p>
      <w:pPr>
        <w:ind w:firstLine="411" w:firstLineChars="196"/>
        <w:rPr>
          <w:rFonts w:ascii="宋体" w:hAnsi="宋体"/>
          <w:bCs/>
          <w:highlight w:val="none"/>
        </w:rPr>
      </w:pPr>
      <w:r>
        <w:rPr>
          <w:rFonts w:hint="eastAsia" w:ascii="宋体" w:hAnsi="宋体"/>
          <w:bCs/>
          <w:highlight w:val="none"/>
        </w:rPr>
        <w:t>32.3 投标文件初审中关于供应商家数的计算:</w:t>
      </w:r>
    </w:p>
    <w:p>
      <w:pPr>
        <w:ind w:firstLine="411" w:firstLineChars="196"/>
        <w:rPr>
          <w:rFonts w:ascii="宋体" w:hAnsi="宋体"/>
          <w:bCs/>
          <w:highlight w:val="none"/>
        </w:rPr>
      </w:pPr>
      <w:r>
        <w:rPr>
          <w:rFonts w:hint="eastAsia" w:ascii="宋体" w:hAnsi="宋体"/>
          <w:bCs/>
          <w:highlight w:val="none"/>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11" w:firstLineChars="196"/>
        <w:rPr>
          <w:rFonts w:ascii="宋体" w:hAnsi="宋体"/>
          <w:bCs/>
          <w:highlight w:val="none"/>
        </w:rPr>
      </w:pPr>
      <w:r>
        <w:rPr>
          <w:rFonts w:hint="eastAsia" w:ascii="宋体" w:hAnsi="宋体"/>
          <w:bCs/>
          <w:highlight w:val="none"/>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highlight w:val="none"/>
        </w:rPr>
        <w:t>评审委员会</w:t>
      </w:r>
      <w:r>
        <w:rPr>
          <w:rFonts w:hint="eastAsia" w:ascii="宋体" w:hAnsi="宋体"/>
          <w:bCs/>
          <w:highlight w:val="none"/>
        </w:rPr>
        <w:t>按照招标文件规定的方式确定一个投标人获得中标人推荐资格，招标文件未规定的采取随机抽取方式确定，其他同品牌投标人不作为中标候选人。</w:t>
      </w:r>
    </w:p>
    <w:p>
      <w:pPr>
        <w:ind w:firstLine="411" w:firstLineChars="196"/>
        <w:rPr>
          <w:rFonts w:ascii="宋体" w:hAnsi="宋体"/>
          <w:bCs/>
          <w:highlight w:val="none"/>
        </w:rPr>
      </w:pPr>
      <w:r>
        <w:rPr>
          <w:rFonts w:hint="eastAsia" w:ascii="宋体" w:hAnsi="宋体"/>
          <w:bCs/>
          <w:highlight w:val="none"/>
        </w:rPr>
        <w:t>32.3.3非单一产品采购项目，采购人应当根据采购项目技术构成、产品价格比重等合理确定核心产品，并在招标文件中载明。多家投标人提供的核心产品品牌相同的，按前两款规定处理。</w:t>
      </w:r>
    </w:p>
    <w:p>
      <w:pPr>
        <w:ind w:firstLine="411" w:firstLineChars="196"/>
        <w:rPr>
          <w:rFonts w:ascii="宋体" w:hAnsi="宋体"/>
          <w:highlight w:val="none"/>
        </w:rPr>
      </w:pPr>
      <w:r>
        <w:rPr>
          <w:rFonts w:hint="eastAsia" w:ascii="宋体" w:hAnsi="宋体"/>
          <w:highlight w:val="none"/>
        </w:rPr>
        <w:t>32.4投标人投标文件作无效处理的情形，具体包括但不限于以下：</w:t>
      </w:r>
    </w:p>
    <w:p>
      <w:pPr>
        <w:ind w:firstLine="411" w:firstLineChars="196"/>
        <w:rPr>
          <w:highlight w:val="none"/>
        </w:rPr>
      </w:pPr>
      <w:r>
        <w:rPr>
          <w:rFonts w:hint="eastAsia" w:ascii="宋体" w:hAnsi="宋体"/>
          <w:highlight w:val="none"/>
        </w:rPr>
        <w:t>32.4.1</w:t>
      </w:r>
      <w:r>
        <w:rPr>
          <w:rFonts w:hint="eastAsia"/>
          <w:highlight w:val="none"/>
        </w:rPr>
        <w:t>不同投标人的投标文件由同一单位或者同一个人编制，或者由同一个人分阶段参与编制；</w:t>
      </w:r>
    </w:p>
    <w:p>
      <w:pPr>
        <w:ind w:firstLine="411" w:firstLineChars="196"/>
        <w:rPr>
          <w:highlight w:val="none"/>
        </w:rPr>
      </w:pPr>
      <w:r>
        <w:rPr>
          <w:rFonts w:ascii="宋体" w:hAnsi="宋体"/>
          <w:highlight w:val="none"/>
        </w:rPr>
        <w:t>32.4.</w:t>
      </w:r>
      <w:r>
        <w:rPr>
          <w:rFonts w:hint="eastAsia" w:ascii="宋体" w:hAnsi="宋体"/>
          <w:highlight w:val="none"/>
        </w:rPr>
        <w:t>2</w:t>
      </w:r>
      <w:r>
        <w:rPr>
          <w:rFonts w:hint="eastAsia"/>
          <w:highlight w:val="none"/>
        </w:rPr>
        <w:t>不同投标人委托同一单位或者个人办理投标事宜；</w:t>
      </w:r>
    </w:p>
    <w:p>
      <w:pPr>
        <w:ind w:firstLine="411" w:firstLineChars="196"/>
        <w:rPr>
          <w:rFonts w:ascii="宋体" w:hAnsi="宋体"/>
          <w:highlight w:val="none"/>
        </w:rPr>
      </w:pPr>
      <w:r>
        <w:rPr>
          <w:rFonts w:hint="eastAsia" w:ascii="宋体" w:hAnsi="宋体"/>
          <w:highlight w:val="none"/>
        </w:rPr>
        <w:t>32.4.3不同投标人的投标文件载明的项目管理成员或者联系人员为同一人；</w:t>
      </w:r>
    </w:p>
    <w:p>
      <w:pPr>
        <w:ind w:firstLine="411" w:firstLineChars="196"/>
        <w:rPr>
          <w:rFonts w:ascii="宋体" w:hAnsi="宋体"/>
          <w:highlight w:val="none"/>
        </w:rPr>
      </w:pPr>
      <w:r>
        <w:rPr>
          <w:rFonts w:hint="eastAsia" w:ascii="宋体" w:hAnsi="宋体"/>
          <w:highlight w:val="none"/>
        </w:rPr>
        <w:t>32.4.4不同投标人的投标文件异常一致或者投标报价呈规律性差异；</w:t>
      </w:r>
    </w:p>
    <w:p>
      <w:pPr>
        <w:ind w:firstLine="411" w:firstLineChars="196"/>
        <w:rPr>
          <w:rFonts w:ascii="宋体" w:hAnsi="宋体"/>
          <w:highlight w:val="none"/>
        </w:rPr>
      </w:pPr>
      <w:r>
        <w:rPr>
          <w:rFonts w:hint="eastAsia" w:ascii="宋体" w:hAnsi="宋体"/>
          <w:highlight w:val="none"/>
        </w:rPr>
        <w:t>32.4.5</w:t>
      </w:r>
      <w:r>
        <w:rPr>
          <w:rFonts w:ascii="宋体" w:hAnsi="宋体"/>
          <w:highlight w:val="none"/>
        </w:rPr>
        <w:t>不同投标供应商的投标文件或部分投标文件相互混装</w:t>
      </w:r>
      <w:r>
        <w:rPr>
          <w:rFonts w:hint="eastAsia" w:ascii="宋体" w:hAnsi="宋体"/>
          <w:highlight w:val="none"/>
        </w:rPr>
        <w:t>；</w:t>
      </w:r>
    </w:p>
    <w:p>
      <w:pPr>
        <w:ind w:firstLine="411" w:firstLineChars="196"/>
        <w:rPr>
          <w:rFonts w:ascii="宋体" w:hAnsi="宋体"/>
          <w:highlight w:val="none"/>
        </w:rPr>
      </w:pPr>
      <w:r>
        <w:rPr>
          <w:rFonts w:hint="eastAsia" w:ascii="宋体" w:hAnsi="宋体"/>
          <w:highlight w:val="none"/>
        </w:rPr>
        <w:t>32.4.6投标供应商之间相互约定给予未中标的供应商利益补偿；</w:t>
      </w:r>
    </w:p>
    <w:p>
      <w:pPr>
        <w:ind w:firstLine="411" w:firstLineChars="196"/>
        <w:rPr>
          <w:rFonts w:ascii="宋体" w:hAnsi="宋体"/>
          <w:highlight w:val="none"/>
        </w:rPr>
      </w:pPr>
      <w:r>
        <w:rPr>
          <w:rFonts w:hint="eastAsia" w:ascii="宋体" w:hAnsi="宋体"/>
          <w:highlight w:val="none"/>
        </w:rPr>
        <w:t>32.4.7不同投标供应商的法定代表人、主要经营负责人、项目投标授权代表人、项目负责人、主要技术人员为同一人、属同一单位或者同一单位缴纳社会保险；</w:t>
      </w:r>
    </w:p>
    <w:p>
      <w:pPr>
        <w:ind w:firstLine="411" w:firstLineChars="196"/>
        <w:rPr>
          <w:rFonts w:ascii="宋体" w:hAnsi="宋体"/>
          <w:highlight w:val="none"/>
        </w:rPr>
      </w:pPr>
      <w:r>
        <w:rPr>
          <w:rFonts w:hint="eastAsia" w:ascii="宋体" w:hAnsi="宋体"/>
          <w:highlight w:val="none"/>
        </w:rPr>
        <w:t>32.4.8不同投标供应商的投标文件内容存在非正常一致；</w:t>
      </w:r>
    </w:p>
    <w:p>
      <w:pPr>
        <w:ind w:firstLine="411" w:firstLineChars="196"/>
        <w:rPr>
          <w:rFonts w:ascii="宋体" w:hAnsi="宋体"/>
          <w:highlight w:val="none"/>
        </w:rPr>
      </w:pPr>
      <w:r>
        <w:rPr>
          <w:rFonts w:hint="eastAsia" w:ascii="宋体" w:hAnsi="宋体"/>
          <w:highlight w:val="none"/>
        </w:rPr>
        <w:t>32.4.9在同一单位工作人员为两家以上（含两家）供应商进行同一项投标活动；</w:t>
      </w:r>
    </w:p>
    <w:p>
      <w:pPr>
        <w:ind w:firstLine="411" w:firstLineChars="196"/>
        <w:rPr>
          <w:rFonts w:ascii="宋体" w:hAnsi="宋体"/>
          <w:highlight w:val="none"/>
        </w:rPr>
      </w:pPr>
      <w:r>
        <w:rPr>
          <w:rFonts w:hint="eastAsia" w:ascii="宋体" w:hAnsi="宋体"/>
          <w:highlight w:val="none"/>
        </w:rPr>
        <w:t>32.4.10主管部门依照法律、法规认定的其他情形。</w:t>
      </w:r>
    </w:p>
    <w:p>
      <w:pPr>
        <w:rPr>
          <w:rFonts w:hint="eastAsia" w:ascii="宋体" w:hAnsi="宋体"/>
          <w:highlight w:val="none"/>
        </w:rPr>
      </w:pPr>
      <w:r>
        <w:rPr>
          <w:rFonts w:hint="eastAsia" w:ascii="宋体" w:hAnsi="宋体"/>
          <w:highlight w:val="none"/>
        </w:rPr>
        <w:t>32.5对不属于《资格性审查表》和《符合性审查表》所列的其他情形，除专用条款另有规定和32.4条款所列情形外，不得作为投标无效的理由。</w:t>
      </w:r>
    </w:p>
    <w:p>
      <w:pPr>
        <w:rPr>
          <w:rFonts w:ascii="黑体" w:hAnsi="宋体" w:eastAsia="黑体"/>
          <w:sz w:val="24"/>
          <w:highlight w:val="none"/>
        </w:rPr>
      </w:pPr>
      <w:r>
        <w:rPr>
          <w:rFonts w:hint="eastAsia" w:ascii="黑体" w:hAnsi="宋体" w:eastAsia="黑体"/>
          <w:sz w:val="24"/>
          <w:highlight w:val="none"/>
        </w:rPr>
        <w:t>33．澄清有关问题</w:t>
      </w:r>
    </w:p>
    <w:p>
      <w:pPr>
        <w:ind w:firstLine="411" w:firstLineChars="196"/>
        <w:rPr>
          <w:rFonts w:ascii="宋体" w:hAnsi="宋体"/>
          <w:highlight w:val="none"/>
        </w:rPr>
      </w:pPr>
      <w:bookmarkStart w:id="51" w:name="_Hlk71407321"/>
      <w:r>
        <w:rPr>
          <w:rFonts w:hint="eastAsia" w:ascii="宋体" w:hAnsi="宋体"/>
          <w:highlight w:val="none"/>
        </w:rPr>
        <w:t>3</w:t>
      </w:r>
      <w:r>
        <w:rPr>
          <w:rFonts w:ascii="宋体" w:hAnsi="宋体"/>
          <w:highlight w:val="none"/>
        </w:rPr>
        <w:t>3.1</w:t>
      </w:r>
      <w:r>
        <w:rPr>
          <w:rFonts w:hint="eastAsia" w:ascii="宋体" w:hAnsi="宋体"/>
          <w:highlight w:val="none"/>
        </w:rPr>
        <w:t>对招标文件中描述有歧义或前后不一致的地方（不含</w:t>
      </w:r>
      <w:r>
        <w:rPr>
          <w:szCs w:val="21"/>
          <w:highlight w:val="none"/>
        </w:rPr>
        <w:t>招标文件存在歧义、重大缺陷导致评</w:t>
      </w:r>
      <w:r>
        <w:rPr>
          <w:rFonts w:hint="eastAsia"/>
          <w:szCs w:val="21"/>
          <w:highlight w:val="none"/>
        </w:rPr>
        <w:t>审</w:t>
      </w:r>
      <w:r>
        <w:rPr>
          <w:szCs w:val="21"/>
          <w:highlight w:val="none"/>
        </w:rPr>
        <w:t>工作无法进行</w:t>
      </w:r>
      <w:r>
        <w:rPr>
          <w:rFonts w:hint="eastAsia"/>
          <w:szCs w:val="21"/>
          <w:highlight w:val="none"/>
        </w:rPr>
        <w:t>的情况）</w:t>
      </w:r>
      <w:r>
        <w:rPr>
          <w:rFonts w:hint="eastAsia" w:ascii="宋体" w:hAnsi="宋体"/>
          <w:highlight w:val="none"/>
        </w:rPr>
        <w:t>，评审委员会有权进行评判，但对同一条款的评判应适用于每个投标人。</w:t>
      </w:r>
      <w:bookmarkEnd w:id="51"/>
    </w:p>
    <w:p>
      <w:pPr>
        <w:ind w:firstLine="411" w:firstLineChars="196"/>
        <w:rPr>
          <w:rFonts w:ascii="宋体" w:hAnsi="宋体"/>
          <w:highlight w:val="none"/>
        </w:rPr>
      </w:pPr>
      <w:r>
        <w:rPr>
          <w:rFonts w:hint="eastAsia" w:ascii="宋体" w:hAnsi="宋体"/>
          <w:highlight w:val="none"/>
        </w:rPr>
        <w:t>3</w:t>
      </w:r>
      <w:r>
        <w:rPr>
          <w:rFonts w:ascii="宋体" w:hAnsi="宋体"/>
          <w:highlight w:val="none"/>
        </w:rPr>
        <w:t>3.2</w:t>
      </w:r>
      <w:r>
        <w:rPr>
          <w:szCs w:val="21"/>
          <w:highlight w:val="none"/>
        </w:rPr>
        <w:t>评</w:t>
      </w:r>
      <w:r>
        <w:rPr>
          <w:rFonts w:hint="eastAsia"/>
          <w:szCs w:val="21"/>
          <w:highlight w:val="none"/>
        </w:rPr>
        <w:t>审</w:t>
      </w:r>
      <w:r>
        <w:rPr>
          <w:szCs w:val="21"/>
          <w:highlight w:val="none"/>
        </w:rPr>
        <w:t>委员会发现招标文件存在歧义、重大缺陷导致评</w:t>
      </w:r>
      <w:r>
        <w:rPr>
          <w:rFonts w:hint="eastAsia"/>
          <w:szCs w:val="21"/>
          <w:highlight w:val="none"/>
        </w:rPr>
        <w:t>审</w:t>
      </w:r>
      <w:r>
        <w:rPr>
          <w:szCs w:val="21"/>
          <w:highlight w:val="none"/>
        </w:rPr>
        <w:t>工作无法进行，或者招标文件内容违反国家有关强制性规定的，应当停止评</w:t>
      </w:r>
      <w:r>
        <w:rPr>
          <w:rFonts w:hint="eastAsia"/>
          <w:szCs w:val="21"/>
          <w:highlight w:val="none"/>
        </w:rPr>
        <w:t>审</w:t>
      </w:r>
      <w:r>
        <w:rPr>
          <w:szCs w:val="21"/>
          <w:highlight w:val="none"/>
        </w:rPr>
        <w:t>工作，与</w:t>
      </w:r>
      <w:r>
        <w:rPr>
          <w:rFonts w:hint="eastAsia"/>
          <w:szCs w:val="21"/>
          <w:highlight w:val="none"/>
        </w:rPr>
        <w:t>政府集中采购机构</w:t>
      </w:r>
      <w:r>
        <w:rPr>
          <w:szCs w:val="21"/>
          <w:highlight w:val="none"/>
        </w:rPr>
        <w:t>沟通并作书面记录。</w:t>
      </w:r>
      <w:r>
        <w:rPr>
          <w:rFonts w:hint="eastAsia"/>
          <w:szCs w:val="21"/>
          <w:highlight w:val="none"/>
        </w:rPr>
        <w:t>经</w:t>
      </w:r>
      <w:r>
        <w:rPr>
          <w:szCs w:val="21"/>
          <w:highlight w:val="none"/>
        </w:rPr>
        <w:t>确认后，</w:t>
      </w:r>
      <w:r>
        <w:rPr>
          <w:rFonts w:hint="eastAsia"/>
          <w:szCs w:val="21"/>
          <w:highlight w:val="none"/>
        </w:rPr>
        <w:t>项目</w:t>
      </w:r>
      <w:r>
        <w:rPr>
          <w:szCs w:val="21"/>
          <w:highlight w:val="none"/>
        </w:rPr>
        <w:t>应当修改招标文件，重新组织采购活动。</w:t>
      </w:r>
    </w:p>
    <w:p>
      <w:pPr>
        <w:ind w:firstLine="411" w:firstLineChars="196"/>
        <w:rPr>
          <w:rFonts w:ascii="宋体" w:hAnsi="宋体"/>
          <w:highlight w:val="none"/>
        </w:rPr>
      </w:pPr>
      <w:r>
        <w:rPr>
          <w:rFonts w:ascii="宋体" w:hAnsi="宋体"/>
          <w:highlight w:val="none"/>
        </w:rPr>
        <w:t>33.3</w:t>
      </w:r>
      <w:r>
        <w:rPr>
          <w:rFonts w:hint="eastAsia" w:ascii="宋体" w:hAnsi="宋体"/>
          <w:highlight w:val="none"/>
        </w:rPr>
        <w:t>对于投标文件中含义不明确、同类问题表述不一致或者有明显文字和计算错误的内容，评审委员会应当以书面形式要求投标人作出必要的澄清、说明或者补正。</w:t>
      </w:r>
    </w:p>
    <w:p>
      <w:pPr>
        <w:ind w:firstLine="411" w:firstLineChars="196"/>
        <w:rPr>
          <w:rFonts w:ascii="宋体" w:hAnsi="宋体"/>
          <w:highlight w:val="none"/>
        </w:rPr>
      </w:pPr>
      <w:r>
        <w:rPr>
          <w:rFonts w:hint="eastAsia" w:ascii="宋体" w:hAnsi="宋体"/>
          <w:highlight w:val="none"/>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11" w:firstLineChars="196"/>
        <w:rPr>
          <w:rFonts w:ascii="宋体" w:hAnsi="宋体"/>
          <w:szCs w:val="21"/>
          <w:highlight w:val="none"/>
        </w:rPr>
      </w:pPr>
      <w:r>
        <w:rPr>
          <w:rFonts w:hint="eastAsia" w:ascii="宋体" w:hAnsi="宋体"/>
          <w:szCs w:val="21"/>
          <w:highlight w:val="none"/>
        </w:rPr>
        <w:t>根据本通用条款第34条，凡属于评审委员会在评审中发现的算术错误进行核实的修改不在此列。</w:t>
      </w:r>
    </w:p>
    <w:p>
      <w:pPr>
        <w:rPr>
          <w:rFonts w:ascii="黑体" w:hAnsi="宋体" w:eastAsia="黑体"/>
          <w:sz w:val="24"/>
          <w:highlight w:val="none"/>
        </w:rPr>
      </w:pPr>
      <w:bookmarkStart w:id="52" w:name="_Toc73517673"/>
      <w:bookmarkStart w:id="53" w:name="_Toc100052400"/>
      <w:bookmarkStart w:id="54" w:name="_Toc73518151"/>
      <w:bookmarkStart w:id="55" w:name="_Toc73521669"/>
      <w:bookmarkStart w:id="56" w:name="_Toc73521581"/>
      <w:r>
        <w:rPr>
          <w:rFonts w:hint="eastAsia" w:ascii="黑体" w:hAnsi="宋体" w:eastAsia="黑体"/>
          <w:sz w:val="24"/>
          <w:highlight w:val="none"/>
        </w:rPr>
        <w:t>34．错误的修正</w:t>
      </w:r>
      <w:bookmarkEnd w:id="52"/>
      <w:bookmarkEnd w:id="53"/>
      <w:bookmarkEnd w:id="54"/>
      <w:bookmarkEnd w:id="55"/>
      <w:bookmarkEnd w:id="56"/>
    </w:p>
    <w:p>
      <w:pPr>
        <w:ind w:firstLine="411" w:firstLineChars="196"/>
        <w:rPr>
          <w:rFonts w:ascii="宋体" w:hAnsi="宋体"/>
          <w:szCs w:val="21"/>
          <w:highlight w:val="none"/>
        </w:rPr>
      </w:pPr>
      <w:r>
        <w:rPr>
          <w:rFonts w:hint="eastAsia" w:ascii="宋体" w:hAnsi="宋体"/>
          <w:szCs w:val="21"/>
          <w:highlight w:val="none"/>
        </w:rPr>
        <w:t>投标文件报价出现前后不一致的，除专用条款另有规定外，按照下列规定修正：</w:t>
      </w:r>
    </w:p>
    <w:p>
      <w:pPr>
        <w:ind w:firstLine="411" w:firstLineChars="196"/>
        <w:rPr>
          <w:rFonts w:ascii="宋体" w:hAnsi="宋体"/>
          <w:szCs w:val="21"/>
          <w:highlight w:val="none"/>
        </w:rPr>
      </w:pPr>
      <w:r>
        <w:rPr>
          <w:rFonts w:hint="eastAsia" w:ascii="宋体" w:hAnsi="宋体"/>
          <w:szCs w:val="21"/>
          <w:highlight w:val="none"/>
        </w:rPr>
        <w:t>34.1投标文件中开标一览表投标报价内容与投标文件中投标报价相应内容不一致的，以开标一览表为准；</w:t>
      </w:r>
    </w:p>
    <w:p>
      <w:pPr>
        <w:ind w:firstLine="411" w:firstLineChars="196"/>
        <w:rPr>
          <w:rFonts w:ascii="宋体" w:hAnsi="宋体"/>
          <w:szCs w:val="21"/>
          <w:highlight w:val="none"/>
        </w:rPr>
      </w:pPr>
      <w:r>
        <w:rPr>
          <w:rFonts w:hint="eastAsia" w:ascii="宋体" w:hAnsi="宋体"/>
          <w:szCs w:val="21"/>
          <w:highlight w:val="none"/>
        </w:rPr>
        <w:t>34.2大写金额和小写金额不一致的，以大写金额为准；</w:t>
      </w:r>
    </w:p>
    <w:p>
      <w:pPr>
        <w:ind w:firstLine="411" w:firstLineChars="196"/>
        <w:rPr>
          <w:rFonts w:ascii="宋体" w:hAnsi="宋体"/>
          <w:szCs w:val="21"/>
          <w:highlight w:val="none"/>
        </w:rPr>
      </w:pPr>
      <w:r>
        <w:rPr>
          <w:rFonts w:hint="eastAsia" w:ascii="宋体" w:hAnsi="宋体"/>
          <w:szCs w:val="21"/>
          <w:highlight w:val="none"/>
        </w:rPr>
        <w:t>34.3单价金额小数点或者百分比有明显错位，以开标一览表的总价为准，并修改单价；</w:t>
      </w:r>
    </w:p>
    <w:p>
      <w:pPr>
        <w:ind w:firstLine="411" w:firstLineChars="196"/>
        <w:rPr>
          <w:rFonts w:ascii="宋体" w:hAnsi="宋体"/>
          <w:szCs w:val="21"/>
          <w:highlight w:val="none"/>
        </w:rPr>
      </w:pPr>
      <w:r>
        <w:rPr>
          <w:rFonts w:hint="eastAsia" w:ascii="宋体" w:hAnsi="宋体"/>
          <w:szCs w:val="21"/>
          <w:highlight w:val="none"/>
        </w:rPr>
        <w:t>34.4总价金额与按单价汇总金额不一致的，以单价金额计算结果为准。</w:t>
      </w:r>
    </w:p>
    <w:p>
      <w:pPr>
        <w:ind w:firstLine="411" w:firstLineChars="196"/>
        <w:rPr>
          <w:rFonts w:ascii="宋体" w:hAnsi="宋体"/>
          <w:szCs w:val="21"/>
          <w:highlight w:val="none"/>
        </w:rPr>
      </w:pPr>
      <w:r>
        <w:rPr>
          <w:rFonts w:hint="eastAsia" w:ascii="宋体" w:hAnsi="宋体"/>
          <w:szCs w:val="21"/>
          <w:highlight w:val="none"/>
        </w:rPr>
        <w:t>34.5同时出现两种以上不一致的，按照前款规定的顺序修正。修正后的报价按照本通用条款33条的规定，经投标人确认后产生约束力，投标人不确认的，其投标无效。</w:t>
      </w:r>
    </w:p>
    <w:p>
      <w:pPr>
        <w:rPr>
          <w:rFonts w:ascii="黑体" w:hAnsi="宋体" w:eastAsia="黑体"/>
          <w:sz w:val="24"/>
          <w:highlight w:val="none"/>
        </w:rPr>
      </w:pPr>
      <w:r>
        <w:rPr>
          <w:rFonts w:hint="eastAsia" w:ascii="黑体" w:hAnsi="宋体" w:eastAsia="黑体"/>
          <w:sz w:val="24"/>
          <w:highlight w:val="none"/>
        </w:rPr>
        <w:t>35．投标文件的比较与评价</w:t>
      </w:r>
    </w:p>
    <w:p>
      <w:pPr>
        <w:ind w:firstLine="411" w:firstLineChars="196"/>
        <w:rPr>
          <w:rFonts w:ascii="宋体" w:hAnsi="宋体"/>
          <w:szCs w:val="21"/>
          <w:highlight w:val="none"/>
        </w:rPr>
      </w:pPr>
      <w:r>
        <w:rPr>
          <w:rFonts w:hint="eastAsia" w:ascii="宋体" w:hAnsi="宋体"/>
          <w:szCs w:val="21"/>
          <w:highlight w:val="none"/>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11" w:firstLineChars="196"/>
        <w:rPr>
          <w:rFonts w:ascii="宋体" w:hAnsi="宋体"/>
          <w:szCs w:val="21"/>
          <w:highlight w:val="none"/>
        </w:rPr>
      </w:pPr>
      <w:r>
        <w:rPr>
          <w:rFonts w:hint="eastAsia" w:ascii="宋体" w:hAnsi="宋体"/>
          <w:szCs w:val="21"/>
          <w:highlight w:val="none"/>
        </w:rPr>
        <w:t>评审委员会成员对需要共同认定的事项存在争议的，应当按照少数服从多数的原则作出结论。持不同意见的评审委员会成员应当书面作出说明，否则视为无异议。</w:t>
      </w:r>
    </w:p>
    <w:p>
      <w:pPr>
        <w:rPr>
          <w:rFonts w:ascii="黑体" w:hAnsi="宋体" w:eastAsia="黑体"/>
          <w:sz w:val="24"/>
          <w:highlight w:val="none"/>
        </w:rPr>
      </w:pPr>
      <w:r>
        <w:rPr>
          <w:rFonts w:hint="eastAsia" w:ascii="黑体" w:hAnsi="宋体" w:eastAsia="黑体"/>
          <w:sz w:val="24"/>
          <w:highlight w:val="none"/>
        </w:rPr>
        <w:t>36. 实地考察或资料查验</w:t>
      </w:r>
    </w:p>
    <w:p>
      <w:pPr>
        <w:ind w:firstLine="411" w:firstLineChars="196"/>
        <w:rPr>
          <w:rFonts w:ascii="宋体" w:hAnsi="宋体"/>
          <w:szCs w:val="21"/>
          <w:highlight w:val="none"/>
        </w:rPr>
      </w:pPr>
      <w:r>
        <w:rPr>
          <w:rFonts w:hint="eastAsia" w:ascii="宋体" w:hAnsi="宋体"/>
          <w:szCs w:val="21"/>
          <w:highlight w:val="none"/>
        </w:rPr>
        <w:t>36.1在评审过程中，评审委员会有权决定是否对本项目投标人进行实地考察或资料查验（原件）。投标人应随时做好接受实地考察或资料查验的准备。</w:t>
      </w:r>
    </w:p>
    <w:p>
      <w:pPr>
        <w:rPr>
          <w:rFonts w:ascii="黑体" w:hAnsi="宋体" w:eastAsia="黑体"/>
          <w:sz w:val="24"/>
          <w:highlight w:val="none"/>
        </w:rPr>
      </w:pPr>
      <w:r>
        <w:rPr>
          <w:rFonts w:hint="eastAsia" w:ascii="黑体" w:hAnsi="宋体" w:eastAsia="黑体"/>
          <w:sz w:val="24"/>
          <w:highlight w:val="none"/>
        </w:rPr>
        <w:t>37．评审方法</w:t>
      </w:r>
    </w:p>
    <w:p>
      <w:pPr>
        <w:ind w:firstLine="413" w:firstLineChars="196"/>
        <w:rPr>
          <w:rFonts w:ascii="宋体" w:hAnsi="宋体"/>
          <w:b/>
          <w:bCs/>
          <w:szCs w:val="21"/>
          <w:highlight w:val="none"/>
        </w:rPr>
      </w:pPr>
      <w:r>
        <w:rPr>
          <w:rFonts w:hint="eastAsia" w:ascii="宋体" w:hAnsi="宋体"/>
          <w:b/>
          <w:bCs/>
          <w:szCs w:val="21"/>
          <w:highlight w:val="none"/>
        </w:rPr>
        <w:t>37.1.1最低价法</w:t>
      </w:r>
    </w:p>
    <w:p>
      <w:pPr>
        <w:ind w:firstLine="411" w:firstLineChars="196"/>
        <w:rPr>
          <w:rFonts w:ascii="ˎ̥" w:hAnsi="ˎ̥"/>
          <w:highlight w:val="none"/>
        </w:rPr>
      </w:pPr>
      <w:bookmarkStart w:id="57" w:name="_Hlk72438142"/>
      <w:r>
        <w:rPr>
          <w:rFonts w:ascii="ˎ̥" w:hAnsi="ˎ̥"/>
          <w:highlight w:val="none"/>
        </w:rPr>
        <w:t>最低价法，是指</w:t>
      </w:r>
      <w:r>
        <w:rPr>
          <w:rFonts w:hint="eastAsia" w:ascii="ˎ̥" w:hAnsi="ˎ̥"/>
          <w:highlight w:val="none"/>
        </w:rPr>
        <w:t>完全</w:t>
      </w:r>
      <w:r>
        <w:rPr>
          <w:rFonts w:ascii="ˎ̥" w:hAnsi="ˎ̥"/>
          <w:highlight w:val="none"/>
        </w:rPr>
        <w:t>满足招标文件实质性要求，</w:t>
      </w:r>
      <w:r>
        <w:rPr>
          <w:rFonts w:hint="eastAsia" w:ascii="ˎ̥" w:hAnsi="ˎ̥"/>
          <w:highlight w:val="none"/>
        </w:rPr>
        <w:t>按照报价由低到高的顺序，依据招标文件中规定的数量或者比例推荐候选中标供应商。</w:t>
      </w:r>
    </w:p>
    <w:p>
      <w:pPr>
        <w:ind w:firstLine="413" w:firstLineChars="196"/>
        <w:rPr>
          <w:rFonts w:ascii="宋体" w:hAnsi="宋体"/>
          <w:b/>
          <w:bCs/>
          <w:szCs w:val="21"/>
          <w:highlight w:val="none"/>
        </w:rPr>
      </w:pPr>
      <w:r>
        <w:rPr>
          <w:rFonts w:hint="eastAsia" w:ascii="宋体" w:hAnsi="宋体"/>
          <w:b/>
          <w:bCs/>
          <w:szCs w:val="21"/>
          <w:highlight w:val="none"/>
        </w:rPr>
        <w:t>37.1.2综合评分法</w:t>
      </w:r>
    </w:p>
    <w:p>
      <w:pPr>
        <w:ind w:firstLine="411" w:firstLineChars="196"/>
        <w:rPr>
          <w:rFonts w:ascii="ˎ̥" w:hAnsi="ˎ̥"/>
          <w:highlight w:val="none"/>
        </w:rPr>
      </w:pPr>
      <w:r>
        <w:rPr>
          <w:rFonts w:ascii="ˎ̥" w:hAnsi="ˎ̥"/>
          <w:highlight w:val="none"/>
        </w:rPr>
        <w:t>综合评分法，是指</w:t>
      </w:r>
      <w:r>
        <w:rPr>
          <w:rFonts w:hint="eastAsia" w:ascii="ˎ̥" w:hAnsi="ˎ̥"/>
          <w:highlight w:val="none"/>
        </w:rPr>
        <w:t>在</w:t>
      </w:r>
      <w:r>
        <w:rPr>
          <w:rFonts w:ascii="ˎ̥" w:hAnsi="ˎ̥"/>
          <w:highlight w:val="none"/>
        </w:rPr>
        <w:t>满足招标文件全部实质性要求</w:t>
      </w:r>
      <w:r>
        <w:rPr>
          <w:rFonts w:hint="eastAsia" w:ascii="ˎ̥" w:hAnsi="ˎ̥"/>
          <w:highlight w:val="none"/>
        </w:rPr>
        <w:t>的前提下</w:t>
      </w:r>
      <w:r>
        <w:rPr>
          <w:rFonts w:ascii="ˎ̥" w:hAnsi="ˎ̥"/>
          <w:highlight w:val="none"/>
        </w:rPr>
        <w:t>，</w:t>
      </w:r>
      <w:r>
        <w:rPr>
          <w:rFonts w:hint="eastAsia" w:ascii="ˎ̥" w:hAnsi="ˎ̥"/>
          <w:highlight w:val="none"/>
        </w:rPr>
        <w:t>按照招标文件中规定的各项因素进行综合评审，评审总得分排名前列的投标人，作为推荐的候选中标供应商。</w:t>
      </w:r>
      <w:bookmarkEnd w:id="57"/>
      <w:r>
        <w:rPr>
          <w:rFonts w:hint="eastAsia" w:ascii="宋体" w:hAnsi="宋体"/>
          <w:bCs/>
          <w:color w:val="FF0000"/>
          <w:szCs w:val="21"/>
          <w:highlight w:val="none"/>
        </w:rPr>
        <w:t xml:space="preserve">  </w:t>
      </w:r>
      <w:r>
        <w:rPr>
          <w:rFonts w:hint="eastAsia" w:ascii="宋体" w:hAnsi="宋体"/>
          <w:bCs/>
          <w:szCs w:val="21"/>
          <w:highlight w:val="none"/>
        </w:rPr>
        <w:t xml:space="preserve">                                                                                                                                                                                                                                                                                                                                                                                                                                                                                                                                                                                                                                                                                                                                                                                                                                                                                                                                                                                                                                                                                                                                                                                                                                                                                                                                                                                                                                                                                                                                                                                                                                                                                                                                                                                                                                                                                                                                                                                                                                                                                                                                                                                                                                                                                                                                                                                                                                                                                                                                                                                                                                                                                                                                                                                                                                                                                                                                                                                                                           </w:t>
      </w:r>
    </w:p>
    <w:p>
      <w:pPr>
        <w:ind w:firstLine="413" w:firstLineChars="196"/>
        <w:rPr>
          <w:rFonts w:ascii="宋体" w:hAnsi="宋体"/>
          <w:b/>
          <w:bCs/>
          <w:szCs w:val="21"/>
          <w:highlight w:val="none"/>
        </w:rPr>
      </w:pPr>
      <w:r>
        <w:rPr>
          <w:rFonts w:hint="eastAsia" w:ascii="宋体" w:hAnsi="宋体"/>
          <w:b/>
          <w:bCs/>
          <w:szCs w:val="21"/>
          <w:highlight w:val="none"/>
        </w:rPr>
        <w:t>37.2 本项目采用的评审方法见本项目招标文件第一册“专用条款”的相关内容。</w:t>
      </w:r>
    </w:p>
    <w:p>
      <w:pPr>
        <w:ind w:firstLine="413" w:firstLineChars="196"/>
        <w:rPr>
          <w:rFonts w:ascii="宋体" w:hAnsi="宋体"/>
          <w:b/>
          <w:bCs/>
          <w:szCs w:val="21"/>
          <w:highlight w:val="none"/>
        </w:rPr>
      </w:pPr>
      <w:r>
        <w:rPr>
          <w:rFonts w:hint="eastAsia" w:ascii="宋体" w:hAnsi="宋体"/>
          <w:b/>
          <w:bCs/>
          <w:szCs w:val="21"/>
          <w:highlight w:val="none"/>
        </w:rPr>
        <w:t>37.3重新评审的情形</w:t>
      </w:r>
    </w:p>
    <w:p>
      <w:pPr>
        <w:ind w:firstLine="411" w:firstLineChars="196"/>
        <w:rPr>
          <w:rFonts w:ascii="宋体" w:hAnsi="宋体"/>
          <w:b/>
          <w:bCs/>
          <w:szCs w:val="21"/>
          <w:highlight w:val="none"/>
        </w:rPr>
      </w:pPr>
      <w:r>
        <w:rPr>
          <w:rFonts w:hint="eastAsia" w:ascii="宋体" w:hAnsi="宋体" w:cs="宋体"/>
          <w:kern w:val="0"/>
          <w:szCs w:val="21"/>
          <w:highlight w:val="none"/>
        </w:rPr>
        <w:t>评审结果汇总完成后，除下列情形外，任何人不得修改评审结果：</w:t>
      </w:r>
    </w:p>
    <w:p>
      <w:pPr>
        <w:ind w:firstLine="411" w:firstLineChars="196"/>
        <w:rPr>
          <w:rFonts w:ascii="宋体" w:hAnsi="宋体" w:cs="宋体"/>
          <w:kern w:val="0"/>
          <w:szCs w:val="21"/>
          <w:highlight w:val="none"/>
        </w:rPr>
      </w:pPr>
      <w:r>
        <w:rPr>
          <w:rFonts w:hint="eastAsia" w:ascii="宋体" w:hAnsi="宋体" w:cs="宋体"/>
          <w:kern w:val="0"/>
          <w:szCs w:val="21"/>
          <w:highlight w:val="none"/>
        </w:rPr>
        <w:t>37.3.1分值汇总计算错误的；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37.3.2分项评分超出评分标准范围的；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37.3.3评审委员会成员对客观评审因素评分不一致的；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37.3.4经评审委员会认定评分畸高、畸低的。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11" w:firstLineChars="196"/>
        <w:rPr>
          <w:rFonts w:ascii="宋体" w:hAnsi="宋体" w:cs="宋体"/>
          <w:kern w:val="0"/>
          <w:szCs w:val="21"/>
          <w:highlight w:val="none"/>
        </w:rPr>
      </w:pPr>
      <w:r>
        <w:rPr>
          <w:rFonts w:hint="eastAsia" w:ascii="宋体" w:hAnsi="宋体" w:cs="宋体"/>
          <w:kern w:val="0"/>
          <w:szCs w:val="21"/>
          <w:highlight w:val="none"/>
        </w:rPr>
        <w:t>投标人对本条第一款情形提出质疑的，采购人或者采购代理机构可以组织原评审委员会进行重新评审，重新评审改变评审结果的，应当书面报告本级财政部门。</w:t>
      </w:r>
    </w:p>
    <w:p>
      <w:pPr>
        <w:ind w:firstLine="413" w:firstLineChars="196"/>
        <w:rPr>
          <w:rFonts w:ascii="宋体" w:hAnsi="宋体"/>
          <w:b/>
          <w:bCs/>
          <w:szCs w:val="21"/>
          <w:highlight w:val="none"/>
        </w:rPr>
      </w:pPr>
      <w:r>
        <w:rPr>
          <w:rFonts w:hint="eastAsia" w:ascii="宋体" w:hAnsi="宋体"/>
          <w:b/>
          <w:bCs/>
          <w:szCs w:val="21"/>
          <w:highlight w:val="none"/>
        </w:rPr>
        <w:t xml:space="preserve"> 37.4重新组建评审委员会的情形</w:t>
      </w:r>
    </w:p>
    <w:p>
      <w:pPr>
        <w:ind w:firstLine="411" w:firstLineChars="196"/>
        <w:rPr>
          <w:rFonts w:ascii="宋体" w:hAnsi="宋体" w:cs="宋体"/>
          <w:kern w:val="0"/>
          <w:szCs w:val="21"/>
          <w:highlight w:val="none"/>
        </w:rPr>
      </w:pPr>
      <w:r>
        <w:rPr>
          <w:rFonts w:hint="eastAsia" w:ascii="宋体" w:hAnsi="宋体" w:cs="宋体"/>
          <w:kern w:val="0"/>
          <w:szCs w:val="21"/>
          <w:highlight w:val="none"/>
        </w:rPr>
        <w:t>评审委员会或者其成员存在下列情形导致评审结果无效的，重新组建评审委员会进行评标，并书面报告本级财政部门：</w:t>
      </w:r>
    </w:p>
    <w:p>
      <w:pPr>
        <w:ind w:firstLine="411" w:firstLineChars="196"/>
        <w:rPr>
          <w:rFonts w:ascii="宋体" w:hAnsi="宋体" w:cs="宋体"/>
          <w:kern w:val="0"/>
          <w:szCs w:val="21"/>
          <w:highlight w:val="none"/>
        </w:rPr>
      </w:pPr>
      <w:r>
        <w:rPr>
          <w:rFonts w:hint="eastAsia" w:ascii="宋体" w:hAnsi="宋体" w:cs="宋体"/>
          <w:kern w:val="0"/>
          <w:szCs w:val="21"/>
          <w:highlight w:val="none"/>
        </w:rPr>
        <w:t>37.4.1评审委员会组成不符合《政府采购货物和服务招标投标管理办法》规定的；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37.4.2有《政府采购货物和服务招标投标管理办法》第六十二条第一至五项情形的；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37.4.3评审委员会及其成员独立评标受到非法干预的；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37.4.4有政府采购法实施条例第七十五条规定的违法行为的。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有违法违规行为的原评审委员会成员不得参加重新组建的评审委员会。</w:t>
      </w:r>
    </w:p>
    <w:p>
      <w:pPr>
        <w:ind w:firstLine="411" w:firstLineChars="196"/>
        <w:rPr>
          <w:rFonts w:ascii="宋体" w:hAnsi="宋体"/>
          <w:szCs w:val="21"/>
          <w:highlight w:val="none"/>
        </w:rPr>
      </w:pPr>
    </w:p>
    <w:p>
      <w:pPr>
        <w:pStyle w:val="3"/>
        <w:numPr>
          <w:ilvl w:val="0"/>
          <w:numId w:val="12"/>
        </w:numPr>
        <w:spacing w:before="120" w:beforeLines="50" w:after="120" w:afterLines="50"/>
        <w:ind w:left="562" w:hanging="562"/>
        <w:rPr>
          <w:sz w:val="28"/>
          <w:szCs w:val="28"/>
          <w:highlight w:val="none"/>
        </w:rPr>
      </w:pPr>
      <w:r>
        <w:rPr>
          <w:rFonts w:hint="eastAsia"/>
          <w:sz w:val="28"/>
          <w:szCs w:val="28"/>
          <w:highlight w:val="none"/>
        </w:rPr>
        <w:t>定标及公示</w:t>
      </w:r>
    </w:p>
    <w:p>
      <w:pPr>
        <w:rPr>
          <w:rFonts w:ascii="黑体" w:hAnsi="宋体" w:eastAsia="黑体"/>
          <w:sz w:val="24"/>
          <w:highlight w:val="none"/>
        </w:rPr>
      </w:pPr>
      <w:r>
        <w:rPr>
          <w:rFonts w:hint="eastAsia" w:ascii="黑体" w:hAnsi="宋体" w:eastAsia="黑体"/>
          <w:sz w:val="24"/>
          <w:highlight w:val="none"/>
        </w:rPr>
        <w:t>38．定标方法</w:t>
      </w:r>
    </w:p>
    <w:p>
      <w:pPr>
        <w:ind w:firstLine="411" w:firstLineChars="196"/>
        <w:rPr>
          <w:rFonts w:ascii="宋体" w:hAnsi="宋体"/>
          <w:szCs w:val="21"/>
          <w:highlight w:val="none"/>
        </w:rPr>
      </w:pPr>
      <w:bookmarkStart w:id="58" w:name="_Hlk73782795"/>
      <w:r>
        <w:rPr>
          <w:rFonts w:hint="eastAsia" w:ascii="宋体" w:hAnsi="宋体"/>
          <w:szCs w:val="21"/>
          <w:highlight w:val="none"/>
        </w:rPr>
        <w:t>38.1非评定分离项目定标方法</w:t>
      </w:r>
    </w:p>
    <w:p>
      <w:pPr>
        <w:ind w:firstLine="411" w:firstLineChars="196"/>
        <w:rPr>
          <w:rFonts w:ascii="宋体" w:hAnsi="宋体"/>
          <w:szCs w:val="21"/>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1.1评审委员会依据本项目招标文件所约定的评审方法进行评审和比较，向政府集中采购机构提交书面评审报告，并根据评审方法比较评价结果从优到劣进行排序，确定候选中标供应商。</w:t>
      </w:r>
    </w:p>
    <w:p>
      <w:pPr>
        <w:ind w:firstLine="411" w:firstLineChars="196"/>
        <w:rPr>
          <w:rFonts w:ascii="ˎ̥" w:hAnsi="ˎ̥"/>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1.2</w:t>
      </w:r>
      <w:r>
        <w:rPr>
          <w:rFonts w:ascii="ˎ̥" w:hAnsi="ˎ̥"/>
          <w:highlight w:val="none"/>
        </w:rPr>
        <w:t>采用最低价法的，评</w:t>
      </w:r>
      <w:r>
        <w:rPr>
          <w:rFonts w:hint="eastAsia" w:ascii="ˎ̥" w:hAnsi="ˎ̥"/>
          <w:highlight w:val="none"/>
        </w:rPr>
        <w:t>审</w:t>
      </w:r>
      <w:r>
        <w:rPr>
          <w:rFonts w:ascii="ˎ̥" w:hAnsi="ˎ̥"/>
          <w:highlight w:val="none"/>
        </w:rPr>
        <w:t>结果按投标报价由低到高顺序排列。投标报价相同的并列。投标文件满足招标文件全部实质性要求且投标报价最低的</w:t>
      </w:r>
      <w:r>
        <w:rPr>
          <w:rFonts w:hint="eastAsia" w:ascii="ˎ̥" w:hAnsi="ˎ̥"/>
          <w:highlight w:val="none"/>
        </w:rPr>
        <w:t>投标人为</w:t>
      </w:r>
      <w:bookmarkStart w:id="59" w:name="_Hlk73821177"/>
      <w:r>
        <w:rPr>
          <w:rFonts w:hint="eastAsia" w:ascii="ˎ̥" w:hAnsi="ˎ̥"/>
          <w:highlight w:val="none"/>
          <w:lang w:val="en-US" w:eastAsia="zh-CN"/>
        </w:rPr>
        <w:t>唯一候选</w:t>
      </w:r>
      <w:r>
        <w:rPr>
          <w:rFonts w:hint="eastAsia" w:ascii="ˎ̥" w:hAnsi="ˎ̥"/>
          <w:highlight w:val="none"/>
        </w:rPr>
        <w:t>中标供应商</w:t>
      </w:r>
      <w:bookmarkEnd w:id="59"/>
      <w:r>
        <w:rPr>
          <w:rFonts w:ascii="ˎ̥" w:hAnsi="ˎ̥"/>
          <w:highlight w:val="none"/>
        </w:rPr>
        <w:t>。</w:t>
      </w:r>
    </w:p>
    <w:p>
      <w:pPr>
        <w:ind w:firstLine="411" w:firstLineChars="196"/>
        <w:rPr>
          <w:rFonts w:hint="eastAsia" w:ascii="ˎ̥" w:hAnsi="ˎ̥" w:eastAsiaTheme="minorEastAsia"/>
          <w:highlight w:val="none"/>
          <w:lang w:eastAsia="zh-CN"/>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1.3</w:t>
      </w:r>
      <w:r>
        <w:rPr>
          <w:rFonts w:ascii="宋体" w:hAnsi="宋体"/>
          <w:szCs w:val="21"/>
          <w:highlight w:val="none"/>
        </w:rPr>
        <w:t>采</w:t>
      </w:r>
      <w:r>
        <w:rPr>
          <w:rFonts w:ascii="ˎ̥" w:hAnsi="ˎ̥"/>
          <w:highlight w:val="none"/>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highlight w:val="none"/>
        </w:rPr>
        <w:t>为唯一</w:t>
      </w:r>
      <w:r>
        <w:rPr>
          <w:rFonts w:hint="eastAsia" w:ascii="ˎ̥" w:hAnsi="ˎ̥"/>
          <w:highlight w:val="none"/>
          <w:lang w:val="en-US" w:eastAsia="zh-CN"/>
        </w:rPr>
        <w:t>候选</w:t>
      </w:r>
      <w:r>
        <w:rPr>
          <w:rFonts w:hint="eastAsia" w:ascii="ˎ̥" w:hAnsi="ˎ̥"/>
          <w:highlight w:val="none"/>
        </w:rPr>
        <w:t>中标供应商</w:t>
      </w:r>
      <w:r>
        <w:rPr>
          <w:rFonts w:ascii="ˎ̥" w:hAnsi="ˎ̥"/>
          <w:highlight w:val="none"/>
        </w:rPr>
        <w:t>。</w:t>
      </w:r>
      <w:r>
        <w:rPr>
          <w:rFonts w:hint="eastAsia" w:ascii="ˎ̥" w:hAnsi="ˎ̥"/>
          <w:highlight w:val="none"/>
        </w:rPr>
        <w:t>出现</w:t>
      </w:r>
      <w:r>
        <w:rPr>
          <w:rFonts w:ascii="ˎ̥" w:hAnsi="ˎ̥"/>
          <w:highlight w:val="none"/>
        </w:rPr>
        <w:t>得分且投标报价相同的并列</w:t>
      </w:r>
      <w:r>
        <w:rPr>
          <w:rFonts w:hint="eastAsia" w:ascii="ˎ̥" w:hAnsi="ˎ̥"/>
          <w:highlight w:val="none"/>
        </w:rPr>
        <w:t>情况时，采取随机抽取的方式确定，具体操作办法及流程由评审委员会确定</w:t>
      </w:r>
      <w:r>
        <w:rPr>
          <w:rFonts w:hint="eastAsia" w:ascii="ˎ̥" w:hAnsi="ˎ̥"/>
          <w:highlight w:val="none"/>
          <w:lang w:eastAsia="zh-CN"/>
        </w:rPr>
        <w:t>（</w:t>
      </w:r>
      <w:r>
        <w:rPr>
          <w:rFonts w:hint="eastAsia" w:ascii="ˎ̥" w:hAnsi="ˎ̥"/>
          <w:highlight w:val="none"/>
          <w:lang w:val="en-US" w:eastAsia="zh-CN"/>
        </w:rPr>
        <w:t>如“专用条款”中另有规定的以“专用条款”相关规定内容为准</w:t>
      </w:r>
      <w:r>
        <w:rPr>
          <w:rFonts w:hint="eastAsia" w:ascii="ˎ̥" w:hAnsi="ˎ̥"/>
          <w:highlight w:val="none"/>
          <w:lang w:eastAsia="zh-CN"/>
        </w:rPr>
        <w:t>）</w:t>
      </w:r>
      <w:r>
        <w:rPr>
          <w:rFonts w:hint="eastAsia" w:ascii="ˎ̥" w:hAnsi="ˎ̥"/>
          <w:highlight w:val="none"/>
        </w:rPr>
        <w:t>。如唯一候选中标供应商被认定投标或中标无效，采购人应当重新开展采购活动</w:t>
      </w:r>
      <w:r>
        <w:rPr>
          <w:rFonts w:hint="eastAsia" w:ascii="ˎ̥" w:hAnsi="ˎ̥"/>
          <w:highlight w:val="none"/>
          <w:lang w:eastAsia="zh-CN"/>
        </w:rPr>
        <w:t>。</w:t>
      </w:r>
    </w:p>
    <w:p>
      <w:pPr>
        <w:ind w:firstLine="411" w:firstLineChars="196"/>
        <w:rPr>
          <w:rFonts w:ascii="宋体" w:hAnsi="宋体"/>
          <w:szCs w:val="21"/>
          <w:highlight w:val="none"/>
        </w:rPr>
      </w:pPr>
      <w:r>
        <w:rPr>
          <w:rFonts w:hint="eastAsia" w:ascii="宋体" w:hAnsi="宋体"/>
          <w:szCs w:val="21"/>
          <w:highlight w:val="none"/>
        </w:rPr>
        <w:t>38.2评定分离项目定标方法</w:t>
      </w:r>
    </w:p>
    <w:p>
      <w:pPr>
        <w:ind w:firstLine="411" w:firstLineChars="196"/>
        <w:rPr>
          <w:rFonts w:ascii="宋体" w:hAnsi="宋体"/>
          <w:szCs w:val="21"/>
          <w:highlight w:val="none"/>
        </w:rPr>
      </w:pPr>
      <w:r>
        <w:rPr>
          <w:rFonts w:hint="eastAsia" w:ascii="宋体" w:hAnsi="宋体"/>
          <w:szCs w:val="21"/>
          <w:highlight w:val="none"/>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11" w:firstLineChars="196"/>
        <w:rPr>
          <w:highlight w:val="none"/>
        </w:rPr>
      </w:pPr>
      <w:r>
        <w:rPr>
          <w:rFonts w:ascii="宋体" w:hAnsi="宋体"/>
          <w:szCs w:val="21"/>
          <w:highlight w:val="none"/>
        </w:rPr>
        <w:t xml:space="preserve">38.2.2 </w:t>
      </w:r>
      <w:bookmarkStart w:id="60" w:name="_Hlk71469733"/>
      <w:r>
        <w:rPr>
          <w:highlight w:val="none"/>
        </w:rPr>
        <w:t>适用评定分离的政府采购项目，采用综合评分法评</w:t>
      </w:r>
      <w:r>
        <w:rPr>
          <w:rFonts w:hint="eastAsia"/>
          <w:highlight w:val="none"/>
        </w:rPr>
        <w:t>审。</w:t>
      </w:r>
      <w:r>
        <w:rPr>
          <w:rFonts w:hint="eastAsia" w:ascii="宋体" w:hAnsi="宋体"/>
          <w:szCs w:val="21"/>
          <w:highlight w:val="none"/>
        </w:rPr>
        <w:t>评审委员会按照评审结果，推荐</w:t>
      </w:r>
      <w:r>
        <w:rPr>
          <w:highlight w:val="none"/>
        </w:rPr>
        <w:t>三个合格的候选中标供应商。</w:t>
      </w:r>
    </w:p>
    <w:p>
      <w:pPr>
        <w:ind w:firstLine="411" w:firstLineChars="196"/>
        <w:rPr>
          <w:rFonts w:ascii="宋体" w:hAnsi="宋体"/>
          <w:szCs w:val="21"/>
          <w:highlight w:val="none"/>
        </w:rPr>
      </w:pPr>
      <w:r>
        <w:rPr>
          <w:rFonts w:hint="eastAsia" w:ascii="宋体" w:hAnsi="宋体"/>
          <w:szCs w:val="21"/>
          <w:highlight w:val="none"/>
        </w:rPr>
        <w:t>38.2.3</w:t>
      </w:r>
      <w:bookmarkStart w:id="61" w:name="_Hlk71469688"/>
      <w:r>
        <w:rPr>
          <w:highlight w:val="none"/>
        </w:rPr>
        <w:t>适用评定分离的政府采购项目，</w:t>
      </w:r>
      <w:r>
        <w:rPr>
          <w:rFonts w:hint="eastAsia" w:ascii="宋体" w:hAnsi="宋体"/>
          <w:szCs w:val="21"/>
          <w:highlight w:val="none"/>
        </w:rPr>
        <w:t>按照自定法确定中标供应商：自定法是指采购人组织定标委员会，由定标委员会在三家候选中标供应商中确定中标供应商。</w:t>
      </w:r>
      <w:bookmarkEnd w:id="60"/>
      <w:bookmarkEnd w:id="61"/>
    </w:p>
    <w:p>
      <w:pPr>
        <w:ind w:firstLine="411" w:firstLineChars="196"/>
        <w:rPr>
          <w:rFonts w:ascii="宋体" w:hAnsi="宋体"/>
          <w:szCs w:val="21"/>
          <w:highlight w:val="none"/>
        </w:rPr>
      </w:pPr>
      <w:r>
        <w:rPr>
          <w:rFonts w:ascii="宋体" w:hAnsi="宋体"/>
          <w:szCs w:val="21"/>
          <w:highlight w:val="none"/>
        </w:rPr>
        <w:t>38.2.4</w:t>
      </w:r>
      <w:r>
        <w:rPr>
          <w:rFonts w:hint="eastAsia" w:ascii="宋体" w:hAnsi="宋体"/>
          <w:szCs w:val="21"/>
          <w:highlight w:val="none"/>
        </w:rPr>
        <w:t>政府集中采购机构</w:t>
      </w:r>
      <w:r>
        <w:rPr>
          <w:highlight w:val="none"/>
        </w:rPr>
        <w:t>应当自评审结束之日起两个工作日内将候选中标供应商名单及其投标文件、评审报告送交采购人</w:t>
      </w:r>
      <w:r>
        <w:rPr>
          <w:rFonts w:hint="eastAsia" w:ascii="宋体" w:hAnsi="宋体"/>
          <w:szCs w:val="21"/>
          <w:highlight w:val="none"/>
        </w:rPr>
        <w:t>。</w:t>
      </w:r>
      <w:r>
        <w:rPr>
          <w:highlight w:val="none"/>
        </w:rPr>
        <w:t>采购人应当安排专人对定标过程进行书面记录，形成定标报告，作为采购文件的组成部分存档，并及时将定标结果反馈</w:t>
      </w:r>
      <w:r>
        <w:rPr>
          <w:rFonts w:hint="eastAsia"/>
          <w:highlight w:val="none"/>
        </w:rPr>
        <w:t>政府集中采购机构。具体定标程序及相关要求以按照《</w:t>
      </w:r>
      <w:r>
        <w:rPr>
          <w:highlight w:val="none"/>
        </w:rPr>
        <w:t>深圳市财政局关于印发</w:t>
      </w:r>
      <w:r>
        <w:rPr>
          <w:rFonts w:hint="eastAsia" w:ascii="宋体" w:hAnsi="宋体"/>
          <w:highlight w:val="none"/>
        </w:rPr>
        <w:t>〈</w:t>
      </w:r>
      <w:r>
        <w:rPr>
          <w:highlight w:val="none"/>
        </w:rPr>
        <w:t>深圳市政府采购评标定标分离管理办法</w:t>
      </w:r>
      <w:r>
        <w:rPr>
          <w:rFonts w:hint="eastAsia" w:ascii="宋体" w:hAnsi="宋体"/>
          <w:highlight w:val="none"/>
        </w:rPr>
        <w:t>〉</w:t>
      </w:r>
      <w:r>
        <w:rPr>
          <w:highlight w:val="none"/>
        </w:rPr>
        <w:t>的通知</w:t>
      </w:r>
      <w:r>
        <w:rPr>
          <w:rFonts w:hint="eastAsia"/>
          <w:highlight w:val="none"/>
        </w:rPr>
        <w:t>》（深财规【2</w:t>
      </w:r>
      <w:r>
        <w:rPr>
          <w:highlight w:val="none"/>
        </w:rPr>
        <w:t>020</w:t>
      </w:r>
      <w:r>
        <w:rPr>
          <w:rFonts w:hint="eastAsia"/>
          <w:highlight w:val="none"/>
        </w:rPr>
        <w:t>】1号）执行。</w:t>
      </w:r>
    </w:p>
    <w:p>
      <w:pPr>
        <w:ind w:firstLine="411" w:firstLineChars="196"/>
        <w:rPr>
          <w:rFonts w:ascii="宋体" w:hAnsi="宋体"/>
          <w:szCs w:val="21"/>
          <w:highlight w:val="none"/>
        </w:rPr>
      </w:pPr>
      <w:r>
        <w:rPr>
          <w:rFonts w:hint="eastAsia" w:ascii="宋体" w:hAnsi="宋体"/>
          <w:szCs w:val="21"/>
          <w:highlight w:val="none"/>
        </w:rPr>
        <w:t>说明：采购人及投标供应商应按照上述方法提前做好相关准备。</w:t>
      </w:r>
    </w:p>
    <w:p>
      <w:pPr>
        <w:ind w:firstLine="411" w:firstLineChars="196"/>
        <w:rPr>
          <w:rFonts w:ascii="宋体" w:hAnsi="宋体"/>
          <w:szCs w:val="21"/>
          <w:highlight w:val="none"/>
        </w:rPr>
      </w:pPr>
      <w:r>
        <w:rPr>
          <w:rFonts w:hint="eastAsia" w:ascii="宋体" w:hAnsi="宋体"/>
          <w:szCs w:val="21"/>
          <w:highlight w:val="none"/>
        </w:rPr>
        <w:t>38.3专用条款另有规定的，按专用条款相关要求定标。</w:t>
      </w:r>
      <w:bookmarkEnd w:id="58"/>
    </w:p>
    <w:p>
      <w:pPr>
        <w:rPr>
          <w:rFonts w:ascii="黑体" w:hAnsi="宋体" w:eastAsia="黑体"/>
          <w:sz w:val="24"/>
          <w:highlight w:val="none"/>
        </w:rPr>
      </w:pPr>
      <w:r>
        <w:rPr>
          <w:rFonts w:hint="eastAsia" w:ascii="黑体" w:hAnsi="宋体" w:eastAsia="黑体"/>
          <w:sz w:val="24"/>
          <w:highlight w:val="none"/>
        </w:rPr>
        <w:t>39．编写评审报告</w:t>
      </w:r>
    </w:p>
    <w:p>
      <w:pPr>
        <w:ind w:firstLine="411" w:firstLineChars="196"/>
        <w:rPr>
          <w:rFonts w:ascii="宋体" w:hAnsi="宋体"/>
          <w:szCs w:val="21"/>
          <w:highlight w:val="none"/>
        </w:rPr>
      </w:pPr>
      <w:r>
        <w:rPr>
          <w:rFonts w:hint="eastAsia" w:ascii="宋体" w:hAnsi="宋体"/>
          <w:szCs w:val="21"/>
          <w:highlight w:val="none"/>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hAnsi="宋体" w:eastAsia="黑体"/>
          <w:sz w:val="24"/>
          <w:highlight w:val="none"/>
        </w:rPr>
      </w:pPr>
      <w:r>
        <w:rPr>
          <w:rFonts w:hint="eastAsia" w:ascii="黑体" w:hAnsi="宋体" w:eastAsia="黑体"/>
          <w:sz w:val="24"/>
          <w:highlight w:val="none"/>
        </w:rPr>
        <w:t>40．中标公告</w:t>
      </w:r>
    </w:p>
    <w:p>
      <w:pPr>
        <w:ind w:firstLine="411" w:firstLineChars="196"/>
        <w:rPr>
          <w:rFonts w:ascii="宋体" w:hAnsi="宋体"/>
          <w:szCs w:val="21"/>
          <w:highlight w:val="none"/>
        </w:rPr>
      </w:pPr>
      <w:r>
        <w:rPr>
          <w:rFonts w:hint="eastAsia" w:ascii="宋体" w:hAnsi="宋体"/>
          <w:szCs w:val="21"/>
          <w:highlight w:val="none"/>
        </w:rPr>
        <w:t>40.1</w:t>
      </w:r>
      <w:bookmarkStart w:id="62" w:name="_Hlk72438709"/>
      <w:r>
        <w:rPr>
          <w:rFonts w:hint="eastAsia" w:ascii="宋体" w:hAnsi="宋体"/>
          <w:szCs w:val="21"/>
          <w:highlight w:val="none"/>
        </w:rPr>
        <w:t>为体现“公开、公平、公正”的原则，评审结束后经采购人确认（确定）评审结果，政府集中采购机构将在</w:t>
      </w:r>
      <w:r>
        <w:rPr>
          <w:rFonts w:hint="eastAsia" w:ascii="宋体" w:hAnsi="宋体"/>
          <w:b/>
          <w:bCs/>
          <w:szCs w:val="21"/>
          <w:highlight w:val="none"/>
        </w:rPr>
        <w:t>深圳公共资源交易网（https://szggzy.com/）</w:t>
      </w:r>
      <w:r>
        <w:rPr>
          <w:rFonts w:hint="eastAsia" w:ascii="宋体" w:hAnsi="宋体"/>
          <w:szCs w:val="21"/>
          <w:highlight w:val="none"/>
        </w:rPr>
        <w:t>上发布中标结果公告。</w:t>
      </w:r>
      <w:bookmarkEnd w:id="62"/>
      <w:bookmarkStart w:id="63" w:name="_Hlk72438751"/>
      <w:r>
        <w:rPr>
          <w:rFonts w:hint="eastAsia" w:ascii="宋体" w:hAnsi="宋体"/>
          <w:szCs w:val="21"/>
          <w:highlight w:val="none"/>
        </w:rPr>
        <w:t>供应商如对评审结果有异议，</w:t>
      </w:r>
      <w:r>
        <w:rPr>
          <w:rFonts w:ascii="宋体" w:hAnsi="宋体"/>
          <w:szCs w:val="21"/>
          <w:highlight w:val="none"/>
        </w:rPr>
        <w:t>可在发布公示日期起</w:t>
      </w:r>
      <w:r>
        <w:rPr>
          <w:rFonts w:hint="eastAsia" w:ascii="宋体" w:hAnsi="宋体"/>
          <w:szCs w:val="21"/>
          <w:highlight w:val="none"/>
        </w:rPr>
        <w:t>七</w:t>
      </w:r>
      <w:r>
        <w:rPr>
          <w:rFonts w:ascii="宋体" w:hAnsi="宋体"/>
          <w:szCs w:val="21"/>
          <w:highlight w:val="none"/>
        </w:rPr>
        <w:t>个工作日内向</w:t>
      </w:r>
      <w:r>
        <w:rPr>
          <w:rFonts w:hint="eastAsia" w:ascii="宋体" w:hAnsi="宋体"/>
          <w:szCs w:val="21"/>
          <w:highlight w:val="none"/>
        </w:rPr>
        <w:t>政府集中采购机构</w:t>
      </w:r>
      <w:r>
        <w:rPr>
          <w:rFonts w:ascii="宋体" w:hAnsi="宋体"/>
          <w:szCs w:val="21"/>
          <w:highlight w:val="none"/>
        </w:rPr>
        <w:t>提出。 监督电话：0755-83948143。</w:t>
      </w:r>
      <w:r>
        <w:rPr>
          <w:rFonts w:hint="eastAsia" w:ascii="宋体" w:hAnsi="宋体"/>
          <w:szCs w:val="21"/>
          <w:highlight w:val="none"/>
        </w:rPr>
        <w:t>若在公示期内未提出质疑，则视为认同该评审结果。</w:t>
      </w:r>
    </w:p>
    <w:bookmarkEnd w:id="63"/>
    <w:p>
      <w:pPr>
        <w:ind w:firstLine="411" w:firstLineChars="196"/>
        <w:rPr>
          <w:rFonts w:ascii="宋体" w:hAnsi="宋体"/>
          <w:szCs w:val="21"/>
          <w:highlight w:val="none"/>
        </w:rPr>
      </w:pPr>
      <w:r>
        <w:rPr>
          <w:rFonts w:hint="eastAsia" w:ascii="宋体" w:hAnsi="宋体"/>
          <w:szCs w:val="21"/>
          <w:highlight w:val="none"/>
        </w:rPr>
        <w:t>40.2质疑、投诉供应商应保证质疑、投诉内容的真实性和可靠性，并承担相应的法律责任。</w:t>
      </w:r>
    </w:p>
    <w:p>
      <w:pPr>
        <w:rPr>
          <w:rFonts w:ascii="黑体" w:hAnsi="宋体" w:eastAsia="黑体"/>
          <w:sz w:val="24"/>
          <w:highlight w:val="none"/>
        </w:rPr>
      </w:pPr>
      <w:r>
        <w:rPr>
          <w:rFonts w:hint="eastAsia" w:ascii="黑体" w:hAnsi="宋体" w:eastAsia="黑体"/>
          <w:sz w:val="24"/>
          <w:highlight w:val="none"/>
        </w:rPr>
        <w:t>41．中标通知书</w:t>
      </w:r>
    </w:p>
    <w:p>
      <w:pPr>
        <w:ind w:firstLine="411" w:firstLineChars="196"/>
        <w:rPr>
          <w:rFonts w:ascii="宋体" w:hAnsi="宋体"/>
          <w:szCs w:val="21"/>
          <w:highlight w:val="none"/>
        </w:rPr>
      </w:pPr>
      <w:r>
        <w:rPr>
          <w:rFonts w:hint="eastAsia" w:ascii="宋体" w:hAnsi="宋体"/>
          <w:szCs w:val="21"/>
          <w:highlight w:val="none"/>
        </w:rPr>
        <w:t>41</w:t>
      </w:r>
      <w:r>
        <w:rPr>
          <w:rFonts w:ascii="宋体" w:hAnsi="宋体"/>
          <w:szCs w:val="21"/>
          <w:highlight w:val="none"/>
        </w:rPr>
        <w:t>.</w:t>
      </w:r>
      <w:r>
        <w:rPr>
          <w:rFonts w:hint="eastAsia" w:ascii="宋体" w:hAnsi="宋体"/>
          <w:szCs w:val="21"/>
          <w:highlight w:val="none"/>
        </w:rPr>
        <w:t>1</w:t>
      </w:r>
      <w:bookmarkStart w:id="64" w:name="_Hlk72438863"/>
      <w:r>
        <w:rPr>
          <w:rFonts w:hint="eastAsia" w:ascii="宋体" w:hAnsi="宋体"/>
          <w:szCs w:val="21"/>
          <w:highlight w:val="none"/>
        </w:rPr>
        <w:t>中标公告公布以后无异常的情况下,中标供应商和采购人可自行在</w:t>
      </w:r>
      <w:r>
        <w:rPr>
          <w:rFonts w:hint="eastAsia" w:ascii="宋体" w:hAnsi="宋体"/>
          <w:b/>
          <w:bCs/>
          <w:szCs w:val="21"/>
          <w:highlight w:val="none"/>
        </w:rPr>
        <w:t>“</w:t>
      </w:r>
      <w:r>
        <w:rPr>
          <w:rFonts w:hint="eastAsia" w:ascii="宋体" w:hAnsi="宋体"/>
          <w:highlight w:val="none"/>
        </w:rPr>
        <w:t>深圳市自行采购系统（https://trade.szggzy.com/ggzy/center/#/login）</w:t>
      </w:r>
      <w:r>
        <w:rPr>
          <w:rFonts w:hint="eastAsia" w:ascii="宋体" w:hAnsi="宋体"/>
          <w:b/>
          <w:bCs/>
          <w:szCs w:val="21"/>
          <w:highlight w:val="none"/>
        </w:rPr>
        <w:t>”</w:t>
      </w:r>
      <w:r>
        <w:rPr>
          <w:rFonts w:hint="eastAsia" w:ascii="宋体" w:hAnsi="宋体"/>
          <w:szCs w:val="21"/>
          <w:highlight w:val="none"/>
        </w:rPr>
        <w:t>上打印</w:t>
      </w:r>
      <w:r>
        <w:rPr>
          <w:rFonts w:hint="eastAsia" w:ascii="宋体" w:hAnsi="宋体"/>
          <w:b/>
          <w:szCs w:val="21"/>
          <w:highlight w:val="none"/>
        </w:rPr>
        <w:t>《数字中标通知书》</w:t>
      </w:r>
      <w:r>
        <w:rPr>
          <w:rFonts w:hint="eastAsia" w:ascii="宋体" w:hAnsi="宋体"/>
          <w:szCs w:val="21"/>
          <w:highlight w:val="none"/>
        </w:rPr>
        <w:t>。</w:t>
      </w:r>
      <w:bookmarkEnd w:id="64"/>
    </w:p>
    <w:p>
      <w:pPr>
        <w:ind w:firstLine="411" w:firstLineChars="196"/>
        <w:rPr>
          <w:rFonts w:ascii="宋体" w:hAnsi="宋体"/>
          <w:szCs w:val="21"/>
          <w:highlight w:val="none"/>
        </w:rPr>
      </w:pPr>
      <w:r>
        <w:rPr>
          <w:rFonts w:hint="eastAsia" w:ascii="宋体" w:hAnsi="宋体"/>
          <w:szCs w:val="21"/>
          <w:highlight w:val="none"/>
        </w:rPr>
        <w:t>41</w:t>
      </w:r>
      <w:r>
        <w:rPr>
          <w:rFonts w:ascii="宋体" w:hAnsi="宋体"/>
          <w:szCs w:val="21"/>
          <w:highlight w:val="none"/>
        </w:rPr>
        <w:t>.2</w:t>
      </w:r>
      <w:r>
        <w:rPr>
          <w:rFonts w:hint="eastAsia" w:ascii="宋体" w:hAnsi="宋体"/>
          <w:szCs w:val="21"/>
          <w:highlight w:val="none"/>
        </w:rPr>
        <w:t>中标通知书是合同的重要组成部分。</w:t>
      </w:r>
    </w:p>
    <w:p>
      <w:pPr>
        <w:ind w:firstLine="411" w:firstLineChars="196"/>
        <w:rPr>
          <w:rFonts w:ascii="宋体" w:hAnsi="宋体"/>
          <w:szCs w:val="21"/>
          <w:highlight w:val="none"/>
        </w:rPr>
      </w:pPr>
      <w:bookmarkStart w:id="65" w:name="_Hlk71407340"/>
      <w:r>
        <w:rPr>
          <w:rFonts w:hint="eastAsia" w:ascii="宋体" w:hAnsi="宋体"/>
          <w:szCs w:val="21"/>
          <w:highlight w:val="none"/>
        </w:rPr>
        <w:t>41.3因质疑投诉或其它原因导致项目结果变更或采购终止的，政府集中采购机构有权吊销中标通知书。</w:t>
      </w:r>
    </w:p>
    <w:bookmarkEnd w:id="65"/>
    <w:p>
      <w:pPr>
        <w:ind w:firstLine="411" w:firstLineChars="196"/>
        <w:rPr>
          <w:rFonts w:ascii="宋体" w:hAnsi="宋体"/>
          <w:szCs w:val="21"/>
          <w:highlight w:val="none"/>
        </w:rPr>
      </w:pPr>
    </w:p>
    <w:p>
      <w:pPr>
        <w:pStyle w:val="3"/>
        <w:numPr>
          <w:ilvl w:val="0"/>
          <w:numId w:val="12"/>
        </w:numPr>
        <w:spacing w:before="120" w:beforeLines="50" w:after="120" w:afterLines="50"/>
        <w:ind w:left="562" w:hanging="562"/>
        <w:rPr>
          <w:sz w:val="28"/>
          <w:szCs w:val="28"/>
          <w:highlight w:val="none"/>
        </w:rPr>
      </w:pPr>
      <w:r>
        <w:rPr>
          <w:rFonts w:hint="eastAsia"/>
          <w:sz w:val="28"/>
          <w:szCs w:val="28"/>
          <w:highlight w:val="none"/>
        </w:rPr>
        <w:t>公开招标失败的后续处理</w:t>
      </w:r>
    </w:p>
    <w:p>
      <w:pPr>
        <w:rPr>
          <w:rFonts w:ascii="黑体" w:hAnsi="宋体" w:eastAsia="黑体"/>
          <w:sz w:val="24"/>
          <w:highlight w:val="none"/>
        </w:rPr>
      </w:pPr>
      <w:r>
        <w:rPr>
          <w:rFonts w:hint="eastAsia" w:ascii="黑体" w:hAnsi="宋体" w:eastAsia="黑体"/>
          <w:sz w:val="24"/>
          <w:highlight w:val="none"/>
        </w:rPr>
        <w:t>42．公开招标失败的处理</w:t>
      </w:r>
    </w:p>
    <w:p>
      <w:pPr>
        <w:ind w:firstLine="411" w:firstLineChars="196"/>
        <w:rPr>
          <w:rFonts w:ascii="宋体" w:hAnsi="宋体"/>
          <w:highlight w:val="none"/>
        </w:rPr>
      </w:pPr>
      <w:r>
        <w:rPr>
          <w:rFonts w:hint="eastAsia" w:ascii="宋体" w:hAnsi="宋体"/>
          <w:szCs w:val="21"/>
          <w:highlight w:val="none"/>
        </w:rPr>
        <w:t>42.1本项目公开招标过程中若由于投标截止后</w:t>
      </w:r>
      <w:r>
        <w:rPr>
          <w:rFonts w:hint="eastAsia" w:ascii="宋体" w:hAnsi="宋体"/>
          <w:highlight w:val="none"/>
        </w:rPr>
        <w:t>实际递交</w:t>
      </w:r>
      <w:r>
        <w:rPr>
          <w:rFonts w:ascii="宋体" w:hAnsi="宋体"/>
          <w:highlight w:val="none"/>
        </w:rPr>
        <w:t>投标</w:t>
      </w:r>
      <w:r>
        <w:rPr>
          <w:rFonts w:hint="eastAsia" w:ascii="宋体" w:hAnsi="宋体"/>
          <w:highlight w:val="none"/>
        </w:rPr>
        <w:t>文件的供应商数量不足、经</w:t>
      </w:r>
      <w:r>
        <w:rPr>
          <w:rFonts w:hint="eastAsia" w:ascii="宋体" w:hAnsi="宋体"/>
          <w:szCs w:val="21"/>
          <w:highlight w:val="none"/>
        </w:rPr>
        <w:t>评审委员会</w:t>
      </w:r>
      <w:r>
        <w:rPr>
          <w:rFonts w:hint="eastAsia" w:ascii="宋体" w:hAnsi="宋体"/>
          <w:highlight w:val="none"/>
        </w:rPr>
        <w:t>评审对招标文件作实质响应的供应商不足等原因造成公开招标失败，可由</w:t>
      </w:r>
      <w:r>
        <w:rPr>
          <w:rFonts w:hint="eastAsia" w:ascii="宋体" w:hAnsi="宋体" w:cs="宋体"/>
          <w:highlight w:val="none"/>
        </w:rPr>
        <w:t>政府集中采购机构</w:t>
      </w:r>
      <w:r>
        <w:rPr>
          <w:rFonts w:hint="eastAsia" w:ascii="宋体" w:hAnsi="宋体"/>
          <w:highlight w:val="none"/>
        </w:rPr>
        <w:t>重新组织采购。</w:t>
      </w:r>
    </w:p>
    <w:p>
      <w:pPr>
        <w:ind w:firstLine="411" w:firstLineChars="196"/>
        <w:rPr>
          <w:rFonts w:ascii="宋体" w:hAnsi="宋体"/>
          <w:szCs w:val="21"/>
          <w:highlight w:val="none"/>
        </w:rPr>
      </w:pPr>
      <w:r>
        <w:rPr>
          <w:rFonts w:hint="eastAsia" w:ascii="宋体" w:hAnsi="宋体"/>
          <w:szCs w:val="21"/>
          <w:highlight w:val="none"/>
        </w:rPr>
        <w:t>42.2对公开招标失败的项目，评审委员会在出具该项目招标失败结论的同时，可以提出重新采购组织形式的建议，以及进一步完善招标文件的资格、技术、商务要求的修改建议。</w:t>
      </w:r>
    </w:p>
    <w:p>
      <w:pPr>
        <w:ind w:firstLine="411" w:firstLineChars="196"/>
        <w:rPr>
          <w:rFonts w:ascii="宋体" w:hAnsi="宋体"/>
          <w:szCs w:val="21"/>
          <w:highlight w:val="none"/>
        </w:rPr>
      </w:pPr>
      <w:r>
        <w:rPr>
          <w:rFonts w:hint="eastAsia" w:ascii="宋体" w:hAnsi="宋体"/>
          <w:szCs w:val="21"/>
          <w:highlight w:val="none"/>
        </w:rPr>
        <w:t>42.3重新组织采购有以下两种组织形式：</w:t>
      </w:r>
    </w:p>
    <w:p>
      <w:pPr>
        <w:ind w:firstLine="411" w:firstLineChars="196"/>
        <w:rPr>
          <w:rFonts w:ascii="宋体" w:hAnsi="宋体"/>
          <w:highlight w:val="none"/>
        </w:rPr>
      </w:pPr>
      <w:r>
        <w:rPr>
          <w:rFonts w:hint="eastAsia" w:ascii="宋体" w:hAnsi="宋体"/>
          <w:highlight w:val="none"/>
        </w:rPr>
        <w:t>（1）由政府集中采购机构重新组织公开招标；</w:t>
      </w:r>
    </w:p>
    <w:p>
      <w:pPr>
        <w:ind w:firstLine="411" w:firstLineChars="196"/>
        <w:rPr>
          <w:rFonts w:ascii="宋体" w:hAnsi="宋体"/>
          <w:highlight w:val="none"/>
        </w:rPr>
      </w:pPr>
      <w:r>
        <w:rPr>
          <w:rFonts w:hint="eastAsia" w:ascii="宋体" w:hAnsi="宋体"/>
          <w:highlight w:val="none"/>
        </w:rPr>
        <w:t>（2）根据实际情况需要向同级财政部门提出非公开招标方式申请，经同级财政部门批准，公开招标失败采购项目可转为竞争性谈判或单一来源谈判方式采购。</w:t>
      </w:r>
    </w:p>
    <w:p>
      <w:pPr>
        <w:ind w:firstLine="411" w:firstLineChars="196"/>
        <w:rPr>
          <w:rFonts w:ascii="宋体" w:hAnsi="宋体"/>
          <w:highlight w:val="none"/>
        </w:rPr>
      </w:pPr>
      <w:r>
        <w:rPr>
          <w:rFonts w:hint="eastAsia" w:ascii="宋体" w:hAnsi="宋体"/>
          <w:highlight w:val="none"/>
        </w:rPr>
        <w:t>42.4公开招标失败的采购项目重新组织公开招标，由政府集中采购机构重新按公开招标流程组织采购活动。</w:t>
      </w:r>
    </w:p>
    <w:p>
      <w:pPr>
        <w:rPr>
          <w:rFonts w:ascii="宋体" w:hAnsi="宋体"/>
          <w:highlight w:val="none"/>
        </w:rPr>
      </w:pPr>
      <w:r>
        <w:rPr>
          <w:rFonts w:hint="eastAsia" w:ascii="黑体" w:hAnsi="宋体" w:eastAsia="黑体"/>
          <w:sz w:val="24"/>
          <w:highlight w:val="none"/>
        </w:rPr>
        <w:t xml:space="preserve">    </w:t>
      </w:r>
      <w:r>
        <w:rPr>
          <w:rFonts w:hint="eastAsia" w:ascii="宋体" w:hAnsi="宋体"/>
          <w:highlight w:val="none"/>
        </w:rPr>
        <w:t>42.5公开招标失败的采购项目经同级财政部门批准转为竞争性谈判或单一来源谈判方式采购的，按规定要求组织政府采购工作。</w:t>
      </w:r>
    </w:p>
    <w:p>
      <w:pPr>
        <w:rPr>
          <w:rFonts w:ascii="黑体" w:hAnsi="宋体" w:eastAsia="黑体"/>
          <w:sz w:val="24"/>
          <w:highlight w:val="none"/>
        </w:rPr>
      </w:pPr>
    </w:p>
    <w:p>
      <w:pPr>
        <w:pStyle w:val="3"/>
        <w:numPr>
          <w:ilvl w:val="0"/>
          <w:numId w:val="12"/>
        </w:numPr>
        <w:spacing w:before="120" w:beforeLines="50" w:after="120" w:afterLines="50"/>
        <w:ind w:left="562" w:hanging="562"/>
        <w:rPr>
          <w:sz w:val="28"/>
          <w:szCs w:val="28"/>
          <w:highlight w:val="none"/>
        </w:rPr>
      </w:pPr>
      <w:bookmarkStart w:id="66" w:name="_Hlk72439043"/>
      <w:r>
        <w:rPr>
          <w:rFonts w:hint="eastAsia"/>
          <w:sz w:val="28"/>
          <w:szCs w:val="28"/>
          <w:highlight w:val="none"/>
        </w:rPr>
        <w:t>合同的授予与备案</w:t>
      </w:r>
      <w:bookmarkEnd w:id="66"/>
    </w:p>
    <w:p>
      <w:pPr>
        <w:rPr>
          <w:rFonts w:ascii="黑体" w:hAnsi="宋体" w:eastAsia="黑体"/>
          <w:sz w:val="24"/>
          <w:highlight w:val="none"/>
        </w:rPr>
      </w:pPr>
      <w:bookmarkStart w:id="67" w:name="_Toc73521674"/>
      <w:bookmarkStart w:id="68" w:name="_Toc73518157"/>
      <w:bookmarkStart w:id="69" w:name="_Toc100052408"/>
      <w:bookmarkStart w:id="70" w:name="_Toc73517679"/>
      <w:bookmarkStart w:id="71" w:name="_Toc73521586"/>
      <w:bookmarkStart w:id="72" w:name="_Hlk72439088"/>
      <w:r>
        <w:rPr>
          <w:rFonts w:hint="eastAsia" w:ascii="黑体" w:hAnsi="宋体" w:eastAsia="黑体"/>
          <w:sz w:val="24"/>
          <w:highlight w:val="none"/>
        </w:rPr>
        <w:t>43．合同授予标准</w:t>
      </w:r>
      <w:bookmarkEnd w:id="67"/>
      <w:bookmarkEnd w:id="68"/>
      <w:bookmarkEnd w:id="69"/>
      <w:bookmarkEnd w:id="70"/>
      <w:bookmarkEnd w:id="71"/>
    </w:p>
    <w:p>
      <w:pPr>
        <w:ind w:firstLine="411" w:firstLineChars="196"/>
        <w:rPr>
          <w:rFonts w:ascii="宋体" w:hAnsi="宋体"/>
          <w:szCs w:val="21"/>
          <w:highlight w:val="none"/>
        </w:rPr>
      </w:pPr>
      <w:r>
        <w:rPr>
          <w:rFonts w:hint="eastAsia" w:ascii="宋体" w:hAnsi="宋体"/>
          <w:szCs w:val="21"/>
          <w:highlight w:val="none"/>
        </w:rPr>
        <w:t>本项目的合同将授予经本招标文件规定评审确定的中标供应商。</w:t>
      </w:r>
    </w:p>
    <w:p>
      <w:pPr>
        <w:rPr>
          <w:rFonts w:ascii="黑体" w:hAnsi="宋体" w:eastAsia="黑体"/>
          <w:sz w:val="24"/>
          <w:highlight w:val="none"/>
        </w:rPr>
      </w:pPr>
      <w:bookmarkStart w:id="73" w:name="_Toc73517680"/>
      <w:bookmarkStart w:id="74" w:name="_Toc73521675"/>
      <w:bookmarkStart w:id="75" w:name="_Toc73518158"/>
      <w:bookmarkStart w:id="76" w:name="_Toc73521587"/>
      <w:bookmarkStart w:id="77" w:name="_Toc100052409"/>
      <w:r>
        <w:rPr>
          <w:rFonts w:hint="eastAsia" w:ascii="黑体" w:hAnsi="宋体" w:eastAsia="黑体"/>
          <w:sz w:val="24"/>
          <w:highlight w:val="none"/>
        </w:rPr>
        <w:t>44．</w:t>
      </w:r>
      <w:bookmarkEnd w:id="73"/>
      <w:bookmarkEnd w:id="74"/>
      <w:bookmarkEnd w:id="75"/>
      <w:bookmarkEnd w:id="76"/>
      <w:bookmarkEnd w:id="77"/>
      <w:r>
        <w:rPr>
          <w:rFonts w:hint="eastAsia" w:ascii="黑体" w:hAnsi="宋体" w:eastAsia="黑体"/>
          <w:sz w:val="24"/>
          <w:highlight w:val="none"/>
        </w:rPr>
        <w:t>接受和拒绝任何或所有投标的权力</w:t>
      </w:r>
    </w:p>
    <w:p>
      <w:pPr>
        <w:ind w:firstLine="411" w:firstLineChars="196"/>
        <w:rPr>
          <w:rFonts w:ascii="宋体" w:hAnsi="宋体"/>
          <w:szCs w:val="21"/>
          <w:highlight w:val="none"/>
        </w:rPr>
      </w:pPr>
      <w:r>
        <w:rPr>
          <w:rFonts w:hint="eastAsia" w:ascii="宋体" w:hAnsi="宋体"/>
          <w:szCs w:val="21"/>
          <w:highlight w:val="none"/>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ascii="黑体" w:hAnsi="宋体" w:eastAsia="黑体"/>
          <w:sz w:val="24"/>
          <w:highlight w:val="none"/>
        </w:rPr>
      </w:pPr>
      <w:bookmarkStart w:id="78" w:name="_Toc73518160"/>
      <w:bookmarkStart w:id="79" w:name="_Toc73517682"/>
      <w:bookmarkStart w:id="80" w:name="_Toc100052410"/>
      <w:bookmarkStart w:id="81" w:name="_Toc73521677"/>
      <w:bookmarkStart w:id="82" w:name="_Toc73521589"/>
      <w:r>
        <w:rPr>
          <w:rFonts w:hint="eastAsia" w:ascii="黑体" w:hAnsi="宋体" w:eastAsia="黑体"/>
          <w:sz w:val="24"/>
          <w:highlight w:val="none"/>
        </w:rPr>
        <w:t>45．合同的签订</w:t>
      </w:r>
      <w:bookmarkEnd w:id="78"/>
      <w:bookmarkEnd w:id="79"/>
      <w:bookmarkEnd w:id="80"/>
      <w:bookmarkEnd w:id="81"/>
      <w:bookmarkEnd w:id="82"/>
    </w:p>
    <w:p>
      <w:pPr>
        <w:ind w:firstLine="411" w:firstLineChars="196"/>
        <w:rPr>
          <w:rFonts w:ascii="宋体" w:hAnsi="宋体"/>
          <w:szCs w:val="21"/>
          <w:highlight w:val="none"/>
        </w:rPr>
      </w:pPr>
      <w:r>
        <w:rPr>
          <w:rFonts w:hint="eastAsia" w:ascii="宋体" w:hAnsi="宋体"/>
          <w:szCs w:val="21"/>
          <w:highlight w:val="none"/>
        </w:rPr>
        <w:t>45.1中标人将于中标通知书发出之日起十个工作日内，按照采购文件（招标文件和投标文件等）内容与采购人签订政府采购合同；合同的实质性内容应当符合招标文件的规定；</w:t>
      </w:r>
    </w:p>
    <w:p>
      <w:pPr>
        <w:ind w:firstLine="411" w:firstLineChars="196"/>
        <w:rPr>
          <w:rFonts w:ascii="宋体" w:hAnsi="宋体"/>
          <w:szCs w:val="21"/>
          <w:highlight w:val="none"/>
        </w:rPr>
      </w:pPr>
      <w:r>
        <w:rPr>
          <w:rFonts w:hint="eastAsia" w:ascii="宋体" w:hAnsi="宋体"/>
          <w:szCs w:val="21"/>
          <w:highlight w:val="none"/>
        </w:rPr>
        <w:t>45.2中标人如不按本通用条款第45</w:t>
      </w:r>
      <w:r>
        <w:rPr>
          <w:rFonts w:ascii="宋体" w:hAnsi="宋体"/>
          <w:szCs w:val="21"/>
          <w:highlight w:val="none"/>
        </w:rPr>
        <w:t>.1</w:t>
      </w:r>
      <w:r>
        <w:rPr>
          <w:rFonts w:hint="eastAsia" w:ascii="宋体" w:hAnsi="宋体"/>
          <w:szCs w:val="21"/>
          <w:highlight w:val="none"/>
        </w:rPr>
        <w:t>款的规定与采购人签订合同，</w:t>
      </w:r>
      <w:r>
        <w:rPr>
          <w:rFonts w:ascii="宋体" w:hAnsi="宋体" w:cs="宋体"/>
          <w:kern w:val="0"/>
          <w:szCs w:val="21"/>
          <w:highlight w:val="none"/>
        </w:rPr>
        <w:t>情节严重的，由</w:t>
      </w:r>
      <w:r>
        <w:rPr>
          <w:rFonts w:hint="eastAsia" w:ascii="宋体" w:hAnsi="宋体" w:cs="宋体"/>
          <w:kern w:val="0"/>
          <w:szCs w:val="21"/>
          <w:highlight w:val="none"/>
        </w:rPr>
        <w:t>同级财政</w:t>
      </w:r>
      <w:r>
        <w:rPr>
          <w:rFonts w:ascii="宋体" w:hAnsi="宋体" w:cs="宋体"/>
          <w:kern w:val="0"/>
          <w:szCs w:val="21"/>
          <w:highlight w:val="none"/>
        </w:rPr>
        <w:t>部门记入供应商诚信档案，予以通报</w:t>
      </w:r>
      <w:r>
        <w:rPr>
          <w:rFonts w:hint="eastAsia" w:ascii="宋体" w:hAnsi="宋体"/>
          <w:szCs w:val="21"/>
          <w:highlight w:val="none"/>
        </w:rPr>
        <w:t>；</w:t>
      </w:r>
    </w:p>
    <w:p>
      <w:pPr>
        <w:ind w:firstLine="411" w:firstLineChars="196"/>
        <w:rPr>
          <w:rFonts w:ascii="宋体" w:hAnsi="宋体"/>
          <w:szCs w:val="21"/>
          <w:highlight w:val="none"/>
        </w:rPr>
      </w:pPr>
      <w:r>
        <w:rPr>
          <w:rFonts w:hint="eastAsia" w:ascii="宋体" w:hAnsi="宋体"/>
          <w:szCs w:val="21"/>
          <w:highlight w:val="none"/>
        </w:rPr>
        <w:t>45.3中标人应当按照合同约定履行义务，完成中标项目，不得将中标项目转让（转包）给他人。</w:t>
      </w:r>
    </w:p>
    <w:p>
      <w:pPr>
        <w:rPr>
          <w:rFonts w:ascii="黑体" w:hAnsi="宋体" w:eastAsia="黑体"/>
          <w:sz w:val="24"/>
          <w:highlight w:val="none"/>
        </w:rPr>
      </w:pPr>
      <w:bookmarkStart w:id="83" w:name="_Toc73517683"/>
      <w:bookmarkStart w:id="84" w:name="_Toc73521590"/>
      <w:bookmarkStart w:id="85" w:name="_Toc73521678"/>
      <w:bookmarkStart w:id="86" w:name="_Toc73518161"/>
      <w:bookmarkStart w:id="87" w:name="_Toc100052411"/>
      <w:r>
        <w:rPr>
          <w:rFonts w:hint="eastAsia" w:ascii="黑体" w:hAnsi="宋体" w:eastAsia="黑体"/>
          <w:sz w:val="24"/>
          <w:highlight w:val="none"/>
        </w:rPr>
        <w:t>46．履约担保</w:t>
      </w:r>
      <w:bookmarkEnd w:id="83"/>
      <w:bookmarkEnd w:id="84"/>
      <w:bookmarkEnd w:id="85"/>
      <w:bookmarkEnd w:id="86"/>
      <w:bookmarkEnd w:id="87"/>
    </w:p>
    <w:p>
      <w:pPr>
        <w:ind w:firstLine="411" w:firstLineChars="196"/>
        <w:rPr>
          <w:rFonts w:ascii="宋体" w:hAnsi="宋体"/>
          <w:szCs w:val="21"/>
          <w:highlight w:val="none"/>
        </w:rPr>
      </w:pPr>
      <w:r>
        <w:rPr>
          <w:rFonts w:hint="eastAsia" w:ascii="宋体" w:hAnsi="宋体"/>
          <w:szCs w:val="21"/>
          <w:highlight w:val="none"/>
        </w:rPr>
        <w:t>46.1在签订项目合同的同时，中标人应按“对通用条款的补充内容”中规定的金额向采购人提交履约担保；</w:t>
      </w:r>
    </w:p>
    <w:p>
      <w:pPr>
        <w:ind w:firstLine="411" w:firstLineChars="196"/>
        <w:rPr>
          <w:rFonts w:ascii="宋体" w:hAnsi="宋体"/>
          <w:szCs w:val="21"/>
          <w:highlight w:val="none"/>
        </w:rPr>
      </w:pPr>
      <w:r>
        <w:rPr>
          <w:rFonts w:hint="eastAsia" w:ascii="宋体" w:hAnsi="宋体"/>
          <w:szCs w:val="21"/>
          <w:highlight w:val="none"/>
        </w:rPr>
        <w:t>46.2，允许供应商自主选择以支票、汇票、本票、保函等非现金方式提交履约担保；</w:t>
      </w:r>
      <w:r>
        <w:rPr>
          <w:highlight w:val="none"/>
        </w:rPr>
        <w:t>中标</w:t>
      </w:r>
      <w:r>
        <w:rPr>
          <w:rFonts w:hint="eastAsia"/>
          <w:highlight w:val="none"/>
        </w:rPr>
        <w:t>人</w:t>
      </w:r>
      <w:r>
        <w:rPr>
          <w:highlight w:val="none"/>
        </w:rPr>
        <w:t>提交履约</w:t>
      </w:r>
      <w:r>
        <w:rPr>
          <w:rFonts w:hint="eastAsia"/>
          <w:highlight w:val="none"/>
        </w:rPr>
        <w:t>担保不是</w:t>
      </w:r>
      <w:r>
        <w:rPr>
          <w:highlight w:val="none"/>
        </w:rPr>
        <w:t>合同签订的</w:t>
      </w:r>
      <w:r>
        <w:rPr>
          <w:rFonts w:hint="eastAsia"/>
          <w:highlight w:val="none"/>
        </w:rPr>
        <w:t>前提</w:t>
      </w:r>
      <w:r>
        <w:rPr>
          <w:highlight w:val="none"/>
        </w:rPr>
        <w:t>条件，不要求中标</w:t>
      </w:r>
      <w:r>
        <w:rPr>
          <w:rFonts w:hint="eastAsia"/>
          <w:highlight w:val="none"/>
        </w:rPr>
        <w:t>人</w:t>
      </w:r>
      <w:r>
        <w:rPr>
          <w:highlight w:val="none"/>
        </w:rPr>
        <w:t>提供除法律、法规明确规定外的其他担保</w:t>
      </w:r>
      <w:r>
        <w:rPr>
          <w:rFonts w:hint="eastAsia"/>
          <w:highlight w:val="none"/>
        </w:rPr>
        <w:t>。</w:t>
      </w:r>
    </w:p>
    <w:p>
      <w:pPr>
        <w:rPr>
          <w:rFonts w:ascii="黑体" w:hAnsi="宋体" w:eastAsia="黑体"/>
          <w:sz w:val="24"/>
          <w:highlight w:val="none"/>
        </w:rPr>
      </w:pPr>
      <w:r>
        <w:rPr>
          <w:rFonts w:hint="eastAsia" w:ascii="黑体" w:hAnsi="宋体" w:eastAsia="黑体"/>
          <w:sz w:val="24"/>
          <w:highlight w:val="none"/>
        </w:rPr>
        <w:t>47. 合同备案</w:t>
      </w:r>
    </w:p>
    <w:p>
      <w:pPr>
        <w:rPr>
          <w:rFonts w:ascii="黑体" w:hAnsi="宋体" w:eastAsia="黑体"/>
          <w:sz w:val="24"/>
          <w:highlight w:val="none"/>
        </w:rPr>
      </w:pPr>
      <w:r>
        <w:rPr>
          <w:rFonts w:hint="eastAsia" w:ascii="宋体" w:hAnsi="宋体" w:eastAsia="宋体" w:cs="Times New Roman"/>
          <w:kern w:val="2"/>
          <w:sz w:val="21"/>
          <w:szCs w:val="21"/>
          <w:highlight w:val="none"/>
          <w:lang w:eastAsia="zh-Hans"/>
        </w:rPr>
        <w:t>采购人与中标供应商自中标通知书发出之日起10个工作日内签订政府采购合同，</w:t>
      </w:r>
      <w:r>
        <w:rPr>
          <w:rFonts w:hint="eastAsia" w:ascii="宋体" w:hAnsi="宋体" w:eastAsia="宋体" w:cs="Times New Roman"/>
          <w:kern w:val="2"/>
          <w:sz w:val="21"/>
          <w:szCs w:val="21"/>
          <w:highlight w:val="none"/>
          <w:lang w:val="en-US" w:eastAsia="zh-CN"/>
        </w:rPr>
        <w:t>并按财政部门规定提交备案。</w:t>
      </w:r>
      <w:r>
        <w:rPr>
          <w:rFonts w:hint="eastAsia" w:ascii="黑体" w:hAnsi="宋体" w:eastAsia="黑体"/>
          <w:sz w:val="24"/>
          <w:highlight w:val="none"/>
        </w:rPr>
        <w:t>48. 合同变更</w:t>
      </w:r>
    </w:p>
    <w:p>
      <w:pPr>
        <w:ind w:firstLine="411" w:firstLineChars="196"/>
        <w:rPr>
          <w:rFonts w:ascii="宋体" w:hAnsi="宋体"/>
          <w:szCs w:val="21"/>
          <w:highlight w:val="none"/>
        </w:rPr>
      </w:pPr>
      <w:r>
        <w:rPr>
          <w:rFonts w:hint="eastAsia" w:ascii="宋体" w:hAnsi="宋体"/>
          <w:szCs w:val="21"/>
          <w:highlight w:val="none"/>
        </w:rPr>
        <w:t>合同变更事宜按《深圳市财政局关于优化政府采购合同备案的通知》（深财发保〔2022〕2号）相关规定执行。</w:t>
      </w:r>
    </w:p>
    <w:p>
      <w:pPr>
        <w:rPr>
          <w:rFonts w:ascii="黑体" w:hAnsi="宋体" w:eastAsia="黑体"/>
          <w:sz w:val="24"/>
          <w:highlight w:val="none"/>
        </w:rPr>
      </w:pPr>
      <w:r>
        <w:rPr>
          <w:rFonts w:hint="eastAsia" w:ascii="黑体" w:hAnsi="宋体" w:eastAsia="黑体"/>
          <w:sz w:val="24"/>
          <w:highlight w:val="none"/>
        </w:rPr>
        <w:t>49. 项目验收</w:t>
      </w:r>
    </w:p>
    <w:p>
      <w:pPr>
        <w:widowControl/>
        <w:ind w:right="176" w:firstLine="420"/>
        <w:jc w:val="left"/>
        <w:rPr>
          <w:rFonts w:ascii="宋体" w:hAnsi="宋体"/>
          <w:highlight w:val="none"/>
        </w:rPr>
      </w:pPr>
      <w:r>
        <w:rPr>
          <w:rFonts w:hint="eastAsia" w:ascii="宋体" w:hAnsi="宋体"/>
          <w:highlight w:val="none"/>
        </w:rPr>
        <w:t>49.1采购人应当按照招标文件和合同规定的标准和方法，及时组织验收。</w:t>
      </w:r>
      <w:r>
        <w:rPr>
          <w:rFonts w:ascii="宋体" w:hAnsi="宋体"/>
          <w:highlight w:val="none"/>
        </w:rPr>
        <w:t xml:space="preserve"> </w:t>
      </w:r>
    </w:p>
    <w:p>
      <w:pPr>
        <w:rPr>
          <w:rFonts w:ascii="黑体" w:hAnsi="宋体" w:eastAsia="黑体"/>
          <w:sz w:val="24"/>
          <w:highlight w:val="none"/>
        </w:rPr>
      </w:pPr>
      <w:r>
        <w:rPr>
          <w:rFonts w:hint="eastAsia" w:ascii="黑体" w:hAnsi="宋体" w:eastAsia="黑体"/>
          <w:sz w:val="24"/>
          <w:highlight w:val="none"/>
        </w:rPr>
        <w:t>50. 宣传</w:t>
      </w:r>
    </w:p>
    <w:p>
      <w:pPr>
        <w:ind w:left="210" w:leftChars="100" w:firstLine="411" w:firstLineChars="196"/>
        <w:rPr>
          <w:rFonts w:ascii="宋体" w:hAnsi="宋体"/>
          <w:highlight w:val="none"/>
        </w:rPr>
      </w:pPr>
      <w:r>
        <w:rPr>
          <w:rFonts w:hint="eastAsia" w:ascii="宋体" w:hAnsi="宋体"/>
          <w:highlight w:val="none"/>
        </w:rPr>
        <w:t>凡与政府采购活动有关的宣传或广告，若当中提及政府采购，</w:t>
      </w:r>
      <w:r>
        <w:rPr>
          <w:rFonts w:ascii="宋体" w:hAnsi="宋体"/>
          <w:highlight w:val="none"/>
        </w:rPr>
        <w:t>必须事先将具体对外宣传方案报</w:t>
      </w:r>
      <w:r>
        <w:rPr>
          <w:rFonts w:hint="eastAsia" w:ascii="宋体" w:hAnsi="宋体"/>
          <w:highlight w:val="none"/>
        </w:rPr>
        <w:t>同级财政部门</w:t>
      </w:r>
      <w:r>
        <w:rPr>
          <w:rFonts w:ascii="宋体" w:hAnsi="宋体"/>
          <w:highlight w:val="none"/>
        </w:rPr>
        <w:t>和</w:t>
      </w:r>
      <w:r>
        <w:rPr>
          <w:rFonts w:hint="eastAsia" w:ascii="宋体" w:hAnsi="宋体"/>
          <w:highlight w:val="none"/>
        </w:rPr>
        <w:t>政府集中采购机构</w:t>
      </w:r>
      <w:r>
        <w:rPr>
          <w:rFonts w:ascii="宋体" w:hAnsi="宋体"/>
          <w:highlight w:val="none"/>
        </w:rPr>
        <w:t>，并征得其同意。对外市场宣传包括但不限于以下形式：</w:t>
      </w:r>
    </w:p>
    <w:p>
      <w:pPr>
        <w:ind w:left="210" w:leftChars="100" w:firstLine="411" w:firstLineChars="196"/>
        <w:rPr>
          <w:rFonts w:ascii="宋体" w:hAnsi="宋体"/>
          <w:highlight w:val="none"/>
        </w:rPr>
      </w:pPr>
      <w:r>
        <w:rPr>
          <w:rFonts w:ascii="宋体" w:hAnsi="宋体"/>
          <w:highlight w:val="none"/>
        </w:rPr>
        <w:t>a.名片、宣传册、广告标语等；</w:t>
      </w:r>
    </w:p>
    <w:p>
      <w:pPr>
        <w:ind w:left="210" w:leftChars="100" w:firstLine="411" w:firstLineChars="196"/>
        <w:rPr>
          <w:rFonts w:ascii="宋体" w:hAnsi="宋体"/>
          <w:highlight w:val="none"/>
        </w:rPr>
      </w:pPr>
      <w:r>
        <w:rPr>
          <w:rFonts w:ascii="宋体" w:hAnsi="宋体"/>
          <w:highlight w:val="none"/>
        </w:rPr>
        <w:t>b.案例介绍、推广等；</w:t>
      </w:r>
    </w:p>
    <w:p>
      <w:pPr>
        <w:ind w:left="210" w:leftChars="100" w:firstLine="411" w:firstLineChars="196"/>
        <w:rPr>
          <w:rFonts w:ascii="宋体" w:hAnsi="宋体"/>
          <w:highlight w:val="none"/>
        </w:rPr>
      </w:pPr>
      <w:r>
        <w:rPr>
          <w:rFonts w:hint="eastAsia" w:ascii="宋体" w:hAnsi="宋体"/>
          <w:highlight w:val="none"/>
        </w:rPr>
        <w:t>c.工作</w:t>
      </w:r>
      <w:r>
        <w:rPr>
          <w:rFonts w:ascii="宋体" w:hAnsi="宋体"/>
          <w:highlight w:val="none"/>
        </w:rPr>
        <w:t>人员向其他消费群体宣传。</w:t>
      </w:r>
    </w:p>
    <w:p>
      <w:pPr>
        <w:rPr>
          <w:rFonts w:ascii="黑体" w:hAnsi="宋体" w:eastAsia="黑体"/>
          <w:sz w:val="24"/>
          <w:highlight w:val="none"/>
        </w:rPr>
      </w:pPr>
      <w:r>
        <w:rPr>
          <w:rFonts w:hint="eastAsia" w:ascii="黑体" w:hAnsi="宋体" w:eastAsia="黑体"/>
          <w:sz w:val="24"/>
          <w:highlight w:val="none"/>
        </w:rPr>
        <w:t>51. 供应商违法责任</w:t>
      </w:r>
    </w:p>
    <w:p>
      <w:pPr>
        <w:ind w:firstLine="411" w:firstLineChars="196"/>
        <w:rPr>
          <w:rFonts w:ascii="宋体" w:hAnsi="宋体"/>
          <w:szCs w:val="21"/>
          <w:highlight w:val="none"/>
        </w:rPr>
      </w:pPr>
      <w:r>
        <w:rPr>
          <w:rFonts w:hint="eastAsia" w:ascii="宋体" w:hAnsi="宋体"/>
          <w:szCs w:val="21"/>
          <w:highlight w:val="none"/>
        </w:rPr>
        <w:t>5</w:t>
      </w:r>
      <w:r>
        <w:rPr>
          <w:rFonts w:ascii="宋体" w:hAnsi="宋体"/>
          <w:szCs w:val="21"/>
          <w:highlight w:val="none"/>
        </w:rPr>
        <w:t>1.1</w:t>
      </w:r>
      <w:r>
        <w:rPr>
          <w:rFonts w:hint="eastAsia" w:ascii="宋体" w:hAnsi="宋体"/>
          <w:szCs w:val="21"/>
          <w:highlight w:val="none"/>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11" w:firstLineChars="196"/>
        <w:rPr>
          <w:rFonts w:ascii="宋体" w:hAnsi="宋体"/>
          <w:szCs w:val="21"/>
          <w:highlight w:val="none"/>
        </w:rPr>
      </w:pPr>
      <w:r>
        <w:rPr>
          <w:rFonts w:hint="eastAsia" w:ascii="宋体" w:hAnsi="宋体"/>
          <w:szCs w:val="21"/>
          <w:highlight w:val="none"/>
        </w:rPr>
        <w:t>（1）在采购活动中应当回避而未回避的；</w:t>
      </w:r>
    </w:p>
    <w:p>
      <w:pPr>
        <w:ind w:firstLine="411" w:firstLineChars="196"/>
        <w:rPr>
          <w:rFonts w:ascii="宋体" w:hAnsi="宋体"/>
          <w:szCs w:val="21"/>
          <w:highlight w:val="none"/>
        </w:rPr>
      </w:pPr>
      <w:r>
        <w:rPr>
          <w:rFonts w:hint="eastAsia" w:ascii="宋体" w:hAnsi="宋体"/>
          <w:szCs w:val="21"/>
          <w:highlight w:val="none"/>
        </w:rPr>
        <w:t>（2）未按本条例规定签订、履行采购合同，造成严重后果的；</w:t>
      </w:r>
    </w:p>
    <w:p>
      <w:pPr>
        <w:ind w:firstLine="411" w:firstLineChars="196"/>
        <w:rPr>
          <w:rFonts w:ascii="宋体" w:hAnsi="宋体"/>
          <w:szCs w:val="21"/>
          <w:highlight w:val="none"/>
        </w:rPr>
      </w:pPr>
      <w:r>
        <w:rPr>
          <w:rFonts w:hint="eastAsia" w:ascii="宋体" w:hAnsi="宋体"/>
          <w:szCs w:val="21"/>
          <w:highlight w:val="none"/>
        </w:rPr>
        <w:t>（3）隐瞒真实情况，提供虚假资料的；</w:t>
      </w:r>
    </w:p>
    <w:p>
      <w:pPr>
        <w:ind w:firstLine="411" w:firstLineChars="196"/>
        <w:rPr>
          <w:rFonts w:ascii="宋体" w:hAnsi="宋体"/>
          <w:szCs w:val="21"/>
          <w:highlight w:val="none"/>
        </w:rPr>
      </w:pPr>
      <w:r>
        <w:rPr>
          <w:rFonts w:hint="eastAsia" w:ascii="宋体" w:hAnsi="宋体"/>
          <w:szCs w:val="21"/>
          <w:highlight w:val="none"/>
        </w:rPr>
        <w:t>（4）以非法手段排斥其他供应商参与竞争的；</w:t>
      </w:r>
    </w:p>
    <w:p>
      <w:pPr>
        <w:ind w:firstLine="411" w:firstLineChars="196"/>
        <w:rPr>
          <w:rFonts w:ascii="宋体" w:hAnsi="宋体"/>
          <w:szCs w:val="21"/>
          <w:highlight w:val="none"/>
        </w:rPr>
      </w:pPr>
      <w:r>
        <w:rPr>
          <w:rFonts w:hint="eastAsia" w:ascii="宋体" w:hAnsi="宋体"/>
          <w:szCs w:val="21"/>
          <w:highlight w:val="none"/>
        </w:rPr>
        <w:t>（5）与其他采购参加人串通投标的；</w:t>
      </w:r>
    </w:p>
    <w:p>
      <w:pPr>
        <w:ind w:firstLine="411" w:firstLineChars="196"/>
        <w:rPr>
          <w:rFonts w:ascii="宋体" w:hAnsi="宋体"/>
          <w:szCs w:val="21"/>
          <w:highlight w:val="none"/>
        </w:rPr>
      </w:pPr>
      <w:r>
        <w:rPr>
          <w:rFonts w:hint="eastAsia" w:ascii="宋体" w:hAnsi="宋体"/>
          <w:szCs w:val="21"/>
          <w:highlight w:val="none"/>
        </w:rPr>
        <w:t>（6）恶意投诉的；</w:t>
      </w:r>
    </w:p>
    <w:p>
      <w:pPr>
        <w:ind w:firstLine="411" w:firstLineChars="196"/>
        <w:rPr>
          <w:rFonts w:ascii="宋体" w:hAnsi="宋体"/>
          <w:szCs w:val="21"/>
          <w:highlight w:val="none"/>
        </w:rPr>
      </w:pPr>
      <w:r>
        <w:rPr>
          <w:rFonts w:hint="eastAsia" w:ascii="宋体" w:hAnsi="宋体"/>
          <w:szCs w:val="21"/>
          <w:highlight w:val="none"/>
        </w:rPr>
        <w:t>（7）向采购项目相关人行贿或者提供其他不当利益的；</w:t>
      </w:r>
    </w:p>
    <w:p>
      <w:pPr>
        <w:ind w:firstLine="411" w:firstLineChars="196"/>
        <w:rPr>
          <w:rFonts w:ascii="宋体" w:hAnsi="宋体"/>
          <w:szCs w:val="21"/>
          <w:highlight w:val="none"/>
        </w:rPr>
      </w:pPr>
      <w:r>
        <w:rPr>
          <w:rFonts w:hint="eastAsia" w:ascii="宋体" w:hAnsi="宋体"/>
          <w:szCs w:val="21"/>
          <w:highlight w:val="none"/>
        </w:rPr>
        <w:t>（8）阻碍、抗拒主管部门监督检查的；</w:t>
      </w:r>
    </w:p>
    <w:p>
      <w:pPr>
        <w:ind w:firstLine="411" w:firstLineChars="196"/>
        <w:rPr>
          <w:rFonts w:ascii="宋体" w:hAnsi="宋体"/>
          <w:szCs w:val="21"/>
          <w:highlight w:val="none"/>
        </w:rPr>
      </w:pPr>
      <w:r>
        <w:rPr>
          <w:rFonts w:hint="eastAsia" w:ascii="宋体" w:hAnsi="宋体"/>
          <w:szCs w:val="21"/>
          <w:highlight w:val="none"/>
        </w:rPr>
        <w:t>（9）其他违反本条例规定的行为。</w:t>
      </w:r>
    </w:p>
    <w:p>
      <w:pPr>
        <w:ind w:firstLine="411" w:firstLineChars="196"/>
        <w:rPr>
          <w:rFonts w:ascii="宋体" w:hAnsi="宋体"/>
          <w:szCs w:val="21"/>
          <w:highlight w:val="none"/>
        </w:rPr>
      </w:pPr>
      <w:r>
        <w:rPr>
          <w:rFonts w:hint="eastAsia" w:ascii="宋体" w:hAnsi="宋体"/>
          <w:szCs w:val="21"/>
          <w:highlight w:val="none"/>
        </w:rPr>
        <w:t>5</w:t>
      </w:r>
      <w:r>
        <w:rPr>
          <w:rFonts w:ascii="宋体" w:hAnsi="宋体"/>
          <w:szCs w:val="21"/>
          <w:highlight w:val="none"/>
        </w:rPr>
        <w:t xml:space="preserve">1.2 </w:t>
      </w:r>
      <w:r>
        <w:rPr>
          <w:rFonts w:hint="eastAsia" w:ascii="宋体" w:hAnsi="宋体"/>
          <w:szCs w:val="21"/>
          <w:highlight w:val="none"/>
        </w:rPr>
        <w:t>根据《深圳市财政局关于调整政府采购投标（响应）保证金管理政策的通知 》（深财购〔2021〕51 号）的要求，供应商在政府采购活动中出现《深圳经济特区政府采购条例实施细则》第八十条所列情形的，</w:t>
      </w:r>
      <w:bookmarkStart w:id="88" w:name="_Hlk72440769"/>
      <w:r>
        <w:rPr>
          <w:rFonts w:hint="eastAsia" w:ascii="宋体" w:hAnsi="宋体"/>
          <w:szCs w:val="21"/>
          <w:highlight w:val="none"/>
        </w:rPr>
        <w:t>政府集中采购机构或采购人不予退还其交纳的谈判保证金，情节严重的，并由主管部门</w:t>
      </w:r>
      <w:bookmarkEnd w:id="88"/>
      <w:r>
        <w:rPr>
          <w:rFonts w:hint="eastAsia" w:ascii="宋体" w:hAnsi="宋体"/>
          <w:szCs w:val="21"/>
          <w:highlight w:val="none"/>
        </w:rPr>
        <w:t>记入供应商诚信档案，予以通报：</w:t>
      </w:r>
    </w:p>
    <w:p>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）投标截止后，撤销投标的；</w:t>
      </w:r>
    </w:p>
    <w:p>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2</w:t>
      </w:r>
      <w:r>
        <w:rPr>
          <w:rFonts w:ascii="宋体" w:hAnsi="宋体"/>
          <w:szCs w:val="21"/>
          <w:highlight w:val="none"/>
        </w:rPr>
        <w:t>）中标后无正当理由未在规定期限内签订合同的；</w:t>
      </w:r>
    </w:p>
    <w:p>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3</w:t>
      </w:r>
      <w:r>
        <w:rPr>
          <w:rFonts w:ascii="宋体" w:hAnsi="宋体"/>
          <w:szCs w:val="21"/>
          <w:highlight w:val="none"/>
        </w:rPr>
        <w:t>）将中标项目转让给他人、或者在投标文件中未说明且未经采购人、采购招标机构同意，将中标项目分包给他人的；</w:t>
      </w:r>
    </w:p>
    <w:p>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4</w:t>
      </w:r>
      <w:r>
        <w:rPr>
          <w:rFonts w:ascii="宋体" w:hAnsi="宋体"/>
          <w:szCs w:val="21"/>
          <w:highlight w:val="none"/>
        </w:rPr>
        <w:t>）拒绝履行合同义务的</w:t>
      </w:r>
      <w:r>
        <w:rPr>
          <w:rFonts w:hint="eastAsia" w:ascii="宋体" w:hAnsi="宋体"/>
          <w:szCs w:val="21"/>
          <w:highlight w:val="none"/>
        </w:rPr>
        <w:t>。</w:t>
      </w:r>
    </w:p>
    <w:bookmarkEnd w:id="72"/>
    <w:p>
      <w:pPr>
        <w:pStyle w:val="3"/>
        <w:numPr>
          <w:ilvl w:val="0"/>
          <w:numId w:val="12"/>
        </w:numPr>
        <w:spacing w:before="120" w:beforeLines="50" w:after="120" w:afterLines="50"/>
        <w:ind w:left="562" w:hanging="562"/>
        <w:rPr>
          <w:sz w:val="28"/>
          <w:szCs w:val="28"/>
          <w:highlight w:val="none"/>
        </w:rPr>
      </w:pPr>
      <w:r>
        <w:rPr>
          <w:rFonts w:hint="eastAsia"/>
          <w:sz w:val="28"/>
          <w:szCs w:val="28"/>
          <w:highlight w:val="none"/>
        </w:rPr>
        <w:t>质疑处理</w:t>
      </w:r>
    </w:p>
    <w:p>
      <w:pPr>
        <w:rPr>
          <w:rFonts w:ascii="黑体" w:hAnsi="宋体" w:eastAsia="黑体"/>
          <w:sz w:val="24"/>
          <w:highlight w:val="none"/>
        </w:rPr>
      </w:pPr>
      <w:r>
        <w:rPr>
          <w:rFonts w:hint="eastAsia" w:ascii="黑体" w:hAnsi="宋体" w:eastAsia="黑体"/>
          <w:sz w:val="24"/>
          <w:highlight w:val="none"/>
        </w:rPr>
        <w:t>52.质疑提出与答复</w:t>
      </w:r>
    </w:p>
    <w:p>
      <w:pPr>
        <w:rPr>
          <w:rFonts w:ascii="宋体" w:hAnsi="宋体"/>
          <w:szCs w:val="21"/>
          <w:highlight w:val="none"/>
        </w:rPr>
      </w:pPr>
      <w:r>
        <w:rPr>
          <w:rFonts w:hint="eastAsia" w:ascii="宋体" w:hAnsi="宋体"/>
          <w:szCs w:val="21"/>
          <w:highlight w:val="none"/>
        </w:rPr>
        <w:t xml:space="preserve">    52.1提出质疑</w:t>
      </w:r>
    </w:p>
    <w:p>
      <w:pPr>
        <w:rPr>
          <w:rFonts w:ascii="宋体" w:hAnsi="宋体"/>
          <w:szCs w:val="21"/>
          <w:highlight w:val="none"/>
        </w:rPr>
      </w:pPr>
      <w:r>
        <w:rPr>
          <w:rFonts w:hint="eastAsia" w:ascii="宋体" w:hAnsi="宋体"/>
          <w:szCs w:val="21"/>
          <w:highlight w:val="none"/>
        </w:rPr>
        <w:t xml:space="preserve">    参与政府采购活动的供应商认为自己的权益在采购活动中受到损害的，应当自知道或者应当知道其权益受到损害之日起七个工作日内向采购人、政府集中采购机构以书面形式提出质疑。</w:t>
      </w:r>
    </w:p>
    <w:p>
      <w:pPr>
        <w:rPr>
          <w:rFonts w:ascii="宋体" w:hAnsi="宋体"/>
          <w:szCs w:val="21"/>
          <w:highlight w:val="none"/>
        </w:rPr>
      </w:pPr>
      <w:r>
        <w:rPr>
          <w:rFonts w:hint="eastAsia" w:ascii="宋体" w:hAnsi="宋体"/>
          <w:szCs w:val="21"/>
          <w:highlight w:val="none"/>
        </w:rPr>
        <w:t xml:space="preserve">    52.2</w:t>
      </w:r>
      <w:r>
        <w:rPr>
          <w:rFonts w:ascii="宋体" w:hAnsi="宋体"/>
          <w:szCs w:val="21"/>
          <w:highlight w:val="none"/>
        </w:rPr>
        <w:t>法律依据</w:t>
      </w:r>
    </w:p>
    <w:p>
      <w:pPr>
        <w:rPr>
          <w:rFonts w:ascii="宋体" w:hAnsi="宋体"/>
          <w:szCs w:val="21"/>
          <w:highlight w:val="none"/>
        </w:rPr>
      </w:pPr>
      <w:r>
        <w:rPr>
          <w:rFonts w:hint="eastAsia" w:ascii="宋体" w:hAnsi="宋体"/>
          <w:szCs w:val="21"/>
          <w:highlight w:val="none"/>
        </w:rPr>
        <w:t xml:space="preserve">    《中华人民共和国政府采购法》、《中华人民共和国政府采购法实施条例》、</w:t>
      </w:r>
      <w:r>
        <w:rPr>
          <w:rFonts w:ascii="宋体" w:hAnsi="宋体"/>
          <w:szCs w:val="21"/>
          <w:highlight w:val="none"/>
        </w:rPr>
        <w:t>《</w:t>
      </w:r>
      <w:r>
        <w:rPr>
          <w:rFonts w:hint="eastAsia" w:ascii="宋体" w:hAnsi="宋体"/>
          <w:szCs w:val="21"/>
          <w:highlight w:val="none"/>
        </w:rPr>
        <w:t>深圳经济特区政府采购</w:t>
      </w:r>
      <w:r>
        <w:rPr>
          <w:rFonts w:ascii="宋体" w:hAnsi="宋体"/>
          <w:szCs w:val="21"/>
          <w:highlight w:val="none"/>
        </w:rPr>
        <w:t>条例</w:t>
      </w:r>
      <w:r>
        <w:rPr>
          <w:rFonts w:hint="eastAsia" w:ascii="宋体" w:hAnsi="宋体"/>
          <w:szCs w:val="21"/>
          <w:highlight w:val="none"/>
        </w:rPr>
        <w:t>》、《深圳经济特区政府采购条例实施细则》、《政府采购质疑和投诉办法》（财政部令第94号）和其他有关法律法规规定。</w:t>
      </w:r>
    </w:p>
    <w:p>
      <w:pPr>
        <w:rPr>
          <w:rFonts w:ascii="宋体" w:hAnsi="宋体"/>
          <w:szCs w:val="21"/>
          <w:highlight w:val="none"/>
        </w:rPr>
      </w:pPr>
      <w:r>
        <w:rPr>
          <w:rFonts w:hint="eastAsia" w:ascii="宋体" w:hAnsi="宋体"/>
          <w:szCs w:val="21"/>
          <w:highlight w:val="none"/>
        </w:rPr>
        <w:t xml:space="preserve">  </w:t>
      </w:r>
      <w:r>
        <w:rPr>
          <w:rFonts w:hint="eastAsia" w:ascii="宋体" w:hAnsi="宋体"/>
          <w:color w:val="FF0000"/>
          <w:szCs w:val="21"/>
          <w:highlight w:val="none"/>
        </w:rPr>
        <w:t xml:space="preserve">  </w:t>
      </w:r>
      <w:r>
        <w:rPr>
          <w:rFonts w:hint="eastAsia" w:ascii="宋体" w:hAnsi="宋体"/>
          <w:szCs w:val="21"/>
          <w:highlight w:val="none"/>
        </w:rPr>
        <w:t>52.3质疑条件</w:t>
      </w:r>
    </w:p>
    <w:p>
      <w:pPr>
        <w:rPr>
          <w:rFonts w:ascii="宋体" w:hAnsi="宋体"/>
          <w:szCs w:val="21"/>
          <w:highlight w:val="none"/>
        </w:rPr>
      </w:pPr>
      <w:r>
        <w:rPr>
          <w:rFonts w:hint="eastAsia" w:ascii="宋体" w:hAnsi="宋体"/>
          <w:szCs w:val="21"/>
          <w:highlight w:val="none"/>
        </w:rPr>
        <w:t xml:space="preserve">    52.3.1提出质疑的供应商应当是参与所质疑项目采购活动的供应商；</w:t>
      </w:r>
      <w:bookmarkStart w:id="89" w:name="_Hlk75374941"/>
      <w:r>
        <w:rPr>
          <w:rFonts w:hint="eastAsia" w:ascii="宋体" w:hAnsi="宋体"/>
          <w:szCs w:val="21"/>
          <w:highlight w:val="none"/>
        </w:rPr>
        <w:t>以联合体形式参与的，质疑应当由组成联合体的所有成员共同提出</w:t>
      </w:r>
      <w:bookmarkEnd w:id="89"/>
      <w:r>
        <w:rPr>
          <w:rFonts w:hint="eastAsia" w:ascii="宋体" w:hAnsi="宋体"/>
          <w:szCs w:val="21"/>
          <w:highlight w:val="none"/>
        </w:rPr>
        <w:t>；</w:t>
      </w:r>
    </w:p>
    <w:p>
      <w:pPr>
        <w:rPr>
          <w:rFonts w:ascii="宋体" w:hAnsi="宋体"/>
          <w:szCs w:val="21"/>
          <w:highlight w:val="none"/>
        </w:rPr>
      </w:pPr>
      <w:r>
        <w:rPr>
          <w:rFonts w:hint="eastAsia" w:ascii="宋体" w:hAnsi="宋体"/>
          <w:szCs w:val="21"/>
          <w:highlight w:val="none"/>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ind w:firstLine="420"/>
        <w:rPr>
          <w:rFonts w:ascii="宋体" w:hAnsi="宋体"/>
          <w:szCs w:val="21"/>
          <w:highlight w:val="none"/>
        </w:rPr>
      </w:pPr>
      <w:r>
        <w:rPr>
          <w:rFonts w:hint="eastAsia" w:ascii="宋体" w:hAnsi="宋体"/>
          <w:szCs w:val="21"/>
          <w:highlight w:val="none"/>
        </w:rPr>
        <w:t>52.3.3应提交书面质疑函，质疑函应当包括以下内容：</w:t>
      </w:r>
      <w:r>
        <w:rPr>
          <w:rFonts w:ascii="宋体" w:hAnsi="宋体"/>
          <w:szCs w:val="21"/>
          <w:highlight w:val="none"/>
        </w:rPr>
        <w:t xml:space="preserve"> </w:t>
      </w:r>
    </w:p>
    <w:p>
      <w:pPr>
        <w:ind w:firstLine="420"/>
        <w:rPr>
          <w:rFonts w:ascii="宋体" w:hAnsi="宋体"/>
          <w:szCs w:val="21"/>
          <w:highlight w:val="none"/>
        </w:rPr>
      </w:pPr>
      <w:r>
        <w:rPr>
          <w:rFonts w:hint="eastAsia" w:ascii="宋体" w:hAnsi="宋体"/>
          <w:szCs w:val="21"/>
          <w:highlight w:val="none"/>
        </w:rPr>
        <w:t>（1）供应商的名称（或者姓名）、地址、邮编、邮箱、联系人及联系电话；</w:t>
      </w:r>
    </w:p>
    <w:p>
      <w:pPr>
        <w:ind w:firstLine="420" w:firstLineChars="200"/>
        <w:rPr>
          <w:rFonts w:ascii="宋体" w:hAnsi="宋体"/>
          <w:szCs w:val="21"/>
          <w:highlight w:val="none"/>
        </w:rPr>
      </w:pPr>
      <w:r>
        <w:rPr>
          <w:rFonts w:hint="eastAsia" w:ascii="宋体" w:hAnsi="宋体"/>
          <w:szCs w:val="21"/>
          <w:highlight w:val="none"/>
        </w:rPr>
        <w:t>（2）质疑项目的名称、编号；</w:t>
      </w:r>
    </w:p>
    <w:p>
      <w:pPr>
        <w:ind w:firstLine="420" w:firstLineChars="200"/>
        <w:rPr>
          <w:rFonts w:ascii="宋体" w:hAnsi="宋体"/>
          <w:szCs w:val="21"/>
          <w:highlight w:val="none"/>
        </w:rPr>
      </w:pPr>
      <w:r>
        <w:rPr>
          <w:rFonts w:hint="eastAsia" w:ascii="宋体" w:hAnsi="宋体"/>
          <w:szCs w:val="21"/>
          <w:highlight w:val="none"/>
        </w:rPr>
        <w:t>（3）具体、明确的质疑对象、质疑事项和质疑请求；</w:t>
      </w:r>
    </w:p>
    <w:p>
      <w:pPr>
        <w:ind w:firstLine="420" w:firstLineChars="200"/>
        <w:rPr>
          <w:rFonts w:ascii="宋体" w:hAnsi="宋体"/>
          <w:szCs w:val="21"/>
          <w:highlight w:val="none"/>
        </w:rPr>
      </w:pPr>
      <w:r>
        <w:rPr>
          <w:rFonts w:hint="eastAsia" w:ascii="宋体" w:hAnsi="宋体"/>
          <w:szCs w:val="21"/>
          <w:highlight w:val="none"/>
        </w:rPr>
        <w:t>（4）因质疑事项而受损害的权益；</w:t>
      </w:r>
    </w:p>
    <w:p>
      <w:pPr>
        <w:ind w:firstLine="420" w:firstLineChars="200"/>
        <w:rPr>
          <w:rFonts w:ascii="宋体" w:hAnsi="宋体"/>
          <w:szCs w:val="21"/>
          <w:highlight w:val="none"/>
        </w:rPr>
      </w:pPr>
      <w:r>
        <w:rPr>
          <w:rFonts w:hint="eastAsia" w:ascii="宋体" w:hAnsi="宋体"/>
          <w:szCs w:val="21"/>
          <w:highlight w:val="none"/>
        </w:rPr>
        <w:t>（5）事实依据；</w:t>
      </w:r>
    </w:p>
    <w:p>
      <w:pPr>
        <w:ind w:firstLine="420" w:firstLineChars="200"/>
        <w:rPr>
          <w:rFonts w:ascii="宋体" w:hAnsi="宋体"/>
          <w:szCs w:val="21"/>
          <w:highlight w:val="none"/>
        </w:rPr>
      </w:pPr>
      <w:r>
        <w:rPr>
          <w:rFonts w:hint="eastAsia" w:ascii="宋体" w:hAnsi="宋体"/>
          <w:szCs w:val="21"/>
          <w:highlight w:val="none"/>
        </w:rPr>
        <w:t>（6）必要的法律依据；</w:t>
      </w:r>
    </w:p>
    <w:p>
      <w:pPr>
        <w:ind w:firstLine="420" w:firstLineChars="200"/>
        <w:rPr>
          <w:rFonts w:ascii="宋体" w:hAnsi="宋体"/>
          <w:szCs w:val="21"/>
          <w:highlight w:val="none"/>
        </w:rPr>
      </w:pPr>
      <w:r>
        <w:rPr>
          <w:rFonts w:hint="eastAsia" w:ascii="宋体" w:hAnsi="宋体"/>
          <w:szCs w:val="21"/>
          <w:highlight w:val="none"/>
        </w:rPr>
        <w:t>（7）提出质疑的日期。</w:t>
      </w:r>
    </w:p>
    <w:p>
      <w:pPr>
        <w:ind w:firstLine="420" w:firstLineChars="200"/>
        <w:rPr>
          <w:rFonts w:ascii="宋体" w:hAnsi="宋体"/>
          <w:szCs w:val="21"/>
          <w:highlight w:val="none"/>
        </w:rPr>
      </w:pPr>
      <w:r>
        <w:rPr>
          <w:rFonts w:hint="eastAsia" w:ascii="宋体" w:hAnsi="宋体"/>
          <w:szCs w:val="21"/>
          <w:highlight w:val="none"/>
        </w:rPr>
        <w:t>供应商为自然人的，应当由本人签字；供应商为法人或者其他组织的，应当由法定代表人（负责人），或者其授权代理人签字或者盖章，并加盖公章。</w:t>
      </w:r>
    </w:p>
    <w:p>
      <w:pPr>
        <w:ind w:firstLine="420" w:firstLineChars="200"/>
        <w:rPr>
          <w:rFonts w:ascii="宋体" w:hAnsi="宋体"/>
          <w:szCs w:val="21"/>
          <w:highlight w:val="none"/>
        </w:rPr>
      </w:pPr>
      <w:r>
        <w:rPr>
          <w:rFonts w:hint="eastAsia" w:ascii="宋体" w:hAnsi="宋体"/>
          <w:szCs w:val="21"/>
          <w:highlight w:val="none"/>
        </w:rPr>
        <w:t>52.4提交</w:t>
      </w:r>
      <w:r>
        <w:rPr>
          <w:rFonts w:ascii="宋体" w:hAnsi="宋体"/>
          <w:szCs w:val="21"/>
          <w:highlight w:val="none"/>
        </w:rPr>
        <w:t>材料</w:t>
      </w:r>
    </w:p>
    <w:p>
      <w:pPr>
        <w:ind w:firstLine="420" w:firstLineChars="200"/>
        <w:rPr>
          <w:rFonts w:ascii="宋体" w:hAnsi="宋体"/>
          <w:szCs w:val="21"/>
          <w:highlight w:val="none"/>
        </w:rPr>
      </w:pPr>
      <w:r>
        <w:rPr>
          <w:rFonts w:hint="eastAsia" w:ascii="宋体" w:hAnsi="宋体"/>
          <w:szCs w:val="21"/>
          <w:highlight w:val="none"/>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ascii="宋体" w:hAnsi="宋体"/>
          <w:szCs w:val="21"/>
          <w:highlight w:val="none"/>
        </w:rPr>
      </w:pPr>
      <w:r>
        <w:rPr>
          <w:rFonts w:hint="eastAsia" w:ascii="宋体" w:hAnsi="宋体"/>
          <w:szCs w:val="21"/>
          <w:highlight w:val="none"/>
        </w:rPr>
        <w:t>供应商可以委托代理人进行质疑。</w:t>
      </w:r>
      <w:r>
        <w:rPr>
          <w:rFonts w:ascii="宋体" w:hAnsi="宋体"/>
          <w:szCs w:val="21"/>
          <w:highlight w:val="none"/>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ascii="宋体" w:hAnsi="宋体"/>
          <w:szCs w:val="21"/>
          <w:highlight w:val="none"/>
        </w:rPr>
      </w:pPr>
      <w:r>
        <w:rPr>
          <w:rFonts w:hint="eastAsia" w:ascii="宋体" w:hAnsi="宋体"/>
          <w:szCs w:val="21"/>
          <w:highlight w:val="none"/>
        </w:rPr>
        <w:t>52.5收文地点</w:t>
      </w:r>
    </w:p>
    <w:p>
      <w:pPr>
        <w:ind w:firstLine="422" w:firstLineChars="200"/>
        <w:rPr>
          <w:rFonts w:ascii="宋体" w:hAnsi="宋体"/>
          <w:b/>
          <w:bCs/>
          <w:szCs w:val="21"/>
          <w:highlight w:val="none"/>
        </w:rPr>
      </w:pPr>
      <w:r>
        <w:rPr>
          <w:rFonts w:hint="eastAsia" w:ascii="宋体" w:hAnsi="宋体"/>
          <w:b/>
          <w:bCs/>
          <w:szCs w:val="21"/>
          <w:highlight w:val="none"/>
        </w:rPr>
        <w:t>地址：深圳公共资源交易中心（深圳交易集团有限公司</w:t>
      </w:r>
      <w:r>
        <w:rPr>
          <w:rFonts w:hint="eastAsia" w:ascii="宋体" w:hAnsi="宋体"/>
          <w:b/>
          <w:bCs/>
          <w:szCs w:val="21"/>
          <w:highlight w:val="none"/>
          <w:lang w:val="en-US" w:eastAsia="zh-CN"/>
        </w:rPr>
        <w:t>宝安</w:t>
      </w:r>
      <w:r>
        <w:rPr>
          <w:rFonts w:hint="eastAsia" w:ascii="宋体" w:hAnsi="宋体"/>
          <w:b/>
          <w:bCs/>
          <w:szCs w:val="21"/>
          <w:highlight w:val="none"/>
        </w:rPr>
        <w:t>分公司）</w:t>
      </w:r>
      <w:r>
        <w:rPr>
          <w:rFonts w:hint="eastAsia" w:ascii="宋体" w:hAnsi="宋体"/>
          <w:b/>
          <w:bCs/>
          <w:szCs w:val="21"/>
          <w:highlight w:val="none"/>
          <w:lang w:val="en-US" w:eastAsia="zh-CN"/>
        </w:rPr>
        <w:t>一</w:t>
      </w:r>
      <w:r>
        <w:rPr>
          <w:rFonts w:hint="eastAsia" w:ascii="宋体" w:hAnsi="宋体"/>
          <w:b/>
          <w:bCs/>
          <w:szCs w:val="21"/>
          <w:highlight w:val="none"/>
        </w:rPr>
        <w:t>楼</w:t>
      </w:r>
      <w:r>
        <w:rPr>
          <w:rFonts w:hint="eastAsia" w:ascii="宋体" w:hAnsi="宋体"/>
          <w:b/>
          <w:bCs/>
          <w:szCs w:val="21"/>
          <w:highlight w:val="none"/>
          <w:lang w:val="en-US" w:eastAsia="zh-CN"/>
        </w:rPr>
        <w:t>服务大厅</w:t>
      </w:r>
      <w:r>
        <w:rPr>
          <w:rFonts w:hint="eastAsia" w:ascii="宋体" w:hAnsi="宋体"/>
          <w:b/>
          <w:bCs/>
          <w:szCs w:val="21"/>
          <w:highlight w:val="none"/>
        </w:rPr>
        <w:t>，质疑咨询电话：0755-</w:t>
      </w:r>
      <w:r>
        <w:rPr>
          <w:rFonts w:hint="eastAsia" w:ascii="宋体" w:hAnsi="宋体"/>
          <w:b/>
          <w:bCs/>
          <w:szCs w:val="21"/>
          <w:highlight w:val="none"/>
          <w:lang w:val="en-US" w:eastAsia="zh-CN"/>
        </w:rPr>
        <w:t>27758331</w:t>
      </w:r>
      <w:r>
        <w:rPr>
          <w:rFonts w:hint="eastAsia" w:ascii="宋体" w:hAnsi="宋体"/>
          <w:b/>
          <w:bCs/>
          <w:szCs w:val="21"/>
          <w:highlight w:val="none"/>
        </w:rPr>
        <w:t>。</w:t>
      </w:r>
    </w:p>
    <w:p>
      <w:pPr>
        <w:ind w:firstLine="420" w:firstLineChars="200"/>
        <w:rPr>
          <w:rFonts w:ascii="宋体" w:hAnsi="宋体"/>
          <w:szCs w:val="21"/>
          <w:highlight w:val="none"/>
        </w:rPr>
      </w:pPr>
      <w:r>
        <w:rPr>
          <w:rFonts w:hint="eastAsia" w:ascii="宋体" w:hAnsi="宋体"/>
          <w:szCs w:val="21"/>
          <w:highlight w:val="none"/>
        </w:rPr>
        <w:t>52.6收文办理</w:t>
      </w:r>
      <w:r>
        <w:rPr>
          <w:rFonts w:ascii="宋体" w:hAnsi="宋体"/>
          <w:szCs w:val="21"/>
          <w:highlight w:val="none"/>
        </w:rPr>
        <w:t>程序</w:t>
      </w:r>
    </w:p>
    <w:p>
      <w:pPr>
        <w:ind w:firstLine="420" w:firstLineChars="200"/>
        <w:rPr>
          <w:rFonts w:ascii="宋体" w:hAnsi="宋体"/>
          <w:szCs w:val="21"/>
          <w:highlight w:val="none"/>
        </w:rPr>
      </w:pPr>
      <w:r>
        <w:rPr>
          <w:rFonts w:hint="eastAsia" w:ascii="宋体" w:hAnsi="宋体"/>
          <w:szCs w:val="21"/>
          <w:highlight w:val="none"/>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ascii="仿宋" w:hAnsi="仿宋" w:eastAsia="仿宋"/>
          <w:sz w:val="28"/>
          <w:szCs w:val="28"/>
          <w:highlight w:val="none"/>
        </w:rPr>
      </w:pPr>
      <w:r>
        <w:rPr>
          <w:rFonts w:hint="eastAsia" w:ascii="宋体" w:hAnsi="宋体"/>
          <w:szCs w:val="21"/>
          <w:highlight w:val="none"/>
        </w:rPr>
        <w:t>52.6.2供应商提交的质疑材料不符合质疑条件的，视情况处理：</w:t>
      </w:r>
    </w:p>
    <w:p>
      <w:pPr>
        <w:ind w:firstLine="420" w:firstLineChars="200"/>
        <w:rPr>
          <w:rFonts w:ascii="宋体" w:hAnsi="宋体"/>
          <w:szCs w:val="21"/>
          <w:highlight w:val="none"/>
        </w:rPr>
      </w:pPr>
      <w:r>
        <w:rPr>
          <w:rFonts w:hint="eastAsia" w:ascii="宋体" w:hAnsi="宋体"/>
          <w:szCs w:val="21"/>
          <w:highlight w:val="none"/>
        </w:rPr>
        <w:t>供应商提交的质疑材料不全或者未按要求签字或者盖章的，政府集中采购机构应当一次性告知供应商需补正的内容和补正期限。</w:t>
      </w:r>
    </w:p>
    <w:p>
      <w:pPr>
        <w:ind w:firstLine="420" w:firstLineChars="200"/>
        <w:rPr>
          <w:rFonts w:ascii="宋体" w:hAnsi="宋体"/>
          <w:szCs w:val="21"/>
          <w:highlight w:val="none"/>
        </w:rPr>
      </w:pPr>
      <w:r>
        <w:rPr>
          <w:rFonts w:hint="eastAsia" w:ascii="宋体" w:hAnsi="宋体"/>
          <w:szCs w:val="21"/>
          <w:highlight w:val="none"/>
        </w:rPr>
        <w:t>供应商提交的质疑存在下列情形之一的，不予受理：</w:t>
      </w:r>
    </w:p>
    <w:p>
      <w:pPr>
        <w:ind w:firstLine="420" w:firstLineChars="200"/>
        <w:rPr>
          <w:rFonts w:ascii="宋体" w:hAnsi="宋体"/>
          <w:szCs w:val="21"/>
          <w:highlight w:val="none"/>
        </w:rPr>
      </w:pPr>
      <w:r>
        <w:rPr>
          <w:rFonts w:hint="eastAsia" w:ascii="宋体" w:hAnsi="宋体"/>
          <w:szCs w:val="21"/>
          <w:highlight w:val="none"/>
        </w:rPr>
        <w:t>（1）质疑主体不满足要求的；</w:t>
      </w:r>
    </w:p>
    <w:p>
      <w:pPr>
        <w:ind w:firstLine="420" w:firstLineChars="200"/>
        <w:rPr>
          <w:rFonts w:ascii="宋体" w:hAnsi="宋体"/>
          <w:szCs w:val="21"/>
          <w:highlight w:val="none"/>
        </w:rPr>
      </w:pPr>
      <w:r>
        <w:rPr>
          <w:rFonts w:hint="eastAsia" w:ascii="宋体" w:hAnsi="宋体"/>
          <w:szCs w:val="21"/>
          <w:highlight w:val="none"/>
        </w:rPr>
        <w:t>（2）供应商自身权益未受到损害的；</w:t>
      </w:r>
    </w:p>
    <w:p>
      <w:pPr>
        <w:ind w:firstLine="420" w:firstLineChars="200"/>
        <w:rPr>
          <w:rFonts w:ascii="宋体" w:hAnsi="宋体"/>
          <w:szCs w:val="21"/>
          <w:highlight w:val="none"/>
        </w:rPr>
      </w:pPr>
      <w:r>
        <w:rPr>
          <w:rFonts w:hint="eastAsia" w:ascii="宋体" w:hAnsi="宋体"/>
          <w:szCs w:val="21"/>
          <w:highlight w:val="none"/>
        </w:rPr>
        <w:t>（3）供应商未在法定质疑期限内提出质疑的；</w:t>
      </w:r>
    </w:p>
    <w:p>
      <w:pPr>
        <w:ind w:firstLine="420" w:firstLineChars="200"/>
        <w:rPr>
          <w:rFonts w:ascii="宋体" w:hAnsi="宋体"/>
          <w:szCs w:val="21"/>
          <w:highlight w:val="none"/>
        </w:rPr>
      </w:pPr>
      <w:r>
        <w:rPr>
          <w:rFonts w:hint="eastAsia" w:ascii="宋体" w:hAnsi="宋体"/>
          <w:szCs w:val="21"/>
          <w:highlight w:val="none"/>
        </w:rPr>
        <w:t>（4）质疑材料不全或者未按要求签字或者盖章的情况下，要求补正后，逾期未补正或者补正后仍不符合规定的；</w:t>
      </w:r>
    </w:p>
    <w:p>
      <w:pPr>
        <w:ind w:firstLine="420" w:firstLineChars="200"/>
        <w:rPr>
          <w:rFonts w:ascii="宋体" w:hAnsi="宋体"/>
          <w:szCs w:val="21"/>
          <w:highlight w:val="none"/>
        </w:rPr>
      </w:pPr>
      <w:r>
        <w:rPr>
          <w:rFonts w:hint="eastAsia" w:ascii="宋体" w:hAnsi="宋体"/>
          <w:szCs w:val="21"/>
          <w:highlight w:val="none"/>
        </w:rPr>
        <w:t>（5）其他不符合受理条件情形的。</w:t>
      </w:r>
    </w:p>
    <w:p>
      <w:pPr>
        <w:ind w:firstLine="420" w:firstLineChars="200"/>
        <w:rPr>
          <w:rFonts w:ascii="宋体" w:hAnsi="宋体"/>
          <w:szCs w:val="21"/>
          <w:highlight w:val="none"/>
        </w:rPr>
      </w:pPr>
      <w:r>
        <w:rPr>
          <w:rFonts w:hint="eastAsia" w:ascii="宋体" w:hAnsi="宋体"/>
          <w:szCs w:val="21"/>
          <w:highlight w:val="none"/>
        </w:rPr>
        <w:t>质疑事项不予受理的，政府集中采购机构应当向供应商出具不符合质疑条件告知书。</w:t>
      </w:r>
    </w:p>
    <w:p>
      <w:pPr>
        <w:rPr>
          <w:rFonts w:ascii="宋体" w:hAnsi="宋体"/>
          <w:szCs w:val="21"/>
          <w:highlight w:val="none"/>
        </w:rPr>
      </w:pPr>
      <w:r>
        <w:rPr>
          <w:rFonts w:hint="eastAsia" w:ascii="宋体" w:hAnsi="宋体"/>
          <w:color w:val="FF0000"/>
          <w:szCs w:val="21"/>
          <w:highlight w:val="none"/>
        </w:rPr>
        <w:t xml:space="preserve">  </w:t>
      </w:r>
      <w:r>
        <w:rPr>
          <w:rFonts w:hint="eastAsia" w:ascii="宋体" w:hAnsi="宋体"/>
          <w:szCs w:val="21"/>
          <w:highlight w:val="none"/>
        </w:rPr>
        <w:t xml:space="preserve">  52.7质疑答复时限</w:t>
      </w:r>
    </w:p>
    <w:p>
      <w:pPr>
        <w:rPr>
          <w:rFonts w:ascii="宋体" w:hAnsi="宋体"/>
          <w:szCs w:val="21"/>
          <w:highlight w:val="none"/>
        </w:rPr>
      </w:pPr>
      <w:r>
        <w:rPr>
          <w:rFonts w:hint="eastAsia" w:ascii="宋体" w:hAnsi="宋体"/>
          <w:szCs w:val="21"/>
          <w:highlight w:val="none"/>
        </w:rPr>
        <w:t xml:space="preserve">    自收文之日起七个工作日内。</w:t>
      </w:r>
    </w:p>
    <w:p>
      <w:pPr>
        <w:rPr>
          <w:rFonts w:ascii="宋体" w:hAnsi="宋体"/>
          <w:szCs w:val="21"/>
          <w:highlight w:val="none"/>
        </w:rPr>
      </w:pPr>
      <w:r>
        <w:rPr>
          <w:rFonts w:hint="eastAsia" w:ascii="宋体" w:hAnsi="宋体"/>
          <w:szCs w:val="21"/>
          <w:highlight w:val="none"/>
        </w:rPr>
        <w:t xml:space="preserve">    52.8投诉</w:t>
      </w:r>
    </w:p>
    <w:p>
      <w:pPr>
        <w:rPr>
          <w:rFonts w:ascii="宋体" w:hAnsi="宋体"/>
          <w:szCs w:val="21"/>
          <w:highlight w:val="none"/>
        </w:rPr>
      </w:pPr>
      <w:r>
        <w:rPr>
          <w:rFonts w:hint="eastAsia" w:ascii="宋体" w:hAnsi="宋体"/>
          <w:szCs w:val="21"/>
          <w:highlight w:val="none"/>
        </w:rPr>
        <w:t xml:space="preserve">    对质疑答复不满意或者未在规定时间内答复的，提出质疑的供应商可以在答复期满后15个工作日内向本项目预算主管单位投诉。</w:t>
      </w:r>
    </w:p>
    <w:p>
      <w:pPr>
        <w:rPr>
          <w:rFonts w:ascii="黑体" w:hAnsi="宋体" w:eastAsia="黑体"/>
          <w:sz w:val="24"/>
          <w:highlight w:val="none"/>
        </w:rPr>
      </w:pPr>
      <w:r>
        <w:rPr>
          <w:rFonts w:hint="eastAsia" w:ascii="黑体" w:hAnsi="宋体" w:eastAsia="黑体"/>
          <w:sz w:val="24"/>
          <w:highlight w:val="none"/>
        </w:rPr>
        <w:t>53. 质疑后续处理</w:t>
      </w:r>
    </w:p>
    <w:p>
      <w:pPr>
        <w:rPr>
          <w:rFonts w:ascii="宋体" w:hAnsi="宋体"/>
          <w:szCs w:val="21"/>
          <w:highlight w:val="none"/>
        </w:rPr>
      </w:pPr>
      <w:r>
        <w:rPr>
          <w:rFonts w:hint="eastAsia" w:ascii="宋体" w:hAnsi="宋体"/>
          <w:szCs w:val="21"/>
          <w:highlight w:val="none"/>
        </w:rPr>
        <w:t xml:space="preserve">    53.1供应商质疑不成立，或者成立但未对中标、成交结果构成影响的，继续开展采购活动。</w:t>
      </w:r>
    </w:p>
    <w:p>
      <w:pPr>
        <w:jc w:val="center"/>
        <w:rPr>
          <w:highlight w:val="none"/>
        </w:rPr>
      </w:pPr>
      <w:r>
        <w:rPr>
          <w:rFonts w:hint="eastAsia" w:ascii="宋体" w:hAnsi="宋体"/>
          <w:szCs w:val="21"/>
          <w:highlight w:val="none"/>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r>
        <w:rPr>
          <w:highlight w:val="none"/>
        </w:rPr>
        <w:t>---- END ----</w:t>
      </w:r>
    </w:p>
    <w:p>
      <w:pPr>
        <w:jc w:val="center"/>
        <w:rPr>
          <w:rFonts w:ascii="Times New Roman" w:hAnsi="Times New Roman" w:eastAsia="宋体" w:cs="Times New Roman"/>
          <w:szCs w:val="24"/>
          <w:highlight w:val="none"/>
        </w:rPr>
      </w:pPr>
      <w:r>
        <w:rPr>
          <w:rFonts w:ascii="Times New Roman" w:hAnsi="Times New Roman" w:eastAsia="宋体" w:cs="Times New Roman"/>
          <w:szCs w:val="24"/>
          <w:highlight w:val="none"/>
        </w:rPr>
        <w:t>---- END ----</w:t>
      </w:r>
      <w:bookmarkEnd w:id="35"/>
    </w:p>
    <w:p>
      <w:pPr>
        <w:rPr>
          <w:b/>
          <w:color w:val="FF0000"/>
          <w:sz w:val="52"/>
          <w:szCs w:val="52"/>
          <w:highlight w:val="none"/>
        </w:rPr>
      </w:pPr>
    </w:p>
    <w:p>
      <w:pPr>
        <w:rPr>
          <w:rFonts w:ascii="宋体" w:hAnsi="宋体" w:eastAsia="黑体" w:cs="Times New Roman"/>
          <w:b/>
          <w:bCs/>
          <w:color w:val="0000FF"/>
          <w:kern w:val="44"/>
          <w:sz w:val="36"/>
          <w:szCs w:val="44"/>
          <w:highlight w:val="none"/>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417" w:bottom="1440"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altName w:val="楷体_GB2312"/>
    <w:panose1 w:val="02010600040101010101"/>
    <w:charset w:val="86"/>
    <w:family w:val="auto"/>
    <w:pitch w:val="default"/>
    <w:sig w:usb0="00000000" w:usb1="00000000" w:usb2="00000000" w:usb3="00000000" w:csb0="0004009F" w:csb1="DFD70000"/>
  </w:font>
  <w:font w:name="ˎ̥">
    <w:altName w:val="Times New Roman"/>
    <w:panose1 w:val="00000000000000000000"/>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60"/>
      <w:docPartObj>
        <w:docPartGallery w:val="autotext"/>
      </w:docPartObj>
    </w:sdtPr>
    <w:sdtContent>
      <w:p>
        <w:pPr>
          <w:pStyle w:val="12"/>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12"/>
      <w:spacing w:after="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after="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after="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04E29CA0"/>
    <w:multiLevelType w:val="singleLevel"/>
    <w:tmpl w:val="04E29CA0"/>
    <w:lvl w:ilvl="0" w:tentative="0">
      <w:start w:val="1"/>
      <w:numFmt w:val="chineseCounting"/>
      <w:suff w:val="nothing"/>
      <w:lvlText w:val="（%1）"/>
      <w:lvlJc w:val="left"/>
      <w:rPr>
        <w:rFonts w:hint="eastAsia"/>
      </w:rPr>
    </w:lvl>
  </w:abstractNum>
  <w:abstractNum w:abstractNumId="7">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CB11FD7"/>
    <w:multiLevelType w:val="multilevel"/>
    <w:tmpl w:val="0CB11FD7"/>
    <w:lvl w:ilvl="0" w:tentative="0">
      <w:start w:val="1"/>
      <w:numFmt w:val="decimal"/>
      <w:lvlText w:val="%1)"/>
      <w:lvlJc w:val="left"/>
      <w:pPr>
        <w:tabs>
          <w:tab w:val="left" w:pos="1470"/>
        </w:tabs>
        <w:ind w:left="1470" w:hanging="420"/>
      </w:pPr>
      <w:rPr>
        <w:rFonts w:hint="eastAsia"/>
        <w:b w:val="0"/>
      </w:rPr>
    </w:lvl>
    <w:lvl w:ilvl="1" w:tentative="0">
      <w:start w:val="4"/>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360"/>
        </w:tabs>
        <w:ind w:left="360" w:hanging="360"/>
      </w:pPr>
      <w:rPr>
        <w:rFonts w:hint="default"/>
      </w:rPr>
    </w:lvl>
    <w:lvl w:ilvl="3" w:tentative="0">
      <w:start w:val="6"/>
      <w:numFmt w:val="japaneseCounting"/>
      <w:lvlText w:val="第%4章"/>
      <w:lvlJc w:val="left"/>
      <w:pPr>
        <w:tabs>
          <w:tab w:val="left" w:pos="2400"/>
        </w:tabs>
        <w:ind w:left="2400" w:hanging="11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EC27779"/>
    <w:multiLevelType w:val="multilevel"/>
    <w:tmpl w:val="5EC27779"/>
    <w:lvl w:ilvl="0" w:tentative="0">
      <w:start w:val="1"/>
      <w:numFmt w:val="decimal"/>
      <w:lvlText w:val="%1)"/>
      <w:lvlJc w:val="left"/>
      <w:pPr>
        <w:tabs>
          <w:tab w:val="left" w:pos="1470"/>
        </w:tabs>
        <w:ind w:left="1470" w:hanging="420"/>
      </w:pPr>
      <w:rPr>
        <w:rFonts w:hint="eastAsia" w:asciiTheme="majorEastAsia" w:hAnsiTheme="majorEastAsia" w:eastAsiaTheme="majorEastAsia"/>
        <w:sz w:val="28"/>
        <w:szCs w:val="28"/>
      </w:rPr>
    </w:lvl>
    <w:lvl w:ilvl="1" w:tentative="0">
      <w:start w:val="4"/>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360"/>
        </w:tabs>
        <w:ind w:left="360" w:hanging="360"/>
      </w:pPr>
      <w:rPr>
        <w:rFonts w:hint="default"/>
      </w:rPr>
    </w:lvl>
    <w:lvl w:ilvl="3" w:tentative="0">
      <w:start w:val="6"/>
      <w:numFmt w:val="japaneseCounting"/>
      <w:lvlText w:val="第%4章"/>
      <w:lvlJc w:val="left"/>
      <w:pPr>
        <w:tabs>
          <w:tab w:val="left" w:pos="2400"/>
        </w:tabs>
        <w:ind w:left="2400" w:hanging="11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7A0F6431"/>
    <w:multiLevelType w:val="singleLevel"/>
    <w:tmpl w:val="7A0F6431"/>
    <w:lvl w:ilvl="0" w:tentative="0">
      <w:start w:val="1"/>
      <w:numFmt w:val="decimal"/>
      <w:suff w:val="space"/>
      <w:lvlText w:val="%1."/>
      <w:lvlJc w:val="left"/>
    </w:lvl>
  </w:abstractNum>
  <w:num w:numId="1">
    <w:abstractNumId w:val="6"/>
  </w:num>
  <w:num w:numId="2">
    <w:abstractNumId w:val="10"/>
  </w:num>
  <w:num w:numId="3">
    <w:abstractNumId w:val="8"/>
  </w:num>
  <w:num w:numId="4">
    <w:abstractNumId w:val="11"/>
  </w:num>
  <w:num w:numId="5">
    <w:abstractNumId w:val="1"/>
  </w:num>
  <w:num w:numId="6">
    <w:abstractNumId w:val="5"/>
  </w:num>
  <w:num w:numId="7">
    <w:abstractNumId w:val="3"/>
  </w:num>
  <w:num w:numId="8">
    <w:abstractNumId w:val="2"/>
  </w:num>
  <w:num w:numId="9">
    <w:abstractNumId w:val="0"/>
  </w:num>
  <w:num w:numId="10">
    <w:abstractNumId w:val="4"/>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YyNDI3NWQ3ZGQxYjEwZWVjZWM2ZjViYzE1YWY0ZDAifQ=="/>
  </w:docVars>
  <w:rsids>
    <w:rsidRoot w:val="002B296E"/>
    <w:rsid w:val="00005740"/>
    <w:rsid w:val="00005B4D"/>
    <w:rsid w:val="0000723B"/>
    <w:rsid w:val="000102B3"/>
    <w:rsid w:val="00012263"/>
    <w:rsid w:val="00012DCA"/>
    <w:rsid w:val="00015451"/>
    <w:rsid w:val="00015C20"/>
    <w:rsid w:val="000165A0"/>
    <w:rsid w:val="00017ECC"/>
    <w:rsid w:val="000227FD"/>
    <w:rsid w:val="00024DCF"/>
    <w:rsid w:val="00027E40"/>
    <w:rsid w:val="00030B9F"/>
    <w:rsid w:val="00033591"/>
    <w:rsid w:val="00035243"/>
    <w:rsid w:val="00036C4D"/>
    <w:rsid w:val="00036CC4"/>
    <w:rsid w:val="0004487D"/>
    <w:rsid w:val="0004655D"/>
    <w:rsid w:val="00046AE3"/>
    <w:rsid w:val="00047161"/>
    <w:rsid w:val="00047F90"/>
    <w:rsid w:val="0005162F"/>
    <w:rsid w:val="00051863"/>
    <w:rsid w:val="000520B1"/>
    <w:rsid w:val="00055C90"/>
    <w:rsid w:val="000579F6"/>
    <w:rsid w:val="000722BF"/>
    <w:rsid w:val="00073BE1"/>
    <w:rsid w:val="000762AC"/>
    <w:rsid w:val="00082568"/>
    <w:rsid w:val="00083BC2"/>
    <w:rsid w:val="0009130D"/>
    <w:rsid w:val="00094FCC"/>
    <w:rsid w:val="000A08E3"/>
    <w:rsid w:val="000A7A9D"/>
    <w:rsid w:val="000B3AC3"/>
    <w:rsid w:val="000B4D4A"/>
    <w:rsid w:val="000B587C"/>
    <w:rsid w:val="000B7A0E"/>
    <w:rsid w:val="000C0E1A"/>
    <w:rsid w:val="000C2BCB"/>
    <w:rsid w:val="000C4236"/>
    <w:rsid w:val="000C64E7"/>
    <w:rsid w:val="000C689A"/>
    <w:rsid w:val="000C7808"/>
    <w:rsid w:val="000D123C"/>
    <w:rsid w:val="000D5B9F"/>
    <w:rsid w:val="000E0D11"/>
    <w:rsid w:val="000E23D7"/>
    <w:rsid w:val="000E7DAA"/>
    <w:rsid w:val="000F1063"/>
    <w:rsid w:val="000F1328"/>
    <w:rsid w:val="000F2DF3"/>
    <w:rsid w:val="00102CAD"/>
    <w:rsid w:val="001031B0"/>
    <w:rsid w:val="00105092"/>
    <w:rsid w:val="0010582A"/>
    <w:rsid w:val="001075AD"/>
    <w:rsid w:val="00110CBD"/>
    <w:rsid w:val="00122477"/>
    <w:rsid w:val="001232EC"/>
    <w:rsid w:val="00123E98"/>
    <w:rsid w:val="00123EB7"/>
    <w:rsid w:val="00125B86"/>
    <w:rsid w:val="00125EA7"/>
    <w:rsid w:val="00133F32"/>
    <w:rsid w:val="00134804"/>
    <w:rsid w:val="00135452"/>
    <w:rsid w:val="00135D16"/>
    <w:rsid w:val="001423E8"/>
    <w:rsid w:val="0014403A"/>
    <w:rsid w:val="00145A2D"/>
    <w:rsid w:val="00147326"/>
    <w:rsid w:val="001477E0"/>
    <w:rsid w:val="001523C7"/>
    <w:rsid w:val="00152E85"/>
    <w:rsid w:val="001559D5"/>
    <w:rsid w:val="00157D5E"/>
    <w:rsid w:val="00160312"/>
    <w:rsid w:val="001604FE"/>
    <w:rsid w:val="00164113"/>
    <w:rsid w:val="00164DF0"/>
    <w:rsid w:val="00174F2C"/>
    <w:rsid w:val="001776D1"/>
    <w:rsid w:val="00183B03"/>
    <w:rsid w:val="00184F4C"/>
    <w:rsid w:val="00186AD1"/>
    <w:rsid w:val="00190D4E"/>
    <w:rsid w:val="00192AD1"/>
    <w:rsid w:val="00196ADD"/>
    <w:rsid w:val="001A0653"/>
    <w:rsid w:val="001A62A4"/>
    <w:rsid w:val="001B150F"/>
    <w:rsid w:val="001B3DCD"/>
    <w:rsid w:val="001B77F3"/>
    <w:rsid w:val="001C1026"/>
    <w:rsid w:val="001C146D"/>
    <w:rsid w:val="001C164F"/>
    <w:rsid w:val="001C1957"/>
    <w:rsid w:val="001C3631"/>
    <w:rsid w:val="001D0EB9"/>
    <w:rsid w:val="001D1A0E"/>
    <w:rsid w:val="001D4E88"/>
    <w:rsid w:val="001D5427"/>
    <w:rsid w:val="001D6F99"/>
    <w:rsid w:val="001E7D92"/>
    <w:rsid w:val="001F2FF4"/>
    <w:rsid w:val="001F4DAC"/>
    <w:rsid w:val="0020017A"/>
    <w:rsid w:val="0020780A"/>
    <w:rsid w:val="00210364"/>
    <w:rsid w:val="0021479B"/>
    <w:rsid w:val="00215571"/>
    <w:rsid w:val="00225BA9"/>
    <w:rsid w:val="00231E55"/>
    <w:rsid w:val="00234B58"/>
    <w:rsid w:val="0023517A"/>
    <w:rsid w:val="002360AF"/>
    <w:rsid w:val="002373AF"/>
    <w:rsid w:val="0024137C"/>
    <w:rsid w:val="002425D6"/>
    <w:rsid w:val="002428AB"/>
    <w:rsid w:val="00244C00"/>
    <w:rsid w:val="00245B43"/>
    <w:rsid w:val="00250418"/>
    <w:rsid w:val="002505A6"/>
    <w:rsid w:val="002549D4"/>
    <w:rsid w:val="0026325C"/>
    <w:rsid w:val="0026418F"/>
    <w:rsid w:val="0026450A"/>
    <w:rsid w:val="002709A8"/>
    <w:rsid w:val="00270C27"/>
    <w:rsid w:val="00271D87"/>
    <w:rsid w:val="00272EB2"/>
    <w:rsid w:val="002746A1"/>
    <w:rsid w:val="00280C2F"/>
    <w:rsid w:val="002823CE"/>
    <w:rsid w:val="00285DE2"/>
    <w:rsid w:val="00290910"/>
    <w:rsid w:val="00293B10"/>
    <w:rsid w:val="002966B6"/>
    <w:rsid w:val="0029795C"/>
    <w:rsid w:val="002A0ED3"/>
    <w:rsid w:val="002A29E5"/>
    <w:rsid w:val="002A758C"/>
    <w:rsid w:val="002B296E"/>
    <w:rsid w:val="002B5C22"/>
    <w:rsid w:val="002B6A5A"/>
    <w:rsid w:val="002C3DA7"/>
    <w:rsid w:val="002C3F0A"/>
    <w:rsid w:val="002C500F"/>
    <w:rsid w:val="002C6B4A"/>
    <w:rsid w:val="002D2996"/>
    <w:rsid w:val="002D36C4"/>
    <w:rsid w:val="002D5EB6"/>
    <w:rsid w:val="002D63FF"/>
    <w:rsid w:val="002E0BE7"/>
    <w:rsid w:val="002E1005"/>
    <w:rsid w:val="002E4C9D"/>
    <w:rsid w:val="002E5DA1"/>
    <w:rsid w:val="002E63F0"/>
    <w:rsid w:val="002E6F35"/>
    <w:rsid w:val="002F006C"/>
    <w:rsid w:val="002F019C"/>
    <w:rsid w:val="002F403D"/>
    <w:rsid w:val="002F4FC9"/>
    <w:rsid w:val="002F54BE"/>
    <w:rsid w:val="00305131"/>
    <w:rsid w:val="00305CE7"/>
    <w:rsid w:val="00305DA0"/>
    <w:rsid w:val="003075D2"/>
    <w:rsid w:val="003103D1"/>
    <w:rsid w:val="00311E94"/>
    <w:rsid w:val="00315035"/>
    <w:rsid w:val="00321622"/>
    <w:rsid w:val="0032311B"/>
    <w:rsid w:val="00323813"/>
    <w:rsid w:val="00324CB2"/>
    <w:rsid w:val="00326B43"/>
    <w:rsid w:val="003277CD"/>
    <w:rsid w:val="0033310F"/>
    <w:rsid w:val="0033356C"/>
    <w:rsid w:val="00335A76"/>
    <w:rsid w:val="003402FF"/>
    <w:rsid w:val="00341AAD"/>
    <w:rsid w:val="00345849"/>
    <w:rsid w:val="00353939"/>
    <w:rsid w:val="003553CD"/>
    <w:rsid w:val="00356426"/>
    <w:rsid w:val="00356A28"/>
    <w:rsid w:val="00362D56"/>
    <w:rsid w:val="0037109F"/>
    <w:rsid w:val="003710C6"/>
    <w:rsid w:val="003731BF"/>
    <w:rsid w:val="00373CC6"/>
    <w:rsid w:val="0037772B"/>
    <w:rsid w:val="003811DD"/>
    <w:rsid w:val="00384FDC"/>
    <w:rsid w:val="00387363"/>
    <w:rsid w:val="0039233C"/>
    <w:rsid w:val="003936FA"/>
    <w:rsid w:val="00395B93"/>
    <w:rsid w:val="003960E2"/>
    <w:rsid w:val="003A0898"/>
    <w:rsid w:val="003A13DC"/>
    <w:rsid w:val="003A22B2"/>
    <w:rsid w:val="003A283F"/>
    <w:rsid w:val="003A3EA6"/>
    <w:rsid w:val="003A5619"/>
    <w:rsid w:val="003B4BF9"/>
    <w:rsid w:val="003B627E"/>
    <w:rsid w:val="003C55EB"/>
    <w:rsid w:val="003D016D"/>
    <w:rsid w:val="003D1101"/>
    <w:rsid w:val="003D2AD2"/>
    <w:rsid w:val="003E32F8"/>
    <w:rsid w:val="003F0159"/>
    <w:rsid w:val="003F0EBF"/>
    <w:rsid w:val="003F1A85"/>
    <w:rsid w:val="0040232B"/>
    <w:rsid w:val="00411AD4"/>
    <w:rsid w:val="004142D5"/>
    <w:rsid w:val="004155CD"/>
    <w:rsid w:val="004159E6"/>
    <w:rsid w:val="00420DE3"/>
    <w:rsid w:val="00421174"/>
    <w:rsid w:val="00422460"/>
    <w:rsid w:val="004303AA"/>
    <w:rsid w:val="004308A1"/>
    <w:rsid w:val="00430AF8"/>
    <w:rsid w:val="00432891"/>
    <w:rsid w:val="0043317D"/>
    <w:rsid w:val="00434018"/>
    <w:rsid w:val="004370D7"/>
    <w:rsid w:val="004432FE"/>
    <w:rsid w:val="004437AE"/>
    <w:rsid w:val="004454D9"/>
    <w:rsid w:val="00446748"/>
    <w:rsid w:val="004468B4"/>
    <w:rsid w:val="0045104F"/>
    <w:rsid w:val="00460807"/>
    <w:rsid w:val="00460ABA"/>
    <w:rsid w:val="00460E5B"/>
    <w:rsid w:val="00461030"/>
    <w:rsid w:val="004621E5"/>
    <w:rsid w:val="00463D37"/>
    <w:rsid w:val="00471274"/>
    <w:rsid w:val="00471E81"/>
    <w:rsid w:val="00472409"/>
    <w:rsid w:val="00480F0D"/>
    <w:rsid w:val="00486E73"/>
    <w:rsid w:val="004A0C96"/>
    <w:rsid w:val="004A19DD"/>
    <w:rsid w:val="004A20E5"/>
    <w:rsid w:val="004A27E3"/>
    <w:rsid w:val="004A5261"/>
    <w:rsid w:val="004A7791"/>
    <w:rsid w:val="004B0CD6"/>
    <w:rsid w:val="004B3152"/>
    <w:rsid w:val="004B5FA8"/>
    <w:rsid w:val="004C3ADD"/>
    <w:rsid w:val="004D1052"/>
    <w:rsid w:val="004D7F2E"/>
    <w:rsid w:val="004E098B"/>
    <w:rsid w:val="004E2AEC"/>
    <w:rsid w:val="004E3FBD"/>
    <w:rsid w:val="004E41AC"/>
    <w:rsid w:val="004E5F5E"/>
    <w:rsid w:val="004E7B5C"/>
    <w:rsid w:val="004F1DAC"/>
    <w:rsid w:val="00501787"/>
    <w:rsid w:val="00501E4E"/>
    <w:rsid w:val="005038E9"/>
    <w:rsid w:val="00506897"/>
    <w:rsid w:val="00511618"/>
    <w:rsid w:val="00516147"/>
    <w:rsid w:val="0052007E"/>
    <w:rsid w:val="00524AB1"/>
    <w:rsid w:val="00530432"/>
    <w:rsid w:val="00532047"/>
    <w:rsid w:val="00535134"/>
    <w:rsid w:val="0053774E"/>
    <w:rsid w:val="00542088"/>
    <w:rsid w:val="0054303D"/>
    <w:rsid w:val="005436FB"/>
    <w:rsid w:val="0055085C"/>
    <w:rsid w:val="0055090F"/>
    <w:rsid w:val="005543A6"/>
    <w:rsid w:val="005554AD"/>
    <w:rsid w:val="005568B0"/>
    <w:rsid w:val="00557C1B"/>
    <w:rsid w:val="005668BA"/>
    <w:rsid w:val="00572D56"/>
    <w:rsid w:val="0057738E"/>
    <w:rsid w:val="00583993"/>
    <w:rsid w:val="00586861"/>
    <w:rsid w:val="0058780A"/>
    <w:rsid w:val="005901F0"/>
    <w:rsid w:val="005912AD"/>
    <w:rsid w:val="00591B30"/>
    <w:rsid w:val="00591BAF"/>
    <w:rsid w:val="00594982"/>
    <w:rsid w:val="005962CA"/>
    <w:rsid w:val="005A0B67"/>
    <w:rsid w:val="005A1E16"/>
    <w:rsid w:val="005A43AB"/>
    <w:rsid w:val="005A482C"/>
    <w:rsid w:val="005A579C"/>
    <w:rsid w:val="005A5B03"/>
    <w:rsid w:val="005B0170"/>
    <w:rsid w:val="005B1875"/>
    <w:rsid w:val="005B1FAC"/>
    <w:rsid w:val="005B3AB8"/>
    <w:rsid w:val="005B5597"/>
    <w:rsid w:val="005B629B"/>
    <w:rsid w:val="005B7B25"/>
    <w:rsid w:val="005C09EC"/>
    <w:rsid w:val="005C2223"/>
    <w:rsid w:val="005E513F"/>
    <w:rsid w:val="005E6307"/>
    <w:rsid w:val="005F0B55"/>
    <w:rsid w:val="005F0EA2"/>
    <w:rsid w:val="005F464F"/>
    <w:rsid w:val="00602045"/>
    <w:rsid w:val="006137B4"/>
    <w:rsid w:val="00622334"/>
    <w:rsid w:val="00623B5C"/>
    <w:rsid w:val="0062431E"/>
    <w:rsid w:val="0063178E"/>
    <w:rsid w:val="00634CA8"/>
    <w:rsid w:val="00634D11"/>
    <w:rsid w:val="006357F8"/>
    <w:rsid w:val="00637736"/>
    <w:rsid w:val="00642E74"/>
    <w:rsid w:val="0064411E"/>
    <w:rsid w:val="00650F5B"/>
    <w:rsid w:val="006530D0"/>
    <w:rsid w:val="00666B5D"/>
    <w:rsid w:val="00666D92"/>
    <w:rsid w:val="006706B4"/>
    <w:rsid w:val="0067242A"/>
    <w:rsid w:val="00673CED"/>
    <w:rsid w:val="00674722"/>
    <w:rsid w:val="006749FE"/>
    <w:rsid w:val="006801A9"/>
    <w:rsid w:val="0068296E"/>
    <w:rsid w:val="006900CE"/>
    <w:rsid w:val="00690C3A"/>
    <w:rsid w:val="00693C62"/>
    <w:rsid w:val="00693D42"/>
    <w:rsid w:val="00697AEC"/>
    <w:rsid w:val="006A4089"/>
    <w:rsid w:val="006A5F3A"/>
    <w:rsid w:val="006A6F0A"/>
    <w:rsid w:val="006B00E1"/>
    <w:rsid w:val="006B0A36"/>
    <w:rsid w:val="006B1275"/>
    <w:rsid w:val="006B1578"/>
    <w:rsid w:val="006B1F77"/>
    <w:rsid w:val="006B4428"/>
    <w:rsid w:val="006B56AA"/>
    <w:rsid w:val="006B6BCB"/>
    <w:rsid w:val="006B6F2B"/>
    <w:rsid w:val="006C4C6F"/>
    <w:rsid w:val="006C5C8C"/>
    <w:rsid w:val="006D0314"/>
    <w:rsid w:val="006D1AD5"/>
    <w:rsid w:val="006D20BD"/>
    <w:rsid w:val="006D4663"/>
    <w:rsid w:val="006D66CE"/>
    <w:rsid w:val="006D77F1"/>
    <w:rsid w:val="006E37A8"/>
    <w:rsid w:val="006E4B2D"/>
    <w:rsid w:val="006E4D4C"/>
    <w:rsid w:val="006F75CA"/>
    <w:rsid w:val="00701086"/>
    <w:rsid w:val="00701EE1"/>
    <w:rsid w:val="007031C1"/>
    <w:rsid w:val="007037E0"/>
    <w:rsid w:val="007046E4"/>
    <w:rsid w:val="0070524E"/>
    <w:rsid w:val="00721A12"/>
    <w:rsid w:val="00726CBC"/>
    <w:rsid w:val="00731E2A"/>
    <w:rsid w:val="00734FD4"/>
    <w:rsid w:val="0074155C"/>
    <w:rsid w:val="00744A0C"/>
    <w:rsid w:val="0074718B"/>
    <w:rsid w:val="00750BEB"/>
    <w:rsid w:val="00751194"/>
    <w:rsid w:val="00752F41"/>
    <w:rsid w:val="007553E2"/>
    <w:rsid w:val="00755821"/>
    <w:rsid w:val="00760711"/>
    <w:rsid w:val="00760C63"/>
    <w:rsid w:val="007612BB"/>
    <w:rsid w:val="00763D77"/>
    <w:rsid w:val="00764256"/>
    <w:rsid w:val="0076454F"/>
    <w:rsid w:val="00771537"/>
    <w:rsid w:val="007746E5"/>
    <w:rsid w:val="007764F5"/>
    <w:rsid w:val="0078066F"/>
    <w:rsid w:val="00783694"/>
    <w:rsid w:val="0079172F"/>
    <w:rsid w:val="00791F91"/>
    <w:rsid w:val="00792E1B"/>
    <w:rsid w:val="00793C07"/>
    <w:rsid w:val="00794DAC"/>
    <w:rsid w:val="007958AE"/>
    <w:rsid w:val="0079703B"/>
    <w:rsid w:val="0079727B"/>
    <w:rsid w:val="007A2280"/>
    <w:rsid w:val="007A5B9B"/>
    <w:rsid w:val="007A6674"/>
    <w:rsid w:val="007A7C7A"/>
    <w:rsid w:val="007B3C6D"/>
    <w:rsid w:val="007B48FC"/>
    <w:rsid w:val="007B743A"/>
    <w:rsid w:val="007C3FAA"/>
    <w:rsid w:val="007D1F29"/>
    <w:rsid w:val="007D2D0F"/>
    <w:rsid w:val="007D31C8"/>
    <w:rsid w:val="007D38B1"/>
    <w:rsid w:val="007D3AB6"/>
    <w:rsid w:val="007D4637"/>
    <w:rsid w:val="007D4C6C"/>
    <w:rsid w:val="007D4EC4"/>
    <w:rsid w:val="007D5983"/>
    <w:rsid w:val="007D65BA"/>
    <w:rsid w:val="007D72FB"/>
    <w:rsid w:val="007E4C94"/>
    <w:rsid w:val="007E5F04"/>
    <w:rsid w:val="007F1677"/>
    <w:rsid w:val="007F2C2A"/>
    <w:rsid w:val="007F5169"/>
    <w:rsid w:val="007F647E"/>
    <w:rsid w:val="007F7EC0"/>
    <w:rsid w:val="00801A38"/>
    <w:rsid w:val="00803B40"/>
    <w:rsid w:val="00806F28"/>
    <w:rsid w:val="00807B69"/>
    <w:rsid w:val="00810E85"/>
    <w:rsid w:val="00812244"/>
    <w:rsid w:val="00812D31"/>
    <w:rsid w:val="0081372D"/>
    <w:rsid w:val="008138A3"/>
    <w:rsid w:val="008140E8"/>
    <w:rsid w:val="008166D4"/>
    <w:rsid w:val="00817DB8"/>
    <w:rsid w:val="0082057C"/>
    <w:rsid w:val="008223B6"/>
    <w:rsid w:val="00830E2C"/>
    <w:rsid w:val="00835FB6"/>
    <w:rsid w:val="008363CE"/>
    <w:rsid w:val="00841109"/>
    <w:rsid w:val="00845602"/>
    <w:rsid w:val="00846672"/>
    <w:rsid w:val="00847127"/>
    <w:rsid w:val="00853091"/>
    <w:rsid w:val="00856054"/>
    <w:rsid w:val="00856105"/>
    <w:rsid w:val="0086614D"/>
    <w:rsid w:val="00867F98"/>
    <w:rsid w:val="0087225E"/>
    <w:rsid w:val="00872B38"/>
    <w:rsid w:val="00872CDB"/>
    <w:rsid w:val="008801A3"/>
    <w:rsid w:val="0088330C"/>
    <w:rsid w:val="00883AA8"/>
    <w:rsid w:val="008853B1"/>
    <w:rsid w:val="008859FC"/>
    <w:rsid w:val="00885C49"/>
    <w:rsid w:val="0089165B"/>
    <w:rsid w:val="008920BC"/>
    <w:rsid w:val="008976C8"/>
    <w:rsid w:val="008A1016"/>
    <w:rsid w:val="008A402F"/>
    <w:rsid w:val="008A73D1"/>
    <w:rsid w:val="008B2078"/>
    <w:rsid w:val="008B641C"/>
    <w:rsid w:val="008B6A92"/>
    <w:rsid w:val="008B6F21"/>
    <w:rsid w:val="008B7807"/>
    <w:rsid w:val="008C2951"/>
    <w:rsid w:val="008C4241"/>
    <w:rsid w:val="008C50F1"/>
    <w:rsid w:val="008C6819"/>
    <w:rsid w:val="008D3759"/>
    <w:rsid w:val="008D5DDF"/>
    <w:rsid w:val="008E2B32"/>
    <w:rsid w:val="008E6B4B"/>
    <w:rsid w:val="008F0E1B"/>
    <w:rsid w:val="008F59CA"/>
    <w:rsid w:val="008F615A"/>
    <w:rsid w:val="008F7FE5"/>
    <w:rsid w:val="00900B57"/>
    <w:rsid w:val="00904713"/>
    <w:rsid w:val="009059F6"/>
    <w:rsid w:val="00905D0E"/>
    <w:rsid w:val="00912406"/>
    <w:rsid w:val="009136FB"/>
    <w:rsid w:val="00914845"/>
    <w:rsid w:val="00921A8A"/>
    <w:rsid w:val="009220BF"/>
    <w:rsid w:val="0092669F"/>
    <w:rsid w:val="00933427"/>
    <w:rsid w:val="009356F2"/>
    <w:rsid w:val="00937148"/>
    <w:rsid w:val="00940369"/>
    <w:rsid w:val="009454F4"/>
    <w:rsid w:val="00946EFC"/>
    <w:rsid w:val="00946F59"/>
    <w:rsid w:val="00950E98"/>
    <w:rsid w:val="0095203B"/>
    <w:rsid w:val="009537E3"/>
    <w:rsid w:val="00957952"/>
    <w:rsid w:val="009612CA"/>
    <w:rsid w:val="00963D52"/>
    <w:rsid w:val="00965A51"/>
    <w:rsid w:val="00970EA5"/>
    <w:rsid w:val="00973CA7"/>
    <w:rsid w:val="009757C4"/>
    <w:rsid w:val="0097679F"/>
    <w:rsid w:val="00987D22"/>
    <w:rsid w:val="009929A4"/>
    <w:rsid w:val="00993BB4"/>
    <w:rsid w:val="009974A8"/>
    <w:rsid w:val="009A0EA8"/>
    <w:rsid w:val="009A1BDE"/>
    <w:rsid w:val="009A6E5F"/>
    <w:rsid w:val="009B170E"/>
    <w:rsid w:val="009B1762"/>
    <w:rsid w:val="009B4107"/>
    <w:rsid w:val="009B6F40"/>
    <w:rsid w:val="009C1E9F"/>
    <w:rsid w:val="009C4AF0"/>
    <w:rsid w:val="009C75DB"/>
    <w:rsid w:val="009D062B"/>
    <w:rsid w:val="009D39E4"/>
    <w:rsid w:val="009D4278"/>
    <w:rsid w:val="009E444A"/>
    <w:rsid w:val="009E50FB"/>
    <w:rsid w:val="009E5DEE"/>
    <w:rsid w:val="009E66C2"/>
    <w:rsid w:val="009E6EF2"/>
    <w:rsid w:val="009F76F8"/>
    <w:rsid w:val="00A027FE"/>
    <w:rsid w:val="00A049ED"/>
    <w:rsid w:val="00A06F79"/>
    <w:rsid w:val="00A13C69"/>
    <w:rsid w:val="00A13FD3"/>
    <w:rsid w:val="00A15662"/>
    <w:rsid w:val="00A15B4D"/>
    <w:rsid w:val="00A17A05"/>
    <w:rsid w:val="00A20B5D"/>
    <w:rsid w:val="00A21678"/>
    <w:rsid w:val="00A21934"/>
    <w:rsid w:val="00A249CD"/>
    <w:rsid w:val="00A26BE9"/>
    <w:rsid w:val="00A3093B"/>
    <w:rsid w:val="00A30D3A"/>
    <w:rsid w:val="00A32364"/>
    <w:rsid w:val="00A33CFD"/>
    <w:rsid w:val="00A50064"/>
    <w:rsid w:val="00A51785"/>
    <w:rsid w:val="00A52400"/>
    <w:rsid w:val="00A53AEC"/>
    <w:rsid w:val="00A55EDA"/>
    <w:rsid w:val="00A57355"/>
    <w:rsid w:val="00A610B1"/>
    <w:rsid w:val="00A63E72"/>
    <w:rsid w:val="00A665D9"/>
    <w:rsid w:val="00A66F56"/>
    <w:rsid w:val="00A675A0"/>
    <w:rsid w:val="00A7451A"/>
    <w:rsid w:val="00A83A06"/>
    <w:rsid w:val="00A925B1"/>
    <w:rsid w:val="00A92A0C"/>
    <w:rsid w:val="00A95ABA"/>
    <w:rsid w:val="00AA0D1E"/>
    <w:rsid w:val="00AA1328"/>
    <w:rsid w:val="00AA470C"/>
    <w:rsid w:val="00AA5E0D"/>
    <w:rsid w:val="00AA6718"/>
    <w:rsid w:val="00AB0EAD"/>
    <w:rsid w:val="00AB2F6A"/>
    <w:rsid w:val="00AB6537"/>
    <w:rsid w:val="00AC01BC"/>
    <w:rsid w:val="00AC108C"/>
    <w:rsid w:val="00AC6148"/>
    <w:rsid w:val="00AD25EB"/>
    <w:rsid w:val="00AD273D"/>
    <w:rsid w:val="00AD3773"/>
    <w:rsid w:val="00AD6720"/>
    <w:rsid w:val="00AD732E"/>
    <w:rsid w:val="00AE1C0F"/>
    <w:rsid w:val="00AE2AFA"/>
    <w:rsid w:val="00AE7D66"/>
    <w:rsid w:val="00AF1DF5"/>
    <w:rsid w:val="00AF7704"/>
    <w:rsid w:val="00AF79C5"/>
    <w:rsid w:val="00B13D11"/>
    <w:rsid w:val="00B1422D"/>
    <w:rsid w:val="00B1504B"/>
    <w:rsid w:val="00B16D72"/>
    <w:rsid w:val="00B17FE0"/>
    <w:rsid w:val="00B20EEA"/>
    <w:rsid w:val="00B21464"/>
    <w:rsid w:val="00B27CA4"/>
    <w:rsid w:val="00B31267"/>
    <w:rsid w:val="00B35B9A"/>
    <w:rsid w:val="00B35E87"/>
    <w:rsid w:val="00B372CB"/>
    <w:rsid w:val="00B41ECA"/>
    <w:rsid w:val="00B45AD9"/>
    <w:rsid w:val="00B46B50"/>
    <w:rsid w:val="00B51FC7"/>
    <w:rsid w:val="00B532E2"/>
    <w:rsid w:val="00B55775"/>
    <w:rsid w:val="00B61F3D"/>
    <w:rsid w:val="00B63142"/>
    <w:rsid w:val="00B63FE9"/>
    <w:rsid w:val="00B70889"/>
    <w:rsid w:val="00B75E35"/>
    <w:rsid w:val="00B762CF"/>
    <w:rsid w:val="00B7694F"/>
    <w:rsid w:val="00B810FB"/>
    <w:rsid w:val="00B85510"/>
    <w:rsid w:val="00B86F8C"/>
    <w:rsid w:val="00B87097"/>
    <w:rsid w:val="00B935F7"/>
    <w:rsid w:val="00B94787"/>
    <w:rsid w:val="00B96CF9"/>
    <w:rsid w:val="00B97368"/>
    <w:rsid w:val="00B97861"/>
    <w:rsid w:val="00BA0C36"/>
    <w:rsid w:val="00BA2DFA"/>
    <w:rsid w:val="00BA5985"/>
    <w:rsid w:val="00BA6DCA"/>
    <w:rsid w:val="00BB2E37"/>
    <w:rsid w:val="00BB3B9D"/>
    <w:rsid w:val="00BB475D"/>
    <w:rsid w:val="00BB612C"/>
    <w:rsid w:val="00BB74E8"/>
    <w:rsid w:val="00BC0022"/>
    <w:rsid w:val="00BC2E32"/>
    <w:rsid w:val="00BC3702"/>
    <w:rsid w:val="00BC3723"/>
    <w:rsid w:val="00BC3A0B"/>
    <w:rsid w:val="00BC4367"/>
    <w:rsid w:val="00BC79A5"/>
    <w:rsid w:val="00BD19A7"/>
    <w:rsid w:val="00BD4173"/>
    <w:rsid w:val="00BD7D8C"/>
    <w:rsid w:val="00BE2354"/>
    <w:rsid w:val="00BE5E00"/>
    <w:rsid w:val="00BE7E28"/>
    <w:rsid w:val="00BF134C"/>
    <w:rsid w:val="00BF53C2"/>
    <w:rsid w:val="00BF55BD"/>
    <w:rsid w:val="00C036E1"/>
    <w:rsid w:val="00C06DAA"/>
    <w:rsid w:val="00C13727"/>
    <w:rsid w:val="00C148C6"/>
    <w:rsid w:val="00C14B6A"/>
    <w:rsid w:val="00C15825"/>
    <w:rsid w:val="00C174A1"/>
    <w:rsid w:val="00C24AC7"/>
    <w:rsid w:val="00C25258"/>
    <w:rsid w:val="00C255CE"/>
    <w:rsid w:val="00C26177"/>
    <w:rsid w:val="00C27633"/>
    <w:rsid w:val="00C27BEA"/>
    <w:rsid w:val="00C35401"/>
    <w:rsid w:val="00C3712E"/>
    <w:rsid w:val="00C435E6"/>
    <w:rsid w:val="00C443E4"/>
    <w:rsid w:val="00C446EE"/>
    <w:rsid w:val="00C51F32"/>
    <w:rsid w:val="00C520EF"/>
    <w:rsid w:val="00C5244A"/>
    <w:rsid w:val="00C56E41"/>
    <w:rsid w:val="00C609D6"/>
    <w:rsid w:val="00C622B3"/>
    <w:rsid w:val="00C67553"/>
    <w:rsid w:val="00C676A9"/>
    <w:rsid w:val="00C67EFD"/>
    <w:rsid w:val="00C719FB"/>
    <w:rsid w:val="00C71C81"/>
    <w:rsid w:val="00C71F2E"/>
    <w:rsid w:val="00C72488"/>
    <w:rsid w:val="00C741BF"/>
    <w:rsid w:val="00C746A8"/>
    <w:rsid w:val="00C77F0C"/>
    <w:rsid w:val="00C835AC"/>
    <w:rsid w:val="00C85BA9"/>
    <w:rsid w:val="00C867A5"/>
    <w:rsid w:val="00C86A3C"/>
    <w:rsid w:val="00C87D50"/>
    <w:rsid w:val="00C901A7"/>
    <w:rsid w:val="00C9117D"/>
    <w:rsid w:val="00C91D5D"/>
    <w:rsid w:val="00CA1F6D"/>
    <w:rsid w:val="00CA5ACE"/>
    <w:rsid w:val="00CB2684"/>
    <w:rsid w:val="00CB7888"/>
    <w:rsid w:val="00CB7DE1"/>
    <w:rsid w:val="00CD0810"/>
    <w:rsid w:val="00CD0871"/>
    <w:rsid w:val="00CD15AC"/>
    <w:rsid w:val="00CD3BC6"/>
    <w:rsid w:val="00CD7D7E"/>
    <w:rsid w:val="00CE00DF"/>
    <w:rsid w:val="00CE0851"/>
    <w:rsid w:val="00CE2815"/>
    <w:rsid w:val="00CE52DC"/>
    <w:rsid w:val="00CF1384"/>
    <w:rsid w:val="00CF2476"/>
    <w:rsid w:val="00CF31A3"/>
    <w:rsid w:val="00CF53F3"/>
    <w:rsid w:val="00D0005C"/>
    <w:rsid w:val="00D01223"/>
    <w:rsid w:val="00D0531F"/>
    <w:rsid w:val="00D0649F"/>
    <w:rsid w:val="00D06A2B"/>
    <w:rsid w:val="00D07388"/>
    <w:rsid w:val="00D101DB"/>
    <w:rsid w:val="00D137A0"/>
    <w:rsid w:val="00D14DA8"/>
    <w:rsid w:val="00D152BD"/>
    <w:rsid w:val="00D17566"/>
    <w:rsid w:val="00D20765"/>
    <w:rsid w:val="00D22980"/>
    <w:rsid w:val="00D23242"/>
    <w:rsid w:val="00D23D28"/>
    <w:rsid w:val="00D3713E"/>
    <w:rsid w:val="00D40D69"/>
    <w:rsid w:val="00D43946"/>
    <w:rsid w:val="00D463F3"/>
    <w:rsid w:val="00D46E2E"/>
    <w:rsid w:val="00D526AB"/>
    <w:rsid w:val="00D54B44"/>
    <w:rsid w:val="00D65A9A"/>
    <w:rsid w:val="00D6748D"/>
    <w:rsid w:val="00D67EFB"/>
    <w:rsid w:val="00D8046B"/>
    <w:rsid w:val="00D825BB"/>
    <w:rsid w:val="00D9165B"/>
    <w:rsid w:val="00DA03A3"/>
    <w:rsid w:val="00DA044F"/>
    <w:rsid w:val="00DA0F19"/>
    <w:rsid w:val="00DA1172"/>
    <w:rsid w:val="00DA4D0F"/>
    <w:rsid w:val="00DA72AF"/>
    <w:rsid w:val="00DB05CE"/>
    <w:rsid w:val="00DB09FD"/>
    <w:rsid w:val="00DB214F"/>
    <w:rsid w:val="00DC0B27"/>
    <w:rsid w:val="00DC0DC3"/>
    <w:rsid w:val="00DC5979"/>
    <w:rsid w:val="00DC683E"/>
    <w:rsid w:val="00DD7ACC"/>
    <w:rsid w:val="00DD7C86"/>
    <w:rsid w:val="00DE210F"/>
    <w:rsid w:val="00DE6729"/>
    <w:rsid w:val="00DE780F"/>
    <w:rsid w:val="00DF005C"/>
    <w:rsid w:val="00DF193F"/>
    <w:rsid w:val="00DF25E1"/>
    <w:rsid w:val="00DF45C1"/>
    <w:rsid w:val="00DF63D3"/>
    <w:rsid w:val="00E01277"/>
    <w:rsid w:val="00E0373F"/>
    <w:rsid w:val="00E07FC2"/>
    <w:rsid w:val="00E10C3F"/>
    <w:rsid w:val="00E16381"/>
    <w:rsid w:val="00E16BE0"/>
    <w:rsid w:val="00E20FDC"/>
    <w:rsid w:val="00E21413"/>
    <w:rsid w:val="00E22D57"/>
    <w:rsid w:val="00E278B7"/>
    <w:rsid w:val="00E30D44"/>
    <w:rsid w:val="00E329CC"/>
    <w:rsid w:val="00E35F37"/>
    <w:rsid w:val="00E426CB"/>
    <w:rsid w:val="00E4477C"/>
    <w:rsid w:val="00E53672"/>
    <w:rsid w:val="00E5578E"/>
    <w:rsid w:val="00E604F1"/>
    <w:rsid w:val="00E61DE2"/>
    <w:rsid w:val="00E71B7C"/>
    <w:rsid w:val="00E72E33"/>
    <w:rsid w:val="00E7592D"/>
    <w:rsid w:val="00E826CD"/>
    <w:rsid w:val="00E8442D"/>
    <w:rsid w:val="00E93D2E"/>
    <w:rsid w:val="00E9738B"/>
    <w:rsid w:val="00E97895"/>
    <w:rsid w:val="00E97ED5"/>
    <w:rsid w:val="00EA6339"/>
    <w:rsid w:val="00EB051B"/>
    <w:rsid w:val="00EB0F3C"/>
    <w:rsid w:val="00EB2414"/>
    <w:rsid w:val="00EB4289"/>
    <w:rsid w:val="00EB44C9"/>
    <w:rsid w:val="00EB5B32"/>
    <w:rsid w:val="00EB75BE"/>
    <w:rsid w:val="00EC1A0F"/>
    <w:rsid w:val="00EC2883"/>
    <w:rsid w:val="00EC3753"/>
    <w:rsid w:val="00EC40A2"/>
    <w:rsid w:val="00EC4659"/>
    <w:rsid w:val="00EC4D83"/>
    <w:rsid w:val="00EC69E5"/>
    <w:rsid w:val="00ED4FC7"/>
    <w:rsid w:val="00ED59E6"/>
    <w:rsid w:val="00EE126C"/>
    <w:rsid w:val="00EE2C1D"/>
    <w:rsid w:val="00EF10A6"/>
    <w:rsid w:val="00EF1CEA"/>
    <w:rsid w:val="00EF31F9"/>
    <w:rsid w:val="00EF4E8F"/>
    <w:rsid w:val="00EF5AA6"/>
    <w:rsid w:val="00EF6432"/>
    <w:rsid w:val="00EF6661"/>
    <w:rsid w:val="00F013C6"/>
    <w:rsid w:val="00F035C6"/>
    <w:rsid w:val="00F04A50"/>
    <w:rsid w:val="00F0516B"/>
    <w:rsid w:val="00F05E51"/>
    <w:rsid w:val="00F0669D"/>
    <w:rsid w:val="00F17533"/>
    <w:rsid w:val="00F21003"/>
    <w:rsid w:val="00F211FE"/>
    <w:rsid w:val="00F238BB"/>
    <w:rsid w:val="00F23BD1"/>
    <w:rsid w:val="00F43EFC"/>
    <w:rsid w:val="00F446EB"/>
    <w:rsid w:val="00F4506A"/>
    <w:rsid w:val="00F508E5"/>
    <w:rsid w:val="00F571BE"/>
    <w:rsid w:val="00F5795E"/>
    <w:rsid w:val="00F57B77"/>
    <w:rsid w:val="00F6136F"/>
    <w:rsid w:val="00F6601D"/>
    <w:rsid w:val="00F67588"/>
    <w:rsid w:val="00F70F28"/>
    <w:rsid w:val="00F72CA9"/>
    <w:rsid w:val="00F739A8"/>
    <w:rsid w:val="00F742EC"/>
    <w:rsid w:val="00F8221A"/>
    <w:rsid w:val="00F87390"/>
    <w:rsid w:val="00F940B3"/>
    <w:rsid w:val="00F95BD0"/>
    <w:rsid w:val="00FA593E"/>
    <w:rsid w:val="00FB45E4"/>
    <w:rsid w:val="00FC18D7"/>
    <w:rsid w:val="00FC62F9"/>
    <w:rsid w:val="00FC6BE7"/>
    <w:rsid w:val="00FD2FD3"/>
    <w:rsid w:val="00FD5E8F"/>
    <w:rsid w:val="00FE26CC"/>
    <w:rsid w:val="00FE48A3"/>
    <w:rsid w:val="00FE692E"/>
    <w:rsid w:val="00FE78A2"/>
    <w:rsid w:val="00FF3E28"/>
    <w:rsid w:val="01031527"/>
    <w:rsid w:val="012C1C02"/>
    <w:rsid w:val="014063FE"/>
    <w:rsid w:val="01721FEB"/>
    <w:rsid w:val="01722330"/>
    <w:rsid w:val="01CA5CC8"/>
    <w:rsid w:val="02226211"/>
    <w:rsid w:val="0293255D"/>
    <w:rsid w:val="02E25F12"/>
    <w:rsid w:val="030516AD"/>
    <w:rsid w:val="038A3F97"/>
    <w:rsid w:val="03993BA4"/>
    <w:rsid w:val="03A66B69"/>
    <w:rsid w:val="03E017D2"/>
    <w:rsid w:val="042C4F6C"/>
    <w:rsid w:val="04446205"/>
    <w:rsid w:val="047255F5"/>
    <w:rsid w:val="048C54B6"/>
    <w:rsid w:val="049A4077"/>
    <w:rsid w:val="05130EC4"/>
    <w:rsid w:val="05452235"/>
    <w:rsid w:val="05A21435"/>
    <w:rsid w:val="06127C3D"/>
    <w:rsid w:val="06215480"/>
    <w:rsid w:val="062E1176"/>
    <w:rsid w:val="063E255E"/>
    <w:rsid w:val="065D710A"/>
    <w:rsid w:val="069468A4"/>
    <w:rsid w:val="06D86E6E"/>
    <w:rsid w:val="06E710CA"/>
    <w:rsid w:val="06E94E42"/>
    <w:rsid w:val="07101435"/>
    <w:rsid w:val="072B0FB7"/>
    <w:rsid w:val="07724E37"/>
    <w:rsid w:val="07A01017"/>
    <w:rsid w:val="07B37245"/>
    <w:rsid w:val="07EC1177"/>
    <w:rsid w:val="08A54D99"/>
    <w:rsid w:val="08E33B14"/>
    <w:rsid w:val="09B4074E"/>
    <w:rsid w:val="09B47989"/>
    <w:rsid w:val="09CB6A81"/>
    <w:rsid w:val="0A0106F5"/>
    <w:rsid w:val="0A522CFE"/>
    <w:rsid w:val="0A537E82"/>
    <w:rsid w:val="0A670558"/>
    <w:rsid w:val="0B5C3158"/>
    <w:rsid w:val="0B845139"/>
    <w:rsid w:val="0B913B41"/>
    <w:rsid w:val="0BB023D2"/>
    <w:rsid w:val="0BC027C4"/>
    <w:rsid w:val="0BC750CE"/>
    <w:rsid w:val="0BE16F32"/>
    <w:rsid w:val="0C204376"/>
    <w:rsid w:val="0C254A1B"/>
    <w:rsid w:val="0C526FE5"/>
    <w:rsid w:val="0C6875C2"/>
    <w:rsid w:val="0CA77331"/>
    <w:rsid w:val="0CB16402"/>
    <w:rsid w:val="0CEC0DE7"/>
    <w:rsid w:val="0D0227BA"/>
    <w:rsid w:val="0D3D03BA"/>
    <w:rsid w:val="0D605732"/>
    <w:rsid w:val="0D844388"/>
    <w:rsid w:val="0DEE34CD"/>
    <w:rsid w:val="0E0B7D94"/>
    <w:rsid w:val="0E230C39"/>
    <w:rsid w:val="0E607F86"/>
    <w:rsid w:val="0E8A0CB9"/>
    <w:rsid w:val="0E9C279A"/>
    <w:rsid w:val="0EB421D9"/>
    <w:rsid w:val="0F142273"/>
    <w:rsid w:val="0F5B4403"/>
    <w:rsid w:val="0F5D008C"/>
    <w:rsid w:val="0FD3114F"/>
    <w:rsid w:val="0FEE5EBF"/>
    <w:rsid w:val="108300B5"/>
    <w:rsid w:val="108654B0"/>
    <w:rsid w:val="108C64EF"/>
    <w:rsid w:val="10BE733F"/>
    <w:rsid w:val="10CA1840"/>
    <w:rsid w:val="10D97CD5"/>
    <w:rsid w:val="10FC5772"/>
    <w:rsid w:val="11093651"/>
    <w:rsid w:val="11662604"/>
    <w:rsid w:val="11796EDC"/>
    <w:rsid w:val="119D5A3B"/>
    <w:rsid w:val="12635AA8"/>
    <w:rsid w:val="127840D2"/>
    <w:rsid w:val="12900790"/>
    <w:rsid w:val="12900868"/>
    <w:rsid w:val="134F24D1"/>
    <w:rsid w:val="13AA7707"/>
    <w:rsid w:val="13FF3EF7"/>
    <w:rsid w:val="144E2788"/>
    <w:rsid w:val="14806439"/>
    <w:rsid w:val="149C1746"/>
    <w:rsid w:val="14E4477F"/>
    <w:rsid w:val="15BD1BCA"/>
    <w:rsid w:val="16105DC5"/>
    <w:rsid w:val="16730284"/>
    <w:rsid w:val="16753FFC"/>
    <w:rsid w:val="16B965DF"/>
    <w:rsid w:val="1741793A"/>
    <w:rsid w:val="1743234C"/>
    <w:rsid w:val="17933E49"/>
    <w:rsid w:val="17966F3F"/>
    <w:rsid w:val="179901BE"/>
    <w:rsid w:val="17C24EE1"/>
    <w:rsid w:val="17C27715"/>
    <w:rsid w:val="17C57205"/>
    <w:rsid w:val="17E4768B"/>
    <w:rsid w:val="17FC3BA5"/>
    <w:rsid w:val="182513C0"/>
    <w:rsid w:val="18397E11"/>
    <w:rsid w:val="194505FE"/>
    <w:rsid w:val="19687E48"/>
    <w:rsid w:val="196B1CEA"/>
    <w:rsid w:val="198E1EAE"/>
    <w:rsid w:val="1A24288D"/>
    <w:rsid w:val="1B1B5294"/>
    <w:rsid w:val="1B356450"/>
    <w:rsid w:val="1B434F04"/>
    <w:rsid w:val="1B9C14FB"/>
    <w:rsid w:val="1BEB4F4B"/>
    <w:rsid w:val="1BEF4851"/>
    <w:rsid w:val="1BFE3C79"/>
    <w:rsid w:val="1C2C01A7"/>
    <w:rsid w:val="1C4F3541"/>
    <w:rsid w:val="1C584649"/>
    <w:rsid w:val="1C792E22"/>
    <w:rsid w:val="1CB57848"/>
    <w:rsid w:val="1CBF2475"/>
    <w:rsid w:val="1D2D5631"/>
    <w:rsid w:val="1D345E0F"/>
    <w:rsid w:val="1D880AB9"/>
    <w:rsid w:val="1DB9452C"/>
    <w:rsid w:val="1DE33F41"/>
    <w:rsid w:val="1DE71C83"/>
    <w:rsid w:val="1E206809"/>
    <w:rsid w:val="1E5A29B0"/>
    <w:rsid w:val="1E71779F"/>
    <w:rsid w:val="1E8A6AB3"/>
    <w:rsid w:val="1EFB3211"/>
    <w:rsid w:val="1F103EA9"/>
    <w:rsid w:val="1F1D7927"/>
    <w:rsid w:val="1F784B5D"/>
    <w:rsid w:val="1FB14636"/>
    <w:rsid w:val="1FBE5A89"/>
    <w:rsid w:val="1FCA3C17"/>
    <w:rsid w:val="1FDB296A"/>
    <w:rsid w:val="1FE909DC"/>
    <w:rsid w:val="1FF42436"/>
    <w:rsid w:val="204333BD"/>
    <w:rsid w:val="20457135"/>
    <w:rsid w:val="20631369"/>
    <w:rsid w:val="20755F4B"/>
    <w:rsid w:val="20AF152F"/>
    <w:rsid w:val="21431371"/>
    <w:rsid w:val="2149055F"/>
    <w:rsid w:val="21513626"/>
    <w:rsid w:val="215C64E4"/>
    <w:rsid w:val="215D225D"/>
    <w:rsid w:val="219537A4"/>
    <w:rsid w:val="21C36564"/>
    <w:rsid w:val="21DF0EC4"/>
    <w:rsid w:val="228D0920"/>
    <w:rsid w:val="23290736"/>
    <w:rsid w:val="23362D65"/>
    <w:rsid w:val="236E5E5F"/>
    <w:rsid w:val="2378337E"/>
    <w:rsid w:val="239A32F4"/>
    <w:rsid w:val="23A61C99"/>
    <w:rsid w:val="23C5440E"/>
    <w:rsid w:val="23F30C56"/>
    <w:rsid w:val="24266C7C"/>
    <w:rsid w:val="244A2F6C"/>
    <w:rsid w:val="246A64EC"/>
    <w:rsid w:val="248E0882"/>
    <w:rsid w:val="24AB04CD"/>
    <w:rsid w:val="24B85FE4"/>
    <w:rsid w:val="24D67678"/>
    <w:rsid w:val="252E63EA"/>
    <w:rsid w:val="25493224"/>
    <w:rsid w:val="256533FF"/>
    <w:rsid w:val="25E847EB"/>
    <w:rsid w:val="267047E0"/>
    <w:rsid w:val="270F7B55"/>
    <w:rsid w:val="273B6B9C"/>
    <w:rsid w:val="27427F2B"/>
    <w:rsid w:val="27857F9B"/>
    <w:rsid w:val="2795721C"/>
    <w:rsid w:val="27A641C3"/>
    <w:rsid w:val="27A6670B"/>
    <w:rsid w:val="27C546B8"/>
    <w:rsid w:val="282633A8"/>
    <w:rsid w:val="284461F5"/>
    <w:rsid w:val="286F1880"/>
    <w:rsid w:val="28A10C81"/>
    <w:rsid w:val="28EC2844"/>
    <w:rsid w:val="29114058"/>
    <w:rsid w:val="29745A9F"/>
    <w:rsid w:val="29895F6F"/>
    <w:rsid w:val="29995DFC"/>
    <w:rsid w:val="29AC6F9B"/>
    <w:rsid w:val="29B91807"/>
    <w:rsid w:val="29E821D3"/>
    <w:rsid w:val="29F75268"/>
    <w:rsid w:val="2A930A9D"/>
    <w:rsid w:val="2A967EB2"/>
    <w:rsid w:val="2AD417E1"/>
    <w:rsid w:val="2B065713"/>
    <w:rsid w:val="2B2871E7"/>
    <w:rsid w:val="2BA9299F"/>
    <w:rsid w:val="2BF832AE"/>
    <w:rsid w:val="2BFE65C2"/>
    <w:rsid w:val="2C02412C"/>
    <w:rsid w:val="2C1665B8"/>
    <w:rsid w:val="2C295297"/>
    <w:rsid w:val="2C6E17C2"/>
    <w:rsid w:val="2D7F69DE"/>
    <w:rsid w:val="2DB16F26"/>
    <w:rsid w:val="2DB3388B"/>
    <w:rsid w:val="2DCA6ECC"/>
    <w:rsid w:val="2E815E80"/>
    <w:rsid w:val="2E954277"/>
    <w:rsid w:val="2EDF69A7"/>
    <w:rsid w:val="2F1A79DF"/>
    <w:rsid w:val="2F2A413F"/>
    <w:rsid w:val="2F363171"/>
    <w:rsid w:val="30311375"/>
    <w:rsid w:val="30473F91"/>
    <w:rsid w:val="306058C5"/>
    <w:rsid w:val="30B023A9"/>
    <w:rsid w:val="30C714A1"/>
    <w:rsid w:val="311772A4"/>
    <w:rsid w:val="31B92B8B"/>
    <w:rsid w:val="324D032D"/>
    <w:rsid w:val="3257574A"/>
    <w:rsid w:val="32FB3683"/>
    <w:rsid w:val="32FD564D"/>
    <w:rsid w:val="3328091C"/>
    <w:rsid w:val="338F3097"/>
    <w:rsid w:val="33A51F6D"/>
    <w:rsid w:val="33C06DA7"/>
    <w:rsid w:val="342509B8"/>
    <w:rsid w:val="34297F29"/>
    <w:rsid w:val="34AE6BFF"/>
    <w:rsid w:val="34CA3E45"/>
    <w:rsid w:val="34D34153"/>
    <w:rsid w:val="359758E5"/>
    <w:rsid w:val="359D5EEA"/>
    <w:rsid w:val="35BA1D81"/>
    <w:rsid w:val="35D02BA5"/>
    <w:rsid w:val="35E8637E"/>
    <w:rsid w:val="35FC7E3E"/>
    <w:rsid w:val="363C3B17"/>
    <w:rsid w:val="36474247"/>
    <w:rsid w:val="365612FD"/>
    <w:rsid w:val="3677309A"/>
    <w:rsid w:val="36F40B16"/>
    <w:rsid w:val="370C52DF"/>
    <w:rsid w:val="370C5E5F"/>
    <w:rsid w:val="374B6987"/>
    <w:rsid w:val="374D6BA3"/>
    <w:rsid w:val="375A306E"/>
    <w:rsid w:val="37CE1367"/>
    <w:rsid w:val="37D746BF"/>
    <w:rsid w:val="38C84008"/>
    <w:rsid w:val="38CA5FD2"/>
    <w:rsid w:val="38EB0F04"/>
    <w:rsid w:val="39411452"/>
    <w:rsid w:val="397B72CC"/>
    <w:rsid w:val="397C49C3"/>
    <w:rsid w:val="39B22FFA"/>
    <w:rsid w:val="39C15930"/>
    <w:rsid w:val="3A173499"/>
    <w:rsid w:val="3A30022F"/>
    <w:rsid w:val="3A371445"/>
    <w:rsid w:val="3A886145"/>
    <w:rsid w:val="3A8D72B7"/>
    <w:rsid w:val="3AB900AC"/>
    <w:rsid w:val="3AC52EF5"/>
    <w:rsid w:val="3B007A89"/>
    <w:rsid w:val="3B027CA5"/>
    <w:rsid w:val="3B2E2848"/>
    <w:rsid w:val="3B5D4EDB"/>
    <w:rsid w:val="3B81506E"/>
    <w:rsid w:val="3BA6272A"/>
    <w:rsid w:val="3BB22833"/>
    <w:rsid w:val="3BE27C97"/>
    <w:rsid w:val="3BE473AB"/>
    <w:rsid w:val="3C9A513B"/>
    <w:rsid w:val="3CCD2793"/>
    <w:rsid w:val="3CFA57E4"/>
    <w:rsid w:val="3D0221DE"/>
    <w:rsid w:val="3D1E60DF"/>
    <w:rsid w:val="3DE2791A"/>
    <w:rsid w:val="3E151A9D"/>
    <w:rsid w:val="3E375EB7"/>
    <w:rsid w:val="3E38205E"/>
    <w:rsid w:val="3EA47C68"/>
    <w:rsid w:val="3ED03C16"/>
    <w:rsid w:val="3EEB27FE"/>
    <w:rsid w:val="3F3423F7"/>
    <w:rsid w:val="3F8E1B07"/>
    <w:rsid w:val="40161AFD"/>
    <w:rsid w:val="403326AF"/>
    <w:rsid w:val="408B6047"/>
    <w:rsid w:val="40AF442B"/>
    <w:rsid w:val="40E165AE"/>
    <w:rsid w:val="411C75E7"/>
    <w:rsid w:val="41540B2E"/>
    <w:rsid w:val="415E333C"/>
    <w:rsid w:val="418F600A"/>
    <w:rsid w:val="419B5FD1"/>
    <w:rsid w:val="419E1DAA"/>
    <w:rsid w:val="420D5851"/>
    <w:rsid w:val="424B3CDF"/>
    <w:rsid w:val="426D19F0"/>
    <w:rsid w:val="42D31F27"/>
    <w:rsid w:val="42D33CD5"/>
    <w:rsid w:val="42FC5208"/>
    <w:rsid w:val="43341596"/>
    <w:rsid w:val="436F7EA2"/>
    <w:rsid w:val="43860D47"/>
    <w:rsid w:val="43ED0DC6"/>
    <w:rsid w:val="43FB4652"/>
    <w:rsid w:val="43FF1225"/>
    <w:rsid w:val="445F4788"/>
    <w:rsid w:val="44B32884"/>
    <w:rsid w:val="44E73A68"/>
    <w:rsid w:val="45223845"/>
    <w:rsid w:val="45290298"/>
    <w:rsid w:val="45B51211"/>
    <w:rsid w:val="45BD6D52"/>
    <w:rsid w:val="45EF52CA"/>
    <w:rsid w:val="46276812"/>
    <w:rsid w:val="462A4554"/>
    <w:rsid w:val="46517D32"/>
    <w:rsid w:val="46753001"/>
    <w:rsid w:val="46821C9A"/>
    <w:rsid w:val="46E51A75"/>
    <w:rsid w:val="47762C36"/>
    <w:rsid w:val="477C0DDF"/>
    <w:rsid w:val="480212E4"/>
    <w:rsid w:val="482B73A4"/>
    <w:rsid w:val="484B5419"/>
    <w:rsid w:val="48C04CFB"/>
    <w:rsid w:val="48FF5824"/>
    <w:rsid w:val="49266FC3"/>
    <w:rsid w:val="492B03C7"/>
    <w:rsid w:val="493C6A78"/>
    <w:rsid w:val="49425710"/>
    <w:rsid w:val="498E5824"/>
    <w:rsid w:val="49DE053E"/>
    <w:rsid w:val="4A625D30"/>
    <w:rsid w:val="4A767D68"/>
    <w:rsid w:val="4B475260"/>
    <w:rsid w:val="4B4C2876"/>
    <w:rsid w:val="4B9E1324"/>
    <w:rsid w:val="4BBF201F"/>
    <w:rsid w:val="4BE17463"/>
    <w:rsid w:val="4CA26BF2"/>
    <w:rsid w:val="4CEE1E37"/>
    <w:rsid w:val="4D145F92"/>
    <w:rsid w:val="4D330192"/>
    <w:rsid w:val="4D461C73"/>
    <w:rsid w:val="4E092CA1"/>
    <w:rsid w:val="4E4156DB"/>
    <w:rsid w:val="4E93713A"/>
    <w:rsid w:val="4F1456D4"/>
    <w:rsid w:val="4F9905AE"/>
    <w:rsid w:val="4FC33F25"/>
    <w:rsid w:val="4FD001C7"/>
    <w:rsid w:val="4FFF6109"/>
    <w:rsid w:val="500B71A4"/>
    <w:rsid w:val="502E60F8"/>
    <w:rsid w:val="50334005"/>
    <w:rsid w:val="505E4B9C"/>
    <w:rsid w:val="50A30487"/>
    <w:rsid w:val="50DD1804"/>
    <w:rsid w:val="51A52CE0"/>
    <w:rsid w:val="52195EFA"/>
    <w:rsid w:val="529674E9"/>
    <w:rsid w:val="535D3873"/>
    <w:rsid w:val="53876B42"/>
    <w:rsid w:val="54153BAB"/>
    <w:rsid w:val="543E18F6"/>
    <w:rsid w:val="546B1FBF"/>
    <w:rsid w:val="54996B2C"/>
    <w:rsid w:val="550A7A2A"/>
    <w:rsid w:val="554A7E27"/>
    <w:rsid w:val="555E1B24"/>
    <w:rsid w:val="556A04C9"/>
    <w:rsid w:val="559E5653"/>
    <w:rsid w:val="55AB3C2F"/>
    <w:rsid w:val="55EC35D4"/>
    <w:rsid w:val="56383CF3"/>
    <w:rsid w:val="56455CD4"/>
    <w:rsid w:val="565C42B5"/>
    <w:rsid w:val="56AE76A6"/>
    <w:rsid w:val="56D4209E"/>
    <w:rsid w:val="56DB2C2D"/>
    <w:rsid w:val="56E4418B"/>
    <w:rsid w:val="57064221"/>
    <w:rsid w:val="5773022F"/>
    <w:rsid w:val="57770C7B"/>
    <w:rsid w:val="580A1AEF"/>
    <w:rsid w:val="58776655"/>
    <w:rsid w:val="58B74216"/>
    <w:rsid w:val="58C16652"/>
    <w:rsid w:val="590752B6"/>
    <w:rsid w:val="591F15CA"/>
    <w:rsid w:val="596D67DA"/>
    <w:rsid w:val="59760D08"/>
    <w:rsid w:val="599E6993"/>
    <w:rsid w:val="59AC5554"/>
    <w:rsid w:val="5A564466"/>
    <w:rsid w:val="5A902780"/>
    <w:rsid w:val="5A9F4737"/>
    <w:rsid w:val="5AAE2C06"/>
    <w:rsid w:val="5AE8436A"/>
    <w:rsid w:val="5AF80325"/>
    <w:rsid w:val="5B6339F0"/>
    <w:rsid w:val="5BF6561B"/>
    <w:rsid w:val="5BFA4C14"/>
    <w:rsid w:val="5C2A6C04"/>
    <w:rsid w:val="5C3543D2"/>
    <w:rsid w:val="5CE36031"/>
    <w:rsid w:val="5DB26EB1"/>
    <w:rsid w:val="5DBA559D"/>
    <w:rsid w:val="5DF42083"/>
    <w:rsid w:val="5DFE3EA4"/>
    <w:rsid w:val="5E465887"/>
    <w:rsid w:val="5E473A9D"/>
    <w:rsid w:val="5E8425FB"/>
    <w:rsid w:val="5EE50BC0"/>
    <w:rsid w:val="5F181B76"/>
    <w:rsid w:val="5F463D55"/>
    <w:rsid w:val="5FD4389C"/>
    <w:rsid w:val="5FEC48FC"/>
    <w:rsid w:val="6013374F"/>
    <w:rsid w:val="60B116A2"/>
    <w:rsid w:val="60B42F40"/>
    <w:rsid w:val="60B7767B"/>
    <w:rsid w:val="61696F59"/>
    <w:rsid w:val="61D672CA"/>
    <w:rsid w:val="61E63AF5"/>
    <w:rsid w:val="626A2DAC"/>
    <w:rsid w:val="62784498"/>
    <w:rsid w:val="63293771"/>
    <w:rsid w:val="637C7D45"/>
    <w:rsid w:val="639808F7"/>
    <w:rsid w:val="645F2960"/>
    <w:rsid w:val="64654C7D"/>
    <w:rsid w:val="64BD496D"/>
    <w:rsid w:val="64BE25DF"/>
    <w:rsid w:val="64F93617"/>
    <w:rsid w:val="655D3BA6"/>
    <w:rsid w:val="65655387"/>
    <w:rsid w:val="659A6BA8"/>
    <w:rsid w:val="65FE7BFD"/>
    <w:rsid w:val="66EC6F90"/>
    <w:rsid w:val="66F2031E"/>
    <w:rsid w:val="67AA7E58"/>
    <w:rsid w:val="67AB0BF9"/>
    <w:rsid w:val="68077DF9"/>
    <w:rsid w:val="68382663"/>
    <w:rsid w:val="686314D3"/>
    <w:rsid w:val="6888718C"/>
    <w:rsid w:val="68E5527F"/>
    <w:rsid w:val="69A578CA"/>
    <w:rsid w:val="6A7343B6"/>
    <w:rsid w:val="6A7F1978"/>
    <w:rsid w:val="6AB029CA"/>
    <w:rsid w:val="6AB40090"/>
    <w:rsid w:val="6ADE7537"/>
    <w:rsid w:val="6AE34B4E"/>
    <w:rsid w:val="6B1F6200"/>
    <w:rsid w:val="6B4A3375"/>
    <w:rsid w:val="6B825FC3"/>
    <w:rsid w:val="6B8359E9"/>
    <w:rsid w:val="6C613F7C"/>
    <w:rsid w:val="6C806253"/>
    <w:rsid w:val="6CF748E0"/>
    <w:rsid w:val="6D15191A"/>
    <w:rsid w:val="6D7D3037"/>
    <w:rsid w:val="6D934609"/>
    <w:rsid w:val="6DAE50AD"/>
    <w:rsid w:val="6DDA2238"/>
    <w:rsid w:val="6E0E1EE1"/>
    <w:rsid w:val="6E5A21EA"/>
    <w:rsid w:val="6EB8009F"/>
    <w:rsid w:val="6EC72090"/>
    <w:rsid w:val="6F834B73"/>
    <w:rsid w:val="6F857F81"/>
    <w:rsid w:val="6FC62348"/>
    <w:rsid w:val="6FE10E18"/>
    <w:rsid w:val="6FEC14A9"/>
    <w:rsid w:val="6FEC6252"/>
    <w:rsid w:val="702E23C7"/>
    <w:rsid w:val="70A15EF2"/>
    <w:rsid w:val="70CB230C"/>
    <w:rsid w:val="721E46BD"/>
    <w:rsid w:val="72271FEC"/>
    <w:rsid w:val="72655E48"/>
    <w:rsid w:val="72824C4C"/>
    <w:rsid w:val="728A3B01"/>
    <w:rsid w:val="72D93738"/>
    <w:rsid w:val="73434202"/>
    <w:rsid w:val="734819F2"/>
    <w:rsid w:val="735B7378"/>
    <w:rsid w:val="737A608E"/>
    <w:rsid w:val="73A806E2"/>
    <w:rsid w:val="73BC418E"/>
    <w:rsid w:val="741D2E7E"/>
    <w:rsid w:val="74A16CBA"/>
    <w:rsid w:val="74CB28DA"/>
    <w:rsid w:val="74D53759"/>
    <w:rsid w:val="74F33BDF"/>
    <w:rsid w:val="752B5D11"/>
    <w:rsid w:val="752C70F1"/>
    <w:rsid w:val="75387844"/>
    <w:rsid w:val="753903C8"/>
    <w:rsid w:val="75CC2E8E"/>
    <w:rsid w:val="75DC4AB5"/>
    <w:rsid w:val="75EF406B"/>
    <w:rsid w:val="76391AC6"/>
    <w:rsid w:val="765B7C8E"/>
    <w:rsid w:val="76707B96"/>
    <w:rsid w:val="76726D86"/>
    <w:rsid w:val="768D36C7"/>
    <w:rsid w:val="76C3504D"/>
    <w:rsid w:val="770422FE"/>
    <w:rsid w:val="7746449A"/>
    <w:rsid w:val="775546DD"/>
    <w:rsid w:val="778C3E77"/>
    <w:rsid w:val="77E31CE9"/>
    <w:rsid w:val="78376C25"/>
    <w:rsid w:val="78746DE5"/>
    <w:rsid w:val="78A72AF0"/>
    <w:rsid w:val="790F6B0E"/>
    <w:rsid w:val="79134850"/>
    <w:rsid w:val="79200163"/>
    <w:rsid w:val="79261AEA"/>
    <w:rsid w:val="7956473D"/>
    <w:rsid w:val="798661F3"/>
    <w:rsid w:val="799314ED"/>
    <w:rsid w:val="79EE2C15"/>
    <w:rsid w:val="7AA46F38"/>
    <w:rsid w:val="7B467F1D"/>
    <w:rsid w:val="7BA7772C"/>
    <w:rsid w:val="7C0924C9"/>
    <w:rsid w:val="7C507B69"/>
    <w:rsid w:val="7C711A95"/>
    <w:rsid w:val="7C8D4919"/>
    <w:rsid w:val="7CBA4FE2"/>
    <w:rsid w:val="7CD24A22"/>
    <w:rsid w:val="7D2F777E"/>
    <w:rsid w:val="7D5F0561"/>
    <w:rsid w:val="7D60202E"/>
    <w:rsid w:val="7D6458CE"/>
    <w:rsid w:val="7D8555F0"/>
    <w:rsid w:val="7D916095"/>
    <w:rsid w:val="7DB14637"/>
    <w:rsid w:val="7DC51E91"/>
    <w:rsid w:val="7E141A72"/>
    <w:rsid w:val="7E703977"/>
    <w:rsid w:val="7E963DC6"/>
    <w:rsid w:val="7EF02F3D"/>
    <w:rsid w:val="7F1B1599"/>
    <w:rsid w:val="7F5F65D1"/>
    <w:rsid w:val="7F606315"/>
    <w:rsid w:val="7F6210EB"/>
    <w:rsid w:val="7F8B73C1"/>
    <w:rsid w:val="7F961D37"/>
    <w:rsid w:val="7FAC3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0"/>
    <w:pPr>
      <w:keepNext/>
      <w:keepLines/>
      <w:spacing w:before="340" w:afterLines="25" w:line="578" w:lineRule="auto"/>
      <w:outlineLvl w:val="0"/>
    </w:pPr>
    <w:rPr>
      <w:rFonts w:ascii="Arial" w:hAnsi="Arial" w:eastAsia="宋体" w:cs="Times New Roman"/>
      <w:b/>
      <w:bCs/>
      <w:kern w:val="44"/>
      <w:sz w:val="44"/>
      <w:szCs w:val="44"/>
    </w:rPr>
  </w:style>
  <w:style w:type="paragraph" w:styleId="3">
    <w:name w:val="heading 2"/>
    <w:basedOn w:val="4"/>
    <w:next w:val="5"/>
    <w:link w:val="30"/>
    <w:semiHidden/>
    <w:unhideWhenUsed/>
    <w:qFormat/>
    <w:uiPriority w:val="9"/>
    <w:pPr>
      <w:keepNext/>
      <w:keepLines/>
      <w:spacing w:before="260" w:after="260" w:line="416" w:lineRule="auto"/>
      <w:outlineLvl w:val="1"/>
    </w:pPr>
    <w:rPr>
      <w:rFonts w:asciiTheme="majorHAnsi" w:hAnsiTheme="majorHAnsi" w:eastAsiaTheme="majorEastAsia" w:cstheme="majorBidi"/>
      <w:sz w:val="32"/>
      <w:szCs w:val="32"/>
    </w:rPr>
  </w:style>
  <w:style w:type="paragraph" w:styleId="4">
    <w:name w:val="heading 3"/>
    <w:basedOn w:val="5"/>
    <w:next w:val="1"/>
    <w:qFormat/>
    <w:uiPriority w:val="9"/>
    <w:pPr>
      <w:spacing w:before="260" w:after="260" w:line="240" w:lineRule="auto"/>
      <w:outlineLvl w:val="2"/>
    </w:pPr>
    <w:rPr>
      <w:rFonts w:ascii="宋体" w:hAnsi="宋体" w:eastAsia="宋体"/>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Document Map"/>
    <w:basedOn w:val="1"/>
    <w:link w:val="29"/>
    <w:semiHidden/>
    <w:unhideWhenUsed/>
    <w:qFormat/>
    <w:uiPriority w:val="99"/>
    <w:rPr>
      <w:rFonts w:ascii="宋体" w:eastAsia="宋体"/>
      <w:sz w:val="18"/>
      <w:szCs w:val="18"/>
    </w:rPr>
  </w:style>
  <w:style w:type="paragraph" w:styleId="8">
    <w:name w:val="annotation text"/>
    <w:basedOn w:val="1"/>
    <w:link w:val="31"/>
    <w:unhideWhenUsed/>
    <w:qFormat/>
    <w:uiPriority w:val="99"/>
    <w:pPr>
      <w:jc w:val="left"/>
    </w:pPr>
  </w:style>
  <w:style w:type="paragraph" w:styleId="9">
    <w:name w:val="Body Text"/>
    <w:basedOn w:val="1"/>
    <w:next w:val="10"/>
    <w:qFormat/>
    <w:uiPriority w:val="0"/>
    <w:pPr>
      <w:spacing w:line="360" w:lineRule="auto"/>
    </w:pPr>
    <w:rPr>
      <w:b/>
      <w:bCs/>
      <w:sz w:val="24"/>
    </w:rPr>
  </w:style>
  <w:style w:type="paragraph" w:styleId="10">
    <w:name w:val="Body Text 2"/>
    <w:basedOn w:val="1"/>
    <w:qFormat/>
    <w:uiPriority w:val="0"/>
    <w:pPr>
      <w:spacing w:line="360" w:lineRule="auto"/>
    </w:pPr>
    <w:rPr>
      <w:sz w:val="24"/>
    </w:rPr>
  </w:style>
  <w:style w:type="paragraph" w:styleId="11">
    <w:name w:val="Balloon Text"/>
    <w:basedOn w:val="1"/>
    <w:link w:val="25"/>
    <w:semiHidden/>
    <w:unhideWhenUsed/>
    <w:qFormat/>
    <w:uiPriority w:val="99"/>
    <w:rPr>
      <w:sz w:val="18"/>
      <w:szCs w:val="18"/>
    </w:rPr>
  </w:style>
  <w:style w:type="paragraph" w:styleId="12">
    <w:name w:val="footer"/>
    <w:basedOn w:val="1"/>
    <w:link w:val="24"/>
    <w:unhideWhenUsed/>
    <w:qFormat/>
    <w:uiPriority w:val="99"/>
    <w:pPr>
      <w:tabs>
        <w:tab w:val="center" w:pos="4153"/>
        <w:tab w:val="right" w:pos="8306"/>
      </w:tabs>
      <w:snapToGrid w:val="0"/>
      <w:jc w:val="left"/>
    </w:pPr>
    <w:rPr>
      <w:sz w:val="18"/>
      <w:szCs w:val="18"/>
    </w:rPr>
  </w:style>
  <w:style w:type="paragraph" w:styleId="13">
    <w:name w:val="header"/>
    <w:basedOn w:val="1"/>
    <w:link w:val="2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link w:val="26"/>
    <w:qFormat/>
    <w:uiPriority w:val="99"/>
    <w:pPr>
      <w:widowControl/>
      <w:spacing w:before="100" w:beforeAutospacing="1" w:afterAutospacing="1"/>
      <w:jc w:val="left"/>
    </w:pPr>
    <w:rPr>
      <w:rFonts w:ascii="宋体" w:hAnsi="宋体"/>
      <w:sz w:val="24"/>
      <w:szCs w:val="24"/>
    </w:rPr>
  </w:style>
  <w:style w:type="paragraph" w:styleId="15">
    <w:name w:val="annotation subject"/>
    <w:basedOn w:val="8"/>
    <w:next w:val="8"/>
    <w:link w:val="33"/>
    <w:semiHidden/>
    <w:unhideWhenUsed/>
    <w:qFormat/>
    <w:uiPriority w:val="99"/>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0"/>
    <w:rPr>
      <w:b/>
      <w:bCs/>
    </w:rPr>
  </w:style>
  <w:style w:type="character" w:styleId="20">
    <w:name w:val="FollowedHyperlink"/>
    <w:basedOn w:val="18"/>
    <w:semiHidden/>
    <w:unhideWhenUsed/>
    <w:qFormat/>
    <w:uiPriority w:val="99"/>
    <w:rPr>
      <w:color w:val="800080" w:themeColor="followedHyperlink"/>
      <w:u w:val="single"/>
    </w:rPr>
  </w:style>
  <w:style w:type="character" w:styleId="21">
    <w:name w:val="Hyperlink"/>
    <w:basedOn w:val="18"/>
    <w:unhideWhenUsed/>
    <w:qFormat/>
    <w:uiPriority w:val="99"/>
    <w:rPr>
      <w:color w:val="0000FF" w:themeColor="hyperlink"/>
      <w:u w:val="single"/>
    </w:rPr>
  </w:style>
  <w:style w:type="character" w:styleId="22">
    <w:name w:val="annotation reference"/>
    <w:basedOn w:val="18"/>
    <w:semiHidden/>
    <w:unhideWhenUsed/>
    <w:qFormat/>
    <w:uiPriority w:val="99"/>
    <w:rPr>
      <w:sz w:val="21"/>
      <w:szCs w:val="21"/>
    </w:rPr>
  </w:style>
  <w:style w:type="character" w:customStyle="1" w:styleId="23">
    <w:name w:val="页眉 Char"/>
    <w:basedOn w:val="18"/>
    <w:link w:val="13"/>
    <w:semiHidden/>
    <w:qFormat/>
    <w:uiPriority w:val="99"/>
    <w:rPr>
      <w:sz w:val="18"/>
      <w:szCs w:val="18"/>
    </w:rPr>
  </w:style>
  <w:style w:type="character" w:customStyle="1" w:styleId="24">
    <w:name w:val="页脚 Char"/>
    <w:basedOn w:val="18"/>
    <w:link w:val="12"/>
    <w:qFormat/>
    <w:uiPriority w:val="99"/>
    <w:rPr>
      <w:sz w:val="18"/>
      <w:szCs w:val="18"/>
    </w:rPr>
  </w:style>
  <w:style w:type="character" w:customStyle="1" w:styleId="25">
    <w:name w:val="批注框文本 Char"/>
    <w:basedOn w:val="18"/>
    <w:link w:val="11"/>
    <w:semiHidden/>
    <w:qFormat/>
    <w:uiPriority w:val="99"/>
    <w:rPr>
      <w:sz w:val="18"/>
      <w:szCs w:val="18"/>
    </w:rPr>
  </w:style>
  <w:style w:type="character" w:customStyle="1" w:styleId="26">
    <w:name w:val="普通(网站) Char"/>
    <w:link w:val="14"/>
    <w:qFormat/>
    <w:uiPriority w:val="99"/>
    <w:rPr>
      <w:rFonts w:ascii="宋体" w:hAnsi="宋体"/>
      <w:sz w:val="24"/>
      <w:szCs w:val="24"/>
    </w:rPr>
  </w:style>
  <w:style w:type="character" w:customStyle="1" w:styleId="27">
    <w:name w:val="标题 1 Char"/>
    <w:basedOn w:val="18"/>
    <w:link w:val="2"/>
    <w:qFormat/>
    <w:uiPriority w:val="0"/>
    <w:rPr>
      <w:rFonts w:ascii="Arial" w:hAnsi="Arial" w:eastAsia="宋体" w:cs="Times New Roman"/>
      <w:b/>
      <w:bCs/>
      <w:kern w:val="44"/>
      <w:sz w:val="44"/>
      <w:szCs w:val="44"/>
    </w:rPr>
  </w:style>
  <w:style w:type="paragraph" w:styleId="28">
    <w:name w:val="List Paragraph"/>
    <w:basedOn w:val="1"/>
    <w:qFormat/>
    <w:uiPriority w:val="34"/>
    <w:pPr>
      <w:ind w:firstLine="420" w:firstLineChars="200"/>
    </w:pPr>
  </w:style>
  <w:style w:type="character" w:customStyle="1" w:styleId="29">
    <w:name w:val="文档结构图 Char"/>
    <w:basedOn w:val="18"/>
    <w:link w:val="7"/>
    <w:semiHidden/>
    <w:qFormat/>
    <w:uiPriority w:val="99"/>
    <w:rPr>
      <w:rFonts w:ascii="宋体" w:eastAsia="宋体"/>
      <w:sz w:val="18"/>
      <w:szCs w:val="18"/>
    </w:rPr>
  </w:style>
  <w:style w:type="character" w:customStyle="1" w:styleId="30">
    <w:name w:val="标题 2 Char"/>
    <w:basedOn w:val="18"/>
    <w:link w:val="3"/>
    <w:semiHidden/>
    <w:qFormat/>
    <w:uiPriority w:val="9"/>
    <w:rPr>
      <w:rFonts w:asciiTheme="majorHAnsi" w:hAnsiTheme="majorHAnsi" w:eastAsiaTheme="majorEastAsia" w:cstheme="majorBidi"/>
      <w:b/>
      <w:bCs/>
      <w:sz w:val="32"/>
      <w:szCs w:val="32"/>
    </w:rPr>
  </w:style>
  <w:style w:type="character" w:customStyle="1" w:styleId="31">
    <w:name w:val="批注文字 Char"/>
    <w:basedOn w:val="18"/>
    <w:link w:val="8"/>
    <w:qFormat/>
    <w:uiPriority w:val="99"/>
  </w:style>
  <w:style w:type="character" w:customStyle="1" w:styleId="32">
    <w:name w:val="标题 3 Char"/>
    <w:qFormat/>
    <w:uiPriority w:val="0"/>
    <w:rPr>
      <w:rFonts w:ascii="黑体" w:eastAsia="黑体"/>
      <w:bCs/>
      <w:sz w:val="30"/>
    </w:rPr>
  </w:style>
  <w:style w:type="character" w:customStyle="1" w:styleId="33">
    <w:name w:val="批注主题 Char"/>
    <w:basedOn w:val="31"/>
    <w:link w:val="15"/>
    <w:semiHidden/>
    <w:qFormat/>
    <w:uiPriority w:val="99"/>
    <w:rPr>
      <w:b/>
      <w:bCs/>
    </w:rPr>
  </w:style>
  <w:style w:type="table" w:customStyle="1" w:styleId="34">
    <w:name w:val="网格型1"/>
    <w:basedOn w:val="16"/>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67</Pages>
  <Words>49115</Words>
  <Characters>51405</Characters>
  <Lines>316</Lines>
  <Paragraphs>88</Paragraphs>
  <TotalTime>0</TotalTime>
  <ScaleCrop>false</ScaleCrop>
  <LinksUpToDate>false</LinksUpToDate>
  <CharactersWithSpaces>57594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2021-03-03T00:56:00Z</dcterms:created>
  <dc:creator>win7-1</dc:creator>
  <cp:lastModifiedBy>谛读跃湛障</cp:lastModifiedBy>
  <cp:lastPrinted>2021-01-15T01:17:00Z</cp:lastPrinted>
  <dcterms:modified xsi:type="dcterms:W3CDTF">2024-06-16T06:55:32Z</dcterms:modified>
  <cp:revision>426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1D35441E0ED44CDAA276D758760C3890_12</vt:lpwstr>
  </property>
</Properties>
</file>