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hint="eastAsia" w:ascii="Times New Roman" w:hAnsi="Times New Roman" w:eastAsia="宋体" w:cs="Times New Roman"/>
          <w:b/>
          <w:bCs/>
          <w:kern w:val="0"/>
          <w:sz w:val="40"/>
          <w:szCs w:val="40"/>
          <w:lang w:eastAsia="zh-CN"/>
        </w:rPr>
      </w:pPr>
      <w:r>
        <w:rPr>
          <w:rFonts w:hint="eastAsia" w:ascii="Times New Roman" w:hAnsi="Times New Roman" w:eastAsia="宋体" w:cs="Times New Roman"/>
          <w:b/>
          <w:bCs/>
          <w:kern w:val="0"/>
          <w:sz w:val="40"/>
          <w:szCs w:val="40"/>
          <w:lang w:eastAsia="zh-CN"/>
        </w:rPr>
        <w:t>松岗街道中心幼儿园（松岗东方华府第二幼儿园）班组部门设备采购项目</w:t>
      </w:r>
    </w:p>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项目编号：</w:t>
      </w:r>
      <w:r>
        <w:rPr>
          <w:rFonts w:hint="eastAsia" w:asciiTheme="minorEastAsia" w:hAnsiTheme="minorEastAsia"/>
          <w:sz w:val="30"/>
          <w:szCs w:val="30"/>
        </w:rPr>
        <w:tab/>
      </w:r>
      <w:r>
        <w:rPr>
          <w:rFonts w:hint="eastAsia" w:asciiTheme="minorEastAsia" w:hAnsiTheme="minorEastAsia"/>
          <w:sz w:val="30"/>
          <w:szCs w:val="30"/>
        </w:rPr>
        <w:t>BAZXCG-2024-00394</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项目名称：</w:t>
      </w:r>
      <w:r>
        <w:rPr>
          <w:rFonts w:hint="eastAsia" w:asciiTheme="minorEastAsia" w:hAnsiTheme="minorEastAsia"/>
          <w:sz w:val="30"/>
          <w:szCs w:val="30"/>
        </w:rPr>
        <w:tab/>
      </w:r>
      <w:r>
        <w:rPr>
          <w:rFonts w:hint="eastAsia" w:asciiTheme="minorEastAsia" w:hAnsiTheme="minorEastAsia"/>
          <w:sz w:val="30"/>
          <w:szCs w:val="30"/>
        </w:rPr>
        <w:t>松岗街道中心幼儿园（松岗东方华府第二幼儿园）班组部门设备采购项目</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包    号：</w:t>
      </w:r>
      <w:r>
        <w:rPr>
          <w:rFonts w:hint="eastAsia" w:asciiTheme="minorEastAsia" w:hAnsiTheme="minorEastAsia"/>
          <w:sz w:val="30"/>
          <w:szCs w:val="30"/>
        </w:rPr>
        <w:tab/>
      </w:r>
      <w:r>
        <w:rPr>
          <w:rFonts w:hint="eastAsia" w:asciiTheme="minorEastAsia" w:hAnsiTheme="minorEastAsia"/>
          <w:sz w:val="30"/>
          <w:szCs w:val="30"/>
        </w:rPr>
        <w:t>A</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项目类型：</w:t>
      </w:r>
      <w:r>
        <w:rPr>
          <w:rFonts w:hint="eastAsia" w:asciiTheme="minorEastAsia" w:hAnsiTheme="minorEastAsia"/>
          <w:sz w:val="30"/>
          <w:szCs w:val="30"/>
        </w:rPr>
        <w:tab/>
      </w:r>
      <w:r>
        <w:rPr>
          <w:rFonts w:hint="eastAsia" w:asciiTheme="minorEastAsia" w:hAnsiTheme="minorEastAsia"/>
          <w:sz w:val="30"/>
          <w:szCs w:val="30"/>
        </w:rPr>
        <w:t>货物类</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采购方式：</w:t>
      </w:r>
      <w:r>
        <w:rPr>
          <w:rFonts w:hint="eastAsia" w:asciiTheme="minorEastAsia" w:hAnsiTheme="minorEastAsia"/>
          <w:sz w:val="30"/>
          <w:szCs w:val="30"/>
        </w:rPr>
        <w:tab/>
      </w:r>
      <w:r>
        <w:rPr>
          <w:rFonts w:hint="eastAsia" w:asciiTheme="minorEastAsia" w:hAnsiTheme="minorEastAsia"/>
          <w:sz w:val="30"/>
          <w:szCs w:val="30"/>
        </w:rPr>
        <w:t>公开招标</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货币类型：</w:t>
      </w:r>
      <w:r>
        <w:rPr>
          <w:rFonts w:hint="eastAsia" w:asciiTheme="minorEastAsia" w:hAnsiTheme="minorEastAsia"/>
          <w:sz w:val="30"/>
          <w:szCs w:val="30"/>
        </w:rPr>
        <w:tab/>
      </w:r>
      <w:r>
        <w:rPr>
          <w:rFonts w:hint="eastAsia" w:asciiTheme="minorEastAsia" w:hAnsiTheme="minorEastAsia"/>
          <w:sz w:val="30"/>
          <w:szCs w:val="30"/>
        </w:rPr>
        <w:t>人民币</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评标方法：</w:t>
      </w:r>
      <w:r>
        <w:rPr>
          <w:rFonts w:hint="eastAsia" w:asciiTheme="minorEastAsia" w:hAnsiTheme="minorEastAsia"/>
          <w:sz w:val="30"/>
          <w:szCs w:val="30"/>
        </w:rPr>
        <w:tab/>
      </w:r>
      <w:r>
        <w:rPr>
          <w:rFonts w:hint="eastAsia" w:asciiTheme="minorEastAsia" w:hAnsiTheme="minorEastAsia"/>
          <w:sz w:val="30"/>
          <w:szCs w:val="30"/>
        </w:rPr>
        <w:t>综合评分法</w:t>
      </w:r>
    </w:p>
    <w:p>
      <w:pPr>
        <w:tabs>
          <w:tab w:val="left" w:pos="2790"/>
        </w:tabs>
        <w:snapToGrid w:val="0"/>
        <w:spacing w:line="440" w:lineRule="exact"/>
        <w:jc w:val="left"/>
        <w:rPr>
          <w:rFonts w:hint="eastAsia" w:asciiTheme="minorEastAsia" w:hAnsiTheme="minorEastAsia"/>
          <w:sz w:val="30"/>
          <w:szCs w:val="3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所投货物、服务在技术、商务等方面没有实质性满足招标文件要求</w:t>
            </w:r>
            <w:r>
              <w:rPr>
                <w:rFonts w:hint="eastAsia" w:ascii="Calibri" w:hAnsi="Calibri" w:eastAsia="宋体" w:cs="Times New Roman"/>
              </w:rPr>
              <w:t>（或未响应招标文件中带★号条款或响应有负偏离）的</w:t>
            </w:r>
            <w:r>
              <w:rPr>
                <w:rFonts w:hint="eastAsia"/>
              </w:rPr>
              <w:t>（是否实质性满足招标文件要求，由评审委员会根据实质性条款响应情况做出评判）；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投标报价有缺漏项目，或者对招标文件规定的项目需求内容或者需求数量进行修改，评审委员会判定投标响应不满足采购需求；</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rPr>
            </w:pPr>
            <w:r>
              <w:rPr>
                <w:rFonts w:hint="eastAsia" w:ascii="宋体" w:hAnsi="宋体" w:eastAsia="宋体"/>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Calibri" w:hAnsi="Calibri" w:eastAsia="宋体" w:cs="Times New Roman"/>
                <w:lang w:val="en-US" w:eastAsia="zh-CN"/>
              </w:rPr>
            </w:pPr>
            <w:r>
              <w:rPr>
                <w:rFonts w:hint="eastAsia" w:ascii="Calibri" w:hAnsi="Calibri" w:eastAsia="宋体" w:cs="Times New Roman"/>
              </w:rPr>
              <w:t>1</w:t>
            </w:r>
            <w:r>
              <w:rPr>
                <w:rFonts w:hint="eastAsia" w:ascii="Calibri" w:hAnsi="Calibri" w:eastAsia="宋体" w:cs="Times New Roman"/>
                <w:lang w:val="en-US" w:eastAsia="zh-CN"/>
              </w:rPr>
              <w:t>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rPr>
            </w:pPr>
            <w:r>
              <w:rPr>
                <w:rFonts w:hint="eastAsia" w:ascii="Calibri" w:hAnsi="Calibri" w:eastAsia="宋体" w:cs="Times New Roman"/>
              </w:rPr>
              <w:t>如投标供应商存在“不同供应商的董事、股东或其他高级管理人员为同一人的”情形的，应承诺不存在串通投标、恶意串通或者视为串通投标的情形</w:t>
            </w:r>
            <w:r>
              <w:rPr>
                <w:rFonts w:hint="eastAsia" w:ascii="Calibri" w:hAnsi="Calibri" w:eastAsia="宋体" w:cs="Times New Roman"/>
                <w:bCs/>
              </w:rPr>
              <w:t>（</w:t>
            </w:r>
            <w:r>
              <w:rPr>
                <w:rFonts w:ascii="Calibri" w:hAnsi="Calibri" w:eastAsia="宋体" w:cs="Times New Roman"/>
                <w:bCs/>
              </w:rPr>
              <w:t>在《</w:t>
            </w:r>
            <w:r>
              <w:rPr>
                <w:rFonts w:hint="eastAsia" w:ascii="Calibri" w:hAnsi="Calibri" w:eastAsia="宋体" w:cs="Times New Roman"/>
                <w:bCs/>
              </w:rPr>
              <w:t>政府采购投标及履约承诺函</w:t>
            </w:r>
            <w:r>
              <w:rPr>
                <w:rFonts w:ascii="Calibri" w:hAnsi="Calibri" w:eastAsia="宋体" w:cs="Times New Roman"/>
                <w:bCs/>
              </w:rPr>
              <w:t>》中作出声明</w:t>
            </w:r>
            <w:r>
              <w:rPr>
                <w:rFonts w:hint="eastAsia" w:ascii="Calibri" w:hAnsi="Calibri" w:eastAsia="宋体" w:cs="Times New Roman"/>
                <w:bCs/>
              </w:rPr>
              <w:t>）</w:t>
            </w:r>
            <w:r>
              <w:rPr>
                <w:rFonts w:hint="eastAsia" w:ascii="Calibri" w:hAnsi="Calibri" w:eastAsia="宋体" w:cs="Times New Roman"/>
              </w:rPr>
              <w:t>；</w:t>
            </w:r>
            <w:r>
              <w:rPr>
                <w:rFonts w:hint="eastAsia" w:ascii="宋体" w:hAnsi="宋体" w:eastAsia="宋体"/>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Calibri" w:hAnsi="Calibri" w:eastAsia="宋体" w:cs="Times New Roman"/>
                <w:lang w:val="en-US" w:eastAsia="zh-CN"/>
              </w:rPr>
            </w:pPr>
            <w:r>
              <w:rPr>
                <w:rFonts w:hint="eastAsia" w:ascii="Calibri" w:hAnsi="Calibri" w:eastAsia="宋体" w:cs="Times New Roman"/>
              </w:rPr>
              <w:t>1</w:t>
            </w:r>
            <w:r>
              <w:rPr>
                <w:rFonts w:hint="eastAsia" w:ascii="Calibri" w:hAnsi="Calibri" w:eastAsia="宋体" w:cs="Times New Roman"/>
                <w:lang w:val="en-US" w:eastAsia="zh-CN"/>
              </w:rPr>
              <w:t>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p>
      <w:r>
        <w:rPr>
          <w:rFonts w:ascii="宋体" w:hAnsi="宋体"/>
          <w:b/>
          <w:bCs/>
        </w:rPr>
        <w:t>评标方法：综合评分法</w:t>
      </w:r>
    </w:p>
    <w:p>
      <w:pPr>
        <w:spacing w:line="324" w:lineRule="auto"/>
        <w:ind w:firstLine="420"/>
      </w:pPr>
      <w:r>
        <w:rPr>
          <w:rFonts w:ascii="宋体" w:hAnsi="宋体"/>
        </w:rPr>
        <w:t>综合评分法，是指投标文件满足招标文件全部实质性要求，且按照评审因素的量化指标评审得分最高的投标人为中标候选人的评标方法。</w:t>
      </w:r>
      <w:r>
        <w:t xml:space="preserve"> </w:t>
      </w:r>
    </w:p>
    <w:p>
      <w:pPr>
        <w:ind w:firstLine="420"/>
      </w:pPr>
      <w:r>
        <w:rPr>
          <w:rFonts w:ascii="宋体" w:hAnsi="宋体"/>
        </w:rPr>
        <w:t>价格分计算方法：</w:t>
      </w:r>
    </w:p>
    <w:p>
      <w:pPr>
        <w:rPr>
          <w:rFonts w:hint="eastAsia" w:eastAsiaTheme="minorEastAsia"/>
          <w:lang w:eastAsia="zh-CN"/>
        </w:rPr>
      </w:pPr>
      <w:r>
        <w:rPr>
          <w:rFonts w:ascii="宋体" w:hAnsi="宋体"/>
        </w:rPr>
        <w:t>采用低价优先法计算，即满足招标文件要求且投标价格最低的投标报价为评标基准价，其价格分为满分。其他投标人的价格分统一按照下列公式计算：</w:t>
      </w:r>
      <w:r>
        <w:t xml:space="preserve"> </w:t>
      </w:r>
    </w:p>
    <w:p>
      <w:pPr>
        <w:rPr>
          <w:rFonts w:hint="eastAsia" w:eastAsiaTheme="minorEastAsia"/>
          <w:lang w:eastAsia="zh-CN"/>
        </w:rPr>
      </w:pPr>
      <w:r>
        <w:rPr>
          <w:rFonts w:ascii="宋体" w:hAnsi="宋体"/>
        </w:rPr>
        <w:t>投标报价得分</w:t>
      </w:r>
      <w:r>
        <w:t>=(</w:t>
      </w:r>
      <w:r>
        <w:rPr>
          <w:rFonts w:ascii="宋体" w:hAnsi="宋体"/>
        </w:rPr>
        <w:t>评标基准价／投标报价</w:t>
      </w:r>
      <w:r>
        <w:t xml:space="preserve">)×100 </w:t>
      </w:r>
    </w:p>
    <w:p>
      <w:pPr>
        <w:rPr>
          <w:rFonts w:hint="eastAsia" w:eastAsiaTheme="minorEastAsia"/>
          <w:lang w:eastAsia="zh-CN"/>
        </w:rPr>
      </w:pP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p>
    <w:p>
      <w:pPr>
        <w:rPr>
          <w:rFonts w:hint="eastAsia" w:ascii="宋体" w:hAnsi="宋体" w:eastAsiaTheme="minorEastAsia"/>
          <w:lang w:eastAsia="zh-CN"/>
        </w:rPr>
      </w:pPr>
      <w:r>
        <w:t>F1</w:t>
      </w:r>
      <w:r>
        <w:rPr>
          <w:rFonts w:ascii="宋体" w:hAnsi="宋体"/>
        </w:rPr>
        <w:t>、</w:t>
      </w:r>
      <w:r>
        <w:t>F2……Fn</w:t>
      </w:r>
      <w:r>
        <w:rPr>
          <w:rFonts w:ascii="宋体" w:hAnsi="宋体"/>
        </w:rPr>
        <w:t xml:space="preserve">分别为各项评审因素的得分； </w:t>
      </w:r>
    </w:p>
    <w:p>
      <w:pPr>
        <w:rPr>
          <w:rFonts w:hint="eastAsia" w:ascii="宋体" w:hAnsi="宋体" w:eastAsiaTheme="minorEastAsia"/>
          <w:lang w:eastAsia="zh-CN"/>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pPr>
        <w:rPr>
          <w:rFonts w:hint="eastAsia" w:eastAsiaTheme="minorEastAsia"/>
          <w:lang w:eastAsia="zh-CN"/>
        </w:rPr>
      </w:pPr>
      <w:r>
        <w:rPr>
          <w:rFonts w:ascii="宋体" w:hAnsi="宋体"/>
        </w:rPr>
        <w:t>评标过程中，不得去掉报价中的最高报价和最低报价。</w:t>
      </w:r>
      <w:r>
        <w:t xml:space="preserve"> </w:t>
      </w:r>
    </w:p>
    <w:p>
      <w:r>
        <w:rPr>
          <w:rFonts w:ascii="宋体" w:hAnsi="宋体"/>
        </w:rPr>
        <w:t>此方法适用于货物类、服务类、工程类项目。</w:t>
      </w:r>
    </w:p>
    <w:p>
      <w:pPr>
        <w:snapToGrid w:val="0"/>
      </w:pP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20" w:type="dxa"/>
          <w:left w:w="108" w:type="dxa"/>
          <w:bottom w:w="20" w:type="dxa"/>
          <w:right w:w="108" w:type="dxa"/>
        </w:tblCellMar>
      </w:tblPr>
      <w:tblGrid>
        <w:gridCol w:w="700"/>
        <w:gridCol w:w="660"/>
        <w:gridCol w:w="1793"/>
        <w:gridCol w:w="1100"/>
        <w:gridCol w:w="48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C6D9F0"/>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C6D9F0"/>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评分项</w:t>
            </w:r>
          </w:p>
        </w:tc>
        <w:tc>
          <w:tcPr>
            <w:tcW w:w="4819" w:type="dxa"/>
            <w:tcBorders>
              <w:top w:val="single" w:color="000000" w:sz="8" w:space="0"/>
              <w:left w:val="single" w:color="000000" w:sz="8" w:space="0"/>
              <w:bottom w:val="single" w:color="000000" w:sz="8" w:space="0"/>
              <w:right w:val="single" w:color="000000" w:sz="8" w:space="0"/>
            </w:tcBorders>
            <w:shd w:val="clear" w:color="auto" w:fill="C6D9F0"/>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1</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价格</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2</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技术部分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权重（%）</w:t>
            </w:r>
          </w:p>
        </w:tc>
        <w:tc>
          <w:tcPr>
            <w:tcW w:w="48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default" w:ascii="Arial" w:hAnsi="Arial" w:eastAsia="宋体" w:cs="Times New Roman"/>
                <w:b/>
                <w:szCs w:val="21"/>
                <w:highlight w:val="green"/>
              </w:rPr>
            </w:pPr>
            <w:r>
              <w:rPr>
                <w:rFonts w:hint="default" w:ascii="宋体" w:hAnsi="宋体" w:eastAsia="宋体" w:cs="宋体"/>
                <w:bCs/>
                <w:szCs w:val="21"/>
              </w:rPr>
              <w:t>“</w:t>
            </w:r>
            <w:r>
              <w:rPr>
                <w:rFonts w:hint="eastAsia" w:ascii="宋体" w:hAnsi="宋体" w:eastAsia="宋体" w:cs="宋体"/>
                <w:bCs/>
                <w:szCs w:val="21"/>
              </w:rPr>
              <w:t>▲</w:t>
            </w:r>
            <w:r>
              <w:rPr>
                <w:rFonts w:hint="default" w:ascii="宋体" w:hAnsi="宋体" w:eastAsia="宋体" w:cs="宋体"/>
                <w:bCs/>
                <w:szCs w:val="21"/>
              </w:rPr>
              <w:t>”</w:t>
            </w:r>
            <w:r>
              <w:rPr>
                <w:rFonts w:hint="eastAsia" w:ascii="宋体" w:hAnsi="宋体" w:eastAsia="宋体" w:cs="宋体"/>
                <w:bCs/>
                <w:szCs w:val="21"/>
              </w:rPr>
              <w:t>参数响应情况评价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szCs w:val="21"/>
                <w:lang w:val="en-US" w:eastAsia="zh-CN"/>
              </w:rPr>
            </w:pPr>
            <w:r>
              <w:rPr>
                <w:rFonts w:hint="eastAsia" w:ascii="宋体" w:hAnsi="宋体" w:eastAsia="宋体" w:cs="宋体"/>
                <w:bCs/>
                <w:szCs w:val="21"/>
                <w:lang w:val="en-US" w:eastAsia="zh-CN"/>
              </w:rPr>
              <w:t>32</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b/>
                <w:kern w:val="0"/>
                <w:szCs w:val="21"/>
              </w:rPr>
            </w:pPr>
            <w:r>
              <w:rPr>
                <w:rFonts w:hint="eastAsia" w:ascii="宋体" w:hAnsi="宋体" w:eastAsia="宋体" w:cs="宋体"/>
                <w:b/>
                <w:kern w:val="0"/>
                <w:szCs w:val="21"/>
              </w:rPr>
              <w:t>（一）评审内容：</w:t>
            </w:r>
          </w:p>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kern w:val="0"/>
                <w:szCs w:val="21"/>
              </w:rPr>
            </w:pPr>
            <w:r>
              <w:rPr>
                <w:rFonts w:hint="eastAsia" w:ascii="宋体" w:hAnsi="宋体" w:eastAsia="宋体" w:cs="宋体"/>
                <w:kern w:val="0"/>
                <w:szCs w:val="21"/>
              </w:rPr>
              <w:t>考察投标人对招标文件《第一册 专用条款 第三章 用户需求书：五、</w:t>
            </w:r>
            <w:r>
              <w:rPr>
                <w:rFonts w:hint="eastAsia" w:ascii="宋体" w:hAnsi="宋体" w:eastAsia="宋体" w:cs="宋体"/>
                <w:bCs/>
                <w:kern w:val="0"/>
                <w:szCs w:val="21"/>
              </w:rPr>
              <w:t>技术要求部分</w:t>
            </w:r>
            <w:r>
              <w:rPr>
                <w:rFonts w:hint="eastAsia" w:ascii="宋体" w:hAnsi="宋体" w:eastAsia="宋体" w:cs="宋体"/>
                <w:kern w:val="0"/>
                <w:szCs w:val="21"/>
              </w:rPr>
              <w:t>》内容中的</w:t>
            </w:r>
            <w:r>
              <w:rPr>
                <w:rFonts w:hint="eastAsia" w:ascii="宋体" w:hAnsi="宋体" w:eastAsia="宋体" w:cs="宋体"/>
                <w:b/>
                <w:kern w:val="0"/>
                <w:szCs w:val="21"/>
              </w:rPr>
              <w:t>“▲”参数响应</w:t>
            </w:r>
            <w:r>
              <w:rPr>
                <w:rFonts w:hint="eastAsia" w:ascii="宋体" w:hAnsi="宋体" w:eastAsia="宋体" w:cs="宋体"/>
                <w:kern w:val="0"/>
                <w:szCs w:val="21"/>
              </w:rPr>
              <w:t>情况。</w:t>
            </w:r>
          </w:p>
          <w:p>
            <w:pPr>
              <w:keepNext w:val="0"/>
              <w:keepLines w:val="0"/>
              <w:suppressLineNumbers w:val="0"/>
              <w:spacing w:before="0" w:beforeAutospacing="0" w:after="0" w:afterAutospacing="0" w:line="280" w:lineRule="exact"/>
              <w:ind w:left="0" w:right="0"/>
              <w:rPr>
                <w:rFonts w:hint="default" w:ascii="宋体" w:hAnsi="宋体" w:eastAsia="宋体" w:cs="宋体"/>
                <w:b/>
                <w:color w:val="0000FF"/>
                <w:szCs w:val="21"/>
              </w:rPr>
            </w:pPr>
            <w:r>
              <w:rPr>
                <w:rFonts w:hint="eastAsia" w:ascii="宋体" w:hAnsi="宋体" w:eastAsia="宋体" w:cs="宋体"/>
                <w:b/>
                <w:color w:val="0000FF"/>
                <w:szCs w:val="21"/>
              </w:rPr>
              <w:t>（二）评审依据：</w:t>
            </w:r>
          </w:p>
          <w:p>
            <w:pPr>
              <w:keepNext w:val="0"/>
              <w:keepLines w:val="0"/>
              <w:suppressLineNumbers w:val="0"/>
              <w:snapToGrid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color w:val="0000FF"/>
                <w:kern w:val="0"/>
                <w:szCs w:val="21"/>
              </w:rPr>
              <w:t>以投标文件《技术要求偏离表》为评审依据，完全符合招标要求的，得100分。有1项“▲”参数不符合招标要求（或缺漏）的扣</w:t>
            </w:r>
            <w:r>
              <w:rPr>
                <w:rFonts w:hint="eastAsia" w:ascii="宋体" w:hAnsi="宋体" w:eastAsia="宋体" w:cs="宋体"/>
                <w:color w:val="0000FF"/>
                <w:kern w:val="0"/>
                <w:szCs w:val="21"/>
                <w:highlight w:val="none"/>
                <w:lang w:val="en-US" w:eastAsia="zh-CN"/>
              </w:rPr>
              <w:t>12.5</w:t>
            </w:r>
            <w:r>
              <w:rPr>
                <w:rFonts w:hint="eastAsia" w:ascii="宋体" w:hAnsi="宋体" w:eastAsia="宋体" w:cs="宋体"/>
                <w:color w:val="0000FF"/>
                <w:kern w:val="0"/>
                <w:szCs w:val="21"/>
                <w:highlight w:val="none"/>
              </w:rPr>
              <w:t>分</w:t>
            </w:r>
            <w:r>
              <w:rPr>
                <w:rFonts w:hint="eastAsia" w:ascii="宋体" w:hAnsi="宋体" w:eastAsia="宋体" w:cs="宋体"/>
                <w:color w:val="0000FF"/>
                <w:kern w:val="0"/>
                <w:szCs w:val="21"/>
              </w:rPr>
              <w:t>，最低得0分。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default" w:ascii="Arial" w:hAnsi="Arial" w:eastAsia="宋体" w:cs="Times New Roman"/>
                <w:b/>
                <w:szCs w:val="21"/>
                <w:highlight w:val="green"/>
              </w:rPr>
            </w:pPr>
            <w:r>
              <w:rPr>
                <w:rFonts w:hint="eastAsia" w:ascii="宋体" w:hAnsi="宋体" w:eastAsia="宋体" w:cs="宋体"/>
                <w:bCs/>
                <w:szCs w:val="21"/>
              </w:rPr>
              <w:t>非</w:t>
            </w:r>
            <w:r>
              <w:rPr>
                <w:rFonts w:hint="default" w:ascii="宋体" w:hAnsi="宋体" w:eastAsia="宋体" w:cs="宋体"/>
                <w:bCs/>
                <w:szCs w:val="21"/>
              </w:rPr>
              <w:t>“</w:t>
            </w:r>
            <w:r>
              <w:rPr>
                <w:rFonts w:hint="eastAsia" w:ascii="宋体" w:hAnsi="宋体" w:eastAsia="宋体" w:cs="宋体"/>
                <w:bCs/>
                <w:szCs w:val="21"/>
              </w:rPr>
              <w:t>▲</w:t>
            </w:r>
            <w:r>
              <w:rPr>
                <w:rFonts w:hint="default" w:ascii="宋体" w:hAnsi="宋体" w:eastAsia="宋体" w:cs="宋体"/>
                <w:bCs/>
                <w:szCs w:val="21"/>
              </w:rPr>
              <w:t>”</w:t>
            </w:r>
            <w:r>
              <w:rPr>
                <w:rFonts w:hint="eastAsia" w:ascii="宋体" w:hAnsi="宋体" w:eastAsia="宋体" w:cs="宋体"/>
                <w:bCs/>
                <w:szCs w:val="21"/>
              </w:rPr>
              <w:t>参数响应情况评价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szCs w:val="21"/>
                <w:lang w:val="en-US" w:eastAsia="zh-CN"/>
              </w:rPr>
            </w:pPr>
            <w:r>
              <w:rPr>
                <w:rFonts w:hint="eastAsia" w:ascii="宋体" w:hAnsi="宋体" w:eastAsia="宋体" w:cs="宋体"/>
                <w:bCs/>
                <w:szCs w:val="21"/>
                <w:lang w:val="en-US" w:eastAsia="zh-CN"/>
              </w:rPr>
              <w:t>12</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b/>
                <w:kern w:val="0"/>
                <w:szCs w:val="21"/>
              </w:rPr>
            </w:pPr>
            <w:r>
              <w:rPr>
                <w:rFonts w:hint="eastAsia" w:ascii="宋体" w:hAnsi="宋体" w:eastAsia="宋体" w:cs="宋体"/>
                <w:b/>
                <w:kern w:val="0"/>
                <w:szCs w:val="21"/>
              </w:rPr>
              <w:t>（一）评审内容：</w:t>
            </w:r>
          </w:p>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kern w:val="0"/>
                <w:szCs w:val="21"/>
              </w:rPr>
            </w:pPr>
            <w:r>
              <w:rPr>
                <w:rFonts w:hint="eastAsia" w:ascii="宋体" w:hAnsi="宋体" w:eastAsia="宋体" w:cs="宋体"/>
                <w:kern w:val="0"/>
                <w:szCs w:val="21"/>
              </w:rPr>
              <w:t>考察投标人对招标文件《第一册 专用条款 第三章 用户需求书：五、</w:t>
            </w:r>
            <w:r>
              <w:rPr>
                <w:rFonts w:hint="eastAsia" w:ascii="宋体" w:hAnsi="宋体" w:eastAsia="宋体" w:cs="宋体"/>
                <w:bCs/>
                <w:kern w:val="0"/>
                <w:szCs w:val="21"/>
              </w:rPr>
              <w:t>技术要求部分</w:t>
            </w:r>
            <w:r>
              <w:rPr>
                <w:rFonts w:hint="eastAsia" w:ascii="宋体" w:hAnsi="宋体" w:eastAsia="宋体" w:cs="宋体"/>
                <w:kern w:val="0"/>
                <w:szCs w:val="21"/>
              </w:rPr>
              <w:t>》内容中的</w:t>
            </w:r>
            <w:r>
              <w:rPr>
                <w:rFonts w:hint="eastAsia" w:ascii="宋体" w:hAnsi="宋体" w:eastAsia="宋体" w:cs="宋体"/>
                <w:b/>
                <w:kern w:val="0"/>
                <w:szCs w:val="21"/>
              </w:rPr>
              <w:t>非“▲”参数响应</w:t>
            </w:r>
            <w:r>
              <w:rPr>
                <w:rFonts w:hint="eastAsia" w:ascii="宋体" w:hAnsi="宋体" w:eastAsia="宋体" w:cs="宋体"/>
                <w:kern w:val="0"/>
                <w:szCs w:val="21"/>
              </w:rPr>
              <w:t>情况。</w:t>
            </w:r>
          </w:p>
          <w:p>
            <w:pPr>
              <w:keepNext w:val="0"/>
              <w:keepLines w:val="0"/>
              <w:suppressLineNumbers w:val="0"/>
              <w:spacing w:before="0" w:beforeAutospacing="0" w:after="0" w:afterAutospacing="0" w:line="280" w:lineRule="exact"/>
              <w:ind w:left="0" w:right="0"/>
              <w:rPr>
                <w:rFonts w:hint="default" w:ascii="宋体" w:hAnsi="宋体" w:eastAsia="宋体" w:cs="宋体"/>
                <w:b/>
                <w:color w:val="0000FF"/>
                <w:szCs w:val="21"/>
              </w:rPr>
            </w:pPr>
            <w:r>
              <w:rPr>
                <w:rFonts w:hint="eastAsia" w:ascii="宋体" w:hAnsi="宋体" w:eastAsia="宋体" w:cs="宋体"/>
                <w:b/>
                <w:color w:val="0000FF"/>
                <w:szCs w:val="21"/>
              </w:rPr>
              <w:t>（二）评审依据：</w:t>
            </w:r>
          </w:p>
          <w:p>
            <w:pPr>
              <w:keepNext w:val="0"/>
              <w:keepLines w:val="0"/>
              <w:suppressLineNumbers w:val="0"/>
              <w:snapToGrid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color w:val="0000FF"/>
                <w:kern w:val="0"/>
                <w:szCs w:val="21"/>
              </w:rPr>
              <w:t>以投标文件《技术要求偏离表》为评审依据，完全符合招标要求的，得100分。有1项非“▲”参数不符合招标要求（或缺漏）的扣</w:t>
            </w:r>
            <w:r>
              <w:rPr>
                <w:rFonts w:hint="eastAsia" w:ascii="宋体" w:hAnsi="宋体" w:eastAsia="宋体" w:cs="宋体"/>
                <w:color w:val="0000FF"/>
                <w:kern w:val="0"/>
                <w:szCs w:val="21"/>
                <w:highlight w:val="none"/>
                <w:lang w:val="en-US" w:eastAsia="zh-CN"/>
              </w:rPr>
              <w:t>1.73</w:t>
            </w:r>
            <w:r>
              <w:rPr>
                <w:rFonts w:hint="eastAsia" w:ascii="宋体" w:hAnsi="宋体" w:eastAsia="宋体" w:cs="宋体"/>
                <w:color w:val="0000FF"/>
                <w:kern w:val="0"/>
                <w:szCs w:val="21"/>
                <w:highlight w:val="none"/>
              </w:rPr>
              <w:t>分</w:t>
            </w:r>
            <w:r>
              <w:rPr>
                <w:rFonts w:hint="eastAsia" w:ascii="宋体" w:hAnsi="宋体" w:eastAsia="宋体" w:cs="宋体"/>
                <w:color w:val="0000FF"/>
                <w:kern w:val="0"/>
                <w:szCs w:val="21"/>
              </w:rPr>
              <w:t>，最低得0分。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等线" w:cs="等线"/>
                <w:szCs w:val="21"/>
              </w:rPr>
            </w:pPr>
            <w:r>
              <w:rPr>
                <w:rFonts w:hint="eastAsia" w:ascii="宋体" w:hAnsi="宋体" w:eastAsia="等线" w:cs="等线"/>
                <w:szCs w:val="21"/>
              </w:rPr>
              <w:t>3</w:t>
            </w:r>
          </w:p>
        </w:tc>
        <w:tc>
          <w:tcPr>
            <w:tcW w:w="17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等线" w:cs="等线"/>
                <w:bCs/>
                <w:szCs w:val="21"/>
              </w:rPr>
            </w:pPr>
            <w:r>
              <w:rPr>
                <w:rFonts w:hint="eastAsia" w:ascii="宋体" w:hAnsi="宋体" w:eastAsia="宋体" w:cs="宋体"/>
                <w:bCs/>
                <w:szCs w:val="21"/>
              </w:rPr>
              <w:t>设计图评价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等线"/>
                <w:szCs w:val="21"/>
              </w:rPr>
            </w:pPr>
            <w:r>
              <w:rPr>
                <w:rFonts w:hint="eastAsia" w:ascii="宋体" w:hAnsi="宋体" w:eastAsia="等线" w:cs="等线"/>
                <w:szCs w:val="21"/>
              </w:rPr>
              <w:t>3</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napToGrid w:val="0"/>
              <w:spacing w:before="0" w:beforeAutospacing="0" w:after="0" w:afterAutospacing="0" w:line="320" w:lineRule="exact"/>
              <w:ind w:left="0" w:right="0"/>
              <w:jc w:val="left"/>
              <w:rPr>
                <w:rFonts w:hint="default" w:ascii="宋体" w:hAnsi="宋体" w:eastAsia="宋体" w:cs="宋体"/>
                <w:b/>
                <w:kern w:val="0"/>
                <w:szCs w:val="21"/>
              </w:rPr>
            </w:pPr>
            <w:r>
              <w:rPr>
                <w:rFonts w:hint="eastAsia" w:ascii="宋体" w:hAnsi="宋体" w:eastAsia="宋体" w:cs="宋体"/>
                <w:b/>
                <w:kern w:val="0"/>
                <w:szCs w:val="21"/>
              </w:rPr>
              <w:t xml:space="preserve">（一）评审内容： </w:t>
            </w:r>
          </w:p>
          <w:p>
            <w:pPr>
              <w:pStyle w:val="8"/>
              <w:keepNext w:val="0"/>
              <w:keepLines w:val="0"/>
              <w:suppressLineNumbers w:val="0"/>
              <w:spacing w:before="0" w:beforeAutospacing="0" w:after="0" w:afterAutospacing="0"/>
              <w:ind w:left="0" w:right="0"/>
              <w:rPr>
                <w:rFonts w:hint="default"/>
              </w:rPr>
            </w:pPr>
            <w:r>
              <w:rPr>
                <w:rFonts w:hint="eastAsia"/>
              </w:rPr>
              <w:t>根据投标人提供的设计方案进行评价：</w:t>
            </w:r>
          </w:p>
          <w:p>
            <w:pPr>
              <w:pStyle w:val="8"/>
              <w:keepNext w:val="0"/>
              <w:keepLines w:val="0"/>
              <w:suppressLineNumbers w:val="0"/>
              <w:spacing w:before="0" w:beforeAutospacing="0" w:after="0" w:afterAutospacing="0"/>
              <w:ind w:left="0" w:right="0"/>
              <w:rPr>
                <w:rFonts w:hint="default"/>
              </w:rPr>
            </w:pPr>
            <w:r>
              <w:rPr>
                <w:rFonts w:hint="eastAsia"/>
              </w:rPr>
              <w:t>1</w:t>
            </w:r>
            <w:r>
              <w:rPr>
                <w:rFonts w:hint="eastAsia" w:ascii="宋体" w:hAnsi="宋体" w:cs="宋体"/>
                <w:bCs/>
                <w:szCs w:val="21"/>
              </w:rPr>
              <w:t>、场所平面布置图</w:t>
            </w:r>
            <w:r>
              <w:rPr>
                <w:rFonts w:hint="eastAsia"/>
              </w:rPr>
              <w:t>；</w:t>
            </w:r>
          </w:p>
          <w:p>
            <w:pPr>
              <w:pStyle w:val="8"/>
              <w:keepNext w:val="0"/>
              <w:keepLines w:val="0"/>
              <w:suppressLineNumbers w:val="0"/>
              <w:spacing w:before="0" w:beforeAutospacing="0" w:after="0" w:afterAutospacing="0"/>
              <w:ind w:left="0" w:right="0"/>
              <w:rPr>
                <w:rFonts w:hint="default"/>
              </w:rPr>
            </w:pPr>
            <w:r>
              <w:rPr>
                <w:rFonts w:hint="eastAsia"/>
              </w:rPr>
              <w:t>2</w:t>
            </w:r>
            <w:r>
              <w:rPr>
                <w:rFonts w:hint="eastAsia" w:ascii="宋体" w:hAnsi="宋体" w:cs="宋体"/>
                <w:bCs/>
                <w:szCs w:val="21"/>
              </w:rPr>
              <w:t>、场所效果图</w:t>
            </w:r>
            <w:r>
              <w:rPr>
                <w:rFonts w:hint="eastAsia"/>
              </w:rPr>
              <w:t>；</w:t>
            </w:r>
          </w:p>
          <w:p>
            <w:pPr>
              <w:keepNext w:val="0"/>
              <w:keepLines w:val="0"/>
              <w:suppressLineNumbers w:val="0"/>
              <w:spacing w:before="0" w:beforeAutospacing="0" w:after="0" w:afterAutospacing="0" w:line="280" w:lineRule="exact"/>
              <w:ind w:left="0" w:right="0"/>
              <w:rPr>
                <w:rFonts w:hint="default" w:ascii="宋体" w:hAnsi="宋体" w:eastAsia="宋体" w:cs="宋体"/>
                <w:b/>
                <w:color w:val="0000FF"/>
                <w:szCs w:val="21"/>
              </w:rPr>
            </w:pPr>
            <w:r>
              <w:rPr>
                <w:rFonts w:hint="eastAsia" w:ascii="宋体" w:hAnsi="宋体" w:eastAsia="宋体" w:cs="宋体"/>
                <w:b/>
                <w:color w:val="0000FF"/>
                <w:szCs w:val="21"/>
              </w:rPr>
              <w:t>（二）评审依据：</w:t>
            </w:r>
          </w:p>
          <w:p>
            <w:pPr>
              <w:pStyle w:val="8"/>
              <w:keepNext w:val="0"/>
              <w:keepLines w:val="0"/>
              <w:suppressLineNumbers w:val="0"/>
              <w:spacing w:before="0" w:beforeAutospacing="0" w:after="0" w:afterAutospacing="0"/>
              <w:ind w:left="0" w:right="0"/>
              <w:rPr>
                <w:rFonts w:hint="default" w:ascii="宋体" w:hAnsi="宋体" w:cs="宋体"/>
                <w:color w:val="0000FF"/>
                <w:szCs w:val="21"/>
              </w:rPr>
            </w:pPr>
            <w:r>
              <w:rPr>
                <w:rFonts w:hint="eastAsia" w:ascii="宋体" w:hAnsi="宋体" w:cs="宋体"/>
                <w:color w:val="0000FF"/>
                <w:szCs w:val="21"/>
              </w:rPr>
              <w:t>1、满足上述任意一项的得30分，最高得60分。</w:t>
            </w:r>
            <w:r>
              <w:rPr>
                <w:rFonts w:hint="default" w:ascii="宋体" w:hAnsi="宋体" w:cs="宋体"/>
                <w:color w:val="0000FF"/>
                <w:szCs w:val="21"/>
              </w:rPr>
              <w:t xml:space="preserve"> </w:t>
            </w:r>
          </w:p>
          <w:p>
            <w:pPr>
              <w:pStyle w:val="8"/>
              <w:keepNext w:val="0"/>
              <w:keepLines w:val="0"/>
              <w:suppressLineNumbers w:val="0"/>
              <w:spacing w:before="0" w:beforeAutospacing="0" w:after="0" w:afterAutospacing="0"/>
              <w:ind w:left="0" w:right="0"/>
              <w:rPr>
                <w:rFonts w:hint="default" w:ascii="宋体" w:hAnsi="宋体" w:cs="宋体"/>
                <w:color w:val="0000FF"/>
                <w:szCs w:val="21"/>
              </w:rPr>
            </w:pPr>
            <w:r>
              <w:rPr>
                <w:rFonts w:hint="eastAsia" w:ascii="宋体" w:hAnsi="宋体" w:cs="宋体"/>
                <w:color w:val="0000FF"/>
                <w:szCs w:val="21"/>
              </w:rPr>
              <w:t>2、在上述基础上，由评审委员会对具体响应内容进一步评审：</w:t>
            </w:r>
          </w:p>
          <w:p>
            <w:pPr>
              <w:pStyle w:val="8"/>
              <w:keepNext w:val="0"/>
              <w:keepLines w:val="0"/>
              <w:suppressLineNumbers w:val="0"/>
              <w:spacing w:before="0" w:beforeAutospacing="0" w:after="0" w:afterAutospacing="0"/>
              <w:ind w:left="0" w:right="0"/>
              <w:rPr>
                <w:rFonts w:hint="default" w:ascii="宋体" w:hAnsi="宋体" w:cs="宋体"/>
                <w:color w:val="0000FF"/>
                <w:szCs w:val="21"/>
              </w:rPr>
            </w:pPr>
            <w:r>
              <w:rPr>
                <w:rFonts w:hint="eastAsia" w:ascii="宋体" w:hAnsi="宋体" w:cs="宋体"/>
                <w:color w:val="0000FF"/>
                <w:szCs w:val="21"/>
              </w:rPr>
              <w:t>1、内容完整，设计合理、实用性强，图片清晰、整体效果完全符合实际需求的评价为优，得40分；</w:t>
            </w:r>
          </w:p>
          <w:p>
            <w:pPr>
              <w:pStyle w:val="8"/>
              <w:keepNext w:val="0"/>
              <w:keepLines w:val="0"/>
              <w:suppressLineNumbers w:val="0"/>
              <w:spacing w:before="0" w:beforeAutospacing="0" w:after="0" w:afterAutospacing="0"/>
              <w:ind w:left="0" w:right="0"/>
              <w:rPr>
                <w:rFonts w:hint="default" w:ascii="宋体" w:hAnsi="宋体" w:cs="宋体"/>
                <w:color w:val="0000FF"/>
                <w:szCs w:val="21"/>
              </w:rPr>
            </w:pPr>
            <w:r>
              <w:rPr>
                <w:rFonts w:hint="eastAsia" w:ascii="宋体" w:hAnsi="宋体" w:cs="宋体"/>
                <w:color w:val="0000FF"/>
                <w:szCs w:val="21"/>
              </w:rPr>
              <w:t>2、内容完整，设计较为合理、实用性一般，图片清晰、整体效果基本符合实际需求的评价为良，得20分；</w:t>
            </w:r>
          </w:p>
          <w:p>
            <w:pPr>
              <w:pStyle w:val="8"/>
              <w:keepNext w:val="0"/>
              <w:keepLines w:val="0"/>
              <w:suppressLineNumbers w:val="0"/>
              <w:spacing w:before="0" w:beforeAutospacing="0" w:after="0" w:afterAutospacing="0"/>
              <w:ind w:left="0" w:right="0"/>
              <w:rPr>
                <w:rFonts w:hint="default" w:ascii="宋体" w:hAnsi="宋体" w:cs="宋体"/>
                <w:color w:val="0000FF"/>
                <w:szCs w:val="21"/>
              </w:rPr>
            </w:pPr>
            <w:r>
              <w:rPr>
                <w:rFonts w:hint="eastAsia" w:ascii="宋体" w:hAnsi="宋体" w:cs="宋体"/>
                <w:color w:val="0000FF"/>
                <w:szCs w:val="21"/>
              </w:rPr>
              <w:t>3、内容基本完整，设计合理性较差、实用性较差，图片清晰、整体效果不符合实际需求的评价为中，得10分；</w:t>
            </w:r>
          </w:p>
          <w:p>
            <w:pPr>
              <w:keepNext w:val="0"/>
              <w:keepLines w:val="0"/>
              <w:suppressLineNumbers w:val="0"/>
              <w:spacing w:before="0" w:beforeAutospacing="0" w:after="0" w:afterAutospacing="0" w:line="320" w:lineRule="exact"/>
              <w:ind w:left="0" w:right="0"/>
              <w:rPr>
                <w:rFonts w:hint="default" w:ascii="宋体" w:hAnsi="宋体" w:eastAsia="等线" w:cs="宋体"/>
                <w:szCs w:val="21"/>
              </w:rPr>
            </w:pPr>
            <w:r>
              <w:rPr>
                <w:rFonts w:hint="eastAsia" w:ascii="宋体" w:hAnsi="宋体" w:eastAsia="宋体" w:cs="宋体"/>
                <w:color w:val="0000FF"/>
                <w:szCs w:val="21"/>
              </w:rPr>
              <w:t>4、未按要求提供或提供的材料不能证明相关情况的或提供不清晰导致专家无法判断的不得分。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cs="等线"/>
                <w:szCs w:val="21"/>
              </w:rPr>
            </w:pPr>
            <w:r>
              <w:rPr>
                <w:rFonts w:hint="eastAsia" w:ascii="宋体" w:hAnsi="宋体" w:eastAsia="等线" w:cs="等线"/>
                <w:szCs w:val="21"/>
              </w:rPr>
              <w:t>4</w:t>
            </w:r>
          </w:p>
        </w:tc>
        <w:tc>
          <w:tcPr>
            <w:tcW w:w="17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等线"/>
                <w:bCs/>
                <w:szCs w:val="21"/>
              </w:rPr>
            </w:pPr>
            <w:r>
              <w:rPr>
                <w:rFonts w:hint="eastAsia" w:ascii="宋体" w:hAnsi="宋体" w:eastAsia="宋体" w:cs="宋体"/>
                <w:bCs/>
                <w:szCs w:val="21"/>
              </w:rPr>
              <w:t>项目组织实施方案评价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等线"/>
                <w:szCs w:val="21"/>
                <w:lang w:eastAsia="zh-CN"/>
              </w:rPr>
            </w:pPr>
            <w:r>
              <w:rPr>
                <w:rFonts w:hint="eastAsia" w:ascii="宋体" w:hAnsi="宋体" w:eastAsia="等线" w:cs="等线"/>
                <w:szCs w:val="21"/>
                <w:lang w:val="en-US" w:eastAsia="zh-CN"/>
              </w:rPr>
              <w:t>3</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autoSpaceDE w:val="0"/>
              <w:autoSpaceDN w:val="0"/>
              <w:adjustRightInd w:val="0"/>
              <w:spacing w:before="0" w:beforeAutospacing="0" w:after="0" w:afterAutospacing="0" w:line="280" w:lineRule="exact"/>
              <w:ind w:left="0" w:right="0"/>
              <w:rPr>
                <w:rFonts w:hint="default" w:ascii="宋体" w:hAnsi="宋体" w:eastAsia="宋体" w:cs="宋体"/>
                <w:b/>
                <w:szCs w:val="21"/>
              </w:rPr>
            </w:pPr>
            <w:r>
              <w:rPr>
                <w:rFonts w:hint="eastAsia" w:ascii="宋体" w:hAnsi="宋体" w:eastAsia="宋体" w:cs="宋体"/>
                <w:b/>
                <w:szCs w:val="21"/>
              </w:rPr>
              <w:t>（一）评审内容：</w:t>
            </w:r>
          </w:p>
          <w:p>
            <w:pPr>
              <w:keepNext w:val="0"/>
              <w:keepLines w:val="0"/>
              <w:suppressLineNumbers w:val="0"/>
              <w:spacing w:before="0" w:beforeAutospacing="0" w:after="0" w:afterAutospacing="0" w:line="280" w:lineRule="exact"/>
              <w:ind w:left="0" w:right="0"/>
              <w:rPr>
                <w:rFonts w:hint="default" w:ascii="宋体" w:hAnsi="宋体" w:eastAsia="宋体" w:cs="宋体"/>
                <w:szCs w:val="21"/>
              </w:rPr>
            </w:pPr>
            <w:r>
              <w:rPr>
                <w:rFonts w:hint="eastAsia" w:ascii="宋体" w:hAnsi="宋体" w:eastAsia="宋体" w:cs="宋体"/>
                <w:szCs w:val="21"/>
              </w:rPr>
              <w:t>对投标人提供的项目组织实施方案进行评价，内容包括但不限于：</w:t>
            </w:r>
          </w:p>
          <w:p>
            <w:pPr>
              <w:keepNext w:val="0"/>
              <w:keepLines w:val="0"/>
              <w:suppressLineNumbers w:val="0"/>
              <w:spacing w:before="0" w:beforeAutospacing="0" w:after="0" w:afterAutospacing="0" w:line="280" w:lineRule="exact"/>
              <w:ind w:left="0" w:right="0"/>
              <w:rPr>
                <w:rFonts w:hint="default" w:ascii="宋体" w:hAnsi="宋体" w:eastAsia="宋体" w:cs="宋体"/>
                <w:szCs w:val="21"/>
              </w:rPr>
            </w:pPr>
            <w:r>
              <w:rPr>
                <w:rFonts w:hint="eastAsia" w:ascii="宋体" w:hAnsi="宋体" w:eastAsia="宋体" w:cs="宋体"/>
                <w:szCs w:val="21"/>
              </w:rPr>
              <w:t>1、项目进度计划安排；</w:t>
            </w:r>
          </w:p>
          <w:p>
            <w:pPr>
              <w:keepNext w:val="0"/>
              <w:keepLines w:val="0"/>
              <w:suppressLineNumbers w:val="0"/>
              <w:spacing w:before="0" w:beforeAutospacing="0" w:after="0" w:afterAutospacing="0" w:line="280" w:lineRule="exact"/>
              <w:ind w:left="0" w:right="0"/>
              <w:rPr>
                <w:rFonts w:hint="default" w:ascii="宋体" w:hAnsi="宋体" w:eastAsia="宋体" w:cs="宋体"/>
                <w:szCs w:val="21"/>
              </w:rPr>
            </w:pPr>
            <w:r>
              <w:rPr>
                <w:rFonts w:hint="eastAsia" w:ascii="宋体" w:hAnsi="宋体" w:eastAsia="宋体" w:cs="宋体"/>
                <w:szCs w:val="21"/>
              </w:rPr>
              <w:t>2、施工组织计划；</w:t>
            </w:r>
          </w:p>
          <w:p>
            <w:pPr>
              <w:keepNext w:val="0"/>
              <w:keepLines w:val="0"/>
              <w:suppressLineNumbers w:val="0"/>
              <w:spacing w:before="0" w:beforeAutospacing="0" w:after="0" w:afterAutospacing="0" w:line="280" w:lineRule="exact"/>
              <w:ind w:left="0" w:right="0"/>
              <w:rPr>
                <w:rFonts w:hint="default" w:ascii="宋体" w:hAnsi="宋体" w:eastAsia="宋体" w:cs="宋体"/>
                <w:szCs w:val="21"/>
              </w:rPr>
            </w:pPr>
            <w:r>
              <w:rPr>
                <w:rFonts w:hint="eastAsia" w:ascii="宋体" w:hAnsi="宋体" w:eastAsia="宋体" w:cs="宋体"/>
                <w:szCs w:val="21"/>
              </w:rPr>
              <w:t>3、验收组织计划；</w:t>
            </w:r>
          </w:p>
          <w:p>
            <w:pPr>
              <w:keepNext w:val="0"/>
              <w:keepLines w:val="0"/>
              <w:suppressLineNumbers w:val="0"/>
              <w:spacing w:before="0" w:beforeAutospacing="0" w:after="0" w:afterAutospacing="0" w:line="280" w:lineRule="exact"/>
              <w:ind w:left="0" w:right="0"/>
              <w:rPr>
                <w:rFonts w:hint="default" w:ascii="宋体" w:hAnsi="宋体" w:eastAsia="宋体" w:cs="宋体"/>
                <w:szCs w:val="21"/>
              </w:rPr>
            </w:pPr>
            <w:r>
              <w:rPr>
                <w:rFonts w:hint="eastAsia" w:ascii="宋体" w:hAnsi="宋体" w:eastAsia="宋体" w:cs="宋体"/>
                <w:szCs w:val="21"/>
              </w:rPr>
              <w:t>4、产品培训方案。</w:t>
            </w:r>
          </w:p>
          <w:p>
            <w:pPr>
              <w:keepNext w:val="0"/>
              <w:keepLines w:val="0"/>
              <w:suppressLineNumbers w:val="0"/>
              <w:spacing w:before="0" w:beforeAutospacing="0" w:after="0" w:afterAutospacing="0" w:line="280" w:lineRule="exact"/>
              <w:ind w:left="0" w:right="0"/>
              <w:rPr>
                <w:rFonts w:hint="default" w:ascii="宋体" w:hAnsi="宋体" w:eastAsia="宋体" w:cs="宋体"/>
                <w:b/>
                <w:color w:val="0000FF"/>
                <w:szCs w:val="21"/>
              </w:rPr>
            </w:pPr>
            <w:r>
              <w:rPr>
                <w:rFonts w:hint="eastAsia" w:ascii="宋体" w:hAnsi="宋体" w:eastAsia="宋体" w:cs="宋体"/>
                <w:b/>
                <w:color w:val="0000FF"/>
                <w:szCs w:val="21"/>
              </w:rPr>
              <w:t>（二）评审标准：</w:t>
            </w:r>
          </w:p>
          <w:p>
            <w:pPr>
              <w:keepNext w:val="0"/>
              <w:keepLines w:val="0"/>
              <w:suppressLineNumbers w:val="0"/>
              <w:autoSpaceDE w:val="0"/>
              <w:autoSpaceDN w:val="0"/>
              <w:adjustRightInd w:val="0"/>
              <w:spacing w:before="0" w:beforeAutospacing="0" w:after="0" w:afterAutospacing="0" w:line="280" w:lineRule="exact"/>
              <w:ind w:left="0" w:right="0"/>
              <w:rPr>
                <w:rFonts w:hint="default" w:ascii="宋体" w:hAnsi="宋体" w:eastAsia="宋体" w:cs="宋体"/>
                <w:color w:val="0000FF"/>
                <w:szCs w:val="21"/>
              </w:rPr>
            </w:pPr>
            <w:r>
              <w:rPr>
                <w:rFonts w:hint="eastAsia" w:ascii="宋体" w:hAnsi="宋体" w:eastAsia="宋体" w:cs="宋体"/>
                <w:color w:val="0000FF"/>
                <w:szCs w:val="21"/>
              </w:rPr>
              <w:t>1、提供的方案每满足上述1点的得15分，最高得60分；。</w:t>
            </w:r>
          </w:p>
          <w:p>
            <w:pPr>
              <w:keepNext w:val="0"/>
              <w:keepLines w:val="0"/>
              <w:suppressLineNumbers w:val="0"/>
              <w:autoSpaceDE w:val="0"/>
              <w:autoSpaceDN w:val="0"/>
              <w:adjustRightInd w:val="0"/>
              <w:spacing w:before="0" w:beforeAutospacing="0" w:after="0" w:afterAutospacing="0" w:line="280" w:lineRule="exact"/>
              <w:ind w:left="0" w:right="0"/>
              <w:rPr>
                <w:rFonts w:hint="default" w:ascii="宋体" w:hAnsi="宋体" w:eastAsia="宋体" w:cs="宋体"/>
                <w:color w:val="0000FF"/>
                <w:szCs w:val="21"/>
              </w:rPr>
            </w:pPr>
            <w:r>
              <w:rPr>
                <w:rFonts w:hint="eastAsia" w:ascii="宋体" w:hAnsi="宋体" w:eastAsia="宋体" w:cs="宋体"/>
                <w:color w:val="0000FF"/>
                <w:szCs w:val="21"/>
              </w:rPr>
              <w:t>2、在此基础上，由评审委员会对具体响应内容进一步评审：</w:t>
            </w:r>
          </w:p>
          <w:p>
            <w:pPr>
              <w:keepNext w:val="0"/>
              <w:keepLines w:val="0"/>
              <w:suppressLineNumbers w:val="0"/>
              <w:autoSpaceDE w:val="0"/>
              <w:autoSpaceDN w:val="0"/>
              <w:adjustRightInd w:val="0"/>
              <w:spacing w:before="0" w:beforeAutospacing="0" w:after="0" w:afterAutospacing="0" w:line="280" w:lineRule="exact"/>
              <w:ind w:left="0" w:right="0"/>
              <w:rPr>
                <w:rFonts w:hint="default" w:ascii="宋体" w:hAnsi="宋体" w:eastAsia="宋体" w:cs="宋体"/>
                <w:color w:val="0000FF"/>
                <w:szCs w:val="21"/>
              </w:rPr>
            </w:pPr>
            <w:r>
              <w:rPr>
                <w:rFonts w:hint="eastAsia" w:ascii="宋体" w:hAnsi="宋体" w:eastAsia="宋体" w:cs="宋体"/>
                <w:color w:val="0000FF"/>
                <w:szCs w:val="21"/>
              </w:rPr>
              <w:t>①方案极合理、条理极清晰、可操作性极强的得40分；</w:t>
            </w:r>
          </w:p>
          <w:p>
            <w:pPr>
              <w:keepNext w:val="0"/>
              <w:keepLines w:val="0"/>
              <w:suppressLineNumbers w:val="0"/>
              <w:autoSpaceDE w:val="0"/>
              <w:autoSpaceDN w:val="0"/>
              <w:adjustRightInd w:val="0"/>
              <w:spacing w:before="0" w:beforeAutospacing="0" w:after="0" w:afterAutospacing="0" w:line="280" w:lineRule="exact"/>
              <w:ind w:left="0" w:right="0"/>
              <w:rPr>
                <w:rFonts w:hint="default" w:ascii="宋体" w:hAnsi="宋体" w:eastAsia="宋体" w:cs="宋体"/>
                <w:color w:val="0000FF"/>
                <w:szCs w:val="21"/>
              </w:rPr>
            </w:pPr>
            <w:r>
              <w:rPr>
                <w:rFonts w:hint="eastAsia" w:ascii="宋体" w:hAnsi="宋体" w:eastAsia="宋体" w:cs="宋体"/>
                <w:color w:val="0000FF"/>
                <w:szCs w:val="21"/>
              </w:rPr>
              <w:t>②方案合理、条理清晰、可操作强的得30分；</w:t>
            </w:r>
          </w:p>
          <w:p>
            <w:pPr>
              <w:keepNext w:val="0"/>
              <w:keepLines w:val="0"/>
              <w:suppressLineNumbers w:val="0"/>
              <w:autoSpaceDE w:val="0"/>
              <w:autoSpaceDN w:val="0"/>
              <w:adjustRightInd w:val="0"/>
              <w:spacing w:before="0" w:beforeAutospacing="0" w:after="0" w:afterAutospacing="0" w:line="280" w:lineRule="exact"/>
              <w:ind w:left="0" w:right="0"/>
              <w:rPr>
                <w:rFonts w:hint="default" w:ascii="宋体" w:hAnsi="宋体" w:eastAsia="宋体" w:cs="宋体"/>
                <w:color w:val="0000FF"/>
                <w:szCs w:val="21"/>
              </w:rPr>
            </w:pPr>
            <w:r>
              <w:rPr>
                <w:rFonts w:hint="eastAsia" w:ascii="宋体" w:hAnsi="宋体" w:eastAsia="宋体" w:cs="宋体"/>
                <w:color w:val="0000FF"/>
                <w:szCs w:val="21"/>
              </w:rPr>
              <w:t>③方案较合理、条理较清晰、可操作较强的得20分；</w:t>
            </w:r>
          </w:p>
          <w:p>
            <w:pPr>
              <w:keepNext w:val="0"/>
              <w:keepLines w:val="0"/>
              <w:suppressLineNumbers w:val="0"/>
              <w:autoSpaceDE w:val="0"/>
              <w:autoSpaceDN w:val="0"/>
              <w:adjustRightInd w:val="0"/>
              <w:spacing w:before="0" w:beforeAutospacing="0" w:after="0" w:afterAutospacing="0" w:line="280" w:lineRule="exact"/>
              <w:ind w:left="0" w:right="0"/>
              <w:rPr>
                <w:rFonts w:hint="default" w:ascii="宋体" w:hAnsi="宋体" w:eastAsia="宋体" w:cs="宋体"/>
                <w:color w:val="0000FF"/>
                <w:szCs w:val="21"/>
              </w:rPr>
            </w:pPr>
            <w:r>
              <w:rPr>
                <w:rFonts w:hint="eastAsia" w:ascii="宋体" w:hAnsi="宋体" w:eastAsia="宋体" w:cs="宋体"/>
                <w:color w:val="0000FF"/>
                <w:szCs w:val="21"/>
              </w:rPr>
              <w:t>④方案一般合理、条理一般、可操作一般的得10分；</w:t>
            </w:r>
          </w:p>
          <w:p>
            <w:pPr>
              <w:keepNext w:val="0"/>
              <w:keepLines w:val="0"/>
              <w:suppressLineNumbers w:val="0"/>
              <w:autoSpaceDE w:val="0"/>
              <w:autoSpaceDN w:val="0"/>
              <w:adjustRightInd w:val="0"/>
              <w:spacing w:before="0" w:beforeAutospacing="0" w:after="0" w:afterAutospacing="0" w:line="280" w:lineRule="exact"/>
              <w:ind w:left="0" w:right="0"/>
              <w:rPr>
                <w:rFonts w:hint="default" w:ascii="宋体" w:hAnsi="宋体" w:eastAsia="宋体" w:cs="宋体"/>
                <w:color w:val="0000FF"/>
                <w:szCs w:val="21"/>
                <w:lang w:val="zh-CN"/>
              </w:rPr>
            </w:pPr>
            <w:r>
              <w:rPr>
                <w:rFonts w:hint="eastAsia" w:ascii="宋体" w:hAnsi="宋体" w:eastAsia="宋体" w:cs="宋体"/>
                <w:color w:val="0000FF"/>
                <w:szCs w:val="21"/>
                <w:lang w:val="zh-CN"/>
              </w:rPr>
              <w:t>⑤方案不合理、条理不清晰、可操作性差的得5</w:t>
            </w:r>
            <w:r>
              <w:rPr>
                <w:rFonts w:hint="eastAsia" w:ascii="宋体" w:hAnsi="宋体" w:eastAsia="宋体" w:cs="宋体"/>
                <w:color w:val="0000FF"/>
                <w:szCs w:val="21"/>
              </w:rPr>
              <w:t>分</w:t>
            </w:r>
            <w:r>
              <w:rPr>
                <w:rFonts w:hint="eastAsia" w:ascii="宋体" w:hAnsi="宋体" w:eastAsia="宋体" w:cs="宋体"/>
                <w:color w:val="0000FF"/>
                <w:szCs w:val="21"/>
                <w:lang w:val="zh-CN"/>
              </w:rPr>
              <w:t>；</w:t>
            </w:r>
          </w:p>
          <w:p>
            <w:pPr>
              <w:keepNext w:val="0"/>
              <w:keepLines w:val="0"/>
              <w:widowControl/>
              <w:suppressLineNumbers w:val="0"/>
              <w:snapToGrid w:val="0"/>
              <w:spacing w:before="0" w:beforeAutospacing="0" w:after="0" w:afterAutospacing="0" w:line="320" w:lineRule="exact"/>
              <w:ind w:left="0" w:right="0"/>
              <w:jc w:val="left"/>
              <w:rPr>
                <w:rFonts w:hint="default" w:ascii="宋体" w:hAnsi="宋体" w:eastAsia="等线" w:cs="宋体"/>
                <w:szCs w:val="21"/>
              </w:rPr>
            </w:pPr>
            <w:r>
              <w:rPr>
                <w:rFonts w:hint="eastAsia" w:ascii="宋体" w:hAnsi="宋体" w:eastAsia="宋体" w:cs="宋体"/>
                <w:color w:val="0000FF"/>
                <w:szCs w:val="21"/>
              </w:rPr>
              <w:t>⑥方案极不合理、条理极不清晰、可操作极差的不得分。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5</w:t>
            </w:r>
          </w:p>
        </w:tc>
        <w:tc>
          <w:tcPr>
            <w:tcW w:w="17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szCs w:val="21"/>
              </w:rPr>
            </w:pPr>
            <w:r>
              <w:rPr>
                <w:rFonts w:hint="eastAsia" w:ascii="宋体" w:hAnsi="宋体" w:eastAsia="宋体" w:cs="宋体"/>
                <w:bCs/>
                <w:szCs w:val="21"/>
              </w:rPr>
              <w:t>售后服务方案评价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lang w:eastAsia="zh-CN"/>
              </w:rPr>
            </w:pPr>
            <w:r>
              <w:rPr>
                <w:rFonts w:hint="eastAsia" w:ascii="宋体" w:hAnsi="宋体" w:eastAsia="宋体" w:cs="宋体"/>
                <w:bCs/>
                <w:szCs w:val="21"/>
                <w:lang w:val="en-US" w:eastAsia="zh-CN"/>
              </w:rPr>
              <w:t>7</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autoSpaceDE w:val="0"/>
              <w:autoSpaceDN w:val="0"/>
              <w:adjustRightInd w:val="0"/>
              <w:spacing w:before="0" w:beforeAutospacing="0" w:after="0" w:afterAutospacing="0" w:line="320" w:lineRule="exact"/>
              <w:ind w:left="0" w:right="0"/>
              <w:rPr>
                <w:rFonts w:hint="default" w:ascii="宋体" w:hAnsi="宋体" w:eastAsia="宋体" w:cs="宋体"/>
                <w:b/>
                <w:szCs w:val="21"/>
              </w:rPr>
            </w:pPr>
            <w:r>
              <w:rPr>
                <w:rFonts w:hint="eastAsia" w:ascii="宋体" w:hAnsi="宋体" w:eastAsia="宋体" w:cs="宋体"/>
                <w:b/>
                <w:szCs w:val="21"/>
              </w:rPr>
              <w:t>（一）评审内容：</w:t>
            </w:r>
          </w:p>
          <w:p>
            <w:pPr>
              <w:keepNext w:val="0"/>
              <w:keepLines w:val="0"/>
              <w:suppressLineNumbers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szCs w:val="21"/>
              </w:rPr>
              <w:t>对投标人提供的售后服务方案进行评价，内容包括但不限于：</w:t>
            </w:r>
          </w:p>
          <w:p>
            <w:pPr>
              <w:keepNext w:val="0"/>
              <w:keepLines w:val="0"/>
              <w:suppressLineNumbers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szCs w:val="21"/>
              </w:rPr>
              <w:t>1、服务内容方案；</w:t>
            </w:r>
          </w:p>
          <w:p>
            <w:pPr>
              <w:keepNext w:val="0"/>
              <w:keepLines w:val="0"/>
              <w:suppressLineNumbers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szCs w:val="21"/>
              </w:rPr>
              <w:t>2、响应时间安排；</w:t>
            </w:r>
          </w:p>
          <w:p>
            <w:pPr>
              <w:keepNext w:val="0"/>
              <w:keepLines w:val="0"/>
              <w:suppressLineNumbers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szCs w:val="21"/>
              </w:rPr>
              <w:t>3、维修应急方案；</w:t>
            </w:r>
          </w:p>
          <w:p>
            <w:pPr>
              <w:keepNext w:val="0"/>
              <w:keepLines w:val="0"/>
              <w:suppressLineNumbers w:val="0"/>
              <w:spacing w:before="0" w:beforeAutospacing="0" w:after="0" w:afterAutospacing="0" w:line="320" w:lineRule="exact"/>
              <w:ind w:left="0" w:right="0"/>
              <w:rPr>
                <w:rFonts w:hint="default" w:ascii="宋体" w:hAnsi="宋体" w:eastAsia="宋体" w:cs="宋体"/>
                <w:b/>
                <w:color w:val="0000FF"/>
                <w:szCs w:val="21"/>
              </w:rPr>
            </w:pPr>
            <w:r>
              <w:rPr>
                <w:rFonts w:hint="eastAsia" w:ascii="宋体" w:hAnsi="宋体" w:eastAsia="宋体" w:cs="宋体"/>
                <w:b/>
                <w:color w:val="0000FF"/>
                <w:szCs w:val="21"/>
              </w:rPr>
              <w:t>（二）评审标准：</w:t>
            </w:r>
          </w:p>
          <w:p>
            <w:pPr>
              <w:keepNext w:val="0"/>
              <w:keepLines w:val="0"/>
              <w:suppressLineNumbers w:val="0"/>
              <w:autoSpaceDE w:val="0"/>
              <w:autoSpaceDN w:val="0"/>
              <w:adjustRightInd w:val="0"/>
              <w:spacing w:before="0" w:beforeAutospacing="0" w:after="0" w:afterAutospacing="0" w:line="320" w:lineRule="exact"/>
              <w:ind w:left="0" w:right="0"/>
              <w:rPr>
                <w:rFonts w:hint="default" w:ascii="宋体" w:hAnsi="宋体" w:eastAsia="宋体" w:cs="宋体"/>
                <w:color w:val="0000FF"/>
                <w:szCs w:val="21"/>
              </w:rPr>
            </w:pPr>
            <w:r>
              <w:rPr>
                <w:rFonts w:hint="eastAsia" w:ascii="宋体" w:hAnsi="宋体" w:eastAsia="宋体" w:cs="宋体"/>
                <w:color w:val="0000FF"/>
                <w:szCs w:val="21"/>
              </w:rPr>
              <w:t>1、提供的方案每满足上述1点的得20分，最高得60分；</w:t>
            </w:r>
          </w:p>
          <w:p>
            <w:pPr>
              <w:keepNext w:val="0"/>
              <w:keepLines w:val="0"/>
              <w:suppressLineNumbers w:val="0"/>
              <w:spacing w:before="0" w:beforeAutospacing="0" w:after="0" w:afterAutospacing="0" w:line="320" w:lineRule="exact"/>
              <w:ind w:left="0" w:right="0"/>
              <w:rPr>
                <w:rFonts w:hint="default" w:ascii="宋体" w:hAnsi="宋体" w:eastAsia="宋体" w:cs="宋体"/>
                <w:color w:val="0000FF"/>
                <w:szCs w:val="21"/>
              </w:rPr>
            </w:pPr>
            <w:r>
              <w:rPr>
                <w:rFonts w:hint="eastAsia" w:ascii="宋体" w:hAnsi="宋体" w:eastAsia="宋体" w:cs="宋体"/>
                <w:color w:val="0000FF"/>
                <w:szCs w:val="21"/>
              </w:rPr>
              <w:t>2、在此基础上，由评审委员会对具体响应内容进一步评审:</w:t>
            </w:r>
          </w:p>
          <w:p>
            <w:pPr>
              <w:keepNext w:val="0"/>
              <w:keepLines w:val="0"/>
              <w:suppressLineNumbers w:val="0"/>
              <w:spacing w:before="0" w:beforeAutospacing="0" w:after="0" w:afterAutospacing="0" w:line="320" w:lineRule="exact"/>
              <w:ind w:left="0" w:right="0"/>
              <w:rPr>
                <w:rFonts w:hint="default" w:ascii="宋体" w:hAnsi="宋体" w:eastAsia="宋体" w:cs="宋体"/>
                <w:color w:val="0000FF"/>
                <w:szCs w:val="21"/>
              </w:rPr>
            </w:pPr>
            <w:r>
              <w:rPr>
                <w:rFonts w:hint="eastAsia" w:ascii="宋体" w:hAnsi="宋体" w:eastAsia="宋体" w:cs="宋体"/>
                <w:color w:val="0000FF"/>
                <w:szCs w:val="21"/>
              </w:rPr>
              <w:t>①方案极合理、条理极清晰、可操作性极强的得40分；</w:t>
            </w:r>
          </w:p>
          <w:p>
            <w:pPr>
              <w:keepNext w:val="0"/>
              <w:keepLines w:val="0"/>
              <w:suppressLineNumbers w:val="0"/>
              <w:spacing w:before="0" w:beforeAutospacing="0" w:after="0" w:afterAutospacing="0" w:line="320" w:lineRule="exact"/>
              <w:ind w:left="0" w:right="0"/>
              <w:rPr>
                <w:rFonts w:hint="default" w:ascii="宋体" w:hAnsi="宋体" w:eastAsia="宋体" w:cs="宋体"/>
                <w:color w:val="0000FF"/>
                <w:szCs w:val="21"/>
              </w:rPr>
            </w:pPr>
            <w:r>
              <w:rPr>
                <w:rFonts w:hint="eastAsia" w:ascii="宋体" w:hAnsi="宋体" w:eastAsia="宋体" w:cs="宋体"/>
                <w:color w:val="0000FF"/>
                <w:szCs w:val="21"/>
              </w:rPr>
              <w:t>②方案合理、条理清晰、可操作强的得30分；</w:t>
            </w:r>
          </w:p>
          <w:p>
            <w:pPr>
              <w:keepNext w:val="0"/>
              <w:keepLines w:val="0"/>
              <w:suppressLineNumbers w:val="0"/>
              <w:spacing w:before="0" w:beforeAutospacing="0" w:after="0" w:afterAutospacing="0" w:line="320" w:lineRule="exact"/>
              <w:ind w:left="0" w:right="0"/>
              <w:rPr>
                <w:rFonts w:hint="default" w:ascii="宋体" w:hAnsi="宋体" w:eastAsia="宋体" w:cs="宋体"/>
                <w:color w:val="0000FF"/>
                <w:szCs w:val="21"/>
              </w:rPr>
            </w:pPr>
            <w:r>
              <w:rPr>
                <w:rFonts w:hint="eastAsia" w:ascii="宋体" w:hAnsi="宋体" w:eastAsia="宋体" w:cs="宋体"/>
                <w:color w:val="0000FF"/>
                <w:szCs w:val="21"/>
              </w:rPr>
              <w:t>③方案较合理、条理较清晰、可操作较强的得20分；</w:t>
            </w:r>
          </w:p>
          <w:p>
            <w:pPr>
              <w:keepNext w:val="0"/>
              <w:keepLines w:val="0"/>
              <w:suppressLineNumbers w:val="0"/>
              <w:spacing w:before="0" w:beforeAutospacing="0" w:after="0" w:afterAutospacing="0" w:line="320" w:lineRule="exact"/>
              <w:ind w:left="0" w:right="0"/>
              <w:rPr>
                <w:rFonts w:hint="default" w:ascii="宋体" w:hAnsi="宋体" w:eastAsia="宋体" w:cs="宋体"/>
                <w:color w:val="0000FF"/>
                <w:szCs w:val="21"/>
              </w:rPr>
            </w:pPr>
            <w:r>
              <w:rPr>
                <w:rFonts w:hint="eastAsia" w:ascii="宋体" w:hAnsi="宋体" w:eastAsia="宋体" w:cs="宋体"/>
                <w:color w:val="0000FF"/>
                <w:szCs w:val="21"/>
              </w:rPr>
              <w:t>④方案一般合理、条理一般、可操作一般的得10分；</w:t>
            </w:r>
          </w:p>
          <w:p>
            <w:pPr>
              <w:keepNext w:val="0"/>
              <w:keepLines w:val="0"/>
              <w:suppressLineNumbers w:val="0"/>
              <w:spacing w:before="0" w:beforeAutospacing="0" w:after="0" w:afterAutospacing="0" w:line="320" w:lineRule="exact"/>
              <w:ind w:left="0" w:right="0"/>
              <w:jc w:val="left"/>
              <w:rPr>
                <w:rFonts w:hint="default" w:ascii="宋体" w:hAnsi="宋体" w:eastAsia="宋体" w:cs="宋体"/>
                <w:szCs w:val="21"/>
              </w:rPr>
            </w:pPr>
            <w:r>
              <w:rPr>
                <w:rFonts w:hint="eastAsia" w:ascii="宋体" w:hAnsi="宋体" w:eastAsia="宋体" w:cs="宋体"/>
                <w:color w:val="0000FF"/>
                <w:szCs w:val="21"/>
              </w:rPr>
              <w:t>⑤方案极不合理、条理极不清晰、可操作极差的不得分。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3</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商务部分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权重（%）</w:t>
            </w:r>
          </w:p>
        </w:tc>
        <w:tc>
          <w:tcPr>
            <w:tcW w:w="48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同类项目经验评价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6</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b/>
                <w:szCs w:val="21"/>
                <w:highlight w:val="none"/>
              </w:rPr>
            </w:pPr>
            <w:r>
              <w:rPr>
                <w:rFonts w:hint="eastAsia" w:ascii="宋体" w:hAnsi="宋体" w:eastAsia="宋体" w:cs="宋体"/>
                <w:b/>
                <w:szCs w:val="21"/>
                <w:highlight w:val="none"/>
              </w:rPr>
              <w:t>（一）评审内容：</w:t>
            </w:r>
          </w:p>
          <w:p>
            <w:pPr>
              <w:keepNext w:val="0"/>
              <w:keepLines w:val="0"/>
              <w:suppressLineNumbers w:val="0"/>
              <w:snapToGrid w:val="0"/>
              <w:spacing w:before="0" w:beforeAutospacing="0" w:after="0" w:afterAutospacing="0" w:line="280" w:lineRule="exact"/>
              <w:ind w:left="0" w:right="0"/>
              <w:rPr>
                <w:rFonts w:hint="default" w:ascii="宋体" w:hAnsi="宋体" w:eastAsia="宋体" w:cs="宋体"/>
                <w:szCs w:val="21"/>
                <w:highlight w:val="none"/>
              </w:rPr>
            </w:pPr>
            <w:r>
              <w:rPr>
                <w:rFonts w:hint="eastAsia" w:ascii="宋体" w:hAnsi="宋体" w:eastAsia="宋体" w:cs="宋体"/>
                <w:szCs w:val="21"/>
                <w:highlight w:val="none"/>
              </w:rPr>
              <w:t>自2021年1月1日以来（以合同签订时间为准）</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投标人具有与本项目同类项目（幼儿家具或幼儿班组部门设备）</w:t>
            </w:r>
            <w:r>
              <w:rPr>
                <w:rFonts w:hint="eastAsia" w:ascii="宋体" w:hAnsi="宋体" w:eastAsia="宋体" w:cs="宋体"/>
                <w:szCs w:val="21"/>
                <w:highlight w:val="none"/>
                <w:lang w:val="en-US" w:eastAsia="zh-CN"/>
              </w:rPr>
              <w:t>供货类</w:t>
            </w:r>
            <w:r>
              <w:rPr>
                <w:rFonts w:hint="eastAsia" w:ascii="宋体" w:hAnsi="宋体" w:eastAsia="宋体" w:cs="宋体"/>
                <w:szCs w:val="21"/>
                <w:highlight w:val="none"/>
              </w:rPr>
              <w:t>经验，且履约评价为优或满意（或同等评价）的，每提供1个得2</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分，最高得100分。</w:t>
            </w:r>
          </w:p>
          <w:p>
            <w:pPr>
              <w:keepNext w:val="0"/>
              <w:keepLines w:val="0"/>
              <w:suppressLineNumbers w:val="0"/>
              <w:spacing w:before="0" w:beforeAutospacing="0" w:after="0" w:afterAutospacing="0" w:line="280" w:lineRule="exact"/>
              <w:ind w:left="0" w:right="0"/>
              <w:jc w:val="left"/>
              <w:rPr>
                <w:rFonts w:hint="default" w:ascii="宋体" w:hAnsi="宋体" w:eastAsia="宋体" w:cs="宋体"/>
                <w:b/>
                <w:color w:val="0000FF"/>
                <w:szCs w:val="21"/>
                <w:highlight w:val="none"/>
              </w:rPr>
            </w:pPr>
            <w:r>
              <w:rPr>
                <w:rFonts w:hint="eastAsia" w:ascii="宋体" w:hAnsi="宋体" w:eastAsia="宋体" w:cs="宋体"/>
                <w:b/>
                <w:color w:val="0000FF"/>
                <w:szCs w:val="21"/>
                <w:highlight w:val="none"/>
              </w:rPr>
              <w:t>（二）评审标准：</w:t>
            </w:r>
          </w:p>
          <w:p>
            <w:pPr>
              <w:keepNext w:val="0"/>
              <w:keepLines w:val="0"/>
              <w:suppressLineNumbers w:val="0"/>
              <w:spacing w:before="0" w:beforeAutospacing="0" w:after="0" w:afterAutospacing="0" w:line="280" w:lineRule="exact"/>
              <w:ind w:left="0" w:right="0"/>
              <w:rPr>
                <w:rFonts w:hint="default" w:ascii="宋体" w:hAnsi="宋体" w:eastAsia="宋体" w:cs="宋体"/>
                <w:color w:val="0000FF"/>
                <w:szCs w:val="21"/>
                <w:highlight w:val="none"/>
              </w:rPr>
            </w:pPr>
            <w:r>
              <w:rPr>
                <w:rFonts w:hint="eastAsia" w:ascii="宋体" w:hAnsi="宋体" w:eastAsia="宋体" w:cs="宋体"/>
                <w:color w:val="0000FF"/>
                <w:szCs w:val="21"/>
                <w:highlight w:val="none"/>
              </w:rPr>
              <w:t>1、同时提供：①经验项目合同关键页</w:t>
            </w:r>
            <w:r>
              <w:rPr>
                <w:rFonts w:hint="eastAsia" w:ascii="宋体" w:hAnsi="宋体" w:eastAsia="宋体" w:cs="宋体"/>
                <w:color w:val="0000FF"/>
                <w:szCs w:val="21"/>
                <w:highlight w:val="none"/>
                <w:lang w:val="en-US" w:eastAsia="zh-CN"/>
              </w:rPr>
              <w:t>扫描件</w:t>
            </w:r>
            <w:r>
              <w:rPr>
                <w:rFonts w:hint="eastAsia" w:ascii="宋体" w:hAnsi="宋体" w:eastAsia="宋体" w:cs="宋体"/>
                <w:color w:val="0000FF"/>
                <w:szCs w:val="21"/>
                <w:highlight w:val="none"/>
              </w:rPr>
              <w:t>；②设备配置清单扫描件；③验收报告[加盖合同甲方公章（或甲方业务章）]</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④</w:t>
            </w:r>
            <w:r>
              <w:rPr>
                <w:rFonts w:hint="eastAsia" w:ascii="宋体" w:hAnsi="宋体" w:eastAsia="宋体" w:cs="宋体"/>
                <w:color w:val="0000FF"/>
                <w:szCs w:val="21"/>
                <w:highlight w:val="none"/>
              </w:rPr>
              <w:t>履约评价</w:t>
            </w:r>
            <w:r>
              <w:rPr>
                <w:rFonts w:hint="eastAsia" w:ascii="宋体" w:hAnsi="宋体" w:eastAsia="宋体" w:cs="宋体"/>
                <w:color w:val="0000FF"/>
                <w:szCs w:val="21"/>
                <w:highlight w:val="none"/>
                <w:lang w:val="en-US" w:eastAsia="zh-CN"/>
              </w:rPr>
              <w:t>证明</w:t>
            </w:r>
            <w:r>
              <w:rPr>
                <w:rFonts w:hint="eastAsia" w:ascii="宋体" w:hAnsi="宋体" w:eastAsia="宋体" w:cs="宋体"/>
                <w:color w:val="0000FF"/>
                <w:szCs w:val="21"/>
                <w:highlight w:val="none"/>
              </w:rPr>
              <w:t>[加盖合同甲方公章（或甲方业务章）]；</w:t>
            </w:r>
          </w:p>
          <w:p>
            <w:pPr>
              <w:keepNext w:val="0"/>
              <w:keepLines w:val="0"/>
              <w:suppressLineNumbers w:val="0"/>
              <w:spacing w:before="0" w:beforeAutospacing="0" w:after="0" w:afterAutospacing="0" w:line="320" w:lineRule="exact"/>
              <w:ind w:left="0" w:right="0"/>
              <w:rPr>
                <w:rFonts w:hint="default" w:ascii="宋体" w:hAnsi="宋体" w:eastAsia="宋体" w:cs="宋体"/>
                <w:bCs/>
                <w:szCs w:val="21"/>
                <w:highlight w:val="none"/>
              </w:rPr>
            </w:pPr>
            <w:r>
              <w:rPr>
                <w:rFonts w:hint="eastAsia" w:ascii="宋体" w:hAnsi="宋体" w:eastAsia="宋体" w:cs="宋体"/>
                <w:color w:val="0000FF"/>
                <w:szCs w:val="21"/>
                <w:highlight w:val="none"/>
              </w:rPr>
              <w:t>2、未按要求提供相关证明材料（或相关证明材料无法判断是否符合评分要求）的不计得分，原件备查。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政府采购节能环保产品情况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Cs/>
                <w:szCs w:val="21"/>
              </w:rPr>
            </w:pPr>
            <w:r>
              <w:rPr>
                <w:rFonts w:hint="eastAsia" w:ascii="宋体" w:hAnsi="宋体" w:eastAsia="宋体" w:cs="宋体"/>
                <w:bCs/>
                <w:szCs w:val="21"/>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autoSpaceDE w:val="0"/>
              <w:autoSpaceDN w:val="0"/>
              <w:adjustRightInd w:val="0"/>
              <w:spacing w:before="0" w:beforeAutospacing="0" w:after="0" w:afterAutospacing="0" w:line="320" w:lineRule="exact"/>
              <w:ind w:left="0" w:right="0"/>
              <w:rPr>
                <w:rFonts w:hint="default" w:ascii="宋体" w:hAnsi="宋体" w:eastAsia="宋体" w:cs="宋体"/>
                <w:b/>
                <w:bCs/>
                <w:szCs w:val="21"/>
              </w:rPr>
            </w:pPr>
            <w:r>
              <w:rPr>
                <w:rFonts w:hint="eastAsia" w:ascii="宋体" w:hAnsi="宋体" w:eastAsia="宋体" w:cs="宋体"/>
                <w:b/>
                <w:bCs/>
                <w:szCs w:val="21"/>
              </w:rPr>
              <w:t>（一）评审内容：</w:t>
            </w:r>
          </w:p>
          <w:p>
            <w:pPr>
              <w:keepNext w:val="0"/>
              <w:keepLines w:val="0"/>
              <w:suppressLineNumbers w:val="0"/>
              <w:autoSpaceDE w:val="0"/>
              <w:autoSpaceDN w:val="0"/>
              <w:adjustRightInd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szCs w:val="21"/>
              </w:rPr>
              <w:t>根据《关于印发节能产品政府采购品目清单的通知》（财库〔2019〕19号）以及《关于印发环境标志产品政府采购品目清单的通知》（财库〔2019〕18号）的要求，投标人所投任一产品（以招标文件第三章 用户需求书 二、货物需求明细中“货物名称”为准）被列入节能产品政府采购品目清单（</w:t>
            </w:r>
            <w:r>
              <w:rPr>
                <w:rFonts w:hint="eastAsia" w:ascii="宋体" w:hAnsi="宋体" w:eastAsia="宋体" w:cs="宋体"/>
                <w:color w:val="FF0000"/>
                <w:szCs w:val="21"/>
              </w:rPr>
              <w:t>已标注“★”号属政府强制采购产品需具有节能产品认证证书的除外</w:t>
            </w:r>
            <w:r>
              <w:rPr>
                <w:rFonts w:hint="eastAsia" w:ascii="宋体" w:hAnsi="宋体" w:eastAsia="宋体" w:cs="宋体"/>
                <w:szCs w:val="21"/>
              </w:rPr>
              <w:t>）或环境标志产品政府采购品目清单，且具有有效期内的节能产品或环境标志产品认证证书的，每提供1项得100分，最高得100分。</w:t>
            </w:r>
          </w:p>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color w:val="0000CC"/>
                <w:szCs w:val="21"/>
              </w:rPr>
            </w:pPr>
            <w:r>
              <w:rPr>
                <w:rFonts w:hint="eastAsia" w:ascii="宋体" w:hAnsi="宋体" w:eastAsia="宋体" w:cs="宋体"/>
                <w:b/>
                <w:bCs/>
                <w:color w:val="0000CC"/>
                <w:szCs w:val="21"/>
              </w:rPr>
              <w:t>（二）评审依据：</w:t>
            </w:r>
          </w:p>
          <w:p>
            <w:pPr>
              <w:keepNext w:val="0"/>
              <w:keepLines w:val="0"/>
              <w:suppressLineNumbers w:val="0"/>
              <w:snapToGrid w:val="0"/>
              <w:spacing w:before="0" w:beforeAutospacing="0" w:after="0" w:afterAutospacing="0" w:line="320" w:lineRule="exact"/>
              <w:ind w:left="0" w:right="0"/>
              <w:rPr>
                <w:rFonts w:hint="default" w:ascii="宋体" w:hAnsi="宋体" w:eastAsia="宋体" w:cs="宋体"/>
                <w:color w:val="0000FF"/>
                <w:szCs w:val="21"/>
              </w:rPr>
            </w:pPr>
            <w:r>
              <w:rPr>
                <w:rFonts w:hint="eastAsia" w:ascii="宋体" w:hAnsi="宋体" w:eastAsia="宋体" w:cs="宋体"/>
                <w:color w:val="0000FF"/>
                <w:szCs w:val="21"/>
              </w:rPr>
              <w:t>1、提供《市场监管总局关于发布参与实施政府采购节能产品、环境标志产品认证机构名录的公告》（2019年第16号）确定的认证机构出具的且处于有效期内的节能产品或环境标志产品认证证书扫描件；</w:t>
            </w:r>
          </w:p>
          <w:p>
            <w:pPr>
              <w:keepNext w:val="0"/>
              <w:keepLines w:val="0"/>
              <w:suppressLineNumbers w:val="0"/>
              <w:snapToGrid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color w:val="0000FF"/>
                <w:szCs w:val="21"/>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3</w:t>
            </w:r>
          </w:p>
        </w:tc>
        <w:tc>
          <w:tcPr>
            <w:tcW w:w="17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绿色采购情况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Cs/>
                <w:szCs w:val="21"/>
              </w:rPr>
            </w:pPr>
            <w:r>
              <w:rPr>
                <w:rFonts w:hint="eastAsia" w:ascii="宋体" w:hAnsi="宋体" w:eastAsia="宋体" w:cs="宋体"/>
                <w:bCs/>
                <w:szCs w:val="21"/>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autoSpaceDE w:val="0"/>
              <w:autoSpaceDN w:val="0"/>
              <w:adjustRightInd w:val="0"/>
              <w:spacing w:before="0" w:beforeAutospacing="0" w:after="0" w:afterAutospacing="0" w:line="320" w:lineRule="exact"/>
              <w:ind w:left="0" w:right="0"/>
              <w:rPr>
                <w:rFonts w:hint="default" w:ascii="宋体" w:hAnsi="宋体" w:eastAsia="宋体" w:cs="宋体"/>
                <w:b/>
                <w:bCs/>
                <w:szCs w:val="21"/>
              </w:rPr>
            </w:pPr>
            <w:r>
              <w:rPr>
                <w:rFonts w:hint="eastAsia" w:ascii="宋体" w:hAnsi="宋体" w:eastAsia="宋体" w:cs="宋体"/>
                <w:b/>
                <w:bCs/>
                <w:szCs w:val="21"/>
              </w:rPr>
              <w:t>（一）评审内容：</w:t>
            </w:r>
          </w:p>
          <w:p>
            <w:pPr>
              <w:keepNext w:val="0"/>
              <w:keepLines w:val="0"/>
              <w:suppressLineNumbers w:val="0"/>
              <w:autoSpaceDE w:val="0"/>
              <w:autoSpaceDN w:val="0"/>
              <w:adjustRightInd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szCs w:val="21"/>
              </w:rPr>
              <w:t>本项目采购内容中需要对相关产品进行商品包装和快递包装，投标人承诺以下内容的得100分：</w:t>
            </w:r>
          </w:p>
          <w:p>
            <w:pPr>
              <w:keepNext w:val="0"/>
              <w:keepLines w:val="0"/>
              <w:suppressLineNumbers w:val="0"/>
              <w:autoSpaceDE w:val="0"/>
              <w:autoSpaceDN w:val="0"/>
              <w:adjustRightInd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szCs w:val="21"/>
              </w:rPr>
              <w:t>所进行的商品包装和快递包装满足财政部《商品包装政府采购需求标准（试行）》《快递包装政府采购需求标准（试行）》（财办库〔2020〕123号）的要求，采用环保材料进行包装。</w:t>
            </w:r>
          </w:p>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color w:val="0000CC"/>
                <w:szCs w:val="21"/>
              </w:rPr>
            </w:pPr>
            <w:r>
              <w:rPr>
                <w:rFonts w:hint="eastAsia" w:ascii="宋体" w:hAnsi="宋体" w:eastAsia="宋体" w:cs="宋体"/>
                <w:b/>
                <w:bCs/>
                <w:color w:val="0000CC"/>
                <w:szCs w:val="21"/>
              </w:rPr>
              <w:t>（二）评审依据：</w:t>
            </w:r>
          </w:p>
          <w:p>
            <w:pPr>
              <w:keepNext w:val="0"/>
              <w:keepLines w:val="0"/>
              <w:suppressLineNumbers w:val="0"/>
              <w:snapToGrid w:val="0"/>
              <w:spacing w:before="0" w:beforeAutospacing="0" w:after="0" w:afterAutospacing="0" w:line="320" w:lineRule="exact"/>
              <w:ind w:left="0" w:right="0"/>
              <w:rPr>
                <w:rFonts w:hint="default" w:ascii="宋体" w:hAnsi="宋体" w:eastAsia="宋体" w:cs="宋体"/>
                <w:color w:val="0000FF"/>
                <w:szCs w:val="21"/>
              </w:rPr>
            </w:pPr>
            <w:r>
              <w:rPr>
                <w:rFonts w:hint="eastAsia" w:ascii="宋体" w:hAnsi="宋体" w:eastAsia="宋体" w:cs="宋体"/>
                <w:color w:val="0000FF"/>
                <w:szCs w:val="21"/>
              </w:rPr>
              <w:t>提供相关承诺函（格式自定），未按要求提供证明材料（或证明材料无法判断是否符合评分要求）的不得分，原件备查。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4</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其他部分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权重（%）</w:t>
            </w:r>
          </w:p>
        </w:tc>
        <w:tc>
          <w:tcPr>
            <w:tcW w:w="48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
                <w:bCs/>
                <w:szCs w:val="21"/>
              </w:rPr>
            </w:pPr>
            <w:r>
              <w:rPr>
                <w:rFonts w:hint="eastAsia" w:ascii="宋体" w:hAnsi="宋体" w:eastAsia="宋体" w:cs="宋体"/>
                <w:b/>
                <w:bCs/>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诚信情况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napToGrid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szCs w:val="21"/>
              </w:rPr>
              <w:t>投标人在参与政府采购活动中存在诚信相关问题且在主管部门相关处理措施实施期限内的，本项不得分，否则得满分。投标人无需提供任何证明材料，由政府集中采购机构工作人员查询后向评审委员会提供相关信息。</w:t>
            </w:r>
          </w:p>
        </w:tc>
      </w:tr>
    </w:tbl>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bCs/>
          <w:color w:val="FF0000"/>
          <w:sz w:val="21"/>
          <w:szCs w:val="21"/>
        </w:rPr>
        <w:t>一、《深圳经济特区政府采购条例》第五十七条</w:t>
      </w:r>
      <w:r>
        <w:rPr>
          <w:rFonts w:hint="eastAsia" w:asciiTheme="minorEastAsia" w:hAnsiTheme="minorEastAsia" w:eastAsiaTheme="minorEastAsia" w:cstheme="minorEastAsia"/>
          <w:color w:val="FF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（一）在采购活动中应当回避而未回避的；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（三）隐瞒真实情况，提供虚假资料的；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（四）以非法手段排斥其他供应商参与竞争的；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（五）与其他采购参加人串通投标的；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（六）恶意投诉的；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（八）阻碍、抗拒主管部门监督检查的；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（九）其他违反本条例规定的行为。</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二、《深圳经济特区政府采购条例实施细则》第七十五条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三、《深圳经济特区政府采购条例实施细则》第七十七条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投标供应商不能提供项目负责人或者主要技术人员的劳动合同、社会保险等劳动关系证明材料的，视为存在前款第（三）项规定的情形。</w:t>
      </w:r>
    </w:p>
    <w:bookmarkEnd w:id="1"/>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四、请投标供应商阅读《政府采购违法行为风险知悉确认书》（内容详见“投标文件附件（信息不公开部分）”），并经各投标供应商负责人或投标授权代表签字并加盖单位公章后，扫描上传至投标文件一并提交。注：该风险知悉确认书用于对供应商违法行为的警示，不作为供应商资格性审查及符合性审查条件。</w:t>
      </w: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2"/>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1）具有独立法人资格或是具有独立承担民事责任能力的其它组织（提供营业执照或事业单位法人证书等证明资料扫描件，原件备查）。</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2）本项目不接受联合体投标</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未被列入失信被执行人、重大税收违法案件当事人名单、政府采购严重违法失信行为记录名单（由供应商在《政府采购投标及履约承诺函》中作出声明）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 w:val="0"/>
          <w:bCs/>
          <w:sz w:val="24"/>
          <w:szCs w:val="24"/>
          <w:highlight w:val="yellow"/>
          <w:lang w:val="en-US" w:eastAsia="zh-CN"/>
        </w:rPr>
      </w:pPr>
      <w:r>
        <w:rPr>
          <w:rFonts w:hint="eastAsia" w:asciiTheme="minorEastAsia" w:hAnsiTheme="minorEastAsia" w:eastAsiaTheme="minorEastAsia" w:cstheme="minorEastAsia"/>
          <w:b w:val="0"/>
          <w:bCs/>
          <w:sz w:val="24"/>
          <w:szCs w:val="24"/>
          <w:highlight w:val="yellow"/>
          <w:lang w:val="en-US" w:eastAsia="zh-CN"/>
        </w:rPr>
        <w:t>7</w:t>
      </w:r>
      <w:r>
        <w:rPr>
          <w:rFonts w:hint="eastAsia" w:asciiTheme="minorEastAsia" w:hAnsiTheme="minorEastAsia" w:eastAsiaTheme="minorEastAsia" w:cstheme="minorEastAsia"/>
          <w:b w:val="0"/>
          <w:bCs/>
          <w:sz w:val="24"/>
          <w:szCs w:val="24"/>
          <w:highlight w:val="yellow"/>
        </w:rPr>
        <w:t>）本项目是（否）专门面向中小企业采购：</w:t>
      </w:r>
      <w:r>
        <w:rPr>
          <w:rFonts w:hint="eastAsia" w:asciiTheme="minorEastAsia" w:hAnsiTheme="minorEastAsia" w:eastAsiaTheme="minorEastAsia" w:cstheme="minorEastAsia"/>
          <w:b/>
          <w:bCs w:val="0"/>
          <w:sz w:val="24"/>
          <w:szCs w:val="24"/>
          <w:highlight w:val="yellow"/>
        </w:rPr>
        <w:t>是</w:t>
      </w:r>
      <w:r>
        <w:rPr>
          <w:rFonts w:hint="eastAsia" w:asciiTheme="minorEastAsia" w:hAnsiTheme="minorEastAsia" w:eastAsiaTheme="minorEastAsia" w:cstheme="minorEastAsia"/>
          <w:b w:val="0"/>
          <w:bCs/>
          <w:sz w:val="24"/>
          <w:szCs w:val="24"/>
          <w:highlight w:val="yellow"/>
        </w:rPr>
        <w:t>。投标人须符合《政府采购促进中小企业发展管理办法》及相关政策文件规定的享受中小企业（或监狱企业或残疾人福利性单位）相关扶持政策的情形。（提供相关声明函，格式及相关要求详见招标文件第四章“中小企业相关声明函”内容）。</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（1）“信用中国”中“信用服务”栏的“重大税收违法失信主体”“失信被执行人”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“中国政府采购网”中的“政府采购严重违法失信行为记录名单”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“深圳信用网”以及“深圳市政府采购监管网”为供应商信用信息的查询渠道，相关信息以开标当日的查询结果为准；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（2）供应商投标（上传投标文件）必须先行办理注册手续。</w:t>
      </w:r>
    </w:p>
    <w:p>
      <w:pPr>
        <w:snapToGrid w:val="0"/>
        <w:spacing w:line="300" w:lineRule="auto"/>
        <w:ind w:firstLine="480" w:firstLineChars="200"/>
        <w:rPr>
          <w:rFonts w:ascii="Arial" w:hAnsi="Arial" w:eastAsia="宋体" w:cs="Times New Roman"/>
          <w:sz w:val="24"/>
          <w:szCs w:val="24"/>
        </w:rPr>
      </w:pPr>
    </w:p>
    <w:p>
      <w:pPr>
        <w:spacing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w:t>
      </w:r>
      <w:r>
        <w:rPr>
          <w:rFonts w:hint="eastAsia"/>
          <w:b/>
          <w:color w:val="FF0000"/>
          <w:sz w:val="30"/>
          <w:szCs w:val="30"/>
        </w:rPr>
        <w:t>深圳公共资源交易网（https://www.szggzy.com/jygg/list.html?id=zfcg）</w:t>
      </w:r>
    </w:p>
    <w:p>
      <w:pPr>
        <w:spacing w:afterLines="25"/>
        <w:rPr>
          <w:rFonts w:ascii="Arial" w:hAnsi="Arial" w:eastAsia="宋体" w:cs="Times New Roman"/>
          <w:b/>
          <w:color w:val="FF0000"/>
          <w:sz w:val="30"/>
          <w:szCs w:val="30"/>
        </w:rPr>
      </w:pP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bookmarkStart w:id="3" w:name="_Toc73521635"/>
      <w:bookmarkStart w:id="4" w:name="_Toc100052364"/>
      <w:bookmarkStart w:id="5" w:name="_Toc73521547"/>
      <w:bookmarkStart w:id="6" w:name="_Toc101074876"/>
      <w:bookmarkStart w:id="7" w:name="_Toc73517639"/>
      <w:bookmarkStart w:id="8" w:name="_Toc73518117"/>
      <w:bookmarkStart w:id="9" w:name="_Toc60631620"/>
      <w:bookmarkStart w:id="10" w:name="_Toc60560625"/>
      <w:r>
        <w:rPr>
          <w:rFonts w:hint="eastAsia" w:ascii="宋体" w:hAnsi="宋体" w:eastAsia="宋体" w:cs="Times New Roman"/>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1755" w:type="dxa"/>
            <w:vAlign w:val="center"/>
          </w:tcPr>
          <w:p>
            <w:pPr>
              <w:jc w:val="center"/>
              <w:rPr>
                <w:rFonts w:ascii="宋体" w:hAnsi="宋体"/>
                <w:b/>
                <w:bCs/>
              </w:rPr>
            </w:pPr>
            <w:r>
              <w:rPr>
                <w:rFonts w:hint="eastAsia" w:ascii="宋体" w:hAnsi="宋体"/>
                <w:b/>
                <w:bCs/>
              </w:rPr>
              <w:t>涉及事项</w:t>
            </w:r>
          </w:p>
        </w:tc>
        <w:tc>
          <w:tcPr>
            <w:tcW w:w="6795"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ascii="宋体" w:hAnsi="宋体"/>
              </w:rPr>
            </w:pPr>
            <w:r>
              <w:rPr>
                <w:rFonts w:hint="eastAsia" w:ascii="宋体" w:hAnsi="宋体"/>
              </w:rPr>
              <w:t>深圳市宝安区松岗街道中心幼儿园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1755" w:type="dxa"/>
            <w:vAlign w:val="center"/>
          </w:tcPr>
          <w:p>
            <w:pPr>
              <w:jc w:val="center"/>
              <w:rPr>
                <w:rFonts w:ascii="宋体" w:hAnsi="宋体"/>
              </w:rPr>
            </w:pPr>
            <w:r>
              <w:rPr>
                <w:rFonts w:hint="eastAsia" w:ascii="宋体" w:hAnsi="宋体"/>
              </w:rPr>
              <w:t>政府集中采购机构</w:t>
            </w:r>
          </w:p>
        </w:tc>
        <w:tc>
          <w:tcPr>
            <w:tcW w:w="6795"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1755" w:type="dxa"/>
            <w:vAlign w:val="center"/>
          </w:tcPr>
          <w:p>
            <w:pPr>
              <w:jc w:val="center"/>
              <w:rPr>
                <w:rFonts w:ascii="宋体" w:hAnsi="宋体"/>
              </w:rPr>
            </w:pPr>
            <w:r>
              <w:rPr>
                <w:rFonts w:hint="eastAsia" w:ascii="宋体" w:hAnsi="宋体"/>
              </w:rPr>
              <w:t>联合体投标</w:t>
            </w:r>
          </w:p>
        </w:tc>
        <w:tc>
          <w:tcPr>
            <w:tcW w:w="6795" w:type="dxa"/>
            <w:vAlign w:val="center"/>
          </w:tcPr>
          <w:p>
            <w:pPr>
              <w:jc w:val="left"/>
              <w:rPr>
                <w:rFonts w:hint="default" w:ascii="宋体" w:hAnsi="宋体" w:eastAsiaTheme="minorEastAsia"/>
                <w:lang w:val="en-US" w:eastAsia="zh-CN"/>
              </w:rPr>
            </w:pPr>
            <w:r>
              <w:rPr>
                <w:rFonts w:hint="eastAsia" w:ascii="宋体" w:hAnsi="宋体"/>
                <w:lang w:val="en-US" w:eastAsia="zh-CN"/>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1755" w:type="dxa"/>
            <w:vAlign w:val="center"/>
          </w:tcPr>
          <w:p>
            <w:pPr>
              <w:jc w:val="center"/>
              <w:rPr>
                <w:rFonts w:ascii="宋体" w:hAnsi="宋体"/>
              </w:rPr>
            </w:pPr>
            <w:r>
              <w:rPr>
                <w:rFonts w:hint="eastAsia" w:ascii="宋体" w:hAnsi="宋体"/>
              </w:rPr>
              <w:t>踏勘现场</w:t>
            </w:r>
          </w:p>
        </w:tc>
        <w:tc>
          <w:tcPr>
            <w:tcW w:w="6795" w:type="dxa"/>
            <w:vAlign w:val="center"/>
          </w:tcPr>
          <w:p>
            <w:pPr>
              <w:snapToGrid w:val="0"/>
              <w:jc w:val="left"/>
              <w:rPr>
                <w:rFonts w:hint="eastAsia" w:ascii="宋体" w:hAnsi="宋体" w:eastAsiaTheme="minorEastAsia"/>
                <w:lang w:eastAsia="zh-CN"/>
              </w:rPr>
            </w:pPr>
            <w:r>
              <w:rPr>
                <w:rFonts w:hint="eastAsia" w:ascii="宋体" w:hAnsi="宋体" w:eastAsia="宋体" w:cs="Arial"/>
                <w:szCs w:val="21"/>
                <w:lang w:val="en-US" w:eastAsia="zh-CN"/>
              </w:rPr>
              <w:t>踏勘要求：除主要设备外，清单中各类设备安装及配套所需的配件与辅材数量为参考数据，招标完成后采购人不因固有工程量增加而承担任何费用，费用将以中标价结算，请投标人充分考虑风险性。建议投标人到采购人单位进行现场勘察，以明确施工场地情况并准确了解相关工程量等。有应标意向的投标人可自行踏勘或联系采购人（联系人：张老师  电话：15820793477），按采购人规定的集合时间和地点进行踏勘。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1755" w:type="dxa"/>
            <w:vAlign w:val="center"/>
          </w:tcPr>
          <w:p>
            <w:pPr>
              <w:jc w:val="center"/>
              <w:rPr>
                <w:rFonts w:ascii="宋体" w:hAnsi="宋体"/>
              </w:rPr>
            </w:pPr>
            <w:r>
              <w:rPr>
                <w:rFonts w:hint="eastAsia" w:ascii="宋体" w:hAnsi="宋体"/>
              </w:rPr>
              <w:t>标前会议</w:t>
            </w:r>
          </w:p>
        </w:tc>
        <w:tc>
          <w:tcPr>
            <w:tcW w:w="6795" w:type="dxa"/>
            <w:vAlign w:val="center"/>
          </w:tcPr>
          <w:p>
            <w:pPr>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ascii="宋体" w:hAnsi="宋体"/>
              </w:rPr>
            </w:pPr>
            <w:r>
              <w:rPr>
                <w:rFonts w:hint="eastAsia" w:ascii="宋体" w:hAnsi="宋体"/>
              </w:rPr>
              <w:t>招标文件的澄清和修改</w:t>
            </w:r>
          </w:p>
        </w:tc>
        <w:tc>
          <w:tcPr>
            <w:tcW w:w="6795" w:type="dxa"/>
            <w:vAlign w:val="center"/>
          </w:tcPr>
          <w:p>
            <w:pPr>
              <w:jc w:val="left"/>
              <w:rPr>
                <w:rFonts w:hint="eastAsia" w:ascii="宋体" w:hAnsi="宋体" w:eastAsiaTheme="minorEastAsia"/>
                <w:lang w:eastAsia="zh-CN"/>
              </w:rPr>
            </w:pPr>
            <w:r>
              <w:rPr>
                <w:rFonts w:hint="eastAsia" w:ascii="宋体" w:hAnsi="宋体"/>
              </w:rPr>
              <w:t>对招标文件澄清/修改时间不晚于投标截止日三日前，投标人有义务在招标期间在政府集中采购机构网站浏览与本项目有关的澄清和修改信息</w:t>
            </w:r>
            <w:r>
              <w:rPr>
                <w:rFonts w:hint="eastAsia" w:ascii="宋体" w:hAnsi="宋体"/>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1755" w:type="dxa"/>
            <w:vAlign w:val="center"/>
          </w:tcPr>
          <w:p>
            <w:pPr>
              <w:jc w:val="center"/>
              <w:rPr>
                <w:rFonts w:ascii="宋体" w:hAnsi="宋体"/>
              </w:rPr>
            </w:pPr>
            <w:r>
              <w:rPr>
                <w:rFonts w:hint="eastAsia" w:ascii="宋体" w:hAnsi="宋体"/>
              </w:rPr>
              <w:t>投标有效期</w:t>
            </w:r>
          </w:p>
        </w:tc>
        <w:tc>
          <w:tcPr>
            <w:tcW w:w="6795" w:type="dxa"/>
            <w:vAlign w:val="center"/>
          </w:tcPr>
          <w:p>
            <w:pPr>
              <w:jc w:val="left"/>
              <w:rPr>
                <w:rFonts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1755" w:type="dxa"/>
            <w:vAlign w:val="center"/>
          </w:tcPr>
          <w:p>
            <w:pPr>
              <w:jc w:val="center"/>
              <w:rPr>
                <w:rFonts w:ascii="宋体" w:hAnsi="宋体"/>
              </w:rPr>
            </w:pPr>
            <w:r>
              <w:rPr>
                <w:rFonts w:hint="eastAsia" w:ascii="宋体" w:hAnsi="宋体"/>
              </w:rPr>
              <w:t>投标人的替代方案</w:t>
            </w:r>
          </w:p>
        </w:tc>
        <w:tc>
          <w:tcPr>
            <w:tcW w:w="6795" w:type="dxa"/>
            <w:vAlign w:val="center"/>
          </w:tcPr>
          <w:p>
            <w:pPr>
              <w:jc w:val="left"/>
              <w:rPr>
                <w:rFonts w:ascii="宋体" w:hAnsi="宋体"/>
              </w:rPr>
            </w:pPr>
            <w:r>
              <w:rPr>
                <w:rFonts w:hint="eastAsia" w:ascii="宋体" w:hAnsi="宋体"/>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1755" w:type="dxa"/>
            <w:vAlign w:val="center"/>
          </w:tcPr>
          <w:p>
            <w:pPr>
              <w:jc w:val="center"/>
              <w:rPr>
                <w:rFonts w:ascii="宋体" w:hAnsi="宋体"/>
              </w:rPr>
            </w:pPr>
            <w:r>
              <w:rPr>
                <w:rFonts w:hint="eastAsia" w:ascii="宋体" w:hAnsi="宋体"/>
              </w:rPr>
              <w:t>投标文件的大小</w:t>
            </w:r>
          </w:p>
        </w:tc>
        <w:tc>
          <w:tcPr>
            <w:tcW w:w="6795" w:type="dxa"/>
            <w:vAlign w:val="center"/>
          </w:tcPr>
          <w:p>
            <w:pPr>
              <w:jc w:val="left"/>
              <w:rPr>
                <w:rFonts w:ascii="宋体" w:hAnsi="宋体"/>
              </w:rPr>
            </w:pPr>
            <w:r>
              <w:rPr>
                <w:rFonts w:hint="eastAsia" w:ascii="宋体" w:hAnsi="宋体" w:eastAsia="宋体" w:cs="Arial"/>
                <w:szCs w:val="21"/>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1755" w:type="dxa"/>
            <w:vAlign w:val="center"/>
          </w:tcPr>
          <w:p>
            <w:pPr>
              <w:jc w:val="center"/>
              <w:rPr>
                <w:rFonts w:ascii="宋体" w:hAnsi="宋体"/>
                <w:highlight w:val="none"/>
              </w:rPr>
            </w:pPr>
            <w:bookmarkStart w:id="11" w:name="_Hlk71664860"/>
            <w:r>
              <w:rPr>
                <w:rFonts w:hint="eastAsia" w:ascii="宋体" w:hAnsi="宋体"/>
                <w:highlight w:val="none"/>
              </w:rPr>
              <w:t>样品、现场演示、方案讲解</w:t>
            </w:r>
            <w:bookmarkEnd w:id="11"/>
          </w:p>
        </w:tc>
        <w:tc>
          <w:tcPr>
            <w:tcW w:w="6795" w:type="dxa"/>
            <w:vAlign w:val="center"/>
          </w:tcPr>
          <w:p>
            <w:pPr>
              <w:jc w:val="left"/>
              <w:rPr>
                <w:rFonts w:ascii="宋体" w:hAnsi="宋体"/>
                <w:highlight w:val="none"/>
              </w:rPr>
            </w:pPr>
            <w:r>
              <w:rPr>
                <w:rFonts w:hint="eastAsia" w:ascii="宋体" w:hAnsi="宋体"/>
                <w:highlight w:val="none"/>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1755" w:type="dxa"/>
            <w:vAlign w:val="center"/>
          </w:tcPr>
          <w:p>
            <w:pPr>
              <w:jc w:val="center"/>
              <w:rPr>
                <w:rFonts w:ascii="宋体" w:hAnsi="宋体"/>
                <w:highlight w:val="none"/>
              </w:rPr>
            </w:pPr>
            <w:r>
              <w:rPr>
                <w:rFonts w:hint="eastAsia" w:ascii="宋体" w:hAnsi="宋体"/>
                <w:highlight w:val="none"/>
              </w:rPr>
              <w:t>评审方法</w:t>
            </w:r>
          </w:p>
        </w:tc>
        <w:tc>
          <w:tcPr>
            <w:tcW w:w="6795" w:type="dxa"/>
            <w:vAlign w:val="center"/>
          </w:tcPr>
          <w:p>
            <w:pPr>
              <w:jc w:val="left"/>
              <w:rPr>
                <w:rFonts w:ascii="宋体" w:hAnsi="宋体"/>
                <w:highlight w:val="none"/>
              </w:rPr>
            </w:pPr>
            <w:r>
              <w:rPr>
                <w:rFonts w:ascii="宋体" w:hAnsi="宋体"/>
                <w:b/>
                <w:bCs/>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1755" w:type="dxa"/>
            <w:vAlign w:val="center"/>
          </w:tcPr>
          <w:p>
            <w:pPr>
              <w:jc w:val="center"/>
              <w:rPr>
                <w:rFonts w:ascii="宋体" w:hAnsi="宋体"/>
                <w:highlight w:val="none"/>
              </w:rPr>
            </w:pPr>
            <w:r>
              <w:rPr>
                <w:rFonts w:hint="eastAsia" w:ascii="宋体" w:hAnsi="宋体"/>
                <w:highlight w:val="none"/>
              </w:rPr>
              <w:t>定标方法</w:t>
            </w:r>
          </w:p>
        </w:tc>
        <w:tc>
          <w:tcPr>
            <w:tcW w:w="6795" w:type="dxa"/>
            <w:vAlign w:val="center"/>
          </w:tcPr>
          <w:p>
            <w:pPr>
              <w:jc w:val="left"/>
              <w:rPr>
                <w:rFonts w:hint="eastAsia" w:ascii="宋体" w:hAnsi="宋体"/>
                <w:b/>
                <w:bCs/>
                <w:highlight w:val="none"/>
              </w:rPr>
            </w:pPr>
            <w:r>
              <w:rPr>
                <w:rFonts w:hint="eastAsia" w:ascii="宋体" w:hAnsi="宋体" w:eastAsia="宋体" w:cs="Times New Roman"/>
                <w:b/>
                <w:bCs/>
                <w:szCs w:val="21"/>
                <w:highlight w:val="none"/>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1755" w:type="dxa"/>
            <w:vAlign w:val="center"/>
          </w:tcPr>
          <w:p>
            <w:pPr>
              <w:jc w:val="center"/>
              <w:rPr>
                <w:rFonts w:ascii="宋体" w:hAnsi="宋体"/>
                <w:highlight w:val="none"/>
              </w:rPr>
            </w:pPr>
            <w:r>
              <w:rPr>
                <w:rFonts w:hint="eastAsia" w:ascii="宋体" w:hAnsi="宋体"/>
                <w:highlight w:val="none"/>
              </w:rPr>
              <w:t>履约担保</w:t>
            </w:r>
          </w:p>
        </w:tc>
        <w:tc>
          <w:tcPr>
            <w:tcW w:w="6795" w:type="dxa"/>
            <w:vAlign w:val="center"/>
          </w:tcPr>
          <w:p>
            <w:pPr>
              <w:jc w:val="left"/>
              <w:rPr>
                <w:rFonts w:ascii="宋体" w:hAnsi="宋体"/>
                <w:highlight w:val="none"/>
              </w:rPr>
            </w:pPr>
            <w:r>
              <w:rPr>
                <w:rFonts w:hint="eastAsia" w:ascii="宋体" w:hAnsi="宋体"/>
                <w:highlight w:val="none"/>
              </w:rPr>
              <w:t>不</w:t>
            </w:r>
            <w:r>
              <w:rPr>
                <w:rFonts w:hint="eastAsia" w:ascii="宋体" w:hAnsi="宋体"/>
                <w:highlight w:val="none"/>
                <w:lang w:val="en-US" w:eastAsia="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lang w:val="en-US" w:eastAsia="zh-CN"/>
              </w:rPr>
              <w:t>52.8</w:t>
            </w:r>
          </w:p>
        </w:tc>
        <w:tc>
          <w:tcPr>
            <w:tcW w:w="1755" w:type="dxa"/>
            <w:vAlign w:val="center"/>
          </w:tcPr>
          <w:p>
            <w:pPr>
              <w:jc w:val="center"/>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lang w:val="en-US" w:eastAsia="zh-CN"/>
              </w:rPr>
              <w:t>投诉</w:t>
            </w:r>
          </w:p>
        </w:tc>
        <w:tc>
          <w:tcPr>
            <w:tcW w:w="6795" w:type="dxa"/>
            <w:vAlign w:val="center"/>
          </w:tcPr>
          <w:p>
            <w:pPr>
              <w:jc w:val="left"/>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pPr>
        <w:widowControl/>
        <w:jc w:val="center"/>
        <w:rPr>
          <w:szCs w:val="21"/>
          <w:highlight w:val="none"/>
        </w:rPr>
      </w:pPr>
      <w:r>
        <w:rPr>
          <w:rFonts w:hint="eastAsia"/>
          <w:szCs w:val="21"/>
          <w:highlight w:val="none"/>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highlight w:val="none"/>
        </w:rPr>
      </w:pPr>
      <w:r>
        <w:rPr>
          <w:rFonts w:hint="eastAsia" w:ascii="宋体" w:hAnsi="宋体" w:eastAsia="宋体" w:cs="Times New Roman"/>
          <w:b/>
          <w:bCs/>
          <w:kern w:val="0"/>
          <w:sz w:val="24"/>
          <w:szCs w:val="24"/>
          <w:highlight w:val="none"/>
        </w:rPr>
        <w:t>二、其他关键信息</w:t>
      </w:r>
    </w:p>
    <w:p>
      <w:pPr>
        <w:tabs>
          <w:tab w:val="left" w:pos="720"/>
        </w:tabs>
        <w:rPr>
          <w:rFonts w:ascii="黑体" w:hAnsi="宋体" w:eastAsia="黑体"/>
          <w:sz w:val="24"/>
          <w:highlight w:val="none"/>
        </w:rPr>
      </w:pPr>
      <w:r>
        <w:rPr>
          <w:rFonts w:hint="eastAsia" w:ascii="黑体" w:hAnsi="宋体" w:eastAsia="黑体"/>
          <w:sz w:val="24"/>
          <w:highlight w:val="none"/>
        </w:rPr>
        <w:t>（一）</w:t>
      </w:r>
      <w:r>
        <w:rPr>
          <w:rFonts w:hint="eastAsia" w:ascii="黑体" w:hAnsi="宋体" w:eastAsia="黑体"/>
          <w:bCs/>
          <w:sz w:val="24"/>
          <w:highlight w:val="none"/>
        </w:rPr>
        <w:t>与“对通用条款的补充内容”章节相关的事项</w:t>
      </w:r>
    </w:p>
    <w:p>
      <w:pPr>
        <w:tabs>
          <w:tab w:val="left" w:pos="720"/>
        </w:tabs>
        <w:rPr>
          <w:rFonts w:hint="eastAsia" w:ascii="黑体" w:hAnsi="宋体" w:eastAsia="黑体"/>
          <w:bCs/>
          <w:sz w:val="24"/>
          <w:highlight w:val="none"/>
          <w:lang w:val="en-US" w:eastAsia="zh-CN"/>
        </w:rPr>
      </w:pPr>
      <w:r>
        <w:rPr>
          <w:rFonts w:hint="eastAsia" w:ascii="黑体" w:hAnsi="宋体" w:eastAsia="黑体"/>
          <w:bCs/>
          <w:sz w:val="24"/>
          <w:highlight w:val="none"/>
          <w:lang w:val="en-US" w:eastAsia="zh-CN"/>
        </w:rPr>
        <w:t>1、评标定标信息</w:t>
      </w:r>
    </w:p>
    <w:p>
      <w:pPr>
        <w:tabs>
          <w:tab w:val="left" w:pos="720"/>
        </w:tabs>
        <w:jc w:val="center"/>
        <w:rPr>
          <w:rFonts w:hint="default" w:eastAsiaTheme="minorEastAsia"/>
          <w:highlight w:val="none"/>
          <w:lang w:val="en-US" w:eastAsia="zh-CN"/>
        </w:rPr>
      </w:pPr>
      <w:r>
        <w:rPr>
          <w:rFonts w:hint="eastAsia"/>
          <w:highlight w:val="none"/>
          <w:lang w:val="en-US" w:eastAsia="zh-CN"/>
        </w:rPr>
        <w:t>非评定分离项目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4" w:type="dxa"/>
          </w:tcPr>
          <w:p>
            <w:pPr>
              <w:jc w:val="center"/>
              <w:rPr>
                <w:highlight w:val="none"/>
              </w:rPr>
            </w:pPr>
            <w:bookmarkStart w:id="12" w:name="_Hlk74239733"/>
            <w:r>
              <w:rPr>
                <w:rFonts w:hint="eastAsia"/>
                <w:highlight w:val="none"/>
              </w:rPr>
              <w:t>评标方法</w:t>
            </w:r>
          </w:p>
        </w:tc>
        <w:tc>
          <w:tcPr>
            <w:tcW w:w="4265" w:type="dxa"/>
          </w:tcPr>
          <w:p>
            <w:pPr>
              <w:jc w:val="center"/>
              <w:rPr>
                <w:highlight w:val="none"/>
              </w:rPr>
            </w:pPr>
            <w:r>
              <w:rPr>
                <w:rFonts w:hint="eastAsia"/>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rPr>
                <w:highlight w:val="none"/>
              </w:rPr>
            </w:pPr>
            <w:r>
              <w:rPr>
                <w:rFonts w:hint="eastAsia"/>
                <w:highlight w:val="none"/>
              </w:rPr>
              <w:t>候选中标供应商家数</w:t>
            </w:r>
          </w:p>
        </w:tc>
        <w:tc>
          <w:tcPr>
            <w:tcW w:w="4265" w:type="dxa"/>
          </w:tcPr>
          <w:p>
            <w:pPr>
              <w:jc w:val="center"/>
              <w:rPr>
                <w:rFonts w:hint="eastAsia" w:eastAsiaTheme="minorEastAsia"/>
                <w:highlight w:val="none"/>
                <w:lang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rPr>
                <w:highlight w:val="none"/>
              </w:rPr>
            </w:pPr>
            <w:r>
              <w:rPr>
                <w:rFonts w:hint="eastAsia"/>
                <w:highlight w:val="none"/>
              </w:rPr>
              <w:t>中标供应商家数</w:t>
            </w:r>
          </w:p>
        </w:tc>
        <w:tc>
          <w:tcPr>
            <w:tcW w:w="4265" w:type="dxa"/>
          </w:tcPr>
          <w:p>
            <w:pPr>
              <w:jc w:val="center"/>
              <w:rPr>
                <w:highlight w:val="none"/>
              </w:rPr>
            </w:pPr>
            <w:r>
              <w:rPr>
                <w:rFonts w:hint="eastAsia"/>
                <w:highlight w:val="none"/>
              </w:rPr>
              <w:t>1</w:t>
            </w:r>
          </w:p>
        </w:tc>
      </w:tr>
      <w:bookmarkEnd w:id="12"/>
    </w:tbl>
    <w:p>
      <w:pPr>
        <w:tabs>
          <w:tab w:val="left" w:pos="720"/>
        </w:tabs>
        <w:rPr>
          <w:rFonts w:hint="eastAsia" w:ascii="黑体" w:hAnsi="宋体" w:eastAsia="黑体"/>
          <w:bCs/>
          <w:sz w:val="24"/>
          <w:lang w:val="en-US" w:eastAsia="zh-CN"/>
        </w:rPr>
      </w:pPr>
    </w:p>
    <w:p>
      <w:pPr>
        <w:tabs>
          <w:tab w:val="left" w:pos="720"/>
        </w:tabs>
        <w:rPr>
          <w:rFonts w:ascii="黑体" w:hAnsi="宋体" w:eastAsia="黑体"/>
          <w:bCs/>
          <w:sz w:val="24"/>
        </w:rPr>
      </w:pPr>
      <w:r>
        <w:rPr>
          <w:rFonts w:hint="eastAsia" w:ascii="黑体" w:hAnsi="宋体" w:eastAsia="黑体"/>
          <w:bCs/>
          <w:sz w:val="24"/>
          <w:lang w:val="en-US" w:eastAsia="zh-CN"/>
        </w:rPr>
        <w:t>2</w:t>
      </w:r>
      <w:r>
        <w:rPr>
          <w:rFonts w:hint="eastAsia" w:ascii="黑体" w:hAnsi="宋体" w:eastAsia="黑体"/>
          <w:bCs/>
          <w:sz w:val="24"/>
        </w:rPr>
        <w:t>、关于包组的定义</w:t>
      </w:r>
    </w:p>
    <w:p>
      <w:pPr>
        <w:tabs>
          <w:tab w:val="left" w:pos="720"/>
        </w:tabs>
        <w:ind w:firstLine="420" w:firstLineChars="200"/>
        <w:rPr>
          <w:rFonts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rPr>
      </w:pPr>
      <w:r>
        <w:rPr>
          <w:rFonts w:hint="eastAsia" w:ascii="黑体" w:hAnsi="宋体" w:eastAsia="黑体"/>
          <w:sz w:val="24"/>
          <w:lang w:val="en-US" w:eastAsia="zh-CN"/>
        </w:rPr>
        <w:t>3</w:t>
      </w:r>
      <w:r>
        <w:rPr>
          <w:rFonts w:hint="eastAsia" w:ascii="黑体" w:hAnsi="宋体" w:eastAsia="黑体"/>
          <w:sz w:val="24"/>
        </w:rPr>
        <w:t>、关于涉及采取随机抽取方式确定中标候选人（候选中标供应商）的规则</w:t>
      </w:r>
    </w:p>
    <w:p>
      <w:pPr>
        <w:tabs>
          <w:tab w:val="left" w:pos="720"/>
        </w:tabs>
        <w:ind w:firstLine="420" w:firstLineChars="200"/>
        <w:rPr>
          <w:rFonts w:ascii="宋体" w:hAnsi="宋体"/>
        </w:rPr>
      </w:pPr>
      <w:r>
        <w:rPr>
          <w:rFonts w:hint="eastAsia" w:ascii="宋体" w:hAnsi="宋体"/>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rPr>
        <w:t>、小</w:t>
      </w:r>
      <w:r>
        <w:rPr>
          <w:rFonts w:hint="eastAsia" w:ascii="宋体" w:hAnsi="宋体"/>
        </w:rPr>
        <w:t>且同号的情况，则对同号的投标人重新摇签确定中签。抽签过程中遇抽签机器卡球的，被卡球方当轮重新抽签。</w:t>
      </w:r>
    </w:p>
    <w:p>
      <w:pPr>
        <w:ind w:firstLine="470" w:firstLineChars="196"/>
        <w:rPr>
          <w:rFonts w:ascii="宋体" w:hAnsi="宋体"/>
          <w:szCs w:val="21"/>
        </w:rPr>
      </w:pPr>
      <w:r>
        <w:rPr>
          <w:rFonts w:hint="eastAsia" w:ascii="黑体" w:hAnsi="宋体" w:eastAsia="黑体"/>
          <w:sz w:val="24"/>
        </w:rPr>
        <w:t>备注：</w:t>
      </w:r>
      <w:r>
        <w:rPr>
          <w:rFonts w:hint="eastAsia" w:ascii="宋体" w:hAnsi="宋体"/>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宋体" w:hAnsi="宋体"/>
          <w:szCs w:val="21"/>
        </w:rPr>
      </w:pPr>
      <w:r>
        <w:rPr>
          <w:rFonts w:hint="eastAsia" w:ascii="宋体" w:hAnsi="宋体"/>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hAnsi="宋体" w:eastAsia="黑体"/>
          <w:sz w:val="24"/>
        </w:rPr>
      </w:pP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1、关于专门面向中小企业采购的说明：</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本项目为专门面向中小企业采购的项目，不</w:t>
      </w:r>
      <w:r>
        <w:rPr>
          <w:rFonts w:hint="eastAsia" w:asciiTheme="minorEastAsia" w:hAnsiTheme="minorEastAsia" w:cstheme="minorEastAsia"/>
          <w:sz w:val="21"/>
          <w:szCs w:val="21"/>
          <w:highlight w:val="none"/>
          <w:lang w:val="en-US" w:eastAsia="zh-CN"/>
        </w:rPr>
        <w:t>再</w:t>
      </w:r>
      <w:r>
        <w:rPr>
          <w:rFonts w:hint="eastAsia" w:asciiTheme="minorEastAsia" w:hAnsiTheme="minorEastAsia" w:eastAsiaTheme="minorEastAsia" w:cstheme="minorEastAsia"/>
          <w:sz w:val="21"/>
          <w:szCs w:val="21"/>
          <w:highlight w:val="none"/>
        </w:rPr>
        <w:t>执行价格评审优惠的扶持政策。参与本项目的</w:t>
      </w:r>
      <w:r>
        <w:rPr>
          <w:rFonts w:hint="eastAsia" w:ascii="宋体" w:hAnsi="宋体"/>
          <w:sz w:val="21"/>
          <w:szCs w:val="21"/>
        </w:rPr>
        <w:t>投标人提供的货物（以招标文件用户需求书“货物</w:t>
      </w:r>
      <w:r>
        <w:rPr>
          <w:rFonts w:hint="eastAsia" w:ascii="宋体" w:hAnsi="宋体"/>
          <w:sz w:val="21"/>
          <w:szCs w:val="21"/>
          <w:lang w:val="en-US" w:eastAsia="zh-CN"/>
        </w:rPr>
        <w:t>需求</w:t>
      </w:r>
      <w:r>
        <w:rPr>
          <w:rFonts w:hint="eastAsia" w:ascii="宋体" w:hAnsi="宋体"/>
          <w:sz w:val="21"/>
          <w:szCs w:val="21"/>
        </w:rPr>
        <w:t>明细”的“货物名称”一栏为准）</w:t>
      </w:r>
      <w:r>
        <w:rPr>
          <w:rFonts w:hint="eastAsia" w:ascii="宋体" w:hAnsi="宋体"/>
          <w:sz w:val="21"/>
          <w:szCs w:val="21"/>
          <w:lang w:val="en-US" w:eastAsia="zh-CN"/>
        </w:rPr>
        <w:t>应当</w:t>
      </w:r>
      <w:r>
        <w:rPr>
          <w:rFonts w:hint="eastAsia" w:ascii="宋体" w:hAnsi="宋体"/>
          <w:sz w:val="21"/>
          <w:szCs w:val="21"/>
        </w:rPr>
        <w:t>全部由</w:t>
      </w:r>
      <w:r>
        <w:rPr>
          <w:rFonts w:hint="eastAsia" w:asciiTheme="minorEastAsia" w:hAnsiTheme="minorEastAsia" w:eastAsiaTheme="minorEastAsia" w:cstheme="minorEastAsia"/>
          <w:sz w:val="21"/>
          <w:szCs w:val="21"/>
          <w:highlight w:val="none"/>
        </w:rPr>
        <w:t>中小企业</w:t>
      </w:r>
      <w:r>
        <w:rPr>
          <w:rFonts w:hint="eastAsia" w:ascii="宋体" w:hAnsi="宋体"/>
          <w:sz w:val="21"/>
          <w:szCs w:val="21"/>
        </w:rPr>
        <w:t>制造</w:t>
      </w:r>
      <w:r>
        <w:rPr>
          <w:rFonts w:hint="eastAsia" w:asciiTheme="minorEastAsia" w:hAnsiTheme="minorEastAsia" w:eastAsiaTheme="minorEastAsia" w:cstheme="minorEastAsia"/>
          <w:sz w:val="21"/>
          <w:szCs w:val="21"/>
          <w:highlight w:val="none"/>
        </w:rPr>
        <w:t>，否则将导致投标无效。</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sz w:val="21"/>
          <w:szCs w:val="21"/>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（2）根据《工业和信息化部、国家统计局、国家发展和改革委员会、财政部关于印发中小企业划型标准规定的通知》（工信部联企业〔2011〕300 号）</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《统计上大中小微型企业划分办法（2017）》（国统字〔2017〕213 号）</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《金融业企业划型标准规定》</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银发〔2015〕309号</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或国务院批准的其他中小企业划分标准文件，本项目采购标的（货物）对应的中小企业划分标准所属行业为</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cstheme="minorEastAsia"/>
          <w:b/>
          <w:bCs/>
          <w:color w:val="FF0000"/>
          <w:sz w:val="21"/>
          <w:szCs w:val="21"/>
          <w:highlight w:val="yellow"/>
          <w:u w:val="single"/>
          <w:lang w:val="en-US" w:eastAsia="zh-CN"/>
        </w:rPr>
        <w:t>工业</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sz w:val="21"/>
          <w:szCs w:val="21"/>
          <w:highlight w:val="none"/>
        </w:rPr>
        <w:t>。</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cstheme="minorEastAsia"/>
          <w:sz w:val="21"/>
          <w:szCs w:val="21"/>
          <w:highlight w:val="none"/>
          <w:lang w:val="en-US" w:eastAsia="zh-CN"/>
        </w:rPr>
        <w:t>中型企业、</w:t>
      </w:r>
      <w:r>
        <w:rPr>
          <w:rFonts w:hint="eastAsia" w:asciiTheme="minorEastAsia" w:hAnsiTheme="minorEastAsia" w:eastAsiaTheme="minorEastAsia" w:cstheme="minorEastAsia"/>
          <w:sz w:val="21"/>
          <w:szCs w:val="21"/>
          <w:highlight w:val="none"/>
        </w:rPr>
        <w:t>小型企业、微型企业、残疾人福利性单位的认定资料为《中小企业声明函》、《残疾人福利性单位声明函》；监狱企业的认定资料为省级以上监狱管理局、戒毒管理局出具的监狱企业证明文件。</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（4）享受</w:t>
      </w:r>
      <w:r>
        <w:rPr>
          <w:rFonts w:hint="eastAsia" w:asciiTheme="minorEastAsia" w:hAnsiTheme="minorEastAsia" w:cstheme="minorEastAsia"/>
          <w:sz w:val="21"/>
          <w:szCs w:val="21"/>
          <w:lang w:val="en-US" w:eastAsia="zh-CN"/>
        </w:rPr>
        <w:t>优惠政策</w:t>
      </w:r>
      <w:r>
        <w:rPr>
          <w:rFonts w:hint="eastAsia" w:asciiTheme="minorEastAsia" w:hAnsiTheme="minorEastAsia" w:eastAsiaTheme="minorEastAsia" w:cstheme="minorEastAsia"/>
          <w:sz w:val="21"/>
          <w:szCs w:val="21"/>
        </w:rPr>
        <w:t>获得政府采购合同的，小微企业不得将合同分包给大中型企业</w:t>
      </w:r>
      <w:r>
        <w:rPr>
          <w:rFonts w:hint="eastAsia" w:asciiTheme="minorEastAsia" w:hAnsiTheme="minorEastAsia" w:cstheme="minorEastAsia"/>
          <w:sz w:val="21"/>
          <w:szCs w:val="21"/>
          <w:lang w:eastAsia="zh-CN"/>
        </w:rPr>
        <w:t>，中型企业不得将合同分包给大型企业</w:t>
      </w:r>
      <w:r>
        <w:rPr>
          <w:rFonts w:hint="eastAsia" w:asciiTheme="minorEastAsia" w:hAnsiTheme="minorEastAsia" w:eastAsiaTheme="minorEastAsia" w:cstheme="minorEastAsia"/>
          <w:sz w:val="21"/>
          <w:szCs w:val="21"/>
        </w:rPr>
        <w:t>。</w:t>
      </w:r>
    </w:p>
    <w:p>
      <w:pPr>
        <w:tabs>
          <w:tab w:val="left" w:pos="720"/>
        </w:tabs>
        <w:ind w:firstLine="420" w:firstLineChars="200"/>
        <w:rPr>
          <w:rFonts w:hint="eastAsia" w:asciiTheme="minorEastAsia" w:hAnsiTheme="minorEastAsia" w:eastAsiaTheme="minorEastAsia" w:cstheme="minorEastAsia"/>
          <w:sz w:val="21"/>
          <w:szCs w:val="21"/>
          <w:highlight w:val="none"/>
        </w:rPr>
      </w:pPr>
    </w:p>
    <w:p>
      <w:pPr>
        <w:tabs>
          <w:tab w:val="left" w:pos="720"/>
        </w:tabs>
        <w:ind w:firstLine="480" w:firstLineChars="200"/>
        <w:rPr>
          <w:rFonts w:ascii="黑体" w:hAnsi="宋体" w:eastAsia="黑体"/>
          <w:sz w:val="24"/>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ind w:firstLine="420" w:firstLineChars="200"/>
        <w:rPr>
          <w:rFonts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ascii="黑体" w:hAnsi="宋体" w:eastAsia="黑体"/>
          <w:sz w:val="24"/>
        </w:rPr>
      </w:pPr>
    </w:p>
    <w:p>
      <w:pPr>
        <w:tabs>
          <w:tab w:val="left" w:pos="720"/>
        </w:tabs>
        <w:rPr>
          <w:rFonts w:hint="eastAsia" w:ascii="宋体" w:hAnsi="宋体"/>
          <w:b/>
          <w:bCs/>
          <w:color w:val="FF0000"/>
          <w:lang w:eastAsia="zh-CN"/>
        </w:rPr>
      </w:pPr>
      <w:r>
        <w:rPr>
          <w:rFonts w:hint="eastAsia" w:ascii="宋体" w:hAnsi="宋体"/>
          <w:b/>
          <w:bCs/>
          <w:color w:val="FF0000"/>
        </w:rPr>
        <w:t>3、</w:t>
      </w:r>
      <w:r>
        <w:rPr>
          <w:rFonts w:ascii="宋体" w:hAnsi="宋体"/>
          <w:b/>
          <w:bCs/>
          <w:color w:val="FF0000"/>
        </w:rPr>
        <w:t>本项目为代理服务项目，将向中标供应商收取代理服务费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中标供应商在领取《中标通知书》之前须向深圳公共资源交易中心（深圳交易集团有限公司</w:t>
      </w:r>
      <w:r>
        <w:rPr>
          <w:rFonts w:hint="eastAsia" w:ascii="宋体" w:hAnsi="宋体"/>
          <w:color w:val="FF0000"/>
          <w:szCs w:val="21"/>
          <w:lang w:val="en-US" w:eastAsia="zh-CN"/>
        </w:rPr>
        <w:t>宝安</w:t>
      </w:r>
      <w:r>
        <w:rPr>
          <w:rFonts w:hint="eastAsia" w:ascii="宋体" w:hAnsi="宋体"/>
          <w:color w:val="FF0000"/>
          <w:szCs w:val="21"/>
        </w:rPr>
        <w:t>分公司）交纳代理服务费。若因中标供应商交纳代理服务费所产生的时间影响到合同签订的，由中标供应商自行承担责任。代理服务费标准参照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rPr>
        <w:t>货物采购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（一）代理服务费以《中标通知书》确定的成交金额作为计算基数，按差额定率累进法计算。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（二）中标金额的各部分费率如下表：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成交金额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2.对于报总价的采购类项目，成交价为成交金额；对于报单价或折扣或费率的采购类项目，成交价为预算上限金额或经委托方与代理方确定的支付上限金额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hint="eastAsia" w:ascii="宋体" w:hAnsi="宋体"/>
          <w:color w:val="FF0000"/>
          <w:szCs w:val="21"/>
        </w:rPr>
      </w:pPr>
      <w:r>
        <w:rPr>
          <w:rFonts w:hint="eastAsia" w:ascii="宋体" w:hAnsi="宋体"/>
          <w:color w:val="FF0000"/>
          <w:szCs w:val="21"/>
        </w:rPr>
        <w:t>（三）中标供应商成交后，必须按规定采用银行对公转账方式向深圳交易集团有限公司直接交纳代理服务费，交纳信息及要求按以下规定执行：</w:t>
      </w:r>
    </w:p>
    <w:p>
      <w:pPr>
        <w:widowControl/>
        <w:ind w:firstLine="420"/>
        <w:jc w:val="left"/>
        <w:rPr>
          <w:rFonts w:ascii="宋体" w:hAnsi="宋体"/>
          <w:color w:val="FF0000"/>
          <w:szCs w:val="21"/>
        </w:rPr>
      </w:pPr>
      <w:r>
        <w:rPr>
          <w:rFonts w:hint="eastAsia" w:ascii="宋体" w:hAnsi="宋体"/>
          <w:color w:val="FF0000"/>
          <w:szCs w:val="21"/>
        </w:rPr>
        <w:t>经营性账户信息如下：</w:t>
      </w:r>
    </w:p>
    <w:p>
      <w:pPr>
        <w:widowControl/>
        <w:ind w:firstLine="420"/>
        <w:jc w:val="left"/>
        <w:rPr>
          <w:rFonts w:ascii="宋体" w:hAnsi="宋体"/>
          <w:color w:val="FF0000"/>
          <w:szCs w:val="21"/>
        </w:rPr>
      </w:pPr>
      <w:r>
        <w:rPr>
          <w:rFonts w:hint="eastAsia" w:ascii="宋体" w:hAnsi="宋体"/>
          <w:color w:val="FF0000"/>
          <w:szCs w:val="21"/>
        </w:rPr>
        <w:t>账户名：深圳交易集团有限公司</w:t>
      </w:r>
    </w:p>
    <w:p>
      <w:pPr>
        <w:widowControl/>
        <w:ind w:firstLine="420"/>
        <w:jc w:val="left"/>
        <w:rPr>
          <w:rFonts w:ascii="宋体" w:hAnsi="宋体"/>
          <w:color w:val="FF0000"/>
          <w:szCs w:val="21"/>
        </w:rPr>
      </w:pPr>
      <w:r>
        <w:rPr>
          <w:rFonts w:hint="eastAsia" w:ascii="宋体" w:hAnsi="宋体"/>
          <w:color w:val="FF0000"/>
          <w:szCs w:val="21"/>
        </w:rPr>
        <w:t>账号：632765963</w:t>
      </w:r>
    </w:p>
    <w:p>
      <w:pPr>
        <w:widowControl/>
        <w:ind w:firstLine="420"/>
        <w:jc w:val="left"/>
        <w:rPr>
          <w:rFonts w:ascii="宋体" w:hAnsi="宋体"/>
          <w:color w:val="FF0000"/>
          <w:szCs w:val="21"/>
        </w:rPr>
      </w:pPr>
      <w:r>
        <w:rPr>
          <w:rFonts w:hint="eastAsia" w:ascii="宋体" w:hAnsi="宋体"/>
          <w:color w:val="FF0000"/>
          <w:szCs w:val="21"/>
        </w:rPr>
        <w:t>开户行：中国民生银行深圳五洲支行</w:t>
      </w:r>
    </w:p>
    <w:p>
      <w:pPr>
        <w:widowControl/>
        <w:ind w:firstLine="420"/>
        <w:jc w:val="left"/>
        <w:rPr>
          <w:rFonts w:ascii="宋体" w:hAnsi="宋体"/>
          <w:color w:val="FF0000"/>
          <w:szCs w:val="21"/>
        </w:rPr>
      </w:pPr>
      <w:r>
        <w:rPr>
          <w:rFonts w:hint="eastAsia" w:ascii="宋体" w:hAnsi="宋体"/>
          <w:color w:val="FF0000"/>
          <w:szCs w:val="21"/>
        </w:rPr>
        <w:t>转账备注：项目编号+项目名称</w:t>
      </w:r>
    </w:p>
    <w:p>
      <w:pPr>
        <w:widowControl/>
        <w:ind w:firstLine="420"/>
        <w:jc w:val="left"/>
        <w:rPr>
          <w:rFonts w:ascii="宋体" w:hAnsi="宋体" w:eastAsia="黑体" w:cs="Times New Roman"/>
          <w:bCs/>
          <w:kern w:val="44"/>
          <w:szCs w:val="21"/>
        </w:rPr>
      </w:pPr>
    </w:p>
    <w:p>
      <w:pPr>
        <w:widowControl/>
        <w:jc w:val="left"/>
        <w:rPr>
          <w:rFonts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lang w:val="en-US" w:eastAsia="zh-CN"/>
              </w:rPr>
              <w:t>申报</w:t>
            </w:r>
            <w:r>
              <w:rPr>
                <w:rFonts w:hint="eastAsia"/>
                <w:b w:val="0"/>
                <w:bCs w:val="0"/>
              </w:rPr>
              <w:t>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asciiTheme="minorEastAsia" w:hAnsiTheme="minorEastAsia"/>
                <w:b w:val="0"/>
                <w:bCs w:val="0"/>
                <w:sz w:val="24"/>
                <w:szCs w:val="24"/>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JYCG-DECL-2024-0616</w:t>
            </w:r>
          </w:p>
        </w:tc>
        <w:tc>
          <w:tcPr>
            <w:tcW w:w="2906" w:type="dxa"/>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b w:val="0"/>
                <w:bCs w:val="0"/>
                <w:sz w:val="24"/>
                <w:szCs w:val="24"/>
                <w:highlight w:val="none"/>
                <w:lang w:eastAsia="zh-CN"/>
              </w:rPr>
            </w:pPr>
            <w:r>
              <w:rPr>
                <w:rFonts w:hint="eastAsia" w:asciiTheme="minorEastAsia" w:hAnsiTheme="minorEastAsia"/>
                <w:b w:val="0"/>
                <w:bCs w:val="0"/>
                <w:sz w:val="24"/>
                <w:szCs w:val="24"/>
                <w:highlight w:val="none"/>
                <w:lang w:eastAsia="zh-CN"/>
              </w:rPr>
              <w:t>松岗街道中心幼儿园（松岗东方华府第二幼儿园）班组部门设备采购项目</w:t>
            </w:r>
          </w:p>
          <w:p>
            <w:pPr>
              <w:jc w:val="center"/>
              <w:rPr>
                <w:b w:val="0"/>
                <w:bCs w:val="0"/>
                <w:highlight w:val="none"/>
              </w:rPr>
            </w:pPr>
            <w:r>
              <w:rPr>
                <w:rFonts w:hint="eastAsia" w:asciiTheme="minorEastAsia" w:hAnsiTheme="minorEastAsia"/>
                <w:b w:val="0"/>
                <w:bCs w:val="0"/>
                <w:sz w:val="24"/>
                <w:szCs w:val="24"/>
                <w:highlight w:val="none"/>
              </w:rPr>
              <w:t>（</w:t>
            </w:r>
            <w:r>
              <w:rPr>
                <w:rFonts w:hint="eastAsia" w:cs="Times New Roman" w:asciiTheme="minorEastAsia" w:hAnsiTheme="minorEastAsia"/>
                <w:b w:val="0"/>
                <w:bCs w:val="0"/>
                <w:sz w:val="24"/>
                <w:szCs w:val="24"/>
                <w:highlight w:val="none"/>
                <w:lang w:val="en-US" w:eastAsia="zh-CN"/>
              </w:rPr>
              <w:t>A</w:t>
            </w:r>
            <w:r>
              <w:rPr>
                <w:rFonts w:hint="eastAsia" w:cs="Times New Roman" w:asciiTheme="minorEastAsia" w:hAnsiTheme="minorEastAsia"/>
                <w:b w:val="0"/>
                <w:bCs w:val="0"/>
                <w:sz w:val="24"/>
                <w:szCs w:val="24"/>
                <w:highlight w:val="none"/>
              </w:rPr>
              <w:t>包</w:t>
            </w:r>
            <w:r>
              <w:rPr>
                <w:rFonts w:hint="eastAsia" w:asciiTheme="minorEastAsia" w:hAnsiTheme="minorEastAsia"/>
                <w:b w:val="0"/>
                <w:bCs w:val="0"/>
                <w:sz w:val="24"/>
                <w:szCs w:val="24"/>
                <w:highlight w:val="none"/>
              </w:rPr>
              <w:t>）</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450,000.00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heme="minorEastAsia" w:hAnsiTheme="minorEastAsia" w:eastAsia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450,000.00</w:t>
            </w:r>
          </w:p>
        </w:tc>
      </w:tr>
    </w:tbl>
    <w:p>
      <w:pPr>
        <w:jc w:val="both"/>
        <w:rPr>
          <w:sz w:val="24"/>
          <w:szCs w:val="24"/>
          <w:highlight w:val="none"/>
        </w:rPr>
      </w:pPr>
      <w:r>
        <w:rPr>
          <w:rFonts w:hint="eastAsia" w:ascii="Arial" w:hAnsi="Arial" w:eastAsia="宋体" w:cs="Times New Roman"/>
          <w:b/>
          <w:color w:val="FF0000"/>
          <w:sz w:val="24"/>
          <w:szCs w:val="24"/>
          <w:highlight w:val="none"/>
        </w:rPr>
        <w:t>本项目控制金额为人民币</w:t>
      </w:r>
      <w:r>
        <w:rPr>
          <w:rFonts w:hint="eastAsia" w:ascii="Arial" w:hAnsi="Arial" w:eastAsia="宋体" w:cs="Times New Roman"/>
          <w:b/>
          <w:color w:val="0000FF"/>
          <w:sz w:val="24"/>
          <w:szCs w:val="24"/>
          <w:highlight w:val="none"/>
          <w:lang w:val="en-US" w:eastAsia="zh-CN"/>
        </w:rPr>
        <w:t>45万元</w:t>
      </w:r>
      <w:r>
        <w:rPr>
          <w:rFonts w:hint="eastAsia" w:ascii="Arial" w:hAnsi="Arial" w:eastAsia="宋体" w:cs="Times New Roman"/>
          <w:b/>
          <w:color w:val="FF0000"/>
          <w:sz w:val="24"/>
          <w:szCs w:val="24"/>
          <w:highlight w:val="none"/>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二、货物需求明细</w:t>
      </w:r>
    </w:p>
    <w:p>
      <w:pPr>
        <w:rPr>
          <w:highlight w:val="none"/>
        </w:rPr>
      </w:pPr>
      <w:r>
        <w:rPr>
          <w:rFonts w:hint="eastAsia" w:ascii="宋体" w:hAnsi="宋体"/>
          <w:b/>
          <w:color w:val="FF0000"/>
          <w:sz w:val="32"/>
          <w:szCs w:val="32"/>
          <w:highlight w:val="none"/>
        </w:rPr>
        <w:t>本项目核心产品为：</w:t>
      </w:r>
      <w:r>
        <w:rPr>
          <w:rFonts w:hint="eastAsia" w:ascii="宋体" w:hAnsi="宋体"/>
          <w:b/>
          <w:color w:val="FF0000"/>
          <w:sz w:val="32"/>
          <w:szCs w:val="32"/>
          <w:highlight w:val="none"/>
          <w:u w:val="single"/>
        </w:rPr>
        <w:t xml:space="preserve"> L型综合柜2 </w:t>
      </w:r>
    </w:p>
    <w:tbl>
      <w:tblPr>
        <w:tblStyle w:val="16"/>
        <w:tblW w:w="8505" w:type="dxa"/>
        <w:jc w:val="center"/>
        <w:tblLayout w:type="fixed"/>
        <w:tblCellMar>
          <w:top w:w="15" w:type="dxa"/>
          <w:left w:w="15" w:type="dxa"/>
          <w:bottom w:w="15" w:type="dxa"/>
          <w:right w:w="15" w:type="dxa"/>
        </w:tblCellMar>
      </w:tblPr>
      <w:tblGrid>
        <w:gridCol w:w="639"/>
        <w:gridCol w:w="3543"/>
        <w:gridCol w:w="709"/>
        <w:gridCol w:w="780"/>
        <w:gridCol w:w="1417"/>
        <w:gridCol w:w="1417"/>
      </w:tblGrid>
      <w:tr>
        <w:tblPrEx>
          <w:tblCellMar>
            <w:top w:w="15" w:type="dxa"/>
            <w:left w:w="15" w:type="dxa"/>
            <w:bottom w:w="15" w:type="dxa"/>
            <w:right w:w="15" w:type="dxa"/>
          </w:tblCellMar>
        </w:tblPrEx>
        <w:trPr>
          <w:trHeight w:val="552" w:hRule="atLeast"/>
          <w:jc w:val="center"/>
        </w:trPr>
        <w:tc>
          <w:tcPr>
            <w:tcW w:w="639"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354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highlight w:val="green"/>
              </w:rPr>
            </w:pPr>
            <w:r>
              <w:rPr>
                <w:rFonts w:hint="eastAsia"/>
                <w:b w:val="0"/>
                <w:bCs w:val="0"/>
                <w:lang w:val="en-US" w:eastAsia="zh-CN"/>
              </w:rPr>
              <w:t>货物</w:t>
            </w:r>
            <w:r>
              <w:rPr>
                <w:rFonts w:hint="eastAsia"/>
                <w:b w:val="0"/>
                <w:bCs w:val="0"/>
              </w:rPr>
              <w:t>名称（标的名称）</w:t>
            </w:r>
          </w:p>
        </w:tc>
        <w:tc>
          <w:tcPr>
            <w:tcW w:w="70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rPr>
              <w:t>备注</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rPr>
              <w:t>所属行业</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2"/>
                <w:lang w:val="en-US" w:eastAsia="zh-CN" w:bidi="ar-SA"/>
              </w:rPr>
            </w:pPr>
            <w:r>
              <w:rPr>
                <w:rFonts w:hint="eastAsia" w:asciiTheme="minorEastAsia" w:hAnsiTheme="minorEastAsia" w:eastAsiaTheme="minorEastAsia" w:cstheme="minorEastAsia"/>
                <w:b w:val="0"/>
                <w:bCs w:val="0"/>
                <w:lang w:val="en-US" w:eastAsia="zh-CN"/>
              </w:rPr>
              <w:t>1</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幼儿桌1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小班</w:t>
            </w:r>
          </w:p>
        </w:tc>
        <w:tc>
          <w:tcPr>
            <w:tcW w:w="1417" w:type="dxa"/>
            <w:vMerge w:val="restart"/>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2"/>
                <w:lang w:val="en-US" w:eastAsia="zh-CN" w:bidi="ar-SA"/>
              </w:rPr>
            </w:pPr>
            <w:r>
              <w:rPr>
                <w:rFonts w:hint="eastAsia" w:asciiTheme="minorEastAsia" w:hAnsiTheme="minorEastAsia" w:eastAsiaTheme="minorEastAsia" w:cstheme="minorEastAsia"/>
                <w:b w:val="0"/>
                <w:bCs w:val="0"/>
                <w:lang w:val="en-US" w:eastAsia="zh-CN"/>
              </w:rPr>
              <w:t>2</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幼儿方桌1</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6</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90"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新哈佛椅1</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75</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2层矮柜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4</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小班3件，中班1件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美术展示柜A</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5</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小班3件，中班1件，大班1件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90"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6</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双面画板柜（活动）</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4</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小班3件，中班1件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7</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美术材料架</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5</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小班3件，中班1件，大班1件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8</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美术材料柜（活动）</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5</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小班3件，中班1件，大班1件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9</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实木3层玩具柜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17</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小班12件，中班2件，大班3件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10</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晾纸架</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11</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实木系统书柜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6</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12</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蓝色单人拉扣沙发</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6</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13</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蓝色双人拉扣沙发</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14</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实木2层玩具柜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26</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小班12件，中班6件，大班8件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15</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实木阶梯柜（有背板）</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12</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套</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16</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贩卖柜台</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套</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17</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整体转角橱柜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套</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18</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5格分区柜（有背板）</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19</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双层弧形收纳柜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6</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小班3件，中班2件，大班1件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20</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六格活动柜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21</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90度内转角柜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22</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双层边角收纳柜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23</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6格分区柜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4</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小班3件，中班1件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24</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5格中空分区柜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25</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2层半圆柜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7</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小班6件，大班1件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26</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12人书包鞋柜（带铭牌）</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15</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小班9件，中班3件，大班3件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27</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平板床</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80</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小班39张，中班18张，大班23张</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28</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便携式可堆叠儿童床</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60</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小班36张，中班12张，大班12张</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29</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幼儿园专用水杯柜(35格）</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5</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小班3件，中班1件，大班1件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30</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小班吊柜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5</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个</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小班3个，中班1个，大班1个</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31</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幼儿桌2</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6</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中班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32</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幼儿方桌2</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2</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中班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33</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新哈佛椅2</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30</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中班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34</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实木5格收纳柜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4</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中班2件，大班2件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35</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实木3层收纳柜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中班1件，大班2件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36</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基本图书柜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4</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中班2件，大班2件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37</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浅灰单人拉扣沙发</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2</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中班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38</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浅灰双人拉扣沙发</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中班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39</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三层综合收纳柜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中班1件，大班2件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40</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原木3层教具柜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中班1件，大班2件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41</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二层S内转角柜</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中班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42</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实木教具柜（含盒）</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2</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中班1件，大班1件</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43</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幼儿桌3</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7</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大班</w:t>
            </w:r>
          </w:p>
        </w:tc>
        <w:tc>
          <w:tcPr>
            <w:tcW w:w="1417" w:type="dxa"/>
            <w:vMerge w:val="continue"/>
            <w:tcBorders>
              <w:left w:val="single" w:color="000000" w:sz="4" w:space="0"/>
              <w:right w:val="single" w:color="000000" w:sz="4" w:space="0"/>
            </w:tcBorders>
            <w:vAlign w:val="center"/>
          </w:tcPr>
          <w:p>
            <w:pPr>
              <w:jc w:val="center"/>
              <w:rPr>
                <w:b w:val="0"/>
                <w:bCs w:val="0"/>
              </w:rPr>
            </w:pPr>
          </w:p>
        </w:tc>
      </w:tr>
      <w:tr>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44</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幼儿方桌3</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2</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大班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45</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新哈佛椅3</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35</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张</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大班</w:t>
            </w:r>
          </w:p>
        </w:tc>
        <w:tc>
          <w:tcPr>
            <w:tcW w:w="1417" w:type="dxa"/>
            <w:vMerge w:val="continue"/>
            <w:tcBorders>
              <w:left w:val="single" w:color="000000" w:sz="4" w:space="0"/>
              <w:right w:val="single" w:color="000000" w:sz="4" w:space="0"/>
            </w:tcBorders>
            <w:vAlign w:val="center"/>
          </w:tcPr>
          <w:p>
            <w:pPr>
              <w:jc w:val="center"/>
              <w:rPr>
                <w:b w:val="0"/>
                <w:bCs w:val="0"/>
              </w:rPr>
            </w:pPr>
          </w:p>
        </w:tc>
      </w:tr>
      <w:tr>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46</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双面画柜（活动）</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大班</w:t>
            </w:r>
          </w:p>
        </w:tc>
        <w:tc>
          <w:tcPr>
            <w:tcW w:w="1417" w:type="dxa"/>
            <w:vMerge w:val="continue"/>
            <w:tcBorders>
              <w:left w:val="single" w:color="000000" w:sz="4" w:space="0"/>
              <w:right w:val="single" w:color="000000" w:sz="4" w:space="0"/>
            </w:tcBorders>
            <w:vAlign w:val="center"/>
          </w:tcPr>
          <w:p>
            <w:pPr>
              <w:jc w:val="center"/>
              <w:rPr>
                <w:b w:val="0"/>
                <w:bCs w:val="0"/>
              </w:rPr>
            </w:pPr>
          </w:p>
        </w:tc>
      </w:tr>
      <w:tr>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47</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深灰色单人拉扣沙发</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2</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大班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48</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深灰色双人拉扣沙发</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大班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49</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布偶玩具柜台</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套</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大班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50</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小号教具篮</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6</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件</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大班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51</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绘画书写板</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个</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大班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52</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L型综合柜1</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个</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小一班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53</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L型综合柜2</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个</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小三班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54</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L型综合柜3</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个</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大一班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55</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综合柜1</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个</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小二班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56</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综合柜2</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个</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小二班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57</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综合柜3</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lang w:val="en-US" w:eastAsia="zh-CN"/>
              </w:rPr>
            </w:pPr>
            <w:r>
              <w:rPr>
                <w:rFonts w:hint="eastAsia"/>
                <w:b w:val="0"/>
                <w:bCs w:val="0"/>
                <w:lang w:val="en-US" w:eastAsia="zh-CN"/>
              </w:rPr>
              <w:t>个</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中一班</w:t>
            </w: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58</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highlight w:val="none"/>
                <w:lang w:val="en-US" w:eastAsia="zh-CN"/>
              </w:rPr>
            </w:pPr>
            <w:r>
              <w:rPr>
                <w:rFonts w:hint="eastAsia"/>
                <w:b w:val="0"/>
                <w:bCs w:val="0"/>
                <w:highlight w:val="none"/>
                <w:lang w:val="en-US" w:eastAsia="zh-CN"/>
              </w:rPr>
              <w:t>综合柜4</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highlight w:val="none"/>
                <w:lang w:val="en-US" w:eastAsia="zh-CN"/>
              </w:rPr>
            </w:pPr>
            <w:r>
              <w:rPr>
                <w:rFonts w:hint="eastAsia"/>
                <w:b w:val="0"/>
                <w:bCs w:val="0"/>
                <w:highlight w:val="none"/>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highlight w:val="none"/>
                <w:lang w:val="en-US" w:eastAsia="zh-CN"/>
              </w:rPr>
            </w:pPr>
            <w:r>
              <w:rPr>
                <w:rFonts w:hint="eastAsia"/>
                <w:b w:val="0"/>
                <w:bCs w:val="0"/>
                <w:highlight w:val="none"/>
                <w:lang w:val="en-US" w:eastAsia="zh-CN"/>
              </w:rPr>
              <w:t>个</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b w:val="0"/>
                <w:bCs w:val="0"/>
                <w:highlight w:val="none"/>
                <w:lang w:val="en-US" w:eastAsia="zh-CN"/>
              </w:rPr>
            </w:pPr>
            <w:r>
              <w:rPr>
                <w:rFonts w:hint="eastAsia"/>
                <w:b w:val="0"/>
                <w:bCs w:val="0"/>
                <w:highlight w:val="none"/>
                <w:lang w:val="en-US" w:eastAsia="zh-CN"/>
              </w:rPr>
              <w:t>中一班</w:t>
            </w:r>
          </w:p>
        </w:tc>
        <w:tc>
          <w:tcPr>
            <w:tcW w:w="1417" w:type="dxa"/>
            <w:vMerge w:val="continue"/>
            <w:tcBorders>
              <w:left w:val="single" w:color="000000" w:sz="4" w:space="0"/>
              <w:right w:val="single" w:color="000000" w:sz="4" w:space="0"/>
            </w:tcBorders>
            <w:vAlign w:val="center"/>
          </w:tcPr>
          <w:p>
            <w:pPr>
              <w:jc w:val="center"/>
              <w:rPr>
                <w:b w:val="0"/>
                <w:bCs w:val="0"/>
              </w:rPr>
            </w:pPr>
          </w:p>
        </w:tc>
      </w:tr>
    </w:tbl>
    <w:p>
      <w:pPr>
        <w:rPr>
          <w:color w:val="FF0000"/>
        </w:rPr>
      </w:pPr>
      <w:r>
        <w:rPr>
          <w:rFonts w:hint="eastAsia"/>
          <w:color w:val="FF0000"/>
        </w:rPr>
        <w:t>备注：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1、</w:t>
      </w:r>
      <w:r>
        <w:rPr>
          <w:rFonts w:hint="eastAsia"/>
          <w:color w:val="FF0000"/>
        </w:rPr>
        <w:t>“备注”栏注明有“接受进口”或“允许进口”的产品允许投标人选用进口产品参与投标，但不排斥国内产品投标；未注明“接受进口”或“允许进口”的产品均不接受进口产品投标。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rPr>
      </w:pPr>
      <w:r>
        <w:rPr>
          <w:rFonts w:hint="eastAsia"/>
          <w:color w:val="FF0000"/>
          <w:lang w:val="en-US" w:eastAsia="zh-CN"/>
        </w:rPr>
        <w:t>2、</w:t>
      </w:r>
      <w:r>
        <w:rPr>
          <w:rFonts w:hint="eastAsia"/>
          <w:color w:val="FF0000"/>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3、</w:t>
      </w:r>
      <w:r>
        <w:rPr>
          <w:rFonts w:hint="eastAsia"/>
          <w:color w:val="FF0000"/>
        </w:rPr>
        <w:t>如注明有单价控制金额的产品，投标人对该产品的报价不得超过控制金额，否则将作投标无效处理。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4、</w:t>
      </w:r>
      <w:r>
        <w:rPr>
          <w:rFonts w:hint="eastAsia"/>
          <w:color w:val="FF0000"/>
        </w:rPr>
        <w:t>根据《政府采购货物和服务招标投标管理办法》（财政部令第87号）第三十一条规定，单一产品项目或非单一产品项目中的核心产品均应明确品牌，投标人未填报品牌的将作投标无效处理。</w:t>
      </w:r>
    </w:p>
    <w:p>
      <w:pPr>
        <w:ind w:firstLine="420" w:firstLineChars="200"/>
        <w:rPr>
          <w:color w:val="FF0000"/>
        </w:rPr>
      </w:pPr>
    </w:p>
    <w:p>
      <w:pPr>
        <w:ind w:firstLine="420" w:firstLineChars="200"/>
        <w:rPr>
          <w:color w:val="FF0000"/>
        </w:rPr>
      </w:pPr>
    </w:p>
    <w:p>
      <w:pPr>
        <w:ind w:firstLine="420" w:firstLineChars="200"/>
        <w:rPr>
          <w:color w:val="FF0000"/>
        </w:rPr>
      </w:pPr>
    </w:p>
    <w:p>
      <w:pPr>
        <w:pStyle w:val="3"/>
        <w:jc w:val="center"/>
      </w:pPr>
      <w:bookmarkStart w:id="13" w:name="_Toc128884461"/>
      <w:r>
        <w:rPr>
          <w:rFonts w:hint="eastAsia"/>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rPr>
                <w:rFonts w:hint="eastAsia" w:eastAsiaTheme="minorEastAsia"/>
                <w:lang w:eastAsia="zh-CN"/>
              </w:rPr>
            </w:pPr>
            <w:r>
              <w:rPr>
                <w:rFonts w:hint="eastAsia"/>
              </w:rPr>
              <w:t>本项目招标文件中所有带★号条款</w:t>
            </w:r>
            <w:r>
              <w:rPr>
                <w:rFonts w:hint="eastAsia"/>
                <w:lang w:val="en-US" w:eastAsia="zh-CN"/>
              </w:rPr>
              <w:t>内容</w:t>
            </w:r>
          </w:p>
        </w:tc>
      </w:tr>
      <w:bookmarkEnd w:id="13"/>
    </w:tbl>
    <w:p>
      <w:pPr>
        <w:rPr>
          <w:rFonts w:hint="default"/>
          <w:lang w:val="en-US"/>
        </w:rPr>
      </w:pPr>
      <w:r>
        <w:rPr>
          <w:rFonts w:hint="eastAsia"/>
          <w:b/>
          <w:color w:val="FF0000"/>
        </w:rPr>
        <w:t>注：上表所列内容为不可负偏离条款，负偏离将视为未实质性满足招标文件要求和条件作投标无效处理。投标人是否满足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相应为准。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Pr>
        <w:pStyle w:val="9"/>
      </w:pPr>
    </w:p>
    <w:p>
      <w:pPr>
        <w:ind w:firstLine="420" w:firstLineChars="200"/>
      </w:pPr>
    </w:p>
    <w:p>
      <w:pPr>
        <w:rPr>
          <w:b/>
          <w:color w:val="FF0000"/>
        </w:rPr>
      </w:pPr>
    </w:p>
    <w:p>
      <w:pPr>
        <w:rPr>
          <w:b/>
          <w:color w:val="FF0000"/>
        </w:rPr>
      </w:pPr>
    </w:p>
    <w:p>
      <w:pPr>
        <w:rPr>
          <w:b/>
          <w:color w:val="FF0000"/>
        </w:rPr>
      </w:pPr>
    </w:p>
    <w:p>
      <w:pPr>
        <w:keepNext/>
        <w:keepLines/>
        <w:tabs>
          <w:tab w:val="left" w:pos="1680"/>
        </w:tabs>
        <w:spacing w:before="260" w:afterLines="25"/>
        <w:jc w:val="center"/>
        <w:outlineLvl w:val="2"/>
        <w:rPr>
          <w:rFonts w:hint="eastAsia" w:ascii="Arial" w:hAnsi="Arial" w:eastAsia="宋体" w:cs="Times New Roman"/>
          <w:b/>
          <w:bCs/>
          <w:color w:val="FF0000"/>
          <w:sz w:val="32"/>
          <w:szCs w:val="32"/>
        </w:rPr>
      </w:pPr>
      <w:r>
        <w:rPr>
          <w:rFonts w:hint="eastAsia"/>
          <w:b/>
          <w:color w:val="FF0000"/>
          <w:sz w:val="32"/>
          <w:szCs w:val="32"/>
        </w:rPr>
        <w:t>★</w:t>
      </w:r>
      <w:r>
        <w:rPr>
          <w:rFonts w:hint="eastAsia"/>
          <w:b/>
          <w:color w:val="FF0000"/>
          <w:sz w:val="32"/>
          <w:szCs w:val="32"/>
          <w:lang w:val="en-US" w:eastAsia="zh-CN"/>
        </w:rPr>
        <w:t>四</w:t>
      </w:r>
      <w:r>
        <w:rPr>
          <w:rFonts w:hint="eastAsia" w:ascii="Arial" w:hAnsi="Arial" w:eastAsia="宋体" w:cs="Times New Roman"/>
          <w:b/>
          <w:bCs/>
          <w:color w:val="FF0000"/>
          <w:sz w:val="32"/>
          <w:szCs w:val="32"/>
        </w:rPr>
        <w:t>、商务和服务条款部分</w:t>
      </w:r>
    </w:p>
    <w:p>
      <w:pPr>
        <w:keepNext/>
        <w:keepLines/>
        <w:tabs>
          <w:tab w:val="left" w:pos="1680"/>
        </w:tabs>
        <w:spacing w:before="260" w:afterLines="25"/>
        <w:jc w:val="both"/>
        <w:outlineLvl w:val="2"/>
        <w:rPr>
          <w:rFonts w:hint="eastAsia" w:ascii="Arial" w:hAnsi="Arial" w:cs="Times New Roman" w:eastAsiaTheme="minorEastAsia"/>
          <w:b/>
          <w:bCs/>
          <w:color w:val="FF0000"/>
          <w:sz w:val="32"/>
          <w:szCs w:val="32"/>
          <w:lang w:eastAsia="zh-CN"/>
        </w:rPr>
      </w:pPr>
      <w:r>
        <w:rPr>
          <w:rFonts w:hint="eastAsia"/>
          <w:b/>
          <w:color w:val="FF0000"/>
        </w:rPr>
        <w:t>本部分内容为项目正常开展的基本要求，均为★号条款要求</w:t>
      </w:r>
      <w:r>
        <w:rPr>
          <w:rFonts w:hint="eastAsia"/>
          <w:b/>
          <w:color w:val="FF0000"/>
          <w:lang w:eastAsia="zh-CN"/>
        </w:rPr>
        <w:t>。</w:t>
      </w:r>
    </w:p>
    <w:tbl>
      <w:tblPr>
        <w:tblStyle w:val="1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rPr>
            </w:pPr>
            <w:r>
              <w:rPr>
                <w:rFonts w:hint="eastAsia" w:ascii="宋体" w:hAnsi="宋体" w:eastAsia="宋体" w:cs="宋体"/>
                <w:b/>
                <w:color w:val="FF0000"/>
                <w:szCs w:val="21"/>
              </w:rPr>
              <w:t>报价要求</w:t>
            </w:r>
          </w:p>
        </w:tc>
        <w:tc>
          <w:tcPr>
            <w:tcW w:w="7797" w:type="dxa"/>
            <w:tcBorders>
              <w:top w:val="single" w:color="auto" w:sz="4" w:space="0"/>
              <w:left w:val="single" w:color="auto" w:sz="4" w:space="0"/>
              <w:bottom w:val="single" w:color="auto" w:sz="4" w:space="0"/>
              <w:right w:val="single" w:color="auto" w:sz="4" w:space="0"/>
            </w:tcBorders>
          </w:tcPr>
          <w:p>
            <w:pPr>
              <w:snapToGrid w:val="0"/>
              <w:ind w:firstLine="420"/>
              <w:rPr>
                <w:rFonts w:ascii="宋体" w:hAnsi="宋体" w:eastAsia="宋体" w:cs="宋体"/>
                <w:color w:val="FF0000"/>
                <w:szCs w:val="21"/>
              </w:rPr>
            </w:pPr>
            <w:r>
              <w:rPr>
                <w:rFonts w:hint="eastAsia" w:ascii="宋体" w:hAnsi="宋体" w:eastAsia="宋体" w:cs="宋体"/>
                <w:color w:val="FF0000"/>
                <w:szCs w:val="21"/>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color w:val="FF0000"/>
                <w:szCs w:val="21"/>
              </w:rPr>
            </w:pPr>
            <w:r>
              <w:rPr>
                <w:rFonts w:hint="eastAsia" w:ascii="宋体" w:hAnsi="宋体" w:eastAsia="宋体" w:cs="宋体"/>
                <w:b/>
                <w:color w:val="FF0000"/>
                <w:szCs w:val="21"/>
              </w:rPr>
              <w:t>交货地点</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ascii="宋体" w:hAnsi="宋体" w:eastAsia="宋体" w:cs="宋体"/>
                <w:color w:val="FF0000"/>
                <w:szCs w:val="21"/>
              </w:rPr>
            </w:pPr>
            <w:r>
              <w:rPr>
                <w:rFonts w:hint="eastAsia" w:ascii="宋体" w:hAnsi="宋体" w:eastAsia="宋体" w:cs="宋体"/>
                <w:color w:val="FF0000"/>
                <w:szCs w:val="21"/>
              </w:rPr>
              <w:t>深圳市宝安区松岗东方华府第二幼儿园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color w:val="FF0000"/>
                <w:szCs w:val="21"/>
              </w:rPr>
            </w:pPr>
            <w:r>
              <w:rPr>
                <w:rFonts w:hint="eastAsia" w:ascii="宋体" w:hAnsi="宋体" w:eastAsia="宋体" w:cs="Times New Roman"/>
                <w:b/>
                <w:bCs/>
                <w:color w:val="FF0000"/>
                <w:szCs w:val="21"/>
              </w:rPr>
              <w:t>交货期或完工期</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ascii="宋体" w:hAnsi="宋体" w:eastAsia="宋体" w:cs="宋体"/>
                <w:color w:val="FF0000"/>
                <w:szCs w:val="21"/>
              </w:rPr>
            </w:pPr>
            <w:r>
              <w:rPr>
                <w:rFonts w:hint="eastAsia" w:ascii="宋体" w:hAnsi="宋体" w:eastAsia="宋体" w:cs="宋体"/>
                <w:color w:val="FF0000"/>
                <w:szCs w:val="21"/>
              </w:rPr>
              <w:t>本项目要求在进场施工日起  15  个日历日内完工，进场施工时间由采购人确定。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color w:val="FF0000"/>
                <w:szCs w:val="21"/>
              </w:rPr>
            </w:pPr>
            <w:r>
              <w:rPr>
                <w:rFonts w:hint="eastAsia" w:ascii="Arial" w:hAnsi="Arial" w:eastAsia="宋体" w:cs="Times New Roman"/>
                <w:b/>
                <w:color w:val="FF0000"/>
                <w:szCs w:val="24"/>
              </w:rPr>
              <w:t>付款方式</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ascii="新宋体" w:hAnsi="新宋体" w:eastAsia="新宋体" w:cs="Times New Roman"/>
                <w:color w:val="FF0000"/>
                <w:kern w:val="0"/>
                <w:szCs w:val="21"/>
              </w:rPr>
            </w:pPr>
            <w:r>
              <w:rPr>
                <w:rFonts w:hint="eastAsia" w:ascii="新宋体" w:hAnsi="新宋体" w:eastAsia="新宋体" w:cs="Times New Roman"/>
                <w:color w:val="FF0000"/>
                <w:kern w:val="0"/>
                <w:szCs w:val="21"/>
              </w:rPr>
              <w:t>本项目完成并经验收合格后，对于满足合同约定支付条件的，采购人应当自收到发票后7日内将资金支付到合同约定的中标供应商账户。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bCs/>
                <w:color w:val="FF0000"/>
                <w:szCs w:val="21"/>
              </w:rPr>
            </w:pPr>
            <w:r>
              <w:rPr>
                <w:rFonts w:hint="eastAsia" w:ascii="宋体" w:hAnsi="宋体" w:eastAsia="宋体" w:cs="Times New Roman"/>
                <w:b/>
                <w:color w:val="FF0000"/>
                <w:szCs w:val="21"/>
              </w:rPr>
              <w:t>验收方式</w:t>
            </w:r>
          </w:p>
        </w:tc>
        <w:tc>
          <w:tcPr>
            <w:tcW w:w="7797" w:type="dxa"/>
            <w:tcBorders>
              <w:top w:val="single" w:color="auto" w:sz="4" w:space="0"/>
              <w:left w:val="single" w:color="auto" w:sz="4" w:space="0"/>
              <w:right w:val="single" w:color="auto" w:sz="4" w:space="0"/>
            </w:tcBorders>
          </w:tcPr>
          <w:p>
            <w:pPr>
              <w:spacing w:afterLines="25" w:line="300" w:lineRule="auto"/>
              <w:rPr>
                <w:rFonts w:ascii="宋体" w:hAnsi="宋体" w:eastAsia="宋体" w:cs="Times New Roman"/>
                <w:bCs/>
                <w:color w:val="FF0000"/>
                <w:szCs w:val="21"/>
              </w:rPr>
            </w:pPr>
            <w:r>
              <w:rPr>
                <w:rFonts w:hint="eastAsia" w:ascii="宋体" w:hAnsi="宋体" w:eastAsia="宋体" w:cs="Times New Roman"/>
                <w:bCs/>
                <w:color w:val="FF0000"/>
                <w:szCs w:val="21"/>
              </w:rPr>
              <w:t>由采购单位组织验收小组</w:t>
            </w:r>
            <w:r>
              <w:rPr>
                <w:rFonts w:hint="eastAsia" w:ascii="宋体" w:hAnsi="宋体" w:eastAsia="宋体" w:cs="Times New Roman"/>
                <w:bCs/>
                <w:color w:val="FF0000"/>
                <w:szCs w:val="21"/>
                <w:lang w:val="en-US" w:eastAsia="zh-CN"/>
              </w:rPr>
              <w:t>和监理</w:t>
            </w:r>
            <w:r>
              <w:rPr>
                <w:rFonts w:hint="eastAsia" w:ascii="宋体" w:hAnsi="宋体" w:eastAsia="宋体" w:cs="Times New Roman"/>
                <w:bCs/>
                <w:color w:val="FF0000"/>
                <w:szCs w:val="21"/>
              </w:rPr>
              <w:t>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color w:val="FF0000"/>
                <w:szCs w:val="21"/>
              </w:rPr>
            </w:pPr>
            <w:r>
              <w:rPr>
                <w:rFonts w:hint="eastAsia" w:ascii="宋体" w:hAnsi="宋体" w:eastAsia="宋体" w:cs="Times New Roman"/>
                <w:b/>
                <w:bCs/>
                <w:color w:val="FF0000"/>
                <w:szCs w:val="21"/>
              </w:rPr>
              <w:t>包装及运输要求</w:t>
            </w:r>
          </w:p>
        </w:tc>
        <w:tc>
          <w:tcPr>
            <w:tcW w:w="7797" w:type="dxa"/>
            <w:tcBorders>
              <w:top w:val="single" w:color="auto" w:sz="4" w:space="0"/>
              <w:left w:val="single" w:color="auto" w:sz="4" w:space="0"/>
              <w:right w:val="single" w:color="auto" w:sz="4" w:space="0"/>
            </w:tcBorders>
          </w:tcPr>
          <w:p>
            <w:pPr>
              <w:spacing w:afterLines="25" w:line="300" w:lineRule="auto"/>
              <w:rPr>
                <w:rFonts w:ascii="宋体" w:hAnsi="宋体" w:eastAsia="宋体" w:cs="Times New Roman"/>
                <w:bCs/>
                <w:color w:val="FF0000"/>
                <w:szCs w:val="21"/>
              </w:rPr>
            </w:pPr>
            <w:r>
              <w:rPr>
                <w:rFonts w:hint="eastAsia" w:ascii="宋体" w:hAnsi="宋体" w:eastAsia="宋体" w:cs="Times New Roman"/>
                <w:bCs/>
                <w:color w:val="FF0000"/>
                <w:szCs w:val="21"/>
              </w:rPr>
              <w:t>本次采购的设备和材料必须是全新的，包装方式按照原厂出厂原标准，中标人立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Cs/>
                <w:color w:val="FF0000"/>
                <w:szCs w:val="21"/>
              </w:rPr>
            </w:pPr>
            <w:r>
              <w:rPr>
                <w:rFonts w:hint="eastAsia" w:ascii="宋体" w:hAnsi="宋体" w:eastAsia="宋体" w:cs="Times New Roman"/>
                <w:b/>
                <w:bCs/>
                <w:color w:val="FF0000"/>
                <w:szCs w:val="21"/>
              </w:rPr>
              <w:t>售后服务要求</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exact"/>
              <w:rPr>
                <w:rFonts w:hint="eastAsia" w:ascii="宋体" w:hAnsi="宋体" w:eastAsia="宋体" w:cs="Arial"/>
                <w:color w:val="FF0000"/>
                <w:szCs w:val="21"/>
              </w:rPr>
            </w:pPr>
            <w:r>
              <w:rPr>
                <w:rFonts w:hint="eastAsia" w:ascii="宋体" w:hAnsi="宋体" w:eastAsia="宋体" w:cs="Arial"/>
                <w:color w:val="FF0000"/>
                <w:szCs w:val="21"/>
              </w:rPr>
              <w:t>（1）要求中标方对本项目所采购的各项货物及货物集成提供3年质保期。</w:t>
            </w:r>
          </w:p>
          <w:p>
            <w:pPr>
              <w:spacing w:afterLines="25" w:line="300" w:lineRule="exact"/>
              <w:rPr>
                <w:rFonts w:ascii="宋体" w:hAnsi="宋体" w:eastAsia="宋体" w:cs="Arial"/>
                <w:color w:val="FF0000"/>
                <w:szCs w:val="21"/>
              </w:rPr>
            </w:pPr>
            <w:r>
              <w:rPr>
                <w:rFonts w:hint="eastAsia" w:ascii="宋体" w:hAnsi="宋体" w:eastAsia="宋体" w:cs="Arial"/>
                <w:color w:val="FF0000"/>
                <w:szCs w:val="21"/>
              </w:rPr>
              <w:t>（2）要求中标方在交货完成后一周内，免费向用户方进行技术培训工作。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color w:val="FF0000"/>
                <w:szCs w:val="21"/>
              </w:rPr>
            </w:pPr>
            <w:r>
              <w:rPr>
                <w:rFonts w:hint="eastAsia" w:ascii="宋体" w:hAnsi="宋体" w:eastAsia="宋体" w:cs="Times New Roman"/>
                <w:b/>
                <w:bCs/>
                <w:color w:val="FF0000"/>
                <w:szCs w:val="21"/>
              </w:rPr>
              <w:t>其他要求</w:t>
            </w:r>
          </w:p>
        </w:tc>
        <w:tc>
          <w:tcPr>
            <w:tcW w:w="77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bCs/>
                <w:color w:val="FF0000"/>
                <w:szCs w:val="21"/>
              </w:rPr>
            </w:pPr>
            <w:r>
              <w:rPr>
                <w:rFonts w:hint="eastAsia" w:ascii="宋体" w:hAnsi="宋体" w:eastAsia="宋体" w:cs="Times New Roman"/>
                <w:bCs/>
                <w:color w:val="FF0000"/>
                <w:szCs w:val="21"/>
              </w:rPr>
              <w:t>（1）带“★”条款为必达或不可偏离条款，投标商必须提供并完全符合此类条款要求，否则投标无效。</w:t>
            </w:r>
          </w:p>
          <w:p>
            <w:pPr>
              <w:rPr>
                <w:rFonts w:hint="eastAsia" w:ascii="宋体" w:hAnsi="宋体" w:eastAsia="宋体" w:cs="Times New Roman"/>
                <w:bCs/>
                <w:color w:val="FF0000"/>
                <w:szCs w:val="21"/>
              </w:rPr>
            </w:pPr>
            <w:r>
              <w:rPr>
                <w:rFonts w:hint="eastAsia" w:ascii="宋体" w:hAnsi="宋体" w:eastAsia="宋体" w:cs="Times New Roman"/>
                <w:bCs/>
                <w:color w:val="FF0000"/>
                <w:szCs w:val="21"/>
              </w:rPr>
              <w:t>（2）中标供应商在签订合同时应提供投标文件打印稿贰份，并加盖公章（一份交给监理公司，一份交给学校），同时提供投标文件的OFFICE文档。</w:t>
            </w:r>
          </w:p>
          <w:p>
            <w:pPr>
              <w:rPr>
                <w:rFonts w:hint="eastAsia" w:ascii="宋体" w:hAnsi="宋体" w:eastAsia="宋体" w:cs="Times New Roman"/>
                <w:bCs/>
                <w:color w:val="FF0000"/>
                <w:szCs w:val="21"/>
              </w:rPr>
            </w:pPr>
            <w:r>
              <w:rPr>
                <w:rFonts w:hint="eastAsia" w:ascii="宋体" w:hAnsi="宋体" w:eastAsia="宋体" w:cs="Times New Roman"/>
                <w:bCs/>
                <w:color w:val="FF0000"/>
                <w:szCs w:val="21"/>
              </w:rPr>
              <w:t>（3）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pPr>
              <w:rPr>
                <w:rFonts w:hint="eastAsia" w:ascii="宋体" w:hAnsi="宋体" w:eastAsia="宋体" w:cs="Times New Roman"/>
                <w:bCs/>
                <w:color w:val="FF0000"/>
                <w:szCs w:val="21"/>
              </w:rPr>
            </w:pPr>
            <w:r>
              <w:rPr>
                <w:rFonts w:hint="eastAsia" w:ascii="宋体" w:hAnsi="宋体" w:eastAsia="宋体" w:cs="Times New Roman"/>
                <w:bCs/>
                <w:color w:val="FF0000"/>
                <w:szCs w:val="21"/>
              </w:rPr>
              <w:t>（4）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w:t>
            </w:r>
          </w:p>
          <w:p>
            <w:pPr>
              <w:rPr>
                <w:rFonts w:hint="eastAsia" w:ascii="宋体" w:hAnsi="宋体" w:eastAsia="宋体" w:cs="Times New Roman"/>
                <w:bCs/>
                <w:color w:val="FF0000"/>
                <w:szCs w:val="21"/>
              </w:rPr>
            </w:pPr>
            <w:r>
              <w:rPr>
                <w:rFonts w:hint="eastAsia" w:ascii="宋体" w:hAnsi="宋体" w:eastAsia="宋体" w:cs="Times New Roman"/>
                <w:bCs/>
                <w:color w:val="FF0000"/>
                <w:szCs w:val="21"/>
              </w:rPr>
              <w:t>（5）投标商必须确保中标后提供的货物为正规渠道供货，不存在违反国家法律、法规的情况。</w:t>
            </w:r>
          </w:p>
          <w:p>
            <w:pPr>
              <w:rPr>
                <w:rFonts w:hint="eastAsia" w:ascii="宋体" w:hAnsi="宋体" w:eastAsia="宋体" w:cs="Times New Roman"/>
                <w:bCs/>
                <w:color w:val="FF0000"/>
                <w:szCs w:val="21"/>
              </w:rPr>
            </w:pPr>
            <w:r>
              <w:rPr>
                <w:rFonts w:hint="eastAsia" w:ascii="宋体" w:hAnsi="宋体" w:eastAsia="宋体" w:cs="Times New Roman"/>
                <w:bCs/>
                <w:color w:val="FF0000"/>
                <w:szCs w:val="21"/>
              </w:rPr>
              <w:t>（6）特别条款：对于单纯家具（含课桌椅）项目、含家具或装修的功能室项目及教室照明设备在验收时还需提供以下材料：（根据项目特点保留相关要求，剔除无关要求）</w:t>
            </w:r>
          </w:p>
          <w:p>
            <w:pPr>
              <w:rPr>
                <w:rFonts w:hint="eastAsia" w:ascii="宋体" w:hAnsi="宋体" w:eastAsia="宋体" w:cs="Times New Roman"/>
                <w:bCs/>
                <w:color w:val="FF0000"/>
                <w:szCs w:val="21"/>
              </w:rPr>
            </w:pPr>
            <w:r>
              <w:rPr>
                <w:rFonts w:hint="eastAsia" w:ascii="宋体" w:hAnsi="宋体" w:eastAsia="宋体" w:cs="Times New Roman"/>
                <w:bCs/>
                <w:color w:val="FF0000"/>
                <w:szCs w:val="21"/>
              </w:rPr>
              <w:t>①家具（含课桌椅）类货物应提供有害物质检测报告。根据深圳经济特区技术规范《家具成品及原辅材料中有害物质限量》（SZJG52-2016）的规定，需根据现场抽样并对以下项目进行检验且合格：</w:t>
            </w:r>
          </w:p>
          <w:tbl>
            <w:tblPr>
              <w:tblStyle w:val="16"/>
              <w:tblW w:w="7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972"/>
              <w:gridCol w:w="1558"/>
              <w:gridCol w:w="1108"/>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780" w:type="dxa"/>
                  <w:noWrap w:val="0"/>
                  <w:vAlign w:val="center"/>
                </w:tcPr>
                <w:p>
                  <w:pPr>
                    <w:snapToGrid w:val="0"/>
                    <w:jc w:val="center"/>
                    <w:rPr>
                      <w:rFonts w:ascii="宋体" w:hAnsi="宋体"/>
                      <w:color w:val="FF0000"/>
                      <w:sz w:val="24"/>
                    </w:rPr>
                  </w:pPr>
                  <w:r>
                    <w:rPr>
                      <w:rFonts w:hint="eastAsia" w:ascii="宋体" w:hAnsi="宋体"/>
                      <w:color w:val="FF0000"/>
                      <w:sz w:val="24"/>
                    </w:rPr>
                    <w:t>序号</w:t>
                  </w:r>
                </w:p>
              </w:tc>
              <w:tc>
                <w:tcPr>
                  <w:tcW w:w="2004" w:type="dxa"/>
                  <w:noWrap w:val="0"/>
                  <w:vAlign w:val="center"/>
                </w:tcPr>
                <w:p>
                  <w:pPr>
                    <w:snapToGrid w:val="0"/>
                    <w:jc w:val="center"/>
                    <w:rPr>
                      <w:rFonts w:ascii="宋体" w:hAnsi="宋体"/>
                      <w:color w:val="FF0000"/>
                      <w:sz w:val="24"/>
                    </w:rPr>
                  </w:pPr>
                  <w:r>
                    <w:rPr>
                      <w:rFonts w:hint="eastAsia" w:ascii="宋体" w:hAnsi="宋体"/>
                      <w:color w:val="FF0000"/>
                      <w:sz w:val="24"/>
                    </w:rPr>
                    <w:t>检验项目</w:t>
                  </w:r>
                </w:p>
              </w:tc>
              <w:tc>
                <w:tcPr>
                  <w:tcW w:w="1559" w:type="dxa"/>
                  <w:noWrap w:val="0"/>
                  <w:vAlign w:val="center"/>
                </w:tcPr>
                <w:p>
                  <w:pPr>
                    <w:snapToGrid w:val="0"/>
                    <w:jc w:val="center"/>
                    <w:rPr>
                      <w:rFonts w:ascii="宋体" w:hAnsi="宋体"/>
                      <w:color w:val="FF0000"/>
                      <w:sz w:val="24"/>
                    </w:rPr>
                  </w:pPr>
                  <w:r>
                    <w:rPr>
                      <w:rFonts w:hint="eastAsia" w:ascii="宋体" w:hAnsi="宋体"/>
                      <w:color w:val="FF0000"/>
                      <w:sz w:val="24"/>
                    </w:rPr>
                    <w:t>依据法律法规或标准条款</w:t>
                  </w:r>
                </w:p>
              </w:tc>
              <w:tc>
                <w:tcPr>
                  <w:tcW w:w="1134" w:type="dxa"/>
                  <w:noWrap w:val="0"/>
                  <w:vAlign w:val="center"/>
                </w:tcPr>
                <w:p>
                  <w:pPr>
                    <w:snapToGrid w:val="0"/>
                    <w:jc w:val="center"/>
                    <w:rPr>
                      <w:rFonts w:ascii="宋体" w:hAnsi="宋体"/>
                      <w:color w:val="FF0000"/>
                      <w:sz w:val="24"/>
                    </w:rPr>
                  </w:pPr>
                  <w:r>
                    <w:rPr>
                      <w:rFonts w:hint="eastAsia" w:ascii="宋体" w:hAnsi="宋体"/>
                      <w:color w:val="FF0000"/>
                      <w:sz w:val="24"/>
                    </w:rPr>
                    <w:t>强制性/推荐性</w:t>
                  </w:r>
                </w:p>
              </w:tc>
              <w:tc>
                <w:tcPr>
                  <w:tcW w:w="1824" w:type="dxa"/>
                  <w:noWrap w:val="0"/>
                  <w:vAlign w:val="center"/>
                </w:tcPr>
                <w:p>
                  <w:pPr>
                    <w:snapToGrid w:val="0"/>
                    <w:jc w:val="center"/>
                    <w:rPr>
                      <w:rFonts w:ascii="宋体" w:hAnsi="宋体"/>
                      <w:color w:val="FF0000"/>
                      <w:sz w:val="24"/>
                    </w:rPr>
                  </w:pPr>
                  <w:r>
                    <w:rPr>
                      <w:rFonts w:hint="eastAsia" w:ascii="宋体" w:hAnsi="宋体"/>
                      <w:color w:val="FF0000"/>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pPr>
                    <w:jc w:val="center"/>
                    <w:rPr>
                      <w:rFonts w:ascii="宋体" w:hAnsi="宋体"/>
                      <w:color w:val="FF0000"/>
                      <w:sz w:val="24"/>
                    </w:rPr>
                  </w:pPr>
                  <w:r>
                    <w:rPr>
                      <w:rFonts w:hint="eastAsia" w:ascii="宋体" w:hAnsi="宋体"/>
                      <w:color w:val="FF0000"/>
                      <w:sz w:val="24"/>
                    </w:rPr>
                    <w:t>1</w:t>
                  </w:r>
                </w:p>
              </w:tc>
              <w:tc>
                <w:tcPr>
                  <w:tcW w:w="2004" w:type="dxa"/>
                  <w:noWrap w:val="0"/>
                  <w:vAlign w:val="center"/>
                </w:tcPr>
                <w:p>
                  <w:pPr>
                    <w:rPr>
                      <w:rFonts w:ascii="宋体" w:hAnsi="宋体"/>
                      <w:color w:val="FF0000"/>
                      <w:sz w:val="24"/>
                    </w:rPr>
                  </w:pPr>
                  <w:r>
                    <w:rPr>
                      <w:rFonts w:hint="eastAsia" w:ascii="宋体" w:hAnsi="宋体"/>
                      <w:color w:val="FF0000"/>
                      <w:sz w:val="24"/>
                    </w:rPr>
                    <w:t>甲醛释放量</w:t>
                  </w:r>
                </w:p>
              </w:tc>
              <w:tc>
                <w:tcPr>
                  <w:tcW w:w="1559" w:type="dxa"/>
                  <w:noWrap w:val="0"/>
                  <w:vAlign w:val="center"/>
                </w:tcPr>
                <w:p>
                  <w:pPr>
                    <w:rPr>
                      <w:rFonts w:ascii="宋体" w:hAnsi="宋体"/>
                      <w:color w:val="FF0000"/>
                      <w:sz w:val="24"/>
                    </w:rPr>
                  </w:pPr>
                  <w:r>
                    <w:rPr>
                      <w:rFonts w:ascii="宋体" w:hAnsi="宋体"/>
                      <w:color w:val="FF0000"/>
                      <w:sz w:val="24"/>
                    </w:rPr>
                    <w:t>SZJG52-2016</w:t>
                  </w:r>
                </w:p>
              </w:tc>
              <w:tc>
                <w:tcPr>
                  <w:tcW w:w="1134" w:type="dxa"/>
                  <w:noWrap w:val="0"/>
                  <w:vAlign w:val="center"/>
                </w:tcPr>
                <w:p>
                  <w:pPr>
                    <w:rPr>
                      <w:rFonts w:ascii="宋体" w:hAnsi="宋体"/>
                      <w:color w:val="FF0000"/>
                      <w:sz w:val="24"/>
                    </w:rPr>
                  </w:pPr>
                  <w:r>
                    <w:rPr>
                      <w:rFonts w:hint="eastAsia" w:ascii="宋体" w:hAnsi="宋体"/>
                      <w:color w:val="FF0000"/>
                      <w:sz w:val="24"/>
                    </w:rPr>
                    <w:t>强制性</w:t>
                  </w:r>
                </w:p>
              </w:tc>
              <w:tc>
                <w:tcPr>
                  <w:tcW w:w="1824" w:type="dxa"/>
                  <w:noWrap w:val="0"/>
                  <w:vAlign w:val="center"/>
                </w:tcPr>
                <w:p>
                  <w:pPr>
                    <w:rPr>
                      <w:rFonts w:ascii="宋体" w:hAnsi="宋体"/>
                      <w:color w:val="FF0000"/>
                      <w:sz w:val="24"/>
                    </w:rPr>
                  </w:pPr>
                  <w:r>
                    <w:rPr>
                      <w:rFonts w:ascii="宋体" w:hAnsi="宋体"/>
                      <w:color w:val="FF0000"/>
                      <w:sz w:val="24"/>
                    </w:rPr>
                    <w:t>SZJG52-2016</w:t>
                  </w:r>
                  <w:r>
                    <w:rPr>
                      <w:rFonts w:hint="eastAsia" w:ascii="宋体" w:hAnsi="宋体"/>
                      <w:color w:val="FF0000"/>
                      <w:sz w:val="24"/>
                    </w:rPr>
                    <w:t xml:space="preserve">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pPr>
                    <w:jc w:val="center"/>
                    <w:rPr>
                      <w:rFonts w:ascii="宋体" w:hAnsi="宋体"/>
                      <w:color w:val="FF0000"/>
                      <w:sz w:val="24"/>
                    </w:rPr>
                  </w:pPr>
                  <w:r>
                    <w:rPr>
                      <w:rFonts w:hint="eastAsia" w:ascii="宋体" w:hAnsi="宋体"/>
                      <w:color w:val="FF0000"/>
                      <w:sz w:val="24"/>
                    </w:rPr>
                    <w:t>2</w:t>
                  </w:r>
                </w:p>
              </w:tc>
              <w:tc>
                <w:tcPr>
                  <w:tcW w:w="2004" w:type="dxa"/>
                  <w:noWrap w:val="0"/>
                  <w:vAlign w:val="center"/>
                </w:tcPr>
                <w:p>
                  <w:pPr>
                    <w:rPr>
                      <w:rFonts w:ascii="宋体" w:hAnsi="宋体"/>
                      <w:color w:val="FF0000"/>
                      <w:sz w:val="24"/>
                    </w:rPr>
                  </w:pPr>
                  <w:r>
                    <w:rPr>
                      <w:rFonts w:hint="eastAsia" w:ascii="宋体" w:hAnsi="宋体"/>
                      <w:color w:val="FF0000"/>
                      <w:sz w:val="24"/>
                    </w:rPr>
                    <w:t>苯释放量</w:t>
                  </w:r>
                </w:p>
              </w:tc>
              <w:tc>
                <w:tcPr>
                  <w:tcW w:w="1559" w:type="dxa"/>
                  <w:noWrap w:val="0"/>
                  <w:vAlign w:val="center"/>
                </w:tcPr>
                <w:p>
                  <w:pPr>
                    <w:rPr>
                      <w:rFonts w:ascii="宋体" w:hAnsi="宋体"/>
                      <w:color w:val="FF0000"/>
                      <w:sz w:val="24"/>
                    </w:rPr>
                  </w:pPr>
                  <w:r>
                    <w:rPr>
                      <w:rFonts w:ascii="宋体" w:hAnsi="宋体"/>
                      <w:color w:val="FF0000"/>
                      <w:sz w:val="24"/>
                    </w:rPr>
                    <w:t>SZJG52-2016</w:t>
                  </w:r>
                </w:p>
              </w:tc>
              <w:tc>
                <w:tcPr>
                  <w:tcW w:w="1134" w:type="dxa"/>
                  <w:noWrap w:val="0"/>
                  <w:vAlign w:val="center"/>
                </w:tcPr>
                <w:p>
                  <w:pPr>
                    <w:rPr>
                      <w:rFonts w:ascii="宋体" w:hAnsi="宋体"/>
                      <w:color w:val="FF0000"/>
                      <w:sz w:val="24"/>
                    </w:rPr>
                  </w:pPr>
                  <w:r>
                    <w:rPr>
                      <w:rFonts w:hint="eastAsia" w:ascii="宋体" w:hAnsi="宋体"/>
                      <w:color w:val="FF0000"/>
                      <w:sz w:val="24"/>
                    </w:rPr>
                    <w:t>强制性</w:t>
                  </w:r>
                </w:p>
              </w:tc>
              <w:tc>
                <w:tcPr>
                  <w:tcW w:w="1824" w:type="dxa"/>
                  <w:noWrap w:val="0"/>
                  <w:vAlign w:val="center"/>
                </w:tcPr>
                <w:p>
                  <w:pPr>
                    <w:rPr>
                      <w:rFonts w:ascii="宋体" w:hAnsi="宋体"/>
                      <w:color w:val="FF0000"/>
                      <w:sz w:val="24"/>
                    </w:rPr>
                  </w:pPr>
                  <w:r>
                    <w:rPr>
                      <w:rFonts w:ascii="宋体" w:hAnsi="宋体"/>
                      <w:color w:val="FF0000"/>
                      <w:sz w:val="24"/>
                    </w:rPr>
                    <w:t>SZJG52-2016</w:t>
                  </w:r>
                  <w:r>
                    <w:rPr>
                      <w:rFonts w:hint="eastAsia" w:ascii="宋体" w:hAnsi="宋体"/>
                      <w:color w:val="FF0000"/>
                      <w:sz w:val="24"/>
                    </w:rPr>
                    <w:t xml:space="preserve">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pPr>
                    <w:jc w:val="center"/>
                    <w:rPr>
                      <w:rFonts w:ascii="宋体" w:hAnsi="宋体"/>
                      <w:color w:val="FF0000"/>
                      <w:sz w:val="24"/>
                    </w:rPr>
                  </w:pPr>
                  <w:r>
                    <w:rPr>
                      <w:rFonts w:hint="eastAsia" w:ascii="宋体" w:hAnsi="宋体"/>
                      <w:color w:val="FF0000"/>
                      <w:sz w:val="24"/>
                    </w:rPr>
                    <w:t>3</w:t>
                  </w:r>
                </w:p>
              </w:tc>
              <w:tc>
                <w:tcPr>
                  <w:tcW w:w="2004" w:type="dxa"/>
                  <w:noWrap w:val="0"/>
                  <w:vAlign w:val="center"/>
                </w:tcPr>
                <w:p>
                  <w:pPr>
                    <w:rPr>
                      <w:rFonts w:ascii="宋体" w:hAnsi="宋体"/>
                      <w:color w:val="FF0000"/>
                      <w:sz w:val="24"/>
                    </w:rPr>
                  </w:pPr>
                  <w:r>
                    <w:rPr>
                      <w:rFonts w:hint="eastAsia" w:ascii="宋体" w:hAnsi="宋体"/>
                      <w:color w:val="FF0000"/>
                      <w:sz w:val="24"/>
                    </w:rPr>
                    <w:t>甲苯释放量</w:t>
                  </w:r>
                </w:p>
              </w:tc>
              <w:tc>
                <w:tcPr>
                  <w:tcW w:w="1559" w:type="dxa"/>
                  <w:noWrap w:val="0"/>
                  <w:vAlign w:val="center"/>
                </w:tcPr>
                <w:p>
                  <w:pPr>
                    <w:rPr>
                      <w:rFonts w:ascii="宋体" w:hAnsi="宋体"/>
                      <w:color w:val="FF0000"/>
                      <w:sz w:val="24"/>
                    </w:rPr>
                  </w:pPr>
                  <w:r>
                    <w:rPr>
                      <w:rFonts w:ascii="宋体" w:hAnsi="宋体"/>
                      <w:color w:val="FF0000"/>
                      <w:sz w:val="24"/>
                    </w:rPr>
                    <w:t>SZJG52-2016</w:t>
                  </w:r>
                </w:p>
              </w:tc>
              <w:tc>
                <w:tcPr>
                  <w:tcW w:w="1134" w:type="dxa"/>
                  <w:noWrap w:val="0"/>
                  <w:vAlign w:val="center"/>
                </w:tcPr>
                <w:p>
                  <w:pPr>
                    <w:rPr>
                      <w:rFonts w:ascii="宋体" w:hAnsi="宋体"/>
                      <w:color w:val="FF0000"/>
                      <w:sz w:val="24"/>
                    </w:rPr>
                  </w:pPr>
                  <w:r>
                    <w:rPr>
                      <w:rFonts w:hint="eastAsia" w:ascii="宋体" w:hAnsi="宋体"/>
                      <w:color w:val="FF0000"/>
                      <w:sz w:val="24"/>
                    </w:rPr>
                    <w:t>强制性</w:t>
                  </w:r>
                </w:p>
              </w:tc>
              <w:tc>
                <w:tcPr>
                  <w:tcW w:w="1824" w:type="dxa"/>
                  <w:noWrap w:val="0"/>
                  <w:vAlign w:val="center"/>
                </w:tcPr>
                <w:p>
                  <w:pPr>
                    <w:rPr>
                      <w:rFonts w:ascii="宋体" w:hAnsi="宋体"/>
                      <w:color w:val="FF0000"/>
                      <w:sz w:val="24"/>
                    </w:rPr>
                  </w:pPr>
                  <w:r>
                    <w:rPr>
                      <w:rFonts w:ascii="宋体" w:hAnsi="宋体"/>
                      <w:color w:val="FF0000"/>
                      <w:sz w:val="24"/>
                    </w:rPr>
                    <w:t>SZJG52-2016</w:t>
                  </w:r>
                  <w:r>
                    <w:rPr>
                      <w:rFonts w:hint="eastAsia" w:ascii="宋体" w:hAnsi="宋体"/>
                      <w:color w:val="FF0000"/>
                      <w:sz w:val="24"/>
                    </w:rPr>
                    <w:t xml:space="preserve">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pPr>
                    <w:jc w:val="center"/>
                    <w:rPr>
                      <w:rFonts w:ascii="宋体" w:hAnsi="宋体"/>
                      <w:color w:val="FF0000"/>
                      <w:sz w:val="24"/>
                    </w:rPr>
                  </w:pPr>
                  <w:r>
                    <w:rPr>
                      <w:rFonts w:hint="eastAsia" w:ascii="宋体" w:hAnsi="宋体"/>
                      <w:color w:val="FF0000"/>
                      <w:sz w:val="24"/>
                    </w:rPr>
                    <w:t>4</w:t>
                  </w:r>
                </w:p>
              </w:tc>
              <w:tc>
                <w:tcPr>
                  <w:tcW w:w="2004" w:type="dxa"/>
                  <w:noWrap w:val="0"/>
                  <w:vAlign w:val="center"/>
                </w:tcPr>
                <w:p>
                  <w:pPr>
                    <w:rPr>
                      <w:rFonts w:ascii="宋体" w:hAnsi="宋体"/>
                      <w:color w:val="FF0000"/>
                      <w:sz w:val="24"/>
                    </w:rPr>
                  </w:pPr>
                  <w:r>
                    <w:rPr>
                      <w:rFonts w:hint="eastAsia" w:ascii="宋体" w:hAnsi="宋体"/>
                      <w:color w:val="FF0000"/>
                      <w:sz w:val="24"/>
                    </w:rPr>
                    <w:t>二甲苯释放量</w:t>
                  </w:r>
                </w:p>
              </w:tc>
              <w:tc>
                <w:tcPr>
                  <w:tcW w:w="1559" w:type="dxa"/>
                  <w:noWrap w:val="0"/>
                  <w:vAlign w:val="center"/>
                </w:tcPr>
                <w:p>
                  <w:pPr>
                    <w:rPr>
                      <w:rFonts w:ascii="宋体" w:hAnsi="宋体"/>
                      <w:color w:val="FF0000"/>
                      <w:sz w:val="24"/>
                    </w:rPr>
                  </w:pPr>
                  <w:r>
                    <w:rPr>
                      <w:rFonts w:ascii="宋体" w:hAnsi="宋体"/>
                      <w:color w:val="FF0000"/>
                      <w:sz w:val="24"/>
                    </w:rPr>
                    <w:t>SZJG52-2016</w:t>
                  </w:r>
                </w:p>
              </w:tc>
              <w:tc>
                <w:tcPr>
                  <w:tcW w:w="1134" w:type="dxa"/>
                  <w:noWrap w:val="0"/>
                  <w:vAlign w:val="center"/>
                </w:tcPr>
                <w:p>
                  <w:pPr>
                    <w:rPr>
                      <w:rFonts w:ascii="宋体" w:hAnsi="宋体"/>
                      <w:color w:val="FF0000"/>
                      <w:sz w:val="24"/>
                    </w:rPr>
                  </w:pPr>
                  <w:r>
                    <w:rPr>
                      <w:rFonts w:hint="eastAsia" w:ascii="宋体" w:hAnsi="宋体"/>
                      <w:color w:val="FF0000"/>
                      <w:sz w:val="24"/>
                    </w:rPr>
                    <w:t>强制性</w:t>
                  </w:r>
                </w:p>
              </w:tc>
              <w:tc>
                <w:tcPr>
                  <w:tcW w:w="1824" w:type="dxa"/>
                  <w:noWrap w:val="0"/>
                  <w:vAlign w:val="center"/>
                </w:tcPr>
                <w:p>
                  <w:pPr>
                    <w:rPr>
                      <w:rFonts w:ascii="宋体" w:hAnsi="宋体"/>
                      <w:color w:val="FF0000"/>
                      <w:sz w:val="24"/>
                    </w:rPr>
                  </w:pPr>
                  <w:r>
                    <w:rPr>
                      <w:rFonts w:ascii="宋体" w:hAnsi="宋体"/>
                      <w:color w:val="FF0000"/>
                      <w:sz w:val="24"/>
                    </w:rPr>
                    <w:t>SZJG52-2016</w:t>
                  </w:r>
                  <w:r>
                    <w:rPr>
                      <w:rFonts w:hint="eastAsia" w:ascii="宋体" w:hAnsi="宋体"/>
                      <w:color w:val="FF0000"/>
                      <w:sz w:val="24"/>
                    </w:rPr>
                    <w:t xml:space="preserve">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pPr>
                    <w:jc w:val="center"/>
                    <w:rPr>
                      <w:rFonts w:ascii="宋体" w:hAnsi="宋体"/>
                      <w:color w:val="FF0000"/>
                      <w:sz w:val="24"/>
                    </w:rPr>
                  </w:pPr>
                  <w:r>
                    <w:rPr>
                      <w:rFonts w:hint="eastAsia" w:ascii="宋体" w:hAnsi="宋体"/>
                      <w:color w:val="FF0000"/>
                      <w:sz w:val="24"/>
                    </w:rPr>
                    <w:t>5</w:t>
                  </w:r>
                </w:p>
              </w:tc>
              <w:tc>
                <w:tcPr>
                  <w:tcW w:w="2004" w:type="dxa"/>
                  <w:noWrap w:val="0"/>
                  <w:vAlign w:val="center"/>
                </w:tcPr>
                <w:p>
                  <w:pPr>
                    <w:rPr>
                      <w:rFonts w:ascii="宋体" w:hAnsi="宋体"/>
                      <w:color w:val="FF0000"/>
                      <w:sz w:val="24"/>
                    </w:rPr>
                  </w:pPr>
                  <w:r>
                    <w:rPr>
                      <w:rFonts w:hint="eastAsia" w:ascii="宋体" w:hAnsi="宋体"/>
                      <w:color w:val="FF0000"/>
                      <w:sz w:val="24"/>
                    </w:rPr>
                    <w:t>总挥发性有机化合物（TVOC</w:t>
                  </w:r>
                  <w:r>
                    <w:rPr>
                      <w:rFonts w:ascii="宋体" w:hAnsi="宋体"/>
                      <w:color w:val="FF0000"/>
                      <w:sz w:val="24"/>
                    </w:rPr>
                    <w:t>）</w:t>
                  </w:r>
                  <w:r>
                    <w:rPr>
                      <w:rFonts w:hint="eastAsia" w:ascii="宋体" w:hAnsi="宋体"/>
                      <w:color w:val="FF0000"/>
                      <w:sz w:val="24"/>
                    </w:rPr>
                    <w:t>释放量</w:t>
                  </w:r>
                </w:p>
              </w:tc>
              <w:tc>
                <w:tcPr>
                  <w:tcW w:w="1559" w:type="dxa"/>
                  <w:noWrap w:val="0"/>
                  <w:vAlign w:val="center"/>
                </w:tcPr>
                <w:p>
                  <w:pPr>
                    <w:rPr>
                      <w:rFonts w:ascii="宋体" w:hAnsi="宋体"/>
                      <w:color w:val="FF0000"/>
                      <w:sz w:val="24"/>
                    </w:rPr>
                  </w:pPr>
                  <w:r>
                    <w:rPr>
                      <w:rFonts w:ascii="宋体" w:hAnsi="宋体"/>
                      <w:color w:val="FF0000"/>
                      <w:sz w:val="24"/>
                    </w:rPr>
                    <w:t>SZJG52-2016</w:t>
                  </w:r>
                </w:p>
              </w:tc>
              <w:tc>
                <w:tcPr>
                  <w:tcW w:w="1134" w:type="dxa"/>
                  <w:noWrap w:val="0"/>
                  <w:vAlign w:val="center"/>
                </w:tcPr>
                <w:p>
                  <w:pPr>
                    <w:rPr>
                      <w:rFonts w:ascii="宋体" w:hAnsi="宋体"/>
                      <w:color w:val="FF0000"/>
                      <w:sz w:val="24"/>
                    </w:rPr>
                  </w:pPr>
                  <w:r>
                    <w:rPr>
                      <w:rFonts w:hint="eastAsia" w:ascii="宋体" w:hAnsi="宋体"/>
                      <w:color w:val="FF0000"/>
                      <w:sz w:val="24"/>
                    </w:rPr>
                    <w:t>强制性</w:t>
                  </w:r>
                </w:p>
              </w:tc>
              <w:tc>
                <w:tcPr>
                  <w:tcW w:w="1824" w:type="dxa"/>
                  <w:noWrap w:val="0"/>
                  <w:vAlign w:val="center"/>
                </w:tcPr>
                <w:p>
                  <w:pPr>
                    <w:rPr>
                      <w:rFonts w:ascii="宋体" w:hAnsi="宋体"/>
                      <w:color w:val="FF0000"/>
                      <w:sz w:val="24"/>
                    </w:rPr>
                  </w:pPr>
                  <w:r>
                    <w:rPr>
                      <w:rFonts w:ascii="宋体" w:hAnsi="宋体"/>
                      <w:color w:val="FF0000"/>
                      <w:sz w:val="24"/>
                    </w:rPr>
                    <w:t>SZJG52-2016</w:t>
                  </w:r>
                  <w:r>
                    <w:rPr>
                      <w:rFonts w:hint="eastAsia" w:ascii="宋体" w:hAnsi="宋体"/>
                      <w:color w:val="FF0000"/>
                      <w:sz w:val="24"/>
                    </w:rPr>
                    <w:t xml:space="preserve"> GB/T31106-2014</w:t>
                  </w:r>
                </w:p>
              </w:tc>
            </w:tr>
          </w:tbl>
          <w:p>
            <w:pPr>
              <w:rPr>
                <w:rFonts w:hint="eastAsia" w:ascii="宋体" w:hAnsi="宋体" w:eastAsia="宋体" w:cs="Times New Roman"/>
                <w:bCs/>
                <w:color w:val="FF0000"/>
                <w:szCs w:val="21"/>
              </w:rPr>
            </w:pPr>
          </w:p>
          <w:p>
            <w:pPr>
              <w:rPr>
                <w:rFonts w:hint="eastAsia" w:ascii="宋体" w:hAnsi="宋体" w:eastAsia="宋体" w:cs="Times New Roman"/>
                <w:bCs/>
                <w:color w:val="FF0000"/>
                <w:szCs w:val="21"/>
              </w:rPr>
            </w:pPr>
            <w:r>
              <w:rPr>
                <w:rFonts w:hint="eastAsia" w:ascii="宋体" w:hAnsi="宋体" w:eastAsia="宋体" w:cs="Times New Roman"/>
                <w:bCs/>
                <w:color w:val="FF0000"/>
                <w:szCs w:val="21"/>
              </w:rPr>
              <w:t>②含家具或装修的功能室应当另行提供室内环境污染检测报告。按照国家《室内空气质量标准》（GB/T 18883-2002）中的标准进行检测并合格（至少包括以下五项，如有更新则以最新标准为准）：</w:t>
            </w:r>
          </w:p>
          <w:tbl>
            <w:tblPr>
              <w:tblStyle w:val="16"/>
              <w:tblW w:w="6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311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1404" w:type="dxa"/>
                  <w:noWrap w:val="0"/>
                  <w:vAlign w:val="center"/>
                </w:tcPr>
                <w:p>
                  <w:pPr>
                    <w:snapToGrid w:val="0"/>
                    <w:jc w:val="center"/>
                    <w:rPr>
                      <w:rFonts w:ascii="宋体" w:hAnsi="宋体"/>
                      <w:color w:val="FF0000"/>
                      <w:sz w:val="24"/>
                    </w:rPr>
                  </w:pPr>
                  <w:r>
                    <w:rPr>
                      <w:rFonts w:hint="eastAsia" w:ascii="宋体" w:hAnsi="宋体"/>
                      <w:color w:val="FF0000"/>
                      <w:sz w:val="24"/>
                    </w:rPr>
                    <w:t>序号</w:t>
                  </w:r>
                </w:p>
              </w:tc>
              <w:tc>
                <w:tcPr>
                  <w:tcW w:w="3119" w:type="dxa"/>
                  <w:noWrap w:val="0"/>
                  <w:vAlign w:val="center"/>
                </w:tcPr>
                <w:p>
                  <w:pPr>
                    <w:snapToGrid w:val="0"/>
                    <w:jc w:val="center"/>
                    <w:rPr>
                      <w:rFonts w:ascii="宋体" w:hAnsi="宋体"/>
                      <w:color w:val="FF0000"/>
                      <w:sz w:val="24"/>
                    </w:rPr>
                  </w:pPr>
                  <w:r>
                    <w:rPr>
                      <w:rFonts w:hint="eastAsia" w:ascii="宋体" w:hAnsi="宋体"/>
                      <w:color w:val="FF0000"/>
                      <w:sz w:val="24"/>
                    </w:rPr>
                    <w:t>检验项目</w:t>
                  </w:r>
                </w:p>
              </w:tc>
              <w:tc>
                <w:tcPr>
                  <w:tcW w:w="2459" w:type="dxa"/>
                  <w:noWrap w:val="0"/>
                  <w:vAlign w:val="center"/>
                </w:tcPr>
                <w:p>
                  <w:pPr>
                    <w:snapToGrid w:val="0"/>
                    <w:jc w:val="center"/>
                    <w:rPr>
                      <w:rFonts w:ascii="宋体" w:hAnsi="宋体"/>
                      <w:color w:val="FF0000"/>
                      <w:sz w:val="24"/>
                    </w:rPr>
                  </w:pPr>
                  <w:r>
                    <w:rPr>
                      <w:rFonts w:hint="eastAsia" w:ascii="宋体" w:hAnsi="宋体"/>
                      <w:color w:val="FF0000"/>
                      <w:sz w:val="24"/>
                    </w:rPr>
                    <w:t>依据法律法规或标准条款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jc w:val="center"/>
                    <w:rPr>
                      <w:rFonts w:ascii="宋体" w:hAnsi="宋体"/>
                      <w:color w:val="FF0000"/>
                      <w:sz w:val="24"/>
                    </w:rPr>
                  </w:pPr>
                  <w:r>
                    <w:rPr>
                      <w:rFonts w:hint="eastAsia" w:ascii="宋体" w:hAnsi="宋体"/>
                      <w:color w:val="FF0000"/>
                      <w:sz w:val="24"/>
                    </w:rPr>
                    <w:t>1</w:t>
                  </w:r>
                </w:p>
              </w:tc>
              <w:tc>
                <w:tcPr>
                  <w:tcW w:w="3119" w:type="dxa"/>
                  <w:noWrap w:val="0"/>
                  <w:vAlign w:val="center"/>
                </w:tcPr>
                <w:p>
                  <w:pPr>
                    <w:rPr>
                      <w:rFonts w:ascii="宋体" w:hAnsi="宋体"/>
                      <w:color w:val="FF0000"/>
                      <w:sz w:val="24"/>
                    </w:rPr>
                  </w:pPr>
                  <w:r>
                    <w:rPr>
                      <w:rFonts w:hint="eastAsia" w:ascii="宋体" w:hAnsi="宋体"/>
                      <w:color w:val="FF0000"/>
                      <w:sz w:val="24"/>
                    </w:rPr>
                    <w:t>甲醛</w:t>
                  </w:r>
                </w:p>
              </w:tc>
              <w:tc>
                <w:tcPr>
                  <w:tcW w:w="2459" w:type="dxa"/>
                  <w:noWrap w:val="0"/>
                  <w:vAlign w:val="center"/>
                </w:tcPr>
                <w:p>
                  <w:pPr>
                    <w:rPr>
                      <w:rFonts w:ascii="宋体" w:hAnsi="宋体"/>
                      <w:color w:val="FF0000"/>
                      <w:sz w:val="24"/>
                    </w:rPr>
                  </w:pPr>
                  <w:r>
                    <w:rPr>
                      <w:rFonts w:ascii="宋体" w:hAnsi="宋体"/>
                      <w:color w:val="FF0000"/>
                      <w:sz w:val="24"/>
                    </w:rPr>
                    <w:t>GB</w:t>
                  </w:r>
                  <w:r>
                    <w:rPr>
                      <w:rFonts w:hint="eastAsia" w:ascii="宋体" w:hAnsi="宋体"/>
                      <w:color w:val="FF0000"/>
                      <w:sz w:val="24"/>
                    </w:rPr>
                    <w:t>/</w:t>
                  </w:r>
                  <w:r>
                    <w:rPr>
                      <w:rFonts w:ascii="宋体" w:hAnsi="宋体"/>
                      <w:color w:val="FF0000"/>
                      <w:sz w:val="24"/>
                    </w:rPr>
                    <w:t>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jc w:val="center"/>
                    <w:rPr>
                      <w:rFonts w:ascii="宋体" w:hAnsi="宋体"/>
                      <w:color w:val="FF0000"/>
                      <w:sz w:val="24"/>
                    </w:rPr>
                  </w:pPr>
                  <w:r>
                    <w:rPr>
                      <w:rFonts w:hint="eastAsia" w:ascii="宋体" w:hAnsi="宋体"/>
                      <w:color w:val="FF0000"/>
                      <w:sz w:val="24"/>
                    </w:rPr>
                    <w:t>2</w:t>
                  </w:r>
                </w:p>
              </w:tc>
              <w:tc>
                <w:tcPr>
                  <w:tcW w:w="3119" w:type="dxa"/>
                  <w:noWrap w:val="0"/>
                  <w:vAlign w:val="center"/>
                </w:tcPr>
                <w:p>
                  <w:pPr>
                    <w:rPr>
                      <w:rFonts w:ascii="宋体" w:hAnsi="宋体"/>
                      <w:color w:val="FF0000"/>
                      <w:sz w:val="24"/>
                    </w:rPr>
                  </w:pPr>
                  <w:r>
                    <w:rPr>
                      <w:rFonts w:hint="eastAsia" w:ascii="宋体" w:hAnsi="宋体"/>
                      <w:color w:val="FF0000"/>
                      <w:sz w:val="24"/>
                    </w:rPr>
                    <w:t>苯</w:t>
                  </w:r>
                </w:p>
              </w:tc>
              <w:tc>
                <w:tcPr>
                  <w:tcW w:w="2459" w:type="dxa"/>
                  <w:noWrap w:val="0"/>
                  <w:vAlign w:val="center"/>
                </w:tcPr>
                <w:p>
                  <w:pPr>
                    <w:rPr>
                      <w:rFonts w:ascii="宋体" w:hAnsi="宋体"/>
                      <w:color w:val="FF0000"/>
                      <w:sz w:val="24"/>
                    </w:rPr>
                  </w:pPr>
                  <w:r>
                    <w:rPr>
                      <w:rFonts w:ascii="宋体" w:hAnsi="宋体"/>
                      <w:color w:val="FF0000"/>
                      <w:sz w:val="24"/>
                    </w:rPr>
                    <w:t>GB</w:t>
                  </w:r>
                  <w:r>
                    <w:rPr>
                      <w:rFonts w:hint="eastAsia" w:ascii="宋体" w:hAnsi="宋体"/>
                      <w:color w:val="FF0000"/>
                      <w:sz w:val="24"/>
                    </w:rPr>
                    <w:t>/</w:t>
                  </w:r>
                  <w:r>
                    <w:rPr>
                      <w:rFonts w:ascii="宋体" w:hAnsi="宋体"/>
                      <w:color w:val="FF0000"/>
                      <w:sz w:val="24"/>
                    </w:rPr>
                    <w:t>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jc w:val="center"/>
                    <w:rPr>
                      <w:rFonts w:ascii="宋体" w:hAnsi="宋体"/>
                      <w:color w:val="FF0000"/>
                      <w:sz w:val="24"/>
                    </w:rPr>
                  </w:pPr>
                  <w:r>
                    <w:rPr>
                      <w:rFonts w:hint="eastAsia" w:ascii="宋体" w:hAnsi="宋体"/>
                      <w:color w:val="FF0000"/>
                      <w:sz w:val="24"/>
                    </w:rPr>
                    <w:t>3</w:t>
                  </w:r>
                </w:p>
              </w:tc>
              <w:tc>
                <w:tcPr>
                  <w:tcW w:w="3119" w:type="dxa"/>
                  <w:noWrap w:val="0"/>
                  <w:vAlign w:val="center"/>
                </w:tcPr>
                <w:p>
                  <w:pPr>
                    <w:rPr>
                      <w:rFonts w:ascii="宋体" w:hAnsi="宋体"/>
                      <w:color w:val="FF0000"/>
                      <w:sz w:val="24"/>
                    </w:rPr>
                  </w:pPr>
                  <w:r>
                    <w:rPr>
                      <w:rFonts w:hint="eastAsia" w:ascii="宋体" w:hAnsi="宋体"/>
                      <w:color w:val="FF0000"/>
                      <w:sz w:val="24"/>
                    </w:rPr>
                    <w:t>甲苯</w:t>
                  </w:r>
                </w:p>
              </w:tc>
              <w:tc>
                <w:tcPr>
                  <w:tcW w:w="2459" w:type="dxa"/>
                  <w:noWrap w:val="0"/>
                  <w:vAlign w:val="center"/>
                </w:tcPr>
                <w:p>
                  <w:pPr>
                    <w:rPr>
                      <w:rFonts w:ascii="宋体" w:hAnsi="宋体"/>
                      <w:color w:val="FF0000"/>
                      <w:sz w:val="24"/>
                    </w:rPr>
                  </w:pPr>
                  <w:r>
                    <w:rPr>
                      <w:rFonts w:ascii="宋体" w:hAnsi="宋体"/>
                      <w:color w:val="FF0000"/>
                      <w:sz w:val="24"/>
                    </w:rPr>
                    <w:t>GB</w:t>
                  </w:r>
                  <w:r>
                    <w:rPr>
                      <w:rFonts w:hint="eastAsia" w:ascii="宋体" w:hAnsi="宋体"/>
                      <w:color w:val="FF0000"/>
                      <w:sz w:val="24"/>
                    </w:rPr>
                    <w:t>/</w:t>
                  </w:r>
                  <w:r>
                    <w:rPr>
                      <w:rFonts w:ascii="宋体" w:hAnsi="宋体"/>
                      <w:color w:val="FF0000"/>
                      <w:sz w:val="24"/>
                    </w:rPr>
                    <w:t>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jc w:val="center"/>
                    <w:rPr>
                      <w:rFonts w:ascii="宋体" w:hAnsi="宋体"/>
                      <w:color w:val="FF0000"/>
                      <w:sz w:val="24"/>
                    </w:rPr>
                  </w:pPr>
                  <w:r>
                    <w:rPr>
                      <w:rFonts w:hint="eastAsia" w:ascii="宋体" w:hAnsi="宋体"/>
                      <w:color w:val="FF0000"/>
                      <w:sz w:val="24"/>
                    </w:rPr>
                    <w:t>4</w:t>
                  </w:r>
                </w:p>
              </w:tc>
              <w:tc>
                <w:tcPr>
                  <w:tcW w:w="3119" w:type="dxa"/>
                  <w:noWrap w:val="0"/>
                  <w:vAlign w:val="center"/>
                </w:tcPr>
                <w:p>
                  <w:pPr>
                    <w:rPr>
                      <w:rFonts w:ascii="宋体" w:hAnsi="宋体"/>
                      <w:color w:val="FF0000"/>
                      <w:sz w:val="24"/>
                    </w:rPr>
                  </w:pPr>
                  <w:r>
                    <w:rPr>
                      <w:rFonts w:hint="eastAsia" w:ascii="宋体" w:hAnsi="宋体"/>
                      <w:color w:val="FF0000"/>
                      <w:sz w:val="24"/>
                    </w:rPr>
                    <w:t>二甲苯</w:t>
                  </w:r>
                </w:p>
              </w:tc>
              <w:tc>
                <w:tcPr>
                  <w:tcW w:w="2459" w:type="dxa"/>
                  <w:noWrap w:val="0"/>
                  <w:vAlign w:val="center"/>
                </w:tcPr>
                <w:p>
                  <w:pPr>
                    <w:rPr>
                      <w:rFonts w:ascii="宋体" w:hAnsi="宋体"/>
                      <w:color w:val="FF0000"/>
                      <w:sz w:val="24"/>
                    </w:rPr>
                  </w:pPr>
                  <w:r>
                    <w:rPr>
                      <w:rFonts w:ascii="宋体" w:hAnsi="宋体"/>
                      <w:color w:val="FF0000"/>
                      <w:sz w:val="24"/>
                    </w:rPr>
                    <w:t>GB</w:t>
                  </w:r>
                  <w:r>
                    <w:rPr>
                      <w:rFonts w:hint="eastAsia" w:ascii="宋体" w:hAnsi="宋体"/>
                      <w:color w:val="FF0000"/>
                      <w:sz w:val="24"/>
                    </w:rPr>
                    <w:t>/</w:t>
                  </w:r>
                  <w:r>
                    <w:rPr>
                      <w:rFonts w:ascii="宋体" w:hAnsi="宋体"/>
                      <w:color w:val="FF0000"/>
                      <w:sz w:val="24"/>
                    </w:rPr>
                    <w:t>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jc w:val="center"/>
                    <w:rPr>
                      <w:rFonts w:ascii="宋体" w:hAnsi="宋体"/>
                      <w:color w:val="FF0000"/>
                      <w:sz w:val="24"/>
                    </w:rPr>
                  </w:pPr>
                  <w:r>
                    <w:rPr>
                      <w:rFonts w:hint="eastAsia" w:ascii="宋体" w:hAnsi="宋体"/>
                      <w:color w:val="FF0000"/>
                      <w:sz w:val="24"/>
                    </w:rPr>
                    <w:t>5</w:t>
                  </w:r>
                </w:p>
              </w:tc>
              <w:tc>
                <w:tcPr>
                  <w:tcW w:w="3119" w:type="dxa"/>
                  <w:noWrap w:val="0"/>
                  <w:vAlign w:val="center"/>
                </w:tcPr>
                <w:p>
                  <w:pPr>
                    <w:rPr>
                      <w:rFonts w:ascii="宋体" w:hAnsi="宋体"/>
                      <w:color w:val="FF0000"/>
                      <w:sz w:val="24"/>
                    </w:rPr>
                  </w:pPr>
                  <w:r>
                    <w:rPr>
                      <w:rFonts w:hint="eastAsia" w:ascii="宋体" w:hAnsi="宋体"/>
                      <w:color w:val="FF0000"/>
                      <w:sz w:val="24"/>
                    </w:rPr>
                    <w:t>总挥发性有机化合物（TVOC</w:t>
                  </w:r>
                  <w:r>
                    <w:rPr>
                      <w:rFonts w:ascii="宋体" w:hAnsi="宋体"/>
                      <w:color w:val="FF0000"/>
                      <w:sz w:val="24"/>
                    </w:rPr>
                    <w:t>）</w:t>
                  </w:r>
                </w:p>
              </w:tc>
              <w:tc>
                <w:tcPr>
                  <w:tcW w:w="2459" w:type="dxa"/>
                  <w:noWrap w:val="0"/>
                  <w:vAlign w:val="center"/>
                </w:tcPr>
                <w:p>
                  <w:pPr>
                    <w:rPr>
                      <w:rFonts w:ascii="宋体" w:hAnsi="宋体"/>
                      <w:color w:val="FF0000"/>
                      <w:sz w:val="24"/>
                    </w:rPr>
                  </w:pPr>
                  <w:r>
                    <w:rPr>
                      <w:rFonts w:ascii="宋体" w:hAnsi="宋体"/>
                      <w:color w:val="FF0000"/>
                      <w:sz w:val="24"/>
                    </w:rPr>
                    <w:t>GB</w:t>
                  </w:r>
                  <w:r>
                    <w:rPr>
                      <w:rFonts w:hint="eastAsia" w:ascii="宋体" w:hAnsi="宋体"/>
                      <w:color w:val="FF0000"/>
                      <w:sz w:val="24"/>
                    </w:rPr>
                    <w:t>/</w:t>
                  </w:r>
                  <w:r>
                    <w:rPr>
                      <w:rFonts w:ascii="宋体" w:hAnsi="宋体"/>
                      <w:color w:val="FF0000"/>
                      <w:sz w:val="24"/>
                    </w:rPr>
                    <w:t>T 18883-2002</w:t>
                  </w:r>
                </w:p>
              </w:tc>
            </w:tr>
          </w:tbl>
          <w:p>
            <w:pPr>
              <w:rPr>
                <w:rFonts w:hint="eastAsia" w:ascii="宋体" w:hAnsi="宋体" w:eastAsia="宋体" w:cs="Times New Roman"/>
                <w:bCs/>
                <w:color w:val="FF0000"/>
                <w:szCs w:val="21"/>
              </w:rPr>
            </w:pPr>
          </w:p>
        </w:tc>
      </w:tr>
    </w:tbl>
    <w:p>
      <w:pPr>
        <w:spacing w:afterLines="25" w:line="300" w:lineRule="auto"/>
        <w:rPr>
          <w:rFonts w:ascii="Arial" w:hAnsi="Arial" w:eastAsia="宋体" w:cs="Times New Roman"/>
          <w:szCs w:val="24"/>
        </w:rPr>
      </w:pPr>
    </w:p>
    <w:p>
      <w:pPr>
        <w:widowControl/>
        <w:jc w:val="left"/>
        <w:rPr>
          <w:rFonts w:ascii="Arial" w:hAnsi="Arial" w:eastAsia="宋体" w:cs="Times New Roman"/>
          <w:szCs w:val="24"/>
        </w:rPr>
      </w:pPr>
    </w:p>
    <w:p>
      <w:pPr>
        <w:keepNext/>
        <w:keepLines/>
        <w:tabs>
          <w:tab w:val="left" w:pos="1680"/>
        </w:tabs>
        <w:spacing w:before="260"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lang w:val="en-US" w:eastAsia="zh-CN"/>
        </w:rPr>
        <w:t>五</w:t>
      </w:r>
      <w:r>
        <w:rPr>
          <w:rFonts w:hint="eastAsia" w:ascii="Arial" w:hAnsi="Arial" w:eastAsia="宋体" w:cs="Times New Roman"/>
          <w:b/>
          <w:bCs/>
          <w:sz w:val="32"/>
          <w:szCs w:val="32"/>
        </w:rPr>
        <w:t>、技术</w:t>
      </w:r>
      <w:r>
        <w:rPr>
          <w:rFonts w:hint="eastAsia" w:ascii="Arial" w:hAnsi="Arial" w:eastAsia="宋体" w:cs="Times New Roman"/>
          <w:b/>
          <w:bCs/>
          <w:sz w:val="32"/>
          <w:szCs w:val="32"/>
          <w:lang w:val="en-US" w:eastAsia="zh-CN"/>
        </w:rPr>
        <w:t>要求</w:t>
      </w:r>
      <w:r>
        <w:rPr>
          <w:rFonts w:hint="eastAsia" w:ascii="Arial" w:hAnsi="Arial" w:eastAsia="宋体" w:cs="Times New Roman"/>
          <w:b/>
          <w:bCs/>
          <w:sz w:val="32"/>
          <w:szCs w:val="32"/>
        </w:rPr>
        <w:t>部分</w:t>
      </w:r>
    </w:p>
    <w:p>
      <w:pPr>
        <w:rPr>
          <w:rFonts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4、针对招标文件产品技术参数如涉及相关既定值、单向范围值、区间范围值的，投标技术参数响应方式举例说明如下：</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（1）涉及相关既定值的，例：招标技术参数要求值为“20L”，投标技术参数响应值与“20L”不一致的，均视为负偏离；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714"/>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noWrap w:val="0"/>
            <w:vAlign w:val="center"/>
          </w:tcPr>
          <w:p>
            <w:pPr>
              <w:widowControl/>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911" w:type="pct"/>
            <w:noWrap w:val="0"/>
            <w:vAlign w:val="center"/>
          </w:tcPr>
          <w:p>
            <w:pPr>
              <w:widowControl/>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设备名称</w:t>
            </w:r>
          </w:p>
        </w:tc>
        <w:tc>
          <w:tcPr>
            <w:tcW w:w="3566" w:type="pct"/>
            <w:noWrap w:val="0"/>
            <w:vAlign w:val="center"/>
          </w:tcPr>
          <w:p>
            <w:pPr>
              <w:widowControl/>
              <w:spacing w:line="240" w:lineRule="auto"/>
              <w:jc w:val="center"/>
              <w:rPr>
                <w:rFonts w:hint="eastAsia" w:ascii="宋体" w:hAnsi="宋体" w:eastAsia="宋体" w:cs="宋体"/>
                <w:b/>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lang w:val="en-US" w:eastAsia="zh-CN"/>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幼儿桌1</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桌面面板采用20mm厚AA级桦木纹橡胶木板，四角圆R50圆角，边缘部位圆R10圆角，提高使用中的安全性，桌子反面使用倒角刀锣棱边R3圆角的6mm*6mm防变形槽；桌面连接使用20mm厚AA级桦木纹橡胶木板，四角位圆R30圆角，一棱边圆R15圆角；与桌面面板用16颗8mm*30mm防锈丝牙螺丝连接。桌脚为48mm*48mm橡胶木方木，四棱边圆R10圆角，一棱边圆R5圆角，与桌面连接板用4颗7mm*50mm防锈木牙螺丝连接。脚垫采用透明尼龙材质的一体成型脚垫，直径16mm。水性漆采用五底三面工艺。五金件采用电镀工艺；尺寸：长1200mm*宽600mm*高480mm；</w:t>
            </w:r>
          </w:p>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FF"/>
                <w:kern w:val="0"/>
                <w:sz w:val="21"/>
                <w:szCs w:val="21"/>
                <w:highlight w:val="none"/>
                <w:u w:val="none"/>
                <w:lang w:val="en-US" w:eastAsia="zh-CN" w:bidi="ar"/>
              </w:rPr>
              <w:t>▲幼儿桌依据LY/T1985-2011防腐木材和人造板中五氯苯酚含量的测定方法，五氯苯酚含量为未检出；邵氏硬度（D型）符合GB/T 6739-2022  色漆和清漆 铅笔法测定漆膜硬度合格标准；依据GB/T39600-2021 人造板及其制品甲醛释放量分级的测定，甲醛释放量：Enf≤0.025mg/m³ ；依据GB/T 10357.7-2013  家具力学性能试验 第7部分：桌类稳定性，检测结果为无倾翻；依据GB/T 10357.1-2013  家具力学性能试验 第1部分：桌类强度和耐久性，试验结果符合合格标准（所有零件无断裂或豁裂、所有零部件无影响使用功能的磨损或变形）；</w:t>
            </w:r>
            <w:r>
              <w:rPr>
                <w:rStyle w:val="34"/>
                <w:rFonts w:hint="eastAsia" w:ascii="宋体" w:hAnsi="宋体" w:eastAsia="宋体" w:cs="宋体"/>
                <w:b/>
                <w:color w:val="0000FF"/>
                <w:sz w:val="21"/>
                <w:szCs w:val="21"/>
                <w:highlight w:val="none"/>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w:t>
            </w:r>
            <w:r>
              <w:rPr>
                <w:rStyle w:val="34"/>
                <w:rFonts w:hint="eastAsia" w:ascii="宋体" w:hAnsi="宋体" w:eastAsia="宋体" w:cs="宋体"/>
                <w:b/>
                <w:color w:val="0000FF"/>
                <w:sz w:val="21"/>
                <w:szCs w:val="21"/>
                <w:highlight w:val="none"/>
                <w:lang w:eastAsia="zh-CN"/>
              </w:rPr>
              <w:t>。</w:t>
            </w:r>
            <w:r>
              <w:rPr>
                <w:rStyle w:val="34"/>
                <w:rFonts w:hint="eastAsia" w:ascii="宋体" w:hAnsi="宋体" w:eastAsia="宋体" w:cs="宋体"/>
                <w:b/>
                <w:color w:val="0000FF"/>
                <w:sz w:val="21"/>
                <w:szCs w:val="21"/>
                <w:highlight w:val="none"/>
              </w:rPr>
              <w:t>如检验检测报告中明确备注说明相关检验检测项不在检验检测机构CMA资质许可（认定）范围内的，不符合招标文件要求)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幼儿方桌1</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桌面面板采用20mm厚AA级桦木纹橡胶木板，四角圆R50圆角，边缘部位圆R10圆角，提高使用中的安全性，桌子反面使用倒角刀锣棱边R3圆角的6mm*6mm防变形槽；桌面连接使用20mm厚AA级桦木纹橡胶木板，四角位圆R30圆角，一棱边圆R15圆角；与桌面面板用16颗8mm*30mm防锈丝牙螺丝连接。桌脚为48mm*48mm橡胶木方木，四棱边圆R10圆角，一棱边圆R5圆角，与桌面连接板用4颗7mm*50mm防锈木牙螺丝连接。脚垫采用透明尼龙材质的一体成型脚垫，直径16mm。水性漆采用五底三面工艺。五金件采用电镀工艺；尺寸：长600mm*宽600mm*高480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新哈佛椅1</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座高250mm；5.材质：椅背、椅座采用环保安全PP塑胶一次注塑而成。椅腿采用直径25mm钢管弯制而成，表面高级别抗紫外线户外用烤漆处理，不易变色，漆面牢固性好。椅腿底部配以耐磨塑胶PP脚套，对地板等地面材料起到保护作用。</w:t>
            </w:r>
          </w:p>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塑料幼教椅的“椅凳类强度和耐久性”应符合GB/T10357.3-2013的合格标准；“椅凳类稳定性”应符合GB/T10357.2-2013的合格标准；PP塑胶椅背的可迁移元素（锑、砷、钡、镉、铬、铅、汞、硒）通过检第三方检测机构检测应为未检出；幼教椅的PP塑胶椅背的3种增塑剂（DBP、BBP、DHEP及三种之和）通过检第三方检测机构检测应为未检出；</w:t>
            </w:r>
            <w:r>
              <w:rPr>
                <w:rStyle w:val="34"/>
                <w:rFonts w:hint="eastAsia" w:ascii="宋体" w:hAnsi="宋体" w:eastAsia="宋体" w:cs="宋体"/>
                <w:b/>
                <w:color w:val="0000FF"/>
                <w:sz w:val="21"/>
                <w:szCs w:val="21"/>
                <w:highlight w:val="none"/>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w:t>
            </w:r>
            <w:r>
              <w:rPr>
                <w:rStyle w:val="34"/>
                <w:rFonts w:hint="eastAsia" w:ascii="宋体" w:hAnsi="宋体" w:eastAsia="宋体" w:cs="宋体"/>
                <w:b/>
                <w:color w:val="0000FF"/>
                <w:sz w:val="21"/>
                <w:szCs w:val="21"/>
                <w:highlight w:val="none"/>
                <w:lang w:eastAsia="zh-CN"/>
              </w:rPr>
              <w:t>。</w:t>
            </w:r>
            <w:r>
              <w:rPr>
                <w:rStyle w:val="34"/>
                <w:rFonts w:hint="eastAsia" w:ascii="宋体" w:hAnsi="宋体" w:eastAsia="宋体" w:cs="宋体"/>
                <w:b/>
                <w:color w:val="0000FF"/>
                <w:sz w:val="21"/>
                <w:szCs w:val="21"/>
                <w:highlight w:val="none"/>
              </w:rPr>
              <w:t>如检验检测报告中明确备注说明相关检验检测项不在检验检测机构CMA资质许可（认定）范围内的，不符合招标文件要求)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2层矮柜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300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iCs w:val="0"/>
                <w:color w:val="000000"/>
                <w:kern w:val="0"/>
                <w:sz w:val="22"/>
                <w:szCs w:val="22"/>
                <w:highlight w:val="none"/>
                <w:u w:val="none"/>
                <w:lang w:val="en-US" w:eastAsia="zh-CN" w:bidi="ar"/>
              </w:rPr>
              <w:t>美术展示柜A</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油漆采用环保安全水性油漆，五金采用优质环保五金，采用五底三面工艺。可接触棱边圆R2圆角，四面角圆R15圆角。可接触外角圆R2圆角；尺寸：长900mm*宽300mm*</w:t>
            </w:r>
            <w:r>
              <w:rPr>
                <w:rFonts w:hint="eastAsia" w:ascii="宋体" w:hAnsi="宋体" w:eastAsia="宋体" w:cs="宋体"/>
                <w:i w:val="0"/>
                <w:iCs w:val="0"/>
                <w:color w:val="000000"/>
                <w:kern w:val="0"/>
                <w:sz w:val="21"/>
                <w:szCs w:val="21"/>
                <w:highlight w:val="yellow"/>
                <w:u w:val="none"/>
                <w:lang w:val="en-US" w:eastAsia="zh-CN" w:bidi="ar"/>
              </w:rPr>
              <w:t>高</w:t>
            </w:r>
            <w:r>
              <w:rPr>
                <w:rFonts w:hint="eastAsia" w:ascii="宋体" w:hAnsi="宋体" w:eastAsia="宋体" w:cs="宋体"/>
                <w:i w:val="0"/>
                <w:iCs w:val="0"/>
                <w:color w:val="000000"/>
                <w:kern w:val="0"/>
                <w:sz w:val="21"/>
                <w:szCs w:val="21"/>
                <w:highlight w:val="none"/>
                <w:u w:val="none"/>
                <w:lang w:val="en-US" w:eastAsia="zh-CN" w:bidi="ar"/>
              </w:rPr>
              <w:t>1600mm；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双面画板柜（活动）</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800mm*宽520mm*高1250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美术材料架</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500mm*宽300mm*高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美术材料柜（活动）</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800mm*宽380mm*高650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实木3层玩具柜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油漆采用环保安全水性油漆，五金采用优质环保五金，采用五底三面工艺。可接触棱边圆R2圆角，四面角圆R15圆角。可接触外角圆R2圆角，带轮子；尺寸：长900mm*宽300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晾纸架</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300mm*高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实木系统书柜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300mm*高840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蓝色单人拉扣沙发</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规格参数（尺寸允许偏差±5%）：材质：实木框架+环保布+高密度海绵；尺寸：长460mm*宽450mm*高505mm；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蓝色双人拉扣沙发</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规格参数（尺寸允许偏差±5%）：材质：实木框架+环保布+高密度海绵；尺寸：长760mm*宽510mm*高535mm；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实木2层玩具柜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油漆采用环保安全水性油漆，五金采用优质环保五金，采用五底三面工艺。可接触棱边圆R2圆角，四面角圆R15圆角。可接触外角圆R2圆角，带轮子；尺寸：长900mm*宽300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实木阶梯柜（有背板）</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1格柜1个：长300mm*宽300mm*高320mm，2格柜1件：长300mm*宽300mm*高560mm,3格柜1个：长300mm*宽300mm*高805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贩卖柜台</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420*高1300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kern w:val="0"/>
                <w:sz w:val="21"/>
                <w:szCs w:val="21"/>
                <w:highlight w:val="none"/>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整体转角橱柜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尺寸：长1200mm*高750mm*高805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5格分区柜（有背板）</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带背板；尺寸：长900mm*宽300*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双层弧形收纳柜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700mm*宽360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六格活动柜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300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90度内转角柜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500mm*宽500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双层边角收纳柜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300mm*宽300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6格分区柜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300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5格中空分区柜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饰面木齿接板，板件可视面倒R10与R2加强产品的视角圆润性及安全性，油漆采用环保安全水性油漆，采用五底三面工艺，五金采用环保五金电镀，带轮子；尺寸：长900mm*宽300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2层半圆柜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300mm*宽300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12人书包鞋柜（带铭牌）</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尺寸：长1200mm*宽300mm*高1200mm；</w:t>
            </w:r>
          </w:p>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FF"/>
                <w:kern w:val="0"/>
                <w:sz w:val="21"/>
                <w:szCs w:val="21"/>
                <w:highlight w:val="none"/>
                <w:u w:val="none"/>
                <w:lang w:val="en-US" w:eastAsia="zh-CN" w:bidi="ar"/>
              </w:rPr>
              <w:t>▲桦木纹饰面橡胶木齿接板的胶合强度、含水率、表面胶合强度符合GB/T 34722-2017  浸渍胶膜纸饰面胶合板和细木工板合格标准；邵氏硬度（D型）符合GB/T 6739-2022  色漆和清漆 铅笔法测定漆膜硬度合格标准；依据GB/T39600-2021 人造板及其制品甲醛释放量分级的测定，甲醛释放量：Enf≤0.025mg/m³；依据LY/T1985-2011防腐木材和人造板中五氯苯酚含量的测定方法，五氯苯酚含量为未检出；依据GB/T1927.21-2021无疵小试样木材物理力学性质试验方法 第21部分：握钉力测定，握螺钉力：板面板面≧1100N，板边≧7000N；</w:t>
            </w:r>
            <w:r>
              <w:rPr>
                <w:rStyle w:val="34"/>
                <w:rFonts w:hint="eastAsia" w:ascii="宋体" w:hAnsi="宋体" w:eastAsia="宋体" w:cs="宋体"/>
                <w:b/>
                <w:color w:val="0000FF"/>
                <w:sz w:val="21"/>
                <w:szCs w:val="21"/>
                <w:highlight w:val="none"/>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w:t>
            </w:r>
            <w:r>
              <w:rPr>
                <w:rStyle w:val="34"/>
                <w:rFonts w:hint="eastAsia" w:ascii="宋体" w:hAnsi="宋体" w:eastAsia="宋体" w:cs="宋体"/>
                <w:b/>
                <w:color w:val="0000FF"/>
                <w:sz w:val="21"/>
                <w:szCs w:val="21"/>
                <w:highlight w:val="none"/>
                <w:lang w:eastAsia="zh-CN"/>
              </w:rPr>
              <w:t>。</w:t>
            </w:r>
            <w:r>
              <w:rPr>
                <w:rStyle w:val="34"/>
                <w:rFonts w:hint="eastAsia" w:ascii="宋体" w:hAnsi="宋体" w:eastAsia="宋体" w:cs="宋体"/>
                <w:b/>
                <w:color w:val="0000FF"/>
                <w:sz w:val="21"/>
                <w:szCs w:val="21"/>
                <w:highlight w:val="none"/>
              </w:rPr>
              <w:t>如检验检测报告中明确备注说明相关检验检测项不在检验检测机构CMA资质许可（认定）范围内的，不符合招标文件要求)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平板床</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14mm厚橡胶木指接板，睡床边角均为倒圆角，双面光滑结实表面无毛刺，漆料为环保家具专用水性漆，表面经过2底2面水性漆处理；结构：打钉紧装结构（非三合一拆装）；尺寸：长1200mm*宽600mm*高150mm；</w:t>
            </w:r>
          </w:p>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FF"/>
                <w:kern w:val="2"/>
                <w:sz w:val="21"/>
                <w:szCs w:val="21"/>
                <w:highlight w:val="none"/>
                <w:shd w:val="clear" w:color="auto" w:fill="auto"/>
                <w:lang w:val="en-US" w:eastAsia="zh-CN" w:bidi="ar"/>
              </w:rPr>
              <w:t>▲平板床依据LY/T1985-2011防腐木材和人造板中五氯苯酚含量的测定方法，五氯苯酚含量≦30mg/kg；依据GB/T 1927.8-2021  无疵小试样木材物理力学性质试验方法 第8部分：湿胀性测定，2h吸水厚度膨胀率≤8.0%；</w:t>
            </w:r>
            <w:r>
              <w:rPr>
                <w:rStyle w:val="34"/>
                <w:rFonts w:hint="eastAsia" w:ascii="宋体" w:hAnsi="宋体" w:eastAsia="宋体" w:cs="宋体"/>
                <w:b/>
                <w:color w:val="0000FF"/>
                <w:sz w:val="21"/>
                <w:szCs w:val="21"/>
                <w:highlight w:val="none"/>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w:t>
            </w:r>
            <w:r>
              <w:rPr>
                <w:rStyle w:val="34"/>
                <w:rFonts w:hint="eastAsia" w:ascii="宋体" w:hAnsi="宋体" w:eastAsia="宋体" w:cs="宋体"/>
                <w:b/>
                <w:color w:val="0000FF"/>
                <w:sz w:val="21"/>
                <w:szCs w:val="21"/>
                <w:highlight w:val="none"/>
                <w:lang w:eastAsia="zh-CN"/>
              </w:rPr>
              <w:t>。</w:t>
            </w:r>
            <w:r>
              <w:rPr>
                <w:rStyle w:val="34"/>
                <w:rFonts w:hint="eastAsia" w:ascii="宋体" w:hAnsi="宋体" w:eastAsia="宋体" w:cs="宋体"/>
                <w:b/>
                <w:color w:val="0000FF"/>
                <w:sz w:val="21"/>
                <w:szCs w:val="21"/>
                <w:highlight w:val="none"/>
              </w:rPr>
              <w:t>如检验检测报告中明确备注说明相关检验检测项不在检验检测机构CMA资质许可（认定）范围内的，不符合招标文件要求)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便携式可堆叠儿童床</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b w:val="0"/>
                <w:bCs w:val="0"/>
                <w:i w:val="0"/>
                <w:iCs w:val="0"/>
                <w:color w:val="auto"/>
                <w:kern w:val="2"/>
                <w:sz w:val="21"/>
                <w:szCs w:val="21"/>
                <w:highlight w:val="none"/>
                <w:shd w:val="clear" w:color="auto" w:fill="auto"/>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规格参数（尺寸允许偏差±5%）：材质：塑料+铁件尺寸：长1400mm*560mm*200mm,最大载重：50kg；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幼儿园专用水杯柜(35格）</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规格参数（尺寸允许偏差±5%）：材质：合金柜体、亚克力内格，组合式隔层；立体蜂窝软帘R 无忧角，采用软塑胶转角和圆弧形面框；尺寸：长835mm*宽632mm*深128mm；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小班吊柜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规格参数（尺寸允许偏差±5%）：材质：基材：采用浸渍胶膜纸饰面胶合板，柜体框架板材厚度18mm，背板板材厚度9mm。PVC封边条，选用五金件铰链；尺寸：长2400mm*高800mm*深400mm；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幼儿桌2</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桌面面板采用20mm厚AA级桦木纹橡胶木板，四角圆R50圆角，边缘部位圆R10圆角，提高使用中的安全性，桌子反面使用倒角刀锣棱边R3圆角的6mm*6mm防变形槽；桌面连接使用20mm厚AA级桦木纹橡胶木板，四角位圆R30圆角，一棱边圆R15圆角；与桌面面板用16颗8mm*30mm防锈丝牙螺丝连接。桌脚为48mm*48mm橡胶木方木，四棱边圆R10圆角，一棱边圆R5圆角，与桌面连接板用4颗7mm*50mm防锈木牙螺丝连接。脚垫采用透明尼龙材质的一体成型脚垫，直径16mm。水性漆采用五底三面工艺。五金件采用电镀工艺；桌面尺寸：长1200mm*宽600mm*</w:t>
            </w:r>
            <w:r>
              <w:rPr>
                <w:rFonts w:hint="eastAsia" w:ascii="宋体" w:hAnsi="宋体" w:eastAsia="宋体" w:cs="宋体"/>
                <w:i w:val="0"/>
                <w:iCs w:val="0"/>
                <w:color w:val="000000"/>
                <w:kern w:val="0"/>
                <w:sz w:val="21"/>
                <w:szCs w:val="21"/>
                <w:highlight w:val="yellow"/>
                <w:u w:val="none"/>
                <w:lang w:val="en-US" w:eastAsia="zh-CN" w:bidi="ar"/>
              </w:rPr>
              <w:t>高</w:t>
            </w:r>
            <w:r>
              <w:rPr>
                <w:rFonts w:hint="eastAsia" w:ascii="宋体" w:hAnsi="宋体" w:eastAsia="宋体" w:cs="宋体"/>
                <w:i w:val="0"/>
                <w:iCs w:val="0"/>
                <w:color w:val="000000"/>
                <w:kern w:val="0"/>
                <w:sz w:val="21"/>
                <w:szCs w:val="21"/>
                <w:highlight w:val="none"/>
                <w:u w:val="none"/>
                <w:lang w:val="en-US" w:eastAsia="zh-CN" w:bidi="ar"/>
              </w:rPr>
              <w:t>520mm；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幼儿方桌2</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桌面面板采用20mm厚AA级桦木纹橡胶木板，四角圆R50圆角，边缘部位圆R10圆角，提高使用中的安全性，桌子反面使用倒角刀锣棱边R3圆角的6mm*6mm防变形槽；桌面连接使用20mm厚AA级桦木纹橡胶木板，四角位圆R30圆角，一棱边圆R15圆角；与桌面面板用16颗8mm*30mm防锈丝牙螺丝连接。桌脚为48mm*48mm橡胶木方木，四棱边圆R10圆角，一棱边圆R5圆角，与桌面连接板用4颗7mm*50mm防锈木牙螺丝连接。脚垫采用透明尼龙材质的一体成型脚垫，直径16mm。水性漆采用五底三面工艺。五金件采用电镀工艺；桌面尺寸：长600mm*宽600mm*高520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新哈佛椅2</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规格参数（尺寸允许偏差±5%）：座高270mm；材质：椅背、椅座采用环保安全PP塑胶一次注塑而成。椅腿采用直径25mm钢管弯制而成，表面高级别抗紫外线户外用烤漆处理，不易变色，漆面牢固性好。椅腿底部配以耐磨塑胶PP脚套，对地板等地面材料起到保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实木5格收纳柜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300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iCs w:val="0"/>
                <w:color w:val="000000"/>
                <w:kern w:val="0"/>
                <w:sz w:val="22"/>
                <w:szCs w:val="22"/>
                <w:highlight w:val="none"/>
                <w:u w:val="none"/>
                <w:lang w:val="en-US" w:eastAsia="zh-CN" w:bidi="ar"/>
              </w:rPr>
              <w:t>实木3层收纳柜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300mm*高805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基本图书柜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340mm*高805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浅灰单人拉扣沙发</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规格参数（尺寸允许偏差±5%）：材质：实木框架+环保布+高密度海绵；尺寸：长460mm*宽450mm*高505mm；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浅灰双人拉扣沙发</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规格参数（尺寸允许偏差±5%）：材质：实木框架+环保布+高密度海绵；尺寸：长760mm*宽510mm*高535mm；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三层综合收纳柜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300mm*高805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原木3层教具柜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300mm*高620mm（不含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二层S内转角柜</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950mm*宽360mm*高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实木教具柜（含盒）</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1060mm*宽300mm*高805mm（含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幼儿桌3</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桌面面板采用20mm厚AA级桦木纹橡胶木板，四角圆R50圆角，边缘部位圆R10圆角，提高使用中的安全性，桌子反面使用倒角刀锣棱边R3圆角的6mm*6mm防变形槽；桌面连接使用20mm厚AA级桦木纹橡胶木板，四角位圆R30圆角，一棱边圆R15圆角；与桌面面板用16颗8mm*30mm防锈丝牙螺丝连接。桌脚为48mm*48mm橡胶木方木，四棱边圆R10圆角，一棱边圆R5圆角，与桌面连接板用4颗7mm*50mm防锈木牙螺丝连接。脚垫采用环保透明尼龙材质的一体成型脚垫，直径16mm，高抗拉强度、耐磨，保护地板减少噪音。环保净味水性漆，采用五底三面工艺，安全无味，经久耐用，耐黄变、耐磨、易清洁。五金件采用电镀工艺，增强金属耐磨，耐腐蚀，抗氧化，安全无毒；尺寸：长1200mm*宽600mm*</w:t>
            </w:r>
            <w:r>
              <w:rPr>
                <w:rFonts w:hint="eastAsia" w:ascii="宋体" w:hAnsi="宋体" w:eastAsia="宋体" w:cs="宋体"/>
                <w:i w:val="0"/>
                <w:iCs w:val="0"/>
                <w:color w:val="000000"/>
                <w:kern w:val="0"/>
                <w:sz w:val="21"/>
                <w:szCs w:val="21"/>
                <w:highlight w:val="yellow"/>
                <w:u w:val="none"/>
                <w:lang w:val="en-US" w:eastAsia="zh-CN" w:bidi="ar"/>
              </w:rPr>
              <w:t>高</w:t>
            </w:r>
            <w:r>
              <w:rPr>
                <w:rFonts w:hint="eastAsia" w:ascii="宋体" w:hAnsi="宋体" w:eastAsia="宋体" w:cs="宋体"/>
                <w:i w:val="0"/>
                <w:iCs w:val="0"/>
                <w:color w:val="000000"/>
                <w:kern w:val="0"/>
                <w:sz w:val="21"/>
                <w:szCs w:val="21"/>
                <w:highlight w:val="none"/>
                <w:u w:val="none"/>
                <w:lang w:val="en-US" w:eastAsia="zh-CN" w:bidi="ar"/>
              </w:rPr>
              <w:t>560mm；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幼儿方桌3</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桌面面板采用20mm厚AA级桦木纹橡胶木板，四角圆R50圆角，边缘部位圆R10圆角，提高使用中的安全性，桌子反面使用倒角刀锣棱边R3圆角的6mm*6mm防变形槽；桌面连接使用20mm厚AA级桦木纹橡胶木板，四角位圆R30圆角，一棱边圆R15圆角；与桌面面板用16颗8mm*30mm防锈丝牙螺丝连接。桌脚为48mm*48mm橡胶木方木，四棱边圆R10圆角，一棱边圆R5圆角，与桌面连接板用4颗7mm*50mm防锈木牙螺丝连接。脚垫采用环保透明尼龙材质的一体成型脚垫，直径16mm，高抗拉强度、耐磨，保护地板减少噪音。环保净味水性漆，采用五底三面工艺，安全无味，经久耐用，耐黄变、耐磨、易清洁。五金件采用电镀工艺，增强金属耐磨，耐腐蚀，抗氧化，安全无毒；尺寸：长600mm*宽600mm*高560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新哈佛椅3</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座高：290mm；材质：椅背、椅座采用环保安全PP塑胶一次注塑而成。椅腿采用直径25mm钢管弯制而成，表面高级别抗紫外线户外用烤漆处理，不易变色，漆面牢固性好。椅腿底部配以耐磨塑胶PP脚套，对地板等地面材料起到保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双面画柜（活动）</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350mm*高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深灰色单人拉扣沙发</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规格参数（尺寸允许偏差±5%）：材质：实木框架+环保布+高密度海绵；尺寸：长460mm*宽450mm*高505mm；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深灰色双人拉扣沙发</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规格参数（尺寸允许偏差±5%）：材质：实木框架+环保布+高密度海绵；尺寸：长760mm*宽510mm*高535mm；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布偶玩具柜台</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采用15mm厚AA级桦木纹饰面橡胶木齿接板，板件可视面倒R10与R2加强产品的视角圆润性及安全性，油漆采用环保安全水性油漆，采用五底三面工艺，五金采用环保五金电镀，带轮子；尺寸：长900mm*宽300mm*高1300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小号教具篮</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规格参数（尺寸允许偏差±5%）：材质：塑料：尺寸：长330mm*宽280mm*高100mm；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绘画书写板</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长700mm*高550mm，边框材质：铝合金；产品功能：依靠压力改变液晶分子排布，使用任何硬度适中的物体均可书写，书写压力50-300g，笔迹粗细大于4mm，书写延时≤7ms，无需任何耗材，杜绝粉尘污染；可使用板擦和手势对错误字迹进行局部擦除，擦除精度小于10mm*10mm，擦除延时＜60ms；可设置不同的笔迹颜色，可实现重点的标识及批注。</w:t>
            </w:r>
          </w:p>
          <w:p>
            <w:pPr>
              <w:keepNext w:val="0"/>
              <w:keepLines w:val="0"/>
              <w:widowControl/>
              <w:numPr>
                <w:ilvl w:val="0"/>
                <w:numId w:val="2"/>
              </w:numPr>
              <w:suppressLineNumbers w:val="0"/>
              <w:ind w:left="425" w:leftChars="0" w:hanging="425" w:firstLineChars="0"/>
              <w:jc w:val="left"/>
              <w:textAlignment w:val="center"/>
              <w:rPr>
                <w:rStyle w:val="34"/>
                <w:rFonts w:hint="eastAsia" w:ascii="宋体" w:hAnsi="宋体" w:eastAsia="宋体" w:cs="宋体"/>
                <w:b/>
                <w:color w:val="0000FF"/>
                <w:sz w:val="21"/>
                <w:szCs w:val="21"/>
                <w:highlight w:val="none"/>
              </w:rPr>
            </w:pPr>
            <w:r>
              <w:rPr>
                <w:rFonts w:hint="eastAsia" w:ascii="宋体" w:hAnsi="宋体" w:eastAsia="宋体" w:cs="宋体"/>
                <w:i w:val="0"/>
                <w:iCs w:val="0"/>
                <w:color w:val="0000FF"/>
                <w:kern w:val="0"/>
                <w:sz w:val="21"/>
                <w:szCs w:val="21"/>
                <w:highlight w:val="none"/>
                <w:u w:val="none"/>
                <w:lang w:val="en-US" w:eastAsia="zh-CN" w:bidi="ar"/>
              </w:rPr>
              <w:t>▲绘画书写板依据GB/T30263-2013信息技术手写绘画设备通用规范的测试，气候环境适应性工作环境在0-40℃符合要求、相对湿度在20-80%符合要求、大气压在86-106KPA符合要求；有害物质限量：镉、铅、六价铬、汞、多溴联苯总量、多溴联苯醚总量的限量为未检出。</w:t>
            </w:r>
            <w:r>
              <w:rPr>
                <w:rStyle w:val="34"/>
                <w:rFonts w:hint="eastAsia" w:ascii="宋体" w:hAnsi="宋体" w:eastAsia="宋体" w:cs="宋体"/>
                <w:b/>
                <w:color w:val="0000FF"/>
                <w:sz w:val="21"/>
                <w:szCs w:val="21"/>
                <w:highlight w:val="none"/>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w:t>
            </w:r>
            <w:r>
              <w:rPr>
                <w:rStyle w:val="34"/>
                <w:rFonts w:hint="eastAsia" w:ascii="宋体" w:hAnsi="宋体" w:eastAsia="宋体" w:cs="宋体"/>
                <w:b/>
                <w:color w:val="0000FF"/>
                <w:sz w:val="21"/>
                <w:szCs w:val="21"/>
                <w:highlight w:val="none"/>
                <w:lang w:eastAsia="zh-CN"/>
              </w:rPr>
              <w:t>。</w:t>
            </w:r>
            <w:r>
              <w:rPr>
                <w:rStyle w:val="34"/>
                <w:rFonts w:hint="eastAsia" w:ascii="宋体" w:hAnsi="宋体" w:eastAsia="宋体" w:cs="宋体"/>
                <w:b/>
                <w:color w:val="0000FF"/>
                <w:sz w:val="21"/>
                <w:szCs w:val="21"/>
                <w:highlight w:val="none"/>
              </w:rPr>
              <w:t>如检验检测报告中明确备注说明相关检验检测项不在检验检测机构CMA资质许可（认定）范围内的，不符合招标文件要求)</w:t>
            </w:r>
          </w:p>
          <w:p>
            <w:pPr>
              <w:keepNext w:val="0"/>
              <w:keepLines w:val="0"/>
              <w:widowControl/>
              <w:numPr>
                <w:ilvl w:val="0"/>
                <w:numId w:val="2"/>
              </w:numPr>
              <w:suppressLineNumbers w:val="0"/>
              <w:ind w:left="425" w:leftChars="0" w:hanging="425" w:firstLineChars="0"/>
              <w:jc w:val="left"/>
              <w:textAlignment w:val="center"/>
              <w:rPr>
                <w:rStyle w:val="34"/>
                <w:rFonts w:hint="eastAsia" w:ascii="宋体" w:hAnsi="宋体" w:eastAsia="宋体" w:cs="宋体"/>
                <w:b/>
                <w:color w:val="0000FF"/>
                <w:sz w:val="21"/>
                <w:szCs w:val="21"/>
                <w:highlight w:val="none"/>
                <w:lang w:val="en-US" w:eastAsia="zh-CN"/>
              </w:rPr>
            </w:pPr>
            <w:r>
              <w:rPr>
                <w:rFonts w:hint="eastAsia" w:ascii="宋体" w:hAnsi="宋体" w:eastAsia="宋体" w:cs="宋体"/>
                <w:i w:val="0"/>
                <w:iCs w:val="0"/>
                <w:color w:val="0000FF"/>
                <w:kern w:val="0"/>
                <w:sz w:val="21"/>
                <w:szCs w:val="21"/>
                <w:highlight w:val="none"/>
                <w:u w:val="none"/>
                <w:lang w:val="en-US" w:eastAsia="zh-CN" w:bidi="ar"/>
              </w:rPr>
              <w:t>▲绘画书写板经第三方检测机构检测，甲醛释放量应≦1.5mg/L，耐腐蚀性：在使用含有日常家用洗涤剂或消毒剂的温水40摄氏度，擦拭书写板的书写面后，书写面应不变色，无表皮脱落。</w:t>
            </w:r>
            <w:r>
              <w:rPr>
                <w:rStyle w:val="34"/>
                <w:rFonts w:hint="eastAsia" w:ascii="宋体" w:hAnsi="宋体" w:eastAsia="宋体" w:cs="宋体"/>
                <w:b/>
                <w:color w:val="0000FF"/>
                <w:sz w:val="21"/>
                <w:szCs w:val="21"/>
                <w:highlight w:val="none"/>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w:t>
            </w:r>
            <w:r>
              <w:rPr>
                <w:rStyle w:val="34"/>
                <w:rFonts w:hint="eastAsia" w:ascii="宋体" w:hAnsi="宋体" w:eastAsia="宋体" w:cs="宋体"/>
                <w:b/>
                <w:color w:val="0000FF"/>
                <w:sz w:val="21"/>
                <w:szCs w:val="21"/>
                <w:highlight w:val="none"/>
                <w:lang w:eastAsia="zh-CN"/>
              </w:rPr>
              <w:t>。</w:t>
            </w:r>
            <w:r>
              <w:rPr>
                <w:rStyle w:val="34"/>
                <w:rFonts w:hint="eastAsia" w:ascii="宋体" w:hAnsi="宋体" w:eastAsia="宋体" w:cs="宋体"/>
                <w:b/>
                <w:color w:val="0000FF"/>
                <w:sz w:val="21"/>
                <w:szCs w:val="21"/>
                <w:highlight w:val="none"/>
              </w:rPr>
              <w:t>如检验检测报告中明确备注说明相关检验检测项不在检验检测机构CMA资质许可（认定）范围内的，不符合招标文件要求)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L型综合柜1</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规格参数（尺寸允许偏差±5%）：材质：基材：采用浸渍胶膜纸饰面胶合板，柜体框架板材厚度18mm，背板板材厚度9mm。板件四周采用厚度1mmPVC材料封边处理，选用五金件铰链；尺寸：长型：长</w:t>
            </w:r>
            <w:r>
              <w:rPr>
                <w:rFonts w:hint="eastAsia" w:ascii="宋体" w:hAnsi="宋体" w:eastAsia="宋体" w:cs="宋体"/>
                <w:i w:val="0"/>
                <w:iCs w:val="0"/>
                <w:color w:val="000000"/>
                <w:kern w:val="0"/>
                <w:sz w:val="21"/>
                <w:szCs w:val="21"/>
                <w:highlight w:val="yellow"/>
                <w:u w:val="none"/>
                <w:lang w:val="en-US" w:eastAsia="zh-CN" w:bidi="ar"/>
              </w:rPr>
              <w:t>2600</w:t>
            </w:r>
            <w:r>
              <w:rPr>
                <w:rFonts w:hint="eastAsia" w:ascii="宋体" w:hAnsi="宋体" w:eastAsia="宋体" w:cs="宋体"/>
                <w:i w:val="0"/>
                <w:iCs w:val="0"/>
                <w:color w:val="000000"/>
                <w:kern w:val="0"/>
                <w:sz w:val="21"/>
                <w:szCs w:val="21"/>
                <w:highlight w:val="none"/>
                <w:u w:val="none"/>
                <w:lang w:val="en-US" w:eastAsia="zh-CN" w:bidi="ar"/>
              </w:rPr>
              <w:t>*高2800mm*柜深500mm，短边长2300mm*高2800mm*柜深650mm；包含老师工作台、床柜（可容纳12个折叠床）、棉被柜、枕头柜，柜门含通气口；含3个升降挂衣架，架高850mm，可调节宽940mm-1260mm；</w:t>
            </w:r>
          </w:p>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FF"/>
                <w:kern w:val="0"/>
                <w:sz w:val="21"/>
                <w:szCs w:val="21"/>
                <w:highlight w:val="none"/>
                <w:u w:val="none"/>
                <w:lang w:val="en-US" w:eastAsia="zh-CN" w:bidi="ar"/>
              </w:rPr>
              <w:t>▲</w:t>
            </w:r>
            <w:r>
              <w:rPr>
                <w:rFonts w:hint="eastAsia" w:ascii="宋体" w:hAnsi="宋体" w:eastAsia="宋体" w:cs="宋体"/>
                <w:i w:val="0"/>
                <w:iCs w:val="0"/>
                <w:color w:val="0000FF"/>
                <w:kern w:val="0"/>
                <w:sz w:val="21"/>
                <w:szCs w:val="21"/>
                <w:highlight w:val="none"/>
                <w:u w:val="none"/>
                <w:lang w:val="en-US" w:eastAsia="zh-CN" w:bidi="ar"/>
              </w:rPr>
              <w:t>浸渍胶膜纸饰面胶合板依据LY/T1985-2011防腐木材和人造板中五氯苯酚含量的测定方法，五氯苯酚含量为未检出；依据GB/T1927.5-2021无疵小试样木材物理力学性质试验方法第5部分：密度测定，木材气干密度,≧0.6g/cm3；</w:t>
            </w:r>
            <w:r>
              <w:rPr>
                <w:rStyle w:val="34"/>
                <w:rFonts w:hint="eastAsia" w:ascii="宋体" w:hAnsi="宋体" w:eastAsia="宋体" w:cs="宋体"/>
                <w:b/>
                <w:color w:val="0000FF"/>
                <w:sz w:val="21"/>
                <w:szCs w:val="21"/>
                <w:highlight w:val="none"/>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w:t>
            </w:r>
            <w:r>
              <w:rPr>
                <w:rStyle w:val="34"/>
                <w:rFonts w:hint="eastAsia" w:ascii="宋体" w:hAnsi="宋体" w:eastAsia="宋体" w:cs="宋体"/>
                <w:b/>
                <w:color w:val="0000FF"/>
                <w:sz w:val="21"/>
                <w:szCs w:val="21"/>
                <w:highlight w:val="none"/>
                <w:lang w:eastAsia="zh-CN"/>
              </w:rPr>
              <w:t>。</w:t>
            </w:r>
            <w:r>
              <w:rPr>
                <w:rStyle w:val="34"/>
                <w:rFonts w:hint="eastAsia" w:ascii="宋体" w:hAnsi="宋体" w:eastAsia="宋体" w:cs="宋体"/>
                <w:b/>
                <w:color w:val="0000FF"/>
                <w:sz w:val="21"/>
                <w:szCs w:val="21"/>
                <w:highlight w:val="none"/>
              </w:rPr>
              <w:t>如检验检测报告中明确备注说明相关检验检测项不在检验检测机构CMA资质许可（认定）范围内的，不符合招标文件要求)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L型综合柜2</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规格参数（尺寸允许偏差±5%）：材质：基材：采用浸渍胶膜纸饰面胶合板，柜体框架板材厚度18mm，背板板材厚度9mm。板件四周采用厚度1mmPVC材料封边处理，选用五金件铰链；尺寸：长型：短边长1970</w:t>
            </w:r>
            <w:r>
              <w:rPr>
                <w:rFonts w:hint="eastAsia" w:ascii="宋体" w:hAnsi="宋体" w:eastAsia="宋体" w:cs="宋体"/>
                <w:i w:val="0"/>
                <w:iCs w:val="0"/>
                <w:color w:val="000000"/>
                <w:kern w:val="0"/>
                <w:sz w:val="21"/>
                <w:szCs w:val="21"/>
                <w:highlight w:val="yellow"/>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高2800mm*柜深500mm，长边长2500mm*高2800mm*柜深650mm；包含老师工作台、床柜（可容纳12个折叠床）、棉被柜、枕头柜，柜门含通气口；含4个升降挂衣架，架高840mm，可调节宽660mm-890mm2个；架高840mm，可调节宽890mm-1210mm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L型综合柜3</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规格参数（尺寸允许偏差±5%）：材质：基材：采用浸渍胶膜纸饰面胶合板，柜体框架板材厚度</w:t>
            </w:r>
            <w:bookmarkStart w:id="92" w:name="_GoBack"/>
            <w:bookmarkEnd w:id="92"/>
            <w:r>
              <w:rPr>
                <w:rFonts w:hint="eastAsia" w:ascii="宋体" w:hAnsi="宋体" w:eastAsia="宋体" w:cs="宋体"/>
                <w:i w:val="0"/>
                <w:iCs w:val="0"/>
                <w:color w:val="000000"/>
                <w:kern w:val="0"/>
                <w:sz w:val="21"/>
                <w:szCs w:val="21"/>
                <w:highlight w:val="none"/>
                <w:u w:val="none"/>
                <w:lang w:val="en-US" w:eastAsia="zh-CN" w:bidi="ar"/>
              </w:rPr>
              <w:t>18mm，背板板材厚度9mm。板件四周采用厚度1mmPVC材料封边处理，选用五金件铰链；尺寸：长型：短边长1970</w:t>
            </w:r>
            <w:r>
              <w:rPr>
                <w:rFonts w:hint="eastAsia" w:ascii="宋体" w:hAnsi="宋体" w:eastAsia="宋体" w:cs="宋体"/>
                <w:i w:val="0"/>
                <w:iCs w:val="0"/>
                <w:color w:val="000000"/>
                <w:kern w:val="0"/>
                <w:sz w:val="21"/>
                <w:szCs w:val="21"/>
                <w:highlight w:val="yellow"/>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高2800mm*柜深500mm，长边长2500mm*高2800mm*柜深650mm；包含老师工作台、床柜（可容纳12个折叠床）、棉被柜、枕头柜，柜门含通气口；含4个升降挂衣架，架高840mm，可调节宽660mm-890mm2个；架高840mm，可调节宽890mm-1210mm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综合柜1</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基材：采用浸渍胶膜纸饰面胶合板，柜体框架板材厚度18mm，背板板材厚度9mm。板件四周采用厚度1mmPVC材料封边处理，选用五金件铰链；尺寸：长2890mm*高2800mm*柜深650mm；包含老师工作台、床柜（可容纳12个折叠床）柜门含通气口；含2个升降挂衣架，架高840mm，可调节宽660mm-890mm；</w:t>
            </w:r>
          </w:p>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▲铰链依据的承重性能符合QB/T2189-2013 家具五金 杯状暗铰链的合格标准；金属外观（焊接件、铆接件、喷涂层、电镀层）符合GB/T3325-2017《金属家具通用技术条件》的合格标准；</w:t>
            </w:r>
            <w:r>
              <w:rPr>
                <w:rStyle w:val="34"/>
                <w:rFonts w:hint="eastAsia" w:ascii="宋体" w:hAnsi="宋体" w:eastAsia="宋体" w:cs="宋体"/>
                <w:b/>
                <w:color w:val="0000FF"/>
                <w:sz w:val="21"/>
                <w:szCs w:val="21"/>
                <w:highlight w:val="none"/>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w:t>
            </w:r>
            <w:r>
              <w:rPr>
                <w:rStyle w:val="34"/>
                <w:rFonts w:hint="eastAsia" w:ascii="宋体" w:hAnsi="宋体" w:eastAsia="宋体" w:cs="宋体"/>
                <w:b/>
                <w:color w:val="0000FF"/>
                <w:sz w:val="21"/>
                <w:szCs w:val="21"/>
                <w:highlight w:val="none"/>
                <w:lang w:eastAsia="zh-CN"/>
              </w:rPr>
              <w:t>。</w:t>
            </w:r>
            <w:r>
              <w:rPr>
                <w:rStyle w:val="34"/>
                <w:rFonts w:hint="eastAsia" w:ascii="宋体" w:hAnsi="宋体" w:eastAsia="宋体" w:cs="宋体"/>
                <w:b/>
                <w:color w:val="0000FF"/>
                <w:sz w:val="21"/>
                <w:szCs w:val="21"/>
                <w:highlight w:val="none"/>
              </w:rPr>
              <w:t>如检验检测报告中明确备注说明相关检验检测项不在检验检测机构CMA资质许可（认定）范围内的，不符合招标文件要求)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综合柜2</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基材：采用浸渍胶膜纸饰面胶合板，柜体框架板材厚度18mm，背板板材厚度9mm。PVC封边条，选用五金件铰链；尺寸：长2300mm*高2800mm*柜深500mm；包含棉被柜、枕头柜，柜门含通气口；含2个升降挂衣架，架高850mm，可调节宽940mm-1260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综合柜3</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基材：采用浸渍胶膜纸饰面胶合板，柜体框架板材厚度18mm，背板板材厚度9mm。板件四周采用厚度1mmPVC材料封边处理，选用五金件铰链；尺寸：长2890mm*高2800mm*柜深650mm；包含老师工作台、床柜（可容纳12个折叠床）柜门含通气口；含2个升降挂衣架，架高840mm，可调节宽660mm-890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pct"/>
            <w:noWrap w:val="0"/>
            <w:vAlign w:val="center"/>
          </w:tcPr>
          <w:p>
            <w:pPr>
              <w:keepNext w:val="0"/>
              <w:keepLines w:val="0"/>
              <w:widowControl/>
              <w:numPr>
                <w:ilvl w:val="0"/>
                <w:numId w:val="1"/>
              </w:numPr>
              <w:suppressLineNumbers w:val="0"/>
              <w:spacing w:line="240" w:lineRule="auto"/>
              <w:ind w:left="425" w:leftChars="0" w:hanging="425" w:firstLineChars="0"/>
              <w:jc w:val="center"/>
              <w:rPr>
                <w:rFonts w:hint="eastAsia" w:ascii="宋体" w:hAnsi="宋体" w:eastAsia="宋体" w:cs="宋体"/>
                <w:i w:val="0"/>
                <w:iCs w:val="0"/>
                <w:color w:val="000000"/>
                <w:kern w:val="0"/>
                <w:sz w:val="21"/>
                <w:szCs w:val="21"/>
                <w:highlight w:val="none"/>
                <w:u w:val="none"/>
                <w:lang w:val="en-US" w:eastAsia="zh-CN" w:bidi="ar"/>
              </w:rPr>
            </w:pPr>
          </w:p>
        </w:tc>
        <w:tc>
          <w:tcPr>
            <w:tcW w:w="165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综合柜4</w:t>
            </w:r>
          </w:p>
        </w:tc>
        <w:tc>
          <w:tcPr>
            <w:tcW w:w="6461" w:type="dxa"/>
            <w:noWrap w:val="0"/>
            <w:vAlign w:val="center"/>
          </w:tcPr>
          <w:p>
            <w:pPr>
              <w:keepNext w:val="0"/>
              <w:keepLines w:val="0"/>
              <w:widowControl/>
              <w:numPr>
                <w:ilvl w:val="0"/>
                <w:numId w:val="2"/>
              </w:numPr>
              <w:suppressLineNumbers w:val="0"/>
              <w:ind w:left="425" w:leftChars="0" w:hanging="425"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参数（尺寸允许偏差±5%）：材质：基材：采用浸渍胶膜纸饰面胶合板，柜体框架板材厚度18mm，背板板材厚度9mm。PVC封边条，选用五金件铰链；尺寸：长2300mm*高2800mm*柜深500mm；包含棉被柜、枕头柜，柜门含通气口；含2个升降挂衣架，架高850mm，可调节宽940mm-1260mm；</w:t>
            </w:r>
          </w:p>
        </w:tc>
      </w:tr>
    </w:tbl>
    <w:p>
      <w:pPr>
        <w:spacing w:after="78"/>
        <w:jc w:val="left"/>
        <w:rPr>
          <w:rFonts w:hint="default" w:ascii="Calibri" w:hAnsi="Calibri" w:eastAsia="宋体" w:cs="Times New Roman"/>
          <w:color w:val="FF0000"/>
          <w:szCs w:val="21"/>
          <w:lang w:val="en-US" w:eastAsia="zh-CN"/>
        </w:rPr>
      </w:pPr>
    </w:p>
    <w:p>
      <w:pPr>
        <w:pStyle w:val="4"/>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sz w:val="28"/>
          <w:szCs w:val="28"/>
        </w:rPr>
      </w:pPr>
      <w:r>
        <w:rPr>
          <w:rFonts w:ascii="宋体" w:hAnsi="宋体" w:eastAsia="黑体" w:cs="Times New Roman"/>
          <w:bCs/>
          <w:kern w:val="44"/>
          <w:sz w:val="28"/>
          <w:szCs w:val="44"/>
        </w:rPr>
        <w:br w:type="page"/>
      </w:r>
      <w:r>
        <w:rPr>
          <w:rFonts w:hint="eastAsia"/>
          <w:sz w:val="28"/>
          <w:szCs w:val="28"/>
          <w:lang w:val="en-US" w:eastAsia="zh-CN"/>
        </w:rPr>
        <w:t>六</w:t>
      </w:r>
      <w:r>
        <w:rPr>
          <w:rFonts w:hint="eastAsia"/>
          <w:sz w:val="28"/>
          <w:szCs w:val="28"/>
        </w:rPr>
        <w:t>、其他重要条款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6"/>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ind w:firstLine="42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pPr>
        <w:ind w:firstLine="420" w:firstLineChars="200"/>
        <w:rPr>
          <w:rFonts w:hint="eastAsia"/>
          <w:bCs/>
          <w:szCs w:val="21"/>
        </w:rPr>
      </w:pPr>
      <w:r>
        <w:rPr>
          <w:bCs/>
          <w:szCs w:val="21"/>
        </w:rPr>
        <w:t>6</w:t>
      </w:r>
      <w:r>
        <w:rPr>
          <w:rFonts w:hint="eastAsia"/>
          <w:bCs/>
          <w:szCs w:val="21"/>
        </w:rPr>
        <w:t>、“信用中国”</w:t>
      </w:r>
      <w:r>
        <w:rPr>
          <w:rFonts w:ascii="宋体" w:hAnsi="宋体" w:eastAsia="宋体" w:cs="宋体"/>
          <w:sz w:val="21"/>
          <w:szCs w:val="21"/>
        </w:rPr>
        <w:t>中“信用服务”栏的“</w:t>
      </w:r>
      <w:r>
        <w:rPr>
          <w:rFonts w:hint="eastAsia" w:ascii="宋体" w:hAnsi="宋体" w:eastAsia="宋体" w:cs="宋体"/>
          <w:sz w:val="21"/>
          <w:szCs w:val="21"/>
        </w:rPr>
        <w:t>重大税收违法失信主体</w:t>
      </w:r>
      <w:r>
        <w:rPr>
          <w:rFonts w:ascii="宋体" w:hAnsi="宋体" w:eastAsia="宋体" w:cs="宋体"/>
          <w:sz w:val="21"/>
          <w:szCs w:val="21"/>
        </w:rPr>
        <w:t>”“失信被执行人”</w:t>
      </w:r>
      <w:r>
        <w:rPr>
          <w:rFonts w:hint="eastAsia" w:ascii="宋体" w:hAnsi="宋体" w:cs="宋体"/>
          <w:kern w:val="0"/>
          <w:szCs w:val="21"/>
          <w:lang w:eastAsia="zh-CN"/>
        </w:rPr>
        <w:t>，</w:t>
      </w:r>
      <w:r>
        <w:rPr>
          <w:rFonts w:hint="eastAsia"/>
          <w:bCs/>
          <w:szCs w:val="21"/>
        </w:rPr>
        <w:t>“中国政府采购网”</w:t>
      </w:r>
      <w:r>
        <w:rPr>
          <w:rFonts w:ascii="宋体" w:hAnsi="宋体" w:eastAsia="宋体" w:cs="宋体"/>
          <w:sz w:val="21"/>
          <w:szCs w:val="21"/>
        </w:rPr>
        <w:t>中的“政府采购严重违法失信行为记录名单”</w:t>
      </w:r>
      <w:r>
        <w:rPr>
          <w:rFonts w:hint="eastAsia" w:ascii="宋体" w:hAnsi="宋体" w:cs="宋体"/>
          <w:kern w:val="0"/>
          <w:szCs w:val="21"/>
          <w:lang w:eastAsia="zh-CN"/>
        </w:rPr>
        <w:t>，</w:t>
      </w:r>
      <w:r>
        <w:rPr>
          <w:rFonts w:hint="eastAsia"/>
          <w:bCs/>
          <w:szCs w:val="21"/>
        </w:rPr>
        <w:t>“深圳信用网”以及“深圳市政府采购监管网”为供应商信用信息的查询渠道，相关信息以开标当日的查询结果为准。</w:t>
      </w: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widowControl/>
        <w:jc w:val="left"/>
        <w:rPr>
          <w:rFonts w:ascii="宋体" w:hAnsi="宋体" w:eastAsia="黑体" w:cs="Times New Roman"/>
          <w:bCs/>
          <w:kern w:val="44"/>
          <w:sz w:val="28"/>
          <w:szCs w:val="44"/>
        </w:rPr>
      </w:pP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rPr>
      </w:pPr>
      <w:bookmarkStart w:id="14" w:name="_Hlk72257167"/>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rPr>
          <w:rFonts w:hint="eastAsia"/>
        </w:rPr>
      </w:pPr>
    </w:p>
    <w:bookmarkEnd w:id="14"/>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rPr>
      </w:pPr>
      <w:r>
        <w:rPr>
          <w:rFonts w:hint="eastAsia" w:ascii="宋体" w:hAnsi="宋体" w:eastAsia="宋体" w:cs="宋体"/>
          <w:b/>
          <w:color w:val="FF0000"/>
          <w:kern w:val="0"/>
          <w:sz w:val="24"/>
          <w:szCs w:val="24"/>
        </w:rPr>
        <w:t>投标文件正文（信息公开部分）：</w:t>
      </w:r>
    </w:p>
    <w:p>
      <w:pPr>
        <w:pageBreakBefore w:val="0"/>
        <w:numPr>
          <w:ilvl w:val="0"/>
          <w:numId w:val="3"/>
        </w:numPr>
        <w:kinsoku/>
        <w:wordWrap/>
        <w:overflowPunct/>
        <w:topLinePunct w:val="0"/>
        <w:autoSpaceDE/>
        <w:autoSpaceDN/>
        <w:bidi w:val="0"/>
        <w:snapToGrid w:val="0"/>
        <w:spacing w:line="320" w:lineRule="atLeast"/>
        <w:jc w:val="left"/>
        <w:rPr>
          <w:rFonts w:ascii="宋体" w:hAnsi="宋体" w:eastAsia="宋体" w:cs="Times New Roman"/>
          <w:sz w:val="24"/>
          <w:szCs w:val="24"/>
        </w:rPr>
      </w:pPr>
      <w:r>
        <w:rPr>
          <w:rFonts w:hint="eastAsia" w:ascii="宋体" w:hAnsi="宋体" w:eastAsia="宋体" w:cs="Times New Roman"/>
          <w:sz w:val="24"/>
          <w:szCs w:val="24"/>
        </w:rPr>
        <w:t>投标函；</w:t>
      </w:r>
    </w:p>
    <w:p>
      <w:pPr>
        <w:pageBreakBefore w:val="0"/>
        <w:numPr>
          <w:ilvl w:val="0"/>
          <w:numId w:val="3"/>
        </w:numPr>
        <w:kinsoku/>
        <w:wordWrap/>
        <w:overflowPunct/>
        <w:topLinePunct w:val="0"/>
        <w:autoSpaceDE/>
        <w:autoSpaceDN/>
        <w:bidi w:val="0"/>
        <w:snapToGrid w:val="0"/>
        <w:spacing w:line="320" w:lineRule="atLeast"/>
        <w:jc w:val="left"/>
        <w:rPr>
          <w:rFonts w:ascii="宋体" w:hAnsi="宋体" w:eastAsia="宋体" w:cs="Times New Roman"/>
          <w:sz w:val="24"/>
          <w:szCs w:val="24"/>
        </w:rPr>
      </w:pPr>
      <w:bookmarkStart w:id="15" w:name="_Hlk72062521"/>
      <w:r>
        <w:rPr>
          <w:rFonts w:hint="eastAsia" w:ascii="宋体" w:hAnsi="宋体" w:eastAsia="宋体" w:cs="Times New Roman"/>
          <w:sz w:val="24"/>
          <w:szCs w:val="24"/>
        </w:rPr>
        <w:t>政府采购投标及履约承诺函</w:t>
      </w:r>
      <w:bookmarkEnd w:id="15"/>
      <w:r>
        <w:rPr>
          <w:rFonts w:hint="eastAsia" w:ascii="宋体" w:hAnsi="宋体" w:eastAsia="宋体" w:cs="Times New Roman"/>
          <w:sz w:val="24"/>
          <w:szCs w:val="24"/>
        </w:rPr>
        <w:t>；</w:t>
      </w:r>
    </w:p>
    <w:p>
      <w:pPr>
        <w:pageBreakBefore w:val="0"/>
        <w:numPr>
          <w:ilvl w:val="0"/>
          <w:numId w:val="3"/>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r>
        <w:rPr>
          <w:rFonts w:hint="eastAsia" w:ascii="宋体" w:hAnsi="宋体" w:eastAsia="宋体" w:cs="Times New Roman"/>
          <w:sz w:val="24"/>
          <w:szCs w:val="24"/>
        </w:rPr>
        <w:t>营业执</w:t>
      </w:r>
      <w:r>
        <w:rPr>
          <w:rFonts w:hint="eastAsia" w:ascii="宋体" w:hAnsi="宋体" w:eastAsia="宋体" w:cs="Times New Roman"/>
          <w:sz w:val="24"/>
          <w:szCs w:val="24"/>
          <w:highlight w:val="none"/>
        </w:rPr>
        <w:t>照或事业单位法人证书等；</w:t>
      </w:r>
    </w:p>
    <w:p>
      <w:pPr>
        <w:pageBreakBefore w:val="0"/>
        <w:numPr>
          <w:ilvl w:val="0"/>
          <w:numId w:val="3"/>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中小企业相关声明函；</w:t>
      </w:r>
    </w:p>
    <w:p>
      <w:pPr>
        <w:pageBreakBefore w:val="0"/>
        <w:numPr>
          <w:ilvl w:val="0"/>
          <w:numId w:val="3"/>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bCs/>
          <w:sz w:val="24"/>
          <w:szCs w:val="24"/>
          <w:highlight w:val="none"/>
        </w:rPr>
        <w:t>分项报价清单；</w:t>
      </w:r>
    </w:p>
    <w:p>
      <w:pPr>
        <w:pageBreakBefore w:val="0"/>
        <w:numPr>
          <w:ilvl w:val="0"/>
          <w:numId w:val="3"/>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sz w:val="24"/>
          <w:szCs w:val="24"/>
          <w:highlight w:val="none"/>
        </w:rPr>
        <w:t>同类项目经验评价</w:t>
      </w:r>
      <w:r>
        <w:rPr>
          <w:rFonts w:hint="eastAsia" w:ascii="宋体" w:hAnsi="宋体" w:eastAsia="宋体" w:cs="Times New Roman"/>
          <w:sz w:val="24"/>
          <w:szCs w:val="24"/>
          <w:highlight w:val="none"/>
          <w:lang w:eastAsia="zh-CN"/>
        </w:rPr>
        <w:t>；</w:t>
      </w:r>
    </w:p>
    <w:p>
      <w:pPr>
        <w:pageBreakBefore w:val="0"/>
        <w:numPr>
          <w:ilvl w:val="0"/>
          <w:numId w:val="3"/>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政府采购节能环保产品情况；</w:t>
      </w:r>
    </w:p>
    <w:p>
      <w:pPr>
        <w:pageBreakBefore w:val="0"/>
        <w:numPr>
          <w:ilvl w:val="0"/>
          <w:numId w:val="3"/>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绿色采购情况；</w:t>
      </w:r>
    </w:p>
    <w:p>
      <w:pPr>
        <w:pageBreakBefore w:val="0"/>
        <w:numPr>
          <w:ilvl w:val="0"/>
          <w:numId w:val="3"/>
        </w:numPr>
        <w:kinsoku/>
        <w:wordWrap/>
        <w:overflowPunct/>
        <w:topLinePunct w:val="0"/>
        <w:autoSpaceDE/>
        <w:autoSpaceDN/>
        <w:bidi w:val="0"/>
        <w:snapToGrid w:val="0"/>
        <w:spacing w:line="320" w:lineRule="atLeast"/>
        <w:ind w:left="1456"/>
        <w:rPr>
          <w:rFonts w:ascii="宋体" w:hAnsi="宋体" w:eastAsia="宋体" w:cs="Times New Roman"/>
          <w:sz w:val="24"/>
          <w:szCs w:val="24"/>
        </w:rPr>
      </w:pPr>
      <w:r>
        <w:rPr>
          <w:rFonts w:hint="eastAsia" w:ascii="宋体" w:hAnsi="宋体" w:eastAsia="宋体" w:cs="Times New Roman"/>
          <w:sz w:val="24"/>
          <w:szCs w:val="24"/>
          <w:highlight w:val="none"/>
        </w:rPr>
        <w:t>其他招标文件要求或投</w:t>
      </w:r>
      <w:r>
        <w:rPr>
          <w:rFonts w:hint="eastAsia" w:ascii="宋体" w:hAnsi="宋体" w:eastAsia="宋体" w:cs="Times New Roman"/>
          <w:sz w:val="24"/>
          <w:szCs w:val="24"/>
        </w:rPr>
        <w:t>标人认为需要补充的内容（公开）。</w:t>
      </w:r>
    </w:p>
    <w:p>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法定代表人（负责人）证明书</w:t>
      </w:r>
      <w:r>
        <w:rPr>
          <w:rFonts w:hint="eastAsia" w:ascii="Arial" w:hAnsi="Arial" w:eastAsia="宋体" w:cs="Arial"/>
          <w:sz w:val="24"/>
          <w:szCs w:val="24"/>
        </w:rPr>
        <w:t>；</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投标文件签署授权委托书；</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实质性条款响应情况表；</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rPr>
        <w:t>技</w:t>
      </w:r>
      <w:r>
        <w:rPr>
          <w:rFonts w:hint="eastAsia" w:ascii="宋体" w:hAnsi="宋体" w:eastAsia="宋体" w:cs="Times New Roman"/>
          <w:sz w:val="24"/>
          <w:szCs w:val="24"/>
          <w:highlight w:val="none"/>
        </w:rPr>
        <w:t>术</w:t>
      </w:r>
      <w:r>
        <w:rPr>
          <w:rFonts w:hint="eastAsia" w:ascii="宋体" w:hAnsi="宋体" w:eastAsia="宋体" w:cs="Times New Roman"/>
          <w:sz w:val="24"/>
          <w:szCs w:val="24"/>
          <w:highlight w:val="none"/>
          <w:lang w:val="en-US" w:eastAsia="zh-CN"/>
        </w:rPr>
        <w:t>要求</w:t>
      </w:r>
      <w:r>
        <w:rPr>
          <w:rFonts w:hint="eastAsia" w:ascii="宋体" w:hAnsi="宋体" w:eastAsia="宋体" w:cs="Times New Roman"/>
          <w:sz w:val="24"/>
          <w:szCs w:val="24"/>
          <w:highlight w:val="none"/>
        </w:rPr>
        <w:t>偏离表</w:t>
      </w:r>
      <w:r>
        <w:rPr>
          <w:rFonts w:hint="eastAsia" w:ascii="宋体" w:hAnsi="宋体" w:eastAsia="宋体" w:cs="Times New Roman"/>
          <w:sz w:val="24"/>
          <w:szCs w:val="24"/>
          <w:highlight w:val="none"/>
          <w:lang w:eastAsia="zh-CN"/>
        </w:rPr>
        <w:t>；</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设计图</w:t>
      </w:r>
      <w:r>
        <w:rPr>
          <w:rFonts w:hint="eastAsia" w:ascii="宋体" w:hAnsi="宋体" w:eastAsia="宋体" w:cs="Times New Roman"/>
          <w:sz w:val="24"/>
          <w:szCs w:val="24"/>
          <w:highlight w:val="none"/>
          <w:lang w:eastAsia="zh-CN"/>
        </w:rPr>
        <w:t>；</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项目组织实施方案；</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售后服务方案；</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“幼儿桌1”</w:t>
      </w:r>
      <w:r>
        <w:rPr>
          <w:rFonts w:hint="eastAsia" w:ascii="宋体" w:hAnsi="宋体" w:eastAsia="宋体" w:cs="Times New Roman"/>
          <w:sz w:val="24"/>
          <w:szCs w:val="24"/>
          <w:highlight w:val="none"/>
          <w:lang w:val="en-US" w:eastAsia="zh-CN"/>
        </w:rPr>
        <w:t>相关检测报告；</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“新哈佛椅1”相关检测报告；</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“12人书包鞋柜（带铭牌）”相关检测报告；</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“平板床”相关检测报告；</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“绘画书写板”相关检测报告；</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“L型综合柜1”相关检测报告；</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“综合柜1”相关检测报告</w:t>
      </w:r>
      <w:r>
        <w:rPr>
          <w:rFonts w:hint="eastAsia" w:ascii="宋体" w:hAnsi="宋体" w:eastAsia="宋体" w:cs="Times New Roman"/>
          <w:sz w:val="24"/>
          <w:szCs w:val="24"/>
          <w:highlight w:val="none"/>
          <w:lang w:eastAsia="zh-CN"/>
        </w:rPr>
        <w:t>；</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highlight w:val="none"/>
        </w:rPr>
        <w:t>其他招标文件要求或投</w:t>
      </w:r>
      <w:r>
        <w:rPr>
          <w:rFonts w:hint="eastAsia" w:ascii="宋体" w:hAnsi="宋体" w:eastAsia="宋体" w:cs="Times New Roman"/>
          <w:sz w:val="24"/>
          <w:szCs w:val="24"/>
        </w:rPr>
        <w:t>标人认为需要补充的内容（非公开）。</w:t>
      </w:r>
    </w:p>
    <w:p>
      <w:pPr>
        <w:pageBreakBefore w:val="0"/>
        <w:kinsoku/>
        <w:wordWrap/>
        <w:overflowPunct/>
        <w:topLinePunct w:val="0"/>
        <w:autoSpaceDE/>
        <w:autoSpaceDN/>
        <w:bidi w:val="0"/>
        <w:spacing w:line="320" w:lineRule="atLeast"/>
        <w:rPr>
          <w:rFonts w:ascii="宋体" w:hAnsi="宋体"/>
          <w:b/>
          <w:sz w:val="24"/>
          <w:szCs w:val="24"/>
        </w:rPr>
      </w:pPr>
      <w:bookmarkStart w:id="16" w:name="_Hlk72257771"/>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1.本项目为网上电子投标项目，投标文件不需法人或授权委托人另行签字，无需加盖单位公章，招标文件专用条款另有规定的除外。</w:t>
      </w:r>
    </w:p>
    <w:p>
      <w:pPr>
        <w:snapToGrid w:val="0"/>
        <w:spacing w:afterLines="25"/>
        <w:ind w:firstLine="482" w:firstLineChars="200"/>
        <w:rPr>
          <w:rFonts w:ascii="宋体" w:hAnsi="宋体" w:eastAsia="黑体" w:cs="Times New Roman"/>
          <w:bCs/>
          <w:kern w:val="44"/>
          <w:sz w:val="32"/>
          <w:szCs w:val="32"/>
        </w:rPr>
      </w:pPr>
      <w:bookmarkStart w:id="17" w:name="_Hlk72263559"/>
      <w:r>
        <w:rPr>
          <w:rFonts w:hint="eastAsia" w:ascii="宋体" w:hAnsi="宋体"/>
          <w:b/>
          <w:sz w:val="24"/>
          <w:szCs w:val="24"/>
        </w:rPr>
        <w:t>2.关于填写“开标一览表”的说明：“开标一览表”中除“投标总价”外，其他信息不作评审依据。</w:t>
      </w:r>
      <w:bookmarkEnd w:id="16"/>
      <w:bookmarkEnd w:id="17"/>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pPr>
        <w:snapToGrid w:val="0"/>
        <w:spacing w:line="360" w:lineRule="auto"/>
        <w:rPr>
          <w:rFonts w:ascii="Arial" w:hAnsi="Arial" w:eastAsia="宋体" w:cs="Times New Roman"/>
          <w:szCs w:val="24"/>
        </w:rPr>
      </w:pPr>
    </w:p>
    <w:p>
      <w:pPr>
        <w:snapToGrid w:val="0"/>
        <w:spacing w:line="360" w:lineRule="auto"/>
        <w:rPr>
          <w:rFonts w:ascii="Arial" w:hAnsi="Arial" w:eastAsia="宋体" w:cs="Arial"/>
          <w:szCs w:val="21"/>
          <w:u w:val="single"/>
        </w:rPr>
      </w:pPr>
      <w:r>
        <w:rPr>
          <w:rFonts w:ascii="Arial" w:hAnsi="Arial" w:eastAsia="宋体" w:cs="Arial"/>
          <w:szCs w:val="21"/>
        </w:rPr>
        <w:t>致：</w:t>
      </w:r>
      <w:r>
        <w:rPr>
          <w:rFonts w:hint="eastAsia" w:ascii="Arial" w:hAnsi="Arial" w:eastAsia="宋体" w:cs="Arial"/>
          <w:szCs w:val="21"/>
          <w:u w:val="single"/>
        </w:rPr>
        <w:t>深圳公共资源交易中心</w:t>
      </w:r>
    </w:p>
    <w:p>
      <w:pPr>
        <w:snapToGrid w:val="0"/>
        <w:spacing w:line="360" w:lineRule="auto"/>
        <w:rPr>
          <w:rFonts w:ascii="Arial" w:hAnsi="Arial" w:eastAsia="宋体" w:cs="Arial"/>
          <w:szCs w:val="21"/>
        </w:rPr>
      </w:pPr>
      <w:bookmarkStart w:id="18" w:name="_Hlk73818812"/>
      <w:r>
        <w:rPr>
          <w:rFonts w:hint="eastAsia" w:ascii="Arial" w:hAnsi="Arial" w:eastAsia="宋体" w:cs="Arial"/>
          <w:szCs w:val="21"/>
        </w:rPr>
        <w:t>1、根据已收到贵单位的项目编号为</w:t>
      </w:r>
      <w:r>
        <w:rPr>
          <w:rFonts w:hint="eastAsia" w:ascii="Arial" w:hAnsi="Arial" w:eastAsia="宋体" w:cs="Arial"/>
          <w:szCs w:val="21"/>
          <w:u w:val="single"/>
        </w:rPr>
        <w:t xml:space="preserve"> </w:t>
      </w:r>
      <w:r>
        <w:rPr>
          <w:rFonts w:hint="eastAsia" w:ascii="Arial" w:hAnsi="Arial" w:eastAsia="宋体" w:cs="Arial"/>
          <w:szCs w:val="21"/>
          <w:u w:val="single"/>
          <w:lang w:eastAsia="zh-CN"/>
        </w:rPr>
        <w:t>BAZXCG-2024-00394</w:t>
      </w:r>
      <w:r>
        <w:rPr>
          <w:rFonts w:hint="eastAsia" w:ascii="Arial" w:hAnsi="Arial" w:eastAsia="宋体" w:cs="Arial"/>
          <w:szCs w:val="21"/>
          <w:u w:val="single"/>
        </w:rPr>
        <w:t xml:space="preserve"> </w:t>
      </w:r>
      <w:r>
        <w:rPr>
          <w:rFonts w:hint="eastAsia" w:ascii="Arial" w:hAnsi="Arial" w:eastAsia="宋体" w:cs="Arial"/>
          <w:szCs w:val="21"/>
        </w:rPr>
        <w:t>的</w:t>
      </w:r>
      <w:r>
        <w:rPr>
          <w:rFonts w:hint="eastAsia" w:ascii="Arial" w:hAnsi="Arial" w:eastAsia="宋体" w:cs="Arial"/>
          <w:szCs w:val="21"/>
          <w:u w:val="single"/>
        </w:rPr>
        <w:t xml:space="preserve">  </w:t>
      </w:r>
      <w:r>
        <w:rPr>
          <w:rFonts w:hint="eastAsia" w:ascii="Arial" w:hAnsi="Arial" w:eastAsia="宋体" w:cs="Arial"/>
          <w:szCs w:val="21"/>
          <w:u w:val="single"/>
          <w:lang w:eastAsia="zh-CN"/>
        </w:rPr>
        <w:t>松岗街道中心幼儿园（松岗东方华府第二幼儿园）班组部门设备采购项目</w:t>
      </w:r>
      <w:r>
        <w:rPr>
          <w:rFonts w:hint="eastAsia" w:ascii="Arial" w:hAnsi="Arial" w:eastAsia="宋体" w:cs="Arial"/>
          <w:szCs w:val="21"/>
          <w:u w:val="single"/>
        </w:rPr>
        <w:t xml:space="preserve"> </w:t>
      </w:r>
      <w:r>
        <w:rPr>
          <w:rFonts w:hint="eastAsia" w:ascii="Arial" w:hAnsi="Arial" w:eastAsia="宋体" w:cs="Arial"/>
          <w:szCs w:val="21"/>
        </w:rPr>
        <w:t>项目的招标文件，遵照《深圳经济特区政府采购条例》和《深圳网上政府采购管理暂行办法》等有关规定，我单位经研究上述招标文件的专用条款及通用条款后，</w:t>
      </w:r>
      <w:bookmarkStart w:id="19" w:name="_Hlk72263588"/>
      <w:r>
        <w:rPr>
          <w:rFonts w:hint="eastAsia" w:ascii="Arial" w:hAnsi="Arial" w:eastAsia="宋体" w:cs="Arial"/>
          <w:szCs w:val="21"/>
        </w:rPr>
        <w:t>愿意按照招标文件要求承包上述项目并修补其任何缺陷。</w:t>
      </w:r>
      <w:bookmarkEnd w:id="19"/>
    </w:p>
    <w:p>
      <w:pPr>
        <w:snapToGrid w:val="0"/>
        <w:spacing w:line="360" w:lineRule="auto"/>
        <w:rPr>
          <w:rFonts w:ascii="Arial" w:hAnsi="Arial" w:eastAsia="宋体" w:cs="Arial"/>
          <w:szCs w:val="21"/>
        </w:rPr>
      </w:pPr>
      <w:r>
        <w:rPr>
          <w:rFonts w:ascii="Arial" w:hAnsi="Arial" w:eastAsia="宋体" w:cs="Arial"/>
          <w:szCs w:val="21"/>
        </w:rPr>
        <w:t>2</w:t>
      </w:r>
      <w:r>
        <w:rPr>
          <w:rFonts w:hint="eastAsia" w:ascii="Arial" w:hAnsi="Arial" w:eastAsia="宋体" w:cs="Arial"/>
          <w:szCs w:val="21"/>
        </w:rPr>
        <w:t>、投标价格见投标书编制软件中《开标一览表》中填写的投标总价。</w:t>
      </w:r>
    </w:p>
    <w:p>
      <w:pPr>
        <w:snapToGrid w:val="0"/>
        <w:spacing w:line="360" w:lineRule="auto"/>
        <w:rPr>
          <w:rFonts w:ascii="Arial" w:hAnsi="Arial" w:eastAsia="宋体" w:cs="Arial"/>
          <w:szCs w:val="21"/>
        </w:rPr>
      </w:pPr>
      <w:r>
        <w:rPr>
          <w:rFonts w:hint="eastAsia" w:ascii="Arial" w:hAnsi="Arial" w:eastAsia="宋体" w:cs="Arial"/>
          <w:szCs w:val="21"/>
        </w:rPr>
        <w:t>3、如果我单位中标，我单位将按照招标文件的要求足额提交履约担保。</w:t>
      </w:r>
    </w:p>
    <w:p>
      <w:pPr>
        <w:snapToGrid w:val="0"/>
        <w:spacing w:line="360" w:lineRule="auto"/>
        <w:rPr>
          <w:rFonts w:ascii="Arial" w:hAnsi="Arial" w:eastAsia="宋体" w:cs="Arial"/>
          <w:szCs w:val="21"/>
        </w:rPr>
      </w:pPr>
      <w:r>
        <w:rPr>
          <w:rFonts w:hint="eastAsia" w:ascii="Arial" w:hAnsi="Arial" w:eastAsia="宋体" w:cs="Arial"/>
          <w:szCs w:val="21"/>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rPr>
      </w:pPr>
      <w:r>
        <w:rPr>
          <w:rFonts w:hint="eastAsia" w:ascii="Arial" w:hAnsi="Arial" w:eastAsia="宋体" w:cs="Arial"/>
          <w:szCs w:val="21"/>
        </w:rPr>
        <w:t>5、除非另外达成协议并生效，贵单位的中标通知书和本投标文件将构成合同的重要内容。</w:t>
      </w:r>
    </w:p>
    <w:p>
      <w:pPr>
        <w:snapToGrid w:val="0"/>
        <w:spacing w:line="360" w:lineRule="auto"/>
        <w:rPr>
          <w:rFonts w:ascii="Arial" w:hAnsi="Arial" w:eastAsia="宋体" w:cs="Arial"/>
          <w:szCs w:val="21"/>
        </w:rPr>
      </w:pPr>
      <w:r>
        <w:rPr>
          <w:rFonts w:hint="eastAsia" w:ascii="Arial" w:hAnsi="Arial" w:eastAsia="宋体" w:cs="Arial"/>
          <w:szCs w:val="21"/>
        </w:rPr>
        <w:t>6、我单位理解贵单位将不受必须接受所收到的最低报价或其它任何投标文件的约束。</w:t>
      </w:r>
      <w:bookmarkEnd w:id="18"/>
    </w:p>
    <w:p>
      <w:pPr>
        <w:snapToGrid w:val="0"/>
        <w:spacing w:line="360" w:lineRule="auto"/>
        <w:rPr>
          <w:rFonts w:ascii="Arial" w:hAnsi="Arial" w:eastAsia="宋体" w:cs="Arial"/>
          <w:b/>
          <w:szCs w:val="21"/>
        </w:rPr>
      </w:pPr>
      <w:r>
        <w:rPr>
          <w:rFonts w:hint="eastAsia" w:ascii="Arial" w:hAnsi="Arial" w:eastAsia="宋体" w:cs="Arial"/>
          <w:b/>
          <w:szCs w:val="21"/>
        </w:rPr>
        <w:t>7</w:t>
      </w:r>
      <w:r>
        <w:rPr>
          <w:rFonts w:ascii="Arial" w:hAnsi="Arial" w:eastAsia="宋体" w:cs="Arial"/>
          <w:b/>
          <w:szCs w:val="21"/>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rPr>
      </w:pPr>
    </w:p>
    <w:p>
      <w:pPr>
        <w:snapToGrid w:val="0"/>
        <w:spacing w:line="360" w:lineRule="auto"/>
        <w:rPr>
          <w:rFonts w:ascii="Arial" w:hAnsi="Arial" w:eastAsia="宋体" w:cs="Arial"/>
          <w:szCs w:val="21"/>
          <w:u w:val="single"/>
        </w:rPr>
      </w:pPr>
      <w:r>
        <w:rPr>
          <w:rFonts w:hint="eastAsia" w:ascii="Arial" w:hAnsi="Arial" w:eastAsia="宋体" w:cs="Arial"/>
          <w:szCs w:val="21"/>
        </w:rPr>
        <w:t>投标人：</w:t>
      </w:r>
      <w:r>
        <w:rPr>
          <w:rFonts w:hint="eastAsia" w:ascii="Arial" w:hAnsi="Arial" w:eastAsia="宋体" w:cs="Arial"/>
          <w:szCs w:val="21"/>
          <w:u w:val="single"/>
        </w:rPr>
        <w:t xml:space="preserve">           </w:t>
      </w:r>
    </w:p>
    <w:p>
      <w:pPr>
        <w:snapToGrid w:val="0"/>
        <w:spacing w:line="360" w:lineRule="auto"/>
        <w:rPr>
          <w:rFonts w:ascii="Arial" w:hAnsi="Arial" w:eastAsia="宋体" w:cs="Arial"/>
          <w:szCs w:val="21"/>
          <w:u w:val="single"/>
        </w:rPr>
      </w:pPr>
      <w:r>
        <w:rPr>
          <w:rFonts w:hint="eastAsia" w:ascii="Arial" w:hAnsi="Arial" w:eastAsia="宋体" w:cs="Arial"/>
          <w:szCs w:val="21"/>
        </w:rPr>
        <w:t>单位地址：</w:t>
      </w:r>
      <w:r>
        <w:rPr>
          <w:rFonts w:hint="eastAsia" w:ascii="Arial" w:hAnsi="Arial" w:eastAsia="宋体" w:cs="Arial"/>
          <w:szCs w:val="21"/>
          <w:u w:val="single"/>
        </w:rPr>
        <w:t xml:space="preserve">           </w:t>
      </w:r>
    </w:p>
    <w:p>
      <w:pPr>
        <w:snapToGrid w:val="0"/>
        <w:spacing w:line="360" w:lineRule="auto"/>
        <w:rPr>
          <w:rFonts w:hint="eastAsia" w:ascii="Arial" w:hAnsi="Arial" w:eastAsia="宋体" w:cs="Arial"/>
          <w:szCs w:val="21"/>
          <w:u w:val="single"/>
        </w:rPr>
      </w:pPr>
      <w:r>
        <w:rPr>
          <w:rFonts w:hint="eastAsia" w:ascii="Arial" w:hAnsi="Arial" w:eastAsia="宋体" w:cs="Arial"/>
          <w:szCs w:val="21"/>
        </w:rPr>
        <w:t>法定代表人（负责人）或其</w:t>
      </w:r>
      <w:r>
        <w:rPr>
          <w:rFonts w:hint="eastAsia" w:ascii="Arial" w:hAnsi="Arial" w:eastAsia="宋体" w:cs="Arial"/>
          <w:szCs w:val="21"/>
          <w:lang w:val="en-US" w:eastAsia="zh-CN"/>
        </w:rPr>
        <w:t>授权委托</w:t>
      </w:r>
      <w:r>
        <w:rPr>
          <w:rFonts w:hint="eastAsia" w:ascii="Arial" w:hAnsi="Arial" w:eastAsia="宋体" w:cs="Arial"/>
          <w:szCs w:val="21"/>
        </w:rPr>
        <w:t>代理人：</w:t>
      </w:r>
      <w:r>
        <w:rPr>
          <w:rFonts w:hint="eastAsia" w:ascii="Arial" w:hAnsi="Arial" w:eastAsia="宋体" w:cs="Arial"/>
          <w:szCs w:val="21"/>
          <w:u w:val="single"/>
        </w:rPr>
        <w:t xml:space="preserve">           </w:t>
      </w:r>
    </w:p>
    <w:p>
      <w:pPr>
        <w:pStyle w:val="9"/>
        <w:rPr>
          <w:rFonts w:hint="default" w:ascii="Arial" w:hAnsi="Arial" w:eastAsia="宋体" w:cs="Arial"/>
          <w:b w:val="0"/>
          <w:bCs w:val="0"/>
          <w:szCs w:val="21"/>
          <w:u w:val="single"/>
          <w:lang w:val="en-US" w:eastAsia="zh-CN"/>
        </w:rPr>
      </w:pPr>
      <w:r>
        <w:rPr>
          <w:rFonts w:hint="eastAsia" w:ascii="Arial" w:hAnsi="Arial" w:eastAsia="宋体" w:cs="Arial"/>
          <w:b w:val="0"/>
          <w:bCs w:val="0"/>
          <w:szCs w:val="21"/>
          <w:u w:val="none"/>
          <w:lang w:val="en-US" w:eastAsia="zh-CN"/>
        </w:rPr>
        <w:t>开户银行名称：</w:t>
      </w:r>
      <w:r>
        <w:rPr>
          <w:rFonts w:hint="eastAsia" w:ascii="Arial" w:hAnsi="Arial" w:eastAsia="宋体" w:cs="Arial"/>
          <w:szCs w:val="21"/>
          <w:u w:val="single"/>
        </w:rPr>
        <w:t xml:space="preserve">           </w:t>
      </w:r>
    </w:p>
    <w:p>
      <w:pPr>
        <w:pStyle w:val="10"/>
        <w:rPr>
          <w:rFonts w:hint="default"/>
          <w:b w:val="0"/>
          <w:bCs w:val="0"/>
          <w:u w:val="single"/>
          <w:lang w:val="en-US" w:eastAsia="zh-CN"/>
        </w:rPr>
      </w:pPr>
      <w:r>
        <w:rPr>
          <w:rFonts w:hint="eastAsia" w:ascii="Arial" w:hAnsi="Arial" w:eastAsia="宋体" w:cs="Arial"/>
          <w:b w:val="0"/>
          <w:bCs w:val="0"/>
          <w:szCs w:val="21"/>
          <w:u w:val="none"/>
          <w:lang w:val="en-US" w:eastAsia="zh-CN"/>
        </w:rPr>
        <w:t>开户银行账号：</w:t>
      </w:r>
      <w:r>
        <w:rPr>
          <w:rFonts w:hint="eastAsia" w:ascii="Arial" w:hAnsi="Arial" w:eastAsia="宋体" w:cs="Arial"/>
          <w:b w:val="0"/>
          <w:bCs w:val="0"/>
          <w:szCs w:val="21"/>
          <w:u w:val="single"/>
          <w:lang w:val="en-US" w:eastAsia="zh-CN"/>
        </w:rPr>
        <w:t xml:space="preserve">           </w:t>
      </w:r>
    </w:p>
    <w:p>
      <w:pPr>
        <w:snapToGrid w:val="0"/>
        <w:spacing w:line="360" w:lineRule="auto"/>
        <w:rPr>
          <w:rFonts w:ascii="Arial" w:hAnsi="Arial" w:eastAsia="宋体" w:cs="Arial"/>
          <w:szCs w:val="21"/>
        </w:rPr>
      </w:pPr>
      <w:r>
        <w:rPr>
          <w:rFonts w:hint="eastAsia" w:ascii="Arial" w:hAnsi="Arial" w:eastAsia="宋体" w:cs="Arial"/>
          <w:szCs w:val="21"/>
        </w:rPr>
        <w:t>邮政编码：</w:t>
      </w:r>
      <w:r>
        <w:rPr>
          <w:rFonts w:hint="eastAsia" w:ascii="Arial" w:hAnsi="Arial" w:eastAsia="宋体" w:cs="Arial"/>
          <w:szCs w:val="21"/>
          <w:u w:val="single"/>
        </w:rPr>
        <w:t xml:space="preserve">           </w:t>
      </w:r>
    </w:p>
    <w:p>
      <w:pPr>
        <w:snapToGrid w:val="0"/>
        <w:spacing w:line="360" w:lineRule="auto"/>
        <w:rPr>
          <w:rFonts w:ascii="Arial" w:hAnsi="Arial" w:eastAsia="宋体" w:cs="Arial"/>
          <w:szCs w:val="21"/>
        </w:rPr>
      </w:pPr>
      <w:r>
        <w:rPr>
          <w:rFonts w:hint="eastAsia" w:ascii="Arial" w:hAnsi="Arial" w:eastAsia="宋体" w:cs="Arial"/>
          <w:szCs w:val="21"/>
        </w:rPr>
        <w:t>电话：</w:t>
      </w:r>
      <w:r>
        <w:rPr>
          <w:rFonts w:hint="eastAsia" w:ascii="Arial" w:hAnsi="Arial" w:eastAsia="宋体" w:cs="Arial"/>
          <w:szCs w:val="21"/>
          <w:u w:val="single"/>
        </w:rPr>
        <w:t xml:space="preserve">           </w:t>
      </w:r>
    </w:p>
    <w:p>
      <w:pPr>
        <w:snapToGrid w:val="0"/>
        <w:spacing w:line="360" w:lineRule="auto"/>
        <w:rPr>
          <w:rFonts w:ascii="Arial" w:hAnsi="Arial" w:eastAsia="宋体" w:cs="Arial"/>
          <w:szCs w:val="21"/>
          <w:u w:val="single"/>
        </w:rPr>
      </w:pPr>
      <w:r>
        <w:rPr>
          <w:rFonts w:hint="eastAsia" w:ascii="Arial" w:hAnsi="Arial" w:eastAsia="宋体" w:cs="Arial"/>
          <w:szCs w:val="21"/>
        </w:rPr>
        <w:t>传真：</w:t>
      </w:r>
      <w:r>
        <w:rPr>
          <w:rFonts w:hint="eastAsia" w:ascii="Arial" w:hAnsi="Arial" w:eastAsia="宋体" w:cs="Arial"/>
          <w:szCs w:val="21"/>
          <w:u w:val="single"/>
        </w:rPr>
        <w:t xml:space="preserve">           </w:t>
      </w:r>
    </w:p>
    <w:p>
      <w:pPr>
        <w:snapToGrid w:val="0"/>
        <w:spacing w:line="360" w:lineRule="auto"/>
        <w:rPr>
          <w:rFonts w:ascii="Arial" w:hAnsi="Arial" w:eastAsia="宋体" w:cs="Arial"/>
          <w:szCs w:val="21"/>
        </w:rPr>
      </w:pPr>
      <w:r>
        <w:rPr>
          <w:rFonts w:hint="eastAsia" w:ascii="Arial" w:hAnsi="Arial" w:eastAsia="宋体" w:cs="Arial"/>
          <w:szCs w:val="21"/>
        </w:rPr>
        <w:t>邮箱：</w:t>
      </w:r>
      <w:r>
        <w:rPr>
          <w:rFonts w:hint="eastAsia" w:ascii="Arial" w:hAnsi="Arial" w:eastAsia="宋体" w:cs="Arial"/>
          <w:szCs w:val="21"/>
          <w:u w:val="single"/>
        </w:rPr>
        <w:t xml:space="preserve">           </w:t>
      </w:r>
      <w:r>
        <w:rPr>
          <w:rFonts w:hint="eastAsia" w:ascii="Arial" w:hAnsi="Arial" w:eastAsia="宋体" w:cs="Arial"/>
          <w:szCs w:val="21"/>
        </w:rPr>
        <w:t xml:space="preserve"> </w:t>
      </w:r>
    </w:p>
    <w:p>
      <w:pPr>
        <w:snapToGrid w:val="0"/>
        <w:spacing w:line="360" w:lineRule="auto"/>
        <w:rPr>
          <w:rFonts w:ascii="Arial" w:hAnsi="Arial" w:eastAsia="宋体" w:cs="Arial"/>
          <w:szCs w:val="21"/>
        </w:rPr>
      </w:pPr>
    </w:p>
    <w:p>
      <w:pPr>
        <w:snapToGrid w:val="0"/>
        <w:spacing w:line="360" w:lineRule="auto"/>
        <w:rPr>
          <w:rFonts w:ascii="Arial" w:hAnsi="Arial" w:eastAsia="宋体" w:cs="Arial"/>
          <w:szCs w:val="21"/>
        </w:rPr>
      </w:pPr>
      <w:r>
        <w:rPr>
          <w:rFonts w:hint="eastAsia" w:ascii="Arial" w:hAnsi="Arial" w:eastAsia="宋体" w:cs="Arial"/>
          <w:szCs w:val="21"/>
        </w:rPr>
        <w:t>日期： 年  月  日</w:t>
      </w:r>
    </w:p>
    <w:p>
      <w:pPr>
        <w:spacing w:afterLines="25" w:line="300" w:lineRule="auto"/>
        <w:ind w:firstLine="420" w:firstLineChars="200"/>
        <w:rPr>
          <w:rFonts w:ascii="Arial" w:hAnsi="Arial" w:eastAsia="宋体" w:cs="Times New Roman"/>
          <w:sz w:val="24"/>
          <w:szCs w:val="24"/>
        </w:rPr>
      </w:pPr>
      <w:r>
        <w:rPr>
          <w:rFonts w:hint="eastAsia" w:ascii="Arial" w:hAnsi="Arial" w:eastAsia="宋体" w:cs="Arial"/>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u w:val="single"/>
        </w:rPr>
        <w:t xml:space="preserve">                 </w:t>
      </w:r>
      <w:r>
        <w:rPr>
          <w:rFonts w:hint="eastAsia" w:ascii="Arial" w:hAnsi="Arial" w:eastAsia="宋体" w:cs="Arial"/>
          <w:szCs w:val="24"/>
        </w:rPr>
        <w:t>。</w:t>
      </w:r>
    </w:p>
    <w:p>
      <w:pPr>
        <w:widowControl/>
        <w:snapToGrid w:val="0"/>
        <w:spacing w:line="360" w:lineRule="auto"/>
        <w:jc w:val="left"/>
        <w:rPr>
          <w:rFonts w:ascii="Arial" w:hAnsi="Arial" w:eastAsia="宋体" w:cs="Times New Roman"/>
          <w:szCs w:val="24"/>
        </w:rPr>
      </w:pPr>
      <w:r>
        <w:rPr>
          <w:rFonts w:ascii="Arial" w:hAnsi="Arial" w:eastAsia="宋体" w:cs="Times New Roman"/>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hint="eastAsia" w:ascii="宋体" w:hAnsi="宋体"/>
          <w:b/>
          <w:szCs w:val="21"/>
        </w:rPr>
      </w:pPr>
      <w:r>
        <w:rPr>
          <w:rFonts w:hint="eastAsia" w:ascii="宋体" w:hAnsi="宋体"/>
          <w:b w:val="0"/>
          <w:bCs/>
          <w:szCs w:val="21"/>
        </w:rPr>
        <w:t>1.我单位参与本项目所投标（响应）的货物、工程或服务，不存在侵犯知识产权的情况。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5.</w:t>
      </w:r>
      <w:bookmarkStart w:id="20" w:name="_Hlk72587269"/>
      <w:bookmarkStart w:id="2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0"/>
      <w:r>
        <w:rPr>
          <w:rFonts w:hint="eastAsia" w:ascii="宋体" w:hAnsi="宋体"/>
          <w:szCs w:val="21"/>
        </w:rPr>
        <w:t>。</w:t>
      </w:r>
    </w:p>
    <w:bookmarkEnd w:id="21"/>
    <w:p>
      <w:pPr>
        <w:ind w:firstLine="420" w:firstLineChars="200"/>
        <w:rPr>
          <w:rFonts w:ascii="宋体" w:hAnsi="宋体"/>
          <w:szCs w:val="21"/>
        </w:rPr>
      </w:pPr>
      <w:r>
        <w:rPr>
          <w:rFonts w:hint="eastAsia" w:ascii="宋体" w:hAnsi="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8.我单位承诺中标后项目不转包，未经采购人同意不进行分包。</w:t>
      </w:r>
    </w:p>
    <w:p>
      <w:pPr>
        <w:ind w:firstLine="420" w:firstLineChars="200"/>
        <w:rPr>
          <w:rFonts w:ascii="宋体" w:hAnsi="宋体"/>
        </w:rPr>
      </w:pPr>
      <w:r>
        <w:rPr>
          <w:rFonts w:hint="eastAsia" w:ascii="宋体" w:hAnsi="宋体"/>
          <w:szCs w:val="21"/>
        </w:rPr>
        <w:t>9</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10</w:t>
      </w:r>
      <w:r>
        <w:rPr>
          <w:rFonts w:ascii="宋体" w:hAnsi="宋体"/>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w:t>
      </w:r>
      <w:r>
        <w:rPr>
          <w:rFonts w:hint="default" w:ascii="宋体" w:hAnsi="宋体"/>
        </w:rPr>
        <w:t>（财办库〔2023〕7号）要求。</w:t>
      </w:r>
    </w:p>
    <w:p>
      <w:pPr>
        <w:ind w:firstLine="420" w:firstLineChars="200"/>
        <w:rPr>
          <w:rFonts w:hint="eastAsia" w:ascii="宋体" w:hAnsi="宋体"/>
          <w:b w:val="0"/>
          <w:bCs/>
        </w:rPr>
      </w:pPr>
      <w:r>
        <w:rPr>
          <w:rFonts w:hint="eastAsia" w:ascii="宋体" w:hAnsi="宋体" w:cs="宋体"/>
          <w:b w:val="0"/>
          <w:bCs/>
          <w:kern w:val="0"/>
          <w:szCs w:val="21"/>
        </w:rPr>
        <w:t>11.</w:t>
      </w:r>
      <w:r>
        <w:rPr>
          <w:rFonts w:hint="eastAsia" w:ascii="宋体" w:hAnsi="宋体"/>
          <w:b w:val="0"/>
          <w:bCs/>
        </w:rPr>
        <w:t xml:space="preserve"> 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 w:val="0"/>
          <w:bCs/>
          <w:highlight w:val="none"/>
          <w:lang w:val="en-US" w:eastAsia="zh-CN"/>
        </w:rPr>
        <w:t>如</w:t>
      </w:r>
      <w:r>
        <w:rPr>
          <w:rFonts w:hint="eastAsia" w:ascii="宋体" w:hAnsi="宋体"/>
          <w:b w:val="0"/>
          <w:bCs/>
          <w:highlight w:val="none"/>
        </w:rPr>
        <w:t>存在“不同供应商的董事、股东或其他高级管理人员为同一人的”情形的，承诺不存在串通投标、恶意串通或者视为串通投标的情形</w:t>
      </w:r>
      <w:r>
        <w:rPr>
          <w:rFonts w:hint="eastAsia" w:ascii="宋体" w:hAnsi="宋体"/>
          <w:b w:val="0"/>
          <w:bCs/>
          <w:highlight w:val="none"/>
          <w:lang w:eastAsia="zh-CN"/>
        </w:rPr>
        <w:t>。</w:t>
      </w:r>
    </w:p>
    <w:p>
      <w:pPr>
        <w:ind w:firstLine="422" w:firstLineChars="200"/>
        <w:rPr>
          <w:rFonts w:ascii="宋体" w:hAnsi="宋体"/>
          <w:b/>
        </w:rPr>
      </w:pPr>
      <w:r>
        <w:rPr>
          <w:rFonts w:hint="eastAsia" w:ascii="宋体" w:hAnsi="宋体"/>
          <w:b/>
          <w:bCs w:val="0"/>
          <w:sz w:val="21"/>
          <w:lang w:val="en-US" w:eastAsia="zh-CN"/>
        </w:rPr>
        <w:t>13.我单位清楚，如存在违反投标承诺行为情节严重的，将根据《深圳市财政局关于印发&lt;深圳市财政局政府采购供应商信用信息管理办法&gt;的通知》，依法被列入失信信息。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eastAsia="宋体" w:cs="Times New Roman"/>
          <w:szCs w:val="21"/>
        </w:rPr>
      </w:pPr>
      <w:r>
        <w:rPr>
          <w:rFonts w:hint="eastAsia" w:ascii="宋体" w:hAnsi="宋体" w:eastAsia="宋体" w:cs="Times New Roman"/>
          <w:szCs w:val="21"/>
        </w:rPr>
        <w:t>以上承诺，如有违反，愿依照国家相关法律法规处理，并承担由此给采购人带来的损失。</w:t>
      </w:r>
    </w:p>
    <w:p>
      <w:pPr>
        <w:ind w:firstLine="480" w:firstLineChars="200"/>
        <w:rPr>
          <w:rFonts w:hint="eastAsia" w:ascii="宋体" w:hAnsi="宋体" w:eastAsia="宋体" w:cs="Times New Roman"/>
          <w:szCs w:val="21"/>
        </w:rPr>
      </w:pPr>
      <w:r>
        <w:rPr>
          <w:rFonts w:hint="eastAsia" w:ascii="宋体" w:hAnsi="宋体" w:eastAsia="宋体" w:cs="Times New Roman"/>
          <w:sz w:val="24"/>
          <w:szCs w:val="24"/>
        </w:rPr>
        <w:t xml:space="preserve">                        </w:t>
      </w:r>
      <w:r>
        <w:rPr>
          <w:rFonts w:hint="eastAsia" w:ascii="宋体" w:hAnsi="宋体" w:eastAsia="宋体" w:cs="Times New Roman"/>
          <w:szCs w:val="21"/>
        </w:rPr>
        <w:t>投标单位（投标人）名称：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 xml:space="preserve">                </w:t>
      </w:r>
    </w:p>
    <w:p>
      <w:pPr>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widowControl/>
        <w:rPr>
          <w:rFonts w:ascii="宋体" w:hAnsi="宋体" w:eastAsia="宋体" w:cs="Times New Roman"/>
          <w:b/>
          <w:color w:val="FF0000"/>
          <w:kern w:val="0"/>
          <w:sz w:val="24"/>
          <w:szCs w:val="24"/>
        </w:rPr>
      </w:pPr>
      <w:r>
        <w:rPr>
          <w:rFonts w:hint="eastAsia" w:ascii="宋体" w:hAnsi="宋体" w:eastAsia="宋体" w:cs="Times New Roman"/>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tabs>
          <w:tab w:val="left" w:pos="720"/>
        </w:tabs>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6"/>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63"/>
        <w:gridCol w:w="1281"/>
        <w:gridCol w:w="993"/>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序号</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/品牌/</w:t>
            </w:r>
            <w:r>
              <w:rPr>
                <w:rFonts w:hint="eastAsia" w:ascii="Arial" w:hAnsi="Arial" w:eastAsia="宋体" w:cs="Times New Roman"/>
                <w:szCs w:val="24"/>
                <w:highlight w:val="none"/>
              </w:rPr>
              <w:t>型号</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数量</w:t>
            </w:r>
          </w:p>
        </w:tc>
        <w:tc>
          <w:tcPr>
            <w:tcW w:w="70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单位</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单价(元)</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2263" w:type="dxa"/>
            <w:vAlign w:val="center"/>
          </w:tcPr>
          <w:p>
            <w:pPr>
              <w:spacing w:afterLines="25" w:line="300" w:lineRule="auto"/>
              <w:rPr>
                <w:rFonts w:ascii="Arial" w:hAnsi="Arial" w:eastAsia="宋体" w:cs="Times New Roman"/>
                <w:b/>
                <w:szCs w:val="24"/>
              </w:rPr>
            </w:pPr>
          </w:p>
        </w:tc>
        <w:tc>
          <w:tcPr>
            <w:tcW w:w="1281"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2263" w:type="dxa"/>
          </w:tcPr>
          <w:p>
            <w:pPr>
              <w:spacing w:afterLines="25" w:line="300" w:lineRule="auto"/>
              <w:rPr>
                <w:rFonts w:ascii="Arial" w:hAnsi="Arial" w:eastAsia="宋体" w:cs="Times New Roman"/>
                <w:b/>
                <w:szCs w:val="24"/>
              </w:rPr>
            </w:pPr>
          </w:p>
        </w:tc>
        <w:tc>
          <w:tcPr>
            <w:tcW w:w="1281"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2263" w:type="dxa"/>
          </w:tcPr>
          <w:p>
            <w:pPr>
              <w:spacing w:afterLines="25" w:line="300" w:lineRule="auto"/>
              <w:rPr>
                <w:rFonts w:ascii="Arial" w:hAnsi="Arial" w:eastAsia="宋体" w:cs="Times New Roman"/>
                <w:b/>
                <w:szCs w:val="24"/>
              </w:rPr>
            </w:pPr>
          </w:p>
        </w:tc>
        <w:tc>
          <w:tcPr>
            <w:tcW w:w="1281"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2263" w:type="dxa"/>
          </w:tcPr>
          <w:p>
            <w:pPr>
              <w:spacing w:afterLines="25" w:line="300" w:lineRule="auto"/>
              <w:rPr>
                <w:rFonts w:ascii="Arial" w:hAnsi="Arial" w:eastAsia="宋体" w:cs="Times New Roman"/>
                <w:b/>
                <w:szCs w:val="24"/>
              </w:rPr>
            </w:pPr>
          </w:p>
        </w:tc>
        <w:tc>
          <w:tcPr>
            <w:tcW w:w="1281"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pPr>
              <w:spacing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w:t>
            </w:r>
            <w:r>
              <w:rPr>
                <w:rFonts w:hint="eastAsia" w:ascii="Arial" w:hAnsi="Arial" w:eastAsia="宋体" w:cs="Times New Roman"/>
                <w:szCs w:val="24"/>
                <w:lang w:val="en-US" w:eastAsia="zh-CN"/>
              </w:rPr>
              <w:t>以上各项之和；</w:t>
            </w:r>
            <w:r>
              <w:rPr>
                <w:rFonts w:hint="eastAsia" w:ascii="Arial" w:hAnsi="Arial" w:eastAsia="宋体" w:cs="Times New Roman"/>
                <w:szCs w:val="24"/>
              </w:rPr>
              <w:t>币种：人民币；单位：元）</w:t>
            </w:r>
          </w:p>
        </w:tc>
        <w:tc>
          <w:tcPr>
            <w:tcW w:w="3732" w:type="dxa"/>
            <w:gridSpan w:val="4"/>
          </w:tcPr>
          <w:p>
            <w:pPr>
              <w:spacing w:afterLines="25" w:line="300" w:lineRule="auto"/>
              <w:rPr>
                <w:rFonts w:ascii="Arial" w:hAnsi="Arial" w:eastAsia="宋体" w:cs="Times New Roman"/>
                <w:szCs w:val="24"/>
              </w:rPr>
            </w:pPr>
          </w:p>
        </w:tc>
      </w:tr>
    </w:tbl>
    <w:p>
      <w:pPr>
        <w:snapToGrid w:val="0"/>
        <w:rPr>
          <w:rFonts w:cs="Times New Roman" w:asciiTheme="minorEastAsia" w:hAnsiTheme="minorEastAsia"/>
          <w:b/>
          <w:szCs w:val="24"/>
        </w:rPr>
      </w:pPr>
      <w:r>
        <w:rPr>
          <w:rFonts w:hint="eastAsia" w:cs="Times New Roman" w:asciiTheme="minorEastAsia" w:hAnsiTheme="minorEastAsia"/>
          <w:b/>
          <w:szCs w:val="24"/>
        </w:rPr>
        <w:t>填写说明：</w:t>
      </w:r>
    </w:p>
    <w:p>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pPr>
        <w:snapToGrid w:val="0"/>
        <w:rPr>
          <w:rFonts w:hint="eastAsia" w:cs="Times New Roman" w:asciiTheme="minorEastAsia" w:hAnsiTheme="minorEastAsia"/>
          <w:b/>
          <w:szCs w:val="24"/>
        </w:rPr>
      </w:pPr>
      <w:r>
        <w:rPr>
          <w:rFonts w:hint="eastAsia" w:cs="Times New Roman" w:asciiTheme="minorEastAsia" w:hAnsiTheme="minorEastAsia"/>
          <w:b/>
          <w:szCs w:val="24"/>
        </w:rPr>
        <w:t>2. 如所投货物属于定制类的非量产货物或无具体品牌、型号的货物，可以在“规格/品牌/型号”一栏仅填写规格信息而不填写品牌、型号等信息（品牌、型号信息用“定制”描述即可）；</w:t>
      </w:r>
      <w:bookmarkStart w:id="22" w:name="_Hlk73646428"/>
      <w:r>
        <w:rPr>
          <w:rFonts w:hint="eastAsia" w:cs="Times New Roman" w:asciiTheme="minorEastAsia" w:hAnsiTheme="minorEastAsia"/>
          <w:b/>
          <w:szCs w:val="24"/>
        </w:rPr>
        <w:t>此类填写错误（所投货物为定制类的非量产货物但供应商却错误填报了品牌、型号）</w:t>
      </w:r>
      <w:r>
        <w:rPr>
          <w:rFonts w:hint="eastAsia" w:cs="Times New Roman" w:asciiTheme="minorEastAsia" w:hAnsiTheme="minorEastAsia"/>
          <w:b/>
          <w:szCs w:val="24"/>
          <w:lang w:val="en-US" w:eastAsia="zh-CN"/>
        </w:rPr>
        <w:t>可能</w:t>
      </w:r>
      <w:r>
        <w:rPr>
          <w:rFonts w:hint="eastAsia" w:cs="Times New Roman" w:asciiTheme="minorEastAsia" w:hAnsiTheme="minorEastAsia"/>
          <w:b/>
          <w:szCs w:val="24"/>
        </w:rPr>
        <w:t>的不利后果由供应商承担。</w:t>
      </w:r>
      <w:bookmarkEnd w:id="22"/>
    </w:p>
    <w:p>
      <w:pPr>
        <w:snapToGrid w:val="0"/>
        <w:rPr>
          <w:rFonts w:hint="eastAsia" w:cs="Times New Roman" w:asciiTheme="minorEastAsia" w:hAnsiTheme="minorEastAsia"/>
          <w:b/>
          <w:szCs w:val="24"/>
        </w:rPr>
      </w:pPr>
      <w:r>
        <w:rPr>
          <w:rFonts w:hint="eastAsia" w:cs="Times New Roman" w:asciiTheme="minorEastAsia" w:hAnsiTheme="minorEastAsia"/>
          <w:b/>
          <w:szCs w:val="24"/>
        </w:rPr>
        <w:t>3.</w:t>
      </w:r>
      <w:bookmarkStart w:id="23" w:name="_Hlk72074795"/>
      <w:r>
        <w:rPr>
          <w:rFonts w:hint="eastAsia" w:cs="Times New Roman" w:asciiTheme="minorEastAsia" w:hAnsiTheme="minorEastAsia"/>
          <w:b/>
          <w:szCs w:val="24"/>
        </w:rPr>
        <w:t>“原产地”是指该货物的实际生产加工地，而非品牌总公司所在地</w:t>
      </w:r>
      <w:bookmarkEnd w:id="23"/>
      <w:r>
        <w:rPr>
          <w:rFonts w:hint="eastAsia" w:cs="Times New Roman" w:asciiTheme="minorEastAsia" w:hAnsiTheme="minorEastAsia"/>
          <w:b/>
          <w:szCs w:val="24"/>
        </w:rPr>
        <w:t>。</w:t>
      </w:r>
    </w:p>
    <w:p>
      <w:pPr>
        <w:snapToGrid w:val="0"/>
        <w:rPr>
          <w:rFonts w:hint="eastAsia" w:cs="Times New Roman" w:asciiTheme="minorEastAsia" w:hAnsiTheme="minorEastAsia"/>
          <w:b/>
          <w:szCs w:val="24"/>
        </w:rPr>
      </w:pPr>
      <w:r>
        <w:rPr>
          <w:rFonts w:hint="eastAsia" w:cs="Times New Roman" w:asciiTheme="minorEastAsia" w:hAnsiTheme="minorEastAsia"/>
          <w:b/>
          <w:szCs w:val="24"/>
        </w:rPr>
        <w:t>4.所投货物均应填写制造商名称。</w:t>
      </w:r>
    </w:p>
    <w:p>
      <w:pPr>
        <w:snapToGrid w:val="0"/>
        <w:rPr>
          <w:rFonts w:hint="eastAsia" w:cs="Times New Roman" w:asciiTheme="minorEastAsia" w:hAnsiTheme="minorEastAsia"/>
          <w:b/>
          <w:szCs w:val="24"/>
        </w:rPr>
      </w:pPr>
      <w:r>
        <w:rPr>
          <w:rFonts w:hint="eastAsia" w:cs="Times New Roman" w:asciiTheme="minorEastAsia" w:hAnsiTheme="minorEastAsia"/>
          <w:b/>
          <w:szCs w:val="24"/>
        </w:rPr>
        <w:t>5.以上分项报价表的投标总价应当与开标一览表的投标总价一致。</w:t>
      </w:r>
    </w:p>
    <w:p>
      <w:pPr>
        <w:snapToGrid w:val="0"/>
        <w:rPr>
          <w:rFonts w:hint="eastAsia" w:cs="Times New Roman" w:asciiTheme="minorEastAsia" w:hAnsiTheme="minorEastAsia"/>
          <w:b/>
          <w:szCs w:val="24"/>
        </w:rPr>
      </w:pPr>
      <w:r>
        <w:rPr>
          <w:rFonts w:hint="eastAsia" w:cs="Times New Roman" w:asciiTheme="minorEastAsia" w:hAnsiTheme="minorEastAsia"/>
          <w:b/>
          <w:szCs w:val="24"/>
        </w:rPr>
        <w:t>6.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rPr>
      </w:pPr>
      <w:r>
        <w:rPr>
          <w:rFonts w:hint="eastAsia" w:cs="Times New Roman" w:asciiTheme="minorEastAsia" w:hAnsiTheme="minorEastAsia"/>
          <w:b/>
          <w:szCs w:val="24"/>
        </w:rPr>
        <w:t>7.所有价格应按“招标文件”中规定的货币单位填写；投标总价应为以上各分项价格之和；投标总价和项目报价表中单个采购预算条目报价均不得超过对应的财政预算限额，否则将导致投标无效。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rPr>
      </w:pPr>
    </w:p>
    <w:p>
      <w:pPr>
        <w:snapToGrid w:val="0"/>
        <w:rPr>
          <w:rFonts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pPr>
        <w:snapToGrid w:val="0"/>
        <w:rPr>
          <w:rFonts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pPr>
        <w:tabs>
          <w:tab w:val="left" w:pos="720"/>
        </w:tabs>
        <w:rPr>
          <w:rFonts w:ascii="Times New Roman" w:hAnsi="Times New Roman" w:eastAsia="宋体" w:cs="Times New Roman"/>
          <w:b/>
          <w:sz w:val="24"/>
          <w:szCs w:val="24"/>
        </w:rPr>
      </w:pPr>
    </w:p>
    <w:p>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pPr>
        <w:rPr>
          <w:rFonts w:hint="eastAsia"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pPr>
        <w:rPr>
          <w:rFonts w:ascii="Arial" w:hAnsi="Arial" w:eastAsia="宋体" w:cs="Times New Roman"/>
          <w:b/>
          <w:szCs w:val="24"/>
        </w:rPr>
      </w:pPr>
      <w:r>
        <w:rPr>
          <w:rFonts w:hint="eastAsia" w:ascii="宋体" w:hAnsi="宋体" w:eastAsia="宋体" w:cs="Times New Roman"/>
          <w:color w:val="FF0000"/>
          <w:sz w:val="24"/>
          <w:szCs w:val="24"/>
        </w:rPr>
        <w:t>备注：如招标文件未列明核心产品的，无需填写该项。</w:t>
      </w:r>
    </w:p>
    <w:p>
      <w:pPr>
        <w:spacing w:afterLines="25" w:line="300" w:lineRule="auto"/>
        <w:rPr>
          <w:rFonts w:ascii="Arial" w:hAnsi="Arial" w:eastAsia="宋体" w:cs="Times New Roman"/>
          <w:b/>
          <w:szCs w:val="24"/>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pPr>
        <w:ind w:firstLine="422" w:firstLineChars="200"/>
        <w:rPr>
          <w:rFonts w:hint="eastAsia" w:hAnsi="宋体"/>
          <w:b/>
          <w:bCs/>
          <w:szCs w:val="21"/>
        </w:rPr>
      </w:pPr>
      <w:r>
        <w:rPr>
          <w:rFonts w:hint="eastAsia" w:hAnsi="宋体"/>
          <w:b/>
          <w:bCs/>
          <w:szCs w:val="21"/>
        </w:rPr>
        <w:t>注：格式可以参照《（一）</w:t>
      </w:r>
      <w:r>
        <w:rPr>
          <w:rFonts w:hint="eastAsia" w:hAnsi="宋体"/>
          <w:b/>
          <w:bCs/>
          <w:szCs w:val="21"/>
          <w:lang w:val="en-US" w:eastAsia="zh-CN"/>
        </w:rPr>
        <w:t>项目</w:t>
      </w:r>
      <w:r>
        <w:rPr>
          <w:rFonts w:hint="eastAsia" w:hAnsi="宋体"/>
          <w:b/>
          <w:bCs/>
          <w:szCs w:val="21"/>
        </w:rPr>
        <w:t>报价表》表格，并提供相应的品牌/规格/型号、原产地、制造商信息（没有品牌、型号的，用“定制”描述即可）、单价等详细信息</w:t>
      </w:r>
    </w:p>
    <w:p>
      <w:pPr>
        <w:ind w:firstLine="422" w:firstLineChars="200"/>
        <w:rPr>
          <w:rFonts w:hint="eastAsia" w:hAnsi="宋体"/>
          <w:b/>
          <w:bCs/>
          <w:szCs w:val="21"/>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pPr>
        <w:keepNext/>
        <w:keepLines/>
        <w:pageBreakBefore/>
        <w:adjustRightInd w:val="0"/>
        <w:snapToGrid w:val="0"/>
        <w:spacing w:line="360" w:lineRule="auto"/>
        <w:jc w:val="center"/>
        <w:textAlignment w:val="baseline"/>
        <w:outlineLvl w:val="3"/>
        <w:rPr>
          <w:rFonts w:hint="default" w:ascii="宋体" w:hAnsi="宋体" w:eastAsia="宋体" w:cs="Times New Roman"/>
          <w:b/>
          <w:bCs/>
          <w:kern w:val="0"/>
          <w:sz w:val="24"/>
          <w:szCs w:val="20"/>
          <w:lang w:val="en-US"/>
        </w:rPr>
      </w:pPr>
      <w:r>
        <w:rPr>
          <w:rFonts w:hint="eastAsia" w:ascii="宋体" w:hAnsi="宋体" w:eastAsia="宋体" w:cs="Times New Roman"/>
          <w:b/>
          <w:bCs/>
          <w:kern w:val="0"/>
          <w:sz w:val="24"/>
          <w:szCs w:val="20"/>
        </w:rPr>
        <w:t>4.</w:t>
      </w:r>
      <w:r>
        <w:rPr>
          <w:rFonts w:hint="eastAsia" w:ascii="宋体" w:hAnsi="宋体" w:eastAsia="宋体" w:cs="Times New Roman"/>
          <w:b/>
          <w:bCs/>
          <w:kern w:val="0"/>
          <w:sz w:val="24"/>
          <w:szCs w:val="20"/>
          <w:lang w:val="en-US" w:eastAsia="zh-CN"/>
        </w:rPr>
        <w:t>中小企业相关声明函</w:t>
      </w:r>
    </w:p>
    <w:p>
      <w:pPr>
        <w:snapToGrid w:val="0"/>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填写指引：</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1、该部分内容由投标人根据自身实际情况填写。投标人提供的声明函不属实的，属于提供虚假资料谋取中标，依照《中华人民共和国政府采购法》等国家有关规定追究相应责任。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2、该部分内容填写需要参考的相关文件：</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(2)《工业和信息化部、国家统计局、国家发展和改革委员会、财政部关于印发中小企业划型标准规定的通知》（工信部联企业〔2011〕300 号，以下简称300号文）</w:t>
      </w:r>
      <w:r>
        <w:rPr>
          <w:rFonts w:hint="eastAsia" w:ascii="黑体" w:hAnsi="黑体" w:eastAsia="黑体" w:cs="黑体"/>
          <w:b w:val="0"/>
          <w:bCs/>
          <w:color w:val="FF0000"/>
          <w:sz w:val="25"/>
          <w:szCs w:val="25"/>
          <w:lang w:eastAsia="zh-CN"/>
        </w:rPr>
        <w:t>；</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lang w:eastAsia="zh-CN"/>
        </w:rPr>
      </w:pPr>
      <w:r>
        <w:rPr>
          <w:rFonts w:hint="eastAsia" w:ascii="黑体" w:hAnsi="黑体" w:eastAsia="黑体" w:cs="黑体"/>
          <w:b w:val="0"/>
          <w:bCs/>
          <w:color w:val="FF0000"/>
          <w:sz w:val="25"/>
          <w:szCs w:val="25"/>
        </w:rPr>
        <w:t>(3)《统计上大中小微型企业划分办法(2017)》（国统字〔2017〕213 号）</w:t>
      </w:r>
      <w:r>
        <w:rPr>
          <w:rFonts w:hint="eastAsia" w:ascii="黑体" w:hAnsi="黑体" w:eastAsia="黑体" w:cs="黑体"/>
          <w:b w:val="0"/>
          <w:bCs/>
          <w:color w:val="FF0000"/>
          <w:sz w:val="25"/>
          <w:szCs w:val="25"/>
          <w:lang w:eastAsia="zh-CN"/>
        </w:rPr>
        <w:t>；</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lang w:eastAsia="zh-CN"/>
        </w:rPr>
      </w:pPr>
      <w:r>
        <w:rPr>
          <w:rFonts w:hint="eastAsia" w:ascii="黑体" w:hAnsi="黑体" w:eastAsia="黑体" w:cs="黑体"/>
          <w:b w:val="0"/>
          <w:bCs/>
          <w:color w:val="FF0000"/>
          <w:sz w:val="25"/>
          <w:szCs w:val="25"/>
        </w:rPr>
        <w:t>(4)《关于促进残疾人就业政府采购政策的通知》（财库〔2017〕141号）</w:t>
      </w:r>
      <w:r>
        <w:rPr>
          <w:rFonts w:hint="eastAsia" w:ascii="黑体" w:hAnsi="黑体" w:eastAsia="黑体" w:cs="黑体"/>
          <w:b w:val="0"/>
          <w:bCs/>
          <w:color w:val="FF0000"/>
          <w:sz w:val="25"/>
          <w:szCs w:val="25"/>
          <w:lang w:eastAsia="zh-CN"/>
        </w:rPr>
        <w:t>；</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3、请依照提供的格式和内容填写声明函，不要随意变更格式；声明函不需要盖章或签字；</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4、声明函具体填写要求：</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第一处，在“单位名称”下划线处如实填写采购人名称（深圳公共资源交易中心不是本项目的采购人，而是组织实施机构）；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第三处，在“标的名称”下划线处填写所采购货物（标的）的具体名称</w:t>
      </w:r>
      <w:r>
        <w:rPr>
          <w:rFonts w:hint="eastAsia" w:ascii="黑体" w:hAnsi="黑体" w:eastAsia="黑体" w:cs="黑体"/>
          <w:b w:val="0"/>
          <w:bCs/>
          <w:color w:val="0000FF"/>
          <w:sz w:val="25"/>
          <w:szCs w:val="25"/>
        </w:rPr>
        <w:t>（以招标文件第一册第三章用户需求书“货物</w:t>
      </w:r>
      <w:r>
        <w:rPr>
          <w:rFonts w:hint="eastAsia" w:ascii="黑体" w:hAnsi="黑体" w:eastAsia="黑体" w:cs="黑体"/>
          <w:b w:val="0"/>
          <w:bCs/>
          <w:color w:val="0000FF"/>
          <w:sz w:val="25"/>
          <w:szCs w:val="25"/>
          <w:lang w:val="en-US" w:eastAsia="zh-CN"/>
        </w:rPr>
        <w:t>需求</w:t>
      </w:r>
      <w:r>
        <w:rPr>
          <w:rFonts w:hint="eastAsia" w:ascii="黑体" w:hAnsi="黑体" w:eastAsia="黑体" w:cs="黑体"/>
          <w:b w:val="0"/>
          <w:bCs/>
          <w:color w:val="0000FF"/>
          <w:sz w:val="25"/>
          <w:szCs w:val="25"/>
        </w:rPr>
        <w:t>明细”的“货物名称”一栏为准）</w:t>
      </w:r>
      <w:r>
        <w:rPr>
          <w:rFonts w:hint="eastAsia" w:ascii="黑体" w:hAnsi="黑体" w:eastAsia="黑体" w:cs="黑体"/>
          <w:b w:val="0"/>
          <w:bCs/>
          <w:color w:val="FF0000"/>
          <w:sz w:val="25"/>
          <w:szCs w:val="25"/>
        </w:rPr>
        <w:t>；如果涉及多项货物（标的）为同一企业制造，“标的名称”下划线处可以如实填写多项货物；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第四处，在“招标文件中明确的所属行业”下划线处填写采购标的对应的中小企业划分标准所属行业</w:t>
      </w:r>
      <w:r>
        <w:rPr>
          <w:rFonts w:hint="eastAsia" w:ascii="黑体" w:hAnsi="黑体" w:eastAsia="黑体" w:cs="黑体"/>
          <w:b w:val="0"/>
          <w:bCs w:val="0"/>
          <w:color w:val="0000FF"/>
          <w:sz w:val="25"/>
          <w:szCs w:val="25"/>
        </w:rPr>
        <w:t>（所属行业</w:t>
      </w:r>
      <w:r>
        <w:rPr>
          <w:rFonts w:hint="eastAsia" w:ascii="黑体" w:hAnsi="黑体" w:eastAsia="黑体" w:cs="黑体"/>
          <w:b w:val="0"/>
          <w:bCs w:val="0"/>
          <w:color w:val="0000FF"/>
          <w:sz w:val="25"/>
          <w:szCs w:val="25"/>
          <w:lang w:val="en-US" w:eastAsia="zh-CN"/>
        </w:rPr>
        <w:t>详见</w:t>
      </w:r>
      <w:r>
        <w:rPr>
          <w:rFonts w:hint="eastAsia" w:ascii="黑体" w:hAnsi="黑体" w:eastAsia="黑体" w:cs="黑体"/>
          <w:b w:val="0"/>
          <w:bCs w:val="0"/>
          <w:color w:val="0000FF"/>
          <w:sz w:val="25"/>
          <w:szCs w:val="25"/>
        </w:rPr>
        <w:t>招标文件第一册第二章“对通用条款的补充内容及其他关键信息”章节</w:t>
      </w:r>
      <w:r>
        <w:rPr>
          <w:rFonts w:hint="eastAsia" w:ascii="黑体" w:hAnsi="黑体" w:eastAsia="黑体" w:cs="黑体"/>
          <w:b w:val="0"/>
          <w:bCs w:val="0"/>
          <w:color w:val="0000FF"/>
          <w:sz w:val="25"/>
          <w:szCs w:val="25"/>
          <w:lang w:val="en-US" w:eastAsia="zh-CN"/>
        </w:rPr>
        <w:t>或</w:t>
      </w:r>
      <w:r>
        <w:rPr>
          <w:rFonts w:hint="eastAsia" w:ascii="黑体" w:hAnsi="黑体" w:eastAsia="黑体" w:cs="黑体"/>
          <w:b w:val="0"/>
          <w:bCs w:val="0"/>
          <w:color w:val="0000FF"/>
          <w:sz w:val="25"/>
          <w:szCs w:val="25"/>
        </w:rPr>
        <w:t>第三章用户需求书“</w:t>
      </w:r>
      <w:r>
        <w:rPr>
          <w:rFonts w:hint="eastAsia" w:ascii="黑体" w:hAnsi="黑体" w:eastAsia="黑体" w:cs="黑体"/>
          <w:b w:val="0"/>
          <w:bCs w:val="0"/>
          <w:color w:val="0000FF"/>
          <w:sz w:val="25"/>
          <w:szCs w:val="25"/>
          <w:lang w:val="en-US" w:eastAsia="zh-CN"/>
        </w:rPr>
        <w:t>货物需求</w:t>
      </w:r>
      <w:r>
        <w:rPr>
          <w:rFonts w:hint="eastAsia" w:ascii="黑体" w:hAnsi="黑体" w:eastAsia="黑体" w:cs="黑体"/>
          <w:b w:val="0"/>
          <w:bCs w:val="0"/>
          <w:color w:val="0000FF"/>
          <w:sz w:val="25"/>
          <w:szCs w:val="25"/>
        </w:rPr>
        <w:t>明细”</w:t>
      </w:r>
      <w:r>
        <w:rPr>
          <w:rFonts w:hint="eastAsia" w:ascii="黑体" w:hAnsi="黑体" w:eastAsia="黑体" w:cs="黑体"/>
          <w:b w:val="0"/>
          <w:bCs w:val="0"/>
          <w:color w:val="0000FF"/>
          <w:sz w:val="25"/>
          <w:szCs w:val="25"/>
          <w:lang w:val="en-US" w:eastAsia="zh-CN"/>
        </w:rPr>
        <w:t>中的所属行业信息</w:t>
      </w:r>
      <w:r>
        <w:rPr>
          <w:rFonts w:hint="eastAsia" w:ascii="黑体" w:hAnsi="黑体" w:eastAsia="黑体" w:cs="黑体"/>
          <w:b w:val="0"/>
          <w:bCs w:val="0"/>
          <w:color w:val="0000FF"/>
          <w:sz w:val="25"/>
          <w:szCs w:val="25"/>
        </w:rPr>
        <w:t>）</w:t>
      </w:r>
      <w:r>
        <w:rPr>
          <w:rFonts w:hint="eastAsia" w:ascii="黑体" w:hAnsi="黑体" w:eastAsia="黑体" w:cs="黑体"/>
          <w:b w:val="0"/>
          <w:bCs/>
          <w:color w:val="FF0000"/>
          <w:sz w:val="25"/>
          <w:szCs w:val="25"/>
        </w:rPr>
        <w:t>；</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500" w:firstLineChars="200"/>
        <w:textAlignment w:val="auto"/>
        <w:rPr>
          <w:rFonts w:hint="eastAsia" w:ascii="黑体" w:hAnsi="黑体" w:eastAsia="黑体" w:cs="黑体"/>
          <w:b w:val="0"/>
          <w:bCs/>
          <w:color w:val="FF0000"/>
          <w:sz w:val="25"/>
          <w:szCs w:val="25"/>
        </w:rPr>
      </w:pPr>
      <w:r>
        <w:rPr>
          <w:rFonts w:hint="eastAsia" w:ascii="黑体" w:hAnsi="黑体" w:eastAsia="黑体" w:cs="黑体"/>
          <w:b w:val="0"/>
          <w:bCs/>
          <w:color w:val="FF0000"/>
          <w:sz w:val="25"/>
          <w:szCs w:val="25"/>
        </w:rPr>
        <w:t>（3）声明是监狱企业须填写《监狱企业声明函》的三项内容（填写位置的字体已加粗），具体参照以上《中小企业声明函》填写要求执行。</w:t>
      </w:r>
    </w:p>
    <w:p>
      <w:pPr>
        <w:snapToGrid w:val="0"/>
        <w:rPr>
          <w:rFonts w:ascii="仿宋" w:hAnsi="仿宋" w:eastAsia="仿宋"/>
          <w:b/>
          <w:color w:val="FF0000"/>
          <w:sz w:val="25"/>
          <w:szCs w:val="25"/>
        </w:rPr>
      </w:pPr>
    </w:p>
    <w:p>
      <w:pPr>
        <w:snapToGrid w:val="0"/>
        <w:rPr>
          <w:rFonts w:ascii="仿宋" w:hAnsi="仿宋" w:eastAsia="仿宋"/>
          <w:b/>
          <w:color w:val="FF0000"/>
          <w:sz w:val="25"/>
          <w:szCs w:val="25"/>
        </w:rPr>
      </w:pPr>
    </w:p>
    <w:p>
      <w:pPr>
        <w:snapToGrid w:val="0"/>
        <w:rPr>
          <w:rFonts w:ascii="仿宋" w:hAnsi="仿宋" w:eastAsia="仿宋"/>
          <w:b/>
          <w:color w:val="FF0000"/>
          <w:sz w:val="25"/>
          <w:szCs w:val="25"/>
        </w:rPr>
      </w:pPr>
    </w:p>
    <w:p>
      <w:pPr>
        <w:rPr>
          <w:rFonts w:ascii="宋体" w:hAnsi="宋体" w:eastAsia="宋体" w:cs="Times New Roman"/>
          <w:b/>
          <w:bCs/>
          <w:sz w:val="24"/>
          <w:szCs w:val="24"/>
        </w:rPr>
      </w:pPr>
      <w:r>
        <w:rPr>
          <w:rFonts w:ascii="宋体" w:hAnsi="宋体" w:eastAsia="宋体" w:cs="Times New Roman"/>
          <w:b/>
          <w:bCs/>
          <w:sz w:val="24"/>
          <w:szCs w:val="24"/>
        </w:rPr>
        <w:br w:type="page"/>
      </w:r>
    </w:p>
    <w:p>
      <w:pPr>
        <w:widowControl/>
        <w:jc w:val="center"/>
        <w:outlineLvl w:val="4"/>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中小企业声明函（货物）</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郑重声明，根据《政府采购促进中小企业发展管理办法》（财库</w:t>
      </w:r>
      <w:r>
        <w:rPr>
          <w:rFonts w:hint="eastAsia" w:ascii="Arial" w:hAnsi="Arial" w:eastAsia="宋体" w:cs="Times New Roman"/>
          <w:szCs w:val="21"/>
        </w:rPr>
        <w:t>﹝</w:t>
      </w:r>
      <w:r>
        <w:rPr>
          <w:rFonts w:ascii="Arial" w:hAnsi="Arial" w:eastAsia="宋体" w:cs="Times New Roman"/>
          <w:szCs w:val="21"/>
        </w:rPr>
        <w:t>2020</w:t>
      </w:r>
      <w:r>
        <w:rPr>
          <w:rFonts w:hint="eastAsia" w:ascii="Arial" w:hAnsi="Arial" w:eastAsia="宋体" w:cs="Times New Roman"/>
          <w:szCs w:val="21"/>
        </w:rPr>
        <w:t>﹞</w:t>
      </w:r>
      <w:r>
        <w:rPr>
          <w:rFonts w:ascii="Arial" w:hAnsi="Arial" w:eastAsia="宋体" w:cs="Times New Roman"/>
          <w:szCs w:val="21"/>
        </w:rPr>
        <w:t>46 号）的规定，本</w:t>
      </w:r>
      <w:r>
        <w:rPr>
          <w:rFonts w:hint="eastAsia" w:ascii="Arial" w:hAnsi="Arial" w:eastAsia="宋体" w:cs="Times New Roman"/>
          <w:szCs w:val="21"/>
        </w:rPr>
        <w:t>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采购活动，提供的货物全部由符合政策要求的中小企业制造。相关企业的具体情况如下：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u w:val="single"/>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以上企业，不属于大企业的分支机构，不存在控股股东为大企业的情形，也不存在与大企业的负责人为同一人的情形。</w:t>
      </w:r>
    </w:p>
    <w:p>
      <w:pPr>
        <w:spacing w:afterLines="25" w:line="300" w:lineRule="auto"/>
        <w:ind w:firstLine="420" w:firstLineChars="200"/>
        <w:rPr>
          <w:rFonts w:ascii="Arial" w:hAnsi="Arial" w:eastAsia="宋体" w:cs="Times New Roman"/>
          <w:szCs w:val="21"/>
        </w:rPr>
      </w:pPr>
      <w:bookmarkStart w:id="24" w:name="_Hlk73562203"/>
      <w:r>
        <w:rPr>
          <w:rFonts w:hint="eastAsia" w:ascii="Arial" w:hAnsi="Arial" w:eastAsia="宋体" w:cs="Times New Roman"/>
          <w:szCs w:val="21"/>
        </w:rPr>
        <w:t>本</w:t>
      </w:r>
      <w:r>
        <w:rPr>
          <w:rFonts w:ascii="Arial" w:hAnsi="Arial" w:eastAsia="宋体" w:cs="Times New Roman"/>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cs="Times New Roman"/>
          <w:szCs w:val="21"/>
        </w:rPr>
        <w:t>投标人</w:t>
      </w:r>
      <w:r>
        <w:rPr>
          <w:rFonts w:ascii="Arial" w:hAnsi="Arial" w:eastAsia="宋体" w:cs="Times New Roman"/>
          <w:szCs w:val="21"/>
        </w:rPr>
        <w:t>按照本办法规定提供声明函内容不实的，属于提供虚假材料谋取中标，依照《政府采购法》等政府采购有关法律法规规定追究相应责任</w:t>
      </w:r>
      <w:r>
        <w:rPr>
          <w:rFonts w:hint="eastAsia" w:ascii="Arial" w:hAnsi="Arial" w:eastAsia="宋体" w:cs="Times New Roman"/>
          <w:szCs w:val="21"/>
        </w:rPr>
        <w:t>。</w:t>
      </w:r>
      <w:bookmarkEnd w:id="24"/>
    </w:p>
    <w:p>
      <w:pPr>
        <w:spacing w:afterLines="25" w:line="300" w:lineRule="auto"/>
        <w:ind w:firstLine="630" w:firstLineChars="300"/>
        <w:rPr>
          <w:rFonts w:ascii="Arial" w:hAnsi="Arial" w:eastAsia="宋体" w:cs="Times New Roman"/>
          <w:szCs w:val="21"/>
        </w:rPr>
      </w:pPr>
    </w:p>
    <w:p>
      <w:pPr>
        <w:spacing w:afterLines="25" w:line="300" w:lineRule="auto"/>
        <w:ind w:right="420" w:firstLine="4200" w:firstLineChars="2000"/>
        <w:rPr>
          <w:rFonts w:ascii="Arial" w:hAnsi="Arial" w:eastAsia="宋体" w:cs="Times New Roman"/>
          <w:szCs w:val="21"/>
        </w:rPr>
      </w:pPr>
      <w:r>
        <w:rPr>
          <w:rFonts w:hint="eastAsia" w:ascii="Arial" w:hAnsi="Arial" w:eastAsia="宋体" w:cs="Times New Roman"/>
          <w:szCs w:val="21"/>
        </w:rPr>
        <w:t>投标人（投标单位）：</w:t>
      </w:r>
    </w:p>
    <w:p>
      <w:pPr>
        <w:spacing w:afterLines="25" w:line="300" w:lineRule="auto"/>
        <w:ind w:right="420" w:firstLine="5565" w:firstLineChars="2650"/>
        <w:rPr>
          <w:rFonts w:ascii="Arial" w:hAnsi="Arial" w:eastAsia="宋体" w:cs="Times New Roman"/>
          <w:szCs w:val="21"/>
        </w:rPr>
      </w:pPr>
      <w:r>
        <w:rPr>
          <w:rFonts w:hint="eastAsia" w:ascii="Arial" w:hAnsi="Arial" w:eastAsia="宋体" w:cs="Times New Roman"/>
          <w:szCs w:val="21"/>
        </w:rPr>
        <w:t>日期：</w:t>
      </w:r>
    </w:p>
    <w:p>
      <w:pPr>
        <w:spacing w:afterLines="25" w:line="300" w:lineRule="auto"/>
        <w:ind w:right="420" w:firstLine="5587" w:firstLineChars="2650"/>
        <w:rPr>
          <w:rFonts w:ascii="Arial" w:hAnsi="Arial" w:eastAsia="宋体" w:cs="Times New Roman"/>
          <w:b/>
          <w:szCs w:val="21"/>
        </w:rPr>
      </w:pPr>
    </w:p>
    <w:p>
      <w:pPr>
        <w:spacing w:afterLines="25" w:line="300" w:lineRule="auto"/>
        <w:ind w:right="420" w:firstLine="5587" w:firstLineChars="2650"/>
        <w:rPr>
          <w:rFonts w:ascii="Arial" w:hAnsi="Arial" w:eastAsia="宋体" w:cs="Times New Roman"/>
          <w:b/>
          <w:szCs w:val="21"/>
        </w:rPr>
      </w:pPr>
    </w:p>
    <w:p>
      <w:pPr>
        <w:spacing w:afterLines="25" w:line="300" w:lineRule="auto"/>
        <w:ind w:firstLine="482" w:firstLineChars="200"/>
        <w:jc w:val="left"/>
        <w:rPr>
          <w:rFonts w:ascii="宋体" w:hAnsi="宋体" w:eastAsia="宋体" w:cs="Times New Roman"/>
          <w:sz w:val="24"/>
          <w:szCs w:val="24"/>
          <w:highlight w:val="yellow"/>
        </w:rPr>
      </w:pPr>
      <w:r>
        <w:rPr>
          <w:rFonts w:hint="eastAsia" w:ascii="宋体" w:hAnsi="宋体" w:eastAsia="宋体" w:cs="Times New Roman"/>
          <w:b/>
          <w:sz w:val="24"/>
          <w:szCs w:val="24"/>
          <w:highlight w:val="yellow"/>
        </w:rPr>
        <w:t>说明：</w:t>
      </w:r>
      <w:r>
        <w:rPr>
          <w:rFonts w:hint="eastAsia" w:ascii="宋体" w:hAnsi="宋体" w:eastAsia="宋体" w:cs="Times New Roman"/>
          <w:sz w:val="24"/>
          <w:szCs w:val="24"/>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afterLines="25" w:line="300" w:lineRule="auto"/>
        <w:jc w:val="center"/>
        <w:outlineLvl w:val="4"/>
        <w:rPr>
          <w:rFonts w:ascii="Arial" w:hAnsi="Arial" w:eastAsia="宋体" w:cs="Times New Roman"/>
          <w:b/>
          <w:sz w:val="24"/>
          <w:szCs w:val="24"/>
        </w:rPr>
      </w:pPr>
      <w:r>
        <w:rPr>
          <w:rFonts w:hint="eastAsia" w:ascii="宋体" w:hAnsi="宋体" w:eastAsia="宋体" w:cs="Times New Roman"/>
          <w:b/>
          <w:sz w:val="24"/>
          <w:szCs w:val="24"/>
        </w:rPr>
        <w:t>②</w:t>
      </w:r>
      <w:r>
        <w:rPr>
          <w:rFonts w:hint="eastAsia" w:ascii="Arial" w:hAnsi="Arial" w:eastAsia="宋体" w:cs="Times New Roman"/>
          <w:b/>
          <w:sz w:val="24"/>
          <w:szCs w:val="24"/>
        </w:rPr>
        <w:t>残疾人福利性单位声明函（货物）</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本</w:t>
      </w:r>
      <w:r>
        <w:rPr>
          <w:rFonts w:hint="eastAsia" w:cs="Times New Roman" w:asciiTheme="minorEastAsia" w:hAnsiTheme="minorEastAsia"/>
          <w:szCs w:val="21"/>
        </w:rPr>
        <w:t>投标人郑重声明，根据《财政部民政部中国残疾人联合会关于促进残疾人就业政府采购政策的通知》（财库〔</w:t>
      </w:r>
      <w:r>
        <w:rPr>
          <w:rFonts w:cs="Times New Roman" w:asciiTheme="minorEastAsia" w:hAnsiTheme="minorEastAsia"/>
          <w:szCs w:val="21"/>
        </w:rPr>
        <w:t>2017</w:t>
      </w:r>
      <w:r>
        <w:rPr>
          <w:rFonts w:hint="eastAsia" w:cs="Times New Roman" w:asciiTheme="minorEastAsia" w:hAnsiTheme="minorEastAsia"/>
          <w:szCs w:val="21"/>
        </w:rPr>
        <w:t>〕</w:t>
      </w:r>
      <w:r>
        <w:rPr>
          <w:rFonts w:cs="Times New Roman" w:asciiTheme="minorEastAsia" w:hAnsiTheme="minorEastAsia"/>
          <w:szCs w:val="21"/>
        </w:rPr>
        <w:t xml:space="preserve">141 </w:t>
      </w:r>
      <w:r>
        <w:rPr>
          <w:rFonts w:hint="eastAsia" w:cs="Times New Roman" w:asciiTheme="minorEastAsia" w:hAnsiTheme="minorEastAsia"/>
          <w:szCs w:val="21"/>
        </w:rPr>
        <w:t>号）的规定，本投标人</w:t>
      </w:r>
      <w:r>
        <w:rPr>
          <w:rFonts w:cs="Times New Roman" w:asciiTheme="minorEastAsia" w:hAnsiTheme="minorEastAsia"/>
          <w:szCs w:val="21"/>
        </w:rPr>
        <w:t>参加</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采购人</w:t>
      </w:r>
      <w:r>
        <w:rPr>
          <w:rFonts w:cs="Times New Roman" w:asciiTheme="minorEastAsia" w:hAnsiTheme="minorEastAsia"/>
          <w:b/>
          <w:bCs/>
          <w:szCs w:val="21"/>
          <w:u w:val="single"/>
        </w:rPr>
        <w:t>名称）</w:t>
      </w:r>
      <w:r>
        <w:rPr>
          <w:rFonts w:cs="Times New Roman" w:asciiTheme="minorEastAsia" w:hAnsiTheme="minorEastAsia"/>
          <w:szCs w:val="21"/>
        </w:rPr>
        <w:t>的</w:t>
      </w:r>
      <w:r>
        <w:rPr>
          <w:rFonts w:cs="Times New Roman" w:asciiTheme="minorEastAsia" w:hAnsiTheme="minorEastAsia"/>
          <w:b/>
          <w:bCs/>
          <w:szCs w:val="21"/>
          <w:u w:val="single"/>
        </w:rPr>
        <w:t>（项目名称）</w:t>
      </w:r>
      <w:r>
        <w:rPr>
          <w:rFonts w:cs="Times New Roman" w:asciiTheme="minorEastAsia" w:hAnsiTheme="minorEastAsia"/>
          <w:szCs w:val="21"/>
        </w:rPr>
        <w:t>采购活动，提供的货物全部由符合政策要求的</w:t>
      </w:r>
      <w:r>
        <w:rPr>
          <w:rFonts w:hint="eastAsia" w:cs="Times New Roman" w:asciiTheme="minorEastAsia" w:hAnsiTheme="minorEastAsia"/>
          <w:szCs w:val="21"/>
        </w:rPr>
        <w:t>残疾人福利性单位</w:t>
      </w:r>
      <w:r>
        <w:rPr>
          <w:rFonts w:cs="Times New Roman" w:asciiTheme="minorEastAsia" w:hAnsiTheme="minorEastAsia"/>
          <w:szCs w:val="21"/>
        </w:rPr>
        <w:t>制造。相关</w:t>
      </w:r>
      <w:r>
        <w:rPr>
          <w:rFonts w:hint="eastAsia" w:cs="Times New Roman" w:asciiTheme="minorEastAsia" w:hAnsiTheme="minorEastAsia"/>
          <w:szCs w:val="21"/>
        </w:rPr>
        <w:t>残疾人福利性单位</w:t>
      </w:r>
      <w:r>
        <w:rPr>
          <w:rFonts w:cs="Times New Roman" w:asciiTheme="minorEastAsia" w:hAnsiTheme="minorEastAsia"/>
          <w:szCs w:val="21"/>
        </w:rPr>
        <w:t>的具体情况如下：</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2.</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hint="eastAsia"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 xml:space="preserve">…… </w:t>
      </w:r>
    </w:p>
    <w:p>
      <w:pPr>
        <w:spacing w:afterLines="25" w:line="300" w:lineRule="auto"/>
        <w:ind w:firstLine="420" w:firstLineChars="200"/>
        <w:rPr>
          <w:rFonts w:cs="Times New Roman" w:asciiTheme="minorEastAsia" w:hAnsiTheme="minorEastAsia"/>
          <w:szCs w:val="21"/>
        </w:rPr>
      </w:pPr>
      <w:bookmarkStart w:id="25" w:name="_Hlk73562331"/>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已</w:t>
      </w:r>
      <w:r>
        <w:rPr>
          <w:rFonts w:cs="Times New Roman" w:asciiTheme="minorEastAsia" w:hAnsiTheme="minorEastAsia"/>
          <w:szCs w:val="21"/>
        </w:rPr>
        <w:t>知悉</w:t>
      </w:r>
      <w:r>
        <w:rPr>
          <w:rFonts w:hint="eastAsia" w:cs="Times New Roman" w:asciiTheme="minorEastAsia" w:hAnsiTheme="minorEastAsia"/>
          <w:szCs w:val="21"/>
        </w:rPr>
        <w:t>《财政部民政部中国残疾人联合会关于促进残疾人就业政府采购政策的通知》（财库〔2017〕141 号）</w:t>
      </w:r>
      <w:r>
        <w:rPr>
          <w:rFonts w:cs="Times New Roman" w:asciiTheme="minorEastAsia" w:hAnsiTheme="minorEastAsia"/>
          <w:szCs w:val="21"/>
        </w:rPr>
        <w:t>的规定，承诺提供的声明函内容是真实的，如提供声明函内容不实，则依法追究相关法律责任</w:t>
      </w:r>
      <w:r>
        <w:rPr>
          <w:rFonts w:hint="eastAsia" w:cs="Times New Roman" w:asciiTheme="minorEastAsia" w:hAnsiTheme="minorEastAsia"/>
          <w:szCs w:val="21"/>
        </w:rPr>
        <w:t>。</w:t>
      </w:r>
      <w:bookmarkEnd w:id="25"/>
    </w:p>
    <w:p>
      <w:pPr>
        <w:spacing w:afterLines="25" w:line="300" w:lineRule="auto"/>
        <w:jc w:val="right"/>
        <w:rPr>
          <w:rFonts w:cs="Times New Roman" w:asciiTheme="minorEastAsia" w:hAnsiTheme="minorEastAsia"/>
          <w:szCs w:val="21"/>
        </w:rPr>
      </w:pPr>
    </w:p>
    <w:p>
      <w:pPr>
        <w:spacing w:afterLines="25" w:line="300" w:lineRule="auto"/>
        <w:ind w:right="420" w:firstLine="4410" w:firstLineChars="2100"/>
        <w:rPr>
          <w:rFonts w:cs="Times New Roman" w:asciiTheme="minorEastAsia" w:hAnsiTheme="minorEastAsia"/>
          <w:szCs w:val="21"/>
        </w:rPr>
      </w:pPr>
      <w:r>
        <w:rPr>
          <w:rFonts w:hint="eastAsia" w:cs="Times New Roman" w:asciiTheme="minorEastAsia" w:hAnsiTheme="minorEastAsia"/>
          <w:szCs w:val="21"/>
        </w:rPr>
        <w:t>投标人（投标单位）：</w:t>
      </w:r>
    </w:p>
    <w:p>
      <w:pPr>
        <w:spacing w:afterLines="25" w:line="300" w:lineRule="auto"/>
        <w:ind w:right="420" w:firstLine="5775" w:firstLineChars="2750"/>
        <w:rPr>
          <w:rFonts w:cs="Times New Roman" w:asciiTheme="minorEastAsia" w:hAnsiTheme="minorEastAsia"/>
          <w:szCs w:val="21"/>
        </w:rPr>
      </w:pPr>
      <w:r>
        <w:rPr>
          <w:rFonts w:hint="eastAsia" w:cs="Times New Roman" w:asciiTheme="minorEastAsia" w:hAnsiTheme="minorEastAsia"/>
          <w:szCs w:val="21"/>
        </w:rPr>
        <w:t>日期：</w:t>
      </w:r>
    </w:p>
    <w:p>
      <w:pPr>
        <w:spacing w:afterLines="25" w:line="300" w:lineRule="auto"/>
        <w:jc w:val="right"/>
        <w:rPr>
          <w:rFonts w:cs="Times New Roman" w:asciiTheme="minorEastAsia" w:hAnsiTheme="minorEastAsia"/>
          <w:b/>
          <w:color w:val="FF0000"/>
          <w:sz w:val="28"/>
          <w:szCs w:val="28"/>
        </w:rPr>
      </w:pPr>
    </w:p>
    <w:p>
      <w:pPr>
        <w:spacing w:afterLines="25" w:line="300" w:lineRule="auto"/>
        <w:jc w:val="right"/>
        <w:rPr>
          <w:rFonts w:ascii="Arial" w:hAnsi="Arial" w:eastAsia="宋体" w:cs="Times New Roman"/>
          <w:b/>
          <w:color w:val="FF0000"/>
          <w:sz w:val="28"/>
          <w:szCs w:val="28"/>
        </w:rPr>
      </w:pPr>
    </w:p>
    <w:p>
      <w:pPr>
        <w:spacing w:afterLines="25" w:line="300" w:lineRule="auto"/>
        <w:ind w:firstLine="422" w:firstLineChars="200"/>
        <w:rPr>
          <w:rFonts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jc w:val="center"/>
        <w:outlineLvl w:val="4"/>
        <w:rPr>
          <w:rFonts w:ascii="Arial" w:hAnsi="Arial" w:eastAsia="宋体" w:cs="Times New Roman"/>
          <w:b/>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监狱企业声明函（货物）</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本投标人郑重声明，根据《财政部司法部关于政府采购支持监狱企业发展有关问题的通知》（财库〔</w:t>
      </w:r>
      <w:r>
        <w:rPr>
          <w:rFonts w:ascii="Arial" w:hAnsi="Arial" w:eastAsia="宋体" w:cs="Times New Roman"/>
          <w:szCs w:val="21"/>
        </w:rPr>
        <w:t>2014</w:t>
      </w:r>
      <w:r>
        <w:rPr>
          <w:rFonts w:hint="eastAsia" w:ascii="Arial" w:hAnsi="Arial" w:eastAsia="宋体" w:cs="Times New Roman"/>
          <w:szCs w:val="21"/>
        </w:rPr>
        <w:t>〕</w:t>
      </w:r>
      <w:r>
        <w:rPr>
          <w:rFonts w:ascii="Arial" w:hAnsi="Arial" w:eastAsia="宋体" w:cs="Times New Roman"/>
          <w:szCs w:val="21"/>
        </w:rPr>
        <w:t>68</w:t>
      </w:r>
      <w:r>
        <w:rPr>
          <w:rFonts w:hint="eastAsia" w:ascii="Arial" w:hAnsi="Arial" w:eastAsia="宋体" w:cs="Times New Roman"/>
          <w:szCs w:val="21"/>
        </w:rPr>
        <w:t>号）的规定，本投标人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w:t>
      </w:r>
      <w:r>
        <w:rPr>
          <w:rFonts w:hint="eastAsia" w:ascii="Arial" w:hAnsi="Arial" w:eastAsia="宋体" w:cs="Times New Roman"/>
          <w:szCs w:val="21"/>
        </w:rPr>
        <w:t>监狱企业</w:t>
      </w:r>
      <w:r>
        <w:rPr>
          <w:rFonts w:ascii="Arial" w:hAnsi="Arial" w:eastAsia="宋体" w:cs="Times New Roman"/>
          <w:szCs w:val="21"/>
        </w:rPr>
        <w:t>制造。相关</w:t>
      </w:r>
      <w:r>
        <w:rPr>
          <w:rFonts w:hint="eastAsia" w:ascii="Arial" w:hAnsi="Arial" w:eastAsia="宋体" w:cs="Times New Roman"/>
          <w:szCs w:val="21"/>
        </w:rPr>
        <w:t>监狱企业</w:t>
      </w:r>
      <w:r>
        <w:rPr>
          <w:rFonts w:ascii="Arial" w:hAnsi="Arial" w:eastAsia="宋体" w:cs="Times New Roman"/>
          <w:szCs w:val="21"/>
        </w:rPr>
        <w:t>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对上述声明内容的真实性负责。如有虚假，将依法承担相应责任。</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r>
        <w:rPr>
          <w:rFonts w:hint="eastAsia" w:ascii="Arial" w:hAnsi="Arial" w:eastAsia="宋体" w:cs="Times New Roman"/>
          <w:b/>
          <w:color w:val="FF0000"/>
          <w:szCs w:val="21"/>
        </w:rPr>
        <w:t>附：省级以上监狱管理局、戒毒管理局（含新疆生产建设兵团）出具的监狱企业证明文件。</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投标人（投标单位）：     </w:t>
      </w: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日期：     </w:t>
      </w:r>
    </w:p>
    <w:p>
      <w:pPr>
        <w:widowControl/>
        <w:jc w:val="left"/>
        <w:rPr>
          <w:rFonts w:ascii="Arial" w:hAnsi="Arial" w:eastAsia="宋体" w:cs="Arial"/>
          <w:color w:val="000000"/>
          <w:szCs w:val="24"/>
        </w:rPr>
      </w:pPr>
      <w:r>
        <w:rPr>
          <w:rFonts w:ascii="宋体" w:hAnsi="宋体" w:eastAsia="宋体" w:cs="Times New Roman"/>
          <w:b/>
          <w:sz w:val="24"/>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5.经验情况表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04"/>
        <w:gridCol w:w="1854"/>
        <w:gridCol w:w="2287"/>
        <w:gridCol w:w="1336"/>
        <w:gridCol w:w="1392"/>
        <w:gridCol w:w="14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pPr>
              <w:snapToGrid w:val="0"/>
              <w:jc w:val="center"/>
              <w:rPr>
                <w:rFonts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pPr>
              <w:snapToGrid w:val="0"/>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bl>
    <w:p>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jc w:val="center"/>
        <w:rPr>
          <w:rFonts w:hint="eastAsia"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widowControl/>
        <w:jc w:val="left"/>
        <w:rPr>
          <w:rFonts w:ascii="Arial" w:hAnsi="Arial" w:eastAsia="宋体" w:cs="Times New Roman"/>
          <w:szCs w:val="24"/>
        </w:rPr>
      </w:pPr>
      <w:r>
        <w:rPr>
          <w:rFonts w:ascii="Arial" w:hAnsi="Arial" w:eastAsia="宋体" w:cs="Times New Roman"/>
          <w:szCs w:val="24"/>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pPr>
        <w:spacing w:afterLines="25" w:line="300" w:lineRule="auto"/>
        <w:rPr>
          <w:rFonts w:ascii="Arial" w:hAnsi="Arial" w:eastAsia="宋体" w:cs="Times New Roman"/>
          <w:szCs w:val="24"/>
        </w:rPr>
      </w:pPr>
    </w:p>
    <w:p>
      <w:pPr>
        <w:spacing w:line="300" w:lineRule="auto"/>
        <w:ind w:left="140"/>
        <w:jc w:val="center"/>
        <w:rPr>
          <w:rFonts w:ascii="Arial" w:hAnsi="Arial" w:eastAsia="宋体" w:cs="Arial"/>
          <w:b/>
          <w:sz w:val="30"/>
          <w:szCs w:val="30"/>
        </w:rPr>
      </w:pPr>
    </w:p>
    <w:p>
      <w:pPr>
        <w:spacing w:line="300" w:lineRule="auto"/>
        <w:ind w:left="140"/>
        <w:jc w:val="center"/>
        <w:rPr>
          <w:rFonts w:ascii="Arial" w:hAnsi="Arial" w:eastAsia="宋体" w:cs="Arial"/>
          <w:b/>
          <w:sz w:val="24"/>
          <w:szCs w:val="24"/>
        </w:rPr>
      </w:pPr>
      <w:r>
        <w:rPr>
          <w:rFonts w:hint="eastAsia" w:ascii="Arial" w:hAnsi="Arial" w:eastAsia="宋体" w:cs="Arial"/>
          <w:b/>
          <w:sz w:val="24"/>
          <w:szCs w:val="24"/>
        </w:rPr>
        <w:t>法定代表人（负责人）证明书</w:t>
      </w:r>
    </w:p>
    <w:p>
      <w:pPr>
        <w:spacing w:line="300" w:lineRule="auto"/>
        <w:ind w:left="140"/>
        <w:jc w:val="center"/>
        <w:rPr>
          <w:rFonts w:ascii="Arial" w:hAnsi="Arial" w:eastAsia="宋体" w:cs="Arial"/>
          <w:b/>
          <w:sz w:val="24"/>
          <w:szCs w:val="24"/>
        </w:rPr>
      </w:pPr>
    </w:p>
    <w:p>
      <w:pPr>
        <w:spacing w:line="300" w:lineRule="auto"/>
        <w:ind w:left="140"/>
        <w:rPr>
          <w:rFonts w:asciiTheme="minorEastAsia" w:hAnsiTheme="minorEastAsia"/>
          <w:szCs w:val="21"/>
        </w:rPr>
      </w:pPr>
      <w:r>
        <w:rPr>
          <w:rFonts w:hint="eastAsia" w:cs="Arial" w:asciiTheme="minorEastAsia" w:hAnsiTheme="minorEastAsia"/>
          <w:sz w:val="24"/>
          <w:szCs w:val="24"/>
          <w:u w:val="single"/>
        </w:rPr>
        <w:t xml:space="preserve">  （姓名）  </w:t>
      </w:r>
      <w:r>
        <w:rPr>
          <w:rFonts w:hint="eastAsia" w:asciiTheme="minorEastAsia" w:hAnsiTheme="minorEastAsia"/>
          <w:szCs w:val="21"/>
        </w:rPr>
        <w:t>同志，现任我单位</w:t>
      </w:r>
      <w:r>
        <w:rPr>
          <w:rFonts w:hint="eastAsia" w:asciiTheme="minorEastAsia" w:hAnsiTheme="minorEastAsia"/>
          <w:szCs w:val="21"/>
          <w:u w:val="single"/>
        </w:rPr>
        <w:t xml:space="preserve">       </w:t>
      </w:r>
      <w:r>
        <w:rPr>
          <w:rFonts w:hint="eastAsia" w:asciiTheme="minorEastAsia" w:hAnsiTheme="minorEastAsia"/>
          <w:szCs w:val="21"/>
        </w:rPr>
        <w:t>职务，为我单位法定代表人（负责人）。</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身份证号： </w:t>
      </w:r>
      <w:r>
        <w:rPr>
          <w:rFonts w:hint="eastAsia" w:asciiTheme="minorEastAsia" w:hAnsiTheme="minorEastAsia"/>
          <w:szCs w:val="21"/>
          <w:u w:val="single"/>
        </w:rPr>
        <w:t xml:space="preserve">              </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联系电话：  </w:t>
      </w:r>
      <w:r>
        <w:rPr>
          <w:rFonts w:hint="eastAsia" w:asciiTheme="minorEastAsia" w:hAnsiTheme="minorEastAsia"/>
          <w:szCs w:val="21"/>
          <w:u w:val="single"/>
        </w:rPr>
        <w:t xml:space="preserve">             </w:t>
      </w:r>
    </w:p>
    <w:p>
      <w:pPr>
        <w:spacing w:line="300" w:lineRule="auto"/>
        <w:ind w:left="140"/>
        <w:rPr>
          <w:rFonts w:cs="Arial" w:asciiTheme="minorEastAsia" w:hAnsiTheme="minorEastAsia"/>
          <w:b/>
          <w:sz w:val="24"/>
          <w:szCs w:val="24"/>
        </w:rPr>
      </w:pPr>
      <w:r>
        <w:rPr>
          <w:rFonts w:hint="eastAsia" w:asciiTheme="minorEastAsia" w:hAnsiTheme="minorEastAsia"/>
          <w:szCs w:val="21"/>
        </w:rPr>
        <w:t>特此证明。</w:t>
      </w:r>
    </w:p>
    <w:p>
      <w:pPr>
        <w:spacing w:line="300" w:lineRule="auto"/>
        <w:rPr>
          <w:rFonts w:ascii="Arial" w:hAnsi="Arial" w:eastAsia="宋体" w:cs="Times New Roman"/>
          <w:szCs w:val="21"/>
        </w:rPr>
      </w:pPr>
    </w:p>
    <w:p>
      <w:pPr>
        <w:spacing w:line="300" w:lineRule="auto"/>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spacing w:line="300" w:lineRule="auto"/>
        <w:rPr>
          <w:rFonts w:ascii="Arial" w:hAnsi="Arial" w:eastAsia="宋体" w:cs="Times New Roman"/>
          <w:szCs w:val="21"/>
        </w:rPr>
      </w:pPr>
      <w:r>
        <w:rPr>
          <w:rFonts w:hint="eastAsia" w:ascii="Arial" w:hAnsi="Arial" w:eastAsia="宋体" w:cs="Times New Roman"/>
          <w:szCs w:val="21"/>
        </w:rPr>
        <w:t>日</w:t>
      </w:r>
      <w:r>
        <w:rPr>
          <w:rFonts w:ascii="Arial" w:hAnsi="Arial" w:eastAsia="宋体" w:cs="Times New Roman"/>
          <w:szCs w:val="21"/>
        </w:rPr>
        <w:t xml:space="preserve">  </w:t>
      </w:r>
      <w:r>
        <w:rPr>
          <w:rFonts w:hint="eastAsia" w:ascii="Arial" w:hAnsi="Arial" w:eastAsia="宋体" w:cs="Times New Roman"/>
          <w:szCs w:val="21"/>
        </w:rPr>
        <w:t>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u w:val="single"/>
        </w:rPr>
        <w:t xml:space="preserve">     </w:t>
      </w:r>
      <w:r>
        <w:rPr>
          <w:rFonts w:hint="eastAsia" w:ascii="Arial" w:hAnsi="Arial" w:eastAsia="宋体" w:cs="Times New Roman"/>
          <w:szCs w:val="21"/>
        </w:rPr>
        <w:t>日</w:t>
      </w:r>
    </w:p>
    <w:p>
      <w:pPr>
        <w:spacing w:line="500" w:lineRule="exact"/>
        <w:rPr>
          <w:rFonts w:ascii="Arial" w:hAnsi="Arial" w:eastAsia="宋体" w:cs="Times New Roman"/>
          <w:szCs w:val="24"/>
        </w:rPr>
      </w:pPr>
    </w:p>
    <w:p>
      <w:pPr>
        <w:spacing w:line="500" w:lineRule="exact"/>
        <w:rPr>
          <w:rFonts w:ascii="宋体" w:hAnsi="宋体" w:eastAsia="宋体" w:cs="Times New Roman"/>
          <w:b/>
          <w:color w:val="FF0000"/>
          <w:sz w:val="32"/>
          <w:szCs w:val="32"/>
        </w:rPr>
      </w:pPr>
      <w:r>
        <w:rPr>
          <w:rFonts w:hint="eastAsia" w:ascii="宋体" w:hAnsi="宋体" w:eastAsia="宋体" w:cs="Times New Roman"/>
          <w:b/>
          <w:color w:val="FF0000"/>
          <w:sz w:val="32"/>
          <w:szCs w:val="32"/>
        </w:rPr>
        <w:t>★必须提供法定代表人（负责人）有效期内身份证的正反面扫描件（港澳台居民可提供往来通行证），非中国国籍管辖范围的，可提供公安部门认可的身份证明材料，否则将导致投标无效。</w:t>
      </w:r>
    </w:p>
    <w:p>
      <w:pPr>
        <w:spacing w:line="500" w:lineRule="exact"/>
        <w:rPr>
          <w:rFonts w:ascii="宋体" w:hAnsi="宋体" w:eastAsia="宋体" w:cs="Times New Roman"/>
          <w:b/>
          <w:color w:val="FF0000"/>
          <w:sz w:val="32"/>
          <w:szCs w:val="32"/>
        </w:rPr>
      </w:pPr>
    </w:p>
    <w:p>
      <w:pPr>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备注：</w:t>
      </w:r>
    </w:p>
    <w:p>
      <w:pPr>
        <w:snapToGrid w:val="0"/>
        <w:rPr>
          <w:rFonts w:ascii="Arial" w:hAnsi="Arial" w:eastAsia="宋体" w:cs="Times New Roman"/>
          <w:sz w:val="28"/>
          <w:szCs w:val="28"/>
        </w:rPr>
      </w:pPr>
      <w:r>
        <w:rPr>
          <w:rFonts w:hint="eastAsia" w:ascii="宋体" w:hAnsi="宋体" w:eastAsia="宋体" w:cs="Times New Roman"/>
          <w:color w:val="FF0000"/>
          <w:sz w:val="28"/>
          <w:szCs w:val="28"/>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2、法定代表人为投标人（企业事业单位、国家机关、社会团体）的主要行政负责人。</w:t>
      </w:r>
    </w:p>
    <w:p>
      <w:pPr>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3、本证明书要求投标供应商同时提供法定代表人（负责人）的身份证扫描件（正反两面）作为附件方为有效。</w:t>
      </w:r>
    </w:p>
    <w:p>
      <w:pPr>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4、本项目投标授权代表为法定代表人（负责人）的，无需提供《投标文件签署授权委托书》。</w:t>
      </w:r>
    </w:p>
    <w:p>
      <w:pPr>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5、内容必须填写真实、清楚，涂改无效，不得转让、买卖。</w:t>
      </w:r>
    </w:p>
    <w:p>
      <w:pPr>
        <w:spacing w:line="500" w:lineRule="exact"/>
        <w:ind w:firstLine="420" w:firstLineChars="200"/>
        <w:rPr>
          <w:rFonts w:ascii="Arial" w:hAnsi="Arial" w:eastAsia="宋体" w:cs="Times New Roman"/>
          <w:szCs w:val="24"/>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pPr>
        <w:spacing w:line="300" w:lineRule="auto"/>
        <w:jc w:val="center"/>
        <w:rPr>
          <w:rFonts w:ascii="Arial" w:hAnsi="Arial" w:eastAsia="宋体" w:cs="Times New Roman"/>
          <w:b/>
          <w:sz w:val="28"/>
          <w:szCs w:val="28"/>
        </w:rPr>
      </w:pPr>
    </w:p>
    <w:p>
      <w:pPr>
        <w:spacing w:line="360" w:lineRule="auto"/>
        <w:ind w:firstLine="420" w:firstLineChars="200"/>
        <w:rPr>
          <w:rFonts w:ascii="Arial" w:hAnsi="Arial" w:eastAsia="宋体" w:cs="Times New Roman"/>
          <w:szCs w:val="21"/>
        </w:rPr>
      </w:pPr>
      <w:r>
        <w:rPr>
          <w:rFonts w:hint="eastAsia" w:ascii="Arial" w:hAnsi="Arial" w:eastAsia="宋体" w:cs="Times New Roman"/>
          <w:szCs w:val="21"/>
        </w:rPr>
        <w:t>本授权委托书声明：我</w:t>
      </w:r>
      <w:r>
        <w:rPr>
          <w:rFonts w:ascii="Arial" w:hAnsi="Arial" w:eastAsia="宋体" w:cs="Times New Roman"/>
          <w:szCs w:val="21"/>
          <w:u w:val="single"/>
        </w:rPr>
        <w:t xml:space="preserve">  </w:t>
      </w:r>
      <w:r>
        <w:rPr>
          <w:rFonts w:hint="eastAsia" w:ascii="Arial" w:hAnsi="Arial" w:eastAsia="宋体" w:cs="Times New Roman"/>
          <w:szCs w:val="21"/>
          <w:u w:val="single"/>
        </w:rPr>
        <w:t>（姓名）</w:t>
      </w:r>
      <w:r>
        <w:rPr>
          <w:rFonts w:ascii="Arial" w:hAnsi="Arial" w:eastAsia="宋体" w:cs="Times New Roman"/>
          <w:szCs w:val="21"/>
          <w:u w:val="single"/>
        </w:rPr>
        <w:t xml:space="preserve">  </w:t>
      </w:r>
      <w:r>
        <w:rPr>
          <w:rFonts w:hint="eastAsia" w:ascii="Arial" w:hAnsi="Arial" w:eastAsia="宋体" w:cs="Times New Roman"/>
          <w:szCs w:val="21"/>
        </w:rPr>
        <w:t>系</w:t>
      </w:r>
      <w:r>
        <w:rPr>
          <w:rFonts w:ascii="Arial" w:hAnsi="Arial" w:eastAsia="宋体" w:cs="Times New Roman"/>
          <w:szCs w:val="21"/>
          <w:u w:val="single"/>
        </w:rPr>
        <w:t xml:space="preserve">  </w:t>
      </w:r>
      <w:r>
        <w:rPr>
          <w:rFonts w:hint="eastAsia" w:ascii="Arial" w:hAnsi="Arial" w:eastAsia="宋体" w:cs="Times New Roman"/>
          <w:szCs w:val="21"/>
          <w:u w:val="single"/>
        </w:rPr>
        <w:t>（投标人名称）</w:t>
      </w:r>
      <w:r>
        <w:rPr>
          <w:rFonts w:ascii="Arial" w:hAnsi="Arial" w:eastAsia="宋体" w:cs="Times New Roman"/>
          <w:szCs w:val="21"/>
          <w:u w:val="single"/>
        </w:rPr>
        <w:t xml:space="preserve">   </w:t>
      </w:r>
      <w:r>
        <w:rPr>
          <w:rFonts w:hint="eastAsia" w:ascii="Arial" w:hAnsi="Arial" w:eastAsia="宋体" w:cs="Times New Roman"/>
          <w:szCs w:val="21"/>
        </w:rPr>
        <w:t>的法定代表人（负责人），现授权委托</w:t>
      </w:r>
      <w:r>
        <w:rPr>
          <w:rFonts w:ascii="Arial" w:hAnsi="Arial" w:eastAsia="宋体" w:cs="Times New Roman"/>
          <w:szCs w:val="21"/>
          <w:u w:val="single"/>
        </w:rPr>
        <w:t xml:space="preserve">  </w:t>
      </w:r>
      <w:r>
        <w:rPr>
          <w:rFonts w:hint="eastAsia" w:ascii="Arial" w:hAnsi="Arial" w:eastAsia="宋体" w:cs="Times New Roman"/>
          <w:szCs w:val="21"/>
          <w:u w:val="single"/>
        </w:rPr>
        <w:t>（姓名）</w:t>
      </w:r>
      <w:r>
        <w:rPr>
          <w:rFonts w:ascii="Arial" w:hAnsi="Arial" w:eastAsia="宋体" w:cs="Times New Roman"/>
          <w:szCs w:val="21"/>
          <w:u w:val="single"/>
        </w:rPr>
        <w:t xml:space="preserve">  </w:t>
      </w:r>
      <w:r>
        <w:rPr>
          <w:rFonts w:hint="eastAsia" w:ascii="Arial" w:hAnsi="Arial" w:eastAsia="宋体" w:cs="Times New Roman"/>
          <w:szCs w:val="21"/>
        </w:rPr>
        <w:t>为我单位签署本项目已递交的投标文件的法定代表人（负责人）的授权委托代理人，代表我单位签署本项目的投标文件、参与项目投标、澄清投标文件、签署合同和处理与该项目有关的一切事务。在此过程中代理人所签署的一切文件及处理与该项目有关的一切事务，我均予以承认。</w:t>
      </w:r>
    </w:p>
    <w:p>
      <w:pPr>
        <w:spacing w:line="360" w:lineRule="auto"/>
        <w:ind w:firstLine="420" w:firstLineChars="200"/>
        <w:rPr>
          <w:rFonts w:ascii="Arial" w:hAnsi="Arial" w:eastAsia="宋体" w:cs="Times New Roman"/>
          <w:szCs w:val="21"/>
        </w:rPr>
      </w:pPr>
      <w:r>
        <w:rPr>
          <w:rFonts w:hint="eastAsia" w:ascii="Arial" w:hAnsi="Arial" w:eastAsia="宋体" w:cs="Times New Roman"/>
          <w:szCs w:val="21"/>
        </w:rPr>
        <w:t>授权书有效期内被授权人签署的所有文件不因授权的撤销而失效。被授权人无转委托权。</w:t>
      </w:r>
    </w:p>
    <w:p>
      <w:pPr>
        <w:spacing w:line="300" w:lineRule="auto"/>
        <w:rPr>
          <w:rFonts w:ascii="Arial" w:hAnsi="Arial" w:eastAsia="宋体" w:cs="Times New Roman"/>
          <w:szCs w:val="21"/>
        </w:rPr>
      </w:pP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代理人：</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r>
        <w:rPr>
          <w:rFonts w:hint="eastAsia" w:ascii="Arial" w:hAnsi="Arial" w:eastAsia="宋体" w:cs="Times New Roman"/>
          <w:szCs w:val="21"/>
        </w:rPr>
        <w:t>性别：</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联系电话：</w:t>
      </w:r>
      <w:r>
        <w:rPr>
          <w:rFonts w:ascii="Arial" w:hAnsi="Arial" w:eastAsia="宋体" w:cs="Times New Roman"/>
          <w:szCs w:val="21"/>
          <w:u w:val="single"/>
        </w:rPr>
        <w:t xml:space="preserve">              </w:t>
      </w:r>
      <w:r>
        <w:rPr>
          <w:rFonts w:hint="eastAsia" w:ascii="Arial" w:hAnsi="Arial" w:eastAsia="宋体" w:cs="Times New Roman"/>
          <w:szCs w:val="21"/>
        </w:rPr>
        <w:t>手机：</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身份证号码：</w:t>
      </w:r>
      <w:r>
        <w:rPr>
          <w:rFonts w:ascii="Arial" w:hAnsi="Arial" w:eastAsia="宋体" w:cs="Times New Roman"/>
          <w:szCs w:val="21"/>
          <w:u w:val="single"/>
        </w:rPr>
        <w:t xml:space="preserve">                       </w:t>
      </w:r>
      <w:r>
        <w:rPr>
          <w:rFonts w:hint="eastAsia" w:ascii="Arial" w:hAnsi="Arial" w:eastAsia="宋体" w:cs="Times New Roman"/>
          <w:szCs w:val="21"/>
        </w:rPr>
        <w:t>职务：</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授权委托日期：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rPr>
        <w:t xml:space="preserve"> </w:t>
      </w:r>
      <w:r>
        <w:rPr>
          <w:rFonts w:ascii="Arial" w:hAnsi="Arial" w:eastAsia="宋体" w:cs="Times New Roman"/>
          <w:szCs w:val="21"/>
          <w:u w:val="single"/>
        </w:rPr>
        <w:t xml:space="preserve">      </w:t>
      </w:r>
      <w:r>
        <w:rPr>
          <w:rFonts w:hint="eastAsia" w:ascii="Arial" w:hAnsi="Arial" w:eastAsia="宋体" w:cs="Times New Roman"/>
          <w:szCs w:val="21"/>
        </w:rPr>
        <w:t>日</w:t>
      </w:r>
    </w:p>
    <w:p>
      <w:pPr>
        <w:spacing w:line="500" w:lineRule="exact"/>
        <w:ind w:firstLine="420" w:firstLineChars="200"/>
        <w:rPr>
          <w:rFonts w:ascii="Arial" w:hAnsi="Arial" w:eastAsia="宋体" w:cs="Times New Roman"/>
          <w:szCs w:val="24"/>
        </w:rPr>
      </w:pPr>
    </w:p>
    <w:p>
      <w:pPr>
        <w:spacing w:afterLines="25" w:line="300" w:lineRule="auto"/>
        <w:rPr>
          <w:rFonts w:ascii="宋体" w:hAnsi="宋体" w:eastAsia="宋体" w:cs="Times New Roman"/>
          <w:b/>
          <w:color w:val="FF0000"/>
          <w:sz w:val="32"/>
          <w:szCs w:val="32"/>
        </w:rPr>
      </w:pPr>
      <w:r>
        <w:rPr>
          <w:rFonts w:hint="eastAsia" w:ascii="宋体" w:hAnsi="宋体" w:eastAsia="宋体" w:cs="Times New Roman"/>
          <w:b/>
          <w:color w:val="FF0000"/>
          <w:sz w:val="32"/>
          <w:szCs w:val="32"/>
        </w:rPr>
        <w:t>★必须提供代理人有效期内身份证的正反面扫描件（港澳台居民可提供往来通行证），非中国国籍管辖范围的，可提供公安部门认可的身份证明材料，否则将导致投标无效。</w:t>
      </w:r>
    </w:p>
    <w:p>
      <w:pPr>
        <w:spacing w:afterLines="25" w:line="300" w:lineRule="auto"/>
        <w:rPr>
          <w:rFonts w:ascii="宋体" w:hAnsi="宋体" w:eastAsia="宋体" w:cs="Times New Roman"/>
          <w:b/>
          <w:color w:val="FF0000"/>
          <w:sz w:val="32"/>
          <w:szCs w:val="32"/>
        </w:rPr>
      </w:pPr>
    </w:p>
    <w:p>
      <w:pPr>
        <w:tabs>
          <w:tab w:val="left" w:pos="651"/>
        </w:tabs>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备注：</w:t>
      </w:r>
    </w:p>
    <w:p>
      <w:pPr>
        <w:tabs>
          <w:tab w:val="left" w:pos="651"/>
        </w:tabs>
        <w:snapToGrid w:val="0"/>
        <w:rPr>
          <w:rFonts w:ascii="宋体" w:hAnsi="宋体" w:eastAsia="宋体" w:cs="Times New Roman"/>
          <w:color w:val="FF0000"/>
          <w:sz w:val="32"/>
          <w:szCs w:val="32"/>
        </w:rPr>
      </w:pPr>
      <w:r>
        <w:rPr>
          <w:rFonts w:hint="eastAsia" w:ascii="宋体" w:hAnsi="宋体" w:eastAsia="宋体" w:cs="Times New Roman"/>
          <w:color w:val="FF0000"/>
          <w:sz w:val="28"/>
          <w:szCs w:val="28"/>
        </w:rPr>
        <w:t>1、本项目投标授权代表为法定代表人（负责人）的，无需提供《投标文件签署授权委托书》。</w:t>
      </w:r>
    </w:p>
    <w:p>
      <w:pPr>
        <w:tabs>
          <w:tab w:val="left" w:pos="651"/>
        </w:tabs>
        <w:snapToGrid w:val="0"/>
        <w:ind w:firstLine="640" w:firstLineChars="200"/>
        <w:rPr>
          <w:rFonts w:ascii="宋体" w:hAnsi="宋体" w:eastAsia="宋体" w:cs="Times New Roman"/>
          <w:color w:val="FF0000"/>
          <w:sz w:val="28"/>
          <w:szCs w:val="28"/>
        </w:rPr>
      </w:pPr>
      <w:r>
        <w:rPr>
          <w:rFonts w:hint="eastAsia" w:ascii="宋体" w:hAnsi="宋体" w:eastAsia="宋体" w:cs="Times New Roman"/>
          <w:color w:val="FF0000"/>
          <w:sz w:val="32"/>
          <w:szCs w:val="32"/>
        </w:rPr>
        <w:t>2、</w:t>
      </w:r>
      <w:r>
        <w:rPr>
          <w:rFonts w:hint="eastAsia" w:ascii="宋体" w:hAnsi="宋体" w:eastAsia="宋体" w:cs="Times New Roman"/>
          <w:color w:val="FF0000"/>
          <w:sz w:val="28"/>
          <w:szCs w:val="28"/>
        </w:rPr>
        <w:t>投标授权代表须为投标供应商在职人员（在职期限应包括开标当日），且仅代表本投标供应商进行投标。投标文件中无需提供证明材料，采购人和招标机构保留对投标授权代表社保情况、劳动合同等进行调查核实的权利。如发现投标授权代表非投标人在职人员，视同提供虚假资料，按投标无效处理，并将依法承担相应法律责任。</w:t>
      </w: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“投标</w:t>
      </w:r>
      <w:r>
        <w:rPr>
          <w:rFonts w:hint="eastAsia" w:ascii="宋体" w:hAnsi="宋体" w:cs="宋体"/>
          <w:bCs/>
          <w:sz w:val="24"/>
          <w:szCs w:val="24"/>
          <w:lang w:val="en-US" w:eastAsia="zh-CN"/>
        </w:rPr>
        <w:t>文件</w:t>
      </w:r>
      <w:r>
        <w:rPr>
          <w:rFonts w:hint="eastAsia" w:ascii="宋体" w:hAnsi="宋体" w:cs="宋体"/>
          <w:bCs/>
          <w:sz w:val="24"/>
          <w:szCs w:val="24"/>
        </w:rPr>
        <w:t>响应”一栏应当详细填写投标人自身响应情况，而不能不合理照搬照抄招标文件实质性条款具体内容。</w:t>
      </w:r>
      <w:r>
        <w:rPr>
          <w:rFonts w:hint="eastAsia" w:ascii="宋体" w:hAnsi="宋体" w:cs="宋体"/>
          <w:b/>
          <w:bCs/>
          <w:color w:val="auto"/>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“偏离情况”一栏应填写</w:t>
      </w:r>
      <w:r>
        <w:rPr>
          <w:rFonts w:hint="eastAsia" w:ascii="宋体" w:hAnsi="宋体" w:cs="宋体"/>
          <w:b w:val="0"/>
          <w:bCs w:val="0"/>
          <w:sz w:val="24"/>
          <w:szCs w:val="24"/>
        </w:rPr>
        <w:t>“</w:t>
      </w:r>
      <w:r>
        <w:rPr>
          <w:rFonts w:hint="eastAsia" w:ascii="宋体" w:hAnsi="宋体" w:cs="宋体"/>
          <w:b/>
          <w:bCs/>
          <w:sz w:val="24"/>
          <w:szCs w:val="24"/>
        </w:rPr>
        <w:t>正偏离</w:t>
      </w:r>
      <w:r>
        <w:rPr>
          <w:rFonts w:hint="eastAsia" w:ascii="宋体" w:hAnsi="宋体" w:cs="宋体"/>
          <w:b w:val="0"/>
          <w:bCs w:val="0"/>
          <w:sz w:val="24"/>
          <w:szCs w:val="24"/>
        </w:rPr>
        <w:t>”</w:t>
      </w:r>
      <w:r>
        <w:rPr>
          <w:rFonts w:hint="eastAsia" w:ascii="宋体" w:hAnsi="宋体" w:cs="宋体"/>
          <w:b w:val="0"/>
          <w:bCs w:val="0"/>
          <w:sz w:val="24"/>
          <w:szCs w:val="24"/>
          <w:lang w:val="en-US" w:eastAsia="zh-CN"/>
        </w:rPr>
        <w:t>或</w:t>
      </w:r>
      <w:r>
        <w:rPr>
          <w:rFonts w:hint="eastAsia" w:ascii="宋体" w:hAnsi="宋体" w:cs="宋体"/>
          <w:b w:val="0"/>
          <w:bCs w:val="0"/>
          <w:sz w:val="24"/>
          <w:szCs w:val="24"/>
        </w:rPr>
        <w:t>“</w:t>
      </w:r>
      <w:r>
        <w:rPr>
          <w:rFonts w:hint="eastAsia" w:ascii="宋体" w:hAnsi="宋体" w:cs="宋体"/>
          <w:b/>
          <w:bCs/>
          <w:sz w:val="24"/>
          <w:szCs w:val="24"/>
        </w:rPr>
        <w:t>负偏离</w:t>
      </w:r>
      <w:r>
        <w:rPr>
          <w:rFonts w:hint="eastAsia" w:ascii="宋体" w:hAnsi="宋体" w:cs="宋体"/>
          <w:b w:val="0"/>
          <w:bCs w:val="0"/>
          <w:sz w:val="24"/>
          <w:szCs w:val="24"/>
        </w:rPr>
        <w:t>”或“</w:t>
      </w:r>
      <w:r>
        <w:rPr>
          <w:rFonts w:hint="eastAsia" w:ascii="宋体" w:hAnsi="宋体" w:cs="宋体"/>
          <w:b/>
          <w:bCs/>
          <w:sz w:val="24"/>
          <w:szCs w:val="24"/>
        </w:rPr>
        <w:t>无偏离</w:t>
      </w:r>
      <w:r>
        <w:rPr>
          <w:rFonts w:hint="eastAsia" w:ascii="宋体" w:hAnsi="宋体" w:cs="宋体"/>
          <w:b w:val="0"/>
          <w:bCs w:val="0"/>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评审委员会有权对投标响应情况作出判断。</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w:t>
      </w:r>
      <w:r>
        <w:rPr>
          <w:rFonts w:hint="eastAsia" w:ascii="宋体" w:hAnsi="宋体" w:cs="宋体"/>
          <w:bCs/>
          <w:sz w:val="24"/>
          <w:szCs w:val="24"/>
        </w:rPr>
        <w:t>实质性响应条款“投标响应情况”与投标文件其它内容冲突的，以实质性响应条款“投标响应情况”为准。</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w:t>
      </w:r>
      <w:r>
        <w:rPr>
          <w:rFonts w:hint="eastAsia" w:ascii="宋体" w:hAnsi="宋体" w:cs="宋体"/>
          <w:bCs/>
          <w:sz w:val="24"/>
          <w:szCs w:val="24"/>
        </w:rPr>
        <w:t>以上实质性条款中要求提供证明材料，需如实提供证明材料扫描件，在“说明”一栏中列明证明材料的位置，以便评审；未要求提供证明材料的，投标人可以不提供。</w:t>
      </w:r>
    </w:p>
    <w:p>
      <w:pPr>
        <w:rPr>
          <w:rFonts w:ascii="宋体" w:hAnsi="宋体" w:eastAsia="宋体" w:cs="Times New Roman"/>
          <w:color w:val="FF0000"/>
          <w:sz w:val="32"/>
          <w:szCs w:val="32"/>
        </w:rPr>
      </w:pPr>
      <w:r>
        <w:rPr>
          <w:rFonts w:hint="eastAsia" w:ascii="宋体" w:hAnsi="宋体" w:eastAsia="宋体" w:cs="Times New Roman"/>
          <w:b/>
          <w:bCs/>
          <w:kern w:val="0"/>
          <w:sz w:val="24"/>
          <w:szCs w:val="20"/>
          <w:lang w:val="en-US" w:eastAsia="zh-CN"/>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hint="eastAsia" w:ascii="宋体" w:hAnsi="宋体" w:eastAsia="宋体" w:cs="Times New Roman"/>
          <w:b/>
          <w:bCs/>
          <w:kern w:val="0"/>
          <w:sz w:val="24"/>
          <w:szCs w:val="20"/>
        </w:rPr>
        <w:t>.技术</w:t>
      </w:r>
      <w:r>
        <w:rPr>
          <w:rFonts w:hint="eastAsia" w:ascii="宋体" w:hAnsi="宋体" w:eastAsia="宋体" w:cs="Times New Roman"/>
          <w:b/>
          <w:bCs/>
          <w:kern w:val="0"/>
          <w:sz w:val="24"/>
          <w:szCs w:val="20"/>
          <w:lang w:val="en-US" w:eastAsia="zh-CN"/>
        </w:rPr>
        <w:t>要求</w:t>
      </w:r>
      <w:r>
        <w:rPr>
          <w:rFonts w:hint="eastAsia" w:ascii="宋体" w:hAnsi="宋体" w:eastAsia="宋体" w:cs="Times New Roman"/>
          <w:b/>
          <w:bCs/>
          <w:kern w:val="0"/>
          <w:sz w:val="24"/>
          <w:szCs w:val="20"/>
        </w:rPr>
        <w:t>偏离表</w:t>
      </w:r>
    </w:p>
    <w:p>
      <w:pPr>
        <w:snapToGrid w:val="0"/>
        <w:rPr>
          <w:rFonts w:ascii="Arial" w:hAnsi="Arial" w:eastAsia="宋体" w:cs="Arial"/>
          <w:color w:val="000000"/>
          <w:sz w:val="24"/>
          <w:szCs w:val="24"/>
          <w:u w:val="single"/>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sz w:val="24"/>
          <w:szCs w:val="24"/>
        </w:rPr>
      </w:pP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59"/>
        <w:gridCol w:w="2220"/>
        <w:gridCol w:w="2268"/>
        <w:gridCol w:w="113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cs="Times New Roman" w:asciiTheme="minorEastAsia" w:hAnsiTheme="minorEastAsia"/>
                <w:b/>
                <w:sz w:val="24"/>
                <w:szCs w:val="24"/>
              </w:rPr>
              <w:t>序号</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货物名称</w:t>
            </w:r>
          </w:p>
        </w:tc>
        <w:tc>
          <w:tcPr>
            <w:tcW w:w="222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招标技术要求</w:t>
            </w:r>
          </w:p>
        </w:tc>
        <w:tc>
          <w:tcPr>
            <w:tcW w:w="2268"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投标技术响应</w:t>
            </w: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偏离</w:t>
            </w:r>
          </w:p>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情况</w:t>
            </w:r>
          </w:p>
        </w:tc>
        <w:tc>
          <w:tcPr>
            <w:tcW w:w="104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2</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eastAsia="zh-CN"/>
              </w:rPr>
              <w:t>……</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bl>
    <w:p>
      <w:pPr>
        <w:snapToGrid w:val="0"/>
        <w:rPr>
          <w:rFonts w:cs="Times New Roman" w:asciiTheme="minorEastAsia" w:hAnsiTheme="minorEastAsia"/>
          <w:sz w:val="24"/>
          <w:szCs w:val="24"/>
        </w:rPr>
      </w:pPr>
    </w:p>
    <w:p>
      <w:pPr>
        <w:snapToGrid w:val="0"/>
        <w:rPr>
          <w:rFonts w:hint="eastAsia" w:cs="Times New Roman" w:asciiTheme="minorEastAsia" w:hAnsiTheme="minorEastAsia"/>
          <w:b/>
          <w:sz w:val="24"/>
          <w:szCs w:val="24"/>
        </w:rPr>
      </w:pPr>
      <w:r>
        <w:rPr>
          <w:rFonts w:hint="eastAsia" w:cs="Times New Roman" w:asciiTheme="minorEastAsia" w:hAnsiTheme="minorEastAsia"/>
          <w:b/>
          <w:sz w:val="24"/>
          <w:szCs w:val="24"/>
        </w:rPr>
        <w:t>填写说明：</w:t>
      </w:r>
    </w:p>
    <w:p>
      <w:pPr>
        <w:ind w:firstLine="482" w:firstLineChars="200"/>
        <w:rPr>
          <w:b/>
          <w:sz w:val="24"/>
        </w:rPr>
      </w:pPr>
      <w:r>
        <w:rPr>
          <w:rFonts w:hint="eastAsia"/>
          <w:b/>
          <w:sz w:val="24"/>
        </w:rPr>
        <w:t>1、技术要求偏离表的序号、货物名称、招标技术要求等栏目</w:t>
      </w:r>
      <w:bookmarkStart w:id="26" w:name="_Hlk72094407"/>
      <w:r>
        <w:rPr>
          <w:rFonts w:hint="eastAsia"/>
          <w:b/>
          <w:sz w:val="24"/>
        </w:rPr>
        <w:t>对应“用户需求书”中的“技术要求</w:t>
      </w:r>
      <w:r>
        <w:rPr>
          <w:rFonts w:hint="eastAsia"/>
          <w:b/>
          <w:sz w:val="24"/>
          <w:lang w:val="en-US" w:eastAsia="zh-CN"/>
        </w:rPr>
        <w:t>部分</w:t>
      </w:r>
      <w:r>
        <w:rPr>
          <w:rFonts w:hint="eastAsia"/>
          <w:b/>
          <w:sz w:val="24"/>
        </w:rPr>
        <w:t>”章节</w:t>
      </w:r>
      <w:bookmarkEnd w:id="26"/>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pPr>
        <w:ind w:firstLine="482" w:firstLineChars="200"/>
        <w:rPr>
          <w:b/>
          <w:sz w:val="24"/>
        </w:rPr>
      </w:pPr>
      <w:r>
        <w:rPr>
          <w:b/>
          <w:sz w:val="24"/>
        </w:rPr>
        <w:t>3</w:t>
      </w:r>
      <w:r>
        <w:rPr>
          <w:rFonts w:hint="eastAsia"/>
          <w:b/>
          <w:sz w:val="24"/>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b/>
          <w:sz w:val="24"/>
        </w:rPr>
      </w:pPr>
      <w:r>
        <w:rPr>
          <w:rFonts w:hint="eastAsia"/>
          <w:b/>
          <w:sz w:val="24"/>
        </w:rPr>
        <w:t>5、</w:t>
      </w:r>
      <w:bookmarkStart w:id="27" w:name="_Hlk72096106"/>
      <w:r>
        <w:rPr>
          <w:rFonts w:hint="eastAsia"/>
          <w:b/>
          <w:sz w:val="24"/>
        </w:rPr>
        <w:t>证明资料条款响应要求</w:t>
      </w:r>
      <w:bookmarkEnd w:id="27"/>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lang w:eastAsia="zh-CN"/>
        </w:rPr>
        <w:t>，</w:t>
      </w:r>
      <w:r>
        <w:rPr>
          <w:rFonts w:hint="eastAsia"/>
          <w:b/>
          <w:sz w:val="24"/>
        </w:rPr>
        <w:t>以便评审；</w:t>
      </w:r>
      <w:bookmarkStart w:id="28"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9" w:name="_Hlk73558164"/>
      <w:r>
        <w:rPr>
          <w:rFonts w:hint="eastAsia"/>
          <w:b/>
          <w:sz w:val="24"/>
        </w:rPr>
        <w:t>且投标人在“偏离情况”一栏响应为“正偏离”或“无偏离”的，经评审委员会认定，将判定为负偏离。</w:t>
      </w:r>
      <w:bookmarkEnd w:id="28"/>
      <w:bookmarkEnd w:id="29"/>
    </w:p>
    <w:p>
      <w:pPr>
        <w:ind w:firstLine="482" w:firstLineChars="200"/>
        <w:rPr>
          <w:rFonts w:hint="eastAsia"/>
          <w:b/>
          <w:sz w:val="24"/>
        </w:rPr>
      </w:pPr>
      <w:r>
        <w:rPr>
          <w:rFonts w:hint="eastAsia"/>
          <w:b/>
          <w:sz w:val="24"/>
          <w:lang w:val="en-US" w:eastAsia="zh-CN"/>
        </w:rPr>
        <w:t>6、</w:t>
      </w:r>
      <w:r>
        <w:rPr>
          <w:rFonts w:hint="eastAsia"/>
          <w:b/>
          <w:sz w:val="24"/>
        </w:rPr>
        <w:t>评审委员会有权对投标人是否存在虚假响应予以认定，并视情况经</w:t>
      </w:r>
      <w:r>
        <w:rPr>
          <w:rFonts w:hint="eastAsia"/>
          <w:b/>
          <w:sz w:val="24"/>
          <w:lang w:val="en-US" w:eastAsia="zh-CN"/>
        </w:rPr>
        <w:t>招标</w:t>
      </w:r>
      <w:r>
        <w:rPr>
          <w:rFonts w:hint="eastAsia"/>
          <w:b/>
          <w:sz w:val="24"/>
        </w:rPr>
        <w:t>机构报主管部门进行处理；</w:t>
      </w:r>
    </w:p>
    <w:p>
      <w:pPr>
        <w:ind w:firstLine="482" w:firstLineChars="200"/>
        <w:rPr>
          <w:rFonts w:hint="eastAsia"/>
          <w:b/>
          <w:sz w:val="24"/>
        </w:rPr>
      </w:pPr>
      <w:r>
        <w:rPr>
          <w:rFonts w:hint="eastAsia"/>
          <w:b/>
          <w:sz w:val="24"/>
          <w:lang w:val="en-US" w:eastAsia="zh-CN"/>
        </w:rPr>
        <w:t>7、</w:t>
      </w:r>
      <w:r>
        <w:rPr>
          <w:rFonts w:hint="eastAsia"/>
          <w:b/>
          <w:sz w:val="24"/>
        </w:rPr>
        <w:t>除招标文件另有注明外，投标文件其它位置如出现与本表中投标参数不一致的信息，均以本表信息为准。</w:t>
      </w: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rPr>
      </w:pPr>
      <w:r>
        <w:rPr>
          <w:rFonts w:ascii="宋体" w:hAnsi="宋体" w:eastAsia="宋体" w:cs="Times New Roman"/>
          <w:color w:val="FF0000"/>
          <w:sz w:val="32"/>
          <w:szCs w:val="32"/>
        </w:rPr>
        <w:br w:type="page"/>
      </w: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3"/>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keepNext/>
        <w:keepLines/>
        <w:adjustRightInd w:val="0"/>
        <w:snapToGrid w:val="0"/>
        <w:spacing w:line="360" w:lineRule="auto"/>
        <w:jc w:val="center"/>
        <w:textAlignment w:val="baseline"/>
        <w:outlineLvl w:val="3"/>
        <w:rPr>
          <w:rFonts w:ascii="宋体" w:hAnsi="宋体" w:eastAsia="宋体" w:cs="Times New Roman"/>
          <w:kern w:val="0"/>
          <w:sz w:val="24"/>
          <w:szCs w:val="20"/>
        </w:rPr>
      </w:pPr>
      <w:r>
        <w:rPr>
          <w:rFonts w:hint="eastAsia" w:ascii="宋体" w:hAnsi="宋体" w:eastAsia="宋体" w:cs="Times New Roman"/>
          <w:b/>
          <w:bCs/>
          <w:kern w:val="0"/>
          <w:sz w:val="24"/>
          <w:szCs w:val="20"/>
          <w:lang w:val="en-US" w:eastAsia="zh-CN"/>
        </w:rPr>
        <w:t>6</w:t>
      </w:r>
      <w:r>
        <w:rPr>
          <w:rFonts w:hint="eastAsia" w:ascii="宋体" w:hAnsi="宋体" w:eastAsia="宋体" w:cs="Times New Roman"/>
          <w:b/>
          <w:bCs/>
          <w:kern w:val="0"/>
          <w:sz w:val="24"/>
          <w:szCs w:val="20"/>
        </w:rPr>
        <w:t>.人员情况表</w:t>
      </w:r>
    </w:p>
    <w:tbl>
      <w:tblPr>
        <w:tblStyle w:val="16"/>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bl>
    <w:p>
      <w:pPr>
        <w:spacing w:afterLines="25" w:line="300" w:lineRule="auto"/>
        <w:rPr>
          <w:rFonts w:hint="eastAsia"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30" w:name="_Hlk72574405"/>
      <w:r>
        <w:rPr>
          <w:rFonts w:hint="eastAsia"/>
          <w:b/>
          <w:sz w:val="24"/>
        </w:rPr>
        <w:t>（仅供参考，具体以项目需求及采购结果为准）</w:t>
      </w:r>
      <w:bookmarkEnd w:id="30"/>
    </w:p>
    <w:p>
      <w:pPr>
        <w:snapToGrid w:val="0"/>
        <w:spacing w:line="300" w:lineRule="auto"/>
        <w:jc w:val="center"/>
        <w:rPr>
          <w:rFonts w:ascii="仿宋" w:hAnsi="仿宋" w:eastAsia="仿宋" w:cs="Times New Roman"/>
          <w:sz w:val="28"/>
          <w:szCs w:val="28"/>
        </w:rPr>
      </w:pP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b/>
          <w:bCs/>
          <w:szCs w:val="21"/>
        </w:rPr>
      </w:pPr>
      <w:r>
        <w:rPr>
          <w:rFonts w:hint="eastAsia" w:ascii="宋体" w:hAnsi="宋体"/>
          <w:b/>
          <w:bCs/>
          <w:szCs w:val="21"/>
        </w:rPr>
        <w:t>甲方：</w:t>
      </w:r>
      <w:r>
        <w:rPr>
          <w:rFonts w:ascii="宋体" w:hAnsi="宋体"/>
          <w:b/>
          <w:bCs/>
          <w:szCs w:val="21"/>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szCs w:val="21"/>
        </w:rPr>
      </w:pPr>
      <w:bookmarkStart w:id="31" w:name="_Hlk75014453"/>
      <w:r>
        <w:rPr>
          <w:rFonts w:hint="eastAsia" w:ascii="宋体" w:hAnsi="宋体"/>
          <w:szCs w:val="21"/>
        </w:rPr>
        <w:t>地址：</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szCs w:val="21"/>
        </w:rPr>
      </w:pPr>
      <w:r>
        <w:rPr>
          <w:rFonts w:hint="eastAsia" w:ascii="宋体" w:hAnsi="宋体"/>
          <w:szCs w:val="21"/>
        </w:rPr>
        <w:t>联系人：</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b/>
          <w:bCs/>
          <w:szCs w:val="21"/>
        </w:rPr>
      </w:pPr>
      <w:r>
        <w:rPr>
          <w:rFonts w:hint="eastAsia" w:ascii="宋体" w:hAnsi="宋体"/>
          <w:szCs w:val="21"/>
        </w:rPr>
        <w:t>联系电话：</w:t>
      </w:r>
      <w:bookmarkEnd w:id="31"/>
      <w:r>
        <w:rPr>
          <w:rFonts w:hint="eastAsia" w:ascii="宋体" w:hAnsi="宋体"/>
          <w:b/>
          <w:bCs/>
          <w:szCs w:val="21"/>
        </w:rPr>
        <w:t xml:space="preserve">      </w:t>
      </w:r>
      <w:r>
        <w:rPr>
          <w:rFonts w:ascii="宋体" w:hAnsi="宋体"/>
          <w:b/>
          <w:bCs/>
          <w:szCs w:val="21"/>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b/>
          <w:bCs/>
          <w:szCs w:val="21"/>
        </w:rPr>
      </w:pP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b/>
          <w:bCs/>
          <w:szCs w:val="21"/>
        </w:rPr>
      </w:pPr>
      <w:r>
        <w:rPr>
          <w:rFonts w:hint="eastAsia" w:ascii="宋体" w:hAnsi="宋体"/>
          <w:b/>
          <w:bCs/>
          <w:szCs w:val="21"/>
        </w:rPr>
        <w:t>乙方：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szCs w:val="21"/>
        </w:rPr>
      </w:pPr>
      <w:r>
        <w:rPr>
          <w:rFonts w:hint="eastAsia" w:ascii="宋体" w:hAnsi="宋体"/>
          <w:szCs w:val="21"/>
        </w:rPr>
        <w:t>地址：</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szCs w:val="21"/>
        </w:rPr>
      </w:pPr>
      <w:r>
        <w:rPr>
          <w:rFonts w:hint="eastAsia" w:ascii="宋体" w:hAnsi="宋体"/>
          <w:szCs w:val="21"/>
        </w:rPr>
        <w:t>联系人：</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szCs w:val="21"/>
        </w:rPr>
      </w:pPr>
      <w:r>
        <w:rPr>
          <w:rFonts w:hint="eastAsia" w:ascii="宋体" w:hAnsi="宋体"/>
          <w:szCs w:val="21"/>
        </w:rPr>
        <w:t>联系电话：</w:t>
      </w:r>
      <w:r>
        <w:rPr>
          <w:rFonts w:hint="eastAsia" w:ascii="宋体" w:hAnsi="宋体"/>
          <w:b/>
          <w:bCs/>
          <w:szCs w:val="21"/>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szCs w:val="21"/>
        </w:rPr>
      </w:pPr>
      <w:bookmarkStart w:id="32" w:name="_Hlk72574434"/>
      <w:r>
        <w:rPr>
          <w:rFonts w:hint="eastAsia"/>
          <w:szCs w:val="21"/>
        </w:rPr>
        <w:t>根据深圳公共资源交易中心（深圳交易集团有限公司*</w:t>
      </w:r>
      <w:r>
        <w:rPr>
          <w:szCs w:val="21"/>
        </w:rPr>
        <w:t>**</w:t>
      </w:r>
      <w:r>
        <w:rPr>
          <w:rFonts w:hint="eastAsia"/>
          <w:szCs w:val="21"/>
        </w:rPr>
        <w:t>分公司）</w:t>
      </w:r>
      <w:r>
        <w:rPr>
          <w:rFonts w:hint="eastAsia"/>
          <w:szCs w:val="21"/>
          <w:u w:val="single"/>
        </w:rPr>
        <w:t xml:space="preserve">        </w:t>
      </w:r>
      <w:r>
        <w:rPr>
          <w:rFonts w:hint="eastAsia"/>
          <w:szCs w:val="21"/>
        </w:rPr>
        <w:t>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32"/>
      <w:r>
        <w:rPr>
          <w:rFonts w:hint="eastAsia"/>
          <w:szCs w:val="21"/>
        </w:rPr>
        <w:t>按照《中华人民共和国民法典》（第三编 合同）和《深圳经济特区政府采购条例》，经深圳市</w:t>
      </w:r>
      <w:r>
        <w:rPr>
          <w:rFonts w:hint="eastAsia"/>
          <w:szCs w:val="21"/>
          <w:u w:val="single"/>
        </w:rPr>
        <w:t xml:space="preserve">           </w:t>
      </w:r>
      <w:r>
        <w:rPr>
          <w:rFonts w:hint="eastAsia"/>
          <w:szCs w:val="21"/>
        </w:rPr>
        <w:t>（以下简称甲方）和</w:t>
      </w:r>
      <w:r>
        <w:rPr>
          <w:rFonts w:hint="eastAsia"/>
          <w:szCs w:val="21"/>
          <w:u w:val="single"/>
        </w:rPr>
        <w:t xml:space="preserve">           </w:t>
      </w:r>
      <w:r>
        <w:rPr>
          <w:rFonts w:hint="eastAsia"/>
          <w:szCs w:val="21"/>
        </w:rPr>
        <w:t>单位（以下简称乙方）协商，达成以下合同条款：</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第一条  合同标的</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szCs w:val="21"/>
        </w:rPr>
      </w:pPr>
      <w:r>
        <w:rPr>
          <w:rFonts w:hint="eastAsia"/>
          <w:szCs w:val="21"/>
        </w:rPr>
        <w:t>乙方根据甲方需求提供下列货物：</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szCs w:val="21"/>
        </w:rPr>
      </w:pPr>
      <w:r>
        <w:rPr>
          <w:rFonts w:hint="eastAsia"/>
          <w:szCs w:val="21"/>
        </w:rPr>
        <w:t>货物名称、规格及数量详见</w:t>
      </w:r>
      <w:r>
        <w:rPr>
          <w:rFonts w:hint="eastAsia"/>
          <w:b/>
          <w:szCs w:val="21"/>
          <w:u w:val="single"/>
        </w:rPr>
        <w:t xml:space="preserve">                  </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第二条  合同价款</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 xml:space="preserve"> 履行期限</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outlineLvl w:val="9"/>
        <w:rPr>
          <w:rFonts w:ascii="宋体" w:hAnsi="宋体"/>
          <w:szCs w:val="21"/>
        </w:rPr>
      </w:pPr>
      <w:r>
        <w:rPr>
          <w:rFonts w:hint="eastAsia" w:ascii="宋体" w:hAnsi="宋体"/>
          <w:szCs w:val="21"/>
        </w:rPr>
        <w:t>乙方应于本合同签订之日其</w:t>
      </w:r>
      <w:r>
        <w:rPr>
          <w:rFonts w:hint="eastAsia"/>
          <w:szCs w:val="21"/>
          <w:u w:val="single"/>
        </w:rPr>
        <w:t xml:space="preserve">             </w:t>
      </w:r>
      <w:r>
        <w:rPr>
          <w:rFonts w:hint="eastAsia" w:ascii="宋体" w:hAnsi="宋体"/>
          <w:szCs w:val="21"/>
        </w:rPr>
        <w:t>日内将符合要求的产品向甲方交付（含安装调试），但乙方交付前应向书面通知甲方并征得甲方同意。</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权利保证</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第五条  质量保证</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3、乙方保证交货时一并提供货物的质量合格凭证或文件。</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第六条  交货和验收</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5、货物的所有权和灭失的风险自乙方将货物交付给甲方时转移。</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第七条  保修及其他服务</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第八条 保密条款</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outlineLvl w:val="9"/>
      </w:pPr>
      <w:r>
        <w:t>1</w:t>
      </w:r>
      <w:r>
        <w:rPr>
          <w:rFonts w:hint="eastAsia"/>
        </w:rPr>
        <w:t>、乙方对在本合同履行中获取或者知悉甲方提供的资料、信息负有保密义务。</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outlineLvl w:val="9"/>
      </w:pPr>
      <w:r>
        <w:t>2</w:t>
      </w:r>
      <w:r>
        <w:rPr>
          <w:rFonts w:hint="eastAsia"/>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outlineLvl w:val="9"/>
        <w:rPr>
          <w:b/>
        </w:rPr>
      </w:pPr>
      <w:r>
        <w:t>3</w:t>
      </w:r>
      <w:r>
        <w:rPr>
          <w:rFonts w:hint="eastAsia"/>
        </w:rPr>
        <w:t>、保密期限自本协议签订生效之日起至保密信息被依法公开披露或成为公开信息之日止。合同中止、终止或者解除不视为免除保密义务，乙方仍应当承担保密义务。</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第九条  履约保证金</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1、乙方应在签订本合同之日，向甲方或甲方指定的机构提交履约保证金_________元。</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2、如乙方未能履行合同规定的义务，甲方有权从履约保证金中取得补偿。</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3、甲方在乙方履行完毕本合同项下全部义务后______天内无息退还乙方。</w:t>
      </w:r>
    </w:p>
    <w:p>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22" w:firstLineChars="200"/>
        <w:jc w:val="left"/>
        <w:textAlignment w:val="auto"/>
        <w:outlineLvl w:val="9"/>
        <w:rPr>
          <w:b/>
          <w:szCs w:val="21"/>
        </w:rPr>
      </w:pPr>
      <w:r>
        <w:rPr>
          <w:rFonts w:hint="eastAsia"/>
          <w:b/>
          <w:szCs w:val="21"/>
        </w:rPr>
        <w:t>第十条  货款支付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pPr>
      <w:r>
        <w:rPr>
          <w:rFonts w:hint="eastAsia"/>
        </w:rPr>
        <w:t xml:space="preserve">   </w:t>
      </w:r>
      <w:r>
        <w:rPr>
          <w:b/>
          <w:szCs w:val="21"/>
          <w:u w:val="single"/>
        </w:rPr>
        <w:t xml:space="preserve">   </w:t>
      </w:r>
      <w:r>
        <w:rPr>
          <w:rFonts w:hint="eastAsia"/>
          <w:b/>
          <w:szCs w:val="21"/>
          <w:u w:val="single"/>
        </w:rPr>
        <w:t>（详见商务要求）</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b/>
          <w:szCs w:val="21"/>
        </w:rPr>
      </w:pPr>
      <w:r>
        <w:rPr>
          <w:rFonts w:hint="eastAsia"/>
          <w:b/>
          <w:szCs w:val="21"/>
        </w:rPr>
        <w:t>第十一条 违约责任</w:t>
      </w:r>
      <w:r>
        <w:rPr>
          <w:rFonts w:hint="eastAsia"/>
          <w:b/>
          <w:szCs w:val="21"/>
          <w:u w:val="single"/>
        </w:rPr>
        <w:t>（详见商务要求）</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１、甲方无正当理由拒收货物、拒付货物款的，由甲方向乙方偿付合同总价的【】%违约金。</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w:t>
      </w:r>
      <w:r>
        <w:rPr>
          <w:rFonts w:hint="eastAsia" w:ascii="宋体" w:hAnsi="宋体"/>
          <w:szCs w:val="21"/>
          <w:u w:val="single"/>
        </w:rPr>
        <w:t xml:space="preserve">    </w:t>
      </w:r>
      <w:r>
        <w:rPr>
          <w:rFonts w:hint="eastAsia" w:ascii="宋体" w:hAnsi="宋体"/>
          <w:szCs w:val="21"/>
        </w:rPr>
        <w:t>天，甲方有权解除合同，履约保证金不予退回，同时乙方应向甲方支付合同总价【】％的违约金。</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6.</w:t>
      </w:r>
      <w:bookmarkStart w:id="33"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33"/>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7、</w:t>
      </w:r>
      <w:bookmarkStart w:id="34"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34"/>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第十</w:t>
      </w:r>
      <w:r>
        <w:rPr>
          <w:rFonts w:hint="eastAsia"/>
          <w:b/>
          <w:szCs w:val="21"/>
          <w:lang w:val="en-US" w:eastAsia="zh-CN"/>
        </w:rPr>
        <w:t>二</w:t>
      </w:r>
      <w:r>
        <w:rPr>
          <w:rFonts w:hint="eastAsia"/>
          <w:b/>
          <w:szCs w:val="21"/>
        </w:rPr>
        <w:t>条    合同的变更和终止</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除</w:t>
      </w:r>
      <w:bookmarkStart w:id="35" w:name="_Hlk75015119"/>
      <w:r>
        <w:rPr>
          <w:rFonts w:hint="eastAsia" w:ascii="宋体" w:hAnsi="宋体"/>
          <w:szCs w:val="21"/>
        </w:rPr>
        <w:t>《深圳经济特区政府采购条例》第40条、</w:t>
      </w:r>
      <w:bookmarkEnd w:id="35"/>
      <w:r>
        <w:rPr>
          <w:rFonts w:hint="eastAsia" w:ascii="宋体" w:hAnsi="宋体"/>
          <w:szCs w:val="21"/>
        </w:rPr>
        <w:t>《中华人民共和国政府采购法》第50条第二款规定或者主管部门另有政策规定的情形外，本合同一经签订，甲乙双方不得擅自变更、中止或终止合同。</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第十</w:t>
      </w:r>
      <w:r>
        <w:rPr>
          <w:rFonts w:hint="eastAsia"/>
          <w:b/>
          <w:szCs w:val="21"/>
          <w:lang w:val="en-US" w:eastAsia="zh-CN"/>
        </w:rPr>
        <w:t>三</w:t>
      </w:r>
      <w:r>
        <w:rPr>
          <w:rFonts w:hint="eastAsia"/>
          <w:b/>
          <w:szCs w:val="21"/>
        </w:rPr>
        <w:t>条   争议的解决</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b/>
          <w:szCs w:val="21"/>
        </w:rPr>
      </w:pPr>
      <w:r>
        <w:rPr>
          <w:rFonts w:hint="eastAsia"/>
          <w:b/>
          <w:szCs w:val="21"/>
        </w:rPr>
        <w:t>第十</w:t>
      </w:r>
      <w:r>
        <w:rPr>
          <w:rFonts w:hint="eastAsia"/>
          <w:b/>
          <w:szCs w:val="21"/>
          <w:lang w:val="en-US" w:eastAsia="zh-CN"/>
        </w:rPr>
        <w:t>四</w:t>
      </w:r>
      <w:r>
        <w:rPr>
          <w:rFonts w:hint="eastAsia"/>
          <w:b/>
          <w:szCs w:val="21"/>
        </w:rPr>
        <w:t>条   合同生效及其他</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1、下列文件均为本合同的组成部分：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号招标文件、答疑及补充通知；</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（2）乙方的投标文件；</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（3）本合同执行中甲乙双方共同签署的补充与修正文件。</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2、本合同一式</w:t>
      </w:r>
      <w:r>
        <w:rPr>
          <w:rFonts w:hint="eastAsia" w:ascii="宋体" w:hAnsi="宋体"/>
          <w:szCs w:val="21"/>
          <w:u w:val="single"/>
        </w:rPr>
        <w:t xml:space="preserve">     </w:t>
      </w:r>
      <w:r>
        <w:rPr>
          <w:rFonts w:hint="eastAsia" w:ascii="宋体" w:hAnsi="宋体"/>
          <w:szCs w:val="21"/>
        </w:rPr>
        <w:t>份，甲、乙方双方各执</w:t>
      </w:r>
      <w:r>
        <w:rPr>
          <w:rFonts w:hint="eastAsia" w:ascii="宋体" w:hAnsi="宋体"/>
          <w:szCs w:val="21"/>
          <w:u w:val="single"/>
        </w:rPr>
        <w:t xml:space="preserve">     </w:t>
      </w:r>
      <w:r>
        <w:rPr>
          <w:rFonts w:hint="eastAsia" w:ascii="宋体" w:hAnsi="宋体"/>
          <w:szCs w:val="21"/>
        </w:rPr>
        <w:t>份，具有同等法律效力。本合同自双方法定代表人（或授权代表）签字并盖章之日起生效。</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甲方（采购人）：   （盖章）       乙方（供应商）：    （盖章）</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outlineLvl w:val="9"/>
        <w:rPr>
          <w:rFonts w:ascii="宋体" w:hAnsi="宋体"/>
          <w:szCs w:val="21"/>
        </w:rPr>
      </w:pPr>
      <w:r>
        <w:rPr>
          <w:rFonts w:hint="eastAsia" w:ascii="宋体" w:hAnsi="宋体"/>
          <w:szCs w:val="21"/>
        </w:rPr>
        <w:t>委托代理人：                     委托代理人：</w:t>
      </w:r>
    </w:p>
    <w:p>
      <w:pPr>
        <w:keepNext w:val="0"/>
        <w:keepLines w:val="0"/>
        <w:pageBreakBefore w:val="0"/>
        <w:widowControl w:val="0"/>
        <w:kinsoku/>
        <w:wordWrap/>
        <w:overflowPunct/>
        <w:topLinePunct w:val="0"/>
        <w:autoSpaceDE/>
        <w:autoSpaceDN/>
        <w:bidi w:val="0"/>
        <w:adjustRightInd/>
        <w:snapToGrid/>
        <w:ind w:firstLine="525" w:firstLineChars="250"/>
        <w:textAlignment w:val="auto"/>
        <w:outlineLvl w:val="9"/>
        <w:rPr>
          <w:rFonts w:ascii="宋体" w:hAnsi="宋体"/>
          <w:b/>
          <w:szCs w:val="21"/>
        </w:rPr>
      </w:pPr>
      <w:r>
        <w:rPr>
          <w:rFonts w:hint="eastAsia" w:ascii="宋体" w:hAnsi="宋体"/>
          <w:szCs w:val="21"/>
        </w:rPr>
        <w:t>日期：   年     月    日         日期：   年     月    日</w:t>
      </w:r>
    </w:p>
    <w:p>
      <w:pPr>
        <w:widowControl/>
        <w:jc w:val="left"/>
        <w:rPr>
          <w:rFonts w:ascii="Arial" w:hAnsi="Arial" w:eastAsia="宋体" w:cs="Times New Roman"/>
          <w:color w:val="FF0000"/>
          <w:szCs w:val="24"/>
        </w:rPr>
      </w:pPr>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27"/>
        <w:keepNext/>
        <w:keepLines/>
        <w:numPr>
          <w:ilvl w:val="0"/>
          <w:numId w:val="6"/>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36" w:name="_Hlk72399513"/>
      <w:r>
        <w:rPr>
          <w:rFonts w:hint="eastAsia" w:asciiTheme="majorHAnsi" w:hAnsiTheme="majorHAnsi" w:eastAsiaTheme="majorEastAsia" w:cstheme="majorBidi"/>
          <w:b/>
          <w:bCs/>
          <w:sz w:val="28"/>
          <w:szCs w:val="28"/>
        </w:rPr>
        <w:t>总则</w:t>
      </w:r>
    </w:p>
    <w:bookmarkEnd w:id="36"/>
    <w:p>
      <w:pPr>
        <w:rPr>
          <w:rFonts w:ascii="黑体" w:hAnsi="宋体" w:eastAsia="黑体"/>
          <w:sz w:val="24"/>
        </w:rPr>
      </w:pPr>
      <w:bookmarkStart w:id="37"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38" w:name="_Hlk72399729"/>
      <w:r>
        <w:rPr>
          <w:rFonts w:hint="eastAsia" w:ascii="宋体" w:hAnsi="宋体"/>
          <w:szCs w:val="21"/>
        </w:rPr>
        <w:t>如有需要，政府集中采购机构可以对通用条款的内容进行补充。</w:t>
      </w:r>
      <w:bookmarkEnd w:id="38"/>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39"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pPr>
        <w:ind w:firstLine="405"/>
        <w:rPr>
          <w:shd w:val="clear" w:color="auto" w:fill="FFFFFF"/>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0"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0"/>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39"/>
    <w:p>
      <w:pPr>
        <w:ind w:firstLine="411" w:firstLineChars="196"/>
        <w:rPr>
          <w:rFonts w:ascii="宋体" w:hAnsi="宋体"/>
        </w:rPr>
      </w:pPr>
    </w:p>
    <w:p>
      <w:pPr>
        <w:pStyle w:val="3"/>
        <w:numPr>
          <w:ilvl w:val="0"/>
          <w:numId w:val="7"/>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1"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1"/>
    </w:p>
    <w:p>
      <w:pPr>
        <w:rPr>
          <w:rFonts w:ascii="宋体" w:hAnsi="宋体"/>
          <w:szCs w:val="21"/>
        </w:rPr>
      </w:pPr>
    </w:p>
    <w:p>
      <w:pPr>
        <w:pStyle w:val="3"/>
        <w:numPr>
          <w:ilvl w:val="0"/>
          <w:numId w:val="7"/>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42"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2"/>
    <w:p>
      <w:pPr>
        <w:rPr>
          <w:rFonts w:ascii="黑体" w:hAnsi="宋体" w:eastAsia="黑体"/>
          <w:sz w:val="24"/>
        </w:rPr>
      </w:pPr>
      <w:r>
        <w:rPr>
          <w:rFonts w:hint="eastAsia" w:ascii="黑体" w:hAnsi="宋体" w:eastAsia="黑体"/>
          <w:sz w:val="24"/>
        </w:rPr>
        <w:t>15．</w:t>
      </w:r>
      <w:bookmarkStart w:id="43"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43"/>
    <w:p>
      <w:pPr>
        <w:rPr>
          <w:rFonts w:ascii="黑体" w:hAnsi="宋体" w:eastAsia="黑体"/>
          <w:sz w:val="24"/>
        </w:rPr>
      </w:pPr>
      <w:r>
        <w:rPr>
          <w:rFonts w:hint="eastAsia" w:ascii="黑体" w:hAnsi="宋体" w:eastAsia="黑体"/>
          <w:sz w:val="24"/>
        </w:rPr>
        <w:t>18．</w:t>
      </w:r>
      <w:bookmarkStart w:id="44"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44"/>
    <w:p>
      <w:pPr>
        <w:rPr>
          <w:rFonts w:ascii="黑体" w:hAnsi="宋体" w:eastAsia="黑体"/>
          <w:sz w:val="24"/>
        </w:rPr>
      </w:pPr>
      <w:r>
        <w:rPr>
          <w:rFonts w:hint="eastAsia" w:ascii="黑体" w:hAnsi="宋体" w:eastAsia="黑体"/>
          <w:sz w:val="24"/>
        </w:rPr>
        <w:t>19．</w:t>
      </w:r>
      <w:bookmarkStart w:id="45"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46" w:name="_Hlk71407299"/>
    </w:p>
    <w:bookmarkEnd w:id="46"/>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45"/>
    <w:p>
      <w:pPr>
        <w:ind w:firstLine="411" w:firstLineChars="196"/>
        <w:rPr>
          <w:rFonts w:ascii="宋体" w:hAnsi="宋体"/>
          <w:szCs w:val="21"/>
        </w:rPr>
      </w:pPr>
      <w:bookmarkStart w:id="4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7"/>
    <w:p>
      <w:pPr>
        <w:rPr>
          <w:rFonts w:ascii="黑体" w:hAnsi="宋体" w:eastAsia="黑体"/>
          <w:sz w:val="24"/>
        </w:rPr>
      </w:pPr>
      <w:r>
        <w:rPr>
          <w:rFonts w:hint="eastAsia" w:ascii="黑体" w:hAnsi="宋体" w:eastAsia="黑体"/>
          <w:sz w:val="24"/>
        </w:rPr>
        <w:t>21．</w:t>
      </w:r>
      <w:bookmarkStart w:id="48"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8"/>
    <w:p>
      <w:pPr>
        <w:rPr>
          <w:rFonts w:ascii="黑体" w:hAnsi="宋体" w:eastAsia="黑体"/>
          <w:sz w:val="24"/>
        </w:rPr>
      </w:pPr>
      <w:r>
        <w:rPr>
          <w:rFonts w:hint="eastAsia" w:ascii="黑体" w:hAnsi="宋体" w:eastAsia="黑体"/>
          <w:sz w:val="24"/>
        </w:rPr>
        <w:t>23．</w:t>
      </w:r>
      <w:bookmarkStart w:id="49"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49"/>
    </w:p>
    <w:p>
      <w:pPr>
        <w:ind w:firstLine="411" w:firstLineChars="196"/>
        <w:rPr>
          <w:rFonts w:ascii="宋体" w:hAnsi="宋体"/>
          <w:szCs w:val="21"/>
        </w:rPr>
      </w:pPr>
    </w:p>
    <w:p>
      <w:pPr>
        <w:pStyle w:val="3"/>
        <w:numPr>
          <w:ilvl w:val="0"/>
          <w:numId w:val="7"/>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50"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50"/>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51"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1"/>
    <w:p>
      <w:pPr>
        <w:pStyle w:val="3"/>
        <w:numPr>
          <w:ilvl w:val="0"/>
          <w:numId w:val="7"/>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
        <w:numPr>
          <w:ilvl w:val="0"/>
          <w:numId w:val="7"/>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52"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2"/>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
        <w:numPr>
          <w:ilvl w:val="0"/>
          <w:numId w:val="7"/>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53"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3"/>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54" w:name="_Toc73521669"/>
      <w:bookmarkStart w:id="55" w:name="_Toc100052400"/>
      <w:bookmarkStart w:id="56" w:name="_Toc73517673"/>
      <w:bookmarkStart w:id="57" w:name="_Toc73521581"/>
      <w:bookmarkStart w:id="58" w:name="_Toc73518151"/>
      <w:r>
        <w:rPr>
          <w:rFonts w:hint="eastAsia" w:ascii="黑体" w:hAnsi="宋体" w:eastAsia="黑体"/>
          <w:sz w:val="24"/>
        </w:rPr>
        <w:t>34．错误的修正</w:t>
      </w:r>
      <w:bookmarkEnd w:id="54"/>
      <w:bookmarkEnd w:id="55"/>
      <w:bookmarkEnd w:id="56"/>
      <w:bookmarkEnd w:id="57"/>
      <w:bookmarkEnd w:id="58"/>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59"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59"/>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7"/>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60"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1" w:name="_Hlk73821177"/>
      <w:r>
        <w:rPr>
          <w:rFonts w:hint="eastAsia" w:ascii="ˎ̥" w:hAnsi="ˎ̥"/>
          <w:lang w:val="en-US" w:eastAsia="zh-CN"/>
        </w:rPr>
        <w:t>唯一候选</w:t>
      </w:r>
      <w:r>
        <w:rPr>
          <w:rFonts w:hint="eastAsia" w:ascii="ˎ̥" w:hAnsi="ˎ̥"/>
        </w:rPr>
        <w:t>中标供应商</w:t>
      </w:r>
      <w:bookmarkEnd w:id="61"/>
      <w:r>
        <w:rPr>
          <w:rFonts w:ascii="ˎ̥" w:hAnsi="ˎ̥"/>
        </w:rPr>
        <w:t>。</w:t>
      </w:r>
    </w:p>
    <w:p>
      <w:pPr>
        <w:ind w:firstLine="411" w:firstLineChars="196"/>
        <w:rPr>
          <w:rFonts w:hint="eastAsia" w:ascii="ˎ̥" w:hAnsi="ˎ̥" w:eastAsiaTheme="minorEastAsia"/>
          <w:lang w:eastAsia="zh-CN"/>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w:t>
      </w:r>
      <w:r>
        <w:rPr>
          <w:rFonts w:hint="eastAsia" w:ascii="ˎ̥" w:hAnsi="ˎ̥"/>
          <w:lang w:val="en-US" w:eastAsia="zh-CN"/>
        </w:rPr>
        <w:t>候选</w:t>
      </w:r>
      <w:r>
        <w:rPr>
          <w:rFonts w:hint="eastAsia" w:ascii="ˎ̥" w:hAnsi="ˎ̥"/>
        </w:rPr>
        <w:t>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。如唯一候选中标供应商被认定投标或中标无效，采购人应当重新开展采购活动</w:t>
      </w:r>
      <w:r>
        <w:rPr>
          <w:rFonts w:hint="eastAsia" w:ascii="ˎ̥" w:hAnsi="ˎ̥"/>
          <w:lang w:eastAsia="zh-CN"/>
        </w:rPr>
        <w:t>。</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2"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63"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2"/>
      <w:bookmarkEnd w:id="63"/>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60"/>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64"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64"/>
      <w:bookmarkStart w:id="65"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5"/>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6"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6"/>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67" w:name="_Hlk71407340"/>
      <w:r>
        <w:rPr>
          <w:rFonts w:hint="eastAsia" w:ascii="宋体" w:hAnsi="宋体"/>
          <w:szCs w:val="21"/>
        </w:rPr>
        <w:t>41.3因质疑投诉或其它原因导致项目结果变更或采购终止的，政府集中采购机构有权吊销中标通知书。</w:t>
      </w:r>
    </w:p>
    <w:bookmarkEnd w:id="67"/>
    <w:p>
      <w:pPr>
        <w:ind w:firstLine="411" w:firstLineChars="196"/>
        <w:rPr>
          <w:rFonts w:ascii="宋体" w:hAnsi="宋体"/>
          <w:szCs w:val="21"/>
        </w:rPr>
      </w:pPr>
    </w:p>
    <w:p>
      <w:pPr>
        <w:pStyle w:val="3"/>
        <w:numPr>
          <w:ilvl w:val="0"/>
          <w:numId w:val="7"/>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3"/>
        <w:numPr>
          <w:ilvl w:val="0"/>
          <w:numId w:val="7"/>
        </w:numPr>
        <w:spacing w:before="120" w:beforeLines="50" w:after="120" w:afterLines="50"/>
        <w:ind w:left="562" w:hanging="562"/>
        <w:rPr>
          <w:sz w:val="28"/>
          <w:szCs w:val="28"/>
        </w:rPr>
      </w:pPr>
      <w:bookmarkStart w:id="68" w:name="_Hlk72439043"/>
      <w:r>
        <w:rPr>
          <w:rFonts w:hint="eastAsia"/>
          <w:sz w:val="28"/>
          <w:szCs w:val="28"/>
        </w:rPr>
        <w:t>合同的授予与备案</w:t>
      </w:r>
      <w:bookmarkEnd w:id="68"/>
    </w:p>
    <w:p>
      <w:pPr>
        <w:rPr>
          <w:rFonts w:ascii="黑体" w:hAnsi="宋体" w:eastAsia="黑体"/>
          <w:sz w:val="24"/>
        </w:rPr>
      </w:pPr>
      <w:bookmarkStart w:id="69" w:name="_Toc73517679"/>
      <w:bookmarkStart w:id="70" w:name="_Toc73518157"/>
      <w:bookmarkStart w:id="71" w:name="_Toc100052408"/>
      <w:bookmarkStart w:id="72" w:name="_Toc73521674"/>
      <w:bookmarkStart w:id="73" w:name="_Toc73521586"/>
      <w:bookmarkStart w:id="74" w:name="_Hlk72439088"/>
      <w:r>
        <w:rPr>
          <w:rFonts w:hint="eastAsia" w:ascii="黑体" w:hAnsi="宋体" w:eastAsia="黑体"/>
          <w:sz w:val="24"/>
        </w:rPr>
        <w:t>43．合同授予标准</w:t>
      </w:r>
      <w:bookmarkEnd w:id="69"/>
      <w:bookmarkEnd w:id="70"/>
      <w:bookmarkEnd w:id="71"/>
      <w:bookmarkEnd w:id="72"/>
      <w:bookmarkEnd w:id="73"/>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75" w:name="_Toc100052409"/>
      <w:bookmarkStart w:id="76" w:name="_Toc73517680"/>
      <w:bookmarkStart w:id="77" w:name="_Toc73518158"/>
      <w:bookmarkStart w:id="78" w:name="_Toc73521675"/>
      <w:bookmarkStart w:id="79" w:name="_Toc73521587"/>
      <w:r>
        <w:rPr>
          <w:rFonts w:hint="eastAsia" w:ascii="黑体" w:hAnsi="宋体" w:eastAsia="黑体"/>
          <w:sz w:val="24"/>
        </w:rPr>
        <w:t>44．</w:t>
      </w:r>
      <w:bookmarkEnd w:id="75"/>
      <w:bookmarkEnd w:id="76"/>
      <w:bookmarkEnd w:id="77"/>
      <w:bookmarkEnd w:id="78"/>
      <w:bookmarkEnd w:id="79"/>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80" w:name="_Toc73521677"/>
      <w:bookmarkStart w:id="81" w:name="_Toc73518160"/>
      <w:bookmarkStart w:id="82" w:name="_Toc100052410"/>
      <w:bookmarkStart w:id="83" w:name="_Toc73517682"/>
      <w:bookmarkStart w:id="84" w:name="_Toc73521589"/>
      <w:r>
        <w:rPr>
          <w:rFonts w:hint="eastAsia" w:ascii="黑体" w:hAnsi="宋体" w:eastAsia="黑体"/>
          <w:sz w:val="24"/>
        </w:rPr>
        <w:t>45．合同的签订</w:t>
      </w:r>
      <w:bookmarkEnd w:id="80"/>
      <w:bookmarkEnd w:id="81"/>
      <w:bookmarkEnd w:id="82"/>
      <w:bookmarkEnd w:id="83"/>
      <w:bookmarkEnd w:id="84"/>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85" w:name="_Toc73518161"/>
      <w:bookmarkStart w:id="86" w:name="_Toc73517683"/>
      <w:bookmarkStart w:id="87" w:name="_Toc73521590"/>
      <w:bookmarkStart w:id="88" w:name="_Toc100052411"/>
      <w:bookmarkStart w:id="89" w:name="_Toc73521678"/>
      <w:r>
        <w:rPr>
          <w:rFonts w:hint="eastAsia" w:ascii="黑体" w:hAnsi="宋体" w:eastAsia="黑体"/>
          <w:sz w:val="24"/>
        </w:rPr>
        <w:t>46．履约担保</w:t>
      </w:r>
      <w:bookmarkEnd w:id="85"/>
      <w:bookmarkEnd w:id="86"/>
      <w:bookmarkEnd w:id="87"/>
      <w:bookmarkEnd w:id="88"/>
      <w:bookmarkEnd w:id="89"/>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0" w:name="_Hlk72440769"/>
      <w:r>
        <w:rPr>
          <w:rFonts w:hint="eastAsia" w:ascii="宋体" w:hAnsi="宋体"/>
          <w:szCs w:val="21"/>
        </w:rPr>
        <w:t>政府集中采购机构或采购人不予退还其交纳的谈判保证金，情节严重的，并由主管部门</w:t>
      </w:r>
      <w:bookmarkEnd w:id="90"/>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4"/>
    <w:p>
      <w:pPr>
        <w:pStyle w:val="3"/>
        <w:numPr>
          <w:ilvl w:val="0"/>
          <w:numId w:val="7"/>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91" w:name="_Hlk75374941"/>
      <w:r>
        <w:rPr>
          <w:rFonts w:hint="eastAsia" w:ascii="宋体" w:hAnsi="宋体"/>
          <w:szCs w:val="21"/>
        </w:rPr>
        <w:t>以联合体形式参与的，质疑应当由组成联合体的所有成员共同提出</w:t>
      </w:r>
      <w:bookmarkEnd w:id="91"/>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37"/>
    </w:p>
    <w:p>
      <w:pPr>
        <w:rPr>
          <w:b/>
          <w:color w:val="FF0000"/>
          <w:sz w:val="52"/>
          <w:szCs w:val="52"/>
        </w:rPr>
      </w:pPr>
    </w:p>
    <w:p>
      <w:pPr>
        <w:rPr>
          <w:rFonts w:ascii="宋体" w:hAnsi="宋体" w:eastAsia="黑体" w:cs="Times New Roman"/>
          <w:b/>
          <w:bCs/>
          <w:color w:val="0000FF"/>
          <w:kern w:val="44"/>
          <w:sz w:val="36"/>
          <w:szCs w:val="4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F3AA7"/>
    <w:multiLevelType w:val="singleLevel"/>
    <w:tmpl w:val="861F3AA7"/>
    <w:lvl w:ilvl="0" w:tentative="0">
      <w:start w:val="1"/>
      <w:numFmt w:val="decimal"/>
      <w:suff w:val="nothing"/>
      <w:lvlText w:val="%1."/>
      <w:lvlJc w:val="left"/>
      <w:pPr>
        <w:ind w:left="425" w:hanging="425"/>
      </w:pPr>
      <w:rPr>
        <w:rFonts w:hint="default"/>
      </w:rPr>
    </w:lvl>
  </w:abstractNum>
  <w:abstractNum w:abstractNumId="1">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034486"/>
    <w:multiLevelType w:val="singleLevel"/>
    <w:tmpl w:val="4D034486"/>
    <w:lvl w:ilvl="0" w:tentative="0">
      <w:start w:val="3"/>
      <w:numFmt w:val="chineseCounting"/>
      <w:suff w:val="space"/>
      <w:lvlText w:val="第%1条"/>
      <w:lvlJc w:val="left"/>
      <w:rPr>
        <w:rFonts w:hint="eastAsia"/>
      </w:rPr>
    </w:lvl>
  </w:abstractNum>
  <w:abstractNum w:abstractNumId="5">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ADE6F45"/>
    <w:multiLevelType w:val="singleLevel"/>
    <w:tmpl w:val="7ADE6F45"/>
    <w:lvl w:ilvl="0" w:tentative="0">
      <w:start w:val="1"/>
      <w:numFmt w:val="decimal"/>
      <w:suff w:val="nothing"/>
      <w:lvlText w:val="%1."/>
      <w:lvlJc w:val="left"/>
      <w:pPr>
        <w:ind w:left="425" w:hanging="425"/>
      </w:pPr>
      <w:rPr>
        <w:rFonts w:hint="default"/>
      </w:r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VlZjY3ODU3NDA0NTM0NjI5YTVhZjg3MTI2ZmQ0YzQ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653C3E"/>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9468A4"/>
    <w:rsid w:val="06E710CA"/>
    <w:rsid w:val="06E94E42"/>
    <w:rsid w:val="07101435"/>
    <w:rsid w:val="072B0FB7"/>
    <w:rsid w:val="07724E37"/>
    <w:rsid w:val="07B37245"/>
    <w:rsid w:val="07EC1177"/>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E16F32"/>
    <w:rsid w:val="0C204376"/>
    <w:rsid w:val="0C254A1B"/>
    <w:rsid w:val="0C526FE5"/>
    <w:rsid w:val="0C6875C2"/>
    <w:rsid w:val="0CA77331"/>
    <w:rsid w:val="0CB16402"/>
    <w:rsid w:val="0CEC0DE7"/>
    <w:rsid w:val="0D0227BA"/>
    <w:rsid w:val="0D245C9C"/>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1EB1A9A"/>
    <w:rsid w:val="12635AA8"/>
    <w:rsid w:val="127840D2"/>
    <w:rsid w:val="12900790"/>
    <w:rsid w:val="12900868"/>
    <w:rsid w:val="134F24D1"/>
    <w:rsid w:val="13AA7707"/>
    <w:rsid w:val="13FF3EF7"/>
    <w:rsid w:val="144E2788"/>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B1B5294"/>
    <w:rsid w:val="1B356450"/>
    <w:rsid w:val="1B434F04"/>
    <w:rsid w:val="1B9C14FB"/>
    <w:rsid w:val="1BEB4F4B"/>
    <w:rsid w:val="1BEF4851"/>
    <w:rsid w:val="1BFE3C79"/>
    <w:rsid w:val="1C2C01A7"/>
    <w:rsid w:val="1C4F3541"/>
    <w:rsid w:val="1C584649"/>
    <w:rsid w:val="1C792E22"/>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6E5E5F"/>
    <w:rsid w:val="2378337E"/>
    <w:rsid w:val="239A32F4"/>
    <w:rsid w:val="23A61C99"/>
    <w:rsid w:val="23C5440E"/>
    <w:rsid w:val="23F30C56"/>
    <w:rsid w:val="244A2F6C"/>
    <w:rsid w:val="246A64EC"/>
    <w:rsid w:val="24AB04CD"/>
    <w:rsid w:val="24B85FE4"/>
    <w:rsid w:val="24D67678"/>
    <w:rsid w:val="252E63EA"/>
    <w:rsid w:val="25493224"/>
    <w:rsid w:val="256533FF"/>
    <w:rsid w:val="25E847EB"/>
    <w:rsid w:val="267047E0"/>
    <w:rsid w:val="270F7B55"/>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A9299F"/>
    <w:rsid w:val="2BF832AE"/>
    <w:rsid w:val="2BFE65C2"/>
    <w:rsid w:val="2C02412C"/>
    <w:rsid w:val="2C1665B8"/>
    <w:rsid w:val="2C295297"/>
    <w:rsid w:val="2C6E17C2"/>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B92B8B"/>
    <w:rsid w:val="324D032D"/>
    <w:rsid w:val="3257574A"/>
    <w:rsid w:val="32FB3683"/>
    <w:rsid w:val="32FD564D"/>
    <w:rsid w:val="3328091C"/>
    <w:rsid w:val="338F3097"/>
    <w:rsid w:val="33A51F6D"/>
    <w:rsid w:val="33C06DA7"/>
    <w:rsid w:val="342509B8"/>
    <w:rsid w:val="34297F29"/>
    <w:rsid w:val="34AE09FF"/>
    <w:rsid w:val="34AE6BFF"/>
    <w:rsid w:val="34CA3E45"/>
    <w:rsid w:val="34D34153"/>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CE1367"/>
    <w:rsid w:val="37D746BF"/>
    <w:rsid w:val="38C84008"/>
    <w:rsid w:val="38CA5FD2"/>
    <w:rsid w:val="38EB0F04"/>
    <w:rsid w:val="39411452"/>
    <w:rsid w:val="397B72CC"/>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E2791A"/>
    <w:rsid w:val="3E151A9D"/>
    <w:rsid w:val="3E375EB7"/>
    <w:rsid w:val="3E38205E"/>
    <w:rsid w:val="3EA47C68"/>
    <w:rsid w:val="3ED03C16"/>
    <w:rsid w:val="3EEB27FE"/>
    <w:rsid w:val="3F3423F7"/>
    <w:rsid w:val="3F8E1B07"/>
    <w:rsid w:val="40161AF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E4B9C"/>
    <w:rsid w:val="50A30487"/>
    <w:rsid w:val="50DD1804"/>
    <w:rsid w:val="51A52CE0"/>
    <w:rsid w:val="52195EFA"/>
    <w:rsid w:val="529674E9"/>
    <w:rsid w:val="535D3873"/>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C42B5"/>
    <w:rsid w:val="56AE76A6"/>
    <w:rsid w:val="56D4209E"/>
    <w:rsid w:val="56DB2C2D"/>
    <w:rsid w:val="56E4418B"/>
    <w:rsid w:val="57064221"/>
    <w:rsid w:val="5773022F"/>
    <w:rsid w:val="57770C7B"/>
    <w:rsid w:val="580A1AEF"/>
    <w:rsid w:val="58776655"/>
    <w:rsid w:val="58B74216"/>
    <w:rsid w:val="58C16652"/>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E36031"/>
    <w:rsid w:val="5DB26EB1"/>
    <w:rsid w:val="5DBA559D"/>
    <w:rsid w:val="5DFE3EA4"/>
    <w:rsid w:val="5E465887"/>
    <w:rsid w:val="5E473A9D"/>
    <w:rsid w:val="5E8425FB"/>
    <w:rsid w:val="5EE50BC0"/>
    <w:rsid w:val="5F181B76"/>
    <w:rsid w:val="5F463D55"/>
    <w:rsid w:val="5FD4389C"/>
    <w:rsid w:val="5FEC48FC"/>
    <w:rsid w:val="6013374F"/>
    <w:rsid w:val="60B116A2"/>
    <w:rsid w:val="60B42F40"/>
    <w:rsid w:val="60B7767B"/>
    <w:rsid w:val="61696F59"/>
    <w:rsid w:val="61D672CA"/>
    <w:rsid w:val="626A2DAC"/>
    <w:rsid w:val="62784498"/>
    <w:rsid w:val="63293771"/>
    <w:rsid w:val="637C7D45"/>
    <w:rsid w:val="639808F7"/>
    <w:rsid w:val="645F2960"/>
    <w:rsid w:val="64654C7D"/>
    <w:rsid w:val="64BD496D"/>
    <w:rsid w:val="64BE25DF"/>
    <w:rsid w:val="64F93617"/>
    <w:rsid w:val="655D3BA6"/>
    <w:rsid w:val="65655387"/>
    <w:rsid w:val="659A6BA8"/>
    <w:rsid w:val="66EC6F90"/>
    <w:rsid w:val="66F2031E"/>
    <w:rsid w:val="67AA7E58"/>
    <w:rsid w:val="67AB0BF9"/>
    <w:rsid w:val="68077DF9"/>
    <w:rsid w:val="68382663"/>
    <w:rsid w:val="686314D3"/>
    <w:rsid w:val="6888718C"/>
    <w:rsid w:val="68E5527F"/>
    <w:rsid w:val="69A578CA"/>
    <w:rsid w:val="69FB670D"/>
    <w:rsid w:val="6A7343B6"/>
    <w:rsid w:val="6AB029CA"/>
    <w:rsid w:val="6ADE7537"/>
    <w:rsid w:val="6AE34B4E"/>
    <w:rsid w:val="6B1F6200"/>
    <w:rsid w:val="6B4A3375"/>
    <w:rsid w:val="6B825FC3"/>
    <w:rsid w:val="6B8359E9"/>
    <w:rsid w:val="6C613F7C"/>
    <w:rsid w:val="6C806253"/>
    <w:rsid w:val="6CF748E0"/>
    <w:rsid w:val="6D15191A"/>
    <w:rsid w:val="6D7D3037"/>
    <w:rsid w:val="6D934609"/>
    <w:rsid w:val="6DAE0B8F"/>
    <w:rsid w:val="6DAE50AD"/>
    <w:rsid w:val="6DDA2238"/>
    <w:rsid w:val="6E0E1EE1"/>
    <w:rsid w:val="6E5A21EA"/>
    <w:rsid w:val="6EB8009F"/>
    <w:rsid w:val="6EC72090"/>
    <w:rsid w:val="6F834B73"/>
    <w:rsid w:val="6F857F81"/>
    <w:rsid w:val="6FC62348"/>
    <w:rsid w:val="6FE10E18"/>
    <w:rsid w:val="6FEC14A9"/>
    <w:rsid w:val="6FEC6252"/>
    <w:rsid w:val="702E23C7"/>
    <w:rsid w:val="70A15EF2"/>
    <w:rsid w:val="70CB230C"/>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29"/>
    <w:autoRedefine/>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autoRedefine/>
    <w:qFormat/>
    <w:uiPriority w:val="9"/>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link w:val="28"/>
    <w:autoRedefine/>
    <w:semiHidden/>
    <w:unhideWhenUsed/>
    <w:qFormat/>
    <w:uiPriority w:val="99"/>
    <w:rPr>
      <w:rFonts w:ascii="宋体" w:eastAsia="宋体"/>
      <w:sz w:val="18"/>
      <w:szCs w:val="18"/>
    </w:rPr>
  </w:style>
  <w:style w:type="paragraph" w:styleId="8">
    <w:name w:val="annotation text"/>
    <w:basedOn w:val="1"/>
    <w:link w:val="30"/>
    <w:autoRedefine/>
    <w:unhideWhenUsed/>
    <w:qFormat/>
    <w:uiPriority w:val="99"/>
    <w:pPr>
      <w:jc w:val="left"/>
    </w:pPr>
  </w:style>
  <w:style w:type="paragraph" w:styleId="9">
    <w:name w:val="Body Text"/>
    <w:basedOn w:val="1"/>
    <w:next w:val="10"/>
    <w:autoRedefine/>
    <w:qFormat/>
    <w:uiPriority w:val="0"/>
    <w:pPr>
      <w:spacing w:line="360" w:lineRule="auto"/>
    </w:pPr>
    <w:rPr>
      <w:b/>
      <w:bCs/>
      <w:sz w:val="24"/>
    </w:rPr>
  </w:style>
  <w:style w:type="paragraph" w:styleId="10">
    <w:name w:val="Body Text 2"/>
    <w:basedOn w:val="1"/>
    <w:autoRedefine/>
    <w:qFormat/>
    <w:uiPriority w:val="0"/>
    <w:pPr>
      <w:spacing w:line="360" w:lineRule="auto"/>
    </w:pPr>
    <w:rPr>
      <w:sz w:val="24"/>
    </w:rPr>
  </w:style>
  <w:style w:type="paragraph" w:styleId="11">
    <w:name w:val="Balloon Text"/>
    <w:basedOn w:val="1"/>
    <w:link w:val="24"/>
    <w:autoRedefine/>
    <w:semiHidden/>
    <w:unhideWhenUsed/>
    <w:qFormat/>
    <w:uiPriority w:val="99"/>
    <w:rPr>
      <w:sz w:val="18"/>
      <w:szCs w:val="18"/>
    </w:rPr>
  </w:style>
  <w:style w:type="paragraph" w:styleId="12">
    <w:name w:val="footer"/>
    <w:basedOn w:val="1"/>
    <w:link w:val="23"/>
    <w:autoRedefine/>
    <w:unhideWhenUsed/>
    <w:qFormat/>
    <w:uiPriority w:val="99"/>
    <w:pPr>
      <w:tabs>
        <w:tab w:val="center" w:pos="4153"/>
        <w:tab w:val="right" w:pos="8306"/>
      </w:tabs>
      <w:snapToGrid w:val="0"/>
      <w:jc w:val="left"/>
    </w:pPr>
    <w:rPr>
      <w:sz w:val="18"/>
      <w:szCs w:val="18"/>
    </w:rPr>
  </w:style>
  <w:style w:type="paragraph" w:styleId="13">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5"/>
    <w:autoRedefine/>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2"/>
    <w:autoRedefine/>
    <w:semiHidden/>
    <w:unhideWhenUsed/>
    <w:qFormat/>
    <w:uiPriority w:val="99"/>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autoRedefine/>
    <w:semiHidden/>
    <w:unhideWhenUsed/>
    <w:qFormat/>
    <w:uiPriority w:val="99"/>
    <w:rPr>
      <w:color w:val="800080" w:themeColor="followedHyperlink"/>
      <w:u w:val="single"/>
    </w:rPr>
  </w:style>
  <w:style w:type="character" w:styleId="20">
    <w:name w:val="Hyperlink"/>
    <w:basedOn w:val="18"/>
    <w:autoRedefine/>
    <w:unhideWhenUsed/>
    <w:qFormat/>
    <w:uiPriority w:val="99"/>
    <w:rPr>
      <w:color w:val="0000FF" w:themeColor="hyperlink"/>
      <w:u w:val="single"/>
    </w:rPr>
  </w:style>
  <w:style w:type="character" w:styleId="21">
    <w:name w:val="annotation reference"/>
    <w:basedOn w:val="18"/>
    <w:autoRedefine/>
    <w:semiHidden/>
    <w:unhideWhenUsed/>
    <w:qFormat/>
    <w:uiPriority w:val="99"/>
    <w:rPr>
      <w:sz w:val="21"/>
      <w:szCs w:val="21"/>
    </w:rPr>
  </w:style>
  <w:style w:type="character" w:customStyle="1" w:styleId="22">
    <w:name w:val="页眉 Char"/>
    <w:basedOn w:val="18"/>
    <w:link w:val="13"/>
    <w:autoRedefine/>
    <w:semiHidden/>
    <w:qFormat/>
    <w:uiPriority w:val="99"/>
    <w:rPr>
      <w:sz w:val="18"/>
      <w:szCs w:val="18"/>
    </w:rPr>
  </w:style>
  <w:style w:type="character" w:customStyle="1" w:styleId="23">
    <w:name w:val="页脚 Char"/>
    <w:basedOn w:val="18"/>
    <w:link w:val="12"/>
    <w:autoRedefine/>
    <w:qFormat/>
    <w:uiPriority w:val="99"/>
    <w:rPr>
      <w:sz w:val="18"/>
      <w:szCs w:val="18"/>
    </w:rPr>
  </w:style>
  <w:style w:type="character" w:customStyle="1" w:styleId="24">
    <w:name w:val="批注框文本 Char"/>
    <w:basedOn w:val="18"/>
    <w:link w:val="11"/>
    <w:autoRedefine/>
    <w:semiHidden/>
    <w:qFormat/>
    <w:uiPriority w:val="99"/>
    <w:rPr>
      <w:sz w:val="18"/>
      <w:szCs w:val="18"/>
    </w:rPr>
  </w:style>
  <w:style w:type="character" w:customStyle="1" w:styleId="25">
    <w:name w:val="普通(网站) Char"/>
    <w:link w:val="14"/>
    <w:autoRedefine/>
    <w:qFormat/>
    <w:uiPriority w:val="99"/>
    <w:rPr>
      <w:rFonts w:ascii="宋体" w:hAnsi="宋体"/>
      <w:sz w:val="24"/>
      <w:szCs w:val="24"/>
    </w:rPr>
  </w:style>
  <w:style w:type="character" w:customStyle="1" w:styleId="26">
    <w:name w:val="标题 1 Char"/>
    <w:basedOn w:val="18"/>
    <w:link w:val="2"/>
    <w:autoRedefine/>
    <w:qFormat/>
    <w:uiPriority w:val="0"/>
    <w:rPr>
      <w:rFonts w:ascii="Arial" w:hAnsi="Arial" w:eastAsia="宋体" w:cs="Times New Roman"/>
      <w:b/>
      <w:bCs/>
      <w:kern w:val="44"/>
      <w:sz w:val="44"/>
      <w:szCs w:val="44"/>
    </w:rPr>
  </w:style>
  <w:style w:type="paragraph" w:styleId="27">
    <w:name w:val="List Paragraph"/>
    <w:basedOn w:val="1"/>
    <w:autoRedefine/>
    <w:qFormat/>
    <w:uiPriority w:val="34"/>
    <w:pPr>
      <w:ind w:firstLine="420" w:firstLineChars="200"/>
    </w:pPr>
  </w:style>
  <w:style w:type="character" w:customStyle="1" w:styleId="28">
    <w:name w:val="文档结构图 Char"/>
    <w:basedOn w:val="18"/>
    <w:link w:val="7"/>
    <w:autoRedefine/>
    <w:semiHidden/>
    <w:qFormat/>
    <w:uiPriority w:val="99"/>
    <w:rPr>
      <w:rFonts w:ascii="宋体" w:eastAsia="宋体"/>
      <w:sz w:val="18"/>
      <w:szCs w:val="18"/>
    </w:rPr>
  </w:style>
  <w:style w:type="character" w:customStyle="1" w:styleId="29">
    <w:name w:val="标题 2 Char"/>
    <w:basedOn w:val="18"/>
    <w:link w:val="3"/>
    <w:autoRedefine/>
    <w:semiHidden/>
    <w:qFormat/>
    <w:uiPriority w:val="9"/>
    <w:rPr>
      <w:rFonts w:asciiTheme="majorHAnsi" w:hAnsiTheme="majorHAnsi" w:eastAsiaTheme="majorEastAsia" w:cstheme="majorBidi"/>
      <w:b/>
      <w:bCs/>
      <w:sz w:val="32"/>
      <w:szCs w:val="32"/>
    </w:rPr>
  </w:style>
  <w:style w:type="character" w:customStyle="1" w:styleId="30">
    <w:name w:val="批注文字 Char"/>
    <w:basedOn w:val="18"/>
    <w:link w:val="8"/>
    <w:autoRedefine/>
    <w:qFormat/>
    <w:uiPriority w:val="99"/>
  </w:style>
  <w:style w:type="character" w:customStyle="1" w:styleId="31">
    <w:name w:val="标题 3 Char"/>
    <w:autoRedefine/>
    <w:qFormat/>
    <w:uiPriority w:val="0"/>
    <w:rPr>
      <w:rFonts w:ascii="黑体" w:eastAsia="黑体"/>
      <w:bCs/>
      <w:sz w:val="30"/>
    </w:rPr>
  </w:style>
  <w:style w:type="character" w:customStyle="1" w:styleId="32">
    <w:name w:val="批注主题 Char"/>
    <w:basedOn w:val="30"/>
    <w:link w:val="15"/>
    <w:autoRedefine/>
    <w:semiHidden/>
    <w:qFormat/>
    <w:uiPriority w:val="99"/>
    <w:rPr>
      <w:b/>
      <w:bCs/>
    </w:rPr>
  </w:style>
  <w:style w:type="table" w:customStyle="1" w:styleId="33">
    <w:name w:val="网格型1"/>
    <w:basedOn w:val="16"/>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3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65</Pages>
  <Words>51848</Words>
  <Characters>56256</Characters>
  <Lines>316</Lines>
  <Paragraphs>88</Paragraphs>
  <TotalTime>10</TotalTime>
  <ScaleCrop>false</ScaleCrop>
  <LinksUpToDate>false</LinksUpToDate>
  <CharactersWithSpaces>60530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＿黄多多</cp:lastModifiedBy>
  <cp:lastPrinted>2021-01-15T01:17:00Z</cp:lastPrinted>
  <dcterms:modified xsi:type="dcterms:W3CDTF">2024-06-30T09:09:06Z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1D35441E0ED44CDAA276D758760C3890_12</vt:lpwstr>
  </property>
</Properties>
</file>