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hAnsi="宋体" w:eastAsia="黑体" w:cs="黑体"/>
          <w:kern w:val="0"/>
          <w:sz w:val="40"/>
          <w:szCs w:val="40"/>
        </w:rPr>
      </w:pPr>
      <w:r>
        <w:rPr>
          <w:rFonts w:hint="eastAsia" w:ascii="黑体" w:hAnsi="宋体" w:eastAsia="黑体" w:cs="黑体"/>
          <w:kern w:val="0"/>
          <w:sz w:val="40"/>
          <w:szCs w:val="40"/>
        </w:rPr>
        <w:t>招标文件信息</w:t>
      </w:r>
    </w:p>
    <w:p>
      <w:pPr>
        <w:tabs>
          <w:tab w:val="left" w:pos="2790"/>
        </w:tabs>
        <w:snapToGrid w:val="0"/>
        <w:spacing w:line="440" w:lineRule="exact"/>
        <w:jc w:val="left"/>
        <w:rPr>
          <w:rFonts w:hint="eastAsia" w:asciiTheme="minorEastAsia" w:hAnsiTheme="minorEastAsia" w:eastAsiaTheme="minorEastAsia"/>
          <w:sz w:val="30"/>
          <w:szCs w:val="30"/>
          <w:lang w:eastAsia="zh-CN"/>
        </w:rPr>
      </w:pPr>
      <w:r>
        <w:rPr>
          <w:rFonts w:hint="eastAsia" w:asciiTheme="minorEastAsia" w:hAnsiTheme="minorEastAsia"/>
          <w:sz w:val="30"/>
          <w:szCs w:val="30"/>
        </w:rPr>
        <w:t>项目编号：</w:t>
      </w:r>
      <w:r>
        <w:rPr>
          <w:rFonts w:hint="eastAsia" w:asciiTheme="minorEastAsia" w:hAnsiTheme="minorEastAsia"/>
          <w:sz w:val="30"/>
          <w:szCs w:val="30"/>
        </w:rPr>
        <w:tab/>
      </w:r>
      <w:r>
        <w:rPr>
          <w:rFonts w:hint="eastAsia" w:asciiTheme="minorEastAsia" w:hAnsiTheme="minorEastAsia"/>
          <w:sz w:val="30"/>
          <w:szCs w:val="30"/>
          <w:lang w:eastAsia="zh-CN"/>
        </w:rPr>
        <w:t>BAZXCG-2024-00459</w:t>
      </w:r>
    </w:p>
    <w:p>
      <w:pPr>
        <w:tabs>
          <w:tab w:val="left" w:pos="2790"/>
        </w:tabs>
        <w:snapToGrid w:val="0"/>
        <w:spacing w:line="440" w:lineRule="exact"/>
        <w:jc w:val="left"/>
        <w:rPr>
          <w:rFonts w:hint="eastAsia" w:asciiTheme="minorEastAsia" w:hAnsiTheme="minorEastAsia" w:eastAsiaTheme="minorEastAsia"/>
          <w:sz w:val="30"/>
          <w:szCs w:val="30"/>
          <w:lang w:eastAsia="zh-CN"/>
        </w:rPr>
      </w:pPr>
      <w:r>
        <w:rPr>
          <w:rFonts w:hint="eastAsia" w:asciiTheme="minorEastAsia" w:hAnsiTheme="minorEastAsia"/>
          <w:sz w:val="30"/>
          <w:szCs w:val="30"/>
        </w:rPr>
        <w:t>项目名称：</w:t>
      </w:r>
      <w:r>
        <w:rPr>
          <w:rFonts w:hint="eastAsia" w:asciiTheme="minorEastAsia" w:hAnsiTheme="minorEastAsia"/>
          <w:sz w:val="30"/>
          <w:szCs w:val="30"/>
        </w:rPr>
        <w:tab/>
      </w:r>
      <w:r>
        <w:rPr>
          <w:rFonts w:hint="eastAsia" w:asciiTheme="minorEastAsia" w:hAnsiTheme="minorEastAsia"/>
          <w:sz w:val="30"/>
          <w:szCs w:val="30"/>
          <w:lang w:eastAsia="zh-CN"/>
        </w:rPr>
        <w:t>西湾小学蘅芳校区物业管理和非教育教学管理服务</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包    号：</w:t>
      </w:r>
      <w:r>
        <w:rPr>
          <w:rFonts w:hint="eastAsia" w:asciiTheme="minorEastAsia" w:hAnsiTheme="minorEastAsia"/>
          <w:sz w:val="30"/>
          <w:szCs w:val="30"/>
        </w:rPr>
        <w:tab/>
      </w:r>
      <w:r>
        <w:rPr>
          <w:rFonts w:hint="eastAsia" w:asciiTheme="minorEastAsia" w:hAnsiTheme="minorEastAsia"/>
          <w:sz w:val="30"/>
          <w:szCs w:val="30"/>
        </w:rPr>
        <w:t>A</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项目类型：</w:t>
      </w:r>
      <w:r>
        <w:rPr>
          <w:rFonts w:hint="eastAsia" w:asciiTheme="minorEastAsia" w:hAnsiTheme="minorEastAsia"/>
          <w:sz w:val="30"/>
          <w:szCs w:val="30"/>
        </w:rPr>
        <w:tab/>
      </w:r>
      <w:r>
        <w:rPr>
          <w:rFonts w:hint="eastAsia" w:asciiTheme="minorEastAsia" w:hAnsiTheme="minorEastAsia"/>
          <w:sz w:val="30"/>
          <w:szCs w:val="30"/>
        </w:rPr>
        <w:t>服务类</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采购方式：</w:t>
      </w:r>
      <w:r>
        <w:rPr>
          <w:rFonts w:hint="eastAsia" w:asciiTheme="minorEastAsia" w:hAnsiTheme="minorEastAsia"/>
          <w:sz w:val="30"/>
          <w:szCs w:val="30"/>
        </w:rPr>
        <w:tab/>
      </w:r>
      <w:r>
        <w:rPr>
          <w:rFonts w:hint="eastAsia" w:asciiTheme="minorEastAsia" w:hAnsiTheme="minorEastAsia"/>
          <w:sz w:val="30"/>
          <w:szCs w:val="30"/>
        </w:rPr>
        <w:t>公开招标</w:t>
      </w:r>
      <w:bookmarkStart w:id="90" w:name="_GoBack"/>
      <w:bookmarkEnd w:id="90"/>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货币类型：</w:t>
      </w:r>
      <w:r>
        <w:rPr>
          <w:rFonts w:hint="eastAsia" w:asciiTheme="minorEastAsia" w:hAnsiTheme="minorEastAsia"/>
          <w:sz w:val="30"/>
          <w:szCs w:val="30"/>
        </w:rPr>
        <w:tab/>
      </w:r>
      <w:r>
        <w:rPr>
          <w:rFonts w:hint="eastAsia" w:asciiTheme="minorEastAsia" w:hAnsiTheme="minorEastAsia"/>
          <w:sz w:val="30"/>
          <w:szCs w:val="30"/>
        </w:rPr>
        <w:t>人民币</w:t>
      </w:r>
    </w:p>
    <w:p>
      <w:pPr>
        <w:tabs>
          <w:tab w:val="left" w:pos="2790"/>
        </w:tabs>
        <w:snapToGrid w:val="0"/>
        <w:spacing w:line="440" w:lineRule="exact"/>
        <w:jc w:val="left"/>
        <w:rPr>
          <w:rFonts w:asciiTheme="minorEastAsia" w:hAnsiTheme="minorEastAsia"/>
          <w:sz w:val="30"/>
          <w:szCs w:val="30"/>
        </w:rPr>
      </w:pPr>
      <w:r>
        <w:rPr>
          <w:rFonts w:hint="eastAsia" w:asciiTheme="minorEastAsia" w:hAnsiTheme="minorEastAsia"/>
          <w:sz w:val="30"/>
          <w:szCs w:val="30"/>
        </w:rPr>
        <w:t>评标方法：</w:t>
      </w:r>
      <w:r>
        <w:rPr>
          <w:rFonts w:hint="eastAsia" w:asciiTheme="minorEastAsia" w:hAnsiTheme="minorEastAsia"/>
          <w:sz w:val="30"/>
          <w:szCs w:val="30"/>
        </w:rPr>
        <w:tab/>
      </w:r>
      <w:r>
        <w:rPr>
          <w:rFonts w:hint="eastAsia" w:asciiTheme="minorEastAsia" w:hAnsiTheme="minorEastAsia"/>
          <w:sz w:val="30"/>
          <w:szCs w:val="30"/>
        </w:rPr>
        <w:t>综合评分法</w:t>
      </w: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资格性审查表</w:t>
      </w:r>
    </w:p>
    <w:tbl>
      <w:tblPr>
        <w:tblStyle w:val="16"/>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宋体" w:hAnsi="宋体" w:eastAsia="宋体" w:cs="宋体"/>
                <w:szCs w:val="21"/>
              </w:rPr>
            </w:pPr>
            <w:r>
              <w:rPr>
                <w:rFonts w:ascii="宋体" w:hAnsi="宋体" w:eastAsia="宋体" w:cs="Times New Roman"/>
                <w:szCs w:val="21"/>
              </w:rPr>
              <w:t>1</w:t>
            </w:r>
          </w:p>
        </w:tc>
        <w:tc>
          <w:tcPr>
            <w:tcW w:w="8669" w:type="dxa"/>
            <w:tcBorders>
              <w:top w:val="single" w:color="000000" w:sz="8" w:space="0"/>
              <w:left w:val="single" w:color="000000" w:sz="8" w:space="0"/>
              <w:bottom w:val="single" w:color="000000" w:sz="8" w:space="0"/>
              <w:right w:val="single" w:color="000000" w:sz="8" w:space="0"/>
            </w:tcBorders>
          </w:tcPr>
          <w:p>
            <w:pPr>
              <w:spacing w:line="290" w:lineRule="exact"/>
              <w:rPr>
                <w:rFonts w:ascii="宋体" w:hAnsi="宋体" w:eastAsia="宋体" w:cs="宋体"/>
                <w:szCs w:val="21"/>
              </w:rPr>
            </w:pPr>
            <w:r>
              <w:rPr>
                <w:rFonts w:ascii="宋体" w:hAnsi="宋体" w:eastAsia="宋体" w:cs="宋体"/>
                <w:kern w:val="0"/>
                <w:szCs w:val="21"/>
              </w:rPr>
              <w:t>投标人不</w:t>
            </w:r>
            <w:r>
              <w:rPr>
                <w:rFonts w:hint="eastAsia" w:ascii="宋体" w:hAnsi="宋体" w:eastAsia="宋体" w:cs="宋体"/>
                <w:kern w:val="0"/>
                <w:szCs w:val="21"/>
              </w:rPr>
              <w:t>符合</w:t>
            </w:r>
            <w:r>
              <w:rPr>
                <w:rFonts w:ascii="宋体" w:hAnsi="宋体" w:eastAsia="宋体" w:cs="宋体"/>
                <w:kern w:val="0"/>
                <w:szCs w:val="21"/>
              </w:rPr>
              <w:t>资格要求，或未提交相应的资格证明资料（详见招标公告</w:t>
            </w:r>
            <w:r>
              <w:rPr>
                <w:rFonts w:hint="eastAsia" w:ascii="宋体" w:hAnsi="宋体" w:eastAsia="宋体" w:cs="Times New Roman"/>
                <w:szCs w:val="21"/>
              </w:rPr>
              <w:t>投标人资格要求，即申请人的资格要求</w:t>
            </w:r>
            <w:r>
              <w:rPr>
                <w:rFonts w:ascii="宋体" w:hAnsi="宋体" w:eastAsia="宋体" w:cs="宋体"/>
                <w:kern w:val="0"/>
                <w:szCs w:val="21"/>
              </w:rPr>
              <w:t>）。</w:t>
            </w:r>
          </w:p>
        </w:tc>
      </w:tr>
    </w:tbl>
    <w:p>
      <w:pPr>
        <w:tabs>
          <w:tab w:val="left" w:pos="2790"/>
        </w:tabs>
        <w:snapToGrid w:val="0"/>
        <w:jc w:val="center"/>
        <w:rPr>
          <w:rFonts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符合性审查表</w:t>
      </w:r>
    </w:p>
    <w:tbl>
      <w:tblPr>
        <w:tblStyle w:val="16"/>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b/>
                <w:highlight w:val="yellow"/>
              </w:rPr>
            </w:pPr>
            <w:r>
              <w:rPr>
                <w:rFonts w:hint="eastAsia"/>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2</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3</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分项报价或投标总价不得高于</w:t>
            </w:r>
            <w:bookmarkStart w:id="0" w:name="_Hlk71832186"/>
            <w:r>
              <w:rPr>
                <w:rFonts w:hint="eastAsia"/>
              </w:rPr>
              <w:t>相应预算金额（或设定的预算金额下的最高限价）</w:t>
            </w:r>
            <w:bookmarkEnd w:id="0"/>
            <w:r>
              <w:rPr>
                <w:rFonts w:hint="eastAsia" w:ascii="Calibri" w:hAnsi="Calibri" w:eastAsia="宋体" w:cs="Times New Roma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4</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ascii="Calibri" w:hAnsi="Calibri" w:eastAsia="宋体" w:cs="Times New Roma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5</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所投货物、服务在技术、商务等方面没有实质性满足招标文件要求的（是否实质性满足招标文件要求，由评审委员会根据实质性条款响应情况做出评判；若招标文件未设置实质性条款，不得据此做投标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6</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未按招标文件所提供的样式填写《投标函》；未按招标文件所提供的《政府采购投标及履约承诺函》进行承诺；未按招标文件对投标文件组成的要求提供投标文件；</w:t>
            </w:r>
            <w:r>
              <w:rPr>
                <w:rFonts w:ascii="Calibri" w:hAnsi="Calibri" w:eastAsia="宋体"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7</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ascii="Calibri" w:hAnsi="Calibri" w:eastAsia="宋体" w:cs="Times New Roman"/>
              </w:rPr>
              <w:t>采购标的/服务清单/报价等任意一类有缺漏项或响应不全，或者对招标文件规定的项目需求内容或者需求数量进行修改，评审委员会判定投标响应不满足采购需求；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8</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9</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投标文件电子文档</w:t>
            </w:r>
            <w:r>
              <w:rPr>
                <w:rFonts w:hint="eastAsia"/>
                <w:lang w:val="en-US" w:eastAsia="zh-CN"/>
              </w:rPr>
              <w:t>不得</w:t>
            </w:r>
            <w:r>
              <w:rPr>
                <w:rFonts w:hint="eastAsia"/>
              </w:rPr>
              <w:t>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10</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szCs w:val="21"/>
              </w:rPr>
            </w:pPr>
            <w:r>
              <w:rPr>
                <w:rFonts w:hint="eastAsia" w:ascii="宋体" w:hAnsi="宋体" w:eastAsia="宋体"/>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eastAsia" w:ascii="Calibri" w:hAnsi="Calibri" w:eastAsia="宋体" w:cs="Times New Roman"/>
                <w:lang w:val="en-US" w:eastAsia="zh-CN"/>
              </w:rPr>
            </w:pPr>
            <w:r>
              <w:rPr>
                <w:rFonts w:hint="eastAsia" w:ascii="Calibri" w:hAnsi="Calibri" w:eastAsia="宋体" w:cs="Times New Roman"/>
              </w:rPr>
              <w:t>1</w:t>
            </w:r>
            <w:r>
              <w:rPr>
                <w:rFonts w:hint="eastAsia" w:ascii="Calibri" w:hAnsi="Calibri" w:eastAsia="宋体" w:cs="Times New Roman"/>
                <w:lang w:val="en-US" w:eastAsia="zh-CN"/>
              </w:rPr>
              <w:t>1</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rPr>
            </w:pPr>
            <w:r>
              <w:rPr>
                <w:rFonts w:hint="eastAsia" w:ascii="宋体" w:hAnsi="宋体" w:eastAsia="宋体"/>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eastAsia" w:ascii="Calibri" w:hAnsi="Calibri" w:eastAsia="宋体" w:cs="Times New Roman"/>
                <w:lang w:val="en-US" w:eastAsia="zh-CN"/>
              </w:rPr>
            </w:pPr>
            <w:r>
              <w:rPr>
                <w:rFonts w:hint="eastAsia" w:ascii="Calibri" w:hAnsi="Calibri" w:eastAsia="宋体" w:cs="Times New Roman"/>
              </w:rPr>
              <w:t>1</w:t>
            </w:r>
            <w:r>
              <w:rPr>
                <w:rFonts w:hint="eastAsia" w:ascii="Calibri" w:hAnsi="Calibri" w:eastAsia="宋体" w:cs="Times New Roman"/>
                <w:lang w:val="en-US" w:eastAsia="zh-CN"/>
              </w:rPr>
              <w:t>2</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法律、法规、规章、规范性文件规定的其他情形。</w:t>
            </w:r>
          </w:p>
        </w:tc>
      </w:tr>
    </w:tbl>
    <w:p>
      <w:pPr>
        <w:pStyle w:val="14"/>
        <w:keepNext w:val="0"/>
        <w:keepLines w:val="0"/>
        <w:pageBreakBefore w:val="0"/>
        <w:widowControl/>
        <w:kinsoku/>
        <w:wordWrap/>
        <w:overflowPunct/>
        <w:topLinePunct w:val="0"/>
        <w:autoSpaceDE/>
        <w:autoSpaceDN/>
        <w:bidi w:val="0"/>
        <w:adjustRightInd/>
        <w:snapToGrid/>
        <w:jc w:val="center"/>
        <w:textAlignment w:val="auto"/>
        <w:outlineLvl w:val="0"/>
        <w:rPr>
          <w:rFonts w:ascii="黑体" w:eastAsia="黑体"/>
          <w:sz w:val="40"/>
          <w:szCs w:val="40"/>
        </w:rPr>
      </w:pPr>
      <w:r>
        <w:rPr>
          <w:rFonts w:hint="eastAsia" w:ascii="黑体" w:hAnsi="黑体" w:eastAsia="黑体"/>
          <w:sz w:val="40"/>
          <w:szCs w:val="40"/>
        </w:rPr>
        <w:t>评标信息</w:t>
      </w:r>
    </w:p>
    <w:p>
      <w:r>
        <w:rPr>
          <w:rFonts w:ascii="宋体" w:hAnsi="宋体"/>
          <w:b/>
          <w:bCs/>
        </w:rPr>
        <w:t>评标方法：综合评分法</w:t>
      </w:r>
      <w:r>
        <w:rPr>
          <w:rFonts w:hint="eastAsia" w:ascii="宋体" w:hAnsi="宋体"/>
          <w:b/>
          <w:bCs/>
          <w:lang w:val="en-US" w:eastAsia="zh-CN"/>
        </w:rPr>
        <w:t>/最低价法</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textAlignment w:val="auto"/>
        <w:rPr>
          <w:szCs w:val="21"/>
        </w:rPr>
      </w:pPr>
      <w:r>
        <w:rPr>
          <w:rFonts w:hint="eastAsia"/>
        </w:rPr>
        <w:sym w:font="Wingdings" w:char="00A8"/>
      </w:r>
      <w:r>
        <w:rPr>
          <w:rFonts w:hint="eastAsia"/>
          <w:szCs w:val="21"/>
        </w:rPr>
        <w:t>最低价法，是指投标文件满足招标文件全部实质性要求，且投标报价最低的投标人为中标候选人的评标方法。采用最低价法评标时，除了算术修正和落实政府采购政策需进行的价格扣除外，不能对投标人的投标价格进行任何调整。</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textAlignment w:val="auto"/>
        <w:rPr>
          <w:rFonts w:hint="eastAsia" w:eastAsia="宋体"/>
          <w:szCs w:val="21"/>
          <w:lang w:eastAsia="zh-CN"/>
        </w:rPr>
      </w:pPr>
      <w:r>
        <w:rPr>
          <w:szCs w:val="21"/>
        </w:rPr>
        <w:sym w:font="Wingdings" w:char="00FE"/>
      </w:r>
      <w:r>
        <w:rPr>
          <w:rFonts w:hint="eastAsia"/>
          <w:szCs w:val="21"/>
        </w:rPr>
        <w:t>综合评分法，是指投标文件满足招标文件全部实质性要求，且按照评审因素的量化指标评审得分排名前列的投标人为中标候选人的评标方法。</w:t>
      </w:r>
    </w:p>
    <w:p>
      <w:pPr>
        <w:ind w:firstLine="420"/>
        <w:rPr>
          <w:rFonts w:ascii="宋体" w:hAnsi="宋体"/>
        </w:rPr>
      </w:pPr>
    </w:p>
    <w:p>
      <w:pPr>
        <w:ind w:firstLine="420"/>
      </w:pPr>
      <w:r>
        <w:rPr>
          <w:rFonts w:ascii="宋体" w:hAnsi="宋体"/>
        </w:rPr>
        <w:t>价格分计算方法：</w:t>
      </w:r>
    </w:p>
    <w:p>
      <w:r>
        <w:rPr>
          <w:rFonts w:ascii="宋体" w:hAnsi="宋体"/>
        </w:rPr>
        <w:t>采用低价优先法计算，即满足招标文件要求且投标价格最低的投标报价为评标基准价，其价格分为满分。其他投标人的价格分统一按照下列公式计算：</w:t>
      </w:r>
      <w:r>
        <w:t xml:space="preserve"> </w:t>
      </w:r>
      <w:r>
        <w:br w:type="textWrapping"/>
      </w:r>
      <w:r>
        <w:rPr>
          <w:rFonts w:ascii="宋体" w:hAnsi="宋体"/>
        </w:rPr>
        <w:t>投标报价得分</w:t>
      </w:r>
      <w:r>
        <w:t>=(</w:t>
      </w:r>
      <w:r>
        <w:rPr>
          <w:rFonts w:ascii="宋体" w:hAnsi="宋体"/>
        </w:rPr>
        <w:t>评标基准价／投标报价</w:t>
      </w:r>
      <w:r>
        <w:t xml:space="preserve">)×100 </w:t>
      </w:r>
      <w:r>
        <w:br w:type="textWrapping"/>
      </w:r>
      <w:r>
        <w:rPr>
          <w:rFonts w:ascii="宋体" w:hAnsi="宋体"/>
        </w:rPr>
        <w:t>评标总得分＝</w:t>
      </w:r>
      <w:r>
        <w:t>F1×A1</w:t>
      </w:r>
      <w:r>
        <w:rPr>
          <w:rFonts w:ascii="宋体" w:hAnsi="宋体"/>
        </w:rPr>
        <w:t>＋</w:t>
      </w:r>
      <w:r>
        <w:t>F2×A2</w:t>
      </w:r>
      <w:r>
        <w:rPr>
          <w:rFonts w:ascii="宋体" w:hAnsi="宋体"/>
        </w:rPr>
        <w:t>＋</w:t>
      </w:r>
      <w:r>
        <w:t>……</w:t>
      </w:r>
      <w:r>
        <w:rPr>
          <w:rFonts w:ascii="宋体" w:hAnsi="宋体"/>
        </w:rPr>
        <w:t>＋</w:t>
      </w:r>
      <w:r>
        <w:t xml:space="preserve">Fn×An </w:t>
      </w:r>
      <w:r>
        <w:br w:type="textWrapping"/>
      </w:r>
      <w:r>
        <w:t>F1</w:t>
      </w:r>
      <w:r>
        <w:rPr>
          <w:rFonts w:ascii="宋体" w:hAnsi="宋体"/>
        </w:rPr>
        <w:t>、</w:t>
      </w:r>
      <w:r>
        <w:t>F2……Fn</w:t>
      </w:r>
      <w:r>
        <w:rPr>
          <w:rFonts w:ascii="宋体" w:hAnsi="宋体"/>
        </w:rPr>
        <w:t xml:space="preserve">分别为各项评审因素的得分； </w:t>
      </w:r>
      <w:r>
        <w:br w:type="textWrapping"/>
      </w:r>
      <w:r>
        <w:t>A1</w:t>
      </w:r>
      <w:r>
        <w:rPr>
          <w:rFonts w:ascii="宋体" w:hAnsi="宋体"/>
        </w:rPr>
        <w:t>、</w:t>
      </w:r>
      <w:r>
        <w:t>A2</w:t>
      </w:r>
      <w:r>
        <w:rPr>
          <w:rFonts w:ascii="宋体" w:hAnsi="宋体"/>
        </w:rPr>
        <w:t>、</w:t>
      </w:r>
      <w:r>
        <w:t xml:space="preserve">……An </w:t>
      </w:r>
      <w:r>
        <w:rPr>
          <w:rFonts w:ascii="宋体" w:hAnsi="宋体"/>
        </w:rPr>
        <w:t>分别为各项评审因素所占的权重</w:t>
      </w:r>
      <w:r>
        <w:t>(A1</w:t>
      </w:r>
      <w:r>
        <w:rPr>
          <w:rFonts w:ascii="宋体" w:hAnsi="宋体"/>
        </w:rPr>
        <w:t>＋</w:t>
      </w:r>
      <w:r>
        <w:t>A2</w:t>
      </w:r>
      <w:r>
        <w:rPr>
          <w:rFonts w:ascii="宋体" w:hAnsi="宋体"/>
        </w:rPr>
        <w:t>＋</w:t>
      </w:r>
      <w:r>
        <w:t>……</w:t>
      </w:r>
      <w:r>
        <w:rPr>
          <w:rFonts w:ascii="宋体" w:hAnsi="宋体"/>
        </w:rPr>
        <w:t>＋</w:t>
      </w:r>
      <w:r>
        <w:t>An</w:t>
      </w:r>
      <w:r>
        <w:rPr>
          <w:rFonts w:ascii="宋体" w:hAnsi="宋体"/>
        </w:rPr>
        <w:t>＝</w:t>
      </w:r>
      <w:r>
        <w:t>1)</w:t>
      </w:r>
      <w:r>
        <w:rPr>
          <w:rFonts w:ascii="宋体" w:hAnsi="宋体"/>
        </w:rPr>
        <w:t xml:space="preserve">。 </w:t>
      </w:r>
      <w:r>
        <w:br w:type="textWrapping"/>
      </w:r>
      <w:r>
        <w:rPr>
          <w:rFonts w:ascii="宋体" w:hAnsi="宋体"/>
        </w:rPr>
        <w:t>评标过程中，不得去掉报价中的最高报价和最低报价。</w:t>
      </w:r>
      <w:r>
        <w:t xml:space="preserve"> </w:t>
      </w:r>
      <w:r>
        <w:br w:type="textWrapping"/>
      </w:r>
      <w:r>
        <w:rPr>
          <w:rFonts w:ascii="宋体" w:hAnsi="宋体"/>
        </w:rPr>
        <w:t>此方法适用于货物类、服务类、工程类项目。</w:t>
      </w:r>
    </w:p>
    <w:tbl>
      <w:tblPr>
        <w:tblStyle w:val="16"/>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20" w:type="dxa"/>
          <w:left w:w="108" w:type="dxa"/>
          <w:bottom w:w="20" w:type="dxa"/>
          <w:right w:w="108" w:type="dxa"/>
        </w:tblCellMar>
      </w:tblPr>
      <w:tblGrid>
        <w:gridCol w:w="714"/>
        <w:gridCol w:w="646"/>
        <w:gridCol w:w="1531"/>
        <w:gridCol w:w="721"/>
        <w:gridCol w:w="54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1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b/>
                <w:bCs/>
                <w:szCs w:val="21"/>
              </w:rPr>
            </w:pPr>
            <w:r>
              <w:rPr>
                <w:rFonts w:asciiTheme="minorEastAsia" w:hAnsiTheme="minorEastAsia"/>
                <w:b/>
                <w:bCs/>
                <w:szCs w:val="21"/>
              </w:rPr>
              <w:t>序号</w:t>
            </w:r>
          </w:p>
        </w:tc>
        <w:tc>
          <w:tcPr>
            <w:tcW w:w="2898"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b/>
                <w:bCs/>
                <w:szCs w:val="21"/>
              </w:rPr>
            </w:pPr>
            <w:r>
              <w:rPr>
                <w:rFonts w:asciiTheme="minorEastAsia" w:hAnsiTheme="minorEastAsia"/>
                <w:b/>
                <w:bCs/>
                <w:szCs w:val="21"/>
              </w:rPr>
              <w:t>评分项</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hint="eastAsia" w:cs="宋体" w:asciiTheme="minorEastAsia" w:hAnsiTheme="minorEastAsia" w:eastAsiaTheme="minorEastAsia"/>
                <w:b/>
                <w:bCs/>
                <w:szCs w:val="21"/>
                <w:lang w:eastAsia="zh-CN"/>
              </w:rPr>
            </w:pPr>
            <w:r>
              <w:rPr>
                <w:rFonts w:asciiTheme="minorEastAsia" w:hAnsiTheme="minorEastAsia"/>
                <w:b/>
                <w:bCs/>
                <w:szCs w:val="21"/>
              </w:rPr>
              <w:t>权重</w:t>
            </w:r>
            <w:r>
              <w:rPr>
                <w:rFonts w:hint="eastAsia" w:asciiTheme="minorEastAsia" w:hAnsiTheme="minorEastAsia"/>
                <w:b/>
                <w:bCs/>
                <w:szCs w:val="21"/>
                <w:lang w:eastAsia="zh-CN"/>
              </w:rPr>
              <w:t>（</w:t>
            </w:r>
            <w:r>
              <w:rPr>
                <w:rFonts w:hint="eastAsia" w:asciiTheme="minorEastAsia" w:hAnsiTheme="minorEastAsia"/>
                <w:b/>
                <w:bCs/>
                <w:szCs w:val="21"/>
                <w:lang w:val="en-US" w:eastAsia="zh-CN"/>
              </w:rPr>
              <w:t>%</w:t>
            </w:r>
            <w:r>
              <w:rPr>
                <w:rFonts w:hint="eastAsia" w:asciiTheme="minorEastAsia" w:hAnsiTheme="minorEastAsia"/>
                <w:b/>
                <w:bCs/>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46" w:hRule="atLeast"/>
          <w:jc w:val="center"/>
        </w:trPr>
        <w:tc>
          <w:tcPr>
            <w:tcW w:w="714"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1</w:t>
            </w:r>
          </w:p>
        </w:tc>
        <w:tc>
          <w:tcPr>
            <w:tcW w:w="2898"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价格</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hint="eastAsia" w:asciiTheme="minorEastAsia" w:hAnsiTheme="minorEastAsia"/>
                <w:b/>
                <w:bCs/>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14"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2</w:t>
            </w:r>
          </w:p>
        </w:tc>
        <w:tc>
          <w:tcPr>
            <w:tcW w:w="2898"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技术部分</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hint="default" w:cs="宋体" w:asciiTheme="minorEastAsia" w:hAnsiTheme="minorEastAsia" w:eastAsiaTheme="minorEastAsia"/>
                <w:b/>
                <w:bCs/>
                <w:szCs w:val="21"/>
                <w:lang w:val="en-US" w:eastAsia="zh-CN"/>
              </w:rPr>
            </w:pPr>
            <w:r>
              <w:rPr>
                <w:rFonts w:hint="eastAsia" w:cs="宋体" w:asciiTheme="minorEastAsia" w:hAnsiTheme="minorEastAsia"/>
                <w:b/>
                <w:bCs/>
                <w:szCs w:val="21"/>
                <w:lang w:val="en-US" w:eastAsia="zh-CN"/>
              </w:rPr>
              <w:t>72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646"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序号</w:t>
            </w:r>
          </w:p>
        </w:tc>
        <w:tc>
          <w:tcPr>
            <w:tcW w:w="1531"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评分因素</w:t>
            </w:r>
          </w:p>
        </w:tc>
        <w:tc>
          <w:tcPr>
            <w:tcW w:w="721"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权重</w:t>
            </w:r>
            <w:r>
              <w:rPr>
                <w:rFonts w:hint="eastAsia" w:asciiTheme="minorEastAsia" w:hAnsiTheme="minorEastAsia"/>
                <w:szCs w:val="21"/>
                <w:lang w:eastAsia="zh-CN"/>
              </w:rPr>
              <w:t>（</w:t>
            </w:r>
            <w:r>
              <w:rPr>
                <w:rFonts w:hint="eastAsia" w:asciiTheme="minorEastAsia" w:hAnsiTheme="minorEastAsia"/>
                <w:szCs w:val="21"/>
                <w:lang w:val="en-US" w:eastAsia="zh-CN"/>
              </w:rPr>
              <w:t>%</w:t>
            </w:r>
            <w:r>
              <w:rPr>
                <w:rFonts w:hint="eastAsia" w:asciiTheme="minorEastAsia" w:hAnsiTheme="minorEastAsia"/>
                <w:szCs w:val="21"/>
                <w:lang w:eastAsia="zh-CN"/>
              </w:rPr>
              <w:t>）</w:t>
            </w:r>
          </w:p>
        </w:tc>
        <w:tc>
          <w:tcPr>
            <w:tcW w:w="54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trHeight w:val="1131" w:hRule="atLeast"/>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6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eastAsiaTheme="minorEastAsia"/>
                <w:kern w:val="2"/>
                <w:sz w:val="21"/>
                <w:szCs w:val="21"/>
                <w:lang w:val="en-US" w:eastAsia="zh-CN" w:bidi="ar-SA"/>
              </w:rPr>
            </w:pPr>
            <w:r>
              <w:rPr>
                <w:rFonts w:hint="eastAsia" w:cs="宋体" w:asciiTheme="minorEastAsia" w:hAnsiTheme="minorEastAsia"/>
                <w:szCs w:val="21"/>
              </w:rPr>
              <w:t>1</w:t>
            </w:r>
          </w:p>
        </w:tc>
        <w:tc>
          <w:tcPr>
            <w:tcW w:w="15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overflowPunct/>
              <w:topLinePunct w:val="0"/>
              <w:autoSpaceDE/>
              <w:autoSpaceDN/>
              <w:bidi w:val="0"/>
              <w:adjustRightInd w:val="0"/>
              <w:snapToGrid w:val="0"/>
              <w:spacing w:before="79" w:beforeLines="25" w:after="79" w:afterLines="25" w:line="276" w:lineRule="auto"/>
              <w:jc w:val="center"/>
              <w:textAlignment w:val="baseline"/>
              <w:outlineLvl w:val="1"/>
              <w:rPr>
                <w:rFonts w:cs="宋体" w:asciiTheme="minorEastAsia" w:hAnsiTheme="minorEastAsia" w:eastAsiaTheme="minorEastAsia"/>
                <w:kern w:val="2"/>
                <w:sz w:val="21"/>
                <w:szCs w:val="21"/>
                <w:lang w:val="en-US" w:eastAsia="zh-CN" w:bidi="ar-SA"/>
              </w:rPr>
            </w:pPr>
            <w:r>
              <w:rPr>
                <w:rFonts w:hint="eastAsia" w:ascii="宋体" w:hAnsi="宋体" w:cs="宋体"/>
                <w:color w:val="000000"/>
                <w:kern w:val="0"/>
                <w:szCs w:val="21"/>
                <w:lang w:val="en-US" w:eastAsia="zh-CN"/>
              </w:rPr>
              <w:t>工作质量要求、服务技术标准</w:t>
            </w:r>
            <w:r>
              <w:rPr>
                <w:rFonts w:hint="eastAsia" w:ascii="宋体" w:hAnsi="宋体" w:cs="宋体"/>
                <w:color w:val="000000"/>
                <w:kern w:val="0"/>
                <w:szCs w:val="21"/>
              </w:rPr>
              <w:t>响应度</w:t>
            </w:r>
          </w:p>
        </w:tc>
        <w:tc>
          <w:tcPr>
            <w:tcW w:w="7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overflowPunct/>
              <w:topLinePunct w:val="0"/>
              <w:autoSpaceDE/>
              <w:autoSpaceDN/>
              <w:bidi w:val="0"/>
              <w:adjustRightInd w:val="0"/>
              <w:snapToGrid w:val="0"/>
              <w:spacing w:before="79" w:beforeLines="25" w:after="79" w:afterLines="25" w:line="276" w:lineRule="auto"/>
              <w:jc w:val="center"/>
              <w:textAlignment w:val="baseline"/>
              <w:outlineLvl w:val="1"/>
              <w:rPr>
                <w:rFonts w:cs="宋体" w:asciiTheme="minorEastAsia" w:hAnsiTheme="minorEastAsia" w:eastAsiaTheme="minorEastAsia"/>
                <w:kern w:val="2"/>
                <w:sz w:val="21"/>
                <w:szCs w:val="21"/>
                <w:lang w:val="en-US" w:eastAsia="zh-CN" w:bidi="ar-SA"/>
              </w:rPr>
            </w:pPr>
            <w:r>
              <w:rPr>
                <w:rFonts w:ascii="宋体" w:hAnsi="宋体"/>
                <w:bCs/>
                <w:color w:val="000000"/>
                <w:szCs w:val="21"/>
              </w:rPr>
              <w:t>10</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60" w:lineRule="exact"/>
              <w:rPr>
                <w:rFonts w:ascii="宋体" w:hAnsi="宋体"/>
                <w:b/>
                <w:bCs/>
                <w:szCs w:val="21"/>
              </w:rPr>
            </w:pPr>
            <w:r>
              <w:rPr>
                <w:rFonts w:hint="eastAsia" w:ascii="宋体" w:hAnsi="宋体"/>
                <w:b/>
                <w:bCs/>
                <w:szCs w:val="21"/>
              </w:rPr>
              <w:t>（一）评审内容：</w:t>
            </w:r>
          </w:p>
          <w:p>
            <w:pPr>
              <w:spacing w:line="360" w:lineRule="exact"/>
              <w:rPr>
                <w:rFonts w:ascii="宋体" w:hAnsi="宋体"/>
                <w:szCs w:val="21"/>
              </w:rPr>
            </w:pPr>
            <w:r>
              <w:rPr>
                <w:rFonts w:hint="eastAsia" w:ascii="宋体" w:hAnsi="宋体"/>
                <w:szCs w:val="21"/>
              </w:rPr>
              <w:t>考察投标人对招标文件</w:t>
            </w:r>
            <w:r>
              <w:rPr>
                <w:rFonts w:hint="eastAsia" w:ascii="宋体" w:hAnsi="宋体" w:cs="宋体"/>
                <w:b/>
                <w:bCs/>
                <w:kern w:val="0"/>
                <w:szCs w:val="21"/>
              </w:rPr>
              <w:t>《第一册 专用条款 第三章 用户需求书：四、商务和服务条款部分》</w:t>
            </w:r>
            <w:r>
              <w:rPr>
                <w:rFonts w:hint="eastAsia" w:ascii="宋体" w:hAnsi="宋体"/>
                <w:b/>
                <w:szCs w:val="21"/>
              </w:rPr>
              <w:t>中“</w:t>
            </w:r>
            <w:r>
              <w:rPr>
                <w:rFonts w:hint="eastAsia" w:ascii="宋体" w:hAnsi="宋体"/>
                <w:b/>
                <w:szCs w:val="21"/>
                <w:lang w:val="en-US" w:eastAsia="zh-CN"/>
              </w:rPr>
              <w:t>工作质量要求、服务技术标准</w:t>
            </w:r>
            <w:r>
              <w:rPr>
                <w:rFonts w:hint="eastAsia" w:ascii="宋体" w:hAnsi="宋体"/>
                <w:b/>
                <w:szCs w:val="21"/>
              </w:rPr>
              <w:t>”</w:t>
            </w:r>
            <w:r>
              <w:rPr>
                <w:rFonts w:hint="eastAsia" w:ascii="宋体" w:hAnsi="宋体"/>
                <w:szCs w:val="21"/>
              </w:rPr>
              <w:t>的响应情况。</w:t>
            </w:r>
          </w:p>
          <w:p>
            <w:pPr>
              <w:spacing w:line="360" w:lineRule="exact"/>
              <w:rPr>
                <w:rFonts w:ascii="宋体" w:hAnsi="宋体"/>
                <w:b/>
                <w:bCs/>
                <w:color w:val="0000FF"/>
                <w:szCs w:val="21"/>
              </w:rPr>
            </w:pPr>
            <w:r>
              <w:rPr>
                <w:rFonts w:hint="eastAsia" w:ascii="宋体" w:hAnsi="宋体"/>
                <w:b/>
                <w:bCs/>
                <w:color w:val="0000FF"/>
                <w:szCs w:val="21"/>
              </w:rPr>
              <w:t>（二）评审依据：</w:t>
            </w:r>
          </w:p>
          <w:p>
            <w:pPr>
              <w:keepNext w:val="0"/>
              <w:keepLines w:val="0"/>
              <w:pageBreakBefore w:val="0"/>
              <w:kinsoku/>
              <w:overflowPunct/>
              <w:topLinePunct w:val="0"/>
              <w:autoSpaceDE/>
              <w:autoSpaceDN/>
              <w:bidi w:val="0"/>
              <w:spacing w:before="79" w:beforeLines="25" w:after="79" w:afterLines="25" w:line="276" w:lineRule="auto"/>
              <w:rPr>
                <w:rFonts w:cs="宋体" w:asciiTheme="minorEastAsia" w:hAnsiTheme="minorEastAsia" w:eastAsiaTheme="minorEastAsia"/>
                <w:kern w:val="2"/>
                <w:sz w:val="21"/>
                <w:szCs w:val="21"/>
                <w:lang w:val="en-US" w:eastAsia="zh-CN" w:bidi="ar-SA"/>
              </w:rPr>
            </w:pPr>
            <w:r>
              <w:rPr>
                <w:rFonts w:ascii="宋体" w:hAnsi="宋体"/>
                <w:color w:val="0000FF"/>
                <w:szCs w:val="21"/>
              </w:rPr>
              <w:t>以投标文件</w:t>
            </w:r>
            <w:r>
              <w:rPr>
                <w:rFonts w:hint="eastAsia" w:ascii="宋体" w:hAnsi="宋体"/>
                <w:color w:val="0000FF"/>
                <w:szCs w:val="21"/>
              </w:rPr>
              <w:t>中</w:t>
            </w:r>
            <w:r>
              <w:rPr>
                <w:rFonts w:ascii="宋体" w:hAnsi="宋体"/>
                <w:color w:val="0000FF"/>
                <w:szCs w:val="21"/>
              </w:rPr>
              <w:t>《商务（服务）条款偏离表》为评价依据，完全</w:t>
            </w:r>
            <w:r>
              <w:rPr>
                <w:rFonts w:hint="eastAsia" w:ascii="宋体" w:hAnsi="宋体"/>
                <w:color w:val="0000FF"/>
                <w:szCs w:val="21"/>
              </w:rPr>
              <w:t>响应</w:t>
            </w:r>
            <w:r>
              <w:rPr>
                <w:rFonts w:ascii="宋体" w:hAnsi="宋体"/>
                <w:color w:val="0000FF"/>
                <w:szCs w:val="21"/>
              </w:rPr>
              <w:t>符合招标</w:t>
            </w:r>
            <w:r>
              <w:rPr>
                <w:rFonts w:hint="eastAsia" w:ascii="宋体" w:hAnsi="宋体"/>
                <w:color w:val="0000FF"/>
                <w:szCs w:val="21"/>
              </w:rPr>
              <w:t>文件</w:t>
            </w:r>
            <w:r>
              <w:rPr>
                <w:rFonts w:ascii="宋体" w:hAnsi="宋体"/>
                <w:color w:val="0000FF"/>
                <w:szCs w:val="21"/>
              </w:rPr>
              <w:t>要求的，得100</w:t>
            </w:r>
            <w:r>
              <w:rPr>
                <w:rFonts w:hint="eastAsia" w:ascii="宋体" w:hAnsi="宋体"/>
                <w:color w:val="0000FF"/>
                <w:szCs w:val="21"/>
              </w:rPr>
              <w:t>分</w:t>
            </w:r>
            <w:r>
              <w:rPr>
                <w:rFonts w:ascii="宋体" w:hAnsi="宋体"/>
                <w:color w:val="0000FF"/>
                <w:szCs w:val="21"/>
              </w:rPr>
              <w:t>。有</w:t>
            </w:r>
            <w:r>
              <w:rPr>
                <w:rFonts w:hint="eastAsia" w:ascii="宋体" w:hAnsi="宋体"/>
                <w:color w:val="0000FF"/>
                <w:szCs w:val="21"/>
              </w:rPr>
              <w:t>任意</w:t>
            </w:r>
            <w:r>
              <w:rPr>
                <w:rFonts w:ascii="宋体" w:hAnsi="宋体"/>
                <w:color w:val="0000FF"/>
                <w:szCs w:val="21"/>
              </w:rPr>
              <w:t>1项负偏离</w:t>
            </w:r>
            <w:r>
              <w:rPr>
                <w:rFonts w:hint="eastAsia" w:ascii="宋体" w:hAnsi="宋体"/>
                <w:color w:val="0000FF"/>
                <w:szCs w:val="21"/>
              </w:rPr>
              <w:t>的</w:t>
            </w:r>
            <w:r>
              <w:rPr>
                <w:rFonts w:ascii="宋体" w:hAnsi="宋体"/>
                <w:color w:val="0000FF"/>
                <w:szCs w:val="21"/>
              </w:rPr>
              <w:t>扣</w:t>
            </w:r>
            <w:r>
              <w:rPr>
                <w:rFonts w:hint="eastAsia" w:ascii="宋体" w:hAnsi="宋体"/>
                <w:color w:val="0000FF"/>
                <w:szCs w:val="21"/>
                <w:lang w:val="en-US" w:eastAsia="zh-CN"/>
              </w:rPr>
              <w:t>5</w:t>
            </w:r>
            <w:r>
              <w:rPr>
                <w:rFonts w:hint="eastAsia" w:ascii="宋体" w:hAnsi="宋体"/>
                <w:color w:val="0000FF"/>
                <w:szCs w:val="21"/>
              </w:rPr>
              <w:t>分</w:t>
            </w:r>
            <w:r>
              <w:rPr>
                <w:rFonts w:ascii="宋体" w:hAnsi="宋体"/>
                <w:color w:val="0000FF"/>
                <w:szCs w:val="21"/>
              </w:rPr>
              <w:t>，最低0分。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6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szCs w:val="21"/>
              </w:rPr>
              <w:t>2</w:t>
            </w:r>
          </w:p>
        </w:tc>
        <w:tc>
          <w:tcPr>
            <w:tcW w:w="15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overflowPunct/>
              <w:topLinePunct w:val="0"/>
              <w:autoSpaceDE/>
              <w:autoSpaceDN/>
              <w:bidi w:val="0"/>
              <w:adjustRightInd w:val="0"/>
              <w:snapToGrid w:val="0"/>
              <w:spacing w:before="79" w:beforeLines="25" w:after="79" w:afterLines="25" w:line="276" w:lineRule="auto"/>
              <w:jc w:val="center"/>
              <w:textAlignment w:val="baseline"/>
              <w:outlineLvl w:val="1"/>
              <w:rPr>
                <w:rFonts w:hint="eastAsia" w:asciiTheme="minorEastAsia" w:hAnsiTheme="minorEastAsia" w:eastAsiaTheme="minorEastAsia" w:cstheme="minorBidi"/>
                <w:b/>
                <w:kern w:val="2"/>
                <w:sz w:val="21"/>
                <w:szCs w:val="21"/>
                <w:lang w:val="en-US" w:eastAsia="zh-CN" w:bidi="ar-SA"/>
              </w:rPr>
            </w:pPr>
            <w:r>
              <w:rPr>
                <w:rFonts w:hint="eastAsia" w:ascii="宋体" w:hAnsi="宋体" w:cs="宋体"/>
                <w:color w:val="000000"/>
                <w:kern w:val="0"/>
                <w:szCs w:val="21"/>
              </w:rPr>
              <w:t>人员要求、考核办法、</w:t>
            </w:r>
            <w:r>
              <w:rPr>
                <w:rFonts w:hint="eastAsia" w:ascii="宋体" w:hAnsi="宋体" w:cs="宋体"/>
                <w:color w:val="000000"/>
                <w:kern w:val="0"/>
                <w:szCs w:val="21"/>
                <w:lang w:val="en-US" w:eastAsia="zh-CN"/>
              </w:rPr>
              <w:t>其他需说明的事项</w:t>
            </w:r>
            <w:r>
              <w:rPr>
                <w:rFonts w:hint="eastAsia" w:ascii="宋体" w:hAnsi="宋体" w:cs="宋体"/>
                <w:color w:val="000000"/>
                <w:kern w:val="0"/>
                <w:szCs w:val="21"/>
              </w:rPr>
              <w:t>响应度</w:t>
            </w:r>
          </w:p>
        </w:tc>
        <w:tc>
          <w:tcPr>
            <w:tcW w:w="7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kinsoku/>
              <w:overflowPunct/>
              <w:topLinePunct w:val="0"/>
              <w:autoSpaceDE/>
              <w:autoSpaceDN/>
              <w:bidi w:val="0"/>
              <w:snapToGrid w:val="0"/>
              <w:spacing w:before="79" w:beforeLines="25" w:after="79" w:afterLines="25" w:line="276" w:lineRule="auto"/>
              <w:jc w:val="center"/>
              <w:rPr>
                <w:rFonts w:asciiTheme="minorEastAsia" w:hAnsiTheme="minorEastAsia" w:eastAsiaTheme="minorEastAsia" w:cstheme="minorBidi"/>
                <w:kern w:val="2"/>
                <w:sz w:val="21"/>
                <w:szCs w:val="21"/>
                <w:lang w:val="en-US" w:eastAsia="zh-CN" w:bidi="ar-SA"/>
              </w:rPr>
            </w:pPr>
            <w:r>
              <w:rPr>
                <w:rFonts w:ascii="宋体" w:hAnsi="宋体" w:cs="宋体"/>
                <w:color w:val="000000"/>
                <w:kern w:val="0"/>
                <w:szCs w:val="21"/>
              </w:rPr>
              <w:t>5</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60" w:lineRule="exact"/>
              <w:rPr>
                <w:rFonts w:ascii="宋体" w:hAnsi="宋体"/>
                <w:b/>
                <w:bCs/>
                <w:szCs w:val="21"/>
              </w:rPr>
            </w:pPr>
            <w:r>
              <w:rPr>
                <w:rFonts w:hint="eastAsia" w:ascii="宋体" w:hAnsi="宋体"/>
                <w:b/>
                <w:bCs/>
                <w:szCs w:val="21"/>
              </w:rPr>
              <w:t>（一）评审内容：</w:t>
            </w:r>
          </w:p>
          <w:p>
            <w:pPr>
              <w:spacing w:line="360" w:lineRule="exact"/>
              <w:rPr>
                <w:rFonts w:ascii="宋体" w:hAnsi="宋体"/>
                <w:szCs w:val="21"/>
              </w:rPr>
            </w:pPr>
            <w:r>
              <w:rPr>
                <w:rFonts w:hint="eastAsia" w:ascii="宋体" w:hAnsi="宋体"/>
                <w:szCs w:val="21"/>
              </w:rPr>
              <w:t>考察投标人对招标文件</w:t>
            </w:r>
            <w:r>
              <w:rPr>
                <w:rFonts w:hint="eastAsia" w:ascii="宋体" w:hAnsi="宋体" w:cs="宋体"/>
                <w:b/>
                <w:bCs/>
                <w:kern w:val="0"/>
                <w:szCs w:val="21"/>
              </w:rPr>
              <w:t>《第一册 专用条款 第三章 用户需求书：四、商务和服务条款部分》</w:t>
            </w:r>
            <w:r>
              <w:rPr>
                <w:rFonts w:hint="eastAsia" w:ascii="宋体" w:hAnsi="宋体"/>
                <w:b/>
                <w:szCs w:val="21"/>
              </w:rPr>
              <w:t>中“</w:t>
            </w:r>
            <w:r>
              <w:rPr>
                <w:rFonts w:hint="eastAsia" w:ascii="宋体" w:hAnsi="宋体"/>
                <w:b/>
                <w:szCs w:val="21"/>
                <w:highlight w:val="none"/>
                <w:lang w:val="en-US" w:eastAsia="zh-CN"/>
              </w:rPr>
              <w:t>人员要求、考核办法、其他需说明的事项</w:t>
            </w:r>
            <w:r>
              <w:rPr>
                <w:rFonts w:hint="eastAsia" w:ascii="宋体" w:hAnsi="宋体"/>
                <w:b/>
                <w:szCs w:val="21"/>
              </w:rPr>
              <w:t>”</w:t>
            </w:r>
            <w:r>
              <w:rPr>
                <w:rFonts w:hint="eastAsia" w:ascii="宋体" w:hAnsi="宋体"/>
                <w:szCs w:val="21"/>
              </w:rPr>
              <w:t>的响应情况。</w:t>
            </w:r>
          </w:p>
          <w:p>
            <w:pPr>
              <w:spacing w:line="360" w:lineRule="exact"/>
              <w:rPr>
                <w:rFonts w:ascii="宋体" w:hAnsi="宋体"/>
                <w:b/>
                <w:bCs/>
                <w:color w:val="0000FF"/>
                <w:szCs w:val="21"/>
              </w:rPr>
            </w:pPr>
            <w:r>
              <w:rPr>
                <w:rFonts w:hint="eastAsia" w:ascii="宋体" w:hAnsi="宋体"/>
                <w:b/>
                <w:bCs/>
                <w:color w:val="0000FF"/>
                <w:szCs w:val="21"/>
              </w:rPr>
              <w:t>（二）评审依据：</w:t>
            </w:r>
          </w:p>
          <w:p>
            <w:pPr>
              <w:keepNext w:val="0"/>
              <w:keepLines w:val="0"/>
              <w:pageBreakBefore w:val="0"/>
              <w:kinsoku/>
              <w:overflowPunct/>
              <w:topLinePunct w:val="0"/>
              <w:autoSpaceDE/>
              <w:autoSpaceDN/>
              <w:bidi w:val="0"/>
              <w:adjustRightInd w:val="0"/>
              <w:snapToGrid w:val="0"/>
              <w:spacing w:before="79" w:beforeLines="25" w:after="79" w:afterLines="25" w:line="276" w:lineRule="auto"/>
              <w:jc w:val="left"/>
              <w:textAlignment w:val="baseline"/>
              <w:outlineLvl w:val="1"/>
              <w:rPr>
                <w:rFonts w:cs="宋体" w:asciiTheme="minorEastAsia" w:hAnsiTheme="minorEastAsia" w:eastAsiaTheme="minorEastAsia"/>
                <w:kern w:val="2"/>
                <w:sz w:val="21"/>
                <w:szCs w:val="21"/>
                <w:lang w:val="en-US" w:eastAsia="zh-CN" w:bidi="ar-SA"/>
              </w:rPr>
            </w:pPr>
            <w:r>
              <w:rPr>
                <w:rFonts w:ascii="宋体" w:hAnsi="宋体"/>
                <w:color w:val="0000FF"/>
                <w:szCs w:val="21"/>
              </w:rPr>
              <w:t>以投标文件</w:t>
            </w:r>
            <w:r>
              <w:rPr>
                <w:rFonts w:hint="eastAsia" w:ascii="宋体" w:hAnsi="宋体"/>
                <w:color w:val="0000FF"/>
                <w:szCs w:val="21"/>
              </w:rPr>
              <w:t>中</w:t>
            </w:r>
            <w:r>
              <w:rPr>
                <w:rFonts w:ascii="宋体" w:hAnsi="宋体"/>
                <w:color w:val="0000FF"/>
                <w:szCs w:val="21"/>
              </w:rPr>
              <w:t>《商务（服务）条款偏离表》为评价依据，完全</w:t>
            </w:r>
            <w:r>
              <w:rPr>
                <w:rFonts w:hint="eastAsia" w:ascii="宋体" w:hAnsi="宋体"/>
                <w:color w:val="0000FF"/>
                <w:szCs w:val="21"/>
              </w:rPr>
              <w:t>响应</w:t>
            </w:r>
            <w:r>
              <w:rPr>
                <w:rFonts w:ascii="宋体" w:hAnsi="宋体"/>
                <w:color w:val="0000FF"/>
                <w:szCs w:val="21"/>
              </w:rPr>
              <w:t>符合招标</w:t>
            </w:r>
            <w:r>
              <w:rPr>
                <w:rFonts w:hint="eastAsia" w:ascii="宋体" w:hAnsi="宋体"/>
                <w:color w:val="0000FF"/>
                <w:szCs w:val="21"/>
              </w:rPr>
              <w:t>文件</w:t>
            </w:r>
            <w:r>
              <w:rPr>
                <w:rFonts w:ascii="宋体" w:hAnsi="宋体"/>
                <w:color w:val="0000FF"/>
                <w:szCs w:val="21"/>
              </w:rPr>
              <w:t>要求的，得100</w:t>
            </w:r>
            <w:r>
              <w:rPr>
                <w:rFonts w:hint="eastAsia" w:ascii="宋体" w:hAnsi="宋体"/>
                <w:color w:val="0000FF"/>
                <w:szCs w:val="21"/>
              </w:rPr>
              <w:t>分</w:t>
            </w:r>
            <w:r>
              <w:rPr>
                <w:rFonts w:ascii="宋体" w:hAnsi="宋体"/>
                <w:color w:val="0000FF"/>
                <w:szCs w:val="21"/>
              </w:rPr>
              <w:t>。有</w:t>
            </w:r>
            <w:r>
              <w:rPr>
                <w:rFonts w:hint="eastAsia" w:ascii="宋体" w:hAnsi="宋体"/>
                <w:color w:val="0000FF"/>
                <w:szCs w:val="21"/>
              </w:rPr>
              <w:t>任意</w:t>
            </w:r>
            <w:r>
              <w:rPr>
                <w:rFonts w:ascii="宋体" w:hAnsi="宋体"/>
                <w:color w:val="0000FF"/>
                <w:szCs w:val="21"/>
              </w:rPr>
              <w:t>1项负偏离</w:t>
            </w:r>
            <w:r>
              <w:rPr>
                <w:rFonts w:hint="eastAsia" w:ascii="宋体" w:hAnsi="宋体"/>
                <w:color w:val="0000FF"/>
                <w:szCs w:val="21"/>
              </w:rPr>
              <w:t>的</w:t>
            </w:r>
            <w:r>
              <w:rPr>
                <w:rFonts w:ascii="宋体" w:hAnsi="宋体"/>
                <w:color w:val="0000FF"/>
                <w:szCs w:val="21"/>
              </w:rPr>
              <w:t>扣</w:t>
            </w:r>
            <w:r>
              <w:rPr>
                <w:rFonts w:hint="eastAsia" w:ascii="宋体" w:hAnsi="宋体"/>
                <w:color w:val="0000FF"/>
                <w:szCs w:val="21"/>
                <w:lang w:val="en-US" w:eastAsia="zh-CN"/>
              </w:rPr>
              <w:t>10</w:t>
            </w:r>
            <w:r>
              <w:rPr>
                <w:rFonts w:hint="eastAsia" w:ascii="宋体" w:hAnsi="宋体"/>
                <w:color w:val="0000FF"/>
                <w:szCs w:val="21"/>
              </w:rPr>
              <w:t>分</w:t>
            </w:r>
            <w:r>
              <w:rPr>
                <w:rFonts w:ascii="宋体" w:hAnsi="宋体"/>
                <w:color w:val="0000FF"/>
                <w:szCs w:val="21"/>
              </w:rPr>
              <w:t>，最低0分。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6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szCs w:val="21"/>
              </w:rPr>
              <w:t>3</w:t>
            </w:r>
          </w:p>
        </w:tc>
        <w:tc>
          <w:tcPr>
            <w:tcW w:w="15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hint="eastAsia" w:asciiTheme="minorEastAsia" w:hAnsiTheme="minorEastAsia" w:eastAsiaTheme="minorEastAsia" w:cstheme="minorBidi"/>
                <w:b/>
                <w:kern w:val="2"/>
                <w:sz w:val="21"/>
                <w:szCs w:val="21"/>
                <w:lang w:val="en-US" w:eastAsia="zh-CN" w:bidi="ar-SA"/>
              </w:rPr>
            </w:pPr>
            <w:r>
              <w:rPr>
                <w:rFonts w:hint="eastAsia" w:ascii="宋体" w:hAnsi="宋体"/>
                <w:szCs w:val="21"/>
              </w:rPr>
              <w:t>服务</w:t>
            </w:r>
            <w:r>
              <w:rPr>
                <w:rFonts w:ascii="宋体" w:hAnsi="宋体"/>
                <w:szCs w:val="21"/>
              </w:rPr>
              <w:t>期满后的服务承诺</w:t>
            </w:r>
          </w:p>
        </w:tc>
        <w:tc>
          <w:tcPr>
            <w:tcW w:w="7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overflowPunct/>
              <w:topLinePunct w:val="0"/>
              <w:autoSpaceDE/>
              <w:autoSpaceDN/>
              <w:bidi w:val="0"/>
              <w:adjustRightInd w:val="0"/>
              <w:snapToGrid w:val="0"/>
              <w:spacing w:before="79" w:beforeLines="25" w:after="79" w:afterLines="25" w:line="276" w:lineRule="auto"/>
              <w:jc w:val="center"/>
              <w:textAlignment w:val="baseline"/>
              <w:outlineLvl w:val="1"/>
              <w:rPr>
                <w:rFonts w:asciiTheme="minorEastAsia" w:hAnsiTheme="minorEastAsia" w:eastAsiaTheme="minorEastAsia" w:cstheme="minorBidi"/>
                <w:kern w:val="2"/>
                <w:sz w:val="21"/>
                <w:szCs w:val="21"/>
                <w:lang w:val="en-US" w:eastAsia="zh-CN" w:bidi="ar-SA"/>
              </w:rPr>
            </w:pPr>
            <w:r>
              <w:rPr>
                <w:rFonts w:ascii="宋体" w:hAnsi="宋体"/>
                <w:bCs/>
                <w:color w:val="000000"/>
                <w:kern w:val="44"/>
                <w:szCs w:val="21"/>
              </w:rPr>
              <w:t>5</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rPr>
                <w:rFonts w:ascii="宋体" w:hAnsi="宋体"/>
                <w:bCs/>
                <w:szCs w:val="21"/>
              </w:rPr>
            </w:pPr>
            <w:r>
              <w:rPr>
                <w:rFonts w:hint="eastAsia" w:ascii="宋体" w:hAnsi="宋体"/>
                <w:bCs/>
                <w:szCs w:val="21"/>
              </w:rPr>
              <w:t>投标人</w:t>
            </w:r>
            <w:r>
              <w:rPr>
                <w:rFonts w:ascii="宋体" w:hAnsi="宋体"/>
                <w:bCs/>
                <w:szCs w:val="21"/>
              </w:rPr>
              <w:t>承诺</w:t>
            </w:r>
            <w:r>
              <w:rPr>
                <w:rFonts w:hint="eastAsia" w:ascii="宋体" w:hAnsi="宋体"/>
                <w:bCs/>
                <w:szCs w:val="21"/>
              </w:rPr>
              <w:t>以下内容得100分</w:t>
            </w:r>
            <w:r>
              <w:rPr>
                <w:rFonts w:ascii="宋体" w:hAnsi="宋体"/>
                <w:bCs/>
                <w:szCs w:val="21"/>
              </w:rPr>
              <w:t>：</w:t>
            </w:r>
          </w:p>
          <w:p>
            <w:pPr>
              <w:spacing w:line="320" w:lineRule="exact"/>
              <w:rPr>
                <w:rFonts w:ascii="宋体" w:hAnsi="宋体"/>
                <w:b/>
                <w:szCs w:val="21"/>
              </w:rPr>
            </w:pPr>
            <w:r>
              <w:rPr>
                <w:rFonts w:hint="eastAsia" w:ascii="宋体" w:hAnsi="宋体"/>
                <w:b/>
                <w:szCs w:val="21"/>
              </w:rPr>
              <w:t>1、</w:t>
            </w:r>
            <w:r>
              <w:rPr>
                <w:rFonts w:ascii="宋体" w:hAnsi="宋体"/>
                <w:b/>
                <w:szCs w:val="21"/>
              </w:rPr>
              <w:t>服务期满</w:t>
            </w:r>
            <w:r>
              <w:rPr>
                <w:rFonts w:hint="eastAsia" w:ascii="宋体" w:hAnsi="宋体"/>
                <w:b/>
                <w:szCs w:val="21"/>
              </w:rPr>
              <w:t>，</w:t>
            </w:r>
            <w:r>
              <w:rPr>
                <w:rFonts w:ascii="宋体" w:hAnsi="宋体"/>
                <w:b/>
                <w:szCs w:val="21"/>
              </w:rPr>
              <w:t>主动离岗；</w:t>
            </w:r>
          </w:p>
          <w:p>
            <w:pPr>
              <w:spacing w:line="320" w:lineRule="exact"/>
              <w:rPr>
                <w:rFonts w:ascii="宋体" w:hAnsi="宋体"/>
                <w:b/>
                <w:szCs w:val="21"/>
              </w:rPr>
            </w:pPr>
            <w:r>
              <w:rPr>
                <w:rFonts w:hint="eastAsia" w:ascii="宋体" w:hAnsi="宋体"/>
                <w:b/>
                <w:szCs w:val="21"/>
              </w:rPr>
              <w:t>2、</w:t>
            </w:r>
            <w:r>
              <w:rPr>
                <w:rFonts w:ascii="宋体" w:hAnsi="宋体"/>
                <w:b/>
                <w:szCs w:val="21"/>
              </w:rPr>
              <w:t>服务期满</w:t>
            </w:r>
            <w:r>
              <w:rPr>
                <w:rFonts w:hint="eastAsia" w:ascii="宋体" w:hAnsi="宋体"/>
                <w:b/>
                <w:szCs w:val="21"/>
              </w:rPr>
              <w:t>，</w:t>
            </w:r>
            <w:r>
              <w:rPr>
                <w:rFonts w:ascii="宋体" w:hAnsi="宋体"/>
                <w:b/>
                <w:szCs w:val="21"/>
              </w:rPr>
              <w:t>与后续服务公司的有序交接；</w:t>
            </w:r>
          </w:p>
          <w:p>
            <w:pPr>
              <w:spacing w:line="320" w:lineRule="exact"/>
              <w:rPr>
                <w:rFonts w:ascii="宋体" w:hAnsi="宋体"/>
                <w:bCs/>
                <w:szCs w:val="21"/>
              </w:rPr>
            </w:pPr>
            <w:r>
              <w:rPr>
                <w:rFonts w:hint="eastAsia" w:ascii="宋体" w:hAnsi="宋体"/>
                <w:b/>
                <w:szCs w:val="21"/>
              </w:rPr>
              <w:t>3、</w:t>
            </w:r>
            <w:r>
              <w:rPr>
                <w:rFonts w:ascii="宋体" w:hAnsi="宋体"/>
                <w:b/>
                <w:szCs w:val="21"/>
              </w:rPr>
              <w:t>服务期满，后续服务公司未到位前仍按原合同提供物业管理服务。</w:t>
            </w:r>
          </w:p>
          <w:p>
            <w:pPr>
              <w:keepNext w:val="0"/>
              <w:keepLines w:val="0"/>
              <w:pageBreakBefore w:val="0"/>
              <w:kinsoku/>
              <w:overflowPunct/>
              <w:topLinePunct w:val="0"/>
              <w:autoSpaceDE/>
              <w:autoSpaceDN/>
              <w:bidi w:val="0"/>
              <w:adjustRightInd w:val="0"/>
              <w:snapToGrid w:val="0"/>
              <w:spacing w:before="79" w:beforeLines="25" w:after="79" w:afterLines="25" w:line="276" w:lineRule="auto"/>
              <w:jc w:val="left"/>
              <w:textAlignment w:val="baseline"/>
              <w:outlineLvl w:val="1"/>
              <w:rPr>
                <w:rFonts w:cs="宋体" w:asciiTheme="minorEastAsia" w:hAnsiTheme="minorEastAsia" w:eastAsiaTheme="minorEastAsia"/>
                <w:kern w:val="2"/>
                <w:sz w:val="21"/>
                <w:szCs w:val="21"/>
                <w:lang w:val="en-US" w:eastAsia="zh-CN" w:bidi="ar-SA"/>
              </w:rPr>
            </w:pPr>
            <w:r>
              <w:rPr>
                <w:rFonts w:ascii="宋体" w:hAnsi="宋体"/>
                <w:bCs/>
                <w:color w:val="0000FF"/>
                <w:szCs w:val="21"/>
              </w:rPr>
              <w:t>提供承诺函（</w:t>
            </w:r>
            <w:r>
              <w:rPr>
                <w:rFonts w:hint="eastAsia" w:ascii="宋体" w:hAnsi="宋体"/>
                <w:bCs/>
                <w:color w:val="0000FF"/>
                <w:szCs w:val="21"/>
              </w:rPr>
              <w:t>格式</w:t>
            </w:r>
            <w:r>
              <w:rPr>
                <w:rFonts w:ascii="宋体" w:hAnsi="宋体"/>
                <w:bCs/>
                <w:color w:val="0000FF"/>
                <w:szCs w:val="21"/>
              </w:rPr>
              <w:t>自拟）</w:t>
            </w:r>
            <w:r>
              <w:rPr>
                <w:rFonts w:hint="eastAsia" w:ascii="宋体" w:hAnsi="宋体"/>
                <w:bCs/>
                <w:color w:val="0000FF"/>
                <w:szCs w:val="21"/>
              </w:rPr>
              <w:t>，</w:t>
            </w:r>
            <w:r>
              <w:rPr>
                <w:rFonts w:ascii="宋体" w:hAnsi="宋体"/>
                <w:bCs/>
                <w:color w:val="0000FF"/>
                <w:szCs w:val="21"/>
              </w:rPr>
              <w:t>未提供承诺或承诺内容不满足要求</w:t>
            </w:r>
            <w:r>
              <w:rPr>
                <w:rFonts w:hint="eastAsia" w:ascii="宋体" w:hAnsi="宋体"/>
                <w:bCs/>
                <w:color w:val="0000FF"/>
                <w:szCs w:val="21"/>
              </w:rPr>
              <w:t>的</w:t>
            </w:r>
            <w:r>
              <w:rPr>
                <w:rFonts w:ascii="宋体" w:hAnsi="宋体"/>
                <w:bCs/>
                <w:color w:val="0000FF"/>
                <w:szCs w:val="21"/>
              </w:rPr>
              <w:t>不得分</w:t>
            </w:r>
            <w:r>
              <w:rPr>
                <w:rFonts w:hint="eastAsia" w:ascii="宋体" w:hAnsi="宋体"/>
                <w:bCs/>
                <w:color w:val="0000FF"/>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6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szCs w:val="21"/>
              </w:rPr>
              <w:t>4</w:t>
            </w:r>
          </w:p>
        </w:tc>
        <w:tc>
          <w:tcPr>
            <w:tcW w:w="15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hint="eastAsia" w:asciiTheme="minorEastAsia" w:hAnsiTheme="minorEastAsia" w:eastAsiaTheme="minorEastAsia" w:cstheme="minorBidi"/>
                <w:b/>
                <w:kern w:val="2"/>
                <w:sz w:val="21"/>
                <w:szCs w:val="21"/>
                <w:lang w:val="en-US" w:eastAsia="zh-CN" w:bidi="ar-SA"/>
              </w:rPr>
            </w:pPr>
            <w:r>
              <w:rPr>
                <w:rFonts w:hint="eastAsia" w:ascii="宋体" w:hAnsi="宋体"/>
                <w:szCs w:val="21"/>
              </w:rPr>
              <w:t>违约承诺</w:t>
            </w:r>
          </w:p>
        </w:tc>
        <w:tc>
          <w:tcPr>
            <w:tcW w:w="7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overflowPunct/>
              <w:topLinePunct w:val="0"/>
              <w:autoSpaceDE/>
              <w:autoSpaceDN/>
              <w:bidi w:val="0"/>
              <w:adjustRightInd w:val="0"/>
              <w:snapToGrid w:val="0"/>
              <w:spacing w:before="79" w:beforeLines="25" w:after="79" w:afterLines="25" w:line="276" w:lineRule="auto"/>
              <w:jc w:val="center"/>
              <w:textAlignment w:val="baseline"/>
              <w:outlineLvl w:val="1"/>
              <w:rPr>
                <w:rFonts w:asciiTheme="minorEastAsia" w:hAnsiTheme="minorEastAsia" w:eastAsiaTheme="minorEastAsia" w:cstheme="minorBidi"/>
                <w:kern w:val="2"/>
                <w:sz w:val="21"/>
                <w:szCs w:val="21"/>
                <w:lang w:val="en-US" w:eastAsia="zh-CN" w:bidi="ar-SA"/>
              </w:rPr>
            </w:pPr>
            <w:r>
              <w:rPr>
                <w:rFonts w:ascii="宋体" w:hAnsi="宋体"/>
                <w:bCs/>
                <w:color w:val="000000"/>
                <w:kern w:val="44"/>
                <w:szCs w:val="21"/>
              </w:rPr>
              <w:t>5</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rPr>
                <w:rFonts w:ascii="宋体" w:hAnsi="宋体"/>
                <w:bCs/>
                <w:szCs w:val="21"/>
              </w:rPr>
            </w:pPr>
            <w:r>
              <w:rPr>
                <w:rFonts w:hint="eastAsia" w:ascii="宋体" w:hAnsi="宋体"/>
                <w:bCs/>
                <w:szCs w:val="21"/>
              </w:rPr>
              <w:t>投标人</w:t>
            </w:r>
            <w:r>
              <w:rPr>
                <w:rFonts w:ascii="宋体" w:hAnsi="宋体"/>
                <w:bCs/>
                <w:szCs w:val="21"/>
              </w:rPr>
              <w:t>承诺</w:t>
            </w:r>
            <w:r>
              <w:rPr>
                <w:rFonts w:hint="eastAsia" w:ascii="宋体" w:hAnsi="宋体"/>
                <w:bCs/>
                <w:szCs w:val="21"/>
              </w:rPr>
              <w:t>以下内容得100分</w:t>
            </w:r>
            <w:r>
              <w:rPr>
                <w:rFonts w:ascii="宋体" w:hAnsi="宋体"/>
                <w:bCs/>
                <w:szCs w:val="21"/>
              </w:rPr>
              <w:t>：</w:t>
            </w:r>
          </w:p>
          <w:p>
            <w:pPr>
              <w:keepNext w:val="0"/>
              <w:keepLines w:val="0"/>
              <w:pageBreakBefore w:val="0"/>
              <w:kinsoku/>
              <w:overflowPunct/>
              <w:topLinePunct w:val="0"/>
              <w:autoSpaceDE/>
              <w:autoSpaceDN/>
              <w:bidi w:val="0"/>
              <w:adjustRightInd w:val="0"/>
              <w:snapToGrid w:val="0"/>
              <w:spacing w:before="79" w:beforeLines="25" w:after="79" w:afterLines="25" w:line="276" w:lineRule="auto"/>
              <w:jc w:val="left"/>
              <w:textAlignment w:val="baseline"/>
              <w:outlineLvl w:val="1"/>
              <w:rPr>
                <w:rFonts w:ascii="宋体" w:hAnsi="宋体" w:cs="宋体"/>
                <w:b/>
                <w:bCs w:val="0"/>
                <w:szCs w:val="21"/>
              </w:rPr>
            </w:pPr>
            <w:r>
              <w:rPr>
                <w:rFonts w:hint="eastAsia" w:ascii="宋体" w:hAnsi="宋体" w:cs="宋体"/>
                <w:b/>
                <w:bCs w:val="0"/>
                <w:szCs w:val="21"/>
              </w:rPr>
              <w:t>1.服务质量达到招标文件要求；</w:t>
            </w:r>
          </w:p>
          <w:p>
            <w:pPr>
              <w:keepNext w:val="0"/>
              <w:keepLines w:val="0"/>
              <w:pageBreakBefore w:val="0"/>
              <w:kinsoku/>
              <w:overflowPunct/>
              <w:topLinePunct w:val="0"/>
              <w:autoSpaceDE/>
              <w:autoSpaceDN/>
              <w:bidi w:val="0"/>
              <w:adjustRightInd w:val="0"/>
              <w:snapToGrid w:val="0"/>
              <w:spacing w:before="79" w:beforeLines="25" w:after="79" w:afterLines="25" w:line="276" w:lineRule="auto"/>
              <w:jc w:val="left"/>
              <w:textAlignment w:val="baseline"/>
              <w:outlineLvl w:val="1"/>
              <w:rPr>
                <w:rFonts w:ascii="宋体" w:hAnsi="宋体" w:cs="宋体"/>
                <w:b/>
                <w:bCs w:val="0"/>
                <w:szCs w:val="21"/>
              </w:rPr>
            </w:pPr>
            <w:r>
              <w:rPr>
                <w:rFonts w:hint="eastAsia" w:ascii="宋体" w:hAnsi="宋体" w:cs="宋体"/>
                <w:b/>
                <w:bCs w:val="0"/>
                <w:szCs w:val="21"/>
                <w:lang w:val="en-US" w:eastAsia="zh-CN"/>
              </w:rPr>
              <w:t>2</w:t>
            </w:r>
            <w:r>
              <w:rPr>
                <w:rFonts w:hint="eastAsia" w:ascii="宋体" w:hAnsi="宋体" w:cs="宋体"/>
                <w:b/>
                <w:bCs w:val="0"/>
                <w:szCs w:val="21"/>
              </w:rPr>
              <w:t>.对未能达到管理要求承担相应管理责任。</w:t>
            </w:r>
          </w:p>
          <w:p>
            <w:pPr>
              <w:keepNext w:val="0"/>
              <w:keepLines w:val="0"/>
              <w:pageBreakBefore w:val="0"/>
              <w:kinsoku/>
              <w:overflowPunct/>
              <w:topLinePunct w:val="0"/>
              <w:autoSpaceDE/>
              <w:autoSpaceDN/>
              <w:bidi w:val="0"/>
              <w:adjustRightInd w:val="0"/>
              <w:snapToGrid w:val="0"/>
              <w:spacing w:before="79" w:beforeLines="25" w:after="79" w:afterLines="25" w:line="276" w:lineRule="auto"/>
              <w:jc w:val="left"/>
              <w:textAlignment w:val="baseline"/>
              <w:outlineLvl w:val="1"/>
              <w:rPr>
                <w:rFonts w:cs="宋体" w:asciiTheme="minorEastAsia" w:hAnsiTheme="minorEastAsia" w:eastAsiaTheme="minorEastAsia"/>
                <w:kern w:val="2"/>
                <w:sz w:val="21"/>
                <w:szCs w:val="21"/>
                <w:lang w:val="en-US" w:eastAsia="zh-CN" w:bidi="ar-SA"/>
              </w:rPr>
            </w:pPr>
            <w:r>
              <w:rPr>
                <w:rFonts w:hint="eastAsia" w:ascii="宋体" w:hAnsi="宋体" w:cs="宋体"/>
                <w:bCs/>
                <w:color w:val="0000FF"/>
                <w:szCs w:val="21"/>
              </w:rPr>
              <w:t>提供《违约承诺函》，格式自拟，未按要求提供或无法判断的不得分。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6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asciiTheme="minorEastAsia" w:hAnsiTheme="minorEastAsia" w:eastAsiaTheme="minorEastAsia" w:cstheme="minorBidi"/>
                <w:kern w:val="2"/>
                <w:sz w:val="21"/>
                <w:szCs w:val="21"/>
                <w:lang w:val="en-US" w:eastAsia="zh-CN" w:bidi="ar-SA"/>
              </w:rPr>
            </w:pPr>
            <w:r>
              <w:rPr>
                <w:rFonts w:hint="eastAsia" w:asciiTheme="minorEastAsia" w:hAnsiTheme="minorEastAsia"/>
                <w:szCs w:val="21"/>
              </w:rPr>
              <w:t>5</w:t>
            </w:r>
          </w:p>
        </w:tc>
        <w:tc>
          <w:tcPr>
            <w:tcW w:w="15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overflowPunct/>
              <w:topLinePunct w:val="0"/>
              <w:autoSpaceDE/>
              <w:autoSpaceDN/>
              <w:bidi w:val="0"/>
              <w:snapToGrid w:val="0"/>
              <w:spacing w:before="79" w:beforeLines="25" w:after="79" w:afterLines="25" w:line="276" w:lineRule="auto"/>
              <w:jc w:val="center"/>
              <w:rPr>
                <w:rFonts w:asciiTheme="minorEastAsia" w:hAnsiTheme="minorEastAsia" w:eastAsiaTheme="minorEastAsia" w:cstheme="minorBidi"/>
                <w:b/>
                <w:kern w:val="2"/>
                <w:sz w:val="21"/>
                <w:szCs w:val="21"/>
                <w:lang w:val="en-US" w:eastAsia="zh-CN" w:bidi="ar-SA"/>
              </w:rPr>
            </w:pPr>
            <w:r>
              <w:rPr>
                <w:rFonts w:hint="eastAsia" w:ascii="宋体" w:hAnsi="宋体"/>
                <w:szCs w:val="21"/>
              </w:rPr>
              <w:t>拟安排的项目经理情况（仅限1人）</w:t>
            </w:r>
          </w:p>
        </w:tc>
        <w:tc>
          <w:tcPr>
            <w:tcW w:w="7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overflowPunct/>
              <w:topLinePunct w:val="0"/>
              <w:autoSpaceDE/>
              <w:autoSpaceDN/>
              <w:bidi w:val="0"/>
              <w:snapToGrid w:val="0"/>
              <w:spacing w:before="79" w:beforeLines="25" w:after="79" w:afterLines="25" w:line="276" w:lineRule="auto"/>
              <w:jc w:val="center"/>
              <w:rPr>
                <w:rFonts w:asciiTheme="minorEastAsia" w:hAnsiTheme="minorEastAsia" w:eastAsiaTheme="minorEastAsia" w:cstheme="minorBidi"/>
                <w:kern w:val="2"/>
                <w:sz w:val="21"/>
                <w:szCs w:val="21"/>
                <w:lang w:val="en-US" w:eastAsia="zh-CN" w:bidi="ar-SA"/>
              </w:rPr>
            </w:pPr>
            <w:r>
              <w:rPr>
                <w:rFonts w:ascii="宋体" w:hAnsi="宋体"/>
                <w:szCs w:val="21"/>
              </w:rPr>
              <w:t>22</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60" w:lineRule="exact"/>
              <w:rPr>
                <w:rFonts w:hint="eastAsia" w:ascii="宋体" w:hAnsi="宋体"/>
                <w:szCs w:val="21"/>
              </w:rPr>
            </w:pPr>
            <w:r>
              <w:rPr>
                <w:rFonts w:hint="eastAsia" w:ascii="宋体" w:hAnsi="宋体"/>
                <w:b/>
                <w:bCs/>
                <w:szCs w:val="21"/>
              </w:rPr>
              <w:t>（一）评审内容：</w:t>
            </w:r>
          </w:p>
          <w:p>
            <w:pPr>
              <w:keepNext w:val="0"/>
              <w:keepLines w:val="0"/>
              <w:pageBreakBefore w:val="0"/>
              <w:kinsoku/>
              <w:overflowPunct/>
              <w:topLinePunct w:val="0"/>
              <w:autoSpaceDE/>
              <w:autoSpaceDN/>
              <w:bidi w:val="0"/>
              <w:snapToGrid w:val="0"/>
              <w:spacing w:before="79" w:beforeLines="25" w:after="79" w:afterLines="25" w:line="276" w:lineRule="auto"/>
              <w:rPr>
                <w:rFonts w:hint="eastAsia" w:ascii="宋体" w:hAnsi="宋体" w:eastAsia="宋体"/>
                <w:bCs/>
                <w:color w:val="auto"/>
                <w:szCs w:val="21"/>
                <w:lang w:eastAsia="zh-CN"/>
              </w:rPr>
            </w:pPr>
            <w:r>
              <w:rPr>
                <w:rFonts w:hint="eastAsia" w:ascii="宋体" w:hAnsi="宋体"/>
                <w:szCs w:val="21"/>
              </w:rPr>
              <w:t>投标人拟安排的项目经理（仅限1人）</w:t>
            </w:r>
            <w:r>
              <w:rPr>
                <w:rFonts w:ascii="宋体" w:hAnsi="宋体"/>
                <w:bCs/>
                <w:szCs w:val="21"/>
              </w:rPr>
              <w:t>须为投标</w:t>
            </w:r>
            <w:r>
              <w:rPr>
                <w:szCs w:val="21"/>
              </w:rPr>
              <w:t>人</w:t>
            </w:r>
            <w:r>
              <w:rPr>
                <w:color w:val="auto"/>
                <w:szCs w:val="21"/>
              </w:rPr>
              <w:t>自</w:t>
            </w:r>
            <w:r>
              <w:rPr>
                <w:rFonts w:ascii="宋体" w:hAnsi="宋体"/>
                <w:bCs/>
                <w:color w:val="auto"/>
                <w:szCs w:val="21"/>
              </w:rPr>
              <w:t>有员工</w:t>
            </w:r>
            <w:r>
              <w:rPr>
                <w:rFonts w:hint="eastAsia" w:ascii="宋体" w:hAnsi="宋体"/>
                <w:bCs/>
                <w:color w:val="auto"/>
                <w:szCs w:val="21"/>
                <w:lang w:eastAsia="zh-CN"/>
              </w:rPr>
              <w:t>：</w:t>
            </w:r>
          </w:p>
          <w:p>
            <w:pPr>
              <w:pStyle w:val="27"/>
              <w:keepNext w:val="0"/>
              <w:keepLines w:val="0"/>
              <w:pageBreakBefore w:val="0"/>
              <w:numPr>
                <w:ilvl w:val="0"/>
                <w:numId w:val="0"/>
              </w:numPr>
              <w:kinsoku/>
              <w:overflowPunct/>
              <w:topLinePunct w:val="0"/>
              <w:autoSpaceDE/>
              <w:autoSpaceDN/>
              <w:bidi w:val="0"/>
              <w:spacing w:before="79" w:beforeLines="25" w:after="79" w:afterLines="25" w:line="276" w:lineRule="auto"/>
              <w:rPr>
                <w:rFonts w:hint="eastAsia" w:eastAsia="宋体"/>
                <w:color w:val="auto"/>
                <w:lang w:eastAsia="zh-CN"/>
              </w:rPr>
            </w:pPr>
            <w:r>
              <w:rPr>
                <w:rFonts w:hint="default" w:ascii="宋体" w:hAnsi="宋体" w:eastAsia="宋体" w:cs="Times New Roman"/>
                <w:bCs/>
                <w:color w:val="auto"/>
                <w:kern w:val="2"/>
                <w:sz w:val="21"/>
                <w:szCs w:val="21"/>
                <w:lang w:val="en-US" w:eastAsia="zh-CN" w:bidi="ar-SA"/>
                <w14:ligatures w14:val="standardContextual"/>
              </w:rPr>
              <w:t>1</w:t>
            </w:r>
            <w:r>
              <w:rPr>
                <w:rFonts w:hint="eastAsia" w:cs="Times New Roman"/>
                <w:bCs/>
                <w:color w:val="auto"/>
                <w:kern w:val="2"/>
                <w:sz w:val="21"/>
                <w:szCs w:val="21"/>
                <w:lang w:val="en-US" w:eastAsia="zh-CN" w:bidi="ar-SA"/>
                <w14:ligatures w14:val="standardContextual"/>
              </w:rPr>
              <w:t>.</w:t>
            </w:r>
            <w:r>
              <w:rPr>
                <w:rFonts w:hint="eastAsia"/>
                <w:color w:val="auto"/>
              </w:rPr>
              <w:t>具有</w:t>
            </w:r>
            <w:r>
              <w:rPr>
                <w:rFonts w:hint="eastAsia"/>
                <w:b/>
                <w:bCs w:val="0"/>
                <w:color w:val="auto"/>
              </w:rPr>
              <w:t>人力资源管理类专业本科（或以上）学历</w:t>
            </w:r>
            <w:r>
              <w:rPr>
                <w:rFonts w:hint="eastAsia"/>
                <w:color w:val="auto"/>
              </w:rPr>
              <w:t>，得1</w:t>
            </w:r>
            <w:r>
              <w:rPr>
                <w:color w:val="auto"/>
              </w:rPr>
              <w:t>0</w:t>
            </w:r>
            <w:r>
              <w:rPr>
                <w:rFonts w:hint="eastAsia"/>
                <w:color w:val="auto"/>
                <w:lang w:val="en-US" w:eastAsia="zh-CN"/>
              </w:rPr>
              <w:t>分</w:t>
            </w:r>
            <w:r>
              <w:rPr>
                <w:rFonts w:hint="eastAsia"/>
                <w:color w:val="auto"/>
                <w:lang w:eastAsia="zh-CN"/>
              </w:rPr>
              <w:t>；</w:t>
            </w:r>
          </w:p>
          <w:p>
            <w:pPr>
              <w:keepNext w:val="0"/>
              <w:keepLines w:val="0"/>
              <w:pageBreakBefore w:val="0"/>
              <w:kinsoku/>
              <w:overflowPunct/>
              <w:topLinePunct w:val="0"/>
              <w:autoSpaceDE/>
              <w:autoSpaceDN/>
              <w:bidi w:val="0"/>
              <w:snapToGrid w:val="0"/>
              <w:spacing w:before="79" w:beforeLines="25" w:after="79" w:afterLines="25" w:line="276" w:lineRule="auto"/>
              <w:rPr>
                <w:rFonts w:ascii="宋体" w:hAnsi="宋体"/>
                <w:bCs/>
                <w:color w:val="auto"/>
                <w:szCs w:val="21"/>
              </w:rPr>
            </w:pPr>
            <w:r>
              <w:rPr>
                <w:rFonts w:hint="eastAsia" w:ascii="宋体" w:hAnsi="宋体"/>
                <w:bCs/>
                <w:color w:val="auto"/>
                <w:szCs w:val="21"/>
                <w:lang w:val="en-US" w:eastAsia="zh-CN"/>
              </w:rPr>
              <w:t>2.</w:t>
            </w:r>
            <w:r>
              <w:rPr>
                <w:rFonts w:ascii="宋体" w:hAnsi="宋体"/>
                <w:bCs/>
                <w:color w:val="auto"/>
                <w:szCs w:val="21"/>
              </w:rPr>
              <w:t>具有</w:t>
            </w:r>
            <w:r>
              <w:rPr>
                <w:rFonts w:hint="eastAsia" w:ascii="宋体" w:hAnsi="宋体"/>
                <w:b/>
                <w:bCs w:val="0"/>
                <w:color w:val="auto"/>
                <w:szCs w:val="21"/>
                <w:lang w:val="en-US" w:eastAsia="zh-CN"/>
              </w:rPr>
              <w:t>相关机构</w:t>
            </w:r>
            <w:r>
              <w:rPr>
                <w:rFonts w:ascii="宋体" w:hAnsi="宋体"/>
                <w:bCs/>
                <w:color w:val="auto"/>
                <w:szCs w:val="21"/>
              </w:rPr>
              <w:t>颁发的</w:t>
            </w:r>
            <w:r>
              <w:rPr>
                <w:rFonts w:hint="eastAsia" w:ascii="宋体" w:hAnsi="宋体"/>
                <w:b/>
                <w:bCs w:val="0"/>
                <w:color w:val="auto"/>
                <w:szCs w:val="21"/>
                <w:lang w:val="en-US" w:eastAsia="zh-CN"/>
              </w:rPr>
              <w:t>环境类或</w:t>
            </w:r>
            <w:r>
              <w:rPr>
                <w:rFonts w:hint="eastAsia" w:ascii="宋体" w:hAnsi="宋体"/>
                <w:b/>
                <w:bCs w:val="0"/>
                <w:color w:val="auto"/>
                <w:szCs w:val="21"/>
              </w:rPr>
              <w:t>绿化类高</w:t>
            </w:r>
            <w:r>
              <w:rPr>
                <w:rFonts w:ascii="宋体" w:hAnsi="宋体"/>
                <w:b/>
                <w:bCs w:val="0"/>
                <w:color w:val="auto"/>
                <w:szCs w:val="21"/>
              </w:rPr>
              <w:t>级</w:t>
            </w:r>
            <w:r>
              <w:rPr>
                <w:rFonts w:hint="eastAsia" w:ascii="宋体" w:hAnsi="宋体"/>
                <w:b/>
                <w:bCs w:val="0"/>
                <w:color w:val="auto"/>
                <w:szCs w:val="21"/>
                <w:lang w:eastAsia="zh-CN"/>
              </w:rPr>
              <w:t>（</w:t>
            </w:r>
            <w:r>
              <w:rPr>
                <w:rFonts w:hint="eastAsia" w:ascii="宋体" w:hAnsi="宋体"/>
                <w:b/>
                <w:bCs w:val="0"/>
                <w:color w:val="auto"/>
                <w:szCs w:val="21"/>
                <w:lang w:val="en-US" w:eastAsia="zh-CN"/>
              </w:rPr>
              <w:t>含副高</w:t>
            </w:r>
            <w:r>
              <w:rPr>
                <w:rFonts w:hint="eastAsia" w:ascii="宋体" w:hAnsi="宋体"/>
                <w:b/>
                <w:bCs w:val="0"/>
                <w:color w:val="auto"/>
                <w:szCs w:val="21"/>
                <w:lang w:eastAsia="zh-CN"/>
              </w:rPr>
              <w:t>）</w:t>
            </w:r>
            <w:r>
              <w:rPr>
                <w:rFonts w:hint="eastAsia" w:ascii="宋体" w:hAnsi="宋体"/>
                <w:b/>
                <w:bCs w:val="0"/>
                <w:color w:val="auto"/>
                <w:szCs w:val="21"/>
              </w:rPr>
              <w:t>工程师</w:t>
            </w:r>
            <w:r>
              <w:rPr>
                <w:rFonts w:hint="eastAsia" w:ascii="宋体" w:hAnsi="宋体"/>
                <w:b/>
                <w:bCs w:val="0"/>
                <w:color w:val="auto"/>
                <w:szCs w:val="21"/>
                <w:lang w:val="en-US" w:eastAsia="zh-CN"/>
              </w:rPr>
              <w:t>职称</w:t>
            </w:r>
            <w:r>
              <w:rPr>
                <w:rFonts w:hint="eastAsia" w:ascii="宋体" w:hAnsi="宋体"/>
                <w:b/>
                <w:bCs w:val="0"/>
                <w:color w:val="auto"/>
                <w:szCs w:val="21"/>
              </w:rPr>
              <w:t>证书</w:t>
            </w:r>
            <w:r>
              <w:rPr>
                <w:rFonts w:hint="eastAsia" w:ascii="宋体" w:hAnsi="宋体"/>
                <w:bCs/>
                <w:color w:val="auto"/>
                <w:szCs w:val="21"/>
              </w:rPr>
              <w:t>得</w:t>
            </w:r>
            <w:r>
              <w:rPr>
                <w:rFonts w:ascii="宋体" w:hAnsi="宋体"/>
                <w:bCs/>
                <w:color w:val="auto"/>
                <w:szCs w:val="21"/>
              </w:rPr>
              <w:t>3</w:t>
            </w:r>
            <w:r>
              <w:rPr>
                <w:rFonts w:hint="eastAsia" w:ascii="宋体" w:hAnsi="宋体"/>
                <w:bCs/>
                <w:color w:val="auto"/>
                <w:szCs w:val="21"/>
              </w:rPr>
              <w:t>0</w:t>
            </w:r>
            <w:r>
              <w:rPr>
                <w:rFonts w:hint="eastAsia" w:ascii="宋体" w:hAnsi="宋体"/>
                <w:bCs/>
                <w:color w:val="auto"/>
                <w:szCs w:val="21"/>
                <w:lang w:eastAsia="zh-CN"/>
              </w:rPr>
              <w:t>分</w:t>
            </w:r>
            <w:r>
              <w:rPr>
                <w:rFonts w:ascii="宋体" w:hAnsi="宋体"/>
                <w:bCs/>
                <w:color w:val="auto"/>
                <w:szCs w:val="21"/>
              </w:rPr>
              <w:t>；</w:t>
            </w:r>
          </w:p>
          <w:p>
            <w:pPr>
              <w:keepNext w:val="0"/>
              <w:keepLines w:val="0"/>
              <w:pageBreakBefore w:val="0"/>
              <w:kinsoku/>
              <w:overflowPunct/>
              <w:topLinePunct w:val="0"/>
              <w:autoSpaceDE/>
              <w:autoSpaceDN/>
              <w:bidi w:val="0"/>
              <w:snapToGrid w:val="0"/>
              <w:spacing w:before="79" w:beforeLines="25" w:after="79" w:afterLines="25" w:line="276" w:lineRule="auto"/>
              <w:rPr>
                <w:rFonts w:hint="default" w:ascii="宋体" w:hAnsi="宋体" w:eastAsia="宋体"/>
                <w:bCs/>
                <w:szCs w:val="21"/>
                <w:lang w:val="en-US" w:eastAsia="zh-CN"/>
              </w:rPr>
            </w:pPr>
            <w:r>
              <w:rPr>
                <w:rFonts w:hint="eastAsia" w:ascii="宋体" w:hAnsi="宋体"/>
                <w:bCs/>
                <w:szCs w:val="21"/>
                <w:lang w:val="en-US" w:eastAsia="zh-CN"/>
              </w:rPr>
              <w:t>3.具有</w:t>
            </w:r>
            <w:r>
              <w:rPr>
                <w:rFonts w:hint="eastAsia" w:ascii="宋体" w:hAnsi="宋体"/>
                <w:b/>
                <w:bCs w:val="0"/>
                <w:szCs w:val="21"/>
                <w:lang w:val="en-US" w:eastAsia="zh-CN"/>
              </w:rPr>
              <w:t>相关机构</w:t>
            </w:r>
            <w:r>
              <w:rPr>
                <w:rFonts w:ascii="宋体" w:hAnsi="宋体"/>
                <w:bCs/>
                <w:color w:val="auto"/>
                <w:szCs w:val="21"/>
              </w:rPr>
              <w:t>颁发的</w:t>
            </w:r>
            <w:r>
              <w:rPr>
                <w:rFonts w:hint="eastAsia" w:ascii="宋体" w:hAnsi="宋体"/>
                <w:b/>
                <w:bCs w:val="0"/>
                <w:color w:val="auto"/>
                <w:szCs w:val="21"/>
                <w:lang w:val="en-US" w:eastAsia="zh-CN"/>
              </w:rPr>
              <w:t>机电类或电气类或暖通类中级（或以上）工程师职称证书</w:t>
            </w:r>
            <w:r>
              <w:rPr>
                <w:rFonts w:hint="eastAsia" w:ascii="宋体" w:hAnsi="宋体"/>
                <w:bCs/>
                <w:color w:val="auto"/>
                <w:szCs w:val="21"/>
              </w:rPr>
              <w:t>得</w:t>
            </w:r>
            <w:r>
              <w:rPr>
                <w:rFonts w:hint="eastAsia" w:ascii="宋体" w:hAnsi="宋体"/>
                <w:bCs/>
                <w:color w:val="auto"/>
                <w:szCs w:val="21"/>
                <w:lang w:val="en-US" w:eastAsia="zh-CN"/>
              </w:rPr>
              <w:t>30</w:t>
            </w:r>
            <w:r>
              <w:rPr>
                <w:rFonts w:hint="eastAsia" w:ascii="宋体" w:hAnsi="宋体"/>
                <w:bCs/>
                <w:color w:val="auto"/>
                <w:szCs w:val="21"/>
                <w:lang w:eastAsia="zh-CN"/>
              </w:rPr>
              <w:t>分</w:t>
            </w:r>
            <w:r>
              <w:rPr>
                <w:rFonts w:ascii="宋体" w:hAnsi="宋体"/>
                <w:bCs/>
                <w:color w:val="auto"/>
                <w:szCs w:val="21"/>
              </w:rPr>
              <w:t>；</w:t>
            </w:r>
          </w:p>
          <w:p>
            <w:pPr>
              <w:keepNext w:val="0"/>
              <w:keepLines w:val="0"/>
              <w:pageBreakBefore w:val="0"/>
              <w:kinsoku/>
              <w:overflowPunct/>
              <w:topLinePunct w:val="0"/>
              <w:autoSpaceDE/>
              <w:autoSpaceDN/>
              <w:bidi w:val="0"/>
              <w:snapToGrid w:val="0"/>
              <w:spacing w:before="79" w:beforeLines="25" w:after="79" w:afterLines="25" w:line="276" w:lineRule="auto"/>
              <w:rPr>
                <w:rFonts w:ascii="宋体" w:hAnsi="宋体"/>
                <w:bCs/>
                <w:szCs w:val="21"/>
              </w:rPr>
            </w:pPr>
            <w:r>
              <w:rPr>
                <w:rFonts w:ascii="宋体" w:hAnsi="宋体"/>
                <w:bCs/>
                <w:szCs w:val="21"/>
              </w:rPr>
              <w:t>4</w:t>
            </w:r>
            <w:r>
              <w:rPr>
                <w:rFonts w:hint="eastAsia" w:ascii="宋体" w:hAnsi="宋体"/>
                <w:bCs/>
                <w:szCs w:val="21"/>
                <w:lang w:val="en-US" w:eastAsia="zh-CN"/>
              </w:rPr>
              <w:t>.</w:t>
            </w:r>
            <w:r>
              <w:rPr>
                <w:rFonts w:ascii="宋体" w:hAnsi="宋体"/>
                <w:bCs/>
                <w:szCs w:val="21"/>
              </w:rPr>
              <w:t>具有</w:t>
            </w:r>
            <w:r>
              <w:rPr>
                <w:rFonts w:hint="eastAsia" w:ascii="宋体" w:hAnsi="宋体"/>
                <w:b/>
                <w:bCs w:val="0"/>
                <w:szCs w:val="21"/>
                <w:lang w:val="en-US" w:eastAsia="zh-CN"/>
              </w:rPr>
              <w:t>相关机构</w:t>
            </w:r>
            <w:r>
              <w:rPr>
                <w:rFonts w:ascii="宋体" w:hAnsi="宋体"/>
                <w:bCs/>
                <w:szCs w:val="21"/>
              </w:rPr>
              <w:t>颁发的</w:t>
            </w:r>
            <w:r>
              <w:rPr>
                <w:rFonts w:hint="eastAsia" w:ascii="宋体" w:hAnsi="宋体"/>
                <w:b/>
                <w:bCs w:val="0"/>
                <w:szCs w:val="21"/>
              </w:rPr>
              <w:t>企业人力资源管理师一级</w:t>
            </w:r>
            <w:r>
              <w:rPr>
                <w:rFonts w:hint="eastAsia" w:ascii="宋体" w:hAnsi="宋体"/>
                <w:b/>
                <w:bCs w:val="0"/>
                <w:szCs w:val="21"/>
                <w:lang w:val="en-US" w:eastAsia="zh-CN"/>
              </w:rPr>
              <w:t>/</w:t>
            </w:r>
            <w:r>
              <w:rPr>
                <w:rFonts w:hint="eastAsia" w:ascii="宋体" w:hAnsi="宋体"/>
                <w:b/>
                <w:bCs w:val="0"/>
                <w:szCs w:val="21"/>
              </w:rPr>
              <w:t>高级技师证书</w:t>
            </w:r>
            <w:r>
              <w:rPr>
                <w:rFonts w:hint="eastAsia" w:ascii="宋体" w:hAnsi="宋体"/>
                <w:bCs/>
                <w:szCs w:val="21"/>
              </w:rPr>
              <w:t>得</w:t>
            </w:r>
            <w:r>
              <w:rPr>
                <w:rFonts w:hint="eastAsia" w:ascii="宋体" w:hAnsi="宋体"/>
                <w:bCs/>
                <w:szCs w:val="21"/>
                <w:lang w:val="en-US" w:eastAsia="zh-CN"/>
              </w:rPr>
              <w:t>2</w:t>
            </w:r>
            <w:r>
              <w:rPr>
                <w:rFonts w:hint="eastAsia" w:ascii="宋体" w:hAnsi="宋体"/>
                <w:bCs/>
                <w:szCs w:val="21"/>
              </w:rPr>
              <w:t>0</w:t>
            </w:r>
            <w:r>
              <w:rPr>
                <w:rFonts w:hint="eastAsia" w:ascii="宋体" w:hAnsi="宋体"/>
                <w:bCs/>
                <w:szCs w:val="21"/>
                <w:lang w:eastAsia="zh-CN"/>
              </w:rPr>
              <w:t>分</w:t>
            </w:r>
            <w:r>
              <w:rPr>
                <w:rFonts w:hint="eastAsia" w:ascii="宋体" w:hAnsi="宋体"/>
                <w:bCs/>
                <w:szCs w:val="21"/>
              </w:rPr>
              <w:t>；</w:t>
            </w:r>
          </w:p>
          <w:p>
            <w:pPr>
              <w:keepNext w:val="0"/>
              <w:keepLines w:val="0"/>
              <w:pageBreakBefore w:val="0"/>
              <w:kinsoku/>
              <w:overflowPunct/>
              <w:topLinePunct w:val="0"/>
              <w:autoSpaceDE/>
              <w:autoSpaceDN/>
              <w:bidi w:val="0"/>
              <w:snapToGrid w:val="0"/>
              <w:spacing w:before="79" w:beforeLines="25" w:after="79" w:afterLines="25" w:line="276" w:lineRule="auto"/>
              <w:rPr>
                <w:rFonts w:ascii="宋体" w:hAnsi="宋体"/>
                <w:bCs/>
                <w:szCs w:val="21"/>
              </w:rPr>
            </w:pPr>
            <w:r>
              <w:rPr>
                <w:rFonts w:hint="eastAsia" w:ascii="宋体" w:hAnsi="宋体"/>
                <w:bCs/>
                <w:szCs w:val="21"/>
                <w:lang w:val="en-US" w:eastAsia="zh-CN"/>
              </w:rPr>
              <w:t>5.</w:t>
            </w:r>
            <w:r>
              <w:rPr>
                <w:rFonts w:ascii="宋体" w:hAnsi="宋体"/>
                <w:bCs/>
                <w:szCs w:val="21"/>
              </w:rPr>
              <w:t>具有</w:t>
            </w:r>
            <w:r>
              <w:rPr>
                <w:rFonts w:hint="eastAsia" w:ascii="宋体" w:hAnsi="宋体"/>
                <w:b/>
                <w:bCs w:val="0"/>
                <w:szCs w:val="21"/>
                <w:lang w:val="en-US" w:eastAsia="zh-CN"/>
              </w:rPr>
              <w:t>相关机构</w:t>
            </w:r>
            <w:r>
              <w:rPr>
                <w:rFonts w:ascii="宋体" w:hAnsi="宋体"/>
                <w:bCs/>
                <w:szCs w:val="21"/>
              </w:rPr>
              <w:t>颁发的</w:t>
            </w:r>
            <w:r>
              <w:rPr>
                <w:rFonts w:hint="eastAsia" w:ascii="宋体" w:hAnsi="宋体"/>
                <w:b/>
                <w:bCs w:val="0"/>
                <w:szCs w:val="21"/>
                <w:lang w:val="en-US" w:eastAsia="zh-CN"/>
              </w:rPr>
              <w:t>有害生物防制员</w:t>
            </w:r>
            <w:r>
              <w:rPr>
                <w:rFonts w:hint="eastAsia" w:ascii="宋体" w:hAnsi="宋体"/>
                <w:b/>
                <w:bCs w:val="0"/>
                <w:szCs w:val="21"/>
              </w:rPr>
              <w:t>证书</w:t>
            </w:r>
            <w:r>
              <w:rPr>
                <w:rFonts w:hint="eastAsia" w:ascii="宋体" w:hAnsi="宋体"/>
                <w:bCs/>
                <w:szCs w:val="21"/>
              </w:rPr>
              <w:t>得</w:t>
            </w:r>
            <w:r>
              <w:rPr>
                <w:rFonts w:hint="eastAsia" w:ascii="宋体" w:hAnsi="宋体"/>
                <w:bCs/>
                <w:szCs w:val="21"/>
                <w:lang w:val="en-US" w:eastAsia="zh-CN"/>
              </w:rPr>
              <w:t>1</w:t>
            </w:r>
            <w:r>
              <w:rPr>
                <w:rFonts w:hint="eastAsia" w:ascii="宋体" w:hAnsi="宋体"/>
                <w:bCs/>
                <w:szCs w:val="21"/>
              </w:rPr>
              <w:t>0</w:t>
            </w:r>
            <w:r>
              <w:rPr>
                <w:rFonts w:hint="eastAsia" w:ascii="宋体" w:hAnsi="宋体"/>
                <w:bCs/>
                <w:szCs w:val="21"/>
                <w:lang w:eastAsia="zh-CN"/>
              </w:rPr>
              <w:t>分</w:t>
            </w:r>
            <w:r>
              <w:rPr>
                <w:rFonts w:hint="eastAsia" w:ascii="宋体" w:hAnsi="宋体"/>
                <w:bCs/>
                <w:szCs w:val="21"/>
              </w:rPr>
              <w:t>；</w:t>
            </w:r>
          </w:p>
          <w:p>
            <w:pPr>
              <w:keepNext w:val="0"/>
              <w:keepLines w:val="0"/>
              <w:pageBreakBefore w:val="0"/>
              <w:kinsoku/>
              <w:overflowPunct/>
              <w:topLinePunct w:val="0"/>
              <w:autoSpaceDE/>
              <w:autoSpaceDN/>
              <w:bidi w:val="0"/>
              <w:snapToGrid w:val="0"/>
              <w:spacing w:before="79" w:beforeLines="25" w:after="79" w:afterLines="25" w:line="276" w:lineRule="auto"/>
              <w:rPr>
                <w:rFonts w:ascii="宋体" w:hAnsi="宋体"/>
                <w:b/>
                <w:bCs w:val="0"/>
                <w:szCs w:val="21"/>
              </w:rPr>
            </w:pPr>
            <w:r>
              <w:rPr>
                <w:rFonts w:ascii="宋体" w:hAnsi="宋体"/>
                <w:b/>
                <w:bCs w:val="0"/>
                <w:szCs w:val="21"/>
              </w:rPr>
              <w:t>以上</w:t>
            </w:r>
            <w:r>
              <w:rPr>
                <w:rFonts w:hint="eastAsia" w:ascii="宋体" w:hAnsi="宋体"/>
                <w:b/>
                <w:bCs w:val="0"/>
                <w:szCs w:val="21"/>
              </w:rPr>
              <w:t>合计</w:t>
            </w:r>
            <w:r>
              <w:rPr>
                <w:rFonts w:ascii="宋体" w:hAnsi="宋体"/>
                <w:b/>
                <w:bCs w:val="0"/>
                <w:szCs w:val="21"/>
              </w:rPr>
              <w:t>最高</w:t>
            </w:r>
            <w:r>
              <w:rPr>
                <w:rFonts w:hint="eastAsia" w:ascii="宋体" w:hAnsi="宋体"/>
                <w:b/>
                <w:bCs w:val="0"/>
                <w:szCs w:val="21"/>
              </w:rPr>
              <w:t>得100</w:t>
            </w:r>
            <w:r>
              <w:rPr>
                <w:rFonts w:hint="eastAsia" w:ascii="宋体" w:hAnsi="宋体"/>
                <w:b/>
                <w:bCs w:val="0"/>
                <w:szCs w:val="21"/>
                <w:lang w:eastAsia="zh-CN"/>
              </w:rPr>
              <w:t>分</w:t>
            </w:r>
            <w:r>
              <w:rPr>
                <w:rFonts w:ascii="宋体" w:hAnsi="宋体"/>
                <w:b/>
                <w:bCs w:val="0"/>
                <w:szCs w:val="21"/>
              </w:rPr>
              <w:t>。</w:t>
            </w:r>
          </w:p>
          <w:p>
            <w:pPr>
              <w:adjustRightInd w:val="0"/>
              <w:snapToGrid w:val="0"/>
              <w:spacing w:line="320" w:lineRule="exact"/>
              <w:rPr>
                <w:rFonts w:ascii="宋体" w:hAnsi="宋体" w:cs="宋体"/>
                <w:b/>
                <w:bCs/>
                <w:color w:val="0000FF"/>
                <w:szCs w:val="21"/>
              </w:rPr>
            </w:pPr>
            <w:r>
              <w:rPr>
                <w:rFonts w:hint="eastAsia" w:ascii="宋体" w:hAnsi="宋体" w:cs="宋体"/>
                <w:b/>
                <w:bCs/>
                <w:color w:val="0000FF"/>
                <w:szCs w:val="21"/>
                <w:lang w:eastAsia="zh-CN"/>
              </w:rPr>
              <w:t>（</w:t>
            </w:r>
            <w:r>
              <w:rPr>
                <w:rFonts w:hint="eastAsia" w:ascii="宋体" w:hAnsi="宋体" w:cs="宋体"/>
                <w:b/>
                <w:bCs/>
                <w:color w:val="0000FF"/>
                <w:szCs w:val="21"/>
                <w:lang w:val="en-US" w:eastAsia="zh-CN"/>
              </w:rPr>
              <w:t>二</w:t>
            </w:r>
            <w:r>
              <w:rPr>
                <w:rFonts w:hint="eastAsia" w:ascii="宋体" w:hAnsi="宋体" w:cs="宋体"/>
                <w:b/>
                <w:bCs/>
                <w:color w:val="0000FF"/>
                <w:szCs w:val="21"/>
                <w:lang w:eastAsia="zh-CN"/>
              </w:rPr>
              <w:t>）</w:t>
            </w:r>
            <w:r>
              <w:rPr>
                <w:rFonts w:hint="eastAsia" w:ascii="宋体" w:hAnsi="宋体" w:cs="宋体"/>
                <w:b/>
                <w:bCs/>
                <w:color w:val="0000FF"/>
                <w:szCs w:val="21"/>
              </w:rPr>
              <w:t>评审标准：</w:t>
            </w:r>
          </w:p>
          <w:p>
            <w:pPr>
              <w:wordWrap w:val="0"/>
              <w:adjustRightInd w:val="0"/>
              <w:snapToGrid w:val="0"/>
              <w:spacing w:after="78" w:line="320" w:lineRule="exact"/>
              <w:rPr>
                <w:rFonts w:ascii="宋体" w:hAnsi="宋体" w:cs="宋体"/>
                <w:color w:val="0000FF"/>
                <w:szCs w:val="21"/>
              </w:rPr>
            </w:pPr>
            <w:r>
              <w:rPr>
                <w:rFonts w:hint="eastAsia" w:ascii="宋体" w:hAnsi="宋体" w:cs="宋体"/>
                <w:color w:val="0000FF"/>
                <w:szCs w:val="21"/>
              </w:rPr>
              <w:t>1、提供相关人员相关证书扫描件，其中：1）涉及学历的，需同时提供学信网信息查询截图：①如较早颁发的学历证书，学信网无法查询的，可提供毕业院校或教育或人社部门等颁发机构或监管机构等出具的证明。②如海外留学（含港澳台）人学历无法通过学信网站查询的，应当提供教育部留学服务中心出具的国外学历认证证书以及教育部留学服务中心官网查询截图。若证明文件为其它语言，必须附中文译文，以中文译文为准。2）如证书颁发单位为相关行业协会（或学会）的，则需同时提供证书颁发单位在全国社会组织信用信息公示平台（https://xxgs.chinanpo.mca.gov.cn/gsxt/newList）的信息查询截图（截图需显示发证单位状态为“正常”）；</w:t>
            </w:r>
          </w:p>
          <w:p>
            <w:pPr>
              <w:adjustRightInd w:val="0"/>
              <w:snapToGrid w:val="0"/>
              <w:spacing w:after="78" w:line="320" w:lineRule="exact"/>
              <w:rPr>
                <w:rFonts w:ascii="宋体" w:hAnsi="宋体" w:cs="宋体"/>
                <w:color w:val="0000FF"/>
                <w:szCs w:val="21"/>
              </w:rPr>
            </w:pPr>
            <w:r>
              <w:rPr>
                <w:rFonts w:hint="eastAsia" w:ascii="宋体" w:hAnsi="宋体" w:cs="宋体"/>
                <w:color w:val="0000FF"/>
                <w:szCs w:val="21"/>
              </w:rPr>
              <w:t>2、</w:t>
            </w:r>
            <w:r>
              <w:rPr>
                <w:rFonts w:ascii="宋体" w:hAnsi="宋体" w:cstheme="minorBidi"/>
                <w:color w:val="0000FF"/>
                <w:szCs w:val="21"/>
              </w:rPr>
              <w:t>提供</w:t>
            </w:r>
            <w:r>
              <w:rPr>
                <w:rFonts w:hint="eastAsia" w:ascii="宋体" w:hAnsi="宋体" w:cstheme="minorBidi"/>
                <w:color w:val="0000FF"/>
                <w:szCs w:val="21"/>
              </w:rPr>
              <w:t>相关</w:t>
            </w:r>
            <w:r>
              <w:rPr>
                <w:rFonts w:ascii="宋体" w:hAnsi="宋体" w:cstheme="minorBidi"/>
                <w:color w:val="0000FF"/>
                <w:szCs w:val="21"/>
              </w:rPr>
              <w:t>人员开标日当月或前一个月在本公司缴纳且载有社保部门（或税务部门）公章（或税务部门公章）的社保缴交证明材料（如开标日当月或前一个月的社保材料因社保部门（或税务部门）原因暂时无法取得，则可以往前顺延一个月）；成立时间不满1个月的投标人需提供成立时间相关说明材料，并提供承诺函（格式自拟）承诺人员为投标人自有员工</w:t>
            </w:r>
            <w:r>
              <w:rPr>
                <w:rFonts w:hint="eastAsia" w:ascii="宋体" w:hAnsi="宋体" w:cs="宋体"/>
                <w:color w:val="0000FF"/>
                <w:szCs w:val="21"/>
              </w:rPr>
              <w:t>；</w:t>
            </w:r>
          </w:p>
          <w:p>
            <w:pPr>
              <w:snapToGrid w:val="0"/>
              <w:spacing w:line="360" w:lineRule="auto"/>
              <w:rPr>
                <w:rFonts w:cs="宋体" w:asciiTheme="minorEastAsia" w:hAnsiTheme="minorEastAsia" w:eastAsiaTheme="minorEastAsia"/>
                <w:kern w:val="2"/>
                <w:sz w:val="21"/>
                <w:szCs w:val="21"/>
                <w:lang w:val="en-US" w:eastAsia="zh-CN" w:bidi="ar-SA"/>
              </w:rPr>
            </w:pPr>
            <w:r>
              <w:rPr>
                <w:rFonts w:hint="eastAsia" w:ascii="宋体" w:hAnsi="宋体" w:cs="宋体"/>
                <w:color w:val="0000FF"/>
                <w:szCs w:val="21"/>
              </w:rPr>
              <w:t>3、未按要求提供证明材料（或证明材料无法判断是否符合评分要求）的不得分，原件备查。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6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eastAsiaTheme="minorEastAsia"/>
                <w:kern w:val="2"/>
                <w:sz w:val="21"/>
                <w:szCs w:val="21"/>
                <w:lang w:val="en-US" w:eastAsia="zh-CN" w:bidi="ar-SA"/>
              </w:rPr>
            </w:pPr>
            <w:r>
              <w:rPr>
                <w:rFonts w:hint="eastAsia" w:cs="宋体" w:asciiTheme="minorEastAsia" w:hAnsiTheme="minorEastAsia"/>
                <w:szCs w:val="21"/>
              </w:rPr>
              <w:t>6</w:t>
            </w:r>
          </w:p>
        </w:tc>
        <w:tc>
          <w:tcPr>
            <w:tcW w:w="15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overflowPunct/>
              <w:topLinePunct w:val="0"/>
              <w:autoSpaceDE/>
              <w:autoSpaceDN/>
              <w:bidi w:val="0"/>
              <w:snapToGrid w:val="0"/>
              <w:spacing w:before="79" w:beforeLines="25" w:after="79" w:afterLines="25" w:line="276" w:lineRule="auto"/>
              <w:jc w:val="center"/>
              <w:rPr>
                <w:rFonts w:ascii="宋体" w:hAnsi="宋体" w:eastAsiaTheme="minorEastAsia" w:cstheme="minorBidi"/>
                <w:kern w:val="2"/>
                <w:sz w:val="21"/>
                <w:szCs w:val="21"/>
                <w:lang w:val="en-US" w:eastAsia="zh-CN" w:bidi="ar-SA"/>
              </w:rPr>
            </w:pPr>
            <w:r>
              <w:rPr>
                <w:rFonts w:hint="eastAsia" w:ascii="宋体" w:hAnsi="宋体"/>
                <w:bCs/>
                <w:szCs w:val="21"/>
              </w:rPr>
              <w:t>拟安排服务团队情况（</w:t>
            </w:r>
            <w:r>
              <w:rPr>
                <w:rFonts w:hint="eastAsia" w:ascii="宋体" w:hAnsi="宋体"/>
                <w:szCs w:val="21"/>
              </w:rPr>
              <w:t>项目经理除外）</w:t>
            </w:r>
          </w:p>
        </w:tc>
        <w:tc>
          <w:tcPr>
            <w:tcW w:w="7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overflowPunct/>
              <w:topLinePunct w:val="0"/>
              <w:autoSpaceDE/>
              <w:autoSpaceDN/>
              <w:bidi w:val="0"/>
              <w:snapToGrid w:val="0"/>
              <w:spacing w:before="79" w:beforeLines="25" w:after="79" w:afterLines="25" w:line="276" w:lineRule="auto"/>
              <w:jc w:val="center"/>
              <w:rPr>
                <w:rFonts w:ascii="宋体" w:hAnsi="宋体" w:eastAsiaTheme="minorEastAsia" w:cstheme="minorBidi"/>
                <w:kern w:val="2"/>
                <w:sz w:val="21"/>
                <w:szCs w:val="21"/>
                <w:lang w:val="en-US" w:eastAsia="zh-CN" w:bidi="ar-SA"/>
              </w:rPr>
            </w:pPr>
            <w:r>
              <w:rPr>
                <w:rFonts w:ascii="宋体" w:hAnsi="宋体"/>
                <w:szCs w:val="21"/>
              </w:rPr>
              <w:t>25</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360" w:lineRule="auto"/>
              <w:rPr>
                <w:rFonts w:ascii="宋体" w:hAnsi="宋体"/>
                <w:b/>
                <w:szCs w:val="21"/>
              </w:rPr>
            </w:pPr>
            <w:r>
              <w:rPr>
                <w:rFonts w:hint="eastAsia" w:ascii="宋体" w:hAnsi="宋体"/>
                <w:b/>
                <w:szCs w:val="21"/>
              </w:rPr>
              <w:t>（一）评审内容</w:t>
            </w:r>
            <w:r>
              <w:rPr>
                <w:rFonts w:ascii="宋体" w:hAnsi="宋体"/>
                <w:b/>
                <w:szCs w:val="21"/>
              </w:rPr>
              <w:t>：</w:t>
            </w:r>
          </w:p>
          <w:p>
            <w:pPr>
              <w:snapToGrid w:val="0"/>
              <w:spacing w:line="360" w:lineRule="auto"/>
              <w:rPr>
                <w:rFonts w:ascii="宋体" w:hAnsi="宋体"/>
                <w:bCs/>
                <w:szCs w:val="21"/>
              </w:rPr>
            </w:pPr>
            <w:r>
              <w:rPr>
                <w:rFonts w:ascii="宋体" w:hAnsi="宋体"/>
                <w:bCs/>
                <w:szCs w:val="21"/>
              </w:rPr>
              <w:t>投标人</w:t>
            </w:r>
            <w:r>
              <w:rPr>
                <w:rFonts w:hint="eastAsia" w:ascii="宋体" w:hAnsi="宋体"/>
                <w:bCs/>
                <w:szCs w:val="21"/>
              </w:rPr>
              <w:t>拟安排技术人员</w:t>
            </w:r>
            <w:r>
              <w:rPr>
                <w:rFonts w:ascii="宋体" w:hAnsi="宋体"/>
                <w:bCs/>
                <w:szCs w:val="21"/>
              </w:rPr>
              <w:t>情况</w:t>
            </w:r>
            <w:r>
              <w:rPr>
                <w:rFonts w:hint="eastAsia" w:ascii="宋体" w:hAnsi="宋体"/>
                <w:bCs/>
                <w:szCs w:val="21"/>
              </w:rPr>
              <w:t>（项目</w:t>
            </w:r>
            <w:r>
              <w:rPr>
                <w:rFonts w:ascii="宋体" w:hAnsi="宋体"/>
                <w:bCs/>
                <w:szCs w:val="21"/>
              </w:rPr>
              <w:t>负责人除外</w:t>
            </w:r>
            <w:r>
              <w:rPr>
                <w:rFonts w:hint="eastAsia" w:ascii="宋体" w:hAnsi="宋体"/>
                <w:bCs/>
                <w:szCs w:val="21"/>
              </w:rPr>
              <w:t>）</w:t>
            </w:r>
            <w:r>
              <w:rPr>
                <w:rFonts w:hint="eastAsia" w:ascii="宋体" w:hAnsi="宋体" w:cs="宋体"/>
                <w:szCs w:val="21"/>
              </w:rPr>
              <w:t>须为自有员工</w:t>
            </w:r>
            <w:r>
              <w:rPr>
                <w:rFonts w:ascii="宋体" w:hAnsi="宋体"/>
                <w:bCs/>
                <w:szCs w:val="21"/>
              </w:rPr>
              <w:t>：</w:t>
            </w:r>
          </w:p>
          <w:p>
            <w:pPr>
              <w:pStyle w:val="27"/>
              <w:numPr>
                <w:ilvl w:val="0"/>
                <w:numId w:val="0"/>
              </w:numPr>
              <w:snapToGrid w:val="0"/>
              <w:spacing w:before="78" w:beforeLines="25" w:after="78" w:afterLines="25" w:line="276" w:lineRule="auto"/>
              <w:ind w:firstLine="0" w:firstLineChars="0"/>
              <w:rPr>
                <w:rFonts w:hint="eastAsia" w:ascii="宋体" w:hAnsi="宋体" w:eastAsia="宋体" w:cs="Times New Roman"/>
                <w:b/>
                <w:bCs w:val="0"/>
                <w:color w:val="FF0000"/>
                <w:szCs w:val="24"/>
                <w14:ligatures w14:val="standardContextual"/>
              </w:rPr>
            </w:pPr>
            <w:r>
              <w:rPr>
                <w:rFonts w:hint="eastAsia" w:ascii="宋体" w:hAnsi="宋体" w:eastAsia="宋体" w:cs="Times New Roman"/>
                <w:b/>
                <w:bCs w:val="0"/>
                <w:color w:val="FF0000"/>
                <w:szCs w:val="24"/>
                <w14:ligatures w14:val="standardContextual"/>
              </w:rPr>
              <w:t>1、保安员(仅限1人，最高得40分）</w:t>
            </w:r>
          </w:p>
          <w:p>
            <w:pPr>
              <w:snapToGrid w:val="0"/>
              <w:spacing w:before="78" w:beforeLines="25" w:after="78" w:afterLines="25" w:line="276" w:lineRule="auto"/>
              <w:rPr>
                <w:rFonts w:ascii="宋体" w:hAnsi="宋体"/>
                <w:bCs/>
              </w:rPr>
            </w:pPr>
            <w:r>
              <w:rPr>
                <w:rFonts w:hint="eastAsia" w:ascii="宋体" w:hAnsi="宋体"/>
                <w:bCs/>
              </w:rPr>
              <w:t>（1）具有</w:t>
            </w:r>
            <w:r>
              <w:rPr>
                <w:rFonts w:hint="eastAsia" w:ascii="宋体" w:hAnsi="宋体"/>
                <w:b/>
              </w:rPr>
              <w:t>本科（或以上）学历</w:t>
            </w:r>
            <w:r>
              <w:rPr>
                <w:rFonts w:hint="eastAsia" w:ascii="宋体" w:hAnsi="宋体"/>
                <w:bCs/>
                <w:szCs w:val="21"/>
              </w:rPr>
              <w:t>的,得5分</w:t>
            </w:r>
            <w:r>
              <w:rPr>
                <w:rFonts w:hint="eastAsia" w:ascii="宋体" w:hAnsi="宋体"/>
                <w:bCs/>
              </w:rPr>
              <w:t>；</w:t>
            </w:r>
          </w:p>
          <w:p>
            <w:pPr>
              <w:snapToGrid w:val="0"/>
              <w:spacing w:before="78" w:beforeLines="25" w:after="78" w:afterLines="25" w:line="276" w:lineRule="auto"/>
              <w:rPr>
                <w:rFonts w:ascii="宋体" w:hAnsi="宋体"/>
                <w:bCs/>
              </w:rPr>
            </w:pPr>
            <w:r>
              <w:rPr>
                <w:rFonts w:hint="eastAsia" w:ascii="宋体" w:hAnsi="宋体"/>
                <w:bCs/>
              </w:rPr>
              <w:t>（2）具有</w:t>
            </w:r>
            <w:r>
              <w:rPr>
                <w:rFonts w:hint="eastAsia" w:ascii="宋体" w:hAnsi="宋体"/>
                <w:b/>
              </w:rPr>
              <w:t>退伍军人证或士官退出现役证</w:t>
            </w:r>
            <w:r>
              <w:rPr>
                <w:rFonts w:hint="eastAsia" w:ascii="宋体" w:hAnsi="宋体"/>
                <w:bCs/>
                <w:szCs w:val="21"/>
              </w:rPr>
              <w:t>的,得10分</w:t>
            </w:r>
            <w:r>
              <w:rPr>
                <w:rFonts w:hint="eastAsia" w:ascii="宋体" w:hAnsi="宋体"/>
                <w:bCs/>
              </w:rPr>
              <w:t>；</w:t>
            </w:r>
          </w:p>
          <w:p>
            <w:pPr>
              <w:snapToGrid w:val="0"/>
              <w:spacing w:before="78" w:beforeLines="25" w:after="78" w:afterLines="25" w:line="276" w:lineRule="auto"/>
              <w:rPr>
                <w:rFonts w:ascii="宋体" w:hAnsi="宋体"/>
                <w:bCs/>
              </w:rPr>
            </w:pPr>
            <w:r>
              <w:rPr>
                <w:rFonts w:hint="eastAsia" w:ascii="宋体" w:hAnsi="宋体"/>
                <w:bCs/>
              </w:rPr>
              <w:t>（3）具有</w:t>
            </w:r>
            <w:r>
              <w:rPr>
                <w:rFonts w:hint="eastAsia" w:ascii="宋体" w:hAnsi="宋体"/>
                <w:b/>
              </w:rPr>
              <w:t>相关机构</w:t>
            </w:r>
            <w:r>
              <w:rPr>
                <w:rFonts w:hint="eastAsia" w:ascii="宋体" w:hAnsi="宋体"/>
                <w:bCs/>
              </w:rPr>
              <w:t>颁发的</w:t>
            </w:r>
            <w:r>
              <w:rPr>
                <w:rFonts w:hint="eastAsia" w:ascii="宋体" w:hAnsi="宋体"/>
                <w:b/>
              </w:rPr>
              <w:t>劳动关系协调员三级（或以上）证书</w:t>
            </w:r>
            <w:r>
              <w:rPr>
                <w:rFonts w:hint="eastAsia" w:ascii="宋体" w:hAnsi="宋体"/>
                <w:bCs/>
                <w:szCs w:val="21"/>
              </w:rPr>
              <w:t>的,得10分</w:t>
            </w:r>
            <w:r>
              <w:rPr>
                <w:rFonts w:hint="eastAsia" w:ascii="宋体" w:hAnsi="宋体"/>
                <w:bCs/>
              </w:rPr>
              <w:t>；</w:t>
            </w:r>
          </w:p>
          <w:p>
            <w:pPr>
              <w:snapToGrid w:val="0"/>
              <w:spacing w:before="78" w:beforeLines="25" w:after="78" w:afterLines="25" w:line="276" w:lineRule="auto"/>
              <w:rPr>
                <w:rFonts w:ascii="宋体" w:hAnsi="宋体"/>
                <w:bCs/>
              </w:rPr>
            </w:pPr>
            <w:r>
              <w:rPr>
                <w:rFonts w:hint="eastAsia" w:ascii="宋体" w:hAnsi="宋体"/>
                <w:bCs/>
              </w:rPr>
              <w:t>（4）具有</w:t>
            </w:r>
            <w:r>
              <w:rPr>
                <w:rFonts w:hint="eastAsia" w:ascii="宋体" w:hAnsi="宋体"/>
                <w:b/>
              </w:rPr>
              <w:t>相关机构</w:t>
            </w:r>
            <w:r>
              <w:rPr>
                <w:rFonts w:hint="eastAsia" w:ascii="宋体" w:hAnsi="宋体"/>
                <w:bCs/>
              </w:rPr>
              <w:t>颁发的</w:t>
            </w:r>
            <w:r>
              <w:rPr>
                <w:rFonts w:hint="eastAsia" w:ascii="宋体" w:hAnsi="宋体"/>
                <w:b/>
              </w:rPr>
              <w:t>物业管理员四级（或以上）证书</w:t>
            </w:r>
            <w:r>
              <w:rPr>
                <w:rFonts w:hint="eastAsia" w:ascii="宋体" w:hAnsi="宋体"/>
                <w:bCs/>
                <w:szCs w:val="21"/>
              </w:rPr>
              <w:t>的,得10分</w:t>
            </w:r>
            <w:r>
              <w:rPr>
                <w:rFonts w:hint="eastAsia" w:ascii="宋体" w:hAnsi="宋体"/>
                <w:bCs/>
              </w:rPr>
              <w:t>；</w:t>
            </w:r>
          </w:p>
          <w:p>
            <w:pPr>
              <w:snapToGrid w:val="0"/>
              <w:spacing w:before="78" w:beforeLines="25" w:after="78" w:afterLines="25" w:line="276" w:lineRule="auto"/>
              <w:rPr>
                <w:rFonts w:ascii="宋体" w:hAnsi="宋体"/>
                <w:bCs/>
              </w:rPr>
            </w:pPr>
            <w:r>
              <w:rPr>
                <w:rFonts w:hint="eastAsia" w:ascii="宋体" w:hAnsi="宋体"/>
                <w:bCs/>
              </w:rPr>
              <w:t>（5）具有</w:t>
            </w:r>
            <w:r>
              <w:rPr>
                <w:rFonts w:hint="eastAsia" w:ascii="宋体" w:hAnsi="宋体"/>
                <w:b/>
              </w:rPr>
              <w:t>相关机构</w:t>
            </w:r>
            <w:r>
              <w:rPr>
                <w:rFonts w:hint="eastAsia" w:ascii="宋体" w:hAnsi="宋体"/>
                <w:bCs/>
              </w:rPr>
              <w:t>颁发的</w:t>
            </w:r>
            <w:r>
              <w:rPr>
                <w:rFonts w:hint="eastAsia" w:ascii="宋体" w:hAnsi="宋体"/>
                <w:b/>
              </w:rPr>
              <w:t>安全管理人员培训合格证书</w:t>
            </w:r>
            <w:r>
              <w:rPr>
                <w:rFonts w:hint="eastAsia" w:ascii="宋体" w:hAnsi="宋体"/>
                <w:bCs/>
                <w:szCs w:val="21"/>
              </w:rPr>
              <w:t>的</w:t>
            </w:r>
            <w:r>
              <w:rPr>
                <w:rFonts w:hint="eastAsia" w:ascii="宋体" w:hAnsi="宋体"/>
                <w:bCs/>
              </w:rPr>
              <w:t>，得5分；</w:t>
            </w:r>
          </w:p>
          <w:p>
            <w:pPr>
              <w:pStyle w:val="27"/>
              <w:numPr>
                <w:ilvl w:val="0"/>
                <w:numId w:val="0"/>
              </w:numPr>
              <w:snapToGrid w:val="0"/>
              <w:spacing w:before="78" w:beforeLines="25" w:after="78" w:afterLines="25" w:line="276" w:lineRule="auto"/>
              <w:ind w:firstLine="0" w:firstLineChars="0"/>
              <w:rPr>
                <w:rFonts w:hint="eastAsia" w:ascii="宋体" w:hAnsi="宋体" w:eastAsia="宋体" w:cs="Times New Roman"/>
                <w:b/>
                <w:bCs w:val="0"/>
                <w:color w:val="FF0000"/>
                <w:szCs w:val="24"/>
                <w14:ligatures w14:val="standardContextual"/>
              </w:rPr>
            </w:pPr>
            <w:r>
              <w:rPr>
                <w:rFonts w:hint="eastAsia" w:ascii="宋体" w:hAnsi="宋体" w:eastAsia="宋体" w:cs="Times New Roman"/>
                <w:b/>
                <w:bCs w:val="0"/>
                <w:color w:val="FF0000"/>
                <w:szCs w:val="24"/>
                <w14:ligatures w14:val="standardContextual"/>
              </w:rPr>
              <w:t>2、保洁员(仅限1人，最高得35分）</w:t>
            </w:r>
          </w:p>
          <w:p>
            <w:pPr>
              <w:snapToGrid w:val="0"/>
              <w:spacing w:before="78" w:beforeLines="25" w:after="78" w:afterLines="25" w:line="276" w:lineRule="auto"/>
              <w:rPr>
                <w:rFonts w:ascii="宋体" w:hAnsi="宋体"/>
                <w:bCs/>
              </w:rPr>
            </w:pPr>
            <w:r>
              <w:rPr>
                <w:rFonts w:hint="eastAsia" w:ascii="宋体" w:hAnsi="宋体"/>
                <w:bCs/>
              </w:rPr>
              <w:t>（1）具有</w:t>
            </w:r>
            <w:r>
              <w:rPr>
                <w:rFonts w:hint="eastAsia" w:ascii="宋体" w:hAnsi="宋体"/>
                <w:b/>
              </w:rPr>
              <w:t>本科（或以上）学历</w:t>
            </w:r>
            <w:r>
              <w:rPr>
                <w:rFonts w:hint="eastAsia" w:ascii="宋体" w:hAnsi="宋体"/>
                <w:bCs/>
                <w:szCs w:val="21"/>
              </w:rPr>
              <w:t>的,得5分</w:t>
            </w:r>
            <w:r>
              <w:rPr>
                <w:rFonts w:hint="eastAsia" w:ascii="宋体" w:hAnsi="宋体"/>
                <w:bCs/>
              </w:rPr>
              <w:t>；</w:t>
            </w:r>
          </w:p>
          <w:p>
            <w:pPr>
              <w:snapToGrid w:val="0"/>
              <w:spacing w:before="78" w:beforeLines="25" w:after="78" w:afterLines="25" w:line="276" w:lineRule="auto"/>
              <w:rPr>
                <w:rFonts w:ascii="宋体" w:hAnsi="宋体"/>
                <w:bCs/>
              </w:rPr>
            </w:pPr>
            <w:r>
              <w:rPr>
                <w:rFonts w:hint="eastAsia" w:ascii="宋体" w:hAnsi="宋体"/>
                <w:bCs/>
              </w:rPr>
              <w:t>（2）具有</w:t>
            </w:r>
            <w:r>
              <w:rPr>
                <w:rFonts w:hint="eastAsia" w:ascii="宋体" w:hAnsi="宋体"/>
                <w:b/>
              </w:rPr>
              <w:t>人社部门</w:t>
            </w:r>
            <w:r>
              <w:rPr>
                <w:rFonts w:hint="eastAsia" w:ascii="宋体" w:hAnsi="宋体"/>
                <w:bCs/>
              </w:rPr>
              <w:t>颁发的</w:t>
            </w:r>
            <w:r>
              <w:rPr>
                <w:rFonts w:hint="eastAsia" w:ascii="宋体" w:hAnsi="宋体"/>
                <w:b/>
              </w:rPr>
              <w:t>中级（或以上）经济师职称证书（专业：人力资源管理）</w:t>
            </w:r>
            <w:r>
              <w:rPr>
                <w:rFonts w:hint="eastAsia" w:ascii="宋体" w:hAnsi="宋体"/>
                <w:bCs/>
                <w:szCs w:val="21"/>
              </w:rPr>
              <w:t>的,得</w:t>
            </w:r>
            <w:r>
              <w:rPr>
                <w:rFonts w:hint="eastAsia" w:ascii="宋体" w:hAnsi="宋体"/>
                <w:bCs/>
                <w:szCs w:val="21"/>
                <w:lang w:val="en-US" w:eastAsia="zh-CN"/>
              </w:rPr>
              <w:t>2</w:t>
            </w:r>
            <w:r>
              <w:rPr>
                <w:rFonts w:hint="eastAsia" w:ascii="宋体" w:hAnsi="宋体"/>
                <w:bCs/>
                <w:szCs w:val="21"/>
              </w:rPr>
              <w:t>0分</w:t>
            </w:r>
            <w:r>
              <w:rPr>
                <w:rFonts w:hint="eastAsia" w:ascii="宋体" w:hAnsi="宋体"/>
                <w:bCs/>
              </w:rPr>
              <w:t>；</w:t>
            </w:r>
          </w:p>
          <w:p>
            <w:pPr>
              <w:snapToGrid w:val="0"/>
              <w:spacing w:before="78" w:beforeLines="25" w:after="78" w:afterLines="25" w:line="276" w:lineRule="auto"/>
              <w:rPr>
                <w:rFonts w:ascii="宋体" w:hAnsi="宋体"/>
                <w:bCs/>
              </w:rPr>
            </w:pPr>
            <w:r>
              <w:rPr>
                <w:rFonts w:hint="eastAsia" w:ascii="宋体" w:hAnsi="宋体"/>
                <w:bCs/>
              </w:rPr>
              <w:t>（</w:t>
            </w:r>
            <w:r>
              <w:rPr>
                <w:rFonts w:hint="eastAsia" w:ascii="宋体" w:hAnsi="宋体"/>
                <w:bCs/>
                <w:lang w:val="en-US" w:eastAsia="zh-CN"/>
              </w:rPr>
              <w:t>3</w:t>
            </w:r>
            <w:r>
              <w:rPr>
                <w:rFonts w:hint="eastAsia" w:ascii="宋体" w:hAnsi="宋体"/>
                <w:bCs/>
              </w:rPr>
              <w:t>）具有</w:t>
            </w:r>
            <w:r>
              <w:rPr>
                <w:rFonts w:hint="eastAsia" w:ascii="宋体" w:hAnsi="宋体"/>
                <w:b/>
              </w:rPr>
              <w:t>相关行业协会</w:t>
            </w:r>
            <w:r>
              <w:rPr>
                <w:rFonts w:hint="eastAsia" w:ascii="宋体" w:hAnsi="宋体"/>
                <w:bCs/>
              </w:rPr>
              <w:t>颁发的</w:t>
            </w:r>
            <w:r>
              <w:rPr>
                <w:rFonts w:hint="eastAsia" w:ascii="宋体" w:hAnsi="宋体"/>
                <w:b/>
              </w:rPr>
              <w:t>高级清洁管理师证书</w:t>
            </w:r>
            <w:r>
              <w:rPr>
                <w:rFonts w:hint="eastAsia" w:ascii="宋体" w:hAnsi="宋体"/>
                <w:bCs/>
                <w:szCs w:val="21"/>
              </w:rPr>
              <w:t>的,得10分</w:t>
            </w:r>
            <w:r>
              <w:rPr>
                <w:rFonts w:hint="eastAsia" w:ascii="宋体" w:hAnsi="宋体"/>
                <w:bCs/>
              </w:rPr>
              <w:t>；</w:t>
            </w:r>
          </w:p>
          <w:p>
            <w:pPr>
              <w:pStyle w:val="27"/>
              <w:numPr>
                <w:ilvl w:val="0"/>
                <w:numId w:val="0"/>
              </w:numPr>
              <w:snapToGrid w:val="0"/>
              <w:spacing w:before="78" w:beforeLines="25" w:after="78" w:afterLines="25" w:line="276" w:lineRule="auto"/>
              <w:ind w:firstLine="0" w:firstLineChars="0"/>
              <w:rPr>
                <w:rFonts w:hint="eastAsia" w:ascii="宋体" w:hAnsi="宋体" w:eastAsia="宋体" w:cs="Times New Roman"/>
                <w:b/>
                <w:bCs w:val="0"/>
                <w:color w:val="FF0000"/>
                <w:szCs w:val="24"/>
                <w14:ligatures w14:val="standardContextual"/>
              </w:rPr>
            </w:pPr>
            <w:r>
              <w:rPr>
                <w:rFonts w:hint="eastAsia" w:ascii="宋体" w:hAnsi="宋体" w:eastAsia="宋体" w:cs="Times New Roman"/>
                <w:b/>
                <w:bCs w:val="0"/>
                <w:color w:val="FF0000"/>
                <w:szCs w:val="24"/>
                <w14:ligatures w14:val="standardContextual"/>
              </w:rPr>
              <w:t>3、非教管理员(仅限1人，最高得35分）</w:t>
            </w:r>
          </w:p>
          <w:p>
            <w:pPr>
              <w:snapToGrid w:val="0"/>
              <w:spacing w:before="78" w:beforeLines="25" w:after="78" w:afterLines="25" w:line="276" w:lineRule="auto"/>
              <w:rPr>
                <w:rFonts w:ascii="宋体" w:hAnsi="宋体"/>
                <w:bCs/>
              </w:rPr>
            </w:pPr>
            <w:r>
              <w:rPr>
                <w:rFonts w:hint="eastAsia" w:ascii="宋体" w:hAnsi="宋体"/>
                <w:bCs/>
              </w:rPr>
              <w:t>（1）具有</w:t>
            </w:r>
            <w:r>
              <w:rPr>
                <w:rFonts w:hint="eastAsia" w:ascii="宋体" w:hAnsi="宋体"/>
                <w:b/>
              </w:rPr>
              <w:t>本科（或以上）学历</w:t>
            </w:r>
            <w:r>
              <w:rPr>
                <w:rFonts w:hint="eastAsia" w:ascii="宋体" w:hAnsi="宋体"/>
                <w:bCs/>
                <w:szCs w:val="21"/>
              </w:rPr>
              <w:t>的,得5分</w:t>
            </w:r>
            <w:r>
              <w:rPr>
                <w:rFonts w:hint="eastAsia" w:ascii="宋体" w:hAnsi="宋体"/>
                <w:bCs/>
              </w:rPr>
              <w:t>；</w:t>
            </w:r>
          </w:p>
          <w:p>
            <w:pPr>
              <w:snapToGrid w:val="0"/>
              <w:spacing w:before="78" w:beforeLines="25" w:after="78" w:afterLines="25" w:line="276" w:lineRule="auto"/>
              <w:rPr>
                <w:rFonts w:ascii="宋体" w:hAnsi="宋体"/>
                <w:bCs/>
              </w:rPr>
            </w:pPr>
            <w:r>
              <w:rPr>
                <w:rFonts w:hint="eastAsia" w:ascii="宋体" w:hAnsi="宋体"/>
                <w:bCs/>
              </w:rPr>
              <w:t>（2）具有</w:t>
            </w:r>
            <w:r>
              <w:rPr>
                <w:rFonts w:hint="eastAsia" w:ascii="宋体" w:hAnsi="宋体"/>
                <w:b/>
              </w:rPr>
              <w:t>相关机构</w:t>
            </w:r>
            <w:r>
              <w:rPr>
                <w:rFonts w:hint="eastAsia" w:ascii="宋体" w:hAnsi="宋体"/>
                <w:bCs/>
              </w:rPr>
              <w:t>颁发的</w:t>
            </w:r>
            <w:r>
              <w:rPr>
                <w:rFonts w:hint="eastAsia" w:ascii="宋体" w:hAnsi="宋体"/>
                <w:b/>
              </w:rPr>
              <w:t>相关物业管理类中级（或以上）职称证书</w:t>
            </w:r>
            <w:r>
              <w:rPr>
                <w:rFonts w:hint="eastAsia" w:ascii="宋体" w:hAnsi="宋体"/>
                <w:bCs/>
              </w:rPr>
              <w:t>的，得10分；</w:t>
            </w:r>
          </w:p>
          <w:p>
            <w:pPr>
              <w:snapToGrid w:val="0"/>
              <w:spacing w:before="78" w:beforeLines="25" w:after="78" w:afterLines="25" w:line="276" w:lineRule="auto"/>
              <w:rPr>
                <w:rFonts w:ascii="宋体" w:hAnsi="宋体"/>
                <w:bCs/>
              </w:rPr>
            </w:pPr>
            <w:r>
              <w:rPr>
                <w:rFonts w:hint="eastAsia" w:ascii="宋体" w:hAnsi="宋体"/>
                <w:bCs/>
              </w:rPr>
              <w:t>（3）具有</w:t>
            </w:r>
            <w:r>
              <w:rPr>
                <w:rFonts w:hint="eastAsia" w:ascii="宋体" w:hAnsi="宋体"/>
                <w:b/>
              </w:rPr>
              <w:t>相关机构</w:t>
            </w:r>
            <w:r>
              <w:rPr>
                <w:rFonts w:hint="eastAsia" w:ascii="宋体" w:hAnsi="宋体"/>
                <w:bCs/>
              </w:rPr>
              <w:t>颁发的</w:t>
            </w:r>
            <w:r>
              <w:rPr>
                <w:rFonts w:hint="eastAsia" w:ascii="宋体" w:hAnsi="宋体"/>
                <w:b/>
              </w:rPr>
              <w:t>心理咨询师二级（或以上）证书</w:t>
            </w:r>
            <w:r>
              <w:rPr>
                <w:rFonts w:hint="eastAsia" w:ascii="宋体" w:hAnsi="宋体"/>
                <w:bCs/>
                <w:szCs w:val="21"/>
              </w:rPr>
              <w:t>的,得10分</w:t>
            </w:r>
            <w:r>
              <w:rPr>
                <w:rFonts w:hint="eastAsia" w:ascii="宋体" w:hAnsi="宋体"/>
                <w:bCs/>
              </w:rPr>
              <w:t>；</w:t>
            </w:r>
          </w:p>
          <w:p>
            <w:pPr>
              <w:snapToGrid w:val="0"/>
              <w:spacing w:before="78" w:beforeLines="25" w:after="78" w:afterLines="25" w:line="276" w:lineRule="auto"/>
              <w:rPr>
                <w:rFonts w:ascii="宋体" w:hAnsi="宋体"/>
                <w:bCs/>
              </w:rPr>
            </w:pPr>
            <w:r>
              <w:rPr>
                <w:rFonts w:hint="eastAsia" w:ascii="宋体" w:hAnsi="宋体"/>
                <w:bCs/>
              </w:rPr>
              <w:t>（4）具有</w:t>
            </w:r>
            <w:r>
              <w:rPr>
                <w:rFonts w:hint="eastAsia" w:ascii="宋体" w:hAnsi="宋体"/>
                <w:b/>
              </w:rPr>
              <w:t>人社部门（或相关行业协会）</w:t>
            </w:r>
            <w:r>
              <w:rPr>
                <w:rFonts w:hint="eastAsia" w:ascii="宋体" w:hAnsi="宋体"/>
                <w:bCs/>
              </w:rPr>
              <w:t>颁发的</w:t>
            </w:r>
            <w:r>
              <w:rPr>
                <w:rFonts w:hint="eastAsia" w:ascii="宋体" w:hAnsi="宋体"/>
                <w:b/>
              </w:rPr>
              <w:t>社会工作者三级（或以上）证书</w:t>
            </w:r>
            <w:r>
              <w:rPr>
                <w:rFonts w:hint="eastAsia" w:ascii="宋体" w:hAnsi="宋体"/>
                <w:bCs/>
                <w:szCs w:val="21"/>
              </w:rPr>
              <w:t>的,得10分</w:t>
            </w:r>
            <w:r>
              <w:rPr>
                <w:rFonts w:hint="eastAsia" w:ascii="宋体" w:hAnsi="宋体"/>
                <w:bCs/>
              </w:rPr>
              <w:t>。</w:t>
            </w:r>
          </w:p>
          <w:p>
            <w:pPr>
              <w:snapToGrid w:val="0"/>
              <w:spacing w:before="78" w:beforeLines="25" w:after="78" w:afterLines="25" w:line="276" w:lineRule="auto"/>
              <w:rPr>
                <w:rFonts w:ascii="宋体" w:hAnsi="宋体"/>
                <w:b/>
                <w:bCs w:val="0"/>
                <w:highlight w:val="none"/>
              </w:rPr>
            </w:pPr>
            <w:r>
              <w:rPr>
                <w:rFonts w:hint="eastAsia" w:ascii="宋体" w:hAnsi="宋体"/>
                <w:b/>
              </w:rPr>
              <w:t>注：以上1-3项累计最多100分，</w:t>
            </w:r>
            <w:r>
              <w:rPr>
                <w:rFonts w:ascii="宋体" w:hAnsi="宋体"/>
                <w:b/>
              </w:rPr>
              <w:t>同一人不重复计分。</w:t>
            </w:r>
          </w:p>
          <w:p>
            <w:pPr>
              <w:adjustRightInd w:val="0"/>
              <w:snapToGrid w:val="0"/>
              <w:spacing w:line="320" w:lineRule="exact"/>
              <w:rPr>
                <w:rFonts w:ascii="宋体" w:hAnsi="宋体" w:cs="宋体"/>
                <w:b/>
                <w:bCs/>
                <w:color w:val="0000FF"/>
                <w:szCs w:val="21"/>
                <w:highlight w:val="none"/>
              </w:rPr>
            </w:pPr>
            <w:r>
              <w:rPr>
                <w:rFonts w:hint="eastAsia" w:ascii="宋体" w:hAnsi="宋体" w:cs="宋体"/>
                <w:b/>
                <w:bCs/>
                <w:color w:val="0000FF"/>
                <w:szCs w:val="21"/>
                <w:highlight w:val="none"/>
                <w:lang w:eastAsia="zh-CN"/>
              </w:rPr>
              <w:t>（</w:t>
            </w:r>
            <w:r>
              <w:rPr>
                <w:rFonts w:hint="eastAsia" w:ascii="宋体" w:hAnsi="宋体" w:cs="宋体"/>
                <w:b/>
                <w:bCs/>
                <w:color w:val="0000FF"/>
                <w:szCs w:val="21"/>
                <w:highlight w:val="none"/>
                <w:lang w:val="en-US" w:eastAsia="zh-CN"/>
              </w:rPr>
              <w:t>二</w:t>
            </w:r>
            <w:r>
              <w:rPr>
                <w:rFonts w:hint="eastAsia" w:ascii="宋体" w:hAnsi="宋体" w:cs="宋体"/>
                <w:b/>
                <w:bCs/>
                <w:color w:val="0000FF"/>
                <w:szCs w:val="21"/>
                <w:highlight w:val="none"/>
                <w:lang w:eastAsia="zh-CN"/>
              </w:rPr>
              <w:t>）</w:t>
            </w:r>
            <w:r>
              <w:rPr>
                <w:rFonts w:hint="eastAsia" w:ascii="宋体" w:hAnsi="宋体" w:cs="宋体"/>
                <w:b/>
                <w:bCs/>
                <w:color w:val="0000FF"/>
                <w:szCs w:val="21"/>
                <w:highlight w:val="none"/>
              </w:rPr>
              <w:t>评审标准：</w:t>
            </w:r>
          </w:p>
          <w:p>
            <w:pPr>
              <w:wordWrap w:val="0"/>
              <w:adjustRightInd w:val="0"/>
              <w:snapToGrid w:val="0"/>
              <w:spacing w:after="78" w:line="320" w:lineRule="exact"/>
              <w:rPr>
                <w:rFonts w:ascii="宋体" w:hAnsi="宋体" w:cs="宋体"/>
                <w:color w:val="0000FF"/>
                <w:szCs w:val="21"/>
                <w:highlight w:val="none"/>
              </w:rPr>
            </w:pPr>
            <w:r>
              <w:rPr>
                <w:rFonts w:hint="eastAsia" w:ascii="宋体" w:hAnsi="宋体" w:cs="宋体"/>
                <w:color w:val="0000FF"/>
                <w:szCs w:val="21"/>
                <w:highlight w:val="none"/>
              </w:rPr>
              <w:t>1、提供相关人员相关证书扫描件，其中：1）涉及学历的，需同时提供学信网信息查询截图：①如较早颁发的学历证书，学信网无法查询的，可提供毕业院校或教育或人社部门等颁发机构或监管机构等出具的证明。②如海外留学（含港澳台）人学历无法通过学信网站查询的，应当提供教育部留学服务中心出具的国外学历认证证书以及教育部留学服务中心官网查询截图。若证明文件为其它语言，必须附中文译文，以中文译文为准。2）如证书颁发单位为相关行业协会（或学会）的，则需同时提供证书颁发单位在全国社会组织信用信息公示平台（https://xxgs.chinanpo.mca.gov.cn/gsxt/newList）的信息查询截图（截图需显示发证单位状态为“正常”）；</w:t>
            </w:r>
          </w:p>
          <w:p>
            <w:pPr>
              <w:adjustRightInd w:val="0"/>
              <w:snapToGrid w:val="0"/>
              <w:spacing w:after="78" w:line="320" w:lineRule="exact"/>
              <w:rPr>
                <w:rFonts w:ascii="宋体" w:hAnsi="宋体" w:cs="宋体"/>
                <w:color w:val="0000FF"/>
                <w:szCs w:val="21"/>
                <w:highlight w:val="none"/>
              </w:rPr>
            </w:pPr>
            <w:r>
              <w:rPr>
                <w:rFonts w:hint="eastAsia" w:ascii="宋体" w:hAnsi="宋体" w:cs="宋体"/>
                <w:color w:val="0000FF"/>
                <w:szCs w:val="21"/>
                <w:highlight w:val="none"/>
              </w:rPr>
              <w:t>2、</w:t>
            </w:r>
            <w:r>
              <w:rPr>
                <w:rFonts w:ascii="宋体" w:hAnsi="宋体" w:cstheme="minorBidi"/>
                <w:color w:val="0000FF"/>
                <w:szCs w:val="21"/>
                <w:highlight w:val="none"/>
              </w:rPr>
              <w:t>提供</w:t>
            </w:r>
            <w:r>
              <w:rPr>
                <w:rFonts w:hint="eastAsia" w:ascii="宋体" w:hAnsi="宋体" w:cstheme="minorBidi"/>
                <w:color w:val="0000FF"/>
                <w:szCs w:val="21"/>
                <w:highlight w:val="none"/>
              </w:rPr>
              <w:t>相关</w:t>
            </w:r>
            <w:r>
              <w:rPr>
                <w:rFonts w:ascii="宋体" w:hAnsi="宋体" w:cstheme="minorBidi"/>
                <w:color w:val="0000FF"/>
                <w:szCs w:val="21"/>
                <w:highlight w:val="none"/>
              </w:rPr>
              <w:t>人员开标日当月或前一个月在本公司缴纳且载有社保部门（或税务部门）公章（或税务部门公章）的社保缴交证明材料（如开标日当月或前一个月的社保材料因社保部门（或税务部门）原因暂时无法取得，则可以往前顺延一个月）；成立时间不满1个月的投标人需提供成立时间相关说明材料，并提供承诺函（格式自拟）承诺人员为投标人自有员工</w:t>
            </w:r>
            <w:r>
              <w:rPr>
                <w:rFonts w:hint="eastAsia" w:ascii="宋体" w:hAnsi="宋体" w:cs="宋体"/>
                <w:color w:val="0000FF"/>
                <w:szCs w:val="21"/>
                <w:highlight w:val="none"/>
              </w:rPr>
              <w:t>；</w:t>
            </w:r>
          </w:p>
          <w:p>
            <w:pPr>
              <w:snapToGrid w:val="0"/>
              <w:spacing w:line="360" w:lineRule="auto"/>
              <w:rPr>
                <w:rFonts w:ascii="宋体" w:hAnsi="宋体" w:eastAsiaTheme="minorEastAsia" w:cstheme="minorBidi"/>
                <w:bCs/>
                <w:kern w:val="2"/>
                <w:sz w:val="21"/>
                <w:szCs w:val="21"/>
                <w:lang w:val="en-US" w:eastAsia="zh-CN" w:bidi="ar-SA"/>
              </w:rPr>
            </w:pPr>
            <w:r>
              <w:rPr>
                <w:rFonts w:hint="eastAsia" w:ascii="宋体" w:hAnsi="宋体" w:cs="宋体"/>
                <w:color w:val="0000FF"/>
                <w:szCs w:val="21"/>
                <w:highlight w:val="none"/>
              </w:rPr>
              <w:t>3、未按要求提供证明材料（或证明材料无法判断是否符合评分要求）的不得分，原件备查。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14"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3</w:t>
            </w:r>
          </w:p>
        </w:tc>
        <w:tc>
          <w:tcPr>
            <w:tcW w:w="2898"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hint="eastAsia" w:asciiTheme="minorEastAsia" w:hAnsiTheme="minorEastAsia"/>
                <w:b/>
                <w:bCs/>
                <w:szCs w:val="21"/>
                <w:lang w:val="en-US" w:eastAsia="zh-CN"/>
              </w:rPr>
              <w:t>商务</w:t>
            </w:r>
            <w:r>
              <w:rPr>
                <w:rFonts w:asciiTheme="minorEastAsia" w:hAnsiTheme="minorEastAsia"/>
                <w:b/>
                <w:bCs/>
                <w:szCs w:val="21"/>
              </w:rPr>
              <w:t>部分</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hint="default" w:cs="宋体" w:asciiTheme="minorEastAsia" w:hAnsiTheme="minorEastAsia" w:eastAsiaTheme="minorEastAsia"/>
                <w:b/>
                <w:bCs/>
                <w:szCs w:val="21"/>
                <w:lang w:val="en-US" w:eastAsia="zh-CN"/>
              </w:rPr>
            </w:pPr>
            <w:r>
              <w:rPr>
                <w:rFonts w:hint="eastAsia" w:cs="宋体" w:asciiTheme="minorEastAsia" w:hAnsiTheme="minorEastAsia"/>
                <w:b/>
                <w:bCs/>
                <w:szCs w:val="21"/>
                <w:lang w:val="en-US" w:eastAsia="zh-CN"/>
              </w:rPr>
              <w:t>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646"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序号</w:t>
            </w:r>
          </w:p>
        </w:tc>
        <w:tc>
          <w:tcPr>
            <w:tcW w:w="1531"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评分因素</w:t>
            </w:r>
          </w:p>
        </w:tc>
        <w:tc>
          <w:tcPr>
            <w:tcW w:w="721"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权重</w:t>
            </w:r>
            <w:r>
              <w:rPr>
                <w:rFonts w:hint="eastAsia" w:asciiTheme="minorEastAsia" w:hAnsiTheme="minorEastAsia"/>
                <w:szCs w:val="21"/>
                <w:lang w:eastAsia="zh-CN"/>
              </w:rPr>
              <w:t>（</w:t>
            </w:r>
            <w:r>
              <w:rPr>
                <w:rFonts w:hint="eastAsia" w:asciiTheme="minorEastAsia" w:hAnsiTheme="minorEastAsia"/>
                <w:szCs w:val="21"/>
                <w:lang w:val="en-US" w:eastAsia="zh-CN"/>
              </w:rPr>
              <w:t>%</w:t>
            </w:r>
            <w:r>
              <w:rPr>
                <w:rFonts w:hint="eastAsia" w:asciiTheme="minorEastAsia" w:hAnsiTheme="minorEastAsia"/>
                <w:szCs w:val="21"/>
                <w:lang w:eastAsia="zh-CN"/>
              </w:rPr>
              <w:t>）</w:t>
            </w:r>
          </w:p>
        </w:tc>
        <w:tc>
          <w:tcPr>
            <w:tcW w:w="54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6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cs="宋体" w:asciiTheme="minorEastAsia" w:hAnsiTheme="minorEastAsia" w:eastAsiaTheme="minorEastAsia"/>
                <w:kern w:val="2"/>
                <w:sz w:val="21"/>
                <w:szCs w:val="21"/>
                <w:lang w:val="en-US" w:eastAsia="zh-CN" w:bidi="ar-SA"/>
              </w:rPr>
            </w:pPr>
            <w:r>
              <w:rPr>
                <w:rFonts w:hint="eastAsia" w:ascii="宋体" w:hAnsi="宋体"/>
                <w:szCs w:val="21"/>
              </w:rPr>
              <w:t>1</w:t>
            </w:r>
          </w:p>
        </w:tc>
        <w:tc>
          <w:tcPr>
            <w:tcW w:w="15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hint="eastAsia" w:cs="宋体" w:asciiTheme="minorEastAsia" w:hAnsiTheme="minorEastAsia" w:eastAsiaTheme="minorEastAsia"/>
                <w:kern w:val="2"/>
                <w:sz w:val="21"/>
                <w:szCs w:val="21"/>
                <w:lang w:val="en-US" w:eastAsia="zh-CN" w:bidi="ar-SA"/>
              </w:rPr>
            </w:pPr>
            <w:r>
              <w:rPr>
                <w:rFonts w:ascii="宋体" w:hAnsi="宋体" w:cs="宋体"/>
                <w:color w:val="000000"/>
                <w:kern w:val="0"/>
                <w:szCs w:val="21"/>
              </w:rPr>
              <w:t>体系认证情况</w:t>
            </w:r>
          </w:p>
        </w:tc>
        <w:tc>
          <w:tcPr>
            <w:tcW w:w="7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hint="eastAsia" w:eastAsia="宋体" w:cs="宋体" w:asciiTheme="minorEastAsia" w:hAnsiTheme="minorEastAsia"/>
                <w:kern w:val="2"/>
                <w:sz w:val="21"/>
                <w:szCs w:val="21"/>
                <w:lang w:val="en-US" w:eastAsia="zh-CN" w:bidi="ar-SA"/>
              </w:rPr>
            </w:pPr>
            <w:r>
              <w:rPr>
                <w:rFonts w:hint="eastAsia" w:ascii="宋体" w:hAnsi="宋体"/>
                <w:szCs w:val="21"/>
                <w:lang w:val="en-US" w:eastAsia="zh-CN"/>
              </w:rPr>
              <w:t>4</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60" w:lineRule="auto"/>
              <w:rPr>
                <w:rFonts w:ascii="宋体" w:hAnsi="宋体" w:cs="宋体"/>
                <w:b/>
                <w:bCs/>
                <w:sz w:val="22"/>
                <w:szCs w:val="22"/>
              </w:rPr>
            </w:pPr>
            <w:r>
              <w:rPr>
                <w:rFonts w:hint="eastAsia" w:ascii="宋体" w:hAnsi="宋体" w:cs="宋体"/>
                <w:b/>
                <w:bCs/>
                <w:sz w:val="22"/>
                <w:szCs w:val="22"/>
              </w:rPr>
              <w:t>（一）评审内容：</w:t>
            </w:r>
          </w:p>
          <w:p>
            <w:pPr>
              <w:snapToGrid w:val="0"/>
              <w:spacing w:line="360" w:lineRule="auto"/>
              <w:rPr>
                <w:rFonts w:ascii="宋体" w:hAnsi="宋体"/>
                <w:bCs/>
                <w:szCs w:val="21"/>
              </w:rPr>
            </w:pPr>
            <w:r>
              <w:rPr>
                <w:rFonts w:hint="eastAsia" w:ascii="宋体" w:hAnsi="宋体"/>
                <w:bCs/>
                <w:szCs w:val="21"/>
              </w:rPr>
              <w:t>投标人具有</w:t>
            </w:r>
            <w:r>
              <w:rPr>
                <w:rFonts w:hint="eastAsia" w:ascii="宋体" w:hAnsi="宋体"/>
                <w:b/>
                <w:bCs/>
                <w:szCs w:val="21"/>
              </w:rPr>
              <w:t>质量管理体系认证证书</w:t>
            </w:r>
            <w:r>
              <w:rPr>
                <w:rFonts w:hint="eastAsia" w:ascii="宋体" w:hAnsi="宋体"/>
                <w:bCs/>
                <w:szCs w:val="21"/>
              </w:rPr>
              <w:t>、</w:t>
            </w:r>
            <w:r>
              <w:rPr>
                <w:rFonts w:hint="eastAsia" w:ascii="宋体" w:hAnsi="宋体"/>
                <w:b/>
                <w:bCs/>
                <w:szCs w:val="21"/>
              </w:rPr>
              <w:t>环境管理体系认证证书</w:t>
            </w:r>
            <w:r>
              <w:rPr>
                <w:rFonts w:hint="eastAsia" w:ascii="宋体" w:hAnsi="宋体"/>
                <w:bCs/>
                <w:szCs w:val="21"/>
              </w:rPr>
              <w:t>、</w:t>
            </w:r>
            <w:r>
              <w:rPr>
                <w:rFonts w:hint="eastAsia" w:ascii="宋体" w:hAnsi="宋体"/>
                <w:b/>
                <w:bCs/>
                <w:szCs w:val="21"/>
              </w:rPr>
              <w:t>职业健康安全管理体系认证证书、合规管理体系认证证书</w:t>
            </w:r>
            <w:r>
              <w:rPr>
                <w:rFonts w:hint="eastAsia" w:ascii="宋体" w:hAnsi="宋体"/>
                <w:bCs/>
                <w:szCs w:val="21"/>
              </w:rPr>
              <w:t>，每通过一项有效认证的得25分，最高得100分。</w:t>
            </w:r>
          </w:p>
          <w:p>
            <w:pPr>
              <w:rPr>
                <w:rFonts w:ascii="宋体" w:hAnsi="宋体" w:cs="宋体"/>
                <w:b/>
                <w:bCs/>
                <w:szCs w:val="21"/>
              </w:rPr>
            </w:pPr>
            <w:r>
              <w:rPr>
                <w:rFonts w:hint="eastAsia" w:ascii="宋体" w:hAnsi="宋体" w:cs="宋体"/>
                <w:b/>
                <w:bCs/>
                <w:color w:val="0000FF"/>
                <w:szCs w:val="21"/>
              </w:rPr>
              <w:t>（二）评审依据：</w:t>
            </w:r>
          </w:p>
          <w:p>
            <w:pPr>
              <w:rPr>
                <w:rFonts w:ascii="宋体" w:hAnsi="宋体" w:cs="宋体"/>
                <w:color w:val="0000FF"/>
                <w:szCs w:val="21"/>
              </w:rPr>
            </w:pPr>
            <w:r>
              <w:rPr>
                <w:rFonts w:hint="eastAsia" w:ascii="宋体" w:hAnsi="宋体" w:cs="宋体"/>
                <w:color w:val="0000FF"/>
                <w:szCs w:val="21"/>
              </w:rPr>
              <w:t>1、提供相关认证机构颁发的有效期内的认证证书扫描件及认证信息查询截图（截图需显示证书状态为有效）。说明：1.证书与查询信息截图必须同时提供，缺一不可。未同时提供的不得分，后果由投标人自行承担。2.投标人应确保认证证书在开标当天仍处于有效状态，并对所提供的证书及查询截图的真实性负责，如出现与事实不符的情形，视同隐瞒真实情况，提供虚假资料，将依法承担相应的法律责任。3.质疑投诉处理中对证书是否有效的认定，以国家认监委网站【全国认证认可信息公共服务平台（//cx.cnca.cn）】查询结果为准。</w:t>
            </w:r>
          </w:p>
          <w:p>
            <w:pPr>
              <w:snapToGrid w:val="0"/>
              <w:spacing w:line="360" w:lineRule="auto"/>
              <w:rPr>
                <w:rFonts w:cs="宋体" w:asciiTheme="minorEastAsia" w:hAnsiTheme="minorEastAsia" w:eastAsiaTheme="minorEastAsia"/>
                <w:kern w:val="2"/>
                <w:sz w:val="21"/>
                <w:szCs w:val="21"/>
                <w:lang w:val="en-US" w:eastAsia="zh-CN" w:bidi="ar-SA"/>
              </w:rPr>
            </w:pPr>
            <w:r>
              <w:rPr>
                <w:rFonts w:hint="eastAsia" w:ascii="宋体" w:hAnsi="宋体" w:cs="宋体"/>
                <w:color w:val="0000FF"/>
                <w:szCs w:val="21"/>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6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Theme="minorEastAsia" w:hAnsiTheme="minorEastAsia" w:eastAsiaTheme="minorEastAsia" w:cstheme="minorBidi"/>
                <w:kern w:val="2"/>
                <w:sz w:val="21"/>
                <w:szCs w:val="21"/>
                <w:lang w:val="en-US" w:eastAsia="zh-CN" w:bidi="ar-SA"/>
              </w:rPr>
            </w:pPr>
            <w:r>
              <w:rPr>
                <w:rFonts w:hint="eastAsia" w:ascii="宋体" w:hAnsi="宋体"/>
                <w:szCs w:val="21"/>
              </w:rPr>
              <w:t>2</w:t>
            </w:r>
          </w:p>
        </w:tc>
        <w:tc>
          <w:tcPr>
            <w:tcW w:w="15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overflowPunct/>
              <w:topLinePunct w:val="0"/>
              <w:autoSpaceDE/>
              <w:autoSpaceDN/>
              <w:bidi w:val="0"/>
              <w:spacing w:before="79" w:beforeLines="25" w:after="79" w:afterLines="25" w:line="276" w:lineRule="auto"/>
              <w:jc w:val="center"/>
              <w:rPr>
                <w:rFonts w:hint="eastAsia" w:cs="宋体" w:asciiTheme="minorEastAsia" w:hAnsiTheme="minorEastAsia" w:eastAsiaTheme="minorEastAsia"/>
                <w:kern w:val="2"/>
                <w:sz w:val="21"/>
                <w:szCs w:val="21"/>
                <w:lang w:val="en-US" w:eastAsia="zh-CN" w:bidi="ar-SA"/>
              </w:rPr>
            </w:pPr>
            <w:r>
              <w:rPr>
                <w:rFonts w:hint="eastAsia"/>
                <w:color w:val="000000"/>
                <w:szCs w:val="21"/>
              </w:rPr>
              <w:t>投标人相关资质</w:t>
            </w:r>
          </w:p>
        </w:tc>
        <w:tc>
          <w:tcPr>
            <w:tcW w:w="7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overflowPunct/>
              <w:topLinePunct w:val="0"/>
              <w:autoSpaceDE/>
              <w:autoSpaceDN/>
              <w:bidi w:val="0"/>
              <w:spacing w:before="79" w:beforeLines="25" w:after="79" w:afterLines="25" w:line="276" w:lineRule="auto"/>
              <w:jc w:val="center"/>
              <w:rPr>
                <w:rFonts w:cs="宋体" w:asciiTheme="minorEastAsia" w:hAnsiTheme="minorEastAsia" w:eastAsiaTheme="minorEastAsia"/>
                <w:kern w:val="2"/>
                <w:sz w:val="21"/>
                <w:szCs w:val="21"/>
                <w:lang w:val="en-US" w:eastAsia="zh-CN" w:bidi="ar-SA"/>
              </w:rPr>
            </w:pPr>
            <w:r>
              <w:rPr>
                <w:rFonts w:hint="eastAsia" w:ascii="宋体" w:hAnsi="宋体"/>
                <w:szCs w:val="21"/>
                <w:lang w:val="en-US" w:eastAsia="zh-CN"/>
              </w:rPr>
              <w:t>4</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60" w:lineRule="auto"/>
              <w:rPr>
                <w:rFonts w:ascii="宋体" w:hAnsi="宋体"/>
                <w:b/>
              </w:rPr>
            </w:pPr>
            <w:r>
              <w:rPr>
                <w:rFonts w:hint="eastAsia" w:ascii="宋体" w:hAnsi="宋体" w:cs="宋体"/>
                <w:b/>
                <w:bCs/>
                <w:sz w:val="22"/>
                <w:szCs w:val="22"/>
              </w:rPr>
              <w:t>（一）评审内容：</w:t>
            </w:r>
          </w:p>
          <w:p>
            <w:pPr>
              <w:keepNext w:val="0"/>
              <w:keepLines w:val="0"/>
              <w:pageBreakBefore w:val="0"/>
              <w:kinsoku/>
              <w:overflowPunct/>
              <w:topLinePunct w:val="0"/>
              <w:autoSpaceDE/>
              <w:autoSpaceDN/>
              <w:bidi w:val="0"/>
              <w:spacing w:before="79" w:beforeLines="25" w:after="79" w:afterLines="25" w:line="276" w:lineRule="auto"/>
              <w:rPr>
                <w:rFonts w:hint="eastAsia"/>
                <w:szCs w:val="21"/>
              </w:rPr>
            </w:pPr>
            <w:r>
              <w:rPr>
                <w:rFonts w:hint="eastAsia"/>
                <w:szCs w:val="21"/>
              </w:rPr>
              <w:t>1.具有</w:t>
            </w:r>
            <w:r>
              <w:rPr>
                <w:rFonts w:hint="eastAsia"/>
                <w:b/>
                <w:bCs/>
                <w:szCs w:val="21"/>
                <w:lang w:val="en-US" w:eastAsia="zh-CN"/>
              </w:rPr>
              <w:t>相关机构</w:t>
            </w:r>
            <w:r>
              <w:rPr>
                <w:rFonts w:hint="eastAsia"/>
                <w:szCs w:val="21"/>
              </w:rPr>
              <w:t>颁发的</w:t>
            </w:r>
            <w:r>
              <w:rPr>
                <w:rFonts w:hint="eastAsia"/>
                <w:b/>
                <w:bCs/>
                <w:szCs w:val="21"/>
              </w:rPr>
              <w:t>清洁服务资格等级证书</w:t>
            </w:r>
            <w:r>
              <w:rPr>
                <w:rFonts w:hint="eastAsia"/>
                <w:szCs w:val="21"/>
              </w:rPr>
              <w:t>的得</w:t>
            </w:r>
            <w:r>
              <w:rPr>
                <w:rFonts w:hint="eastAsia"/>
                <w:szCs w:val="21"/>
                <w:lang w:val="en-US" w:eastAsia="zh-CN"/>
              </w:rPr>
              <w:t>50分</w:t>
            </w:r>
            <w:r>
              <w:rPr>
                <w:rFonts w:hint="eastAsia"/>
                <w:szCs w:val="21"/>
              </w:rPr>
              <w:t>；</w:t>
            </w:r>
          </w:p>
          <w:p>
            <w:pPr>
              <w:keepNext w:val="0"/>
              <w:keepLines w:val="0"/>
              <w:pageBreakBefore w:val="0"/>
              <w:kinsoku/>
              <w:overflowPunct/>
              <w:topLinePunct w:val="0"/>
              <w:autoSpaceDE/>
              <w:autoSpaceDN/>
              <w:bidi w:val="0"/>
              <w:spacing w:before="79" w:beforeLines="25" w:after="79" w:afterLines="25" w:line="276" w:lineRule="auto"/>
              <w:rPr>
                <w:szCs w:val="21"/>
              </w:rPr>
            </w:pPr>
            <w:r>
              <w:rPr>
                <w:rFonts w:hint="eastAsia"/>
                <w:szCs w:val="21"/>
              </w:rPr>
              <w:t>2</w:t>
            </w:r>
            <w:r>
              <w:rPr>
                <w:rFonts w:hint="eastAsia"/>
                <w:szCs w:val="21"/>
                <w:lang w:val="en-US" w:eastAsia="zh-CN"/>
              </w:rPr>
              <w:t>.</w:t>
            </w:r>
            <w:r>
              <w:rPr>
                <w:rFonts w:hint="eastAsia"/>
                <w:szCs w:val="21"/>
              </w:rPr>
              <w:t>具有</w:t>
            </w:r>
            <w:r>
              <w:rPr>
                <w:rFonts w:hint="eastAsia"/>
                <w:b/>
                <w:bCs/>
                <w:szCs w:val="21"/>
                <w:lang w:val="en-US" w:eastAsia="zh-CN"/>
              </w:rPr>
              <w:t>相关机构</w:t>
            </w:r>
            <w:r>
              <w:rPr>
                <w:rFonts w:hint="eastAsia"/>
                <w:szCs w:val="21"/>
              </w:rPr>
              <w:t>颁发的</w:t>
            </w:r>
            <w:r>
              <w:rPr>
                <w:rFonts w:hint="eastAsia"/>
                <w:b/>
                <w:bCs/>
                <w:szCs w:val="21"/>
              </w:rPr>
              <w:t>维修企业技术等级证书（业务范围包含日用电器、办公设备、机电制冷设备、安防设备）</w:t>
            </w:r>
            <w:r>
              <w:rPr>
                <w:rFonts w:hint="eastAsia"/>
                <w:szCs w:val="21"/>
              </w:rPr>
              <w:t>的得</w:t>
            </w:r>
            <w:r>
              <w:rPr>
                <w:rFonts w:hint="eastAsia"/>
                <w:szCs w:val="21"/>
                <w:lang w:val="en-US" w:eastAsia="zh-CN"/>
              </w:rPr>
              <w:t>50分</w:t>
            </w:r>
          </w:p>
          <w:p>
            <w:pPr>
              <w:snapToGrid w:val="0"/>
              <w:spacing w:line="360" w:lineRule="auto"/>
              <w:rPr>
                <w:rFonts w:ascii="宋体" w:hAnsi="宋体"/>
                <w:bCs/>
                <w:szCs w:val="21"/>
              </w:rPr>
            </w:pPr>
            <w:r>
              <w:rPr>
                <w:rFonts w:ascii="宋体" w:hAnsi="宋体"/>
                <w:bCs/>
                <w:szCs w:val="21"/>
              </w:rPr>
              <w:t>以上</w:t>
            </w:r>
            <w:r>
              <w:rPr>
                <w:rFonts w:hint="eastAsia" w:ascii="宋体" w:hAnsi="宋体"/>
                <w:bCs/>
                <w:szCs w:val="21"/>
              </w:rPr>
              <w:t>合计</w:t>
            </w:r>
            <w:r>
              <w:rPr>
                <w:rFonts w:ascii="宋体" w:hAnsi="宋体"/>
                <w:bCs/>
                <w:szCs w:val="21"/>
              </w:rPr>
              <w:t>最高</w:t>
            </w:r>
            <w:r>
              <w:rPr>
                <w:rFonts w:hint="eastAsia" w:ascii="宋体" w:hAnsi="宋体"/>
                <w:bCs/>
                <w:szCs w:val="21"/>
              </w:rPr>
              <w:t>得100分</w:t>
            </w:r>
            <w:r>
              <w:rPr>
                <w:rFonts w:ascii="宋体" w:hAnsi="宋体"/>
                <w:bCs/>
                <w:szCs w:val="21"/>
              </w:rPr>
              <w:t>。</w:t>
            </w:r>
          </w:p>
          <w:p>
            <w:pPr>
              <w:spacing w:line="360" w:lineRule="exact"/>
              <w:rPr>
                <w:rFonts w:hint="eastAsia" w:ascii="宋体" w:hAnsi="宋体" w:eastAsia="宋体" w:cs="宋体"/>
                <w:b/>
                <w:bCs/>
                <w:color w:val="0000FF"/>
                <w:szCs w:val="21"/>
              </w:rPr>
            </w:pPr>
            <w:r>
              <w:rPr>
                <w:rFonts w:hint="eastAsia" w:ascii="宋体" w:hAnsi="宋体" w:eastAsia="宋体" w:cs="宋体"/>
                <w:b/>
                <w:bCs/>
                <w:color w:val="0000FF"/>
                <w:szCs w:val="21"/>
              </w:rPr>
              <w:t>（二）评审依据：</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cs="宋体" w:asciiTheme="minorEastAsia" w:hAnsiTheme="minorEastAsia" w:eastAsiaTheme="minorEastAsia"/>
                <w:kern w:val="2"/>
                <w:sz w:val="21"/>
                <w:szCs w:val="21"/>
                <w:lang w:val="en-US" w:eastAsia="zh-CN" w:bidi="ar-SA"/>
              </w:rPr>
            </w:pPr>
            <w:r>
              <w:rPr>
                <w:rFonts w:hint="eastAsia" w:ascii="宋体" w:hAnsi="宋体" w:eastAsia="宋体" w:cs="宋体"/>
                <w:color w:val="0000FF"/>
                <w:szCs w:val="21"/>
              </w:rPr>
              <w:t>投标人提供以上有效相关证书扫描件，如证书颁发单位为相关协会的，需同时提供该行业协会在中国社会组织政务服务平台（https://xxgs.chinanpo.mca.gov.cn/gsxt/newList）查询截图（截图需显示发证单位状态为“正常”）；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6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Theme="minorEastAsia" w:hAnsiTheme="minorEastAsia" w:eastAsiaTheme="minorEastAsia" w:cstheme="minorBidi"/>
                <w:kern w:val="2"/>
                <w:sz w:val="21"/>
                <w:szCs w:val="21"/>
                <w:lang w:val="en-US" w:eastAsia="zh-CN" w:bidi="ar-SA"/>
              </w:rPr>
            </w:pPr>
            <w:r>
              <w:rPr>
                <w:rFonts w:ascii="宋体" w:hAnsi="宋体"/>
                <w:szCs w:val="21"/>
              </w:rPr>
              <w:t>3</w:t>
            </w:r>
          </w:p>
        </w:tc>
        <w:tc>
          <w:tcPr>
            <w:tcW w:w="15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4"/>
              <w:jc w:val="center"/>
              <w:rPr>
                <w:sz w:val="21"/>
                <w:szCs w:val="21"/>
              </w:rPr>
            </w:pPr>
            <w:r>
              <w:rPr>
                <w:rFonts w:hint="eastAsia"/>
                <w:sz w:val="21"/>
                <w:szCs w:val="21"/>
              </w:rPr>
              <w:t>投标人经验情况</w:t>
            </w:r>
          </w:p>
          <w:p>
            <w:pPr>
              <w:spacing w:line="320" w:lineRule="exact"/>
              <w:jc w:val="center"/>
              <w:rPr>
                <w:rFonts w:cs="宋体" w:asciiTheme="minorEastAsia" w:hAnsiTheme="minorEastAsia" w:eastAsiaTheme="minorEastAsia"/>
                <w:kern w:val="2"/>
                <w:sz w:val="21"/>
                <w:szCs w:val="21"/>
                <w:lang w:val="en-US" w:eastAsia="zh-CN" w:bidi="ar-SA"/>
              </w:rPr>
            </w:pPr>
          </w:p>
        </w:tc>
        <w:tc>
          <w:tcPr>
            <w:tcW w:w="7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hint="eastAsia" w:eastAsia="宋体" w:cs="宋体" w:asciiTheme="minorEastAsia" w:hAnsiTheme="minorEastAsia"/>
                <w:kern w:val="2"/>
                <w:sz w:val="21"/>
                <w:szCs w:val="21"/>
                <w:lang w:val="en-US" w:eastAsia="zh-CN" w:bidi="ar-SA"/>
              </w:rPr>
            </w:pPr>
            <w:r>
              <w:rPr>
                <w:rFonts w:hint="eastAsia" w:ascii="宋体" w:hAnsi="宋体"/>
                <w:szCs w:val="21"/>
                <w:lang w:val="en-US" w:eastAsia="zh-CN"/>
              </w:rPr>
              <w:t>3</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60" w:lineRule="auto"/>
              <w:rPr>
                <w:rFonts w:ascii="宋体" w:hAnsi="宋体" w:cs="宋体"/>
                <w:b/>
                <w:bCs/>
                <w:sz w:val="22"/>
                <w:szCs w:val="22"/>
              </w:rPr>
            </w:pPr>
            <w:r>
              <w:rPr>
                <w:rFonts w:hint="eastAsia" w:ascii="宋体" w:hAnsi="宋体" w:cs="宋体"/>
                <w:b/>
                <w:bCs/>
                <w:sz w:val="22"/>
                <w:szCs w:val="22"/>
              </w:rPr>
              <w:t>（一）评审内容：</w:t>
            </w:r>
          </w:p>
          <w:p>
            <w:pPr>
              <w:spacing w:line="360" w:lineRule="auto"/>
              <w:rPr>
                <w:rFonts w:ascii="宋体" w:hAnsi="宋体" w:cs="宋体"/>
                <w:b/>
                <w:bCs/>
                <w:sz w:val="22"/>
                <w:szCs w:val="22"/>
              </w:rPr>
            </w:pPr>
            <w:r>
              <w:rPr>
                <w:rFonts w:hint="eastAsia" w:ascii="宋体" w:hAnsi="宋体" w:cs="宋体"/>
                <w:szCs w:val="21"/>
              </w:rPr>
              <w:t>20</w:t>
            </w:r>
            <w:r>
              <w:rPr>
                <w:rFonts w:ascii="宋体" w:hAnsi="宋体" w:cs="宋体"/>
                <w:szCs w:val="21"/>
              </w:rPr>
              <w:t>21</w:t>
            </w:r>
            <w:r>
              <w:rPr>
                <w:rFonts w:hint="eastAsia" w:ascii="宋体" w:hAnsi="宋体" w:cs="宋体"/>
                <w:szCs w:val="21"/>
              </w:rPr>
              <w:t>年</w:t>
            </w:r>
            <w:r>
              <w:rPr>
                <w:rFonts w:ascii="宋体" w:hAnsi="宋体" w:cs="宋体"/>
                <w:szCs w:val="21"/>
              </w:rPr>
              <w:t>1</w:t>
            </w:r>
            <w:r>
              <w:rPr>
                <w:rFonts w:hint="eastAsia" w:ascii="宋体" w:hAnsi="宋体" w:cs="宋体"/>
                <w:szCs w:val="21"/>
              </w:rPr>
              <w:t>月</w:t>
            </w:r>
            <w:r>
              <w:rPr>
                <w:rFonts w:ascii="宋体" w:hAnsi="宋体" w:cs="宋体"/>
                <w:szCs w:val="21"/>
              </w:rPr>
              <w:t>1</w:t>
            </w:r>
            <w:r>
              <w:rPr>
                <w:rFonts w:hint="eastAsia" w:ascii="宋体" w:hAnsi="宋体" w:cs="宋体"/>
                <w:szCs w:val="21"/>
              </w:rPr>
              <w:t>日以来（以合同签订日期为准）：</w:t>
            </w:r>
          </w:p>
          <w:p>
            <w:pPr>
              <w:wordWrap w:val="0"/>
              <w:spacing w:line="360" w:lineRule="auto"/>
              <w:rPr>
                <w:szCs w:val="21"/>
              </w:rPr>
            </w:pPr>
            <w:r>
              <w:rPr>
                <w:rFonts w:hint="eastAsia" w:ascii="宋体" w:hAnsi="宋体"/>
                <w:bCs/>
                <w:szCs w:val="21"/>
              </w:rPr>
              <w:t>投标人</w:t>
            </w:r>
            <w:r>
              <w:rPr>
                <w:szCs w:val="21"/>
              </w:rPr>
              <w:t>具有</w:t>
            </w:r>
            <w:r>
              <w:rPr>
                <w:rFonts w:hint="eastAsia"/>
                <w:b/>
                <w:bCs/>
                <w:szCs w:val="21"/>
              </w:rPr>
              <w:t>同类学校</w:t>
            </w:r>
            <w:r>
              <w:rPr>
                <w:b/>
                <w:bCs/>
                <w:szCs w:val="21"/>
              </w:rPr>
              <w:t>物业管理</w:t>
            </w:r>
            <w:r>
              <w:rPr>
                <w:rFonts w:hint="eastAsia"/>
                <w:b/>
                <w:bCs/>
                <w:szCs w:val="21"/>
                <w:lang w:val="en-US" w:eastAsia="zh-CN"/>
              </w:rPr>
              <w:t>及非教育教学管理</w:t>
            </w:r>
            <w:r>
              <w:rPr>
                <w:b/>
                <w:bCs/>
                <w:szCs w:val="21"/>
              </w:rPr>
              <w:t>服务项目经验</w:t>
            </w:r>
            <w:r>
              <w:rPr>
                <w:rFonts w:hint="eastAsia"/>
                <w:szCs w:val="21"/>
                <w:lang w:val="en-US" w:eastAsia="zh-CN"/>
              </w:rPr>
              <w:t>的</w:t>
            </w:r>
            <w:r>
              <w:rPr>
                <w:szCs w:val="21"/>
              </w:rPr>
              <w:t>，且服务评价为满意或优秀</w:t>
            </w:r>
            <w:r>
              <w:rPr>
                <w:rFonts w:hint="eastAsia"/>
                <w:szCs w:val="21"/>
              </w:rPr>
              <w:t>或其他同等评价的（</w:t>
            </w:r>
            <w:r>
              <w:rPr>
                <w:szCs w:val="21"/>
              </w:rPr>
              <w:t>如服务评价证明不能反映上述评价内容</w:t>
            </w:r>
            <w:r>
              <w:rPr>
                <w:rFonts w:hint="eastAsia"/>
                <w:szCs w:val="21"/>
              </w:rPr>
              <w:t>的</w:t>
            </w:r>
            <w:r>
              <w:rPr>
                <w:szCs w:val="21"/>
              </w:rPr>
              <w:t>不得分</w:t>
            </w:r>
            <w:r>
              <w:rPr>
                <w:rFonts w:hint="eastAsia"/>
                <w:szCs w:val="21"/>
              </w:rPr>
              <w:t>），</w:t>
            </w:r>
            <w:r>
              <w:rPr>
                <w:rFonts w:hint="eastAsia"/>
                <w:bCs/>
                <w:szCs w:val="21"/>
              </w:rPr>
              <w:t>每提供1个得分</w:t>
            </w:r>
            <w:r>
              <w:rPr>
                <w:rFonts w:hint="eastAsia"/>
                <w:bCs/>
                <w:szCs w:val="21"/>
                <w:lang w:val="en-US" w:eastAsia="zh-CN"/>
              </w:rPr>
              <w:t>25</w:t>
            </w:r>
            <w:r>
              <w:rPr>
                <w:rFonts w:hint="eastAsia"/>
                <w:bCs/>
                <w:szCs w:val="21"/>
              </w:rPr>
              <w:t>分，最高得</w:t>
            </w:r>
            <w:r>
              <w:rPr>
                <w:bCs/>
                <w:szCs w:val="21"/>
              </w:rPr>
              <w:t>100</w:t>
            </w:r>
            <w:r>
              <w:rPr>
                <w:rFonts w:hint="eastAsia"/>
                <w:bCs/>
                <w:szCs w:val="21"/>
              </w:rPr>
              <w:t>分</w:t>
            </w:r>
            <w:r>
              <w:rPr>
                <w:rFonts w:hint="eastAsia" w:ascii="宋体" w:hAnsi="宋体"/>
                <w:bCs/>
                <w:szCs w:val="21"/>
              </w:rPr>
              <w:t>。</w:t>
            </w:r>
          </w:p>
          <w:p>
            <w:pPr>
              <w:spacing w:line="360" w:lineRule="exact"/>
              <w:rPr>
                <w:rFonts w:ascii="宋体" w:hAnsi="宋体" w:cs="宋体"/>
                <w:b/>
                <w:bCs/>
                <w:color w:val="0000FF"/>
                <w:szCs w:val="21"/>
              </w:rPr>
            </w:pPr>
            <w:r>
              <w:rPr>
                <w:rFonts w:hint="eastAsia" w:ascii="宋体" w:hAnsi="宋体" w:cs="宋体"/>
                <w:b/>
                <w:bCs/>
                <w:color w:val="0000FF"/>
                <w:szCs w:val="21"/>
              </w:rPr>
              <w:t>（二）评审依据：</w:t>
            </w:r>
          </w:p>
          <w:p>
            <w:pPr>
              <w:spacing w:line="360" w:lineRule="exact"/>
              <w:rPr>
                <w:rFonts w:ascii="宋体" w:hAnsi="宋体" w:cs="宋体"/>
                <w:color w:val="0000FF"/>
                <w:szCs w:val="21"/>
              </w:rPr>
            </w:pPr>
            <w:r>
              <w:rPr>
                <w:rFonts w:hint="eastAsia" w:ascii="宋体" w:hAnsi="宋体" w:cs="宋体"/>
                <w:color w:val="0000FF"/>
                <w:szCs w:val="21"/>
              </w:rPr>
              <w:t>1、需同时提供：①经验项目合同关键页扫描件（须能体现投标人信息）；②合同甲方出具并盖章（公章或业务章）的服务评价证明材料扫描件。未按要求提供证明材料（或证明材料无法判断是否符合评分要求）的不得分，原件备查。</w:t>
            </w:r>
          </w:p>
          <w:p>
            <w:pPr>
              <w:snapToGrid w:val="0"/>
              <w:spacing w:line="360" w:lineRule="auto"/>
              <w:rPr>
                <w:rFonts w:cs="宋体" w:asciiTheme="minorEastAsia" w:hAnsiTheme="minorEastAsia" w:eastAsiaTheme="minorEastAsia"/>
                <w:kern w:val="2"/>
                <w:sz w:val="21"/>
                <w:szCs w:val="21"/>
                <w:lang w:val="en-US" w:eastAsia="zh-CN" w:bidi="ar-SA"/>
              </w:rPr>
            </w:pPr>
            <w:r>
              <w:rPr>
                <w:rFonts w:hint="eastAsia" w:ascii="宋体" w:hAnsi="宋体" w:cs="宋体"/>
                <w:color w:val="0000FF"/>
                <w:szCs w:val="21"/>
              </w:rPr>
              <w:t>2、同一项目续签合同的不重复计分；每个项目须单独开具评价证明。如涉及到需要判断是否为同一项目续签的情形，如项目名称相同、出具评价证明单位相同的，投标人应提供能判别为不属同一项目续签的相关证明材料（如中标通知书或能反映不属同一项目续签的合同关键页），如不能判别，评标委员会有权对投标人作出不利判断。项目名称相同、出具服务评价证明单位相同，但是经过重新组织招标、招标编号不同的，不属同一项目续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6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cs="宋体" w:asciiTheme="minorEastAsia" w:hAnsiTheme="minorEastAsia" w:eastAsiaTheme="minorEastAsia"/>
                <w:kern w:val="2"/>
                <w:sz w:val="21"/>
                <w:szCs w:val="21"/>
                <w:lang w:val="en-US" w:eastAsia="zh-CN" w:bidi="ar-SA"/>
              </w:rPr>
            </w:pPr>
            <w:r>
              <w:rPr>
                <w:rFonts w:ascii="宋体" w:hAnsi="宋体"/>
                <w:szCs w:val="21"/>
              </w:rPr>
              <w:t>4</w:t>
            </w:r>
          </w:p>
        </w:tc>
        <w:tc>
          <w:tcPr>
            <w:tcW w:w="15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overflowPunct/>
              <w:topLinePunct w:val="0"/>
              <w:autoSpaceDE/>
              <w:autoSpaceDN/>
              <w:bidi w:val="0"/>
              <w:snapToGrid w:val="0"/>
              <w:spacing w:before="79" w:beforeLines="25" w:after="79" w:afterLines="25" w:line="276" w:lineRule="auto"/>
              <w:jc w:val="center"/>
              <w:rPr>
                <w:rFonts w:cs="宋体" w:asciiTheme="minorEastAsia" w:hAnsiTheme="minorEastAsia" w:eastAsiaTheme="minorEastAsia"/>
                <w:kern w:val="2"/>
                <w:sz w:val="21"/>
                <w:szCs w:val="21"/>
                <w:lang w:val="en-US" w:eastAsia="zh-CN" w:bidi="ar-SA"/>
              </w:rPr>
            </w:pPr>
            <w:r>
              <w:rPr>
                <w:rFonts w:hint="eastAsia" w:ascii="宋体" w:hAnsi="宋体"/>
                <w:bCs/>
                <w:szCs w:val="21"/>
              </w:rPr>
              <w:t>投标人获奖情况</w:t>
            </w:r>
          </w:p>
        </w:tc>
        <w:tc>
          <w:tcPr>
            <w:tcW w:w="7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overflowPunct/>
              <w:topLinePunct w:val="0"/>
              <w:autoSpaceDE/>
              <w:autoSpaceDN/>
              <w:bidi w:val="0"/>
              <w:snapToGrid w:val="0"/>
              <w:spacing w:before="79" w:beforeLines="25" w:after="79" w:afterLines="25" w:line="276" w:lineRule="auto"/>
              <w:jc w:val="center"/>
              <w:rPr>
                <w:rFonts w:cs="宋体" w:asciiTheme="minorEastAsia" w:hAnsiTheme="minorEastAsia" w:eastAsiaTheme="minorEastAsia"/>
                <w:kern w:val="2"/>
                <w:sz w:val="21"/>
                <w:szCs w:val="21"/>
                <w:lang w:val="en-US" w:eastAsia="zh-CN" w:bidi="ar-SA"/>
              </w:rPr>
            </w:pPr>
            <w:r>
              <w:rPr>
                <w:rFonts w:ascii="宋体" w:hAnsi="宋体"/>
                <w:bCs/>
                <w:szCs w:val="21"/>
              </w:rPr>
              <w:t>2</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ordWrap w:val="0"/>
              <w:spacing w:line="360" w:lineRule="auto"/>
              <w:rPr>
                <w:rFonts w:ascii="宋体" w:hAnsi="宋体" w:cs="宋体"/>
                <w:b/>
                <w:bCs/>
                <w:szCs w:val="21"/>
              </w:rPr>
            </w:pPr>
            <w:r>
              <w:rPr>
                <w:rFonts w:hint="eastAsia" w:ascii="宋体" w:hAnsi="宋体" w:cs="宋体"/>
                <w:b/>
                <w:bCs/>
                <w:szCs w:val="21"/>
              </w:rPr>
              <w:t>（一）评审内容：</w:t>
            </w:r>
          </w:p>
          <w:p>
            <w:pPr>
              <w:pStyle w:val="10"/>
              <w:rPr>
                <w:rFonts w:ascii="宋体" w:hAnsi="宋体"/>
                <w:bCs/>
                <w:szCs w:val="21"/>
              </w:rPr>
            </w:pPr>
            <w:r>
              <w:rPr>
                <w:rFonts w:hint="eastAsia" w:ascii="宋体" w:hAnsi="宋体"/>
                <w:bCs/>
                <w:szCs w:val="21"/>
              </w:rPr>
              <w:t>1、投标人</w:t>
            </w:r>
            <w:r>
              <w:rPr>
                <w:rFonts w:hint="eastAsia" w:ascii="宋体" w:hAnsi="宋体" w:cs="宋体"/>
                <w:szCs w:val="21"/>
              </w:rPr>
              <w:t>获</w:t>
            </w:r>
            <w:r>
              <w:rPr>
                <w:rFonts w:hint="eastAsia" w:ascii="宋体" w:hAnsi="宋体" w:cs="宋体"/>
                <w:bCs/>
                <w:szCs w:val="21"/>
              </w:rPr>
              <w:t>得过</w:t>
            </w:r>
            <w:r>
              <w:rPr>
                <w:rFonts w:hint="eastAsia"/>
                <w:b/>
                <w:bCs/>
              </w:rPr>
              <w:t>国家机关（或事业单位）</w:t>
            </w:r>
            <w:r>
              <w:rPr>
                <w:rFonts w:hint="eastAsia" w:ascii="宋体" w:hAnsi="宋体" w:cs="宋体"/>
                <w:bCs/>
                <w:szCs w:val="21"/>
              </w:rPr>
              <w:t>颁发的</w:t>
            </w:r>
            <w:r>
              <w:rPr>
                <w:rFonts w:hint="eastAsia" w:ascii="宋体" w:hAnsi="宋体"/>
                <w:b/>
                <w:szCs w:val="21"/>
              </w:rPr>
              <w:t>劳动相关守法诚信类企业荣誉或奖项</w:t>
            </w:r>
            <w:r>
              <w:rPr>
                <w:rFonts w:hint="eastAsia" w:ascii="宋体" w:hAnsi="宋体"/>
                <w:bCs/>
                <w:szCs w:val="21"/>
              </w:rPr>
              <w:t>的得</w:t>
            </w:r>
            <w:r>
              <w:rPr>
                <w:rFonts w:ascii="宋体" w:hAnsi="宋体"/>
                <w:bCs/>
                <w:szCs w:val="21"/>
              </w:rPr>
              <w:t>5</w:t>
            </w:r>
            <w:r>
              <w:rPr>
                <w:rFonts w:hint="eastAsia" w:ascii="宋体" w:hAnsi="宋体"/>
                <w:bCs/>
                <w:szCs w:val="21"/>
              </w:rPr>
              <w:t>0分。</w:t>
            </w:r>
          </w:p>
          <w:p>
            <w:pPr>
              <w:pStyle w:val="10"/>
              <w:rPr>
                <w:rFonts w:ascii="宋体" w:hAnsi="宋体"/>
                <w:bCs/>
                <w:szCs w:val="21"/>
              </w:rPr>
            </w:pPr>
            <w:r>
              <w:rPr>
                <w:rFonts w:ascii="宋体" w:hAnsi="宋体"/>
                <w:bCs/>
                <w:szCs w:val="21"/>
              </w:rPr>
              <w:t>2</w:t>
            </w:r>
            <w:r>
              <w:rPr>
                <w:rFonts w:hint="eastAsia" w:ascii="宋体" w:hAnsi="宋体"/>
                <w:bCs/>
                <w:szCs w:val="21"/>
              </w:rPr>
              <w:t>、投标人</w:t>
            </w:r>
            <w:r>
              <w:rPr>
                <w:rFonts w:hint="eastAsia" w:ascii="宋体" w:hAnsi="宋体" w:cs="宋体"/>
                <w:szCs w:val="21"/>
              </w:rPr>
              <w:t>获</w:t>
            </w:r>
            <w:r>
              <w:rPr>
                <w:rFonts w:hint="eastAsia" w:ascii="宋体" w:hAnsi="宋体" w:cs="宋体"/>
                <w:bCs/>
                <w:szCs w:val="21"/>
              </w:rPr>
              <w:t>得过</w:t>
            </w:r>
            <w:r>
              <w:rPr>
                <w:rFonts w:hint="eastAsia"/>
                <w:b/>
                <w:bCs/>
              </w:rPr>
              <w:t>国家机关（或事业单位）</w:t>
            </w:r>
            <w:r>
              <w:rPr>
                <w:rFonts w:hint="eastAsia" w:ascii="宋体" w:hAnsi="宋体" w:cs="宋体"/>
                <w:bCs/>
                <w:szCs w:val="21"/>
              </w:rPr>
              <w:t>颁发的</w:t>
            </w:r>
            <w:r>
              <w:rPr>
                <w:rFonts w:hint="eastAsia" w:ascii="宋体" w:hAnsi="宋体" w:cs="宋体"/>
                <w:b/>
                <w:szCs w:val="21"/>
              </w:rPr>
              <w:t>物业类（或安保类）相关先进</w:t>
            </w:r>
            <w:r>
              <w:rPr>
                <w:rFonts w:hint="eastAsia" w:ascii="宋体" w:hAnsi="宋体"/>
                <w:b/>
                <w:szCs w:val="21"/>
              </w:rPr>
              <w:t>单位荣誉或奖项</w:t>
            </w:r>
            <w:r>
              <w:rPr>
                <w:rFonts w:hint="eastAsia" w:ascii="宋体" w:hAnsi="宋体"/>
                <w:bCs/>
                <w:szCs w:val="21"/>
              </w:rPr>
              <w:t>的得5</w:t>
            </w:r>
            <w:r>
              <w:rPr>
                <w:rFonts w:ascii="宋体" w:hAnsi="宋体"/>
                <w:bCs/>
                <w:szCs w:val="21"/>
              </w:rPr>
              <w:t>0</w:t>
            </w:r>
            <w:r>
              <w:rPr>
                <w:rFonts w:hint="eastAsia" w:ascii="宋体" w:hAnsi="宋体"/>
                <w:bCs/>
                <w:szCs w:val="21"/>
              </w:rPr>
              <w:t>分。</w:t>
            </w:r>
          </w:p>
          <w:p>
            <w:pPr>
              <w:spacing w:line="360" w:lineRule="auto"/>
              <w:rPr>
                <w:rFonts w:ascii="宋体" w:hAnsi="宋体"/>
                <w:bCs/>
                <w:szCs w:val="21"/>
              </w:rPr>
            </w:pPr>
            <w:r>
              <w:rPr>
                <w:rFonts w:ascii="宋体" w:hAnsi="宋体"/>
                <w:bCs/>
                <w:szCs w:val="21"/>
              </w:rPr>
              <w:t>以上</w:t>
            </w:r>
            <w:r>
              <w:rPr>
                <w:rFonts w:hint="eastAsia" w:ascii="宋体" w:hAnsi="宋体"/>
                <w:bCs/>
                <w:szCs w:val="21"/>
              </w:rPr>
              <w:t>合计</w:t>
            </w:r>
            <w:r>
              <w:rPr>
                <w:rFonts w:ascii="宋体" w:hAnsi="宋体"/>
                <w:bCs/>
                <w:szCs w:val="21"/>
              </w:rPr>
              <w:t>最高</w:t>
            </w:r>
            <w:r>
              <w:rPr>
                <w:rFonts w:hint="eastAsia" w:ascii="宋体" w:hAnsi="宋体"/>
                <w:bCs/>
                <w:szCs w:val="21"/>
              </w:rPr>
              <w:t>得100分。</w:t>
            </w:r>
          </w:p>
          <w:p>
            <w:pPr>
              <w:spacing w:line="300" w:lineRule="exact"/>
              <w:jc w:val="left"/>
              <w:rPr>
                <w:rFonts w:ascii="宋体" w:hAnsi="宋体"/>
                <w:b/>
                <w:color w:val="0000FF"/>
                <w:szCs w:val="21"/>
              </w:rPr>
            </w:pPr>
            <w:r>
              <w:rPr>
                <w:rFonts w:hint="eastAsia" w:ascii="宋体" w:hAnsi="宋体"/>
                <w:b/>
                <w:color w:val="0000FF"/>
                <w:szCs w:val="21"/>
              </w:rPr>
              <w:t>（二）评审标准：</w:t>
            </w:r>
          </w:p>
          <w:p>
            <w:pPr>
              <w:spacing w:line="300" w:lineRule="exact"/>
              <w:jc w:val="left"/>
              <w:rPr>
                <w:rFonts w:ascii="宋体" w:hAnsi="宋体"/>
                <w:bCs/>
                <w:color w:val="0000FF"/>
                <w:kern w:val="0"/>
                <w:szCs w:val="21"/>
              </w:rPr>
            </w:pPr>
            <w:r>
              <w:rPr>
                <w:rFonts w:hint="eastAsia" w:ascii="宋体" w:hAnsi="宋体"/>
                <w:bCs/>
                <w:color w:val="0000FF"/>
                <w:kern w:val="0"/>
                <w:szCs w:val="21"/>
              </w:rPr>
              <w:t>1、提供相关荣誉（或奖项）证明材料扫描件（须能体现获奖人为投标人）；</w:t>
            </w:r>
          </w:p>
          <w:p>
            <w:pPr>
              <w:spacing w:line="360" w:lineRule="auto"/>
              <w:jc w:val="left"/>
              <w:rPr>
                <w:rFonts w:cs="宋体" w:asciiTheme="minorEastAsia" w:hAnsiTheme="minorEastAsia" w:eastAsiaTheme="minorEastAsia"/>
                <w:kern w:val="2"/>
                <w:sz w:val="21"/>
                <w:szCs w:val="21"/>
                <w:lang w:val="en-US" w:eastAsia="zh-CN" w:bidi="ar-SA"/>
              </w:rPr>
            </w:pPr>
            <w:r>
              <w:rPr>
                <w:rFonts w:hint="eastAsia" w:ascii="宋体" w:hAnsi="宋体"/>
                <w:bCs/>
                <w:color w:val="0000FF"/>
                <w:kern w:val="0"/>
                <w:szCs w:val="21"/>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14"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4</w:t>
            </w:r>
          </w:p>
        </w:tc>
        <w:tc>
          <w:tcPr>
            <w:tcW w:w="2898"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其他部分</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hint="eastAsia" w:cs="宋体" w:asciiTheme="minorEastAsia" w:hAnsiTheme="minorEastAsia"/>
                <w:b/>
                <w:bCs/>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color w:val="0000FF"/>
                <w:szCs w:val="21"/>
              </w:rPr>
            </w:pPr>
          </w:p>
        </w:tc>
        <w:tc>
          <w:tcPr>
            <w:tcW w:w="646"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序号</w:t>
            </w:r>
          </w:p>
        </w:tc>
        <w:tc>
          <w:tcPr>
            <w:tcW w:w="1531"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评分因素</w:t>
            </w:r>
          </w:p>
        </w:tc>
        <w:tc>
          <w:tcPr>
            <w:tcW w:w="721"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权重</w:t>
            </w:r>
            <w:r>
              <w:rPr>
                <w:rFonts w:hint="eastAsia" w:asciiTheme="minorEastAsia" w:hAnsiTheme="minorEastAsia"/>
                <w:szCs w:val="21"/>
                <w:lang w:eastAsia="zh-CN"/>
              </w:rPr>
              <w:t>（</w:t>
            </w:r>
            <w:r>
              <w:rPr>
                <w:rFonts w:hint="eastAsia" w:asciiTheme="minorEastAsia" w:hAnsiTheme="minorEastAsia"/>
                <w:szCs w:val="21"/>
                <w:lang w:val="en-US" w:eastAsia="zh-CN"/>
              </w:rPr>
              <w:t>%</w:t>
            </w:r>
            <w:r>
              <w:rPr>
                <w:rFonts w:hint="eastAsia" w:asciiTheme="minorEastAsia" w:hAnsiTheme="minorEastAsia"/>
                <w:szCs w:val="21"/>
                <w:lang w:eastAsia="zh-CN"/>
              </w:rPr>
              <w:t>）</w:t>
            </w:r>
          </w:p>
        </w:tc>
        <w:tc>
          <w:tcPr>
            <w:tcW w:w="54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14"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color w:val="0000FF"/>
                <w:szCs w:val="21"/>
              </w:rPr>
            </w:pPr>
          </w:p>
        </w:tc>
        <w:tc>
          <w:tcPr>
            <w:tcW w:w="6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1</w:t>
            </w:r>
          </w:p>
        </w:tc>
        <w:tc>
          <w:tcPr>
            <w:tcW w:w="153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诚信情况</w:t>
            </w:r>
          </w:p>
        </w:tc>
        <w:tc>
          <w:tcPr>
            <w:tcW w:w="7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5</w:t>
            </w:r>
          </w:p>
        </w:tc>
        <w:tc>
          <w:tcPr>
            <w:tcW w:w="546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投标人存在</w:t>
            </w:r>
            <w:r>
              <w:rPr>
                <w:rFonts w:hint="eastAsia" w:ascii="宋体" w:hAnsi="宋体" w:eastAsia="宋体" w:cs="宋体"/>
                <w:b/>
                <w:bCs/>
                <w:sz w:val="21"/>
                <w:szCs w:val="21"/>
              </w:rPr>
              <w:t>《深圳市财政局政府采购供应商信用信息管理办法》</w:t>
            </w:r>
            <w:r>
              <w:rPr>
                <w:rFonts w:hint="eastAsia" w:ascii="宋体" w:hAnsi="宋体" w:eastAsia="宋体" w:cs="宋体"/>
                <w:sz w:val="21"/>
                <w:szCs w:val="21"/>
              </w:rPr>
              <w:t>（深财规〔2023〕3号）列明的</w:t>
            </w:r>
            <w:r>
              <w:rPr>
                <w:rFonts w:hint="eastAsia" w:ascii="宋体" w:hAnsi="宋体" w:eastAsia="宋体" w:cs="宋体"/>
                <w:b/>
                <w:bCs/>
                <w:sz w:val="21"/>
                <w:szCs w:val="21"/>
              </w:rPr>
              <w:t>一般行政处罚信息</w:t>
            </w:r>
            <w:r>
              <w:rPr>
                <w:rFonts w:hint="eastAsia" w:ascii="宋体" w:hAnsi="宋体" w:eastAsia="宋体" w:cs="宋体"/>
                <w:sz w:val="21"/>
                <w:szCs w:val="21"/>
              </w:rPr>
              <w:t>、</w:t>
            </w:r>
            <w:r>
              <w:rPr>
                <w:rFonts w:hint="eastAsia" w:ascii="宋体" w:hAnsi="宋体" w:eastAsia="宋体" w:cs="宋体"/>
                <w:b/>
                <w:bCs/>
                <w:sz w:val="21"/>
                <w:szCs w:val="21"/>
              </w:rPr>
              <w:t>一般违法失信</w:t>
            </w:r>
            <w:r>
              <w:rPr>
                <w:rFonts w:hint="eastAsia" w:ascii="宋体" w:hAnsi="宋体" w:eastAsia="宋体" w:cs="宋体"/>
                <w:b/>
                <w:bCs/>
                <w:sz w:val="21"/>
                <w:szCs w:val="21"/>
                <w:lang w:val="en-US" w:eastAsia="zh-CN"/>
              </w:rPr>
              <w:t>行为</w:t>
            </w:r>
            <w:r>
              <w:rPr>
                <w:rFonts w:hint="eastAsia" w:ascii="宋体" w:hAnsi="宋体" w:eastAsia="宋体" w:cs="宋体"/>
                <w:b/>
                <w:bCs/>
                <w:sz w:val="21"/>
                <w:szCs w:val="21"/>
              </w:rPr>
              <w:t>记录信息</w:t>
            </w:r>
            <w:r>
              <w:rPr>
                <w:rFonts w:hint="eastAsia" w:ascii="宋体" w:hAnsi="宋体" w:eastAsia="宋体" w:cs="宋体"/>
                <w:sz w:val="21"/>
                <w:szCs w:val="21"/>
              </w:rPr>
              <w:t>的，本项不得分，不存在上述情形的本项得100分。投标人无需提供任何证明材料，评标过程中由工作人员向评审委员会提供有关供应商诚信查询结果。</w:t>
            </w:r>
          </w:p>
          <w:p>
            <w:pPr>
              <w:snapToGrid w:val="0"/>
              <w:spacing w:line="260" w:lineRule="exact"/>
              <w:rPr>
                <w:rFonts w:cs="宋体" w:asciiTheme="minorEastAsia" w:hAnsiTheme="minorEastAsia"/>
                <w:szCs w:val="21"/>
              </w:rPr>
            </w:pPr>
            <w:r>
              <w:rPr>
                <w:rFonts w:hint="eastAsia" w:ascii="宋体" w:hAnsi="宋体" w:eastAsia="宋体" w:cs="宋体"/>
                <w:b w:val="0"/>
                <w:bCs w:val="0"/>
                <w:kern w:val="2"/>
                <w:sz w:val="21"/>
                <w:szCs w:val="21"/>
                <w:lang w:val="en-US" w:eastAsia="zh-CN" w:bidi="ar-SA"/>
              </w:rPr>
              <w:t>查询渠道：通过“信用中国”（www.creditchina.gov.cn，下载信用信息报告）、“中国政府采购网”（www.ccgp.gov.cn）以及“深圳市政府采购监管网”（http://zfcg.sz.gov.cn）查询供应商信用信息，信用信息以开标当日的查询结果为准。</w:t>
            </w:r>
          </w:p>
        </w:tc>
      </w:tr>
    </w:tbl>
    <w:p>
      <w:pPr>
        <w:jc w:val="center"/>
        <w:rPr>
          <w:b/>
          <w:sz w:val="84"/>
          <w:szCs w:val="84"/>
        </w:rPr>
      </w:pPr>
    </w:p>
    <w:p>
      <w:pPr>
        <w:jc w:val="center"/>
        <w:rPr>
          <w:b/>
          <w:sz w:val="84"/>
          <w:szCs w:val="84"/>
        </w:rPr>
      </w:pPr>
    </w:p>
    <w:p>
      <w:pPr>
        <w:jc w:val="center"/>
        <w:rPr>
          <w:b/>
          <w:sz w:val="84"/>
          <w:szCs w:val="84"/>
        </w:rPr>
      </w:pPr>
    </w:p>
    <w:p>
      <w:pPr>
        <w:jc w:val="center"/>
        <w:rPr>
          <w:rFonts w:hint="eastAsia"/>
          <w:b/>
          <w:sz w:val="120"/>
          <w:szCs w:val="120"/>
        </w:rPr>
      </w:pPr>
      <w:bookmarkStart w:id="1" w:name="_Hlk71465316"/>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w:t>
      </w:r>
      <w:r>
        <w:rPr>
          <w:rFonts w:hint="eastAsia"/>
          <w:b/>
          <w:sz w:val="52"/>
          <w:szCs w:val="52"/>
          <w:lang w:val="en-US" w:eastAsia="zh-CN"/>
        </w:rPr>
        <w:t>服务</w:t>
      </w:r>
      <w:r>
        <w:rPr>
          <w:rFonts w:hint="eastAsia"/>
          <w:b/>
          <w:sz w:val="52"/>
          <w:szCs w:val="52"/>
        </w:rPr>
        <w:t>类）</w:t>
      </w:r>
    </w:p>
    <w:p/>
    <w:p/>
    <w:p/>
    <w:p/>
    <w:p/>
    <w:p/>
    <w:p/>
    <w:p/>
    <w:p/>
    <w:p/>
    <w:p/>
    <w:p/>
    <w:p>
      <w:pPr>
        <w:jc w:val="center"/>
        <w:rPr>
          <w:b/>
          <w:sz w:val="44"/>
          <w:szCs w:val="44"/>
        </w:rPr>
      </w:pPr>
      <w:r>
        <w:rPr>
          <w:rFonts w:hint="eastAsia" w:ascii="宋体" w:hAnsi="宋体"/>
          <w:b/>
          <w:sz w:val="44"/>
          <w:szCs w:val="44"/>
        </w:rPr>
        <w:t>深圳公共资源交易中心</w:t>
      </w:r>
    </w:p>
    <w:p>
      <w:pPr>
        <w:jc w:val="center"/>
        <w:rPr>
          <w:b/>
          <w:sz w:val="44"/>
          <w:szCs w:val="44"/>
        </w:rPr>
      </w:pPr>
      <w:r>
        <w:rPr>
          <w:rFonts w:hint="eastAsia" w:ascii="宋体" w:hAnsi="宋体"/>
          <w:b/>
          <w:sz w:val="44"/>
          <w:szCs w:val="44"/>
        </w:rPr>
        <w:t>（</w:t>
      </w:r>
      <w:r>
        <w:rPr>
          <w:b/>
          <w:sz w:val="44"/>
          <w:szCs w:val="44"/>
        </w:rPr>
        <w:t>20</w:t>
      </w:r>
      <w:r>
        <w:rPr>
          <w:rFonts w:hint="eastAsia"/>
          <w:b/>
          <w:sz w:val="44"/>
          <w:szCs w:val="44"/>
        </w:rPr>
        <w:t>2</w:t>
      </w:r>
      <w:r>
        <w:rPr>
          <w:rFonts w:hint="eastAsia"/>
          <w:b/>
          <w:sz w:val="44"/>
          <w:szCs w:val="44"/>
          <w:lang w:val="en-US" w:eastAsia="zh-CN"/>
        </w:rPr>
        <w:t>4</w:t>
      </w:r>
      <w:r>
        <w:rPr>
          <w:rFonts w:hint="eastAsia" w:ascii="宋体" w:hAnsi="宋体"/>
          <w:b/>
          <w:sz w:val="44"/>
          <w:szCs w:val="44"/>
        </w:rPr>
        <w:t>）</w:t>
      </w:r>
    </w:p>
    <w:p>
      <w:pPr>
        <w:jc w:val="center"/>
        <w:rPr>
          <w:b/>
          <w:sz w:val="44"/>
          <w:szCs w:val="44"/>
        </w:rPr>
      </w:pPr>
    </w:p>
    <w:bookmarkEnd w:id="1"/>
    <w:p>
      <w:pPr>
        <w:keepNext w:val="0"/>
        <w:keepLines w:val="0"/>
        <w:pageBreakBefore w:val="0"/>
        <w:widowControl w:val="0"/>
        <w:kinsoku/>
        <w:wordWrap/>
        <w:overflowPunct/>
        <w:topLinePunct w:val="0"/>
        <w:autoSpaceDE/>
        <w:autoSpaceDN/>
        <w:bidi w:val="0"/>
        <w:adjustRightInd/>
        <w:snapToGrid/>
        <w:jc w:val="center"/>
        <w:textAlignment w:val="auto"/>
        <w:outlineLvl w:val="9"/>
        <w:rPr>
          <w:b/>
          <w:color w:val="FF0000"/>
          <w:sz w:val="28"/>
          <w:szCs w:val="28"/>
        </w:rPr>
      </w:pPr>
      <w:r>
        <w:rPr>
          <w:rFonts w:hint="eastAsia"/>
          <w:b/>
          <w:color w:val="FF0000"/>
          <w:sz w:val="52"/>
          <w:szCs w:val="52"/>
        </w:rPr>
        <w:br w:type="page"/>
      </w:r>
    </w:p>
    <w:p>
      <w:pPr>
        <w:keepNext w:val="0"/>
        <w:keepLines w:val="0"/>
        <w:pageBreakBefore w:val="0"/>
        <w:widowControl w:val="0"/>
        <w:kinsoku/>
        <w:wordWrap/>
        <w:overflowPunct/>
        <w:topLinePunct w:val="0"/>
        <w:autoSpaceDE/>
        <w:autoSpaceDN/>
        <w:bidi w:val="0"/>
        <w:adjustRightInd/>
        <w:snapToGrid/>
        <w:ind w:firstLine="3654" w:firstLineChars="1300"/>
        <w:textAlignment w:val="auto"/>
        <w:outlineLvl w:val="0"/>
        <w:rPr>
          <w:rFonts w:ascii="宋体" w:hAnsi="宋体"/>
          <w:color w:val="FF0000"/>
          <w:szCs w:val="21"/>
        </w:rPr>
      </w:pPr>
      <w:bookmarkStart w:id="2" w:name="_Hlk73564573"/>
      <w:r>
        <w:rPr>
          <w:rFonts w:hint="eastAsia" w:ascii="宋体" w:hAnsi="宋体" w:eastAsia="黑体"/>
          <w:b/>
          <w:bCs/>
          <w:color w:val="FF0000"/>
          <w:kern w:val="44"/>
          <w:sz w:val="28"/>
          <w:szCs w:val="44"/>
        </w:rPr>
        <w:t>警示条款</w:t>
      </w:r>
    </w:p>
    <w:bookmarkEnd w:id="2"/>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一、</w:t>
      </w:r>
      <w:r>
        <w:rPr>
          <w:rFonts w:hint="eastAsia" w:ascii="宋体" w:hAnsi="宋体" w:eastAsia="宋体" w:cs="宋体"/>
          <w:b/>
          <w:bCs/>
          <w:color w:val="FF0000"/>
          <w:sz w:val="21"/>
          <w:szCs w:val="21"/>
        </w:rPr>
        <w:t>《深圳经济特区政府采购条例》第五十七条</w:t>
      </w:r>
      <w:r>
        <w:rPr>
          <w:rFonts w:hint="eastAsia" w:ascii="宋体" w:hAnsi="宋体" w:eastAsia="宋体" w:cs="宋体"/>
          <w:color w:val="FF0000"/>
          <w:sz w:val="21"/>
          <w:szCs w:val="21"/>
        </w:rPr>
        <w:t xml:space="preserve"> 供应商在政府采购中，有下列行为之一的，一至三年内禁止其参与本市政府采购，并由主管部门记入供应商诚信档案，处采购金额千分之十以上千分之二十以下的罚款；情节严重的，取消其参与本市政府采购资格，处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（一）在采购活动中应当回避而未回避的；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（三）隐瞒真实情况，提供虚假资料的；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（四）以非法手段排斥其他供应商参与竞争的；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（五）与其他采购参加人串通投标的；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（六）恶意投诉的；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（八）阻碍、抗拒主管部门监督检查的；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（九）其他违反本条例规定的行为。</w:t>
      </w:r>
    </w:p>
    <w:p>
      <w:pPr>
        <w:keepNext w:val="0"/>
        <w:keepLines w:val="0"/>
        <w:pageBreakBefore w:val="0"/>
        <w:widowControl w:val="0"/>
        <w:kinsoku/>
        <w:wordWrap/>
        <w:overflowPunct/>
        <w:topLinePunct w:val="0"/>
        <w:autoSpaceDE/>
        <w:autoSpaceDN/>
        <w:bidi w:val="0"/>
        <w:adjustRightInd/>
        <w:snapToGrid w:val="0"/>
        <w:spacing w:line="240" w:lineRule="auto"/>
        <w:ind w:firstLine="422" w:firstLineChars="200"/>
        <w:textAlignment w:val="auto"/>
        <w:rPr>
          <w:rFonts w:hint="eastAsia" w:ascii="宋体" w:hAnsi="宋体" w:eastAsia="宋体" w:cs="宋体"/>
          <w:color w:val="FF0000"/>
          <w:sz w:val="21"/>
          <w:szCs w:val="21"/>
        </w:rPr>
      </w:pPr>
      <w:r>
        <w:rPr>
          <w:rFonts w:hint="eastAsia" w:ascii="宋体" w:hAnsi="宋体" w:eastAsia="宋体" w:cs="宋体"/>
          <w:b/>
          <w:bCs/>
          <w:color w:val="FF0000"/>
          <w:sz w:val="21"/>
          <w:szCs w:val="21"/>
        </w:rPr>
        <w:t>二、《深圳经济特区政府采购条例实施细则》第七十五条</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color w:val="FF0000"/>
          <w:sz w:val="21"/>
          <w:szCs w:val="21"/>
        </w:rPr>
        <w:t>供应商有下列情形</w:t>
      </w:r>
      <w:r>
        <w:rPr>
          <w:rFonts w:hint="eastAsia" w:ascii="宋体" w:hAnsi="宋体" w:eastAsia="宋体" w:cs="宋体"/>
          <w:color w:val="FF0000"/>
          <w:sz w:val="21"/>
          <w:szCs w:val="21"/>
          <w:lang w:val="en-US" w:eastAsia="zh-CN"/>
        </w:rPr>
        <w:t>之一</w:t>
      </w:r>
      <w:r>
        <w:rPr>
          <w:rFonts w:hint="eastAsia" w:ascii="宋体" w:hAnsi="宋体" w:eastAsia="宋体" w:cs="宋体"/>
          <w:color w:val="FF0000"/>
          <w:sz w:val="21"/>
          <w:szCs w:val="21"/>
        </w:rPr>
        <w:t>的，属于采购条例所称的串通投标行为，按照采购条例第五十七条有关规定处理：（一）投标供应商之间相互约定给予未中标的供应商利益补偿</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（二）不同投标供应商的法定代表人、主要经营负责人、项目投标授权代表人、项目负责人、主要技术人员为同一人、属同一单位或者在同一单位缴纳社会保险</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（三）不同投标供应商的投标文件由同一单位或者同一人编制，或者由同一人分阶段参与编制的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（四）不同投标供应商的投标文件或部分投标文件相互混装</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（五）不同投标供应商的投标文件内容存在非正常一致</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（六）由同一单位工作人员为两家以上（含两家）供应商进行同一项投标活动的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（七）主管部门依照法律、法规认定的其他情形。</w:t>
      </w:r>
    </w:p>
    <w:p>
      <w:pPr>
        <w:keepNext w:val="0"/>
        <w:keepLines w:val="0"/>
        <w:pageBreakBefore w:val="0"/>
        <w:widowControl w:val="0"/>
        <w:kinsoku/>
        <w:wordWrap/>
        <w:overflowPunct/>
        <w:topLinePunct w:val="0"/>
        <w:autoSpaceDE/>
        <w:autoSpaceDN/>
        <w:bidi w:val="0"/>
        <w:adjustRightInd/>
        <w:snapToGrid w:val="0"/>
        <w:spacing w:line="240" w:lineRule="auto"/>
        <w:ind w:firstLine="422" w:firstLineChars="200"/>
        <w:textAlignment w:val="auto"/>
        <w:rPr>
          <w:rFonts w:hint="eastAsia" w:ascii="宋体" w:hAnsi="宋体" w:eastAsia="宋体" w:cs="宋体"/>
          <w:color w:val="FF0000"/>
          <w:sz w:val="21"/>
          <w:szCs w:val="21"/>
        </w:rPr>
      </w:pPr>
      <w:r>
        <w:rPr>
          <w:rFonts w:hint="eastAsia" w:ascii="宋体" w:hAnsi="宋体" w:eastAsia="宋体" w:cs="宋体"/>
          <w:b/>
          <w:bCs/>
          <w:color w:val="FF0000"/>
          <w:sz w:val="21"/>
          <w:szCs w:val="21"/>
        </w:rPr>
        <w:t>三、《深圳经济特区政府采购条例实施细则》第七十七条</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color w:val="FF0000"/>
          <w:sz w:val="21"/>
          <w:szCs w:val="21"/>
        </w:rPr>
        <w:t>供应商有下列情形之一的，属于隐瞒真实情况，提供虚假资料，按照采购条例第五十七</w:t>
      </w:r>
      <w:r>
        <w:rPr>
          <w:rFonts w:hint="eastAsia" w:ascii="宋体" w:hAnsi="宋体" w:eastAsia="宋体" w:cs="宋体"/>
          <w:color w:val="FF0000"/>
          <w:sz w:val="21"/>
          <w:szCs w:val="21"/>
          <w:lang w:val="en-US" w:eastAsia="zh-CN"/>
        </w:rPr>
        <w:t>条</w:t>
      </w:r>
      <w:r>
        <w:rPr>
          <w:rFonts w:hint="eastAsia" w:ascii="宋体" w:hAnsi="宋体" w:eastAsia="宋体" w:cs="宋体"/>
          <w:color w:val="FF0000"/>
          <w:sz w:val="21"/>
          <w:szCs w:val="21"/>
        </w:rPr>
        <w:t>的有关规定处理：（一）通过转让或者租借等方式从其他单位获取资格或者资质证书投标的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（二）由其他单位或者其他单位负责人在投标供应商编制的投标文件上加盖印章或者签字的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（三）项目负责人或者主要技术人员不是本单位人员的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（四）投标保证金不是从投标供应商基本账户转出的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（五）其他隐瞒真实情况、提供虚假资料的行为。</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投标供应商不能提供项目负责人或者主要技术人员的劳动合同、社会保险等劳动关系证明材料的，视为存在前款第（三）项规定的情形。</w:t>
      </w:r>
    </w:p>
    <w:p>
      <w:pPr>
        <w:keepNext w:val="0"/>
        <w:keepLines w:val="0"/>
        <w:pageBreakBefore w:val="0"/>
        <w:widowControl w:val="0"/>
        <w:kinsoku/>
        <w:wordWrap/>
        <w:overflowPunct/>
        <w:topLinePunct w:val="0"/>
        <w:autoSpaceDE/>
        <w:autoSpaceDN/>
        <w:bidi w:val="0"/>
        <w:adjustRightInd/>
        <w:snapToGrid w:val="0"/>
        <w:spacing w:line="240" w:lineRule="auto"/>
        <w:ind w:firstLine="422" w:firstLineChars="200"/>
        <w:textAlignment w:val="auto"/>
        <w:rPr>
          <w:rFonts w:hint="eastAsia" w:ascii="宋体" w:hAnsi="宋体" w:eastAsia="宋体" w:cs="宋体"/>
          <w:b/>
          <w:color w:val="FF0000"/>
          <w:sz w:val="21"/>
          <w:szCs w:val="21"/>
        </w:rPr>
      </w:pPr>
      <w:r>
        <w:rPr>
          <w:rFonts w:hint="eastAsia" w:ascii="宋体" w:hAnsi="宋体" w:eastAsia="宋体" w:cs="宋体"/>
          <w:b/>
          <w:color w:val="FF0000"/>
          <w:sz w:val="21"/>
          <w:szCs w:val="21"/>
        </w:rPr>
        <w:t>四、请投标供应商阅读《政府采购违法行为风险知悉确认书》（内容详见“投标文件附件（信息不公开部分）”中节点“投标人认为需要加以说明的其他内容（格式自定）”），并经各投标供应商负责人或投标授权代表签字并加盖单位公章后，扫描上传至投标文件一并提交。注：该风险知悉确认书用于对供应商违法行为的警示，不作为供应商资格性审查及符合性审查条件。</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b w:val="0"/>
          <w:bCs/>
          <w:color w:val="FF0000"/>
          <w:sz w:val="21"/>
          <w:szCs w:val="21"/>
          <w:lang w:val="en-US" w:eastAsia="zh-CN"/>
        </w:rPr>
      </w:pPr>
      <w:r>
        <w:rPr>
          <w:rFonts w:hint="eastAsia" w:ascii="宋体" w:hAnsi="宋体" w:eastAsia="宋体" w:cs="宋体"/>
          <w:b w:val="0"/>
          <w:bCs/>
          <w:color w:val="FF0000"/>
          <w:sz w:val="21"/>
          <w:szCs w:val="21"/>
          <w:lang w:val="en-US" w:eastAsia="zh-CN"/>
        </w:rPr>
        <w:t>五、供应商在使用深圳政府采购智慧平台的投标文件制作工具创建投标文件时，该工具将自动在投标文件中记录文件创建标识码，同时提取投标文件制作电脑的网卡MAC地址、硬盘序列号、CPU序列号、主板序列号和工具标识号，经加密生成文件制作机器码并在投标文件中记录。文件制作机器码一致表明不同供应商使用了同一设备编制投标文件，文件创建标识码一致表明不同供应商的投标文件为同一份文件，IP地址一致表明上传投标文件时使用了相同的网络。</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b w:val="0"/>
          <w:bCs/>
          <w:color w:val="FF0000"/>
          <w:sz w:val="21"/>
          <w:szCs w:val="21"/>
          <w:lang w:val="en-US" w:eastAsia="zh-CN"/>
        </w:rPr>
      </w:pPr>
      <w:r>
        <w:rPr>
          <w:rFonts w:hint="eastAsia" w:ascii="宋体" w:hAnsi="宋体" w:eastAsia="宋体" w:cs="宋体"/>
          <w:b w:val="0"/>
          <w:bCs/>
          <w:color w:val="FF0000"/>
          <w:sz w:val="21"/>
          <w:szCs w:val="21"/>
          <w:lang w:val="en-US" w:eastAsia="zh-CN"/>
        </w:rPr>
        <w:t>为避免出现不同供应商投标文件的文件制作机器码、文件创建标识码、IP地址一致的异常情况，建议各供应商编制、上传投标文件时不要使用公共电脑设备或公共网络。</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宋体" w:hAnsi="宋体" w:eastAsia="宋体" w:cs="宋体"/>
          <w:b w:val="0"/>
          <w:bCs/>
          <w:color w:val="FF0000"/>
          <w:sz w:val="21"/>
          <w:szCs w:val="21"/>
          <w:lang w:val="en-US" w:eastAsia="zh-CN"/>
        </w:rPr>
      </w:pPr>
      <w:r>
        <w:rPr>
          <w:rFonts w:hint="eastAsia" w:ascii="宋体" w:hAnsi="宋体" w:eastAsia="宋体" w:cs="宋体"/>
          <w:b w:val="0"/>
          <w:bCs/>
          <w:color w:val="FF0000"/>
          <w:sz w:val="21"/>
          <w:szCs w:val="21"/>
          <w:lang w:val="en-US" w:eastAsia="zh-CN"/>
        </w:rPr>
        <w:t>根据《深圳经济特区政府采购条例实施细则》第七十五条规定，不同投标供应商的投标文件由同一单位或者同一人编制，或者由同一人分阶段参与编制的，或者由同一单位工作人员为两家以上（含两家）供应商进行同一项投标活动的，属于串通投标行为。一经查实，供应商将面临罚款、一定年限内禁止参与政府采购活动、</w:t>
      </w:r>
      <w:r>
        <w:rPr>
          <w:rFonts w:hint="eastAsia" w:ascii="宋体" w:hAnsi="宋体" w:eastAsia="宋体" w:cs="宋体"/>
          <w:color w:val="FF0000"/>
          <w:sz w:val="21"/>
          <w:szCs w:val="21"/>
        </w:rPr>
        <w:t>取消参与本市政府采购资格</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依法吊销其营业</w:t>
      </w:r>
      <w:r>
        <w:rPr>
          <w:rFonts w:hint="eastAsia" w:ascii="宋体" w:hAnsi="宋体" w:eastAsia="宋体" w:cs="宋体"/>
          <w:color w:val="FF0000"/>
          <w:sz w:val="21"/>
          <w:szCs w:val="21"/>
          <w:lang w:val="en-US" w:eastAsia="zh-CN"/>
        </w:rPr>
        <w:t>执照等行政处罚，</w:t>
      </w:r>
      <w:r>
        <w:rPr>
          <w:rFonts w:hint="eastAsia" w:ascii="宋体" w:hAnsi="宋体" w:eastAsia="宋体" w:cs="宋体"/>
          <w:color w:val="FF0000"/>
          <w:sz w:val="21"/>
          <w:szCs w:val="21"/>
        </w:rPr>
        <w:t>构成犯罪的，依法追究刑事责任</w:t>
      </w:r>
      <w:r>
        <w:rPr>
          <w:rFonts w:hint="eastAsia" w:ascii="宋体" w:hAnsi="宋体" w:eastAsia="宋体" w:cs="宋体"/>
          <w:b w:val="0"/>
          <w:bCs/>
          <w:color w:val="FF0000"/>
          <w:sz w:val="21"/>
          <w:szCs w:val="21"/>
          <w:lang w:val="en-US" w:eastAsia="zh-CN"/>
        </w:rPr>
        <w:t>，请各供应商独立编制、上传投标文件，妥善保管和使用电子秘钥。</w:t>
      </w:r>
    </w:p>
    <w:p>
      <w:pPr>
        <w:pStyle w:val="3"/>
        <w:rPr>
          <w:rFonts w:hint="eastAsia"/>
        </w:rPr>
      </w:pPr>
    </w:p>
    <w:p>
      <w:pPr>
        <w:keepNext/>
        <w:keepLines/>
        <w:spacing w:before="340" w:afterLines="25" w:line="578" w:lineRule="auto"/>
        <w:jc w:val="center"/>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目   录</w:t>
      </w:r>
    </w:p>
    <w:p>
      <w:pPr>
        <w:rPr>
          <w:b/>
          <w:sz w:val="24"/>
          <w:szCs w:val="24"/>
        </w:rPr>
      </w:pPr>
      <w:r>
        <w:rPr>
          <w:rFonts w:hint="eastAsia"/>
          <w:b/>
          <w:sz w:val="24"/>
          <w:szCs w:val="24"/>
        </w:rPr>
        <w:t>第一册  专用条款</w:t>
      </w:r>
    </w:p>
    <w:p>
      <w:pPr>
        <w:ind w:left="630" w:leftChars="300" w:firstLine="472" w:firstLineChars="196"/>
        <w:rPr>
          <w:b/>
          <w:sz w:val="24"/>
          <w:szCs w:val="24"/>
        </w:rPr>
      </w:pPr>
      <w:r>
        <w:rPr>
          <w:rFonts w:hint="eastAsia"/>
          <w:b/>
          <w:sz w:val="24"/>
          <w:szCs w:val="24"/>
        </w:rPr>
        <w:tab/>
      </w:r>
      <w:r>
        <w:rPr>
          <w:rFonts w:hint="eastAsia" w:ascii="宋体" w:hAnsi="宋体"/>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 xml:space="preserve">第三章 </w:t>
      </w:r>
      <w:r>
        <w:rPr>
          <w:rFonts w:ascii="宋体" w:hAnsi="宋体"/>
          <w:szCs w:val="21"/>
        </w:rPr>
        <w:t xml:space="preserve"> </w:t>
      </w:r>
      <w:r>
        <w:rPr>
          <w:rFonts w:hint="eastAsia" w:ascii="宋体" w:hAnsi="宋体"/>
          <w:szCs w:val="21"/>
        </w:rPr>
        <w:t>用户需求书</w:t>
      </w:r>
    </w:p>
    <w:p>
      <w:pPr>
        <w:ind w:left="630" w:leftChars="300" w:firstLine="411" w:firstLineChars="196"/>
        <w:rPr>
          <w:rFonts w:ascii="宋体" w:hAnsi="宋体"/>
          <w:szCs w:val="21"/>
        </w:rPr>
      </w:pPr>
      <w:r>
        <w:rPr>
          <w:rFonts w:hint="eastAsia" w:ascii="宋体" w:hAnsi="宋体"/>
          <w:szCs w:val="21"/>
        </w:rPr>
        <w:t xml:space="preserve">第四章 </w:t>
      </w:r>
      <w:r>
        <w:rPr>
          <w:rFonts w:ascii="宋体" w:hAnsi="宋体"/>
          <w:szCs w:val="21"/>
        </w:rPr>
        <w:t xml:space="preserve"> </w:t>
      </w:r>
      <w:r>
        <w:rPr>
          <w:rFonts w:hint="eastAsia" w:ascii="宋体" w:hAnsi="宋体"/>
          <w:szCs w:val="21"/>
        </w:rPr>
        <w:t>投标文件组成要求及格式</w:t>
      </w:r>
    </w:p>
    <w:p>
      <w:pPr>
        <w:ind w:left="630" w:leftChars="300" w:firstLine="411" w:firstLineChars="196"/>
        <w:rPr>
          <w:rFonts w:ascii="宋体" w:hAnsi="宋体"/>
          <w:szCs w:val="21"/>
        </w:rPr>
      </w:pPr>
      <w:r>
        <w:rPr>
          <w:rFonts w:hint="eastAsia" w:ascii="宋体" w:hAnsi="宋体"/>
          <w:szCs w:val="21"/>
        </w:rPr>
        <w:t>第五章  合同条款及格式</w:t>
      </w:r>
    </w:p>
    <w:p>
      <w:pPr>
        <w:rPr>
          <w:b/>
          <w:sz w:val="24"/>
        </w:rPr>
      </w:pPr>
    </w:p>
    <w:p>
      <w:pPr>
        <w:rPr>
          <w:b/>
          <w:sz w:val="24"/>
          <w:szCs w:val="24"/>
        </w:rPr>
      </w:pPr>
      <w:r>
        <w:rPr>
          <w:rFonts w:hint="eastAsia"/>
          <w:b/>
          <w:sz w:val="24"/>
          <w:szCs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r>
        <w:rPr>
          <w:rFonts w:hint="eastAsia"/>
        </w:rPr>
        <w:t xml:space="preserve">          第十一章  质疑处理</w:t>
      </w:r>
    </w:p>
    <w:p/>
    <w:p/>
    <w:p>
      <w:pPr>
        <w:widowControl/>
        <w:jc w:val="left"/>
        <w:rPr>
          <w:rFonts w:ascii="宋体" w:hAnsi="宋体" w:eastAsia="黑体" w:cs="Times New Roman"/>
          <w:b/>
          <w:bCs/>
          <w:color w:val="0000FF"/>
          <w:kern w:val="44"/>
          <w:sz w:val="36"/>
          <w:szCs w:val="44"/>
        </w:rPr>
      </w:pPr>
      <w:r>
        <w:rPr>
          <w:rFonts w:ascii="宋体" w:hAnsi="宋体" w:eastAsia="黑体" w:cs="Times New Roman"/>
          <w:b/>
          <w:bCs/>
          <w:color w:val="0000FF"/>
          <w:kern w:val="44"/>
          <w:sz w:val="36"/>
          <w:szCs w:val="44"/>
        </w:rPr>
        <w:br w:type="page"/>
      </w:r>
    </w:p>
    <w:p>
      <w:pPr>
        <w:keepNext/>
        <w:keepLines/>
        <w:spacing w:before="340" w:afterLines="25" w:line="578" w:lineRule="auto"/>
        <w:jc w:val="center"/>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第一册  专用条款</w:t>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第一章  招标公告</w:t>
      </w:r>
    </w:p>
    <w:p>
      <w:pPr>
        <w:snapToGrid w:val="0"/>
        <w:spacing w:line="300" w:lineRule="exact"/>
        <w:rPr>
          <w:rFonts w:ascii="Arial" w:hAnsi="Arial" w:eastAsia="宋体" w:cs="Times New Roman"/>
          <w:szCs w:val="21"/>
        </w:rPr>
      </w:pPr>
      <w:r>
        <w:rPr>
          <w:rFonts w:hint="eastAsia" w:ascii="Arial" w:hAnsi="Arial" w:eastAsia="宋体" w:cs="Times New Roman"/>
          <w:b/>
          <w:bCs/>
          <w:szCs w:val="21"/>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1）具有独立承担民事责任的能力（提供营业执照或事业单位法人证书等证明资料扫描件，原件备查</w:t>
      </w:r>
      <w:r>
        <w:rPr>
          <w:rFonts w:hint="eastAsia" w:asciiTheme="minorEastAsia" w:hAnsiTheme="minorEastAsia" w:cstheme="minorEastAsia"/>
          <w:bCs/>
          <w:sz w:val="24"/>
          <w:szCs w:val="24"/>
          <w:lang w:eastAsia="zh-CN"/>
        </w:rPr>
        <w:t>。</w:t>
      </w:r>
      <w:r>
        <w:rPr>
          <w:rFonts w:hint="eastAsia" w:asciiTheme="minorEastAsia" w:hAnsiTheme="minorEastAsia" w:eastAsiaTheme="minorEastAsia" w:cstheme="minorEastAsia"/>
          <w:bCs/>
          <w:sz w:val="24"/>
          <w:szCs w:val="24"/>
        </w:rPr>
        <w:t>分支机构参与投标的，</w:t>
      </w:r>
      <w:r>
        <w:rPr>
          <w:rFonts w:hint="eastAsia" w:asciiTheme="minorEastAsia" w:hAnsiTheme="minorEastAsia" w:cstheme="minorEastAsia"/>
          <w:bCs/>
          <w:sz w:val="24"/>
          <w:szCs w:val="24"/>
          <w:lang w:val="en-US" w:eastAsia="zh-CN"/>
        </w:rPr>
        <w:t>须同时</w:t>
      </w:r>
      <w:r>
        <w:rPr>
          <w:rFonts w:hint="eastAsia" w:asciiTheme="minorEastAsia" w:hAnsiTheme="minorEastAsia" w:eastAsiaTheme="minorEastAsia" w:cstheme="minorEastAsia"/>
          <w:bCs/>
          <w:sz w:val="24"/>
          <w:szCs w:val="24"/>
        </w:rPr>
        <w:t>提供</w:t>
      </w:r>
      <w:r>
        <w:rPr>
          <w:rFonts w:hint="eastAsia" w:asciiTheme="minorEastAsia" w:hAnsiTheme="minorEastAsia" w:cstheme="minorEastAsia"/>
          <w:bCs/>
          <w:sz w:val="24"/>
          <w:szCs w:val="24"/>
          <w:lang w:eastAsia="zh-CN"/>
        </w:rPr>
        <w:t>：</w:t>
      </w:r>
      <w:r>
        <w:rPr>
          <w:rFonts w:hint="eastAsia" w:asciiTheme="minorEastAsia" w:hAnsiTheme="minorEastAsia" w:cstheme="minorEastAsia"/>
          <w:bCs/>
          <w:sz w:val="24"/>
          <w:szCs w:val="24"/>
          <w:lang w:val="en-US" w:eastAsia="zh-CN"/>
        </w:rPr>
        <w:t>①分支机构</w:t>
      </w:r>
      <w:r>
        <w:rPr>
          <w:rFonts w:hint="eastAsia" w:asciiTheme="minorEastAsia" w:hAnsiTheme="minorEastAsia" w:eastAsiaTheme="minorEastAsia" w:cstheme="minorEastAsia"/>
          <w:bCs/>
          <w:sz w:val="24"/>
          <w:szCs w:val="24"/>
        </w:rPr>
        <w:t>营业执照或事业单位法人证书等证明资料扫描件</w:t>
      </w:r>
      <w:r>
        <w:rPr>
          <w:rFonts w:hint="eastAsia" w:asciiTheme="minorEastAsia" w:hAnsiTheme="minorEastAsia" w:cstheme="minorEastAsia"/>
          <w:bCs/>
          <w:sz w:val="24"/>
          <w:szCs w:val="24"/>
          <w:lang w:val="en-US" w:eastAsia="zh-CN"/>
        </w:rPr>
        <w:t>；②</w:t>
      </w:r>
      <w:r>
        <w:rPr>
          <w:rFonts w:hint="eastAsia" w:asciiTheme="minorEastAsia" w:hAnsiTheme="minorEastAsia" w:eastAsiaTheme="minorEastAsia" w:cstheme="minorEastAsia"/>
          <w:bCs/>
          <w:sz w:val="24"/>
          <w:szCs w:val="24"/>
        </w:rPr>
        <w:t>总公司授权文件且授权</w:t>
      </w:r>
      <w:r>
        <w:rPr>
          <w:rFonts w:hint="eastAsia" w:asciiTheme="minorEastAsia" w:hAnsiTheme="minorEastAsia" w:cstheme="minorEastAsia"/>
          <w:bCs/>
          <w:sz w:val="24"/>
          <w:szCs w:val="24"/>
          <w:lang w:val="en-US" w:eastAsia="zh-CN"/>
        </w:rPr>
        <w:t>文件</w:t>
      </w:r>
      <w:r>
        <w:rPr>
          <w:rFonts w:hint="eastAsia" w:asciiTheme="minorEastAsia" w:hAnsiTheme="minorEastAsia" w:eastAsiaTheme="minorEastAsia" w:cstheme="minorEastAsia"/>
          <w:bCs/>
          <w:sz w:val="24"/>
          <w:szCs w:val="24"/>
        </w:rPr>
        <w:t>载明其民事责任由总公司承担）。</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2）本项目不接受联合体投标</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参与本项目政府采购活动时不存在被有关部门禁止参与政府采购活动且在有效期内的情况（由供应商在《政府采购投标及履约承诺函》中作出声明）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具备《中华人民共和国政府采购法》第二十二条第一款的条件（由供应商在《政府采购投标及履约承诺函》中作出声明）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未被列入失信被执行人、重大税收违法案件当事人名单、政府采购严重违法失</w:t>
      </w:r>
      <w:r>
        <w:rPr>
          <w:rFonts w:hint="eastAsia" w:asciiTheme="minorEastAsia" w:hAnsiTheme="minorEastAsia" w:eastAsiaTheme="minorEastAsia" w:cstheme="minorEastAsia"/>
          <w:b w:val="0"/>
          <w:bCs/>
          <w:kern w:val="2"/>
          <w:sz w:val="24"/>
          <w:szCs w:val="24"/>
          <w:lang w:val="en-US" w:eastAsia="zh-CN" w:bidi="ar-SA"/>
        </w:rPr>
        <w:t>信行为记录名单（由供应商在《政府采购投标及履约承诺函》中作出声明）。</w:t>
      </w:r>
    </w:p>
    <w:p>
      <w:pPr>
        <w:pStyle w:val="2"/>
        <w:rPr>
          <w:rFonts w:hint="default"/>
          <w:lang w:val="en-US" w:eastAsia="zh-CN"/>
        </w:rPr>
      </w:pPr>
      <w:r>
        <w:rPr>
          <w:rFonts w:hint="eastAsia" w:asciiTheme="minorEastAsia" w:hAnsiTheme="minorEastAsia" w:eastAsiaTheme="minorEastAsia" w:cstheme="minorEastAsia"/>
          <w:b w:val="0"/>
          <w:bCs/>
          <w:kern w:val="2"/>
          <w:sz w:val="24"/>
          <w:szCs w:val="24"/>
          <w:lang w:val="en-US" w:eastAsia="zh-CN" w:bidi="ar-SA"/>
        </w:rPr>
        <w:t xml:space="preserve">   </w:t>
      </w:r>
      <w:r>
        <w:rPr>
          <w:rFonts w:hint="eastAsia" w:asciiTheme="minorEastAsia" w:hAnsiTheme="minorEastAsia" w:cstheme="minorEastAsia"/>
          <w:b w:val="0"/>
          <w:bCs/>
          <w:kern w:val="2"/>
          <w:sz w:val="24"/>
          <w:szCs w:val="24"/>
          <w:lang w:val="en-US" w:eastAsia="zh-CN" w:bidi="ar-SA"/>
        </w:rPr>
        <w:t xml:space="preserve"> </w:t>
      </w:r>
      <w:r>
        <w:rPr>
          <w:rFonts w:hint="eastAsia" w:asciiTheme="minorEastAsia" w:hAnsiTheme="minorEastAsia" w:eastAsiaTheme="minorEastAsia" w:cstheme="minorEastAsia"/>
          <w:b w:val="0"/>
          <w:bCs/>
          <w:kern w:val="2"/>
          <w:sz w:val="24"/>
          <w:szCs w:val="24"/>
          <w:lang w:val="en-US" w:eastAsia="zh-CN" w:bidi="ar-SA"/>
        </w:rPr>
        <w:t>6）不存在《深圳市财政局政府采购供应商信用信息管理办法》（深财规〔2023〕3号）列明的严重违法失信行为（由供应商在《政府采购投标及履约承诺函》中作出声明）；</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cstheme="minorEastAsia"/>
          <w:bCs/>
          <w:sz w:val="24"/>
          <w:szCs w:val="24"/>
          <w:lang w:val="en-US" w:eastAsia="zh-CN"/>
        </w:rPr>
        <w:t>7</w:t>
      </w:r>
      <w:r>
        <w:rPr>
          <w:rFonts w:hint="eastAsia" w:asciiTheme="minorEastAsia" w:hAnsiTheme="minorEastAsia" w:eastAsiaTheme="minorEastAsia" w:cstheme="minorEastAsia"/>
          <w:bCs/>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yellow"/>
          <w:lang w:val="en-US" w:eastAsia="zh-CN"/>
        </w:rPr>
      </w:pPr>
      <w:r>
        <w:rPr>
          <w:rFonts w:hint="eastAsia" w:asciiTheme="minorEastAsia" w:hAnsiTheme="minorEastAsia" w:eastAsiaTheme="minorEastAsia" w:cstheme="minorEastAsia"/>
          <w:bCs/>
          <w:sz w:val="24"/>
          <w:szCs w:val="24"/>
          <w:highlight w:val="yellow"/>
          <w:lang w:val="en-US" w:eastAsia="zh-CN"/>
        </w:rPr>
        <w:t>8</w:t>
      </w:r>
      <w:r>
        <w:rPr>
          <w:rFonts w:hint="eastAsia" w:asciiTheme="minorEastAsia" w:hAnsiTheme="minorEastAsia" w:eastAsiaTheme="minorEastAsia" w:cstheme="minorEastAsia"/>
          <w:bCs/>
          <w:sz w:val="24"/>
          <w:szCs w:val="24"/>
          <w:highlight w:val="yellow"/>
        </w:rPr>
        <w:t>）本项目是（否）专门面向中小企业采购：</w:t>
      </w:r>
      <w:r>
        <w:rPr>
          <w:rFonts w:hint="eastAsia" w:asciiTheme="minorEastAsia" w:hAnsiTheme="minorEastAsia" w:eastAsiaTheme="minorEastAsia" w:cstheme="minorEastAsia"/>
          <w:bCs/>
          <w:sz w:val="24"/>
          <w:szCs w:val="24"/>
          <w:highlight w:val="yellow"/>
          <w:lang w:val="en-US" w:eastAsia="zh-CN"/>
        </w:rPr>
        <w:t>是。</w:t>
      </w:r>
      <w:r>
        <w:rPr>
          <w:rFonts w:hint="eastAsia" w:asciiTheme="minorEastAsia" w:hAnsiTheme="minorEastAsia" w:eastAsiaTheme="minorEastAsia" w:cstheme="minorEastAsia"/>
          <w:bCs/>
          <w:sz w:val="24"/>
          <w:szCs w:val="24"/>
          <w:highlight w:val="yellow"/>
        </w:rPr>
        <w:t>①本项目的承接单位为符合政策要求的中小微企业、残疾人福利性单位或监狱企业制造（由供应商在相关声明函中作出声明；未提供声明函或声明函不符合相关要求的，按资格审查不通过处理）。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信用中国”（www.creditchina.gov.cn，查询“信用服务”栏的“重大税收违法失信主体”“失信被执行人”或者下载信用信息报告），“中国政府采购网”（www.ccgp.gov.cn）中的“政府采购严重违法失信行为记录名单”，以及“深圳市政府采购监管网”（http://zfcg.sz.gov.cn）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（2）供应商投标（上传投标文件）必须先行办理注册手续。</w:t>
      </w:r>
    </w:p>
    <w:p>
      <w:pPr>
        <w:snapToGrid w:val="0"/>
        <w:spacing w:line="300" w:lineRule="auto"/>
        <w:ind w:firstLine="480" w:firstLineChars="200"/>
        <w:rPr>
          <w:rFonts w:ascii="Arial" w:hAnsi="Arial" w:eastAsia="宋体" w:cs="Times New Roman"/>
          <w:sz w:val="24"/>
          <w:szCs w:val="24"/>
        </w:rPr>
      </w:pPr>
    </w:p>
    <w:p>
      <w:pPr>
        <w:spacing w:afterLines="25"/>
        <w:jc w:val="center"/>
        <w:rPr>
          <w:rFonts w:ascii="Arial" w:hAnsi="Arial" w:eastAsia="宋体" w:cs="Times New Roman"/>
          <w:b/>
          <w:color w:val="FF0000"/>
          <w:sz w:val="32"/>
          <w:szCs w:val="32"/>
        </w:rPr>
      </w:pPr>
      <w:r>
        <w:rPr>
          <w:rFonts w:hint="eastAsia" w:ascii="Arial" w:hAnsi="Arial" w:eastAsia="宋体" w:cs="Times New Roman"/>
          <w:b/>
          <w:color w:val="FF0000"/>
          <w:sz w:val="30"/>
          <w:szCs w:val="30"/>
        </w:rPr>
        <w:t>完整公告内容以网站公布信息为准，详见：</w:t>
      </w:r>
      <w:r>
        <w:rPr>
          <w:rFonts w:hint="eastAsia"/>
          <w:b/>
          <w:color w:val="FF0000"/>
          <w:sz w:val="30"/>
          <w:szCs w:val="30"/>
        </w:rPr>
        <w:t>深圳公共资源交易网（https://www.szggzy.com/jygg/list.html?id=zfcg）</w:t>
      </w:r>
    </w:p>
    <w:p>
      <w:pPr>
        <w:keepNext/>
        <w:keepLines/>
        <w:spacing w:before="260" w:after="260" w:line="416" w:lineRule="auto"/>
        <w:jc w:val="center"/>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 xml:space="preserve">第二章 </w:t>
      </w:r>
      <w:bookmarkStart w:id="3" w:name="_Hlk71926094"/>
      <w:r>
        <w:rPr>
          <w:rFonts w:hint="eastAsia" w:ascii="宋体" w:hAnsi="宋体" w:eastAsia="宋体" w:cs="Times New Roman"/>
          <w:b/>
          <w:bCs/>
          <w:kern w:val="0"/>
          <w:sz w:val="28"/>
          <w:szCs w:val="28"/>
        </w:rPr>
        <w:t>对通用条款的补充内容及其他关键信息</w:t>
      </w:r>
      <w:bookmarkEnd w:id="3"/>
    </w:p>
    <w:p>
      <w:pPr>
        <w:keepNext/>
        <w:keepLines/>
        <w:adjustRightInd w:val="0"/>
        <w:spacing w:beforeLines="50" w:afterLines="50"/>
        <w:jc w:val="center"/>
        <w:textAlignment w:val="baseline"/>
        <w:outlineLvl w:val="2"/>
        <w:rPr>
          <w:rFonts w:ascii="宋体" w:hAnsi="宋体" w:eastAsia="宋体" w:cs="Times New Roman"/>
          <w:b/>
          <w:bCs/>
          <w:kern w:val="0"/>
          <w:sz w:val="24"/>
          <w:szCs w:val="24"/>
        </w:rPr>
      </w:pPr>
      <w:bookmarkStart w:id="4" w:name="_Toc60631620"/>
      <w:bookmarkStart w:id="5" w:name="_Toc60560625"/>
      <w:bookmarkStart w:id="6" w:name="_Toc101074876"/>
      <w:bookmarkStart w:id="7" w:name="_Toc73521635"/>
      <w:bookmarkStart w:id="8" w:name="_Toc73518117"/>
      <w:bookmarkStart w:id="9" w:name="_Toc73517639"/>
      <w:bookmarkStart w:id="10" w:name="_Toc73521547"/>
      <w:bookmarkStart w:id="11" w:name="_Toc100052364"/>
      <w:r>
        <w:rPr>
          <w:rFonts w:hint="eastAsia" w:ascii="宋体" w:hAnsi="宋体" w:eastAsia="宋体" w:cs="Times New Roman"/>
          <w:b/>
          <w:bCs/>
          <w:kern w:val="0"/>
          <w:sz w:val="24"/>
          <w:szCs w:val="24"/>
        </w:rPr>
        <w:t>一、对通用条款的补充内容</w:t>
      </w:r>
    </w:p>
    <w:bookmarkEnd w:id="4"/>
    <w:bookmarkEnd w:id="5"/>
    <w:bookmarkEnd w:id="6"/>
    <w:bookmarkEnd w:id="7"/>
    <w:bookmarkEnd w:id="8"/>
    <w:bookmarkEnd w:id="9"/>
    <w:bookmarkEnd w:id="10"/>
    <w:bookmarkEnd w:id="11"/>
    <w:tbl>
      <w:tblPr>
        <w:tblStyle w:val="16"/>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755"/>
        <w:gridCol w:w="6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b/>
                <w:bCs/>
              </w:rPr>
            </w:pPr>
            <w:r>
              <w:rPr>
                <w:rFonts w:hint="eastAsia" w:ascii="宋体" w:hAnsi="宋体"/>
                <w:b/>
                <w:bCs/>
              </w:rPr>
              <w:t>通用条款序号</w:t>
            </w:r>
          </w:p>
        </w:tc>
        <w:tc>
          <w:tcPr>
            <w:tcW w:w="1755" w:type="dxa"/>
            <w:vAlign w:val="center"/>
          </w:tcPr>
          <w:p>
            <w:pPr>
              <w:jc w:val="center"/>
              <w:rPr>
                <w:rFonts w:ascii="宋体" w:hAnsi="宋体"/>
                <w:b/>
                <w:bCs/>
              </w:rPr>
            </w:pPr>
            <w:r>
              <w:rPr>
                <w:rFonts w:hint="eastAsia" w:ascii="宋体" w:hAnsi="宋体"/>
                <w:b/>
                <w:bCs/>
              </w:rPr>
              <w:t>涉及事项</w:t>
            </w:r>
          </w:p>
        </w:tc>
        <w:tc>
          <w:tcPr>
            <w:tcW w:w="6795" w:type="dxa"/>
            <w:vAlign w:val="center"/>
          </w:tcPr>
          <w:p>
            <w:pPr>
              <w:jc w:val="center"/>
              <w:rPr>
                <w:rFonts w:ascii="宋体" w:hAnsi="宋体"/>
                <w:b/>
                <w:bCs/>
              </w:rPr>
            </w:pPr>
            <w:r>
              <w:rPr>
                <w:rFonts w:hint="eastAsia" w:ascii="宋体" w:hAnsi="宋体"/>
                <w:b/>
                <w:bCs/>
              </w:rPr>
              <w:t xml:space="preserve">具 </w:t>
            </w:r>
            <w:r>
              <w:rPr>
                <w:rFonts w:ascii="宋体" w:hAnsi="宋体"/>
                <w:b/>
                <w:bCs/>
              </w:rPr>
              <w:t xml:space="preserve"> </w:t>
            </w:r>
            <w:r>
              <w:rPr>
                <w:rFonts w:hint="eastAsia" w:ascii="宋体" w:hAnsi="宋体"/>
                <w:b/>
                <w:bCs/>
              </w:rPr>
              <w:t xml:space="preserve">体 </w:t>
            </w:r>
            <w:r>
              <w:rPr>
                <w:rFonts w:ascii="宋体" w:hAnsi="宋体"/>
                <w:b/>
                <w:bCs/>
              </w:rPr>
              <w:t xml:space="preserve"> </w:t>
            </w:r>
            <w:r>
              <w:rPr>
                <w:rFonts w:hint="eastAsia" w:ascii="宋体" w:hAnsi="宋体"/>
                <w:b/>
                <w:bCs/>
              </w:rPr>
              <w:t xml:space="preserve">补 </w:t>
            </w:r>
            <w:r>
              <w:rPr>
                <w:rFonts w:ascii="宋体" w:hAnsi="宋体"/>
                <w:b/>
                <w:bCs/>
              </w:rPr>
              <w:t xml:space="preserve"> </w:t>
            </w:r>
            <w:r>
              <w:rPr>
                <w:rFonts w:hint="eastAsia" w:ascii="宋体" w:hAnsi="宋体"/>
                <w:b/>
                <w:bCs/>
              </w:rPr>
              <w:t xml:space="preserve">充 </w:t>
            </w:r>
            <w:r>
              <w:rPr>
                <w:rFonts w:ascii="宋体" w:hAnsi="宋体"/>
                <w:b/>
                <w:bCs/>
              </w:rPr>
              <w:t xml:space="preserve"> </w:t>
            </w:r>
            <w:r>
              <w:rPr>
                <w:rFonts w:hint="eastAsia" w:ascii="宋体" w:hAnsi="宋体"/>
                <w:b/>
                <w:bCs/>
              </w:rPr>
              <w:t xml:space="preserve">内 </w:t>
            </w:r>
            <w:r>
              <w:rPr>
                <w:rFonts w:ascii="宋体" w:hAnsi="宋体"/>
                <w:b/>
                <w:bCs/>
              </w:rPr>
              <w:t xml:space="preserve"> </w:t>
            </w:r>
            <w:r>
              <w:rPr>
                <w:rFonts w:hint="eastAsia" w:ascii="宋体" w:hAnsi="宋体"/>
                <w:b/>
                <w:bCs/>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.1</w:t>
            </w:r>
          </w:p>
        </w:tc>
        <w:tc>
          <w:tcPr>
            <w:tcW w:w="1755" w:type="dxa"/>
            <w:vAlign w:val="center"/>
          </w:tcPr>
          <w:p>
            <w:pPr>
              <w:jc w:val="center"/>
            </w:pPr>
            <w:r>
              <w:rPr>
                <w:rFonts w:hint="eastAsia"/>
              </w:rPr>
              <w:t>采购人</w:t>
            </w:r>
          </w:p>
        </w:tc>
        <w:tc>
          <w:tcPr>
            <w:tcW w:w="6795" w:type="dxa"/>
            <w:vAlign w:val="center"/>
          </w:tcPr>
          <w:p>
            <w:pPr>
              <w:jc w:val="left"/>
              <w:rPr>
                <w:rFonts w:ascii="宋体" w:hAnsi="宋体"/>
              </w:rPr>
            </w:pPr>
            <w:r>
              <w:rPr>
                <w:rFonts w:hint="eastAsia" w:ascii="宋体" w:hAnsi="宋体"/>
                <w:b/>
                <w:bCs/>
              </w:rPr>
              <w:t>深圳市宝安区西湾小学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.2</w:t>
            </w:r>
          </w:p>
        </w:tc>
        <w:tc>
          <w:tcPr>
            <w:tcW w:w="1755" w:type="dxa"/>
            <w:vAlign w:val="center"/>
          </w:tcPr>
          <w:p>
            <w:pPr>
              <w:jc w:val="center"/>
              <w:rPr>
                <w:rFonts w:ascii="宋体" w:hAnsi="宋体"/>
              </w:rPr>
            </w:pPr>
            <w:r>
              <w:rPr>
                <w:rFonts w:hint="eastAsia" w:ascii="宋体" w:hAnsi="宋体"/>
              </w:rPr>
              <w:t>政府集中采购机构</w:t>
            </w:r>
          </w:p>
        </w:tc>
        <w:tc>
          <w:tcPr>
            <w:tcW w:w="6795" w:type="dxa"/>
            <w:vAlign w:val="center"/>
          </w:tcPr>
          <w:p>
            <w:pPr>
              <w:jc w:val="left"/>
              <w:rPr>
                <w:rFonts w:ascii="宋体" w:hAnsi="宋体"/>
              </w:rPr>
            </w:pPr>
            <w:r>
              <w:rPr>
                <w:rFonts w:hint="eastAsia" w:ascii="宋体" w:hAnsi="宋体" w:eastAsia="宋体" w:cs="Arial"/>
                <w:szCs w:val="21"/>
              </w:rPr>
              <w:t>本文件所述的“政府集中采购机构”</w:t>
            </w:r>
            <w:r>
              <w:rPr>
                <w:rFonts w:ascii="宋体" w:hAnsi="宋体" w:eastAsia="宋体" w:cs="Arial"/>
                <w:szCs w:val="21"/>
              </w:rPr>
              <w:t>指</w:t>
            </w:r>
            <w:r>
              <w:rPr>
                <w:rFonts w:hint="eastAsia" w:ascii="宋体" w:hAnsi="宋体" w:eastAsia="宋体" w:cs="Arial"/>
                <w:b/>
                <w:bCs/>
                <w:szCs w:val="21"/>
              </w:rPr>
              <w:t>深圳公共资源交易中心</w:t>
            </w:r>
            <w:r>
              <w:rPr>
                <w:rFonts w:hint="eastAsia" w:ascii="Arial" w:hAnsi="Arial" w:eastAsia="宋体" w:cs="Times New Roman"/>
                <w:szCs w:val="24"/>
              </w:rPr>
              <w:t>。本项目具体由深圳公共资源交易中心（深圳交易集团有限公司宝安分公司）执行</w:t>
            </w:r>
            <w:r>
              <w:rPr>
                <w:rFonts w:hint="eastAsia" w:ascii="Arial" w:hAnsi="Arial" w:eastAsia="宋体" w:cs="Times New Roman"/>
                <w:bCs/>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5</w:t>
            </w:r>
            <w:r>
              <w:rPr>
                <w:rFonts w:ascii="宋体" w:hAnsi="宋体"/>
              </w:rPr>
              <w:t>.3</w:t>
            </w:r>
          </w:p>
        </w:tc>
        <w:tc>
          <w:tcPr>
            <w:tcW w:w="1755" w:type="dxa"/>
            <w:vAlign w:val="center"/>
          </w:tcPr>
          <w:p>
            <w:pPr>
              <w:jc w:val="center"/>
              <w:rPr>
                <w:rFonts w:ascii="宋体" w:hAnsi="宋体"/>
              </w:rPr>
            </w:pPr>
            <w:r>
              <w:rPr>
                <w:rFonts w:hint="eastAsia" w:ascii="宋体" w:hAnsi="宋体"/>
              </w:rPr>
              <w:t>联合体投标</w:t>
            </w:r>
          </w:p>
        </w:tc>
        <w:tc>
          <w:tcPr>
            <w:tcW w:w="6795" w:type="dxa"/>
            <w:vAlign w:val="center"/>
          </w:tcPr>
          <w:p>
            <w:pPr>
              <w:jc w:val="left"/>
              <w:rPr>
                <w:rFonts w:hint="default" w:ascii="宋体" w:hAnsi="宋体" w:eastAsiaTheme="minorEastAsia"/>
                <w:lang w:val="en-US" w:eastAsia="zh-CN"/>
              </w:rPr>
            </w:pPr>
            <w:r>
              <w:rPr>
                <w:rFonts w:hint="eastAsia" w:ascii="宋体" w:hAnsi="宋体"/>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9</w:t>
            </w:r>
          </w:p>
        </w:tc>
        <w:tc>
          <w:tcPr>
            <w:tcW w:w="1755" w:type="dxa"/>
            <w:vAlign w:val="center"/>
          </w:tcPr>
          <w:p>
            <w:pPr>
              <w:jc w:val="center"/>
              <w:rPr>
                <w:rFonts w:ascii="宋体" w:hAnsi="宋体"/>
              </w:rPr>
            </w:pPr>
            <w:r>
              <w:rPr>
                <w:rFonts w:hint="eastAsia" w:ascii="宋体" w:hAnsi="宋体"/>
              </w:rPr>
              <w:t>踏勘现场</w:t>
            </w:r>
          </w:p>
        </w:tc>
        <w:tc>
          <w:tcPr>
            <w:tcW w:w="6795" w:type="dxa"/>
            <w:vAlign w:val="center"/>
          </w:tcPr>
          <w:p>
            <w:pPr>
              <w:snapToGrid w:val="0"/>
              <w:jc w:val="left"/>
              <w:rPr>
                <w:rFonts w:ascii="宋体" w:hAnsi="宋体"/>
              </w:rPr>
            </w:pPr>
            <w:r>
              <w:rPr>
                <w:rFonts w:hint="eastAsia" w:ascii="宋体" w:hAnsi="宋体" w:eastAsia="宋体" w:cs="Arial"/>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0</w:t>
            </w:r>
          </w:p>
        </w:tc>
        <w:tc>
          <w:tcPr>
            <w:tcW w:w="1755" w:type="dxa"/>
            <w:vAlign w:val="center"/>
          </w:tcPr>
          <w:p>
            <w:pPr>
              <w:jc w:val="center"/>
              <w:rPr>
                <w:rFonts w:ascii="宋体" w:hAnsi="宋体"/>
              </w:rPr>
            </w:pPr>
            <w:r>
              <w:rPr>
                <w:rFonts w:hint="eastAsia" w:ascii="宋体" w:hAnsi="宋体"/>
              </w:rPr>
              <w:t>标前会议</w:t>
            </w:r>
          </w:p>
        </w:tc>
        <w:tc>
          <w:tcPr>
            <w:tcW w:w="6795" w:type="dxa"/>
            <w:vAlign w:val="center"/>
          </w:tcPr>
          <w:p>
            <w:pPr>
              <w:jc w:val="left"/>
              <w:rPr>
                <w:rFonts w:ascii="宋体" w:hAnsi="宋体"/>
              </w:rPr>
            </w:pPr>
            <w:r>
              <w:rPr>
                <w:rFonts w:hint="eastAsia" w:ascii="宋体" w:hAnsi="宋体" w:eastAsia="宋体" w:cs="Arial"/>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2</w:t>
            </w:r>
            <w:r>
              <w:rPr>
                <w:rFonts w:hint="eastAsia" w:ascii="宋体" w:hAnsi="宋体"/>
              </w:rPr>
              <w:t>/1</w:t>
            </w:r>
            <w:r>
              <w:rPr>
                <w:rFonts w:ascii="宋体" w:hAnsi="宋体"/>
              </w:rPr>
              <w:t>3</w:t>
            </w:r>
          </w:p>
        </w:tc>
        <w:tc>
          <w:tcPr>
            <w:tcW w:w="1755" w:type="dxa"/>
            <w:vAlign w:val="center"/>
          </w:tcPr>
          <w:p>
            <w:pPr>
              <w:jc w:val="center"/>
              <w:rPr>
                <w:rFonts w:ascii="宋体" w:hAnsi="宋体"/>
              </w:rPr>
            </w:pPr>
            <w:r>
              <w:rPr>
                <w:rFonts w:hint="eastAsia" w:ascii="宋体" w:hAnsi="宋体"/>
              </w:rPr>
              <w:t>招标文件的澄清和修改</w:t>
            </w:r>
          </w:p>
        </w:tc>
        <w:tc>
          <w:tcPr>
            <w:tcW w:w="6795" w:type="dxa"/>
            <w:vAlign w:val="center"/>
          </w:tcPr>
          <w:p>
            <w:pPr>
              <w:jc w:val="left"/>
              <w:rPr>
                <w:rFonts w:hint="eastAsia" w:ascii="宋体" w:hAnsi="宋体" w:eastAsiaTheme="minorEastAsia"/>
                <w:lang w:eastAsia="zh-CN"/>
              </w:rPr>
            </w:pPr>
            <w:r>
              <w:rPr>
                <w:rFonts w:hint="eastAsia" w:ascii="宋体" w:hAnsi="宋体"/>
              </w:rPr>
              <w:t>对招标文件澄清/修改时间不晚于投标截止日三日前，投标人有义务在招标期间在政府集中采购机构网站浏览与本项目有关的澄清和修改信息</w:t>
            </w:r>
            <w:r>
              <w:rPr>
                <w:rFonts w:hint="eastAsia" w:ascii="宋体" w:hAnsi="宋体"/>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0</w:t>
            </w:r>
          </w:p>
        </w:tc>
        <w:tc>
          <w:tcPr>
            <w:tcW w:w="1755" w:type="dxa"/>
            <w:vAlign w:val="center"/>
          </w:tcPr>
          <w:p>
            <w:pPr>
              <w:jc w:val="center"/>
              <w:rPr>
                <w:rFonts w:ascii="宋体" w:hAnsi="宋体"/>
              </w:rPr>
            </w:pPr>
            <w:r>
              <w:rPr>
                <w:rFonts w:hint="eastAsia" w:ascii="宋体" w:hAnsi="宋体"/>
              </w:rPr>
              <w:t>投标有效期</w:t>
            </w:r>
          </w:p>
        </w:tc>
        <w:tc>
          <w:tcPr>
            <w:tcW w:w="6795" w:type="dxa"/>
            <w:vAlign w:val="center"/>
          </w:tcPr>
          <w:p>
            <w:pPr>
              <w:jc w:val="left"/>
              <w:rPr>
                <w:rFonts w:ascii="宋体" w:hAnsi="宋体"/>
              </w:rPr>
            </w:pPr>
            <w:r>
              <w:rPr>
                <w:rFonts w:hint="eastAsia" w:ascii="宋体" w:hAnsi="宋体" w:eastAsia="宋体" w:cs="Arial"/>
                <w:szCs w:val="21"/>
              </w:rPr>
              <w:t>投标有效期：从投标截止之日起</w:t>
            </w:r>
            <w:r>
              <w:rPr>
                <w:rFonts w:hint="eastAsia" w:ascii="宋体" w:hAnsi="宋体" w:eastAsia="宋体" w:cs="Times New Roman"/>
                <w:b/>
                <w:color w:val="0000FF"/>
                <w:sz w:val="24"/>
                <w:szCs w:val="24"/>
                <w:u w:val="single"/>
              </w:rPr>
              <w:t xml:space="preserve"> 120 </w:t>
            </w:r>
            <w:r>
              <w:rPr>
                <w:rFonts w:hint="eastAsia" w:ascii="宋体" w:hAnsi="宋体" w:eastAsia="宋体" w:cs="Arial"/>
                <w:szCs w:val="21"/>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2</w:t>
            </w:r>
          </w:p>
        </w:tc>
        <w:tc>
          <w:tcPr>
            <w:tcW w:w="1755" w:type="dxa"/>
            <w:vAlign w:val="center"/>
          </w:tcPr>
          <w:p>
            <w:pPr>
              <w:jc w:val="center"/>
              <w:rPr>
                <w:rFonts w:ascii="宋体" w:hAnsi="宋体"/>
              </w:rPr>
            </w:pPr>
            <w:r>
              <w:rPr>
                <w:rFonts w:hint="eastAsia" w:ascii="宋体" w:hAnsi="宋体"/>
              </w:rPr>
              <w:t>投标人的替代方案</w:t>
            </w:r>
          </w:p>
        </w:tc>
        <w:tc>
          <w:tcPr>
            <w:tcW w:w="6795" w:type="dxa"/>
            <w:vAlign w:val="center"/>
          </w:tcPr>
          <w:p>
            <w:pPr>
              <w:jc w:val="left"/>
              <w:rPr>
                <w:rFonts w:ascii="宋体" w:hAnsi="宋体"/>
              </w:rPr>
            </w:pPr>
            <w:r>
              <w:rPr>
                <w:rFonts w:hint="eastAsia" w:ascii="宋体" w:hAnsi="宋体"/>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5</w:t>
            </w:r>
          </w:p>
        </w:tc>
        <w:tc>
          <w:tcPr>
            <w:tcW w:w="1755" w:type="dxa"/>
            <w:vAlign w:val="center"/>
          </w:tcPr>
          <w:p>
            <w:pPr>
              <w:jc w:val="center"/>
              <w:rPr>
                <w:rFonts w:ascii="宋体" w:hAnsi="宋体"/>
              </w:rPr>
            </w:pPr>
            <w:r>
              <w:rPr>
                <w:rFonts w:hint="eastAsia" w:ascii="宋体" w:hAnsi="宋体"/>
              </w:rPr>
              <w:t>投标文件的大小</w:t>
            </w:r>
          </w:p>
        </w:tc>
        <w:tc>
          <w:tcPr>
            <w:tcW w:w="6795" w:type="dxa"/>
            <w:vAlign w:val="center"/>
          </w:tcPr>
          <w:p>
            <w:pPr>
              <w:jc w:val="left"/>
              <w:rPr>
                <w:rFonts w:ascii="宋体" w:hAnsi="宋体"/>
              </w:rPr>
            </w:pPr>
            <w:r>
              <w:rPr>
                <w:rFonts w:hint="eastAsia" w:ascii="宋体" w:hAnsi="宋体" w:eastAsia="宋体" w:cs="Arial"/>
                <w:szCs w:val="21"/>
              </w:rPr>
              <w:t>投标文件大小不得超过 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6</w:t>
            </w:r>
          </w:p>
        </w:tc>
        <w:tc>
          <w:tcPr>
            <w:tcW w:w="1755" w:type="dxa"/>
            <w:vAlign w:val="center"/>
          </w:tcPr>
          <w:p>
            <w:pPr>
              <w:jc w:val="center"/>
              <w:rPr>
                <w:rFonts w:ascii="宋体" w:hAnsi="宋体"/>
              </w:rPr>
            </w:pPr>
            <w:bookmarkStart w:id="12" w:name="_Hlk71664860"/>
            <w:r>
              <w:rPr>
                <w:rFonts w:hint="eastAsia" w:ascii="宋体" w:hAnsi="宋体"/>
              </w:rPr>
              <w:t>样品、现场演示、方案讲解</w:t>
            </w:r>
            <w:bookmarkEnd w:id="12"/>
          </w:p>
        </w:tc>
        <w:tc>
          <w:tcPr>
            <w:tcW w:w="6795" w:type="dxa"/>
            <w:vAlign w:val="center"/>
          </w:tcPr>
          <w:p>
            <w:pPr>
              <w:jc w:val="left"/>
              <w:rPr>
                <w:rFonts w:ascii="宋体" w:hAnsi="宋体"/>
              </w:rPr>
            </w:pPr>
            <w:r>
              <w:rPr>
                <w:rFonts w:hint="eastAsia" w:ascii="宋体" w:hAnsi="宋体"/>
              </w:rPr>
              <w:t>不要求提供样品；不组织现场演示；不组织方案讲解。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7</w:t>
            </w:r>
          </w:p>
        </w:tc>
        <w:tc>
          <w:tcPr>
            <w:tcW w:w="1755" w:type="dxa"/>
            <w:vAlign w:val="center"/>
          </w:tcPr>
          <w:p>
            <w:pPr>
              <w:jc w:val="center"/>
              <w:rPr>
                <w:rFonts w:ascii="宋体" w:hAnsi="宋体"/>
              </w:rPr>
            </w:pPr>
            <w:r>
              <w:rPr>
                <w:rFonts w:hint="eastAsia" w:ascii="宋体" w:hAnsi="宋体"/>
              </w:rPr>
              <w:t>评审方法</w:t>
            </w:r>
          </w:p>
        </w:tc>
        <w:tc>
          <w:tcPr>
            <w:tcW w:w="6795" w:type="dxa"/>
            <w:vAlign w:val="center"/>
          </w:tcPr>
          <w:p>
            <w:pPr>
              <w:jc w:val="left"/>
              <w:rPr>
                <w:rFonts w:ascii="宋体" w:hAnsi="宋体"/>
              </w:rPr>
            </w:pPr>
            <w:r>
              <w:rPr>
                <w:rFonts w:ascii="宋体" w:hAnsi="宋体"/>
                <w:b/>
                <w:bCs/>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8</w:t>
            </w:r>
          </w:p>
        </w:tc>
        <w:tc>
          <w:tcPr>
            <w:tcW w:w="1755" w:type="dxa"/>
            <w:vAlign w:val="center"/>
          </w:tcPr>
          <w:p>
            <w:pPr>
              <w:jc w:val="center"/>
              <w:rPr>
                <w:rFonts w:ascii="宋体" w:hAnsi="宋体"/>
              </w:rPr>
            </w:pPr>
            <w:r>
              <w:rPr>
                <w:rFonts w:hint="eastAsia" w:ascii="宋体" w:hAnsi="宋体"/>
              </w:rPr>
              <w:t>定标方法</w:t>
            </w:r>
          </w:p>
        </w:tc>
        <w:tc>
          <w:tcPr>
            <w:tcW w:w="6795" w:type="dxa"/>
            <w:vAlign w:val="center"/>
          </w:tcPr>
          <w:p>
            <w:pPr>
              <w:snapToGrid w:val="0"/>
              <w:rPr>
                <w:rFonts w:hint="eastAsia" w:ascii="宋体" w:hAnsi="宋体"/>
                <w:b/>
                <w:bCs/>
                <w:highlight w:val="yellow"/>
              </w:rPr>
            </w:pPr>
            <w:r>
              <w:rPr>
                <w:rFonts w:hint="eastAsia" w:ascii="宋体" w:hAnsi="宋体" w:eastAsia="宋体" w:cs="Times New Roman"/>
                <w:b/>
                <w:bCs/>
                <w:szCs w:val="21"/>
                <w:highlight w:val="yellow"/>
              </w:rPr>
              <w:t>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4</w:t>
            </w:r>
            <w:r>
              <w:rPr>
                <w:rFonts w:ascii="宋体" w:hAnsi="宋体"/>
              </w:rPr>
              <w:t>6</w:t>
            </w:r>
          </w:p>
        </w:tc>
        <w:tc>
          <w:tcPr>
            <w:tcW w:w="1755" w:type="dxa"/>
            <w:vAlign w:val="center"/>
          </w:tcPr>
          <w:p>
            <w:pPr>
              <w:jc w:val="center"/>
              <w:rPr>
                <w:rFonts w:ascii="宋体" w:hAnsi="宋体"/>
              </w:rPr>
            </w:pPr>
            <w:r>
              <w:rPr>
                <w:rFonts w:hint="eastAsia" w:ascii="宋体" w:hAnsi="宋体"/>
              </w:rPr>
              <w:t>履约担保</w:t>
            </w:r>
          </w:p>
        </w:tc>
        <w:tc>
          <w:tcPr>
            <w:tcW w:w="6795" w:type="dxa"/>
            <w:vAlign w:val="center"/>
          </w:tcPr>
          <w:p>
            <w:pPr>
              <w:jc w:val="left"/>
              <w:rPr>
                <w:rFonts w:ascii="宋体" w:hAnsi="宋体"/>
              </w:rPr>
            </w:pPr>
            <w:r>
              <w:rPr>
                <w:rFonts w:hint="eastAsia" w:ascii="宋体" w:hAnsi="宋体"/>
              </w:rPr>
              <w:t>不</w:t>
            </w:r>
            <w:r>
              <w:rPr>
                <w:rFonts w:hint="eastAsia" w:ascii="宋体" w:hAnsi="宋体"/>
                <w:lang w:val="en-US" w:eastAsia="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52.8</w:t>
            </w:r>
          </w:p>
        </w:tc>
        <w:tc>
          <w:tcPr>
            <w:tcW w:w="1755" w:type="dxa"/>
            <w:vAlign w:val="center"/>
          </w:tcPr>
          <w:p>
            <w:pPr>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投诉</w:t>
            </w:r>
          </w:p>
        </w:tc>
        <w:tc>
          <w:tcPr>
            <w:tcW w:w="6795" w:type="dxa"/>
            <w:vAlign w:val="center"/>
          </w:tcPr>
          <w:p>
            <w:pPr>
              <w:jc w:val="left"/>
              <w:rPr>
                <w:rFonts w:hint="eastAsia" w:ascii="宋体" w:hAnsi="宋体" w:eastAsiaTheme="minorEastAsia" w:cstheme="minorBidi"/>
                <w:kern w:val="2"/>
                <w:sz w:val="21"/>
                <w:szCs w:val="22"/>
                <w:lang w:val="en-US" w:eastAsia="zh-CN" w:bidi="ar-SA"/>
              </w:rPr>
            </w:pPr>
            <w:r>
              <w:rPr>
                <w:rFonts w:hint="eastAsia" w:ascii="宋体" w:hAnsi="宋体"/>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tbl>
    <w:p>
      <w:pPr>
        <w:widowControl/>
        <w:jc w:val="center"/>
        <w:rPr>
          <w:szCs w:val="21"/>
        </w:rPr>
      </w:pPr>
      <w:r>
        <w:rPr>
          <w:rFonts w:hint="eastAsia"/>
          <w:szCs w:val="21"/>
        </w:rPr>
        <w:t>备注：本表是通用条款相关条款的补充和明确，如与通用条款内容相冲突的，以本表为准。</w:t>
      </w:r>
    </w:p>
    <w:p>
      <w:pPr>
        <w:keepNext/>
        <w:keepLines/>
        <w:adjustRightInd w:val="0"/>
        <w:spacing w:beforeLines="50" w:afterLines="50"/>
        <w:jc w:val="center"/>
        <w:textAlignment w:val="baseline"/>
        <w:outlineLvl w:val="2"/>
        <w:rPr>
          <w:rFonts w:ascii="宋体" w:hAnsi="宋体" w:eastAsia="宋体" w:cs="Times New Roman"/>
          <w:b/>
          <w:bCs/>
          <w:kern w:val="0"/>
          <w:sz w:val="24"/>
          <w:szCs w:val="24"/>
        </w:rPr>
      </w:pPr>
      <w:r>
        <w:rPr>
          <w:rFonts w:hint="eastAsia" w:ascii="宋体" w:hAnsi="宋体" w:eastAsia="宋体" w:cs="Times New Roman"/>
          <w:b/>
          <w:bCs/>
          <w:kern w:val="0"/>
          <w:sz w:val="24"/>
          <w:szCs w:val="24"/>
        </w:rPr>
        <w:t>二、其他关键信息</w:t>
      </w:r>
    </w:p>
    <w:p>
      <w:pPr>
        <w:tabs>
          <w:tab w:val="left" w:pos="720"/>
        </w:tabs>
        <w:rPr>
          <w:rFonts w:ascii="黑体" w:hAnsi="宋体" w:eastAsia="黑体"/>
          <w:sz w:val="24"/>
        </w:rPr>
      </w:pPr>
      <w:r>
        <w:rPr>
          <w:rFonts w:hint="eastAsia" w:ascii="黑体" w:hAnsi="宋体" w:eastAsia="黑体"/>
          <w:sz w:val="24"/>
        </w:rPr>
        <w:t>（一）</w:t>
      </w:r>
      <w:r>
        <w:rPr>
          <w:rFonts w:hint="eastAsia" w:ascii="黑体" w:hAnsi="宋体" w:eastAsia="黑体"/>
          <w:bCs/>
          <w:sz w:val="24"/>
        </w:rPr>
        <w:t>与“对通用条款的补充内容”章节相关的事项</w:t>
      </w:r>
    </w:p>
    <w:p>
      <w:pPr>
        <w:tabs>
          <w:tab w:val="left" w:pos="720"/>
        </w:tabs>
      </w:pPr>
      <w:r>
        <w:rPr>
          <w:rFonts w:hint="eastAsia" w:ascii="黑体" w:hAnsi="宋体" w:eastAsia="黑体"/>
          <w:bCs/>
          <w:sz w:val="24"/>
          <w:lang w:val="en-US" w:eastAsia="zh-CN"/>
        </w:rPr>
        <w:t>1、评标定标信息</w:t>
      </w:r>
    </w:p>
    <w:p>
      <w:pPr>
        <w:jc w:val="center"/>
        <w:rPr>
          <w:b/>
        </w:rPr>
      </w:pPr>
      <w:r>
        <w:rPr>
          <w:rFonts w:hint="eastAsia"/>
          <w:b/>
        </w:rPr>
        <w:t>评定分离项目</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评标方法</w:t>
            </w:r>
          </w:p>
        </w:tc>
        <w:tc>
          <w:tcPr>
            <w:tcW w:w="4265" w:type="dxa"/>
          </w:tcPr>
          <w:p>
            <w:pPr>
              <w:jc w:val="center"/>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定标方法</w:t>
            </w:r>
          </w:p>
        </w:tc>
        <w:tc>
          <w:tcPr>
            <w:tcW w:w="4265" w:type="dxa"/>
          </w:tcPr>
          <w:p>
            <w:pPr>
              <w:jc w:val="center"/>
            </w:pPr>
            <w:r>
              <w:rPr>
                <w:rFonts w:hint="eastAsia"/>
              </w:rPr>
              <w:t>自定法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推荐候选中标供应商家数</w:t>
            </w:r>
          </w:p>
        </w:tc>
        <w:tc>
          <w:tcPr>
            <w:tcW w:w="4265" w:type="dxa"/>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中标供应商家数</w:t>
            </w:r>
          </w:p>
        </w:tc>
        <w:tc>
          <w:tcPr>
            <w:tcW w:w="4265" w:type="dxa"/>
          </w:tcPr>
          <w:p>
            <w:pPr>
              <w:jc w:val="center"/>
            </w:pPr>
            <w:r>
              <w:rPr>
                <w:rFonts w:hint="eastAsia"/>
              </w:rPr>
              <w:t>1</w:t>
            </w:r>
          </w:p>
        </w:tc>
      </w:tr>
    </w:tbl>
    <w:p>
      <w:pPr>
        <w:tabs>
          <w:tab w:val="left" w:pos="720"/>
        </w:tabs>
        <w:rPr>
          <w:rFonts w:hint="eastAsia" w:ascii="黑体" w:hAnsi="宋体" w:eastAsia="黑体"/>
          <w:bCs/>
          <w:sz w:val="24"/>
          <w:lang w:val="en-US" w:eastAsia="zh-CN"/>
        </w:rPr>
      </w:pPr>
    </w:p>
    <w:p>
      <w:pPr>
        <w:tabs>
          <w:tab w:val="left" w:pos="720"/>
        </w:tabs>
        <w:rPr>
          <w:rFonts w:ascii="黑体" w:hAnsi="宋体" w:eastAsia="黑体"/>
          <w:bCs/>
          <w:sz w:val="24"/>
        </w:rPr>
      </w:pPr>
      <w:r>
        <w:rPr>
          <w:rFonts w:hint="eastAsia" w:ascii="黑体" w:hAnsi="宋体" w:eastAsia="黑体"/>
          <w:bCs/>
          <w:sz w:val="24"/>
          <w:lang w:val="en-US" w:eastAsia="zh-CN"/>
        </w:rPr>
        <w:t>2</w:t>
      </w:r>
      <w:r>
        <w:rPr>
          <w:rFonts w:hint="eastAsia" w:ascii="黑体" w:hAnsi="宋体" w:eastAsia="黑体"/>
          <w:bCs/>
          <w:sz w:val="24"/>
        </w:rPr>
        <w:t>、关于包组的定义</w:t>
      </w:r>
    </w:p>
    <w:p>
      <w:pPr>
        <w:tabs>
          <w:tab w:val="left" w:pos="720"/>
        </w:tabs>
        <w:ind w:firstLine="420" w:firstLineChars="200"/>
        <w:rPr>
          <w:rFonts w:ascii="宋体" w:hAnsi="宋体"/>
        </w:rPr>
      </w:pPr>
      <w:r>
        <w:rPr>
          <w:rFonts w:hint="eastAsia" w:ascii="宋体" w:hAnsi="宋体"/>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tabs>
          <w:tab w:val="left" w:pos="720"/>
        </w:tabs>
        <w:rPr>
          <w:rFonts w:ascii="黑体" w:hAnsi="宋体" w:eastAsia="黑体"/>
          <w:sz w:val="24"/>
        </w:rPr>
      </w:pPr>
      <w:r>
        <w:rPr>
          <w:rFonts w:hint="eastAsia" w:ascii="黑体" w:hAnsi="宋体" w:eastAsia="黑体"/>
          <w:sz w:val="24"/>
          <w:lang w:val="en-US" w:eastAsia="zh-CN"/>
        </w:rPr>
        <w:t>3</w:t>
      </w:r>
      <w:r>
        <w:rPr>
          <w:rFonts w:hint="eastAsia" w:ascii="黑体" w:hAnsi="宋体" w:eastAsia="黑体"/>
          <w:sz w:val="24"/>
        </w:rPr>
        <w:t>、关于涉及采取随机抽取方式确定中标候选人（候选中标供应商）的规则</w:t>
      </w:r>
    </w:p>
    <w:p>
      <w:pPr>
        <w:tabs>
          <w:tab w:val="left" w:pos="720"/>
        </w:tabs>
        <w:ind w:firstLine="420" w:firstLineChars="200"/>
        <w:rPr>
          <w:rFonts w:ascii="宋体" w:hAnsi="宋体"/>
        </w:rPr>
      </w:pPr>
      <w:r>
        <w:rPr>
          <w:rFonts w:hint="eastAsia" w:ascii="宋体" w:hAnsi="宋体"/>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hint="eastAsia" w:ascii="宋体" w:hAnsi="宋体"/>
          <w:szCs w:val="21"/>
        </w:rPr>
        <w:t>、小</w:t>
      </w:r>
      <w:r>
        <w:rPr>
          <w:rFonts w:hint="eastAsia" w:ascii="宋体" w:hAnsi="宋体"/>
        </w:rPr>
        <w:t>且同号的情况，则对同号的投标人重新摇签确定中签。抽签过程中遇抽签机器卡球的，被卡球方当轮重新抽签。</w:t>
      </w:r>
    </w:p>
    <w:p>
      <w:pPr>
        <w:ind w:firstLine="470" w:firstLineChars="196"/>
        <w:rPr>
          <w:rFonts w:ascii="宋体" w:hAnsi="宋体"/>
          <w:szCs w:val="21"/>
        </w:rPr>
      </w:pPr>
      <w:r>
        <w:rPr>
          <w:rFonts w:hint="eastAsia" w:ascii="黑体" w:hAnsi="宋体" w:eastAsia="黑体"/>
          <w:sz w:val="24"/>
        </w:rPr>
        <w:t>备注：</w:t>
      </w:r>
      <w:r>
        <w:rPr>
          <w:rFonts w:hint="eastAsia" w:ascii="宋体" w:hAnsi="宋体"/>
          <w:szCs w:val="21"/>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ind w:firstLine="420" w:firstLineChars="200"/>
        <w:rPr>
          <w:rFonts w:ascii="黑体" w:hAnsi="宋体" w:eastAsia="黑体"/>
          <w:sz w:val="24"/>
        </w:rPr>
      </w:pPr>
      <w:r>
        <w:rPr>
          <w:rFonts w:hint="eastAsia" w:ascii="宋体" w:hAnsi="宋体"/>
          <w:szCs w:val="21"/>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tabs>
          <w:tab w:val="left" w:pos="720"/>
        </w:tabs>
        <w:rPr>
          <w:rFonts w:ascii="黑体" w:hAnsi="宋体" w:eastAsia="黑体"/>
          <w:sz w:val="24"/>
        </w:rPr>
      </w:pPr>
      <w:r>
        <w:rPr>
          <w:rFonts w:hint="eastAsia" w:ascii="黑体" w:hAnsi="宋体" w:eastAsia="黑体"/>
          <w:sz w:val="24"/>
        </w:rPr>
        <w:t>（二）其他事项</w:t>
      </w:r>
    </w:p>
    <w:p>
      <w:pPr>
        <w:tabs>
          <w:tab w:val="left" w:pos="720"/>
        </w:tabs>
        <w:rPr>
          <w:rFonts w:ascii="黑体" w:hAnsi="宋体" w:eastAsia="黑体"/>
          <w:sz w:val="24"/>
        </w:rPr>
      </w:pPr>
      <w:r>
        <w:rPr>
          <w:rFonts w:hint="eastAsia" w:ascii="黑体" w:hAnsi="宋体" w:eastAsia="黑体"/>
          <w:sz w:val="24"/>
        </w:rPr>
        <w:t>1、关于享受优惠政策的主体、价格扣除比例及采购标的所属行业</w:t>
      </w:r>
    </w:p>
    <w:p>
      <w:pPr>
        <w:ind w:firstLine="411" w:firstLineChars="196"/>
        <w:rPr>
          <w:rFonts w:hint="eastAsia" w:ascii="宋体" w:hAnsi="宋体"/>
        </w:rPr>
      </w:pPr>
      <w:r>
        <w:rPr>
          <w:rFonts w:hint="eastAsia" w:ascii="宋体" w:hAnsi="宋体"/>
        </w:rPr>
        <w:t>（1）</w:t>
      </w:r>
      <w:r>
        <w:rPr>
          <w:rFonts w:hint="eastAsia"/>
          <w:lang w:val="en-US" w:eastAsia="zh-CN"/>
        </w:rPr>
        <w:t>专门面向中小企业采购的项目（包括联合体或分包预留中小企业份额的项目），不再执行价格扣除比例。</w:t>
      </w:r>
    </w:p>
    <w:p>
      <w:pPr>
        <w:ind w:firstLine="411" w:firstLineChars="196"/>
        <w:rPr>
          <w:rFonts w:ascii="Arial" w:hAnsi="Arial" w:eastAsia="宋体" w:cs="Times New Roman"/>
          <w:b/>
          <w:color w:val="0000FF"/>
          <w:szCs w:val="21"/>
        </w:rPr>
      </w:pPr>
      <w:r>
        <w:rPr>
          <w:rFonts w:hint="eastAsia" w:ascii="宋体" w:hAnsi="宋体"/>
          <w:lang w:eastAsia="zh-CN"/>
        </w:rPr>
        <w:t>（</w:t>
      </w:r>
      <w:r>
        <w:rPr>
          <w:rFonts w:hint="eastAsia" w:ascii="宋体" w:hAnsi="宋体"/>
          <w:lang w:val="en-US" w:eastAsia="zh-CN"/>
        </w:rPr>
        <w:t>2</w:t>
      </w:r>
      <w:r>
        <w:rPr>
          <w:rFonts w:hint="eastAsia" w:ascii="宋体" w:hAnsi="宋体"/>
          <w:lang w:eastAsia="zh-CN"/>
        </w:rPr>
        <w:t>）</w:t>
      </w:r>
      <w:r>
        <w:rPr>
          <w:rFonts w:hint="eastAsia" w:ascii="Times New Roman" w:eastAsia="宋体"/>
          <w:lang w:val="en-US" w:eastAsia="zh-CN"/>
        </w:rPr>
        <w:t>非专门面向中小企业采购的项目，应执行价格扣除比例：</w:t>
      </w:r>
      <w:r>
        <w:rPr>
          <w:rFonts w:hint="eastAsia" w:ascii="宋体" w:hAnsi="宋体"/>
        </w:rPr>
        <w:t>投标人提供的</w:t>
      </w:r>
      <w:r>
        <w:rPr>
          <w:rFonts w:hint="eastAsia" w:ascii="宋体" w:hAnsi="宋体"/>
          <w:lang w:val="en-US" w:eastAsia="zh-CN"/>
        </w:rPr>
        <w:t>服务</w:t>
      </w:r>
      <w:r>
        <w:rPr>
          <w:rFonts w:hint="eastAsia" w:ascii="宋体" w:hAnsi="宋体"/>
        </w:rPr>
        <w:t>（以招标文件用户需求书“</w:t>
      </w:r>
      <w:r>
        <w:rPr>
          <w:rFonts w:hint="eastAsia" w:ascii="宋体" w:hAnsi="宋体"/>
          <w:lang w:val="en-US" w:eastAsia="zh-CN"/>
        </w:rPr>
        <w:t>服务需求</w:t>
      </w:r>
      <w:r>
        <w:rPr>
          <w:rFonts w:hint="eastAsia" w:ascii="宋体" w:hAnsi="宋体"/>
        </w:rPr>
        <w:t>明细”的“服务需求名称”一栏为准）全部均由优惠主体</w:t>
      </w:r>
      <w:r>
        <w:rPr>
          <w:rFonts w:hint="eastAsia" w:ascii="宋体" w:hAnsi="宋体"/>
          <w:lang w:val="en-US" w:eastAsia="zh-CN"/>
        </w:rPr>
        <w:t>承接</w:t>
      </w:r>
      <w:r>
        <w:rPr>
          <w:rFonts w:hint="eastAsia" w:ascii="宋体" w:hAnsi="宋体"/>
        </w:rPr>
        <w:t>的，对其投标总价给予</w:t>
      </w:r>
      <w:r>
        <w:rPr>
          <w:rFonts w:hint="eastAsia" w:ascii="宋体" w:hAnsi="宋体" w:eastAsia="宋体" w:cs="Times New Roman"/>
          <w:b/>
          <w:sz w:val="24"/>
          <w:szCs w:val="24"/>
          <w:highlight w:val="yellow"/>
          <w:u w:val="single"/>
          <w:lang w:val="en-US" w:eastAsia="zh-CN"/>
        </w:rPr>
        <w:t>/%</w:t>
      </w:r>
      <w:r>
        <w:rPr>
          <w:rFonts w:hint="eastAsia" w:ascii="宋体" w:hAnsi="宋体"/>
        </w:rPr>
        <w:t>的扣除，用扣除后的价格参与评审。满足多项优惠政策的企业，不重复享受多项价格扣除政策。接受联合体投标的项目，如供应商为联合体参与投标，联合体共同投标协议中明确注明</w:t>
      </w:r>
      <w:r>
        <w:rPr>
          <w:rFonts w:ascii="宋体" w:hAnsi="宋体"/>
        </w:rPr>
        <w:t>约定优惠主体的协议合同金额占到联合体协议总金额</w:t>
      </w:r>
      <w:r>
        <w:rPr>
          <w:rFonts w:ascii="宋体" w:hAnsi="宋体"/>
          <w:b/>
        </w:rPr>
        <w:t>30%</w:t>
      </w:r>
      <w:r>
        <w:rPr>
          <w:rFonts w:ascii="宋体" w:hAnsi="宋体"/>
        </w:rPr>
        <w:t>以上的，</w:t>
      </w:r>
      <w:r>
        <w:rPr>
          <w:rFonts w:hint="eastAsia" w:ascii="宋体" w:hAnsi="宋体"/>
        </w:rPr>
        <w:t>对该联合体的投标总价给予</w:t>
      </w:r>
      <w:r>
        <w:rPr>
          <w:rFonts w:hint="eastAsia" w:ascii="宋体" w:hAnsi="宋体"/>
          <w:b/>
          <w:bCs/>
          <w:highlight w:val="yellow"/>
          <w:u w:val="single"/>
          <w:lang w:val="en-US" w:eastAsia="zh-CN"/>
        </w:rPr>
        <w:t xml:space="preserve"> / </w:t>
      </w:r>
      <w:r>
        <w:rPr>
          <w:rFonts w:ascii="宋体" w:hAnsi="宋体"/>
          <w:b/>
          <w:bCs/>
          <w:highlight w:val="yellow"/>
          <w:u w:val="none"/>
        </w:rPr>
        <w:t>%</w:t>
      </w:r>
      <w:r>
        <w:rPr>
          <w:rFonts w:hint="eastAsia" w:ascii="宋体" w:hAnsi="宋体"/>
        </w:rPr>
        <w:t>的扣除，用扣除后的价格参与评审。联合体各方均为优惠主体的，该联合体视同为优惠主体，按前款规定享受评标优惠政策。</w:t>
      </w:r>
      <w:r>
        <w:rPr>
          <w:rFonts w:hint="eastAsia" w:ascii="Arial" w:hAnsi="Arial" w:eastAsia="宋体" w:cs="Times New Roman"/>
          <w:b/>
          <w:szCs w:val="21"/>
        </w:rPr>
        <w:t>政策调整后价格仅作为评审依据，不作为中标价格。</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r>
        <w:rPr>
          <w:rFonts w:hint="eastAsia"/>
          <w:b/>
          <w:bCs/>
          <w:lang w:eastAsia="zh-CN"/>
        </w:rPr>
        <w:t>（</w:t>
      </w:r>
      <w:r>
        <w:rPr>
          <w:rFonts w:hint="eastAsia"/>
          <w:b/>
          <w:bCs/>
          <w:lang w:val="en-US" w:eastAsia="zh-CN"/>
        </w:rPr>
        <w:t>a</w:t>
      </w:r>
      <w:r>
        <w:rPr>
          <w:rFonts w:hint="eastAsia"/>
          <w:b/>
          <w:bCs/>
          <w:lang w:eastAsia="zh-CN"/>
        </w:rPr>
        <w:t>）</w:t>
      </w:r>
      <w:r>
        <w:rPr>
          <w:rFonts w:hint="eastAsia"/>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hint="eastAsia"/>
          <w:b/>
          <w:bCs/>
          <w:lang w:eastAsia="zh-CN"/>
        </w:rPr>
        <w:t>（</w:t>
      </w:r>
      <w:r>
        <w:rPr>
          <w:rFonts w:hint="eastAsia"/>
          <w:b/>
          <w:bCs/>
          <w:lang w:val="en-US" w:eastAsia="zh-CN"/>
        </w:rPr>
        <w:t>b</w:t>
      </w:r>
      <w:r>
        <w:rPr>
          <w:rFonts w:hint="eastAsia"/>
          <w:b/>
          <w:bCs/>
          <w:lang w:eastAsia="zh-CN"/>
        </w:rPr>
        <w:t>）</w:t>
      </w:r>
      <w:r>
        <w:rPr>
          <w:rFonts w:hint="eastAsia"/>
        </w:rPr>
        <w:t>优惠主体承接是指提供服务的人员为中小企业依照《中华人民共和国劳动合同法》订立劳动合同的从业人员。</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w:t>
      </w:r>
      <w:bookmarkStart w:id="13" w:name="_Hlk71970739"/>
      <w:r>
        <w:rPr>
          <w:rFonts w:hint="eastAsia" w:asciiTheme="minorEastAsia" w:hAnsiTheme="minorEastAsia" w:eastAsiaTheme="minorEastAsia" w:cstheme="minorEastAsia"/>
          <w:sz w:val="21"/>
          <w:szCs w:val="21"/>
        </w:rPr>
        <w:t>中小企业参加政府采购活动，应当按照国务院批准的《中小企业划型标准规定》（工信部联企 业〔2011〕300号）、《金融业企业划型标准规定》（银发〔2015〕309号）和《财政部 工业和信息化部关于印发〈政府采购促进中小企业发展管理办法〉的通知》（财库〔2020〕46 号）的规定，出具《中小企业声明函》，</w:t>
      </w:r>
      <w:r>
        <w:rPr>
          <w:rFonts w:hint="eastAsia" w:asciiTheme="minorEastAsia" w:hAnsiTheme="minorEastAsia" w:eastAsiaTheme="minorEastAsia" w:cstheme="minorEastAsia"/>
          <w:b/>
          <w:bCs/>
          <w:color w:val="FF0000"/>
          <w:sz w:val="21"/>
          <w:szCs w:val="21"/>
        </w:rPr>
        <w:t>《中小企业声明函》中相关企业所属行业应当与采购标的所属行业相一致。</w:t>
      </w:r>
      <w:r>
        <w:rPr>
          <w:rFonts w:hint="eastAsia" w:asciiTheme="minorEastAsia" w:hAnsiTheme="minorEastAsia" w:eastAsiaTheme="minorEastAsia" w:cstheme="minorEastAsia"/>
          <w:sz w:val="21"/>
          <w:szCs w:val="21"/>
        </w:rPr>
        <w:t>本项目</w:t>
      </w:r>
      <w:bookmarkStart w:id="14" w:name="_Hlk71924718"/>
      <w:r>
        <w:rPr>
          <w:rFonts w:hint="eastAsia" w:asciiTheme="minorEastAsia" w:hAnsiTheme="minorEastAsia" w:eastAsiaTheme="minorEastAsia" w:cstheme="minorEastAsia"/>
          <w:sz w:val="21"/>
          <w:szCs w:val="21"/>
        </w:rPr>
        <w:t>采购标的（服务需</w:t>
      </w:r>
      <w:r>
        <w:rPr>
          <w:rFonts w:hint="eastAsia"/>
        </w:rPr>
        <w:t>求）对应的中小企业划分标准所属行业</w:t>
      </w:r>
      <w:bookmarkEnd w:id="14"/>
      <w:r>
        <w:rPr>
          <w:rFonts w:hint="eastAsia"/>
        </w:rPr>
        <w:t>为</w:t>
      </w:r>
      <w:r>
        <w:rPr>
          <w:rFonts w:hint="eastAsia" w:asciiTheme="minorEastAsia" w:hAnsiTheme="minorEastAsia" w:cstheme="minorEastAsia"/>
          <w:b/>
          <w:bCs/>
          <w:color w:val="FF0000"/>
          <w:sz w:val="24"/>
          <w:szCs w:val="24"/>
          <w:highlight w:val="yellow"/>
          <w:u w:val="single"/>
          <w:lang w:val="en-US" w:eastAsia="zh-CN"/>
        </w:rPr>
        <w:t>物业管理</w:t>
      </w:r>
      <w:r>
        <w:rPr>
          <w:rFonts w:hint="eastAsia" w:asciiTheme="minorEastAsia" w:hAnsiTheme="minorEastAsia" w:eastAsiaTheme="minorEastAsia" w:cstheme="minorEastAsia"/>
          <w:sz w:val="21"/>
          <w:szCs w:val="21"/>
        </w:rPr>
        <w:t>业。</w:t>
      </w:r>
      <w:bookmarkEnd w:id="13"/>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rPr>
        <w:t>）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w:t>
      </w:r>
      <w:r>
        <w:rPr>
          <w:rFonts w:hint="eastAsia" w:asciiTheme="minorEastAsia" w:hAnsiTheme="minorEastAsia" w:cstheme="minorEastAsia"/>
          <w:sz w:val="21"/>
          <w:szCs w:val="21"/>
          <w:lang w:val="en-US" w:eastAsia="zh-CN"/>
        </w:rPr>
        <w:t>四</w:t>
      </w:r>
      <w:r>
        <w:rPr>
          <w:rFonts w:hint="eastAsia" w:asciiTheme="minorEastAsia" w:hAnsiTheme="minorEastAsia" w:eastAsiaTheme="minorEastAsia" w:cstheme="minorEastAsia"/>
          <w:sz w:val="21"/>
          <w:szCs w:val="21"/>
        </w:rPr>
        <w:t>章“投标文件组成要求及格式”中“中小企业声明函、残疾人福利性单位声明函及监狱企业声明函”章节提供的格式）。</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rPr>
        <w:t>）享受价格扣除获得政府采购合同的，小微企业不得将合同分包给大中型企业。</w:t>
      </w:r>
    </w:p>
    <w:p>
      <w:pPr>
        <w:spacing w:line="360" w:lineRule="auto"/>
        <w:rPr>
          <w:rFonts w:ascii="宋体" w:hAnsi="宋体" w:eastAsia="宋体" w:cs="宋体"/>
          <w:b/>
          <w:bCs/>
          <w:szCs w:val="24"/>
        </w:rPr>
      </w:pPr>
      <w:r>
        <w:rPr>
          <w:rFonts w:hint="eastAsia" w:ascii="宋体" w:hAnsi="宋体" w:eastAsia="宋体" w:cs="宋体"/>
          <w:b/>
          <w:bCs/>
          <w:szCs w:val="24"/>
        </w:rPr>
        <w:t>2.关于政府采购订单融资政策</w:t>
      </w:r>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ascii="宋体" w:hAnsi="宋体" w:eastAsia="宋体" w:cs="Times New Roman"/>
          <w:b/>
          <w:szCs w:val="24"/>
        </w:rPr>
      </w:pPr>
      <w:r>
        <w:rPr>
          <w:rFonts w:hint="eastAsia"/>
          <w:color w:val="FF0000"/>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rPr>
          <w:rFonts w:hint="eastAsia" w:ascii="宋体" w:hAnsi="宋体"/>
          <w:b/>
          <w:bCs/>
          <w:color w:val="FF0000"/>
          <w:lang w:eastAsia="zh-CN"/>
        </w:rPr>
      </w:pPr>
      <w:r>
        <w:rPr>
          <w:rFonts w:hint="eastAsia" w:ascii="宋体" w:hAnsi="宋体"/>
          <w:b/>
          <w:bCs/>
          <w:color w:val="FF0000"/>
        </w:rPr>
        <w:t>3、</w:t>
      </w:r>
      <w:r>
        <w:rPr>
          <w:rFonts w:ascii="宋体" w:hAnsi="宋体"/>
          <w:b/>
          <w:bCs/>
          <w:color w:val="FF0000"/>
        </w:rPr>
        <w:t>本项目为代理服务项目，将向中标</w:t>
      </w:r>
      <w:r>
        <w:rPr>
          <w:rFonts w:hint="eastAsia" w:ascii="宋体" w:hAnsi="宋体"/>
          <w:b/>
          <w:bCs/>
          <w:color w:val="FF0000"/>
        </w:rPr>
        <w:t>（成交）</w:t>
      </w:r>
      <w:r>
        <w:rPr>
          <w:rFonts w:ascii="宋体" w:hAnsi="宋体"/>
          <w:b/>
          <w:bCs/>
          <w:color w:val="FF0000"/>
        </w:rPr>
        <w:t>供应商收取代理服务费</w:t>
      </w:r>
      <w:r>
        <w:rPr>
          <w:rFonts w:hint="eastAsia" w:ascii="宋体" w:hAnsi="宋体"/>
          <w:b/>
          <w:bCs/>
          <w:color w:val="FF0000"/>
          <w:lang w:eastAsia="zh-CN"/>
        </w:rPr>
        <w:t>。</w:t>
      </w:r>
    </w:p>
    <w:p>
      <w:pPr>
        <w:widowControl/>
        <w:ind w:firstLine="420"/>
        <w:jc w:val="left"/>
        <w:rPr>
          <w:rFonts w:hint="eastAsia" w:ascii="宋体" w:hAnsi="宋体"/>
          <w:color w:val="FF0000"/>
          <w:szCs w:val="21"/>
        </w:rPr>
      </w:pPr>
      <w:r>
        <w:rPr>
          <w:rFonts w:hint="eastAsia" w:ascii="宋体" w:hAnsi="宋体"/>
          <w:color w:val="FF0000"/>
          <w:szCs w:val="21"/>
        </w:rPr>
        <w:t>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供应商在领取《中标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通知书》之前须向深圳公共资源交易中心（深圳交易集团有限公司</w:t>
      </w:r>
      <w:r>
        <w:rPr>
          <w:rFonts w:hint="eastAsia" w:ascii="宋体" w:hAnsi="宋体"/>
          <w:color w:val="FF0000"/>
          <w:szCs w:val="21"/>
          <w:lang w:val="en-US" w:eastAsia="zh-CN"/>
        </w:rPr>
        <w:t>宝安</w:t>
      </w:r>
      <w:r>
        <w:rPr>
          <w:rFonts w:hint="eastAsia" w:ascii="宋体" w:hAnsi="宋体"/>
          <w:color w:val="FF0000"/>
          <w:szCs w:val="21"/>
        </w:rPr>
        <w:t>分公司）交纳代理服务费。若因中标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供应商交纳代理服务费所产生的时间影响到合同签订的，由中标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供应商自行承担责任。代理服务费标准参照</w:t>
      </w:r>
      <w:r>
        <w:rPr>
          <w:rFonts w:hint="eastAsia" w:ascii="宋体" w:hAnsi="宋体"/>
          <w:color w:val="FF0000"/>
          <w:szCs w:val="21"/>
          <w:lang w:val="en-US" w:eastAsia="zh-CN"/>
        </w:rPr>
        <w:t>下列</w:t>
      </w:r>
      <w:r>
        <w:rPr>
          <w:rFonts w:hint="eastAsia" w:ascii="宋体" w:hAnsi="宋体"/>
          <w:color w:val="FF0000"/>
          <w:szCs w:val="21"/>
        </w:rPr>
        <w:t>标准收取。本项目类型为</w:t>
      </w:r>
      <w:r>
        <w:rPr>
          <w:rFonts w:hint="eastAsia" w:ascii="宋体" w:hAnsi="宋体"/>
          <w:b/>
          <w:bCs/>
          <w:color w:val="FF0000"/>
          <w:szCs w:val="21"/>
          <w:u w:val="single"/>
          <w:lang w:val="en-US" w:eastAsia="zh-CN"/>
        </w:rPr>
        <w:t>服务</w:t>
      </w:r>
      <w:r>
        <w:rPr>
          <w:rFonts w:hint="eastAsia" w:ascii="宋体" w:hAnsi="宋体"/>
          <w:b/>
          <w:bCs/>
          <w:color w:val="FF0000"/>
          <w:szCs w:val="21"/>
          <w:u w:val="single"/>
        </w:rPr>
        <w:t>采购</w:t>
      </w:r>
      <w:r>
        <w:rPr>
          <w:rFonts w:hint="eastAsia" w:ascii="宋体" w:hAnsi="宋体"/>
          <w:color w:val="FF0000"/>
          <w:szCs w:val="21"/>
        </w:rPr>
        <w:t>：</w:t>
      </w:r>
    </w:p>
    <w:p>
      <w:pPr>
        <w:widowControl/>
        <w:ind w:firstLine="420"/>
        <w:jc w:val="left"/>
        <w:rPr>
          <w:rFonts w:hint="eastAsia" w:ascii="宋体" w:hAnsi="宋体"/>
          <w:color w:val="FF0000"/>
          <w:szCs w:val="21"/>
        </w:rPr>
      </w:pPr>
      <w:r>
        <w:rPr>
          <w:rFonts w:hint="eastAsia" w:ascii="宋体" w:hAnsi="宋体"/>
          <w:color w:val="FF0000"/>
          <w:szCs w:val="21"/>
        </w:rPr>
        <w:t>（</w:t>
      </w:r>
      <w:r>
        <w:rPr>
          <w:rFonts w:hint="eastAsia" w:ascii="宋体" w:hAnsi="宋体"/>
          <w:color w:val="FF0000"/>
          <w:szCs w:val="21"/>
          <w:lang w:val="en-US" w:eastAsia="zh-CN"/>
        </w:rPr>
        <w:t>1</w:t>
      </w:r>
      <w:r>
        <w:rPr>
          <w:rFonts w:hint="eastAsia" w:ascii="宋体" w:hAnsi="宋体"/>
          <w:color w:val="FF0000"/>
          <w:szCs w:val="21"/>
        </w:rPr>
        <w:t>）代理服务费以《中标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通知书》确定的中标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金额作为计算基数，按差额定率累进法计算。</w:t>
      </w:r>
    </w:p>
    <w:p>
      <w:pPr>
        <w:widowControl/>
        <w:ind w:firstLine="420"/>
        <w:jc w:val="left"/>
        <w:rPr>
          <w:rFonts w:hint="eastAsia" w:ascii="宋体" w:hAnsi="宋体"/>
          <w:color w:val="FF0000"/>
          <w:szCs w:val="21"/>
        </w:rPr>
      </w:pPr>
      <w:r>
        <w:rPr>
          <w:rFonts w:hint="eastAsia" w:ascii="宋体" w:hAnsi="宋体"/>
          <w:color w:val="FF0000"/>
          <w:szCs w:val="21"/>
        </w:rPr>
        <w:t>（</w:t>
      </w:r>
      <w:r>
        <w:rPr>
          <w:rFonts w:hint="eastAsia" w:ascii="宋体" w:hAnsi="宋体"/>
          <w:color w:val="FF0000"/>
          <w:szCs w:val="21"/>
          <w:lang w:val="en-US" w:eastAsia="zh-CN"/>
        </w:rPr>
        <w:t>2</w:t>
      </w:r>
      <w:r>
        <w:rPr>
          <w:rFonts w:hint="eastAsia" w:ascii="宋体" w:hAnsi="宋体"/>
          <w:color w:val="FF0000"/>
          <w:szCs w:val="21"/>
        </w:rPr>
        <w:t>）中标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金额的各部分费率如下表：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金额</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货物采购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服务采购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100万元以下</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100万元（含）-500万元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500万元（含）-1000万元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0.45%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1000万元（含）-5000万元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5000万元（含）-1亿元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1亿元（含）-5亿元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5亿元（含）-10亿元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10亿元（含）-50亿元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50亿元（含）-100亿元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100亿元（含）以上</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r>
    </w:tbl>
    <w:p>
      <w:pPr>
        <w:widowControl/>
        <w:ind w:firstLine="420"/>
        <w:jc w:val="left"/>
        <w:rPr>
          <w:rFonts w:hint="eastAsia" w:ascii="宋体" w:hAnsi="宋体"/>
          <w:color w:val="FF0000"/>
          <w:szCs w:val="21"/>
        </w:rPr>
      </w:pPr>
      <w:r>
        <w:rPr>
          <w:rFonts w:hint="eastAsia" w:ascii="宋体" w:hAnsi="宋体"/>
          <w:color w:val="FF0000"/>
          <w:szCs w:val="21"/>
        </w:rPr>
        <w:t xml:space="preserve">备注：1.每宗交易代理服务费不低于 </w:t>
      </w:r>
      <w:r>
        <w:rPr>
          <w:rFonts w:hint="eastAsia" w:ascii="宋体" w:hAnsi="宋体"/>
          <w:color w:val="FF0000"/>
          <w:szCs w:val="21"/>
          <w:lang w:val="en-US" w:eastAsia="zh-CN"/>
        </w:rPr>
        <w:t>5</w:t>
      </w:r>
      <w:r>
        <w:rPr>
          <w:rFonts w:hint="eastAsia" w:ascii="宋体" w:hAnsi="宋体"/>
          <w:color w:val="FF0000"/>
          <w:szCs w:val="21"/>
        </w:rPr>
        <w:t>000 元；</w:t>
      </w:r>
    </w:p>
    <w:p>
      <w:pPr>
        <w:widowControl/>
        <w:ind w:firstLine="420"/>
        <w:jc w:val="left"/>
        <w:rPr>
          <w:rFonts w:hint="eastAsia" w:ascii="宋体" w:hAnsi="宋体"/>
          <w:color w:val="FF0000"/>
          <w:szCs w:val="21"/>
        </w:rPr>
      </w:pPr>
      <w:r>
        <w:rPr>
          <w:rFonts w:hint="eastAsia" w:ascii="宋体" w:hAnsi="宋体"/>
          <w:color w:val="FF0000"/>
          <w:szCs w:val="21"/>
        </w:rPr>
        <w:t>2.对于报总价的采购类项目，中标（成交）价为中标（成交）金额；对于报单价或折扣或费率的采购类项目，中标（成交）价为预算上限金额或经委托方与代理方确定的支付上限金额</w:t>
      </w:r>
      <w:r>
        <w:rPr>
          <w:rFonts w:hint="eastAsia" w:ascii="宋体" w:hAnsi="宋体"/>
          <w:color w:val="FF0000"/>
          <w:szCs w:val="21"/>
          <w:lang w:eastAsia="zh-CN"/>
        </w:rPr>
        <w:t>。</w:t>
      </w:r>
    </w:p>
    <w:p>
      <w:pPr>
        <w:widowControl/>
        <w:ind w:firstLine="420"/>
        <w:jc w:val="left"/>
        <w:rPr>
          <w:rFonts w:hint="eastAsia" w:ascii="宋体" w:hAnsi="宋体"/>
          <w:color w:val="FF0000"/>
          <w:szCs w:val="21"/>
        </w:rPr>
      </w:pPr>
      <w:r>
        <w:rPr>
          <w:rFonts w:hint="eastAsia" w:ascii="宋体" w:hAnsi="宋体"/>
          <w:color w:val="FF0000"/>
          <w:szCs w:val="21"/>
        </w:rPr>
        <w:t>如某货物采购项目，中标（成交）金额为600万元，总共交纳的代理服务费的具体计算过程如下：</w:t>
      </w:r>
    </w:p>
    <w:p>
      <w:pPr>
        <w:widowControl/>
        <w:ind w:firstLine="420"/>
        <w:jc w:val="left"/>
        <w:rPr>
          <w:rFonts w:hint="eastAsia" w:ascii="宋体" w:hAnsi="宋体"/>
          <w:color w:val="FF0000"/>
          <w:szCs w:val="21"/>
        </w:rPr>
      </w:pPr>
      <w:r>
        <w:rPr>
          <w:rFonts w:hint="eastAsia" w:ascii="宋体" w:hAnsi="宋体"/>
          <w:color w:val="FF0000"/>
          <w:szCs w:val="21"/>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hint="eastAsia" w:ascii="宋体" w:hAnsi="宋体"/>
          <w:color w:val="FF0000"/>
          <w:szCs w:val="21"/>
        </w:rPr>
      </w:pPr>
      <w:r>
        <w:rPr>
          <w:rFonts w:hint="eastAsia" w:ascii="宋体" w:hAnsi="宋体"/>
          <w:color w:val="FF0000"/>
          <w:szCs w:val="21"/>
        </w:rPr>
        <w:t>（</w:t>
      </w:r>
      <w:r>
        <w:rPr>
          <w:rFonts w:hint="eastAsia" w:ascii="宋体" w:hAnsi="宋体"/>
          <w:color w:val="FF0000"/>
          <w:szCs w:val="21"/>
          <w:lang w:val="en-US" w:eastAsia="zh-CN"/>
        </w:rPr>
        <w:t>3</w:t>
      </w:r>
      <w:r>
        <w:rPr>
          <w:rFonts w:hint="eastAsia" w:ascii="宋体" w:hAnsi="宋体"/>
          <w:color w:val="FF0000"/>
          <w:szCs w:val="21"/>
        </w:rPr>
        <w:t>）中标（成交）供应商成交后，必须按规定采用银行对公转账方式向深圳交易集团有限公司直接交纳代理服务费，交纳信息及要求按照缴款（付款）通知书执行。</w:t>
      </w:r>
    </w:p>
    <w:p>
      <w:pP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br w:type="page"/>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第三章 用户需求书</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一、项目基本信息</w:t>
      </w:r>
    </w:p>
    <w:tbl>
      <w:tblPr>
        <w:tblStyle w:val="16"/>
        <w:tblW w:w="8931" w:type="dxa"/>
        <w:jc w:val="center"/>
        <w:tblLayout w:type="fixed"/>
        <w:tblCellMar>
          <w:top w:w="15" w:type="dxa"/>
          <w:left w:w="15" w:type="dxa"/>
          <w:bottom w:w="15" w:type="dxa"/>
          <w:right w:w="15" w:type="dxa"/>
        </w:tblCellMar>
      </w:tblPr>
      <w:tblGrid>
        <w:gridCol w:w="710"/>
        <w:gridCol w:w="2693"/>
        <w:gridCol w:w="2906"/>
        <w:gridCol w:w="2622"/>
      </w:tblGrid>
      <w:tr>
        <w:tblPrEx>
          <w:tblCellMar>
            <w:top w:w="15" w:type="dxa"/>
            <w:left w:w="15" w:type="dxa"/>
            <w:bottom w:w="15" w:type="dxa"/>
            <w:right w:w="15" w:type="dxa"/>
          </w:tblCellMar>
        </w:tblPrEx>
        <w:trPr>
          <w:trHeight w:val="552" w:hRule="atLeast"/>
          <w:jc w:val="center"/>
        </w:trPr>
        <w:tc>
          <w:tcPr>
            <w:tcW w:w="710"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b w:val="0"/>
                <w:bCs w:val="0"/>
              </w:rPr>
            </w:pPr>
            <w:r>
              <w:rPr>
                <w:rFonts w:hint="eastAsia"/>
                <w:b w:val="0"/>
                <w:bCs w:val="0"/>
              </w:rPr>
              <w:t>序号</w:t>
            </w:r>
          </w:p>
        </w:tc>
        <w:tc>
          <w:tcPr>
            <w:tcW w:w="2693"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b w:val="0"/>
                <w:bCs w:val="0"/>
              </w:rPr>
              <w:t>采购计划编号</w:t>
            </w:r>
          </w:p>
        </w:tc>
        <w:tc>
          <w:tcPr>
            <w:tcW w:w="2906"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b w:val="0"/>
                <w:bCs w:val="0"/>
              </w:rPr>
              <w:t>采购项目名称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pPr>
            <w:r>
              <w:rPr>
                <w:rFonts w:hint="eastAsia" w:asciiTheme="minorEastAsia" w:hAnsiTheme="minorEastAsia"/>
                <w:b w:val="0"/>
                <w:bCs w:val="0"/>
                <w:sz w:val="24"/>
                <w:szCs w:val="24"/>
              </w:rPr>
              <w:t>财政预算限额（元）</w:t>
            </w:r>
          </w:p>
        </w:tc>
      </w:tr>
      <w:tr>
        <w:tblPrEx>
          <w:tblCellMar>
            <w:top w:w="15" w:type="dxa"/>
            <w:left w:w="15" w:type="dxa"/>
            <w:bottom w:w="15" w:type="dxa"/>
            <w:right w:w="15" w:type="dxa"/>
          </w:tblCellMar>
        </w:tblPrEx>
        <w:trPr>
          <w:trHeight w:val="286" w:hRule="atLeast"/>
          <w:jc w:val="center"/>
        </w:trPr>
        <w:tc>
          <w:tcPr>
            <w:tcW w:w="710"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1</w:t>
            </w:r>
          </w:p>
        </w:tc>
        <w:tc>
          <w:tcPr>
            <w:tcW w:w="2693"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BAJYJ2024053001301C</w:t>
            </w:r>
          </w:p>
        </w:tc>
        <w:tc>
          <w:tcPr>
            <w:tcW w:w="2906" w:type="dxa"/>
            <w:tcBorders>
              <w:top w:val="single" w:color="000000" w:sz="4" w:space="0"/>
              <w:left w:val="single" w:color="000000" w:sz="4" w:space="0"/>
              <w:right w:val="single" w:color="000000" w:sz="4" w:space="0"/>
            </w:tcBorders>
            <w:vAlign w:val="center"/>
          </w:tcPr>
          <w:p>
            <w:pPr>
              <w:jc w:val="center"/>
              <w:rPr>
                <w:rFonts w:hint="eastAsia" w:eastAsiaTheme="minorEastAsia"/>
                <w:b w:val="0"/>
                <w:bCs w:val="0"/>
                <w:highlight w:val="none"/>
                <w:lang w:eastAsia="zh-CN"/>
              </w:rPr>
            </w:pPr>
            <w:r>
              <w:rPr>
                <w:rFonts w:hint="eastAsia" w:asciiTheme="minorEastAsia" w:hAnsiTheme="minorEastAsia"/>
                <w:b w:val="0"/>
                <w:bCs w:val="0"/>
                <w:sz w:val="24"/>
                <w:szCs w:val="24"/>
                <w:highlight w:val="none"/>
                <w:lang w:eastAsia="zh-CN"/>
              </w:rPr>
              <w:t>西湾小学蘅芳校区物业管理和非教育教学管理服务</w:t>
            </w:r>
          </w:p>
        </w:tc>
        <w:tc>
          <w:tcPr>
            <w:tcW w:w="26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rPr>
              <w:t>164,000.00</w:t>
            </w:r>
          </w:p>
        </w:tc>
      </w:tr>
      <w:tr>
        <w:tblPrEx>
          <w:tblCellMar>
            <w:top w:w="15" w:type="dxa"/>
            <w:left w:w="15" w:type="dxa"/>
            <w:bottom w:w="15" w:type="dxa"/>
            <w:right w:w="15" w:type="dxa"/>
          </w:tblCellMar>
        </w:tblPrEx>
        <w:trPr>
          <w:trHeight w:val="172" w:hRule="atLeast"/>
          <w:jc w:val="center"/>
        </w:trPr>
        <w:tc>
          <w:tcPr>
            <w:tcW w:w="6309"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hint="eastAsia" w:eastAsiaTheme="minorEastAsia"/>
                <w:b w:val="0"/>
                <w:bCs w:val="0"/>
                <w:highlight w:val="none"/>
                <w:lang w:val="en-US" w:eastAsia="zh-CN"/>
              </w:rPr>
            </w:pPr>
            <w:r>
              <w:rPr>
                <w:rFonts w:hint="eastAsia"/>
                <w:b w:val="0"/>
                <w:bCs w:val="0"/>
                <w:highlight w:val="none"/>
                <w:lang w:val="en-US" w:eastAsia="zh-CN"/>
              </w:rPr>
              <w:t>合计（元）</w:t>
            </w:r>
          </w:p>
        </w:tc>
        <w:tc>
          <w:tcPr>
            <w:tcW w:w="262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rPr>
              <w:t>164,000.00</w:t>
            </w:r>
          </w:p>
        </w:tc>
      </w:tr>
    </w:tbl>
    <w:p>
      <w:pPr>
        <w:jc w:val="both"/>
        <w:rPr>
          <w:sz w:val="24"/>
          <w:szCs w:val="24"/>
          <w:highlight w:val="none"/>
        </w:rPr>
      </w:pPr>
      <w:r>
        <w:rPr>
          <w:rFonts w:hint="eastAsia" w:ascii="Arial" w:hAnsi="Arial" w:eastAsia="宋体" w:cs="Times New Roman"/>
          <w:b/>
          <w:color w:val="FF0000"/>
          <w:sz w:val="24"/>
          <w:szCs w:val="24"/>
          <w:highlight w:val="none"/>
        </w:rPr>
        <w:t>本项目控制金额为人民币164,000.00</w:t>
      </w:r>
      <w:r>
        <w:rPr>
          <w:rFonts w:hint="eastAsia" w:ascii="Arial" w:hAnsi="Arial" w:eastAsia="宋体" w:cs="Times New Roman"/>
          <w:b/>
          <w:color w:val="0000FF"/>
          <w:sz w:val="24"/>
          <w:szCs w:val="24"/>
          <w:highlight w:val="none"/>
          <w:lang w:val="en-US" w:eastAsia="zh-CN"/>
        </w:rPr>
        <w:t>元</w:t>
      </w:r>
      <w:r>
        <w:rPr>
          <w:rFonts w:hint="eastAsia" w:ascii="Arial" w:hAnsi="Arial" w:eastAsia="宋体" w:cs="Times New Roman"/>
          <w:b/>
          <w:color w:val="FF0000"/>
          <w:sz w:val="24"/>
          <w:szCs w:val="24"/>
          <w:highlight w:val="none"/>
        </w:rPr>
        <w:t>，投标报价超出控制金额将作投标无效处理。</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二、服务需求明细</w:t>
      </w:r>
    </w:p>
    <w:tbl>
      <w:tblPr>
        <w:tblStyle w:val="16"/>
        <w:tblW w:w="9019" w:type="dxa"/>
        <w:jc w:val="center"/>
        <w:tblLayout w:type="fixed"/>
        <w:tblCellMar>
          <w:top w:w="15" w:type="dxa"/>
          <w:left w:w="15" w:type="dxa"/>
          <w:bottom w:w="15" w:type="dxa"/>
          <w:right w:w="15" w:type="dxa"/>
        </w:tblCellMar>
      </w:tblPr>
      <w:tblGrid>
        <w:gridCol w:w="691"/>
        <w:gridCol w:w="3969"/>
        <w:gridCol w:w="869"/>
        <w:gridCol w:w="850"/>
        <w:gridCol w:w="1542"/>
        <w:gridCol w:w="1098"/>
      </w:tblGrid>
      <w:tr>
        <w:tblPrEx>
          <w:tblCellMar>
            <w:top w:w="15" w:type="dxa"/>
            <w:left w:w="15" w:type="dxa"/>
            <w:bottom w:w="15" w:type="dxa"/>
            <w:right w:w="15" w:type="dxa"/>
          </w:tblCellMar>
        </w:tblPrEx>
        <w:trPr>
          <w:trHeight w:val="552" w:hRule="atLeast"/>
          <w:jc w:val="center"/>
        </w:trPr>
        <w:tc>
          <w:tcPr>
            <w:tcW w:w="691"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b/>
                <w:bCs/>
              </w:rPr>
            </w:pPr>
            <w:r>
              <w:rPr>
                <w:rFonts w:hint="eastAsia"/>
                <w:b/>
                <w:bCs/>
              </w:rPr>
              <w:t>序号</w:t>
            </w:r>
          </w:p>
        </w:tc>
        <w:tc>
          <w:tcPr>
            <w:tcW w:w="3969"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b/>
                <w:bCs/>
              </w:rPr>
            </w:pPr>
            <w:r>
              <w:rPr>
                <w:rFonts w:hint="eastAsia"/>
                <w:b/>
                <w:bCs/>
              </w:rPr>
              <w:t>服务</w:t>
            </w:r>
            <w:r>
              <w:rPr>
                <w:rFonts w:hint="eastAsia"/>
                <w:b/>
                <w:bCs/>
                <w:lang w:val="en-US" w:eastAsia="zh-CN"/>
              </w:rPr>
              <w:t>需求</w:t>
            </w:r>
            <w:r>
              <w:rPr>
                <w:rFonts w:hint="eastAsia"/>
                <w:b/>
                <w:bCs/>
              </w:rPr>
              <w:t>名称（标的名称）</w:t>
            </w:r>
          </w:p>
        </w:tc>
        <w:tc>
          <w:tcPr>
            <w:tcW w:w="869"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bCs/>
              </w:rPr>
            </w:pPr>
            <w:r>
              <w:rPr>
                <w:rFonts w:hint="eastAsia"/>
                <w:b/>
                <w:bCs/>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eastAsiaTheme="minorEastAsia"/>
                <w:b/>
                <w:bCs/>
                <w:lang w:eastAsia="zh-CN"/>
              </w:rPr>
            </w:pPr>
            <w:r>
              <w:rPr>
                <w:rFonts w:hint="eastAsia"/>
                <w:b/>
                <w:bCs/>
                <w:lang w:val="en-US" w:eastAsia="zh-CN"/>
              </w:rPr>
              <w:t>单位</w:t>
            </w:r>
          </w:p>
        </w:tc>
        <w:tc>
          <w:tcPr>
            <w:tcW w:w="154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bCs/>
                <w:highlight w:val="yellow"/>
              </w:rPr>
            </w:pPr>
            <w:r>
              <w:rPr>
                <w:rFonts w:hint="eastAsia"/>
                <w:b/>
                <w:bCs/>
                <w:highlight w:val="yellow"/>
              </w:rPr>
              <w:t>所属行业</w:t>
            </w:r>
          </w:p>
        </w:tc>
        <w:tc>
          <w:tcPr>
            <w:tcW w:w="1098"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bCs/>
                <w:highlight w:val="green"/>
              </w:rPr>
            </w:pPr>
            <w:r>
              <w:rPr>
                <w:rFonts w:hint="eastAsia"/>
                <w:b/>
                <w:bCs/>
              </w:rPr>
              <w:t>备注</w:t>
            </w:r>
          </w:p>
        </w:tc>
      </w:tr>
      <w:tr>
        <w:tblPrEx>
          <w:tblCellMar>
            <w:top w:w="15" w:type="dxa"/>
            <w:left w:w="15" w:type="dxa"/>
            <w:bottom w:w="15" w:type="dxa"/>
            <w:right w:w="15" w:type="dxa"/>
          </w:tblCellMar>
        </w:tblPrEx>
        <w:trPr>
          <w:trHeight w:val="841" w:hRule="atLeast"/>
          <w:jc w:val="center"/>
        </w:trPr>
        <w:tc>
          <w:tcPr>
            <w:tcW w:w="691" w:type="dxa"/>
            <w:tcBorders>
              <w:top w:val="single" w:color="000000" w:sz="4" w:space="0"/>
              <w:left w:val="single" w:color="000000" w:sz="4" w:space="0"/>
              <w:bottom w:val="single" w:color="000000" w:sz="4" w:space="0"/>
              <w:right w:val="single" w:color="auto" w:sz="4" w:space="0"/>
            </w:tcBorders>
            <w:vAlign w:val="center"/>
          </w:tcPr>
          <w:p>
            <w:pPr>
              <w:jc w:val="center"/>
              <w:rPr>
                <w:rFonts w:hint="default" w:eastAsiaTheme="minorEastAsia"/>
                <w:highlight w:val="yellow"/>
                <w:lang w:val="en-US" w:eastAsia="zh-CN"/>
              </w:rPr>
            </w:pPr>
            <w:r>
              <w:rPr>
                <w:rFonts w:hint="eastAsia"/>
                <w:highlight w:val="yellow"/>
                <w:lang w:val="en-US" w:eastAsia="zh-CN"/>
              </w:rPr>
              <w:t>1</w:t>
            </w:r>
          </w:p>
        </w:tc>
        <w:tc>
          <w:tcPr>
            <w:tcW w:w="3969" w:type="dxa"/>
            <w:tcBorders>
              <w:top w:val="single" w:color="000000" w:sz="4" w:space="0"/>
              <w:left w:val="single" w:color="auto" w:sz="4" w:space="0"/>
              <w:bottom w:val="single" w:color="000000" w:sz="4" w:space="0"/>
              <w:right w:val="single" w:color="000000" w:sz="4" w:space="0"/>
            </w:tcBorders>
            <w:vAlign w:val="center"/>
          </w:tcPr>
          <w:p>
            <w:pPr>
              <w:jc w:val="center"/>
              <w:rPr>
                <w:highlight w:val="yellow"/>
              </w:rPr>
            </w:pPr>
            <w:r>
              <w:rPr>
                <w:rFonts w:hint="eastAsia" w:asciiTheme="minorEastAsia" w:hAnsiTheme="minorEastAsia"/>
                <w:b w:val="0"/>
                <w:bCs w:val="0"/>
                <w:sz w:val="24"/>
                <w:szCs w:val="24"/>
                <w:highlight w:val="none"/>
                <w:lang w:eastAsia="zh-CN"/>
              </w:rPr>
              <w:t>西湾小学蘅芳校区物业管理和非教育教学管理服务</w:t>
            </w: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Theme="minorEastAsia"/>
                <w:bCs/>
                <w:lang w:eastAsia="zh-CN"/>
              </w:rPr>
            </w:pPr>
            <w:r>
              <w:rPr>
                <w:rFonts w:hint="eastAsia"/>
                <w:bCs/>
                <w:lang w:val="en-US" w:eastAsia="zh-CN"/>
              </w:rPr>
              <w:t>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Theme="minorEastAsia"/>
                <w:bCs/>
                <w:lang w:eastAsia="zh-CN"/>
              </w:rPr>
            </w:pPr>
            <w:r>
              <w:rPr>
                <w:rFonts w:hint="eastAsia"/>
                <w:bCs/>
                <w:lang w:val="en-US" w:eastAsia="zh-CN"/>
              </w:rPr>
              <w:t>项</w:t>
            </w:r>
          </w:p>
        </w:tc>
        <w:tc>
          <w:tcPr>
            <w:tcW w:w="1542" w:type="dxa"/>
            <w:tcBorders>
              <w:top w:val="single" w:color="000000" w:sz="4" w:space="0"/>
              <w:left w:val="single" w:color="000000" w:sz="4" w:space="0"/>
              <w:bottom w:val="single" w:color="000000" w:sz="4" w:space="0"/>
              <w:right w:val="single" w:color="000000" w:sz="4" w:space="0"/>
            </w:tcBorders>
            <w:vAlign w:val="center"/>
          </w:tcPr>
          <w:p>
            <w:pPr>
              <w:jc w:val="center"/>
              <w:rPr>
                <w:bCs/>
                <w:highlight w:val="green"/>
              </w:rPr>
            </w:pPr>
            <w:r>
              <w:rPr>
                <w:rFonts w:hint="eastAsia" w:asciiTheme="minorEastAsia" w:hAnsiTheme="minorEastAsia"/>
                <w:b w:val="0"/>
                <w:bCs w:val="0"/>
                <w:sz w:val="24"/>
                <w:szCs w:val="24"/>
                <w:highlight w:val="none"/>
                <w:lang w:eastAsia="zh-CN"/>
              </w:rPr>
              <w:t>物业管理</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bCs/>
                <w:highlight w:val="green"/>
              </w:rPr>
            </w:pPr>
          </w:p>
        </w:tc>
      </w:tr>
    </w:tbl>
    <w:p/>
    <w:p>
      <w:r>
        <w:rPr>
          <w:rFonts w:hint="eastAsia" w:ascii="Arial" w:hAnsi="Arial" w:eastAsia="宋体" w:cs="Times New Roman"/>
          <w:b/>
          <w:sz w:val="32"/>
          <w:szCs w:val="32"/>
        </w:rPr>
        <w:t>项目概况如下：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heme="minorEastAsia" w:hAnsiTheme="minorEastAsia"/>
          <w:bCs/>
          <w:sz w:val="24"/>
          <w:szCs w:val="24"/>
          <w:highlight w:val="none"/>
        </w:rPr>
      </w:pPr>
      <w:r>
        <w:rPr>
          <w:rFonts w:hint="eastAsia" w:asciiTheme="minorEastAsia" w:hAnsiTheme="minorEastAsia"/>
          <w:bCs/>
          <w:sz w:val="24"/>
          <w:szCs w:val="24"/>
          <w:highlight w:val="none"/>
        </w:rPr>
        <w:t>我校目前借址办学，建筑面积3393.48平方米，现有学生200人。</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rPr>
          <w:rFonts w:hint="eastAsia"/>
        </w:rPr>
      </w:pPr>
      <w:bookmarkStart w:id="15" w:name="_Toc128884461"/>
      <w:r>
        <w:rPr>
          <w:rFonts w:hint="eastAsia"/>
        </w:rPr>
        <w:br w:type="page"/>
      </w:r>
    </w:p>
    <w:p>
      <w:pPr>
        <w:pStyle w:val="5"/>
        <w:jc w:val="center"/>
      </w:pPr>
      <w:r>
        <w:rPr>
          <w:rFonts w:hint="eastAsia"/>
        </w:rPr>
        <w:t>三、实质性条款</w:t>
      </w:r>
    </w:p>
    <w:tbl>
      <w:tblPr>
        <w:tblStyle w:val="16"/>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05" w:type="dxa"/>
            <w:vAlign w:val="center"/>
          </w:tcPr>
          <w:p>
            <w:r>
              <w:rPr>
                <w:rFonts w:hint="eastAsia"/>
              </w:rPr>
              <w:t>序号</w:t>
            </w:r>
          </w:p>
        </w:tc>
        <w:tc>
          <w:tcPr>
            <w:tcW w:w="7483" w:type="dxa"/>
            <w:vAlign w:val="center"/>
          </w:tcPr>
          <w:p>
            <w:pPr>
              <w:jc w:val="center"/>
            </w:pPr>
            <w:r>
              <w:rPr>
                <w:rFonts w:hint="eastAsia"/>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Pr>
          <w:p>
            <w:pPr>
              <w:jc w:val="center"/>
            </w:pPr>
            <w:r>
              <w:rPr>
                <w:rFonts w:hint="eastAsia"/>
              </w:rPr>
              <w:t>1</w:t>
            </w:r>
          </w:p>
        </w:tc>
        <w:tc>
          <w:tcPr>
            <w:tcW w:w="7483" w:type="dxa"/>
          </w:tcPr>
          <w:p>
            <w:pPr>
              <w:jc w:val="center"/>
              <w:rPr>
                <w:rFonts w:hint="eastAsia" w:eastAsiaTheme="minorEastAsia"/>
                <w:lang w:eastAsia="zh-CN"/>
              </w:rPr>
            </w:pPr>
            <w:r>
              <w:rPr>
                <w:rFonts w:hint="eastAsia"/>
              </w:rPr>
              <w:t>本项目招标文件中所有带★号条款</w:t>
            </w:r>
            <w:r>
              <w:rPr>
                <w:rFonts w:hint="eastAsia"/>
                <w:lang w:val="en-US" w:eastAsia="zh-CN"/>
              </w:rPr>
              <w:t>内容</w:t>
            </w:r>
          </w:p>
        </w:tc>
      </w:tr>
      <w:bookmarkEnd w:id="15"/>
    </w:tbl>
    <w:p>
      <w:pPr>
        <w:rPr>
          <w:rFonts w:hint="default"/>
          <w:lang w:val="en-US"/>
        </w:rPr>
      </w:pPr>
      <w:r>
        <w:rPr>
          <w:rFonts w:hint="eastAsia"/>
          <w:b/>
          <w:color w:val="FF0000"/>
        </w:rPr>
        <w:t>注</w:t>
      </w:r>
      <w:r>
        <w:rPr>
          <w:rFonts w:hint="eastAsia"/>
        </w:rPr>
        <w:t>：</w:t>
      </w:r>
      <w:r>
        <w:rPr>
          <w:rFonts w:hint="eastAsia"/>
          <w:b/>
          <w:color w:val="FF0000"/>
        </w:rPr>
        <w:t>上表所列内容为不可负偏离条款，负偏离将视为未实质性满足招标文件要求</w:t>
      </w:r>
      <w:r>
        <w:rPr>
          <w:rFonts w:hint="eastAsia"/>
          <w:b/>
          <w:color w:val="FF0000"/>
          <w:lang w:eastAsia="zh-CN"/>
        </w:rPr>
        <w:t>，</w:t>
      </w:r>
      <w:r>
        <w:rPr>
          <w:rFonts w:hint="eastAsia"/>
          <w:b/>
          <w:color w:val="FF0000"/>
        </w:rPr>
        <w:t>作投标无效处理。投标人是否满足</w:t>
      </w:r>
      <w:r>
        <w:rPr>
          <w:rFonts w:hint="eastAsia"/>
          <w:b/>
          <w:color w:val="FF0000"/>
          <w:lang w:val="en-US" w:eastAsia="zh-CN"/>
        </w:rPr>
        <w:t>以上实质性</w:t>
      </w:r>
      <w:r>
        <w:rPr>
          <w:rFonts w:hint="eastAsia"/>
          <w:b/>
          <w:color w:val="FF0000"/>
        </w:rPr>
        <w:t>条款要求，</w:t>
      </w:r>
      <w:r>
        <w:rPr>
          <w:rFonts w:hint="eastAsia"/>
          <w:b/>
          <w:color w:val="FF0000"/>
          <w:lang w:val="en-US" w:eastAsia="zh-CN"/>
        </w:rPr>
        <w:t>以</w:t>
      </w:r>
      <w:r>
        <w:rPr>
          <w:rFonts w:hint="eastAsia"/>
          <w:b/>
          <w:color w:val="FF0000"/>
          <w:lang w:eastAsia="zh-CN"/>
        </w:rPr>
        <w:t>《</w:t>
      </w:r>
      <w:r>
        <w:rPr>
          <w:rFonts w:hint="eastAsia"/>
          <w:b/>
          <w:color w:val="FF0000"/>
        </w:rPr>
        <w:t>实质性条款响应情况表</w:t>
      </w:r>
      <w:r>
        <w:rPr>
          <w:rFonts w:hint="eastAsia"/>
          <w:b/>
          <w:color w:val="FF0000"/>
          <w:lang w:eastAsia="zh-CN"/>
        </w:rPr>
        <w:t>》</w:t>
      </w:r>
      <w:r>
        <w:rPr>
          <w:rFonts w:hint="eastAsia"/>
          <w:b/>
          <w:color w:val="FF0000"/>
          <w:lang w:val="en-US" w:eastAsia="zh-CN"/>
        </w:rPr>
        <w:t>响应为准。</w:t>
      </w:r>
      <w:r>
        <w:rPr>
          <w:rFonts w:hint="eastAsia"/>
          <w:b/>
          <w:color w:val="FF0000"/>
        </w:rPr>
        <w:t>如投标人中标后被发现不能满足</w:t>
      </w:r>
      <w:r>
        <w:rPr>
          <w:rFonts w:hint="eastAsia"/>
          <w:b/>
          <w:color w:val="FF0000"/>
          <w:lang w:val="en-US" w:eastAsia="zh-CN"/>
        </w:rPr>
        <w:t>以上实质性</w:t>
      </w:r>
      <w:r>
        <w:rPr>
          <w:rFonts w:hint="eastAsia"/>
          <w:b/>
          <w:color w:val="FF0000"/>
        </w:rPr>
        <w:t>条款要求的，采购单位有权拒绝签订合同，一切后果由投标人承担。</w:t>
      </w:r>
    </w:p>
    <w:p>
      <w:pPr>
        <w:keepNext/>
        <w:keepLines/>
        <w:tabs>
          <w:tab w:val="left" w:pos="1680"/>
        </w:tabs>
        <w:spacing w:before="260" w:afterLines="25"/>
        <w:jc w:val="center"/>
        <w:outlineLvl w:val="2"/>
        <w:rPr>
          <w:rFonts w:hint="eastAsia" w:ascii="Arial" w:hAnsi="Arial" w:eastAsia="宋体" w:cs="Times New Roman"/>
          <w:b/>
          <w:bCs/>
          <w:sz w:val="32"/>
          <w:szCs w:val="32"/>
          <w:lang w:eastAsia="zh-CN"/>
        </w:rPr>
      </w:pPr>
      <w:r>
        <w:rPr>
          <w:rFonts w:hint="eastAsia" w:ascii="Arial" w:hAnsi="Arial" w:eastAsia="宋体" w:cs="Times New Roman"/>
          <w:b/>
          <w:bCs/>
          <w:sz w:val="32"/>
          <w:szCs w:val="32"/>
          <w:lang w:val="en-US" w:eastAsia="zh-CN"/>
        </w:rPr>
        <w:t>四</w:t>
      </w:r>
      <w:r>
        <w:rPr>
          <w:rFonts w:hint="eastAsia" w:ascii="Arial" w:hAnsi="Arial" w:eastAsia="宋体" w:cs="Times New Roman"/>
          <w:b/>
          <w:bCs/>
          <w:sz w:val="32"/>
          <w:szCs w:val="32"/>
        </w:rPr>
        <w:t>、商务和服务条款</w:t>
      </w:r>
      <w:r>
        <w:rPr>
          <w:rFonts w:hint="eastAsia" w:ascii="Arial" w:hAnsi="Arial" w:eastAsia="宋体" w:cs="Times New Roman"/>
          <w:b/>
          <w:bCs/>
          <w:sz w:val="32"/>
          <w:szCs w:val="32"/>
          <w:lang w:val="en-US" w:eastAsia="zh-CN"/>
        </w:rPr>
        <w:t>要求</w:t>
      </w:r>
    </w:p>
    <w:p>
      <w:pPr>
        <w:spacing w:after="78" w:afterLines="25" w:line="360" w:lineRule="auto"/>
        <w:outlineLvl w:val="2"/>
        <w:rPr>
          <w:rFonts w:ascii="仿宋" w:hAnsi="仿宋" w:eastAsia="仿宋" w:cs="仿宋"/>
          <w:b/>
          <w:bCs/>
          <w:sz w:val="28"/>
          <w:szCs w:val="24"/>
        </w:rPr>
      </w:pPr>
      <w:r>
        <w:rPr>
          <w:rFonts w:hint="eastAsia" w:ascii="仿宋" w:hAnsi="仿宋" w:eastAsia="仿宋" w:cs="仿宋"/>
          <w:b/>
          <w:bCs/>
          <w:color w:val="FF0000"/>
          <w:sz w:val="32"/>
          <w:szCs w:val="32"/>
        </w:rPr>
        <w:t>★</w:t>
      </w:r>
      <w:r>
        <w:rPr>
          <w:rFonts w:hint="eastAsia" w:ascii="仿宋" w:hAnsi="仿宋" w:eastAsia="仿宋" w:cs="仿宋"/>
          <w:b/>
          <w:bCs/>
          <w:sz w:val="28"/>
          <w:szCs w:val="24"/>
        </w:rPr>
        <w:t>一、服务范围</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管理范围：校园区域内所有隶属于本单位管理的物业以及校门围墙外5米区域内（学校正门至侧门的人行道及车辆辅道）的物业管理服务及非教育教学管理服务。</w:t>
      </w:r>
    </w:p>
    <w:p>
      <w:pPr>
        <w:spacing w:after="78" w:afterLines="25" w:line="360" w:lineRule="auto"/>
        <w:outlineLvl w:val="2"/>
        <w:rPr>
          <w:rFonts w:ascii="仿宋" w:hAnsi="仿宋" w:eastAsia="仿宋" w:cs="仿宋"/>
          <w:sz w:val="28"/>
          <w:szCs w:val="24"/>
        </w:rPr>
      </w:pPr>
      <w:r>
        <w:rPr>
          <w:rFonts w:hint="eastAsia" w:ascii="仿宋" w:hAnsi="仿宋" w:eastAsia="仿宋" w:cs="仿宋"/>
          <w:b/>
          <w:bCs/>
          <w:color w:val="FF0000"/>
          <w:sz w:val="32"/>
          <w:szCs w:val="32"/>
        </w:rPr>
        <w:t>★</w:t>
      </w:r>
      <w:r>
        <w:rPr>
          <w:rFonts w:hint="eastAsia" w:ascii="仿宋" w:hAnsi="仿宋" w:eastAsia="仿宋" w:cs="仿宋"/>
          <w:b/>
          <w:bCs/>
          <w:sz w:val="28"/>
          <w:szCs w:val="24"/>
        </w:rPr>
        <w:t>二、服务内容</w:t>
      </w:r>
    </w:p>
    <w:p>
      <w:pPr>
        <w:spacing w:after="78" w:afterLines="25" w:line="360" w:lineRule="auto"/>
        <w:ind w:firstLine="482" w:firstLineChars="200"/>
        <w:rPr>
          <w:rFonts w:ascii="仿宋" w:hAnsi="仿宋" w:eastAsia="仿宋" w:cs="仿宋"/>
          <w:sz w:val="24"/>
        </w:rPr>
      </w:pPr>
      <w:r>
        <w:rPr>
          <w:rFonts w:hint="eastAsia" w:ascii="仿宋" w:hAnsi="仿宋" w:eastAsia="仿宋" w:cs="仿宋"/>
          <w:b/>
          <w:sz w:val="24"/>
        </w:rPr>
        <w:t>（1）清洁卫生管理</w:t>
      </w:r>
      <w:r>
        <w:rPr>
          <w:rFonts w:hint="eastAsia" w:ascii="仿宋" w:hAnsi="仿宋" w:eastAsia="仿宋" w:cs="仿宋"/>
          <w:sz w:val="24"/>
        </w:rPr>
        <w:t>：包括室内、室外、墙体的清洁卫生，红线范围内垃圾的收集、清运，以及办公桌椅、电脑设备的保洁等。</w:t>
      </w:r>
    </w:p>
    <w:p>
      <w:pPr>
        <w:adjustRightInd w:val="0"/>
        <w:snapToGrid w:val="0"/>
        <w:spacing w:after="78" w:afterLines="25" w:line="360" w:lineRule="auto"/>
        <w:ind w:firstLine="482" w:firstLineChars="200"/>
        <w:rPr>
          <w:rFonts w:ascii="仿宋" w:hAnsi="仿宋" w:eastAsia="仿宋" w:cs="仿宋"/>
          <w:sz w:val="24"/>
        </w:rPr>
      </w:pPr>
      <w:r>
        <w:rPr>
          <w:rFonts w:hint="eastAsia" w:ascii="仿宋" w:hAnsi="仿宋" w:eastAsia="仿宋" w:cs="仿宋"/>
          <w:b/>
          <w:sz w:val="24"/>
        </w:rPr>
        <w:t>（2）安全保卫管理服务：</w:t>
      </w:r>
      <w:r>
        <w:rPr>
          <w:rFonts w:hint="eastAsia" w:ascii="仿宋" w:hAnsi="仿宋" w:eastAsia="仿宋" w:cs="仿宋"/>
          <w:sz w:val="24"/>
        </w:rPr>
        <w:t>24小时安全保卫、安防值班及公共秩序管理。</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①实行24小时的门岗、消防监控和安全防范，及时发现和处理各种安全事故隐患，迅速有效处置突发事件；</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②秩序维护员根据要求对出入校园的车辆、人员、物品进行登记检查；</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③秩序维护员要穿着统一的制服，工作规范，作风严谨；</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④负责每天报纸杂志、信件的接收，做好相关的登记记录；</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⑤按照采购单位要求完成临时性勤杂工作；</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⑥校园交通、车辆行驶和停泊管理。</w:t>
      </w:r>
    </w:p>
    <w:p>
      <w:pPr>
        <w:tabs>
          <w:tab w:val="left" w:pos="5730"/>
        </w:tabs>
        <w:adjustRightInd w:val="0"/>
        <w:snapToGrid w:val="0"/>
        <w:spacing w:after="78" w:afterLines="25" w:line="360" w:lineRule="auto"/>
        <w:ind w:firstLine="559" w:firstLineChars="232"/>
        <w:rPr>
          <w:rFonts w:ascii="仿宋" w:hAnsi="仿宋" w:eastAsia="仿宋" w:cs="仿宋"/>
          <w:b/>
          <w:sz w:val="24"/>
        </w:rPr>
      </w:pPr>
      <w:r>
        <w:rPr>
          <w:rFonts w:hint="eastAsia" w:ascii="仿宋" w:hAnsi="仿宋" w:eastAsia="仿宋" w:cs="仿宋"/>
          <w:b/>
          <w:sz w:val="24"/>
        </w:rPr>
        <w:t>（3）报刊、信件的管理、学校报刊、信件的及时、准确、完整送达，做好收发登记。</w:t>
      </w:r>
    </w:p>
    <w:p>
      <w:pPr>
        <w:adjustRightInd w:val="0"/>
        <w:snapToGrid w:val="0"/>
        <w:spacing w:after="78" w:afterLines="25" w:line="360" w:lineRule="auto"/>
        <w:ind w:firstLine="559" w:firstLineChars="232"/>
        <w:rPr>
          <w:rFonts w:ascii="仿宋" w:hAnsi="仿宋" w:eastAsia="仿宋" w:cs="仿宋"/>
          <w:b/>
          <w:sz w:val="24"/>
        </w:rPr>
      </w:pPr>
      <w:r>
        <w:rPr>
          <w:rFonts w:hint="eastAsia" w:ascii="仿宋" w:hAnsi="仿宋" w:eastAsia="仿宋" w:cs="仿宋"/>
          <w:b/>
          <w:sz w:val="24"/>
        </w:rPr>
        <w:t>（4）物业档案资料管理。</w:t>
      </w:r>
    </w:p>
    <w:p>
      <w:pPr>
        <w:adjustRightInd w:val="0"/>
        <w:snapToGrid w:val="0"/>
        <w:spacing w:after="78" w:afterLines="25" w:line="360" w:lineRule="auto"/>
        <w:ind w:firstLine="559" w:firstLineChars="232"/>
        <w:rPr>
          <w:rFonts w:ascii="仿宋" w:hAnsi="仿宋" w:eastAsia="仿宋" w:cs="仿宋"/>
          <w:b/>
          <w:sz w:val="24"/>
        </w:rPr>
      </w:pPr>
      <w:r>
        <w:rPr>
          <w:rFonts w:hint="eastAsia" w:ascii="仿宋" w:hAnsi="仿宋" w:eastAsia="仿宋" w:cs="仿宋"/>
          <w:b/>
          <w:sz w:val="24"/>
        </w:rPr>
        <w:t>（5）</w:t>
      </w:r>
      <w:r>
        <w:rPr>
          <w:rFonts w:hint="eastAsia" w:ascii="仿宋" w:hAnsi="仿宋" w:eastAsia="仿宋" w:cs="仿宋"/>
          <w:b/>
          <w:kern w:val="0"/>
          <w:sz w:val="24"/>
        </w:rPr>
        <w:t>非教学时段管理服务</w:t>
      </w:r>
      <w:r>
        <w:rPr>
          <w:rFonts w:hint="eastAsia" w:ascii="仿宋" w:hAnsi="仿宋" w:eastAsia="仿宋" w:cs="仿宋"/>
          <w:b/>
          <w:sz w:val="24"/>
        </w:rPr>
        <w:t>。</w:t>
      </w:r>
    </w:p>
    <w:p>
      <w:pPr>
        <w:adjustRightInd w:val="0"/>
        <w:snapToGrid w:val="0"/>
        <w:spacing w:after="78" w:afterLines="25" w:line="360" w:lineRule="auto"/>
        <w:ind w:firstLine="559" w:firstLineChars="232"/>
        <w:rPr>
          <w:rFonts w:ascii="仿宋" w:hAnsi="仿宋" w:eastAsia="仿宋" w:cs="仿宋"/>
          <w:b/>
          <w:sz w:val="24"/>
        </w:rPr>
      </w:pPr>
      <w:r>
        <w:rPr>
          <w:rFonts w:hint="eastAsia" w:ascii="仿宋" w:hAnsi="仿宋" w:eastAsia="仿宋" w:cs="仿宋"/>
          <w:b/>
          <w:sz w:val="24"/>
        </w:rPr>
        <w:t>（6）法律、法规和委托管理合同规定的其他物业管理服务。</w:t>
      </w:r>
    </w:p>
    <w:p>
      <w:pPr>
        <w:spacing w:after="78" w:afterLines="25" w:line="360" w:lineRule="auto"/>
        <w:outlineLvl w:val="2"/>
        <w:rPr>
          <w:rFonts w:ascii="仿宋" w:hAnsi="仿宋" w:eastAsia="仿宋" w:cs="仿宋"/>
          <w:b/>
          <w:sz w:val="28"/>
          <w:szCs w:val="24"/>
        </w:rPr>
      </w:pPr>
      <w:r>
        <w:rPr>
          <w:rFonts w:hint="eastAsia" w:ascii="仿宋" w:hAnsi="仿宋" w:eastAsia="仿宋" w:cs="仿宋"/>
          <w:b/>
          <w:sz w:val="28"/>
          <w:szCs w:val="24"/>
        </w:rPr>
        <w:t>三、工作质量要求</w:t>
      </w:r>
    </w:p>
    <w:p>
      <w:pPr>
        <w:spacing w:after="78" w:afterLines="25" w:line="360" w:lineRule="auto"/>
        <w:ind w:firstLine="472" w:firstLineChars="196"/>
        <w:rPr>
          <w:rFonts w:ascii="仿宋" w:hAnsi="仿宋" w:eastAsia="仿宋" w:cs="仿宋"/>
          <w:b/>
          <w:bCs/>
          <w:sz w:val="24"/>
        </w:rPr>
      </w:pPr>
      <w:r>
        <w:rPr>
          <w:rFonts w:hint="eastAsia" w:ascii="仿宋" w:hAnsi="仿宋" w:eastAsia="仿宋" w:cs="仿宋"/>
          <w:b/>
          <w:bCs/>
          <w:sz w:val="24"/>
        </w:rPr>
        <w:t>（一）环境卫生管理要求</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1、清洁卫生实行一体化管理，有专业清洁队伍，管理制度完善；</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2、负责做好校门前及红线范围以内所有的地面、绿化带、建筑物的墙面及附属物、门窗、室内区域，所有设施及用具的卫生保洁与管理；</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3、负责做好校园环境卫生、下水道、沟渠、池、井、楼顶的清淤处理、垃圾的收集清运、化粪池的清理；负责垃圾房的清洁、使用、保养及维修，红线范围内垃圾清运必须实行袋装化收集清运，垃圾房在垃圾清走后要及时清洗、消毒；</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4、负责承担学校师生卫生间的洗手液、纸巾（此类物品由学校购置）的放置与管理；</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5、中标方按工作程序对范围内场所进行日常定期清扫或不定期清扫保洁，做到按标准化全方位保洁，特别对卫生间等难点做到按标准定人定点定时管理、巡查、监督。一切公共场所整洁干净、无垃圾、无乱贴乱画；</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6、保持垃圾桶干净无味，负责垃圾的收集，垃圾实行袋装化，日产日清，防止二次污染，定期进行卫生消毒；</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7、每学期开学前、后做好学校的整体全面清洁工作；</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8、学校重大活动的清洁服务保障，配合做好重大事件的环境清洁工作；大型会议、参观活动、学校考试等时间段，每次须增派人员加强清洁服务；</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9、清洁卫生中所需的工具，物品以及清洁用品（如消毒水、清洁药剂、垃圾袋等）等均由中标单位负责；</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10、做好其它与清洁卫生有关的事项；</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11、中标单位应在早上7：30前将所有区域（如外围、功能室、楼梯、走廊、洗手间等）的卫生清洁完毕，并全天随时保洁。行政办公区域清洁必须在8：30前清洁完毕，保证不影响正常办公；</w:t>
      </w:r>
    </w:p>
    <w:p>
      <w:pPr>
        <w:spacing w:after="78" w:afterLines="25" w:line="360" w:lineRule="auto"/>
        <w:ind w:firstLine="472" w:firstLineChars="196"/>
        <w:rPr>
          <w:rFonts w:ascii="仿宋" w:hAnsi="仿宋" w:eastAsia="仿宋" w:cs="仿宋"/>
          <w:b/>
          <w:bCs/>
          <w:sz w:val="24"/>
        </w:rPr>
      </w:pPr>
      <w:r>
        <w:rPr>
          <w:rFonts w:hint="eastAsia" w:ascii="仿宋" w:hAnsi="仿宋" w:eastAsia="仿宋" w:cs="仿宋"/>
          <w:b/>
          <w:bCs/>
          <w:sz w:val="24"/>
        </w:rPr>
        <w:t>（二）安全管理要求</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1、负责学校内部的安全、保卫和警戒，包括学校的门卫管理、交通秩序管理以及其他安全管理，并且负责各种突发事件的预防与处理，保持学校内的安全和宁静；</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2、安全管理实行一体化管理，有专业安保队伍，制度完善，责任落实；</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3、实行24小时消防监控和安全防范，及时发现和处理各种安全事故隐患，迅速有效处置突发事件；</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4、做好安全防范和日常巡查工作，负责校园内门窗、照明等开、关，及时发现和处理各种安全事故隐患，迅速有效处置突发事件；</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5、建立长效防患机制，确保学校内无火灾、刑事、交通事故等的安全隐患；</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6、门岗的保安根据要求对出入校园的车辆、人员、物品进行登记、检查；</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7、建立突发事件处理程序，拟定相应的措施，建立快速反应、快速支援安全体系；</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8、校园公共秩序管理要求</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（1）负责校园内各种公共管理，维护学校的正常教育教学及生活秩序，如制止有损学校容貌的乱建、乱贴、乱挂行为，制止车辆乱停乱放、超速行车或乱鸣喇叭的行为以及其他各种有损学校利益的事项；</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（2）秩序维护人员值班24小时，分三班执行，主要负责学校的安全保卫防范工作以及维护学校正常的教育教学秩序和消防安全等问题，工作细则包括：</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①校园内实行24小时安管值勤，固定岗和流动巡逻相结合制度。大门岗（值班室、消防控制中心）24小时值班，每班的值班人数不少于1人，制止社会不法分子进入学校，不受外界和社会不法分子侵犯，任何时间发现学生违规违纪行为都要及时制止；</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②做好安全防范措施，校园日常秩序井然有序，学校财产不受损失，校园内火灾发生率为零；师生人身安全不受侵犯，突发事件迅速得到处理解决，治安及聚众斗殴案件发生率为零；要有科学高效的突发事件（消防、治安、卫生防疫、突发自然灾害等）的应急措施和解决预案；</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③建立并严格执行来访人员询问登记制度。要控制校内施工噪音，制止喧闹现象，闲杂人员和车辆不能进入校园，物资出入及搬运、贮存要有管理，凭学校放行证明放行；</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④对突发事件有应急处理预案和措施，要有足够的人员和器械保证，平时有演习，突发事件发生时要得到及时处理，防止事态进一步恶化，保护现场，并报告学校领导，必要时及时报警；</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⑤对学校红线内外周边环境进行24小时不间断巡视；</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⑥中标单位负责校园内所有消防安全。指派消防安全责任人，所有安管员同时也是学校义务消防员，并接受定期消防培训，每半年最少进行一次消防演习；</w:t>
      </w:r>
    </w:p>
    <w:p>
      <w:pPr>
        <w:spacing w:after="78" w:afterLines="25" w:line="360" w:lineRule="auto"/>
        <w:ind w:firstLine="480" w:firstLineChars="200"/>
        <w:rPr>
          <w:rFonts w:ascii="仿宋" w:hAnsi="仿宋" w:eastAsia="仿宋" w:cs="仿宋"/>
          <w:spacing w:val="-4"/>
          <w:sz w:val="24"/>
        </w:rPr>
      </w:pPr>
      <w:r>
        <w:rPr>
          <w:rFonts w:hint="eastAsia" w:ascii="仿宋" w:hAnsi="仿宋" w:eastAsia="仿宋" w:cs="仿宋"/>
          <w:sz w:val="24"/>
        </w:rPr>
        <w:t>10、保安</w:t>
      </w:r>
      <w:r>
        <w:rPr>
          <w:rFonts w:hint="eastAsia" w:ascii="仿宋" w:hAnsi="仿宋" w:eastAsia="仿宋" w:cs="仿宋"/>
          <w:spacing w:val="-4"/>
          <w:sz w:val="24"/>
        </w:rPr>
        <w:t>员熟悉校园环境，文明执勤，言语规范，认真负责，人员稳定；严把秩序维护人员招聘关，确保保安人员政治条件和身体符合工作要求，身高1.60米以上，年龄60岁以下，没有违法犯罪记录，身体健康、形象端庄，言行举止文明；</w:t>
      </w:r>
    </w:p>
    <w:p>
      <w:pPr>
        <w:spacing w:after="78" w:afterLines="25" w:line="360" w:lineRule="auto"/>
        <w:ind w:firstLine="464" w:firstLineChars="200"/>
        <w:rPr>
          <w:rFonts w:ascii="仿宋" w:hAnsi="仿宋" w:eastAsia="仿宋" w:cs="仿宋"/>
          <w:spacing w:val="-4"/>
          <w:sz w:val="24"/>
        </w:rPr>
      </w:pPr>
      <w:r>
        <w:rPr>
          <w:rFonts w:hint="eastAsia" w:ascii="仿宋" w:hAnsi="仿宋" w:eastAsia="仿宋" w:cs="仿宋"/>
          <w:spacing w:val="-4"/>
          <w:sz w:val="24"/>
        </w:rPr>
        <w:t>11、保安除规定的物业服务范围外，还负责进出学校 10米道路交通秩序的协管，保证出通道顺畅。</w:t>
      </w:r>
    </w:p>
    <w:p>
      <w:pPr>
        <w:adjustRightInd w:val="0"/>
        <w:snapToGrid w:val="0"/>
        <w:spacing w:after="78" w:afterLines="25" w:line="360" w:lineRule="auto"/>
        <w:ind w:firstLine="482" w:firstLineChars="200"/>
        <w:rPr>
          <w:rFonts w:ascii="仿宋" w:hAnsi="仿宋" w:eastAsia="仿宋" w:cs="仿宋"/>
          <w:b/>
          <w:bCs/>
          <w:sz w:val="24"/>
        </w:rPr>
      </w:pPr>
      <w:r>
        <w:rPr>
          <w:rFonts w:hint="eastAsia" w:ascii="仿宋" w:hAnsi="仿宋" w:eastAsia="仿宋" w:cs="仿宋"/>
          <w:b/>
          <w:bCs/>
          <w:sz w:val="24"/>
        </w:rPr>
        <w:t>（三）物业服务档案资料管理</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1、建立物业服务所有档案，资料齐全，分类整理、归档管理，查阅方便；</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2、在日常管理中要建立交接班、项目故障与维修、保养等登记制度。</w:t>
      </w:r>
    </w:p>
    <w:p>
      <w:pPr>
        <w:adjustRightInd w:val="0"/>
        <w:snapToGrid w:val="0"/>
        <w:spacing w:after="78" w:afterLines="25" w:line="360" w:lineRule="auto"/>
        <w:ind w:firstLine="482" w:firstLineChars="200"/>
        <w:rPr>
          <w:rFonts w:ascii="仿宋" w:hAnsi="仿宋" w:eastAsia="仿宋" w:cs="仿宋"/>
          <w:b/>
          <w:bCs/>
          <w:sz w:val="24"/>
        </w:rPr>
      </w:pPr>
      <w:r>
        <w:rPr>
          <w:rFonts w:hint="eastAsia" w:ascii="仿宋" w:hAnsi="仿宋" w:eastAsia="仿宋" w:cs="仿宋"/>
          <w:b/>
          <w:bCs/>
          <w:sz w:val="24"/>
        </w:rPr>
        <w:t>（四）报刊、信件及物品的寄存管理</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1、学校报刊、信件的及时、准确、完整送达，做好收发登记；</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2、负责学校教师、学生及家长临时委托的物品寄存、转交，物品不遗失，保证相关人员及时收取；</w:t>
      </w:r>
    </w:p>
    <w:p>
      <w:pPr>
        <w:adjustRightInd w:val="0"/>
        <w:snapToGrid w:val="0"/>
        <w:spacing w:after="78" w:afterLines="25" w:line="360" w:lineRule="auto"/>
        <w:ind w:firstLine="482" w:firstLineChars="200"/>
        <w:rPr>
          <w:rFonts w:ascii="仿宋" w:hAnsi="仿宋" w:eastAsia="仿宋" w:cs="仿宋"/>
          <w:b/>
          <w:bCs/>
          <w:sz w:val="24"/>
        </w:rPr>
      </w:pPr>
      <w:r>
        <w:rPr>
          <w:rFonts w:hint="eastAsia" w:ascii="仿宋" w:hAnsi="仿宋" w:eastAsia="仿宋" w:cs="仿宋"/>
          <w:b/>
          <w:bCs/>
          <w:sz w:val="24"/>
        </w:rPr>
        <w:t>（五）非教育教学管理服务要求：</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1、中标单位须建立完善的质量保证体系，提供切实可行的运行管理服务的实施方案和各种措施；</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2、中标单位应当按要求配备规定的专职安全管理人员，履行学校非教育教学时间段内维护学生安全服务等的安全管理职责；</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3、中标单位的专职服务人员须接受学校指定部门的监督管理，在学校注册安全主任指导下开展工作；</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4、中标单位提供学校上学和放学时段管理服务，出入口专职管理人员负责学生的进出安全管理外，协助学校及相关部门维护学校周边的交通秩序，确保学生上放学期间的交通安全；</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5、中标单位须选派专业的管理服务人员负责实施，保证所有的工作人员都是合格，受过相应专业培训的，有解决各类事件的能力，保证所有管理服务达到专业化水平；</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6．中标单位上岗人员穿统一的制服，工作规范、作风严谨；仪表整洁，业务操作规范，礼貌待人，精神饱满,保持卫生整洁；</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7．中标单位管理服务须依法办事，文明服务，不与师生发生争吵，杜绝工作人员与师生、家长发生冲突；</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8、中标单位须负责与学校之间的管理服务信息有效传递；及时了解学校要求，并提供相应的服务；协助学校做好对外宣传、沟通工作，维护学校的良好形象；</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9、中标单位须采取切实有效措施保持服务队伍的稳定，严格控制非违纪人员轮换岗比例，一年内轮换岗人数不得超过合同编制的20%；主要管理人员更换，应提前一个月以书面形式通知学校,其他人员更换要提前六天告知学校；确保服务质量不因人员变动而受影响；</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10．中标单位人员的应聘、录用、离职等管理档案规范，手续齐全，相应资料和管理过程中所有资料须报学校备案，禁止离职人员进入校园；</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11. 中标单位人员须了解校园内环境状况和安全措施,熟悉和掌握学校内部机构的分布,联系方式。</w:t>
      </w:r>
    </w:p>
    <w:p>
      <w:pPr>
        <w:adjustRightInd w:val="0"/>
        <w:snapToGrid w:val="0"/>
        <w:spacing w:after="78" w:afterLines="25" w:line="360" w:lineRule="auto"/>
        <w:ind w:firstLine="482" w:firstLineChars="200"/>
        <w:rPr>
          <w:rFonts w:hint="eastAsia" w:ascii="仿宋" w:hAnsi="仿宋" w:eastAsia="仿宋" w:cs="仿宋"/>
          <w:b/>
          <w:sz w:val="24"/>
        </w:rPr>
      </w:pPr>
      <w:r>
        <w:rPr>
          <w:rFonts w:hint="eastAsia" w:ascii="仿宋" w:hAnsi="仿宋" w:eastAsia="仿宋" w:cs="仿宋"/>
          <w:b/>
          <w:sz w:val="24"/>
        </w:rPr>
        <w:t>（六）法律、法规和委托管理合同规定的其他物业管理服务</w:t>
      </w:r>
    </w:p>
    <w:p>
      <w:pPr>
        <w:spacing w:after="78" w:afterLines="25" w:line="360" w:lineRule="auto"/>
        <w:outlineLvl w:val="2"/>
        <w:rPr>
          <w:rFonts w:ascii="仿宋" w:hAnsi="仿宋" w:eastAsia="仿宋" w:cs="仿宋"/>
          <w:b/>
          <w:sz w:val="28"/>
          <w:szCs w:val="24"/>
        </w:rPr>
      </w:pPr>
      <w:r>
        <w:rPr>
          <w:rFonts w:hint="eastAsia" w:ascii="仿宋" w:hAnsi="仿宋" w:eastAsia="仿宋" w:cs="仿宋"/>
          <w:b/>
          <w:bCs/>
          <w:sz w:val="28"/>
          <w:szCs w:val="24"/>
        </w:rPr>
        <w:t>四、</w:t>
      </w:r>
      <w:r>
        <w:rPr>
          <w:rFonts w:hint="eastAsia" w:ascii="仿宋" w:hAnsi="仿宋" w:eastAsia="仿宋" w:cs="仿宋"/>
          <w:b/>
          <w:sz w:val="28"/>
          <w:szCs w:val="24"/>
        </w:rPr>
        <w:t>服务技术标准</w:t>
      </w:r>
    </w:p>
    <w:p>
      <w:pPr>
        <w:autoSpaceDE w:val="0"/>
        <w:autoSpaceDN w:val="0"/>
        <w:spacing w:after="78" w:afterLines="25" w:line="360" w:lineRule="auto"/>
        <w:ind w:firstLine="616" w:firstLineChars="257"/>
        <w:jc w:val="left"/>
        <w:rPr>
          <w:rFonts w:ascii="仿宋" w:hAnsi="仿宋" w:eastAsia="仿宋" w:cs="仿宋"/>
          <w:sz w:val="24"/>
        </w:rPr>
      </w:pPr>
      <w:r>
        <w:rPr>
          <w:rFonts w:hint="eastAsia" w:ascii="仿宋" w:hAnsi="仿宋" w:eastAsia="仿宋" w:cs="仿宋"/>
          <w:sz w:val="24"/>
        </w:rPr>
        <w:t>1、严格遵循《深圳市物业管理条例》、</w:t>
      </w:r>
      <w:r>
        <w:rPr>
          <w:rFonts w:hint="eastAsia" w:ascii="仿宋" w:hAnsi="仿宋" w:eastAsia="仿宋" w:cs="仿宋"/>
          <w:color w:val="353535"/>
          <w:kern w:val="0"/>
          <w:sz w:val="24"/>
        </w:rPr>
        <w:t>《〈深圳市学校安全管理条例〉实施细则》、</w:t>
      </w:r>
      <w:r>
        <w:rPr>
          <w:rFonts w:hint="eastAsia" w:ascii="仿宋" w:hAnsi="仿宋" w:eastAsia="仿宋" w:cs="仿宋"/>
          <w:sz w:val="24"/>
        </w:rPr>
        <w:t>《深圳市物业管理考核评比标准》</w:t>
      </w:r>
      <w:r>
        <w:rPr>
          <w:rFonts w:hint="eastAsia" w:ascii="仿宋" w:hAnsi="仿宋" w:eastAsia="仿宋" w:cs="仿宋"/>
          <w:color w:val="000000"/>
          <w:kern w:val="0"/>
          <w:sz w:val="24"/>
        </w:rPr>
        <w:t>有关规定和</w:t>
      </w:r>
      <w:r>
        <w:rPr>
          <w:rFonts w:hint="eastAsia" w:ascii="仿宋" w:hAnsi="仿宋" w:eastAsia="仿宋" w:cs="仿宋"/>
          <w:sz w:val="24"/>
        </w:rPr>
        <w:t>要求，利用现代化管理手段进行管理服务；</w:t>
      </w:r>
    </w:p>
    <w:p>
      <w:pPr>
        <w:autoSpaceDE w:val="0"/>
        <w:autoSpaceDN w:val="0"/>
        <w:spacing w:after="78" w:afterLines="25" w:line="360" w:lineRule="auto"/>
        <w:ind w:firstLine="616" w:firstLineChars="257"/>
        <w:jc w:val="left"/>
        <w:rPr>
          <w:rFonts w:ascii="仿宋" w:hAnsi="仿宋" w:eastAsia="仿宋" w:cs="仿宋"/>
          <w:sz w:val="24"/>
        </w:rPr>
      </w:pPr>
      <w:r>
        <w:rPr>
          <w:rFonts w:hint="eastAsia" w:ascii="仿宋" w:hAnsi="仿宋" w:eastAsia="仿宋" w:cs="仿宋"/>
          <w:sz w:val="24"/>
        </w:rPr>
        <w:t>2、无因管理服务造成的安全事故、质量事故；</w:t>
      </w:r>
    </w:p>
    <w:p>
      <w:pPr>
        <w:autoSpaceDE w:val="0"/>
        <w:autoSpaceDN w:val="0"/>
        <w:spacing w:after="78" w:afterLines="25" w:line="360" w:lineRule="auto"/>
        <w:ind w:firstLine="616" w:firstLineChars="257"/>
        <w:jc w:val="left"/>
        <w:rPr>
          <w:rFonts w:ascii="仿宋" w:hAnsi="仿宋" w:eastAsia="仿宋" w:cs="仿宋"/>
          <w:sz w:val="24"/>
        </w:rPr>
      </w:pPr>
      <w:r>
        <w:rPr>
          <w:rFonts w:hint="eastAsia" w:ascii="仿宋" w:hAnsi="仿宋" w:eastAsia="仿宋" w:cs="仿宋"/>
          <w:sz w:val="24"/>
        </w:rPr>
        <w:t>3、确保学生安全，让学校满意、家长放心，服务的满意率达95%以上；</w:t>
      </w:r>
    </w:p>
    <w:p>
      <w:pPr>
        <w:autoSpaceDE w:val="0"/>
        <w:autoSpaceDN w:val="0"/>
        <w:spacing w:after="78" w:afterLines="25" w:line="360" w:lineRule="auto"/>
        <w:ind w:firstLine="616" w:firstLineChars="257"/>
        <w:jc w:val="left"/>
        <w:rPr>
          <w:rFonts w:ascii="仿宋" w:hAnsi="仿宋" w:eastAsia="仿宋" w:cs="仿宋"/>
          <w:sz w:val="24"/>
        </w:rPr>
      </w:pPr>
      <w:r>
        <w:rPr>
          <w:rFonts w:hint="eastAsia" w:ascii="仿宋" w:hAnsi="仿宋" w:eastAsia="仿宋" w:cs="仿宋"/>
          <w:sz w:val="24"/>
        </w:rPr>
        <w:t>4、有效投诉处理率100%；</w:t>
      </w:r>
    </w:p>
    <w:p>
      <w:pPr>
        <w:autoSpaceDE w:val="0"/>
        <w:autoSpaceDN w:val="0"/>
        <w:spacing w:after="78" w:afterLines="25" w:line="360" w:lineRule="auto"/>
        <w:ind w:firstLine="616" w:firstLineChars="257"/>
        <w:jc w:val="left"/>
        <w:rPr>
          <w:rFonts w:ascii="仿宋" w:hAnsi="仿宋" w:eastAsia="仿宋" w:cs="仿宋"/>
          <w:sz w:val="24"/>
        </w:rPr>
      </w:pPr>
      <w:r>
        <w:rPr>
          <w:rFonts w:hint="eastAsia" w:ascii="仿宋" w:hAnsi="仿宋" w:eastAsia="仿宋" w:cs="仿宋"/>
          <w:sz w:val="24"/>
        </w:rPr>
        <w:t>5、有效投诉率低于1%；</w:t>
      </w:r>
    </w:p>
    <w:p>
      <w:pPr>
        <w:autoSpaceDE w:val="0"/>
        <w:autoSpaceDN w:val="0"/>
        <w:spacing w:after="78" w:afterLines="25" w:line="360" w:lineRule="auto"/>
        <w:ind w:firstLine="616" w:firstLineChars="257"/>
        <w:jc w:val="left"/>
        <w:rPr>
          <w:rFonts w:ascii="仿宋" w:hAnsi="仿宋" w:eastAsia="仿宋" w:cs="仿宋"/>
          <w:b/>
          <w:bCs/>
          <w:sz w:val="24"/>
        </w:rPr>
      </w:pPr>
      <w:r>
        <w:rPr>
          <w:rFonts w:hint="eastAsia" w:ascii="仿宋" w:hAnsi="仿宋" w:eastAsia="仿宋" w:cs="仿宋"/>
          <w:sz w:val="24"/>
        </w:rPr>
        <w:t>6、管理服务人员配置符合采购单位要求，持证上岗率100%；</w:t>
      </w:r>
    </w:p>
    <w:p>
      <w:pPr>
        <w:spacing w:after="78" w:afterLines="25" w:line="360" w:lineRule="auto"/>
        <w:ind w:firstLine="600" w:firstLineChars="250"/>
        <w:rPr>
          <w:rFonts w:ascii="仿宋" w:hAnsi="仿宋" w:eastAsia="仿宋" w:cs="仿宋"/>
          <w:sz w:val="24"/>
        </w:rPr>
      </w:pPr>
      <w:r>
        <w:rPr>
          <w:rFonts w:hint="eastAsia" w:ascii="仿宋" w:hAnsi="仿宋" w:eastAsia="仿宋" w:cs="仿宋"/>
          <w:sz w:val="24"/>
        </w:rPr>
        <w:t>7、环境卫生达标率95%；</w:t>
      </w:r>
    </w:p>
    <w:p>
      <w:pPr>
        <w:spacing w:after="78" w:afterLines="25" w:line="360" w:lineRule="auto"/>
        <w:outlineLvl w:val="2"/>
        <w:rPr>
          <w:rFonts w:hint="eastAsia" w:ascii="仿宋" w:hAnsi="仿宋" w:eastAsia="仿宋" w:cs="仿宋"/>
          <w:b/>
          <w:bCs/>
          <w:sz w:val="28"/>
          <w:szCs w:val="24"/>
        </w:rPr>
      </w:pPr>
      <w:r>
        <w:rPr>
          <w:rFonts w:hint="eastAsia" w:ascii="仿宋" w:hAnsi="仿宋" w:eastAsia="仿宋" w:cs="仿宋"/>
          <w:b/>
          <w:bCs/>
          <w:sz w:val="28"/>
          <w:szCs w:val="24"/>
        </w:rPr>
        <w:t>五、人员要求</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1、依据项目物业管理服务的特点，构建精简、高效、专业、合理的管理和组织架构；</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2、依据精干、高效、一专多能、忠于职守的原则配备人员，并结合学校办公运行特点，编制员工行为规范和操作性强的服务方案；</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3、组织架构科学、合理，保证管理落实到位；各部门具有明确的分工和职责要求；</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4、服务人员经常性培训，包括进驻前培训、过程培训、技术培训、专业演练、法规知识培训等；</w:t>
      </w:r>
    </w:p>
    <w:p>
      <w:pPr>
        <w:adjustRightInd w:val="0"/>
        <w:snapToGrid w:val="0"/>
        <w:spacing w:after="78" w:afterLines="25" w:line="360" w:lineRule="auto"/>
        <w:ind w:firstLine="480" w:firstLineChars="200"/>
        <w:rPr>
          <w:rFonts w:ascii="仿宋" w:hAnsi="仿宋" w:eastAsia="仿宋" w:cs="仿宋"/>
          <w:sz w:val="24"/>
        </w:rPr>
      </w:pPr>
      <w:r>
        <w:rPr>
          <w:rFonts w:hint="eastAsia" w:ascii="仿宋" w:hAnsi="仿宋" w:eastAsia="仿宋" w:cs="仿宋"/>
          <w:bCs/>
          <w:sz w:val="24"/>
        </w:rPr>
        <w:t>5、配备人</w:t>
      </w:r>
      <w:r>
        <w:rPr>
          <w:rFonts w:hint="eastAsia" w:ascii="仿宋" w:hAnsi="仿宋" w:eastAsia="仿宋" w:cs="仿宋"/>
          <w:sz w:val="24"/>
        </w:rPr>
        <w:t>数必须满足采购方的工作需求，如人员配备不足导致项目无法正常运作由中标方承担责任。</w:t>
      </w:r>
    </w:p>
    <w:tbl>
      <w:tblPr>
        <w:tblStyle w:val="16"/>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5"/>
        <w:gridCol w:w="908"/>
        <w:gridCol w:w="4847"/>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b/>
                <w:sz w:val="24"/>
              </w:rPr>
            </w:pPr>
            <w:r>
              <w:rPr>
                <w:rFonts w:hint="eastAsia" w:ascii="仿宋" w:hAnsi="仿宋" w:eastAsia="仿宋" w:cs="仿宋"/>
                <w:b/>
                <w:sz w:val="24"/>
              </w:rPr>
              <w:t>序号</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b/>
                <w:sz w:val="24"/>
              </w:rPr>
            </w:pPr>
            <w:r>
              <w:rPr>
                <w:rFonts w:hint="eastAsia" w:ascii="仿宋" w:hAnsi="仿宋" w:eastAsia="仿宋" w:cs="仿宋"/>
                <w:b/>
                <w:sz w:val="24"/>
              </w:rPr>
              <w:t>岗位</w:t>
            </w:r>
          </w:p>
        </w:tc>
        <w:tc>
          <w:tcPr>
            <w:tcW w:w="9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b/>
                <w:sz w:val="24"/>
              </w:rPr>
            </w:pPr>
            <w:r>
              <w:rPr>
                <w:rFonts w:hint="eastAsia" w:ascii="仿宋" w:hAnsi="仿宋" w:eastAsia="仿宋" w:cs="仿宋"/>
                <w:b/>
                <w:sz w:val="24"/>
              </w:rPr>
              <w:t>最低人数</w:t>
            </w:r>
          </w:p>
        </w:tc>
        <w:tc>
          <w:tcPr>
            <w:tcW w:w="4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b/>
                <w:sz w:val="24"/>
              </w:rPr>
            </w:pPr>
            <w:r>
              <w:rPr>
                <w:rFonts w:hint="eastAsia" w:ascii="仿宋" w:hAnsi="仿宋" w:eastAsia="仿宋" w:cs="仿宋"/>
                <w:b/>
                <w:sz w:val="24"/>
              </w:rPr>
              <w:t>人员要求</w:t>
            </w:r>
          </w:p>
        </w:tc>
        <w:tc>
          <w:tcPr>
            <w:tcW w:w="8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r>
              <w:rPr>
                <w:rFonts w:hint="eastAsia" w:ascii="仿宋" w:hAnsi="仿宋" w:eastAsia="仿宋" w:cs="仿宋"/>
                <w:sz w:val="24"/>
              </w:rPr>
              <w:t>1</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r>
              <w:rPr>
                <w:rFonts w:hint="eastAsia" w:ascii="仿宋" w:hAnsi="仿宋" w:eastAsia="仿宋" w:cs="仿宋"/>
                <w:sz w:val="24"/>
              </w:rPr>
              <w:t>项目经理兼保安队长</w:t>
            </w:r>
          </w:p>
        </w:tc>
        <w:tc>
          <w:tcPr>
            <w:tcW w:w="9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r>
              <w:rPr>
                <w:rFonts w:hint="eastAsia" w:ascii="仿宋" w:hAnsi="仿宋" w:eastAsia="仿宋" w:cs="仿宋"/>
                <w:sz w:val="24"/>
              </w:rPr>
              <w:t>1人</w:t>
            </w:r>
          </w:p>
        </w:tc>
        <w:tc>
          <w:tcPr>
            <w:tcW w:w="4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rPr>
                <w:rFonts w:ascii="仿宋" w:hAnsi="仿宋" w:eastAsia="仿宋" w:cs="仿宋"/>
                <w:sz w:val="24"/>
              </w:rPr>
            </w:pPr>
            <w:r>
              <w:rPr>
                <w:rFonts w:hint="eastAsia" w:ascii="仿宋" w:hAnsi="仿宋" w:eastAsia="仿宋" w:cs="仿宋"/>
                <w:sz w:val="24"/>
              </w:rPr>
              <w:t>有较强的管理能力和工作经验，能够充分调动全体员工的积极性，善于管理、善于沟通。</w:t>
            </w:r>
          </w:p>
        </w:tc>
        <w:tc>
          <w:tcPr>
            <w:tcW w:w="8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r>
              <w:rPr>
                <w:rFonts w:hint="eastAsia" w:ascii="仿宋" w:hAnsi="仿宋" w:eastAsia="仿宋" w:cs="仿宋"/>
                <w:sz w:val="24"/>
              </w:rPr>
              <w:t>2</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r>
              <w:rPr>
                <w:rFonts w:hint="eastAsia" w:ascii="仿宋" w:hAnsi="仿宋" w:eastAsia="仿宋" w:cs="仿宋"/>
                <w:sz w:val="24"/>
              </w:rPr>
              <w:t>保安员</w:t>
            </w:r>
          </w:p>
        </w:tc>
        <w:tc>
          <w:tcPr>
            <w:tcW w:w="9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r>
              <w:rPr>
                <w:rFonts w:hint="eastAsia" w:ascii="仿宋" w:hAnsi="仿宋" w:eastAsia="仿宋" w:cs="仿宋"/>
                <w:sz w:val="24"/>
              </w:rPr>
              <w:t>2人</w:t>
            </w:r>
          </w:p>
        </w:tc>
        <w:tc>
          <w:tcPr>
            <w:tcW w:w="4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rPr>
                <w:rFonts w:ascii="仿宋" w:hAnsi="仿宋" w:eastAsia="仿宋" w:cs="仿宋"/>
                <w:sz w:val="24"/>
              </w:rPr>
            </w:pPr>
            <w:r>
              <w:rPr>
                <w:rFonts w:hint="eastAsia" w:ascii="仿宋" w:hAnsi="仿宋" w:eastAsia="仿宋" w:cs="仿宋"/>
                <w:sz w:val="24"/>
              </w:rPr>
              <w:t>身体健康，体貌端正，有责任心，有处理突发事故的经验和学校安全管理工作经历。须持有相关岗位的上岗证件，着装及仪态作风须正规。保安员应知法，懂法，守法，依法办事，必须严格遵守秩序维护从业规范，模范遵守校园安全管理规定。</w:t>
            </w:r>
          </w:p>
        </w:tc>
        <w:tc>
          <w:tcPr>
            <w:tcW w:w="8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r>
              <w:rPr>
                <w:rFonts w:hint="eastAsia" w:ascii="仿宋" w:hAnsi="仿宋" w:eastAsia="仿宋" w:cs="仿宋"/>
                <w:sz w:val="24"/>
              </w:rPr>
              <w:t>3</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r>
              <w:rPr>
                <w:rFonts w:hint="eastAsia" w:ascii="仿宋" w:hAnsi="仿宋" w:eastAsia="仿宋" w:cs="仿宋"/>
                <w:sz w:val="24"/>
              </w:rPr>
              <w:t>保洁员</w:t>
            </w:r>
          </w:p>
        </w:tc>
        <w:tc>
          <w:tcPr>
            <w:tcW w:w="9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r>
              <w:rPr>
                <w:rFonts w:hint="eastAsia" w:ascii="仿宋" w:hAnsi="仿宋" w:eastAsia="仿宋" w:cs="仿宋"/>
                <w:sz w:val="24"/>
              </w:rPr>
              <w:t>2人</w:t>
            </w:r>
          </w:p>
        </w:tc>
        <w:tc>
          <w:tcPr>
            <w:tcW w:w="4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rPr>
                <w:rFonts w:ascii="仿宋" w:hAnsi="仿宋" w:eastAsia="仿宋" w:cs="仿宋"/>
                <w:sz w:val="24"/>
              </w:rPr>
            </w:pPr>
            <w:r>
              <w:rPr>
                <w:rFonts w:hint="eastAsia" w:ascii="仿宋" w:hAnsi="仿宋" w:eastAsia="仿宋" w:cs="仿宋"/>
                <w:sz w:val="24"/>
              </w:rPr>
              <w:t>要求身体健康，仪表整洁，礼貌和蔼，有良好素养和职业道德。</w:t>
            </w:r>
          </w:p>
        </w:tc>
        <w:tc>
          <w:tcPr>
            <w:tcW w:w="8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r>
              <w:rPr>
                <w:rFonts w:hint="eastAsia" w:ascii="仿宋" w:hAnsi="仿宋" w:eastAsia="仿宋" w:cs="仿宋"/>
                <w:sz w:val="24"/>
              </w:rPr>
              <w:t>4</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非教管理员</w:t>
            </w:r>
          </w:p>
        </w:tc>
        <w:tc>
          <w:tcPr>
            <w:tcW w:w="9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2人</w:t>
            </w:r>
          </w:p>
        </w:tc>
        <w:tc>
          <w:tcPr>
            <w:tcW w:w="4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有较高的政治思想素养和业务水平，谈吐文雅、无不良嗜好，品行端正，责任心强，具较强的组织、沟通、协调能力，有相关工作经验优先。</w:t>
            </w:r>
          </w:p>
        </w:tc>
        <w:tc>
          <w:tcPr>
            <w:tcW w:w="8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307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总人数</w:t>
            </w:r>
          </w:p>
        </w:tc>
        <w:tc>
          <w:tcPr>
            <w:tcW w:w="4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7人</w:t>
            </w:r>
          </w:p>
        </w:tc>
        <w:tc>
          <w:tcPr>
            <w:tcW w:w="8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78" w:beforeLines="25" w:after="78" w:afterLines="25" w:line="360" w:lineRule="auto"/>
              <w:jc w:val="center"/>
              <w:rPr>
                <w:rFonts w:ascii="仿宋" w:hAnsi="仿宋" w:eastAsia="仿宋" w:cs="仿宋"/>
                <w:sz w:val="24"/>
              </w:rPr>
            </w:pPr>
          </w:p>
        </w:tc>
      </w:tr>
    </w:tbl>
    <w:p>
      <w:pPr>
        <w:spacing w:after="78" w:afterLines="25" w:line="360" w:lineRule="auto"/>
        <w:rPr>
          <w:rFonts w:ascii="仿宋" w:hAnsi="仿宋" w:eastAsia="仿宋" w:cs="仿宋"/>
          <w:b/>
          <w:bCs/>
          <w:sz w:val="24"/>
        </w:rPr>
      </w:pPr>
    </w:p>
    <w:p>
      <w:pPr>
        <w:spacing w:after="78" w:afterLines="25" w:line="360" w:lineRule="auto"/>
        <w:outlineLvl w:val="2"/>
        <w:rPr>
          <w:rFonts w:hint="eastAsia" w:ascii="仿宋" w:hAnsi="仿宋" w:eastAsia="仿宋" w:cs="仿宋"/>
          <w:b/>
          <w:bCs/>
          <w:sz w:val="28"/>
          <w:szCs w:val="24"/>
        </w:rPr>
      </w:pPr>
      <w:r>
        <w:rPr>
          <w:rFonts w:hint="eastAsia" w:ascii="仿宋" w:hAnsi="仿宋" w:eastAsia="仿宋" w:cs="仿宋"/>
          <w:b/>
          <w:bCs/>
          <w:sz w:val="28"/>
          <w:szCs w:val="24"/>
        </w:rPr>
        <w:t>六、考核办法</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学校每月安排专门考评人员对物业管理服务状况进行量化考评。学校考评人员按照“物业管理服务完成状况量化考评表”每日进行巡检，并将巡检情况记录在“物业服务完成状况日检表”中，学校与物业公司服务代表每月10号前依据“物业服务完成状况日检表”进行每月汇总，汇总结果经双方代表核实签字后生效。每月汇总得分90分以上，全额支付当月物业服务费；月得分80分以下，每低1分，扣除当月物业服务费的0.3%，同时服务单位必须进行整改；得分60分以下，校方有权单方面解除合同，除因上述扣分扣除的服务费外，校方有权对物业服务单位处以合同金额10%的违约金。</w:t>
      </w:r>
    </w:p>
    <w:p>
      <w:pPr>
        <w:spacing w:after="78" w:afterLines="25" w:line="360" w:lineRule="auto"/>
        <w:rPr>
          <w:rFonts w:hint="eastAsia" w:ascii="仿宋" w:hAnsi="仿宋" w:eastAsia="仿宋" w:cs="仿宋"/>
          <w:sz w:val="24"/>
          <w:lang w:val="en-US" w:eastAsia="zh-CN"/>
        </w:rPr>
      </w:pPr>
    </w:p>
    <w:p>
      <w:pPr>
        <w:spacing w:after="78" w:afterLines="25"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服务完成状况量化考评表</w:t>
      </w:r>
    </w:p>
    <w:tbl>
      <w:tblPr>
        <w:tblStyle w:val="16"/>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854"/>
        <w:gridCol w:w="4719"/>
        <w:gridCol w:w="916"/>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auto"/>
            <w:vAlign w:val="center"/>
          </w:tcPr>
          <w:p>
            <w:pPr>
              <w:spacing w:after="120"/>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854"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b/>
                <w:sz w:val="24"/>
                <w:szCs w:val="24"/>
              </w:rPr>
              <w:t>检查项目</w:t>
            </w:r>
          </w:p>
        </w:tc>
        <w:tc>
          <w:tcPr>
            <w:tcW w:w="4719"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b/>
                <w:sz w:val="24"/>
                <w:szCs w:val="24"/>
              </w:rPr>
              <w:t>检查标准</w:t>
            </w:r>
          </w:p>
        </w:tc>
        <w:tc>
          <w:tcPr>
            <w:tcW w:w="916" w:type="dxa"/>
            <w:shd w:val="clear" w:color="auto" w:fill="auto"/>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b/>
                <w:spacing w:val="-10"/>
                <w:sz w:val="24"/>
                <w:szCs w:val="24"/>
              </w:rPr>
              <w:t>评分标准</w:t>
            </w:r>
          </w:p>
        </w:tc>
        <w:tc>
          <w:tcPr>
            <w:tcW w:w="1061"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b/>
                <w:sz w:val="24"/>
                <w:szCs w:val="24"/>
              </w:rPr>
              <w:t>考评得分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pacing w:val="-10"/>
                <w:sz w:val="24"/>
                <w:szCs w:val="24"/>
              </w:rPr>
              <w:t>1</w:t>
            </w:r>
          </w:p>
        </w:tc>
        <w:tc>
          <w:tcPr>
            <w:tcW w:w="1854"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人员巡检（10分）</w:t>
            </w:r>
          </w:p>
        </w:tc>
        <w:tc>
          <w:tcPr>
            <w:tcW w:w="4719"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当值员工每日巡检职责范围内工作，认真检查各项工作，无漏项，无敷衍了事现象。有巡检内容记录，记录内容填写认真、详细、真实；不合格项有跟踪措施及处理结果记录。</w:t>
            </w:r>
          </w:p>
        </w:tc>
        <w:tc>
          <w:tcPr>
            <w:tcW w:w="916" w:type="dxa"/>
            <w:vMerge w:val="restart"/>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一处不合格扣0.5分，扣完为止</w:t>
            </w:r>
          </w:p>
        </w:tc>
        <w:tc>
          <w:tcPr>
            <w:tcW w:w="1061" w:type="dxa"/>
            <w:shd w:val="clear" w:color="auto" w:fill="auto"/>
            <w:vAlign w:val="center"/>
          </w:tcPr>
          <w:p>
            <w:pPr>
              <w:spacing w:after="12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pacing w:val="-20"/>
                <w:w w:val="90"/>
                <w:sz w:val="24"/>
                <w:szCs w:val="24"/>
              </w:rPr>
              <w:t>2</w:t>
            </w:r>
          </w:p>
        </w:tc>
        <w:tc>
          <w:tcPr>
            <w:tcW w:w="1854"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服务电话（5分）</w:t>
            </w:r>
          </w:p>
        </w:tc>
        <w:tc>
          <w:tcPr>
            <w:tcW w:w="4719"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值班时间当班人员电话保持畅通，铃响三声内能及时接听，接听时语言规范、礼貌，值班时间不拨打、接听私人电话。</w:t>
            </w:r>
          </w:p>
        </w:tc>
        <w:tc>
          <w:tcPr>
            <w:tcW w:w="916" w:type="dxa"/>
            <w:vMerge w:val="continue"/>
            <w:shd w:val="clear" w:color="auto" w:fill="auto"/>
            <w:vAlign w:val="center"/>
          </w:tcPr>
          <w:p>
            <w:pPr>
              <w:spacing w:after="120"/>
              <w:rPr>
                <w:rFonts w:hint="eastAsia" w:ascii="仿宋" w:hAnsi="仿宋" w:eastAsia="仿宋" w:cs="仿宋"/>
                <w:sz w:val="24"/>
                <w:szCs w:val="24"/>
              </w:rPr>
            </w:pPr>
          </w:p>
        </w:tc>
        <w:tc>
          <w:tcPr>
            <w:tcW w:w="1061" w:type="dxa"/>
            <w:shd w:val="clear" w:color="auto" w:fill="auto"/>
            <w:vAlign w:val="center"/>
          </w:tcPr>
          <w:p>
            <w:pPr>
              <w:spacing w:after="12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pacing w:val="-20"/>
                <w:w w:val="90"/>
                <w:sz w:val="24"/>
                <w:szCs w:val="24"/>
              </w:rPr>
              <w:t>3</w:t>
            </w:r>
          </w:p>
        </w:tc>
        <w:tc>
          <w:tcPr>
            <w:tcW w:w="1854"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值班纪律（10分）</w:t>
            </w:r>
          </w:p>
        </w:tc>
        <w:tc>
          <w:tcPr>
            <w:tcW w:w="4719"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有值班安排，值班制度，有值班记录，无私自离岗、脱岗，加班有申请，请假有审批。</w:t>
            </w:r>
          </w:p>
        </w:tc>
        <w:tc>
          <w:tcPr>
            <w:tcW w:w="916" w:type="dxa"/>
            <w:vMerge w:val="continue"/>
            <w:shd w:val="clear" w:color="auto" w:fill="auto"/>
            <w:vAlign w:val="center"/>
          </w:tcPr>
          <w:p>
            <w:pPr>
              <w:spacing w:after="120"/>
              <w:rPr>
                <w:rFonts w:hint="eastAsia" w:ascii="仿宋" w:hAnsi="仿宋" w:eastAsia="仿宋" w:cs="仿宋"/>
                <w:sz w:val="24"/>
                <w:szCs w:val="24"/>
              </w:rPr>
            </w:pPr>
          </w:p>
        </w:tc>
        <w:tc>
          <w:tcPr>
            <w:tcW w:w="1061" w:type="dxa"/>
            <w:shd w:val="clear" w:color="auto" w:fill="auto"/>
            <w:vAlign w:val="center"/>
          </w:tcPr>
          <w:p>
            <w:pPr>
              <w:spacing w:after="12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pacing w:val="-20"/>
                <w:w w:val="90"/>
                <w:sz w:val="24"/>
                <w:szCs w:val="24"/>
              </w:rPr>
              <w:t>4</w:t>
            </w:r>
          </w:p>
        </w:tc>
        <w:tc>
          <w:tcPr>
            <w:tcW w:w="1854"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工作有计划并如期实施（5分）</w:t>
            </w:r>
          </w:p>
        </w:tc>
        <w:tc>
          <w:tcPr>
            <w:tcW w:w="4719"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有月度工作计划和月度工作落实方案；计划与实际实施情况相符，有记录，工作按时完成，特殊情况有标注说明。</w:t>
            </w:r>
          </w:p>
        </w:tc>
        <w:tc>
          <w:tcPr>
            <w:tcW w:w="916" w:type="dxa"/>
            <w:vMerge w:val="continue"/>
            <w:shd w:val="clear" w:color="auto" w:fill="auto"/>
            <w:vAlign w:val="center"/>
          </w:tcPr>
          <w:p>
            <w:pPr>
              <w:spacing w:after="120"/>
              <w:rPr>
                <w:rFonts w:hint="eastAsia" w:ascii="仿宋" w:hAnsi="仿宋" w:eastAsia="仿宋" w:cs="仿宋"/>
                <w:sz w:val="24"/>
                <w:szCs w:val="24"/>
              </w:rPr>
            </w:pPr>
          </w:p>
        </w:tc>
        <w:tc>
          <w:tcPr>
            <w:tcW w:w="1061" w:type="dxa"/>
            <w:shd w:val="clear" w:color="auto" w:fill="auto"/>
            <w:vAlign w:val="center"/>
          </w:tcPr>
          <w:p>
            <w:pPr>
              <w:spacing w:after="12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pacing w:val="-20"/>
                <w:w w:val="90"/>
                <w:sz w:val="24"/>
                <w:szCs w:val="24"/>
              </w:rPr>
              <w:t>5</w:t>
            </w:r>
          </w:p>
        </w:tc>
        <w:tc>
          <w:tcPr>
            <w:tcW w:w="1854"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培训计划（5分）</w:t>
            </w:r>
          </w:p>
        </w:tc>
        <w:tc>
          <w:tcPr>
            <w:tcW w:w="4719"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有月培训计划，计划合理，月度计划明确，责任到人；能按计划如期落实培训，培训有记录，有考核。</w:t>
            </w:r>
          </w:p>
        </w:tc>
        <w:tc>
          <w:tcPr>
            <w:tcW w:w="916" w:type="dxa"/>
            <w:vMerge w:val="continue"/>
            <w:shd w:val="clear" w:color="auto" w:fill="auto"/>
            <w:vAlign w:val="center"/>
          </w:tcPr>
          <w:p>
            <w:pPr>
              <w:spacing w:after="120"/>
              <w:rPr>
                <w:rFonts w:hint="eastAsia" w:ascii="仿宋" w:hAnsi="仿宋" w:eastAsia="仿宋" w:cs="仿宋"/>
                <w:sz w:val="24"/>
                <w:szCs w:val="24"/>
              </w:rPr>
            </w:pPr>
          </w:p>
        </w:tc>
        <w:tc>
          <w:tcPr>
            <w:tcW w:w="1061" w:type="dxa"/>
            <w:shd w:val="clear" w:color="auto" w:fill="auto"/>
            <w:vAlign w:val="center"/>
          </w:tcPr>
          <w:p>
            <w:pPr>
              <w:spacing w:after="12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pacing w:val="-20"/>
                <w:w w:val="90"/>
                <w:sz w:val="24"/>
                <w:szCs w:val="24"/>
              </w:rPr>
              <w:t>6</w:t>
            </w:r>
          </w:p>
        </w:tc>
        <w:tc>
          <w:tcPr>
            <w:tcW w:w="1854"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客户信息（5分）</w:t>
            </w:r>
          </w:p>
        </w:tc>
        <w:tc>
          <w:tcPr>
            <w:tcW w:w="4719"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信息处理记录完整，执行信息保密制度；能及时更新客户信息表；对提出请求、投诉的客户有反馈处理结果。</w:t>
            </w:r>
          </w:p>
        </w:tc>
        <w:tc>
          <w:tcPr>
            <w:tcW w:w="916" w:type="dxa"/>
            <w:vMerge w:val="continue"/>
            <w:shd w:val="clear" w:color="auto" w:fill="auto"/>
            <w:vAlign w:val="center"/>
          </w:tcPr>
          <w:p>
            <w:pPr>
              <w:spacing w:after="120"/>
              <w:rPr>
                <w:rFonts w:hint="eastAsia" w:ascii="仿宋" w:hAnsi="仿宋" w:eastAsia="仿宋" w:cs="仿宋"/>
                <w:sz w:val="24"/>
                <w:szCs w:val="24"/>
              </w:rPr>
            </w:pPr>
          </w:p>
        </w:tc>
        <w:tc>
          <w:tcPr>
            <w:tcW w:w="1061" w:type="dxa"/>
            <w:shd w:val="clear" w:color="auto" w:fill="auto"/>
            <w:vAlign w:val="center"/>
          </w:tcPr>
          <w:p>
            <w:pPr>
              <w:spacing w:after="12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pacing w:val="-20"/>
                <w:w w:val="90"/>
                <w:sz w:val="24"/>
                <w:szCs w:val="24"/>
              </w:rPr>
              <w:t>7</w:t>
            </w:r>
          </w:p>
        </w:tc>
        <w:tc>
          <w:tcPr>
            <w:tcW w:w="1854"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言谈举止文明（10分）</w:t>
            </w:r>
          </w:p>
        </w:tc>
        <w:tc>
          <w:tcPr>
            <w:tcW w:w="4719"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员工熟知文明礼貌用语，并熟练运用；对客户以礼相待，热情、周到、大方接待客户，不与客户发生争吵。</w:t>
            </w:r>
          </w:p>
        </w:tc>
        <w:tc>
          <w:tcPr>
            <w:tcW w:w="916" w:type="dxa"/>
            <w:vMerge w:val="continue"/>
            <w:shd w:val="clear" w:color="auto" w:fill="auto"/>
            <w:vAlign w:val="center"/>
          </w:tcPr>
          <w:p>
            <w:pPr>
              <w:spacing w:after="120"/>
              <w:rPr>
                <w:rFonts w:hint="eastAsia" w:ascii="仿宋" w:hAnsi="仿宋" w:eastAsia="仿宋" w:cs="仿宋"/>
                <w:sz w:val="24"/>
                <w:szCs w:val="24"/>
              </w:rPr>
            </w:pPr>
          </w:p>
        </w:tc>
        <w:tc>
          <w:tcPr>
            <w:tcW w:w="1061" w:type="dxa"/>
            <w:shd w:val="clear" w:color="auto" w:fill="auto"/>
            <w:vAlign w:val="center"/>
          </w:tcPr>
          <w:p>
            <w:pPr>
              <w:spacing w:after="12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pacing w:val="-20"/>
                <w:w w:val="90"/>
                <w:sz w:val="24"/>
                <w:szCs w:val="24"/>
              </w:rPr>
              <w:t>8</w:t>
            </w:r>
          </w:p>
        </w:tc>
        <w:tc>
          <w:tcPr>
            <w:tcW w:w="1854"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员工着装规范（10分）</w:t>
            </w:r>
          </w:p>
        </w:tc>
        <w:tc>
          <w:tcPr>
            <w:tcW w:w="4719"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员工工作时间按员工着装要求穿工作服，戴工作牌，服装整洁，不准穿拖鞋到工作场所，头发梳洗整齐、不留长指甲，男员工不准留胡子。</w:t>
            </w:r>
          </w:p>
        </w:tc>
        <w:tc>
          <w:tcPr>
            <w:tcW w:w="916" w:type="dxa"/>
            <w:vMerge w:val="continue"/>
            <w:shd w:val="clear" w:color="auto" w:fill="auto"/>
            <w:vAlign w:val="center"/>
          </w:tcPr>
          <w:p>
            <w:pPr>
              <w:spacing w:after="120"/>
              <w:rPr>
                <w:rFonts w:hint="eastAsia" w:ascii="仿宋" w:hAnsi="仿宋" w:eastAsia="仿宋" w:cs="仿宋"/>
                <w:sz w:val="24"/>
                <w:szCs w:val="24"/>
              </w:rPr>
            </w:pPr>
          </w:p>
        </w:tc>
        <w:tc>
          <w:tcPr>
            <w:tcW w:w="1061" w:type="dxa"/>
            <w:shd w:val="clear" w:color="auto" w:fill="auto"/>
            <w:vAlign w:val="center"/>
          </w:tcPr>
          <w:p>
            <w:pPr>
              <w:spacing w:after="12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pacing w:val="-20"/>
                <w:w w:val="90"/>
                <w:sz w:val="24"/>
                <w:szCs w:val="24"/>
              </w:rPr>
              <w:t>9</w:t>
            </w:r>
          </w:p>
        </w:tc>
        <w:tc>
          <w:tcPr>
            <w:tcW w:w="1854"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服务态度（15分）</w:t>
            </w:r>
          </w:p>
        </w:tc>
        <w:tc>
          <w:tcPr>
            <w:tcW w:w="4719"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大方、礼貌、谈吐文雅；上班不吃零食、精神饱满；服务热情周到、宾客至上。</w:t>
            </w:r>
          </w:p>
        </w:tc>
        <w:tc>
          <w:tcPr>
            <w:tcW w:w="916" w:type="dxa"/>
            <w:vMerge w:val="continue"/>
            <w:shd w:val="clear" w:color="auto" w:fill="auto"/>
            <w:vAlign w:val="center"/>
          </w:tcPr>
          <w:p>
            <w:pPr>
              <w:spacing w:after="120"/>
              <w:rPr>
                <w:rFonts w:hint="eastAsia" w:ascii="仿宋" w:hAnsi="仿宋" w:eastAsia="仿宋" w:cs="仿宋"/>
                <w:sz w:val="24"/>
                <w:szCs w:val="24"/>
              </w:rPr>
            </w:pPr>
          </w:p>
        </w:tc>
        <w:tc>
          <w:tcPr>
            <w:tcW w:w="1061" w:type="dxa"/>
            <w:shd w:val="clear" w:color="auto" w:fill="auto"/>
            <w:vAlign w:val="center"/>
          </w:tcPr>
          <w:p>
            <w:pPr>
              <w:spacing w:after="12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pacing w:val="-20"/>
                <w:w w:val="90"/>
                <w:sz w:val="24"/>
                <w:szCs w:val="24"/>
              </w:rPr>
              <w:t>10</w:t>
            </w:r>
          </w:p>
        </w:tc>
        <w:tc>
          <w:tcPr>
            <w:tcW w:w="1854" w:type="dxa"/>
            <w:shd w:val="clear" w:color="auto" w:fill="auto"/>
            <w:vAlign w:val="center"/>
          </w:tcPr>
          <w:p>
            <w:pPr>
              <w:spacing w:line="240" w:lineRule="atLeast"/>
              <w:ind w:left="-4" w:leftChars="-2"/>
              <w:rPr>
                <w:rFonts w:hint="eastAsia" w:ascii="仿宋" w:hAnsi="仿宋" w:eastAsia="仿宋" w:cs="仿宋"/>
                <w:sz w:val="24"/>
                <w:szCs w:val="24"/>
              </w:rPr>
            </w:pPr>
            <w:r>
              <w:rPr>
                <w:rFonts w:hint="eastAsia" w:ascii="仿宋" w:hAnsi="仿宋" w:eastAsia="仿宋" w:cs="仿宋"/>
                <w:spacing w:val="-10"/>
                <w:sz w:val="24"/>
                <w:szCs w:val="24"/>
              </w:rPr>
              <w:t>岗位常识和应知应会</w:t>
            </w:r>
            <w:r>
              <w:rPr>
                <w:rFonts w:hint="eastAsia" w:ascii="仿宋" w:hAnsi="仿宋" w:eastAsia="仿宋" w:cs="仿宋"/>
                <w:sz w:val="24"/>
                <w:szCs w:val="24"/>
              </w:rPr>
              <w:t>(20分）</w:t>
            </w:r>
          </w:p>
        </w:tc>
        <w:tc>
          <w:tcPr>
            <w:tcW w:w="4719"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熟悉本岗位职责，学校概况，礼仪礼节常识，应急处理常识；熟悉公司各项规章制度。</w:t>
            </w:r>
          </w:p>
        </w:tc>
        <w:tc>
          <w:tcPr>
            <w:tcW w:w="916" w:type="dxa"/>
            <w:vMerge w:val="continue"/>
            <w:shd w:val="clear" w:color="auto" w:fill="auto"/>
            <w:vAlign w:val="center"/>
          </w:tcPr>
          <w:p>
            <w:pPr>
              <w:spacing w:after="120"/>
              <w:rPr>
                <w:rFonts w:hint="eastAsia" w:ascii="仿宋" w:hAnsi="仿宋" w:eastAsia="仿宋" w:cs="仿宋"/>
                <w:sz w:val="24"/>
                <w:szCs w:val="24"/>
              </w:rPr>
            </w:pPr>
          </w:p>
        </w:tc>
        <w:tc>
          <w:tcPr>
            <w:tcW w:w="1061" w:type="dxa"/>
            <w:shd w:val="clear" w:color="auto" w:fill="auto"/>
            <w:vAlign w:val="center"/>
          </w:tcPr>
          <w:p>
            <w:pPr>
              <w:spacing w:after="12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pacing w:val="-20"/>
                <w:w w:val="90"/>
                <w:sz w:val="24"/>
                <w:szCs w:val="24"/>
              </w:rPr>
              <w:t>11</w:t>
            </w:r>
          </w:p>
        </w:tc>
        <w:tc>
          <w:tcPr>
            <w:tcW w:w="1854" w:type="dxa"/>
            <w:shd w:val="clear" w:color="auto" w:fill="auto"/>
            <w:vAlign w:val="center"/>
          </w:tcPr>
          <w:p>
            <w:pPr>
              <w:spacing w:line="240" w:lineRule="atLeast"/>
              <w:ind w:right="216" w:rightChars="103"/>
              <w:rPr>
                <w:rFonts w:hint="eastAsia" w:ascii="仿宋" w:hAnsi="仿宋" w:eastAsia="仿宋" w:cs="仿宋"/>
                <w:sz w:val="24"/>
                <w:szCs w:val="24"/>
              </w:rPr>
            </w:pPr>
            <w:r>
              <w:rPr>
                <w:rFonts w:hint="eastAsia" w:ascii="仿宋" w:hAnsi="仿宋" w:eastAsia="仿宋" w:cs="仿宋"/>
                <w:spacing w:val="-10"/>
                <w:sz w:val="24"/>
                <w:szCs w:val="24"/>
              </w:rPr>
              <w:t>设备使用</w:t>
            </w:r>
            <w:r>
              <w:rPr>
                <w:rFonts w:hint="eastAsia" w:ascii="仿宋" w:hAnsi="仿宋" w:eastAsia="仿宋" w:cs="仿宋"/>
                <w:sz w:val="24"/>
                <w:szCs w:val="24"/>
              </w:rPr>
              <w:t>(5分）</w:t>
            </w:r>
          </w:p>
        </w:tc>
        <w:tc>
          <w:tcPr>
            <w:tcW w:w="4719" w:type="dxa"/>
            <w:shd w:val="clear" w:color="auto" w:fill="auto"/>
            <w:vAlign w:val="center"/>
          </w:tcPr>
          <w:p>
            <w:pPr>
              <w:spacing w:after="120"/>
              <w:rPr>
                <w:rFonts w:hint="eastAsia" w:ascii="仿宋" w:hAnsi="仿宋" w:eastAsia="仿宋" w:cs="仿宋"/>
                <w:sz w:val="24"/>
                <w:szCs w:val="24"/>
              </w:rPr>
            </w:pPr>
            <w:r>
              <w:rPr>
                <w:rFonts w:hint="eastAsia" w:ascii="仿宋" w:hAnsi="仿宋" w:eastAsia="仿宋" w:cs="仿宋"/>
                <w:sz w:val="24"/>
                <w:szCs w:val="24"/>
              </w:rPr>
              <w:t>熟悉各设施设备使用方法及技巧，无违规操作，无违规指导。</w:t>
            </w:r>
          </w:p>
        </w:tc>
        <w:tc>
          <w:tcPr>
            <w:tcW w:w="916" w:type="dxa"/>
            <w:vMerge w:val="continue"/>
            <w:shd w:val="clear" w:color="auto" w:fill="auto"/>
            <w:vAlign w:val="center"/>
          </w:tcPr>
          <w:p>
            <w:pPr>
              <w:spacing w:after="120"/>
              <w:rPr>
                <w:rFonts w:hint="eastAsia" w:ascii="仿宋" w:hAnsi="仿宋" w:eastAsia="仿宋" w:cs="仿宋"/>
                <w:sz w:val="24"/>
                <w:szCs w:val="24"/>
              </w:rPr>
            </w:pPr>
          </w:p>
        </w:tc>
        <w:tc>
          <w:tcPr>
            <w:tcW w:w="1061" w:type="dxa"/>
            <w:shd w:val="clear" w:color="auto" w:fill="auto"/>
            <w:vAlign w:val="center"/>
          </w:tcPr>
          <w:p>
            <w:pPr>
              <w:spacing w:after="12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z w:val="24"/>
                <w:szCs w:val="24"/>
              </w:rPr>
              <w:t>合计</w:t>
            </w:r>
          </w:p>
        </w:tc>
        <w:tc>
          <w:tcPr>
            <w:tcW w:w="1854" w:type="dxa"/>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z w:val="24"/>
                <w:szCs w:val="24"/>
              </w:rPr>
              <w:t>100分</w:t>
            </w:r>
          </w:p>
        </w:tc>
        <w:tc>
          <w:tcPr>
            <w:tcW w:w="4719" w:type="dxa"/>
            <w:shd w:val="clear" w:color="auto" w:fill="auto"/>
            <w:vAlign w:val="center"/>
          </w:tcPr>
          <w:p>
            <w:pPr>
              <w:spacing w:after="120"/>
              <w:jc w:val="center"/>
              <w:rPr>
                <w:rFonts w:hint="eastAsia" w:ascii="仿宋" w:hAnsi="仿宋" w:eastAsia="仿宋" w:cs="仿宋"/>
                <w:sz w:val="24"/>
                <w:szCs w:val="24"/>
              </w:rPr>
            </w:pPr>
          </w:p>
        </w:tc>
        <w:tc>
          <w:tcPr>
            <w:tcW w:w="916" w:type="dxa"/>
            <w:shd w:val="clear" w:color="auto" w:fill="auto"/>
            <w:vAlign w:val="center"/>
          </w:tcPr>
          <w:p>
            <w:pPr>
              <w:spacing w:after="120"/>
              <w:jc w:val="center"/>
              <w:rPr>
                <w:rFonts w:hint="eastAsia" w:ascii="仿宋" w:hAnsi="仿宋" w:eastAsia="仿宋" w:cs="仿宋"/>
                <w:sz w:val="24"/>
                <w:szCs w:val="24"/>
              </w:rPr>
            </w:pPr>
          </w:p>
        </w:tc>
        <w:tc>
          <w:tcPr>
            <w:tcW w:w="1061" w:type="dxa"/>
            <w:shd w:val="clear" w:color="auto" w:fill="auto"/>
            <w:vAlign w:val="center"/>
          </w:tcPr>
          <w:p>
            <w:pPr>
              <w:spacing w:after="120"/>
              <w:jc w:val="center"/>
              <w:rPr>
                <w:rFonts w:hint="eastAsia" w:ascii="仿宋" w:hAnsi="仿宋" w:eastAsia="仿宋" w:cs="仿宋"/>
                <w:sz w:val="24"/>
                <w:szCs w:val="24"/>
              </w:rPr>
            </w:pPr>
          </w:p>
        </w:tc>
      </w:tr>
    </w:tbl>
    <w:p>
      <w:pPr>
        <w:spacing w:after="78" w:afterLines="25" w:line="360" w:lineRule="auto"/>
        <w:outlineLvl w:val="2"/>
        <w:rPr>
          <w:rFonts w:ascii="仿宋" w:hAnsi="仿宋" w:eastAsia="仿宋" w:cs="仿宋"/>
          <w:sz w:val="28"/>
          <w:szCs w:val="24"/>
        </w:rPr>
      </w:pPr>
      <w:r>
        <w:rPr>
          <w:rFonts w:hint="eastAsia" w:ascii="仿宋" w:hAnsi="仿宋" w:eastAsia="仿宋" w:cs="仿宋"/>
          <w:b/>
          <w:bCs/>
          <w:color w:val="FF0000"/>
          <w:sz w:val="32"/>
          <w:szCs w:val="32"/>
        </w:rPr>
        <w:t>★</w:t>
      </w:r>
      <w:r>
        <w:rPr>
          <w:rFonts w:hint="eastAsia" w:ascii="仿宋" w:hAnsi="仿宋" w:eastAsia="仿宋" w:cs="仿宋"/>
          <w:b/>
          <w:bCs/>
          <w:sz w:val="28"/>
          <w:szCs w:val="24"/>
        </w:rPr>
        <w:t>七、报价要求</w:t>
      </w:r>
    </w:p>
    <w:p>
      <w:pPr>
        <w:spacing w:after="78" w:afterLines="25" w:line="360" w:lineRule="auto"/>
        <w:ind w:firstLine="480" w:firstLineChars="200"/>
        <w:rPr>
          <w:rFonts w:ascii="仿宋" w:hAnsi="仿宋" w:eastAsia="仿宋" w:cs="仿宋"/>
          <w:b/>
          <w:bCs/>
          <w:sz w:val="24"/>
        </w:rPr>
      </w:pPr>
      <w:bookmarkStart w:id="16" w:name="_Hlk170333083"/>
      <w:r>
        <w:rPr>
          <w:rFonts w:hint="eastAsia" w:ascii="仿宋" w:hAnsi="仿宋" w:eastAsia="仿宋" w:cs="仿宋"/>
          <w:sz w:val="24"/>
        </w:rPr>
        <w:t>投标总价以人民币报价，为服务期内物业管理及非教服务费，包括行政福利费用（含员工/管理人员工资、福利、社保等、员工年休假补助、员工培训费，办公经费、交通运输费等）；本项目所需材料费、工具费、固定资产折旧费；企业管理费、企业利润和税金等本项目涉及的一切费用。</w:t>
      </w:r>
    </w:p>
    <w:bookmarkEnd w:id="16"/>
    <w:p>
      <w:pPr>
        <w:spacing w:after="78" w:afterLines="25" w:line="360" w:lineRule="auto"/>
        <w:outlineLvl w:val="2"/>
        <w:rPr>
          <w:rFonts w:ascii="仿宋" w:hAnsi="仿宋" w:eastAsia="仿宋" w:cs="仿宋"/>
          <w:sz w:val="28"/>
          <w:szCs w:val="24"/>
        </w:rPr>
      </w:pPr>
      <w:r>
        <w:rPr>
          <w:rFonts w:hint="eastAsia" w:ascii="仿宋" w:hAnsi="仿宋" w:eastAsia="仿宋" w:cs="仿宋"/>
          <w:b/>
          <w:bCs/>
          <w:color w:val="FF0000"/>
          <w:sz w:val="32"/>
          <w:szCs w:val="32"/>
        </w:rPr>
        <w:t>★</w:t>
      </w:r>
      <w:r>
        <w:rPr>
          <w:rFonts w:hint="eastAsia" w:ascii="仿宋" w:hAnsi="仿宋" w:eastAsia="仿宋" w:cs="仿宋"/>
          <w:b/>
          <w:bCs/>
          <w:sz w:val="28"/>
          <w:szCs w:val="24"/>
        </w:rPr>
        <w:t>八、服务期限</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color w:val="FF0000"/>
          <w:sz w:val="24"/>
        </w:rPr>
        <w:t>本项目合同履行期限为5个月，以合同签订之日起。</w:t>
      </w:r>
      <w:r>
        <w:rPr>
          <w:rFonts w:hint="eastAsia" w:ascii="仿宋" w:hAnsi="仿宋" w:eastAsia="仿宋" w:cs="仿宋"/>
          <w:sz w:val="24"/>
        </w:rPr>
        <w:t>本项目合同履行期限满后，采购单位可根据中标供应商履约情况确定合同是否续签，但总合同履行期限最长不超过</w:t>
      </w:r>
      <w:r>
        <w:rPr>
          <w:rFonts w:hint="eastAsia" w:ascii="仿宋" w:hAnsi="仿宋" w:eastAsia="仿宋" w:cs="仿宋"/>
          <w:color w:val="FF0000"/>
          <w:sz w:val="24"/>
        </w:rPr>
        <w:t>15个月</w:t>
      </w:r>
      <w:r>
        <w:rPr>
          <w:rFonts w:hint="eastAsia" w:ascii="仿宋" w:hAnsi="仿宋" w:eastAsia="仿宋" w:cs="仿宋"/>
          <w:sz w:val="24"/>
        </w:rPr>
        <w:t>。投标人在投标报价时必须充分考虑到工资标准调整、物价上涨等影响本项目服务价格的因素，并承担相应的风险。</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2、采购方将对中标方总体服务质量进行考核，考核不合格采购方有权提前终止合同，考核结果达到优秀的，可选择按中标价格续签合同。</w:t>
      </w:r>
    </w:p>
    <w:p>
      <w:pPr>
        <w:spacing w:after="78" w:afterLines="25" w:line="360" w:lineRule="auto"/>
        <w:outlineLvl w:val="2"/>
        <w:rPr>
          <w:rFonts w:ascii="仿宋" w:hAnsi="仿宋" w:eastAsia="仿宋" w:cs="仿宋"/>
          <w:sz w:val="28"/>
          <w:szCs w:val="24"/>
        </w:rPr>
      </w:pPr>
      <w:bookmarkStart w:id="17" w:name="_Hlk59723850"/>
      <w:bookmarkStart w:id="18" w:name="_Hlk59723733"/>
      <w:r>
        <w:rPr>
          <w:rFonts w:hint="eastAsia" w:ascii="仿宋" w:hAnsi="仿宋" w:eastAsia="仿宋" w:cs="仿宋"/>
          <w:b/>
          <w:bCs/>
          <w:color w:val="FF0000"/>
          <w:sz w:val="32"/>
          <w:szCs w:val="32"/>
        </w:rPr>
        <w:t>★</w:t>
      </w:r>
      <w:r>
        <w:rPr>
          <w:rFonts w:hint="eastAsia" w:ascii="仿宋" w:hAnsi="仿宋" w:eastAsia="仿宋" w:cs="仿宋"/>
          <w:b/>
          <w:bCs/>
          <w:sz w:val="28"/>
          <w:szCs w:val="24"/>
        </w:rPr>
        <w:t>九</w:t>
      </w:r>
      <w:bookmarkEnd w:id="17"/>
      <w:r>
        <w:rPr>
          <w:rFonts w:hint="eastAsia" w:ascii="仿宋" w:hAnsi="仿宋" w:eastAsia="仿宋" w:cs="仿宋"/>
          <w:b/>
          <w:bCs/>
          <w:sz w:val="28"/>
          <w:szCs w:val="24"/>
        </w:rPr>
        <w:t>、付款方式</w:t>
      </w:r>
    </w:p>
    <w:bookmarkEnd w:id="18"/>
    <w:p>
      <w:pPr>
        <w:adjustRightInd w:val="0"/>
        <w:snapToGrid w:val="0"/>
        <w:spacing w:after="78" w:afterLines="25" w:line="360" w:lineRule="auto"/>
        <w:ind w:firstLine="480" w:firstLineChars="200"/>
        <w:rPr>
          <w:rFonts w:ascii="仿宋" w:hAnsi="仿宋" w:eastAsia="仿宋" w:cs="仿宋"/>
          <w:b/>
          <w:bCs/>
          <w:sz w:val="24"/>
        </w:rPr>
      </w:pPr>
      <w:r>
        <w:rPr>
          <w:rFonts w:hint="eastAsia" w:ascii="仿宋" w:hAnsi="仿宋" w:eastAsia="仿宋" w:cs="仿宋"/>
          <w:sz w:val="24"/>
        </w:rPr>
        <w:t>每月10日前结算上月管理服务费，凭中标单位完税发票，由采购单位签署付款凭证,办理相关付款手续。</w:t>
      </w:r>
    </w:p>
    <w:p>
      <w:pPr>
        <w:spacing w:after="78" w:afterLines="25" w:line="360" w:lineRule="auto"/>
        <w:outlineLvl w:val="2"/>
        <w:rPr>
          <w:rFonts w:ascii="仿宋" w:hAnsi="仿宋" w:eastAsia="仿宋" w:cs="仿宋"/>
          <w:b/>
          <w:bCs/>
          <w:sz w:val="28"/>
          <w:szCs w:val="24"/>
        </w:rPr>
      </w:pPr>
      <w:r>
        <w:rPr>
          <w:rFonts w:hint="eastAsia" w:ascii="仿宋" w:hAnsi="仿宋" w:eastAsia="仿宋" w:cs="仿宋"/>
          <w:b/>
          <w:bCs/>
          <w:sz w:val="28"/>
          <w:szCs w:val="24"/>
        </w:rPr>
        <w:t>十、其他需说明的事项</w:t>
      </w:r>
    </w:p>
    <w:p>
      <w:pPr>
        <w:spacing w:after="78" w:afterLines="25" w:line="360" w:lineRule="auto"/>
        <w:ind w:firstLine="480" w:firstLineChars="200"/>
        <w:rPr>
          <w:rFonts w:ascii="仿宋" w:hAnsi="仿宋" w:eastAsia="仿宋" w:cs="仿宋"/>
          <w:sz w:val="24"/>
        </w:rPr>
      </w:pPr>
      <w:bookmarkStart w:id="19" w:name="_Toc66353737"/>
      <w:bookmarkStart w:id="20" w:name="_Toc58910667"/>
      <w:bookmarkStart w:id="21" w:name="_Toc101074872"/>
      <w:bookmarkStart w:id="22" w:name="_Toc65917390"/>
      <w:bookmarkStart w:id="23" w:name="_Toc95016343"/>
      <w:bookmarkStart w:id="24" w:name="_Toc69814308"/>
      <w:bookmarkStart w:id="25" w:name="_Toc100052360"/>
      <w:bookmarkStart w:id="26" w:name="_Toc72050368"/>
      <w:r>
        <w:rPr>
          <w:rFonts w:hint="eastAsia" w:ascii="仿宋" w:hAnsi="仿宋" w:eastAsia="仿宋" w:cs="仿宋"/>
          <w:sz w:val="24"/>
        </w:rPr>
        <w:t>1、中标人根据有关物业服务法规与采购方签订的物业服务委托合同，对该物业实行统一管理，综合服务，自主经营，自负盈亏。</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2、中标方不得将本物业服务项目分包给其他单位，若因中标人专项资质原因确需将某项专业项目分包给其他具备相应资质单位，必须事先征得采购单位同意。</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3、采购单位在可对该物业服务进行考核评价，如达不到上述要求，则可终止委托管理合同并进行财务审计，由中标单位承担违约和赔偿责任。</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4、有关物业服务事项的说明</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（1）管理用房</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采购方应提供必要的办公用房、值班用房、仓库和需用物品存放场地，由中标单位无偿使用。</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（2）公共水电费</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公共水电费由采购单位承担（包括卫生间、绿化、空调、清洁卫生、生活等各类用水、用电）。</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（3）其他设施设备的说明</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采购方物业内岗亭、道闸、专用工具、各类门牌、各类标示指示牌、垃圾中转站及垃圾桶均由采购方负责安装及提供。</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（4）监管</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中标人在合同执行期间，中标方须接受市、区行业主管部门、市政府采购监督管理部门、采购单位及相关主管部门的监管。</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5、中标人所有工作人员在本项目服务中所出现的工伤或意外事故，均由中标人自行承担；中标人在服务过程由于中标方原因对学校财产造成损失或人身造成伤害的，由中标人承担全部责任，如果情况严重的，交由司法机关处理。</w:t>
      </w:r>
    </w:p>
    <w:p>
      <w:pPr>
        <w:spacing w:after="78" w:afterLines="25" w:line="360" w:lineRule="auto"/>
        <w:ind w:firstLine="480" w:firstLineChars="200"/>
        <w:rPr>
          <w:rFonts w:ascii="仿宋" w:hAnsi="仿宋" w:eastAsia="仿宋" w:cs="仿宋"/>
          <w:sz w:val="24"/>
        </w:rPr>
      </w:pPr>
      <w:r>
        <w:rPr>
          <w:rFonts w:hint="eastAsia" w:ascii="仿宋" w:hAnsi="仿宋" w:eastAsia="仿宋" w:cs="仿宋"/>
          <w:sz w:val="24"/>
        </w:rPr>
        <w:t>6、投标人自行组织现场踏勘，以充分了解项目的位置、情况、道路及任何其它足以影响投标报价的情况，任何因忽视或误解项目情况而导致的后果由投标人自负。</w:t>
      </w:r>
      <w:bookmarkEnd w:id="19"/>
      <w:bookmarkEnd w:id="20"/>
      <w:bookmarkEnd w:id="21"/>
      <w:bookmarkEnd w:id="22"/>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after="79" w:afterLines="25" w:line="360" w:lineRule="auto"/>
        <w:ind w:firstLine="643" w:firstLineChars="200"/>
        <w:jc w:val="center"/>
        <w:textAlignment w:val="auto"/>
        <w:outlineLvl w:val="2"/>
        <w:rPr>
          <w:b/>
          <w:bCs w:val="0"/>
          <w:sz w:val="32"/>
          <w:szCs w:val="32"/>
        </w:rPr>
      </w:pPr>
      <w:r>
        <w:rPr>
          <w:rFonts w:ascii="宋体" w:hAnsi="宋体" w:eastAsia="黑体" w:cs="Times New Roman"/>
          <w:b/>
          <w:bCs w:val="0"/>
          <w:kern w:val="44"/>
          <w:sz w:val="32"/>
          <w:szCs w:val="32"/>
        </w:rPr>
        <w:br w:type="page"/>
      </w:r>
      <w:r>
        <w:rPr>
          <w:rFonts w:hint="eastAsia"/>
          <w:b/>
          <w:bCs w:val="0"/>
          <w:sz w:val="32"/>
          <w:szCs w:val="32"/>
          <w:lang w:val="en-US" w:eastAsia="zh-CN"/>
        </w:rPr>
        <w:t>五</w:t>
      </w:r>
      <w:r>
        <w:rPr>
          <w:rFonts w:hint="eastAsia"/>
          <w:b/>
          <w:bCs w:val="0"/>
          <w:sz w:val="32"/>
          <w:szCs w:val="32"/>
        </w:rPr>
        <w:t>、其他重要条款</w:t>
      </w:r>
    </w:p>
    <w:p>
      <w:pPr>
        <w:ind w:firstLine="420" w:firstLineChars="200"/>
        <w:rPr>
          <w:bCs/>
          <w:szCs w:val="21"/>
        </w:rPr>
      </w:pPr>
      <w:r>
        <w:rPr>
          <w:rFonts w:hint="eastAsia"/>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pStyle w:val="8"/>
        <w:spacing w:before="60" w:beforeLines="25" w:after="60" w:afterLines="25"/>
        <w:ind w:firstLine="392" w:firstLineChars="187"/>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pPr>
        <w:ind w:firstLine="420" w:firstLineChars="20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bCs/>
          <w:szCs w:val="21"/>
        </w:rPr>
      </w:pPr>
      <w:r>
        <w:rPr>
          <w:rFonts w:hint="eastAsia" w:ascii="Times New Roman" w:eastAsia="宋体"/>
          <w:bCs/>
          <w:szCs w:val="21"/>
          <w:lang w:val="en-US" w:eastAsia="zh-CN"/>
        </w:rPr>
        <w:t>4</w:t>
      </w:r>
      <w:r>
        <w:rPr>
          <w:rFonts w:hint="eastAsia"/>
          <w:bCs/>
          <w:szCs w:val="21"/>
        </w:rPr>
        <w:t>、除政府采购合同继续履行将损害国家利益和社会公共利益外，双方当事人不得擅自变更、中止或者终止合同。</w:t>
      </w:r>
    </w:p>
    <w:p>
      <w:pPr>
        <w:ind w:firstLine="420" w:firstLineChars="200"/>
        <w:rPr>
          <w:rFonts w:hint="eastAsia" w:eastAsia="宋体"/>
          <w:bCs/>
          <w:szCs w:val="21"/>
          <w:lang w:val="en-US" w:eastAsia="zh-CN"/>
        </w:rPr>
      </w:pPr>
      <w:r>
        <w:rPr>
          <w:rFonts w:hint="eastAsia" w:ascii="Times New Roman" w:eastAsia="宋体"/>
          <w:bCs/>
          <w:szCs w:val="21"/>
          <w:lang w:val="en-US" w:eastAsia="zh-CN"/>
        </w:rPr>
        <w:t>5</w:t>
      </w:r>
      <w:r>
        <w:rPr>
          <w:rFonts w:hint="eastAsia"/>
          <w:bCs/>
          <w:szCs w:val="21"/>
        </w:rPr>
        <w:t>、“信用中国”中“信用服务”栏的“重大税收违法失信主体”“失信被执行人”，“中国政府采购网”中的“政府采购严重违法失信行为记录名单”，以及“深圳市政府采购监管网”为供应商信用信息的查询渠道，相关信息以开标当日的查询结果为准</w:t>
      </w:r>
      <w:r>
        <w:rPr>
          <w:rFonts w:hint="eastAsia" w:ascii="Times New Roman" w:eastAsia="宋体"/>
          <w:bCs/>
          <w:szCs w:val="21"/>
          <w:lang w:val="en-US" w:eastAsia="zh-CN"/>
        </w:rPr>
        <w:t>。</w:t>
      </w:r>
    </w:p>
    <w:p>
      <w:pPr>
        <w:pStyle w:val="2"/>
        <w:rPr>
          <w:rFonts w:hint="eastAsia"/>
          <w:bCs/>
          <w:szCs w:val="21"/>
        </w:rPr>
      </w:pPr>
    </w:p>
    <w:p>
      <w:pPr>
        <w:pStyle w:val="3"/>
        <w:rPr>
          <w:rFonts w:hint="eastAsia"/>
          <w:bCs/>
          <w:szCs w:val="21"/>
        </w:rPr>
      </w:pPr>
    </w:p>
    <w:p>
      <w:pPr>
        <w:pStyle w:val="3"/>
        <w:rPr>
          <w:rFonts w:hint="eastAsia"/>
          <w:bCs/>
          <w:szCs w:val="21"/>
        </w:rPr>
      </w:pPr>
    </w:p>
    <w:p>
      <w:pPr>
        <w:widowControl/>
        <w:jc w:val="left"/>
        <w:rPr>
          <w:rFonts w:ascii="宋体" w:hAnsi="宋体" w:eastAsia="黑体" w:cs="Times New Roman"/>
          <w:bCs/>
          <w:kern w:val="44"/>
          <w:sz w:val="28"/>
          <w:szCs w:val="44"/>
        </w:rPr>
      </w:pPr>
    </w:p>
    <w:p>
      <w:pP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br w:type="page"/>
      </w:r>
    </w:p>
    <w:p>
      <w:pPr>
        <w:keepNext/>
        <w:keepLines/>
        <w:pageBreakBefore w:val="0"/>
        <w:kinsoku/>
        <w:wordWrap/>
        <w:overflowPunct/>
        <w:topLinePunct w:val="0"/>
        <w:autoSpaceDE/>
        <w:autoSpaceDN/>
        <w:bidi w:val="0"/>
        <w:adjustRightInd w:val="0"/>
        <w:spacing w:line="320" w:lineRule="atLeast"/>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第四章</w:t>
      </w:r>
      <w:r>
        <w:rPr>
          <w:rFonts w:ascii="宋体" w:hAnsi="宋体" w:eastAsia="宋体" w:cs="Times New Roman"/>
          <w:b/>
          <w:bCs/>
          <w:kern w:val="0"/>
          <w:sz w:val="28"/>
          <w:szCs w:val="28"/>
        </w:rPr>
        <w:t xml:space="preserve"> </w:t>
      </w:r>
      <w:r>
        <w:rPr>
          <w:rFonts w:hint="eastAsia" w:ascii="宋体" w:hAnsi="宋体" w:eastAsia="宋体" w:cs="Times New Roman"/>
          <w:b/>
          <w:bCs/>
          <w:kern w:val="0"/>
          <w:sz w:val="28"/>
          <w:szCs w:val="28"/>
        </w:rPr>
        <w:t xml:space="preserve"> 投标文件组成要求及格式</w:t>
      </w:r>
    </w:p>
    <w:p>
      <w:pPr>
        <w:keepNext w:val="0"/>
        <w:keepLines w:val="0"/>
        <w:pageBreakBefore w:val="0"/>
        <w:widowControl w:val="0"/>
        <w:kinsoku/>
        <w:wordWrap/>
        <w:overflowPunct/>
        <w:topLinePunct w:val="0"/>
        <w:autoSpaceDE/>
        <w:autoSpaceDN/>
        <w:bidi w:val="0"/>
        <w:adjustRightInd/>
        <w:spacing w:line="320" w:lineRule="atLeast"/>
        <w:textAlignment w:val="auto"/>
        <w:outlineLvl w:val="2"/>
        <w:rPr>
          <w:rFonts w:hint="eastAsia" w:ascii="宋体" w:hAnsi="宋体" w:eastAsia="宋体" w:cs="宋体"/>
          <w:b/>
          <w:bCs/>
          <w:color w:val="FF0000"/>
          <w:sz w:val="24"/>
          <w:szCs w:val="24"/>
        </w:rPr>
      </w:pPr>
      <w:r>
        <w:rPr>
          <w:rFonts w:hint="eastAsia" w:ascii="宋体" w:hAnsi="宋体" w:eastAsia="宋体" w:cs="宋体"/>
          <w:b/>
          <w:bCs/>
          <w:color w:val="FF0000"/>
          <w:sz w:val="24"/>
          <w:szCs w:val="24"/>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color w:val="FF0000"/>
          <w:sz w:val="24"/>
          <w:szCs w:val="24"/>
        </w:rPr>
      </w:pPr>
      <w:r>
        <w:rPr>
          <w:rFonts w:hint="eastAsia" w:ascii="宋体" w:hAnsi="宋体" w:eastAsia="宋体" w:cs="宋体"/>
          <w:b/>
          <w:color w:val="FF0000"/>
          <w:sz w:val="24"/>
          <w:szCs w:val="24"/>
          <w:lang w:val="en-US" w:eastAsia="zh-CN"/>
        </w:rPr>
        <w:t>1、</w:t>
      </w:r>
      <w:r>
        <w:rPr>
          <w:rFonts w:hint="eastAsia" w:ascii="宋体" w:hAnsi="宋体" w:eastAsia="宋体" w:cs="宋体"/>
          <w:b/>
          <w:color w:val="FF0000"/>
          <w:sz w:val="24"/>
          <w:szCs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bCs/>
          <w:color w:val="FF0000"/>
          <w:sz w:val="24"/>
          <w:szCs w:val="24"/>
        </w:rPr>
      </w:pPr>
      <w:r>
        <w:rPr>
          <w:rFonts w:hint="eastAsia" w:ascii="宋体" w:hAnsi="宋体" w:eastAsia="宋体" w:cs="宋体"/>
          <w:b/>
          <w:color w:val="FF0000"/>
          <w:sz w:val="24"/>
          <w:szCs w:val="24"/>
          <w:lang w:val="en-US" w:eastAsia="zh-CN"/>
        </w:rPr>
        <w:t>2、</w:t>
      </w:r>
      <w:r>
        <w:rPr>
          <w:rFonts w:hint="eastAsia" w:ascii="宋体" w:hAnsi="宋体" w:eastAsia="宋体" w:cs="宋体"/>
          <w:b/>
          <w:color w:val="FF0000"/>
          <w:sz w:val="24"/>
          <w:szCs w:val="24"/>
        </w:rPr>
        <w:t>投标文件正文（信息公开部分）必须编制于“正文（公开部分）”部分，投标文件附件（非信息公开部分）必须编制于“附件（不公开部分）”部分。</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textAlignment w:val="auto"/>
        <w:rPr>
          <w:rFonts w:hint="eastAsia" w:ascii="宋体" w:hAnsi="宋体" w:eastAsia="宋体" w:cs="宋体"/>
          <w:b/>
          <w:color w:val="FF0000"/>
          <w:sz w:val="24"/>
          <w:szCs w:val="24"/>
        </w:rPr>
      </w:pPr>
      <w:bookmarkStart w:id="27" w:name="_Hlk72257167"/>
      <w:r>
        <w:rPr>
          <w:rFonts w:hint="eastAsia" w:ascii="宋体" w:hAnsi="宋体" w:eastAsia="宋体" w:cs="宋体"/>
          <w:b/>
          <w:color w:val="FF0000"/>
          <w:sz w:val="24"/>
          <w:szCs w:val="24"/>
          <w:lang w:val="en-US" w:eastAsia="zh-CN"/>
        </w:rPr>
        <w:t>3、</w:t>
      </w:r>
      <w:r>
        <w:rPr>
          <w:rFonts w:hint="eastAsia" w:ascii="宋体" w:hAnsi="宋体" w:eastAsia="宋体" w:cs="宋体"/>
          <w:b/>
          <w:color w:val="FF0000"/>
          <w:sz w:val="24"/>
          <w:szCs w:val="24"/>
        </w:rPr>
        <w:t>政府集中采购机构公布投标文件正文（信息公开部分）时，如投标人误将涉及个人隐私的信息放入投标文件正文，相关后果由投标人自负；如投标人将必须放于投标文件正文（信息公开部分）的内容放入投标文件附件（非信息公开部分），将作投标无效处理。</w:t>
      </w:r>
    </w:p>
    <w:p>
      <w:pPr>
        <w:pStyle w:val="2"/>
        <w:rPr>
          <w:rFonts w:hint="eastAsia"/>
        </w:rPr>
      </w:pPr>
    </w:p>
    <w:bookmarkEnd w:id="27"/>
    <w:p>
      <w:pPr>
        <w:pageBreakBefore w:val="0"/>
        <w:widowControl/>
        <w:kinsoku/>
        <w:wordWrap/>
        <w:overflowPunct/>
        <w:topLinePunct w:val="0"/>
        <w:autoSpaceDE/>
        <w:autoSpaceDN/>
        <w:bidi w:val="0"/>
        <w:spacing w:line="320" w:lineRule="atLeast"/>
        <w:jc w:val="left"/>
        <w:outlineLvl w:val="2"/>
        <w:rPr>
          <w:rFonts w:ascii="宋体" w:hAnsi="宋体" w:eastAsia="黑体" w:cs="Times New Roman"/>
          <w:bCs/>
          <w:kern w:val="44"/>
          <w:sz w:val="24"/>
          <w:szCs w:val="24"/>
        </w:rPr>
      </w:pPr>
      <w:r>
        <w:rPr>
          <w:rFonts w:hint="eastAsia" w:ascii="宋体" w:hAnsi="宋体" w:eastAsia="黑体" w:cs="Times New Roman"/>
          <w:bCs/>
          <w:kern w:val="44"/>
          <w:sz w:val="24"/>
          <w:szCs w:val="24"/>
        </w:rPr>
        <w:t>投标文件组成：</w:t>
      </w:r>
    </w:p>
    <w:p>
      <w:pPr>
        <w:pageBreakBefore w:val="0"/>
        <w:kinsoku/>
        <w:wordWrap/>
        <w:overflowPunct/>
        <w:topLinePunct w:val="0"/>
        <w:autoSpaceDE/>
        <w:autoSpaceDN/>
        <w:bidi w:val="0"/>
        <w:snapToGrid w:val="0"/>
        <w:spacing w:line="320" w:lineRule="atLeast"/>
        <w:rPr>
          <w:rFonts w:ascii="Arial" w:hAnsi="Arial" w:eastAsia="宋体" w:cs="Arial"/>
          <w:b/>
          <w:color w:val="FF0000"/>
          <w:sz w:val="24"/>
          <w:szCs w:val="24"/>
        </w:rPr>
      </w:pPr>
      <w:r>
        <w:rPr>
          <w:rFonts w:hint="eastAsia" w:ascii="宋体" w:hAnsi="宋体" w:eastAsia="宋体" w:cs="宋体"/>
          <w:b/>
          <w:color w:val="FF0000"/>
          <w:kern w:val="0"/>
          <w:sz w:val="24"/>
          <w:szCs w:val="24"/>
        </w:rPr>
        <w:t>投标文件正文（信息公开部分）：</w:t>
      </w:r>
    </w:p>
    <w:p>
      <w:pPr>
        <w:pageBreakBefore w:val="0"/>
        <w:numPr>
          <w:ilvl w:val="0"/>
          <w:numId w:val="1"/>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投标函；</w:t>
      </w:r>
    </w:p>
    <w:p>
      <w:pPr>
        <w:pageBreakBefore w:val="0"/>
        <w:numPr>
          <w:ilvl w:val="0"/>
          <w:numId w:val="1"/>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bookmarkStart w:id="28" w:name="_Hlk72062521"/>
      <w:r>
        <w:rPr>
          <w:rFonts w:hint="eastAsia" w:ascii="宋体" w:hAnsi="宋体" w:eastAsia="宋体" w:cs="Times New Roman"/>
          <w:sz w:val="24"/>
          <w:szCs w:val="24"/>
        </w:rPr>
        <w:t>政府采购投标及履约承诺函</w:t>
      </w:r>
      <w:bookmarkEnd w:id="28"/>
      <w:r>
        <w:rPr>
          <w:rFonts w:hint="eastAsia" w:ascii="宋体" w:hAnsi="宋体" w:eastAsia="宋体" w:cs="Times New Roman"/>
          <w:sz w:val="24"/>
          <w:szCs w:val="24"/>
        </w:rPr>
        <w:t>；</w:t>
      </w:r>
    </w:p>
    <w:p>
      <w:pPr>
        <w:pageBreakBefore w:val="0"/>
        <w:numPr>
          <w:ilvl w:val="0"/>
          <w:numId w:val="1"/>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投标人情况及资格证明文件；</w:t>
      </w:r>
    </w:p>
    <w:p>
      <w:pPr>
        <w:pageBreakBefore w:val="0"/>
        <w:numPr>
          <w:ilvl w:val="0"/>
          <w:numId w:val="1"/>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分项报价清单；</w:t>
      </w:r>
    </w:p>
    <w:p>
      <w:pPr>
        <w:pageBreakBefore w:val="0"/>
        <w:numPr>
          <w:ilvl w:val="0"/>
          <w:numId w:val="1"/>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体系认证情况</w:t>
      </w:r>
      <w:r>
        <w:rPr>
          <w:rFonts w:hint="eastAsia" w:ascii="宋体" w:hAnsi="宋体" w:eastAsia="宋体" w:cs="Times New Roman"/>
          <w:sz w:val="24"/>
          <w:szCs w:val="24"/>
          <w:lang w:eastAsia="zh-CN"/>
        </w:rPr>
        <w:t>；</w:t>
      </w:r>
    </w:p>
    <w:p>
      <w:pPr>
        <w:pageBreakBefore w:val="0"/>
        <w:numPr>
          <w:ilvl w:val="0"/>
          <w:numId w:val="1"/>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投标人相关资质</w:t>
      </w:r>
      <w:r>
        <w:rPr>
          <w:rFonts w:hint="eastAsia" w:ascii="宋体" w:hAnsi="宋体" w:eastAsia="宋体" w:cs="Times New Roman"/>
          <w:sz w:val="24"/>
          <w:szCs w:val="24"/>
          <w:lang w:eastAsia="zh-CN"/>
        </w:rPr>
        <w:t>；</w:t>
      </w:r>
    </w:p>
    <w:p>
      <w:pPr>
        <w:pageBreakBefore w:val="0"/>
        <w:numPr>
          <w:ilvl w:val="0"/>
          <w:numId w:val="1"/>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lang w:eastAsia="zh-CN"/>
        </w:rPr>
        <w:t>投标人经验情况；</w:t>
      </w:r>
    </w:p>
    <w:p>
      <w:pPr>
        <w:pageBreakBefore w:val="0"/>
        <w:numPr>
          <w:ilvl w:val="0"/>
          <w:numId w:val="1"/>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lang w:eastAsia="zh-CN"/>
        </w:rPr>
        <w:t>投标人获奖情况；</w:t>
      </w:r>
    </w:p>
    <w:p>
      <w:pPr>
        <w:pageBreakBefore w:val="0"/>
        <w:numPr>
          <w:ilvl w:val="0"/>
          <w:numId w:val="1"/>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其他招标文件要求或投标人认为需要补充的内容（公开）。</w:t>
      </w:r>
    </w:p>
    <w:p>
      <w:pPr>
        <w:pageBreakBefore w:val="0"/>
        <w:kinsoku/>
        <w:wordWrap/>
        <w:overflowPunct/>
        <w:topLinePunct w:val="0"/>
        <w:autoSpaceDE/>
        <w:autoSpaceDN/>
        <w:bidi w:val="0"/>
        <w:snapToGrid w:val="0"/>
        <w:spacing w:line="320" w:lineRule="atLeast"/>
        <w:jc w:val="left"/>
        <w:rPr>
          <w:rFonts w:ascii="宋体" w:hAnsi="宋体" w:eastAsia="宋体" w:cs="宋体"/>
          <w:b/>
          <w:color w:val="FF0000"/>
          <w:kern w:val="0"/>
          <w:sz w:val="24"/>
          <w:szCs w:val="24"/>
        </w:rPr>
      </w:pPr>
      <w:r>
        <w:rPr>
          <w:rFonts w:hint="eastAsia" w:ascii="宋体" w:hAnsi="宋体" w:eastAsia="宋体" w:cs="宋体"/>
          <w:b/>
          <w:color w:val="FF0000"/>
          <w:kern w:val="0"/>
          <w:sz w:val="24"/>
          <w:szCs w:val="24"/>
        </w:rPr>
        <w:t>投标文件附件（信息不公开部分）：</w:t>
      </w:r>
    </w:p>
    <w:p>
      <w:pPr>
        <w:pageBreakBefore w:val="0"/>
        <w:numPr>
          <w:ilvl w:val="0"/>
          <w:numId w:val="2"/>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法定代表人（负责人）证明书；</w:t>
      </w:r>
    </w:p>
    <w:p>
      <w:pPr>
        <w:pageBreakBefore w:val="0"/>
        <w:numPr>
          <w:ilvl w:val="0"/>
          <w:numId w:val="2"/>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投标文件签署授权委托书；</w:t>
      </w:r>
    </w:p>
    <w:p>
      <w:pPr>
        <w:pageBreakBefore w:val="0"/>
        <w:numPr>
          <w:ilvl w:val="0"/>
          <w:numId w:val="2"/>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实质性条款响应情况表；</w:t>
      </w:r>
    </w:p>
    <w:p>
      <w:pPr>
        <w:pageBreakBefore w:val="0"/>
        <w:numPr>
          <w:ilvl w:val="0"/>
          <w:numId w:val="2"/>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商务（服务）</w:t>
      </w:r>
      <w:r>
        <w:rPr>
          <w:rFonts w:hint="eastAsia" w:ascii="宋体" w:hAnsi="宋体" w:eastAsia="宋体" w:cs="Times New Roman"/>
          <w:sz w:val="24"/>
          <w:szCs w:val="24"/>
          <w:lang w:val="en-US" w:eastAsia="zh-CN"/>
        </w:rPr>
        <w:t>要求</w:t>
      </w:r>
      <w:r>
        <w:rPr>
          <w:rFonts w:hint="eastAsia" w:ascii="宋体" w:hAnsi="宋体" w:eastAsia="宋体" w:cs="Times New Roman"/>
          <w:sz w:val="24"/>
          <w:szCs w:val="24"/>
        </w:rPr>
        <w:t>偏离表；</w:t>
      </w:r>
    </w:p>
    <w:p>
      <w:pPr>
        <w:pageBreakBefore w:val="0"/>
        <w:numPr>
          <w:ilvl w:val="0"/>
          <w:numId w:val="2"/>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服务期满后的服务承诺</w:t>
      </w:r>
      <w:r>
        <w:rPr>
          <w:rFonts w:hint="eastAsia" w:ascii="宋体" w:hAnsi="宋体" w:eastAsia="宋体" w:cs="Times New Roman"/>
          <w:sz w:val="24"/>
          <w:szCs w:val="24"/>
          <w:lang w:eastAsia="zh-CN"/>
        </w:rPr>
        <w:t>；</w:t>
      </w:r>
    </w:p>
    <w:p>
      <w:pPr>
        <w:pageBreakBefore w:val="0"/>
        <w:numPr>
          <w:ilvl w:val="0"/>
          <w:numId w:val="2"/>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违约承诺</w:t>
      </w:r>
      <w:r>
        <w:rPr>
          <w:rFonts w:hint="eastAsia" w:ascii="宋体" w:hAnsi="宋体" w:eastAsia="宋体" w:cs="Times New Roman"/>
          <w:sz w:val="24"/>
          <w:szCs w:val="24"/>
          <w:lang w:eastAsia="zh-CN"/>
        </w:rPr>
        <w:t>；</w:t>
      </w:r>
    </w:p>
    <w:p>
      <w:pPr>
        <w:pageBreakBefore w:val="0"/>
        <w:numPr>
          <w:ilvl w:val="0"/>
          <w:numId w:val="2"/>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拟安排的项目经理情况（仅限1人）</w:t>
      </w:r>
      <w:r>
        <w:rPr>
          <w:rFonts w:hint="eastAsia" w:ascii="宋体" w:hAnsi="宋体" w:eastAsia="宋体" w:cs="Times New Roman"/>
          <w:sz w:val="24"/>
          <w:szCs w:val="24"/>
          <w:lang w:eastAsia="zh-CN"/>
        </w:rPr>
        <w:t>；</w:t>
      </w:r>
    </w:p>
    <w:p>
      <w:pPr>
        <w:pageBreakBefore w:val="0"/>
        <w:numPr>
          <w:ilvl w:val="0"/>
          <w:numId w:val="2"/>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拟安排服务团队情况（项目经理除外）</w:t>
      </w:r>
      <w:r>
        <w:rPr>
          <w:rFonts w:hint="eastAsia" w:ascii="宋体" w:hAnsi="宋体" w:eastAsia="宋体" w:cs="Times New Roman"/>
          <w:sz w:val="24"/>
          <w:szCs w:val="24"/>
          <w:lang w:eastAsia="zh-CN"/>
        </w:rPr>
        <w:t>；</w:t>
      </w:r>
    </w:p>
    <w:p>
      <w:pPr>
        <w:pageBreakBefore w:val="0"/>
        <w:numPr>
          <w:ilvl w:val="0"/>
          <w:numId w:val="2"/>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其他招标文件要求或投标人认为需要补充的内容（非公开）。</w:t>
      </w:r>
    </w:p>
    <w:p>
      <w:pPr>
        <w:pageBreakBefore w:val="0"/>
        <w:kinsoku/>
        <w:wordWrap/>
        <w:overflowPunct/>
        <w:topLinePunct w:val="0"/>
        <w:autoSpaceDE/>
        <w:autoSpaceDN/>
        <w:bidi w:val="0"/>
        <w:spacing w:line="320" w:lineRule="atLeast"/>
        <w:rPr>
          <w:rFonts w:ascii="宋体" w:hAnsi="宋体"/>
          <w:b/>
          <w:sz w:val="24"/>
          <w:szCs w:val="24"/>
        </w:rPr>
      </w:pPr>
      <w:bookmarkStart w:id="29" w:name="_Hlk72257771"/>
      <w:r>
        <w:rPr>
          <w:rFonts w:hint="eastAsia" w:ascii="宋体" w:hAnsi="宋体"/>
          <w:b/>
          <w:sz w:val="24"/>
          <w:szCs w:val="24"/>
        </w:rPr>
        <w:t>备注：</w:t>
      </w:r>
    </w:p>
    <w:p>
      <w:pPr>
        <w:pageBreakBefore w:val="0"/>
        <w:kinsoku/>
        <w:wordWrap/>
        <w:overflowPunct/>
        <w:topLinePunct w:val="0"/>
        <w:autoSpaceDE/>
        <w:autoSpaceDN/>
        <w:bidi w:val="0"/>
        <w:snapToGrid w:val="0"/>
        <w:spacing w:line="320" w:lineRule="atLeast"/>
        <w:ind w:firstLine="482" w:firstLineChars="200"/>
        <w:rPr>
          <w:rFonts w:ascii="宋体" w:hAnsi="宋体"/>
          <w:b/>
          <w:sz w:val="24"/>
          <w:szCs w:val="24"/>
        </w:rPr>
      </w:pPr>
      <w:r>
        <w:rPr>
          <w:rFonts w:hint="eastAsia" w:ascii="宋体" w:hAnsi="宋体"/>
          <w:b/>
          <w:sz w:val="24"/>
          <w:szCs w:val="24"/>
        </w:rPr>
        <w:t>1.本项目为网上电子投标项目，投标文件不需法人或授权委托人另行签字，无需加盖单位公章，招标文件另有规定的除外。</w:t>
      </w:r>
    </w:p>
    <w:p>
      <w:pPr>
        <w:pageBreakBefore w:val="0"/>
        <w:kinsoku/>
        <w:wordWrap/>
        <w:overflowPunct/>
        <w:topLinePunct w:val="0"/>
        <w:autoSpaceDE/>
        <w:autoSpaceDN/>
        <w:bidi w:val="0"/>
        <w:snapToGrid w:val="0"/>
        <w:spacing w:line="320" w:lineRule="atLeast"/>
        <w:ind w:firstLine="482" w:firstLineChars="200"/>
        <w:rPr>
          <w:rFonts w:ascii="宋体" w:hAnsi="宋体" w:eastAsia="黑体" w:cs="Times New Roman"/>
          <w:bCs/>
          <w:kern w:val="44"/>
          <w:sz w:val="32"/>
          <w:szCs w:val="32"/>
        </w:rPr>
      </w:pPr>
      <w:bookmarkStart w:id="30" w:name="_Hlk72263559"/>
      <w:r>
        <w:rPr>
          <w:rFonts w:hint="eastAsia" w:ascii="宋体" w:hAnsi="宋体"/>
          <w:b/>
          <w:sz w:val="24"/>
          <w:szCs w:val="24"/>
        </w:rPr>
        <w:t>2.关于填写“开标一览表”的说明：“开标一览表”中除“投标总价”外，其他信息不作评审依据。</w:t>
      </w:r>
      <w:bookmarkEnd w:id="29"/>
      <w:bookmarkEnd w:id="30"/>
      <w:r>
        <w:rPr>
          <w:rFonts w:ascii="宋体" w:hAnsi="宋体" w:eastAsia="黑体" w:cs="Times New Roman"/>
          <w:bCs/>
          <w:kern w:val="44"/>
          <w:sz w:val="32"/>
          <w:szCs w:val="32"/>
        </w:rPr>
        <w:br w:type="page"/>
      </w:r>
    </w:p>
    <w:p>
      <w:pPr>
        <w:widowControl/>
        <w:jc w:val="left"/>
        <w:outlineLvl w:val="2"/>
        <w:rPr>
          <w:rFonts w:ascii="宋体" w:hAnsi="宋体" w:eastAsia="宋体" w:cs="宋体"/>
          <w:b/>
          <w:color w:val="FF0000"/>
          <w:kern w:val="0"/>
          <w:sz w:val="32"/>
          <w:szCs w:val="32"/>
        </w:rPr>
      </w:pPr>
      <w:r>
        <w:rPr>
          <w:rFonts w:hint="eastAsia" w:ascii="宋体" w:hAnsi="宋体" w:eastAsia="宋体" w:cs="宋体"/>
          <w:b/>
          <w:color w:val="FF0000"/>
          <w:kern w:val="0"/>
          <w:sz w:val="32"/>
          <w:szCs w:val="32"/>
        </w:rPr>
        <w:t>（一）投标文件正文（信息公开部分）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ascii="宋体" w:hAnsi="宋体" w:eastAsia="宋体" w:cs="Times New Roman"/>
          <w:b/>
          <w:bCs/>
          <w:kern w:val="0"/>
          <w:sz w:val="24"/>
          <w:szCs w:val="20"/>
        </w:rPr>
        <w:t>1.投标</w:t>
      </w:r>
      <w:r>
        <w:rPr>
          <w:rFonts w:hint="eastAsia" w:ascii="宋体" w:hAnsi="宋体" w:eastAsia="宋体" w:cs="Times New Roman"/>
          <w:b/>
          <w:bCs/>
          <w:kern w:val="0"/>
          <w:sz w:val="24"/>
          <w:szCs w:val="20"/>
        </w:rPr>
        <w:t>函</w:t>
      </w:r>
    </w:p>
    <w:p>
      <w:pPr>
        <w:snapToGrid w:val="0"/>
        <w:spacing w:line="360" w:lineRule="auto"/>
        <w:rPr>
          <w:rFonts w:ascii="Arial" w:hAnsi="Arial" w:eastAsia="宋体" w:cs="Times New Roman"/>
          <w:szCs w:val="24"/>
        </w:rPr>
      </w:pPr>
    </w:p>
    <w:p>
      <w:pPr>
        <w:snapToGrid w:val="0"/>
        <w:spacing w:line="360" w:lineRule="auto"/>
        <w:rPr>
          <w:rFonts w:ascii="Arial" w:hAnsi="Arial" w:eastAsia="宋体" w:cs="Arial"/>
          <w:szCs w:val="21"/>
          <w:u w:val="single"/>
        </w:rPr>
      </w:pPr>
      <w:r>
        <w:rPr>
          <w:rFonts w:ascii="Arial" w:hAnsi="Arial" w:eastAsia="宋体" w:cs="Arial"/>
          <w:szCs w:val="21"/>
        </w:rPr>
        <w:t>致：</w:t>
      </w:r>
      <w:r>
        <w:rPr>
          <w:rFonts w:hint="eastAsia" w:ascii="Arial" w:hAnsi="Arial" w:eastAsia="宋体" w:cs="Arial"/>
          <w:szCs w:val="21"/>
          <w:u w:val="single"/>
        </w:rPr>
        <w:t>深圳公共资源交易中心</w:t>
      </w:r>
    </w:p>
    <w:p>
      <w:pPr>
        <w:snapToGrid w:val="0"/>
        <w:spacing w:line="360" w:lineRule="auto"/>
        <w:rPr>
          <w:rFonts w:ascii="Arial" w:hAnsi="Arial" w:eastAsia="宋体" w:cs="Arial"/>
          <w:szCs w:val="21"/>
        </w:rPr>
      </w:pPr>
      <w:bookmarkStart w:id="31" w:name="_Hlk73818812"/>
      <w:r>
        <w:rPr>
          <w:rFonts w:hint="eastAsia" w:ascii="Arial" w:hAnsi="Arial" w:eastAsia="宋体" w:cs="Arial"/>
          <w:szCs w:val="21"/>
        </w:rPr>
        <w:t>1、根据已收到贵单位的项目编号为</w:t>
      </w:r>
      <w:r>
        <w:rPr>
          <w:rFonts w:hint="eastAsia" w:ascii="Arial" w:hAnsi="Arial" w:eastAsia="宋体" w:cs="Arial"/>
          <w:szCs w:val="21"/>
          <w:u w:val="single"/>
        </w:rPr>
        <w:t xml:space="preserve"> </w:t>
      </w:r>
      <w:r>
        <w:rPr>
          <w:rFonts w:hint="eastAsia" w:ascii="Arial" w:hAnsi="Arial" w:eastAsia="宋体" w:cs="Arial"/>
          <w:szCs w:val="21"/>
          <w:u w:val="single"/>
          <w:lang w:eastAsia="zh-CN"/>
        </w:rPr>
        <w:t>BAZXCG-2024-00459</w:t>
      </w:r>
      <w:r>
        <w:rPr>
          <w:rFonts w:hint="eastAsia" w:ascii="Arial" w:hAnsi="Arial" w:eastAsia="宋体" w:cs="Arial"/>
          <w:szCs w:val="21"/>
          <w:u w:val="single"/>
        </w:rPr>
        <w:t xml:space="preserve"> </w:t>
      </w:r>
      <w:r>
        <w:rPr>
          <w:rFonts w:hint="eastAsia" w:ascii="Arial" w:hAnsi="Arial" w:eastAsia="宋体" w:cs="Arial"/>
          <w:szCs w:val="21"/>
        </w:rPr>
        <w:t>的</w:t>
      </w:r>
      <w:r>
        <w:rPr>
          <w:rFonts w:hint="eastAsia" w:ascii="Arial" w:hAnsi="Arial" w:eastAsia="宋体" w:cs="Arial"/>
          <w:szCs w:val="21"/>
          <w:u w:val="single"/>
        </w:rPr>
        <w:t xml:space="preserve"> </w:t>
      </w:r>
      <w:r>
        <w:rPr>
          <w:rFonts w:hint="eastAsia" w:ascii="Arial" w:hAnsi="Arial" w:eastAsia="宋体" w:cs="Arial"/>
          <w:szCs w:val="21"/>
          <w:u w:val="single"/>
          <w:lang w:eastAsia="zh-CN"/>
        </w:rPr>
        <w:t>西湾小学蘅芳校区物业管理和非教育教学管理服务</w:t>
      </w:r>
      <w:r>
        <w:rPr>
          <w:rFonts w:hint="eastAsia" w:ascii="Arial" w:hAnsi="Arial" w:eastAsia="宋体" w:cs="Arial"/>
          <w:szCs w:val="21"/>
          <w:u w:val="single"/>
        </w:rPr>
        <w:t xml:space="preserve"> </w:t>
      </w:r>
      <w:r>
        <w:rPr>
          <w:rFonts w:hint="eastAsia" w:ascii="Arial" w:hAnsi="Arial" w:eastAsia="宋体" w:cs="Arial"/>
          <w:szCs w:val="21"/>
        </w:rPr>
        <w:t>项目的招标文件，遵照《深圳经济特区政府采购条例》和《深圳网上政府采购管理暂行办法》等有关规定，我单位经研究上述招标文件的专用条款及通用条款后，</w:t>
      </w:r>
      <w:bookmarkStart w:id="32" w:name="_Hlk72263588"/>
      <w:r>
        <w:rPr>
          <w:rFonts w:hint="eastAsia" w:ascii="Arial" w:hAnsi="Arial" w:eastAsia="宋体" w:cs="Arial"/>
          <w:szCs w:val="21"/>
        </w:rPr>
        <w:t>愿意按照招标文件要求承包上述项目并修补其任何缺陷。</w:t>
      </w:r>
      <w:bookmarkEnd w:id="32"/>
    </w:p>
    <w:p>
      <w:pPr>
        <w:snapToGrid w:val="0"/>
        <w:spacing w:line="360" w:lineRule="auto"/>
        <w:rPr>
          <w:rFonts w:ascii="Arial" w:hAnsi="Arial" w:eastAsia="宋体" w:cs="Arial"/>
          <w:szCs w:val="21"/>
        </w:rPr>
      </w:pPr>
      <w:r>
        <w:rPr>
          <w:rFonts w:ascii="Arial" w:hAnsi="Arial" w:eastAsia="宋体" w:cs="Arial"/>
          <w:szCs w:val="21"/>
        </w:rPr>
        <w:t>2</w:t>
      </w:r>
      <w:r>
        <w:rPr>
          <w:rFonts w:hint="eastAsia" w:ascii="Arial" w:hAnsi="Arial" w:eastAsia="宋体" w:cs="Arial"/>
          <w:szCs w:val="21"/>
        </w:rPr>
        <w:t>、投标价格见投标书编制软件中《开标一览表》中填写的投标总价。</w:t>
      </w:r>
    </w:p>
    <w:p>
      <w:pPr>
        <w:snapToGrid w:val="0"/>
        <w:spacing w:line="360" w:lineRule="auto"/>
        <w:rPr>
          <w:rFonts w:ascii="Arial" w:hAnsi="Arial" w:eastAsia="宋体" w:cs="Arial"/>
          <w:szCs w:val="21"/>
        </w:rPr>
      </w:pPr>
      <w:r>
        <w:rPr>
          <w:rFonts w:hint="eastAsia" w:ascii="Arial" w:hAnsi="Arial" w:eastAsia="宋体" w:cs="Arial"/>
          <w:szCs w:val="21"/>
        </w:rPr>
        <w:t>3、如果我单位中标，我单位将按照招标文件的要求足额提交履约担保。</w:t>
      </w:r>
    </w:p>
    <w:p>
      <w:pPr>
        <w:snapToGrid w:val="0"/>
        <w:spacing w:line="360" w:lineRule="auto"/>
        <w:rPr>
          <w:rFonts w:ascii="Arial" w:hAnsi="Arial" w:eastAsia="宋体" w:cs="Arial"/>
          <w:szCs w:val="21"/>
        </w:rPr>
      </w:pPr>
      <w:r>
        <w:rPr>
          <w:rFonts w:hint="eastAsia" w:ascii="Arial" w:hAnsi="Arial" w:eastAsia="宋体" w:cs="Arial"/>
          <w:szCs w:val="21"/>
        </w:rPr>
        <w:t>4、我单位同意所递交的投标文件在“对通用条款的补充内容”中明确的投标有效期内有效，在此期间内我单位的投标有可能中标，我方将受此约束。</w:t>
      </w:r>
    </w:p>
    <w:p>
      <w:pPr>
        <w:snapToGrid w:val="0"/>
        <w:spacing w:line="360" w:lineRule="auto"/>
        <w:rPr>
          <w:rFonts w:ascii="Arial" w:hAnsi="Arial" w:eastAsia="宋体" w:cs="Arial"/>
          <w:szCs w:val="21"/>
        </w:rPr>
      </w:pPr>
      <w:r>
        <w:rPr>
          <w:rFonts w:hint="eastAsia" w:ascii="Arial" w:hAnsi="Arial" w:eastAsia="宋体" w:cs="Arial"/>
          <w:szCs w:val="21"/>
        </w:rPr>
        <w:t>5、除非另外达成协议并生效，贵单位的中标通知书和本投标文件将构成合同的重要内容。</w:t>
      </w:r>
    </w:p>
    <w:p>
      <w:pPr>
        <w:snapToGrid w:val="0"/>
        <w:spacing w:line="360" w:lineRule="auto"/>
        <w:rPr>
          <w:rFonts w:ascii="Arial" w:hAnsi="Arial" w:eastAsia="宋体" w:cs="Arial"/>
          <w:szCs w:val="21"/>
        </w:rPr>
      </w:pPr>
      <w:r>
        <w:rPr>
          <w:rFonts w:hint="eastAsia" w:ascii="Arial" w:hAnsi="Arial" w:eastAsia="宋体" w:cs="Arial"/>
          <w:szCs w:val="21"/>
        </w:rPr>
        <w:t>6、我单位理解贵单位将不受必须接受所收到的最低报价或其它任何投标文件的约束。</w:t>
      </w:r>
      <w:bookmarkEnd w:id="31"/>
    </w:p>
    <w:p>
      <w:pPr>
        <w:snapToGrid w:val="0"/>
        <w:spacing w:line="360" w:lineRule="auto"/>
        <w:rPr>
          <w:rFonts w:ascii="Arial" w:hAnsi="Arial" w:eastAsia="宋体" w:cs="Arial"/>
          <w:b/>
          <w:szCs w:val="21"/>
        </w:rPr>
      </w:pPr>
      <w:r>
        <w:rPr>
          <w:rFonts w:hint="eastAsia" w:ascii="Arial" w:hAnsi="Arial" w:eastAsia="宋体" w:cs="Arial"/>
          <w:b/>
          <w:szCs w:val="21"/>
        </w:rPr>
        <w:t>7</w:t>
      </w:r>
      <w:r>
        <w:rPr>
          <w:rFonts w:ascii="Arial" w:hAnsi="Arial" w:eastAsia="宋体" w:cs="Arial"/>
          <w:b/>
          <w:szCs w:val="21"/>
        </w:rPr>
        <w:t>、如我单位提交样品，且未在规定时间内取回样品的，视同放弃取回，同意深圳公共资源交易中心对我单位提交的样品进行清理。</w:t>
      </w:r>
    </w:p>
    <w:p>
      <w:pPr>
        <w:snapToGrid w:val="0"/>
        <w:spacing w:line="360" w:lineRule="auto"/>
        <w:rPr>
          <w:rFonts w:ascii="Arial" w:hAnsi="Arial" w:eastAsia="宋体" w:cs="Arial"/>
          <w:b/>
          <w:szCs w:val="21"/>
        </w:rPr>
      </w:pPr>
    </w:p>
    <w:p>
      <w:pPr>
        <w:snapToGrid w:val="0"/>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投标人：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none"/>
          <w:lang w:val="en-US" w:eastAsia="zh-CN"/>
        </w:rPr>
        <w:t xml:space="preserve">          </w:t>
      </w:r>
      <w:r>
        <w:rPr>
          <w:rFonts w:hint="eastAsia" w:asciiTheme="minorEastAsia" w:hAnsiTheme="minorEastAsia" w:eastAsiaTheme="minorEastAsia" w:cstheme="minorEastAsia"/>
          <w:sz w:val="21"/>
          <w:szCs w:val="21"/>
        </w:rPr>
        <w:t>单位地址：</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p>
    <w:p>
      <w:pPr>
        <w:snapToGrid w:val="0"/>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法定代表人（负责人）或其</w:t>
      </w:r>
      <w:r>
        <w:rPr>
          <w:rFonts w:hint="eastAsia" w:asciiTheme="minorEastAsia" w:hAnsiTheme="minorEastAsia" w:eastAsiaTheme="minorEastAsia" w:cstheme="minorEastAsia"/>
          <w:sz w:val="21"/>
          <w:szCs w:val="21"/>
          <w:lang w:val="en-US" w:eastAsia="zh-CN"/>
        </w:rPr>
        <w:t>授权委托</w:t>
      </w:r>
      <w:r>
        <w:rPr>
          <w:rFonts w:hint="eastAsia" w:asciiTheme="minorEastAsia" w:hAnsiTheme="minorEastAsia" w:eastAsiaTheme="minorEastAsia" w:cstheme="minorEastAsia"/>
          <w:sz w:val="21"/>
          <w:szCs w:val="21"/>
        </w:rPr>
        <w:t>代理人：</w:t>
      </w:r>
      <w:r>
        <w:rPr>
          <w:rFonts w:hint="eastAsia" w:asciiTheme="minorEastAsia" w:hAnsiTheme="minorEastAsia" w:eastAsiaTheme="minorEastAsia" w:cstheme="minorEastAsia"/>
          <w:sz w:val="21"/>
          <w:szCs w:val="21"/>
          <w:u w:val="single"/>
        </w:rPr>
        <w:t xml:space="preserve">           </w:t>
      </w:r>
    </w:p>
    <w:p>
      <w:pPr>
        <w:snapToGrid w:val="0"/>
        <w:spacing w:line="360" w:lineRule="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开户银行名称：</w:t>
      </w:r>
      <w:r>
        <w:rPr>
          <w:rFonts w:hint="eastAsia" w:asciiTheme="minorEastAsia" w:hAnsiTheme="minorEastAsia" w:eastAsiaTheme="minorEastAsia" w:cstheme="minorEastAsia"/>
          <w:sz w:val="21"/>
          <w:szCs w:val="21"/>
          <w:u w:val="single"/>
        </w:rPr>
        <w:t xml:space="preserve">           </w:t>
      </w:r>
    </w:p>
    <w:p>
      <w:pPr>
        <w:snapToGrid w:val="0"/>
        <w:spacing w:line="360" w:lineRule="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开户银行账号：</w:t>
      </w:r>
      <w:r>
        <w:rPr>
          <w:rFonts w:hint="eastAsia" w:asciiTheme="minorEastAsia" w:hAnsiTheme="minorEastAsia" w:eastAsiaTheme="minorEastAsia" w:cstheme="minorEastAsia"/>
          <w:sz w:val="21"/>
          <w:szCs w:val="21"/>
          <w:u w:val="single"/>
          <w:lang w:val="en-US" w:eastAsia="zh-CN"/>
        </w:rPr>
        <w:t xml:space="preserve">           </w:t>
      </w:r>
    </w:p>
    <w:p>
      <w:pPr>
        <w:snapToGrid w:val="0"/>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邮政编码：</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电话：</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传真：</w:t>
      </w:r>
      <w:r>
        <w:rPr>
          <w:rFonts w:hint="eastAsia" w:asciiTheme="minorEastAsia" w:hAnsiTheme="minorEastAsia" w:eastAsiaTheme="minorEastAsia" w:cstheme="minorEastAsia"/>
          <w:sz w:val="21"/>
          <w:szCs w:val="21"/>
          <w:u w:val="single"/>
        </w:rPr>
        <w:t xml:space="preserve">           </w:t>
      </w:r>
    </w:p>
    <w:p>
      <w:pPr>
        <w:snapToGrid w:val="0"/>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邮箱：</w:t>
      </w:r>
      <w:r>
        <w:rPr>
          <w:rFonts w:hint="eastAsia" w:asciiTheme="minorEastAsia" w:hAnsiTheme="minorEastAsia" w:eastAsiaTheme="minorEastAsia" w:cstheme="minorEastAsia"/>
          <w:sz w:val="21"/>
          <w:szCs w:val="21"/>
          <w:u w:val="single"/>
        </w:rPr>
        <w:t xml:space="preserve">            </w:t>
      </w:r>
    </w:p>
    <w:p>
      <w:pPr>
        <w:snapToGrid w:val="0"/>
        <w:spacing w:line="360" w:lineRule="auto"/>
        <w:rPr>
          <w:rFonts w:ascii="Arial" w:hAnsi="Arial" w:eastAsia="宋体" w:cs="Arial"/>
          <w:szCs w:val="21"/>
        </w:rPr>
      </w:pPr>
    </w:p>
    <w:p>
      <w:pPr>
        <w:snapToGrid w:val="0"/>
        <w:spacing w:line="360" w:lineRule="auto"/>
        <w:rPr>
          <w:rFonts w:ascii="Arial" w:hAnsi="Arial" w:eastAsia="宋体" w:cs="Arial"/>
          <w:szCs w:val="21"/>
        </w:rPr>
      </w:pPr>
      <w:r>
        <w:rPr>
          <w:rFonts w:hint="eastAsia" w:ascii="Arial" w:hAnsi="Arial" w:eastAsia="宋体" w:cs="Arial"/>
          <w:szCs w:val="21"/>
        </w:rPr>
        <w:t>日期： 年  月  日</w:t>
      </w:r>
    </w:p>
    <w:p>
      <w:pPr>
        <w:spacing w:afterLines="25" w:line="300" w:lineRule="auto"/>
        <w:ind w:firstLine="420" w:firstLineChars="200"/>
        <w:rPr>
          <w:rFonts w:ascii="Arial" w:hAnsi="Arial" w:eastAsia="宋体" w:cs="Times New Roman"/>
          <w:sz w:val="24"/>
          <w:szCs w:val="24"/>
        </w:rPr>
      </w:pPr>
      <w:r>
        <w:rPr>
          <w:rFonts w:hint="eastAsia" w:ascii="Arial" w:hAnsi="Arial" w:eastAsia="宋体" w:cs="Arial"/>
          <w:szCs w:val="24"/>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Arial" w:hAnsi="Arial" w:eastAsia="宋体" w:cs="Arial"/>
          <w:szCs w:val="24"/>
          <w:u w:val="single"/>
        </w:rPr>
        <w:t xml:space="preserve">                 </w:t>
      </w:r>
      <w:r>
        <w:rPr>
          <w:rFonts w:hint="eastAsia" w:ascii="Arial" w:hAnsi="Arial" w:eastAsia="宋体" w:cs="Arial"/>
          <w:szCs w:val="24"/>
        </w:rPr>
        <w:t>。</w:t>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2.政府采购投标及履约承诺函</w:t>
      </w:r>
    </w:p>
    <w:p>
      <w:pPr>
        <w:adjustRightInd w:val="0"/>
        <w:snapToGrid w:val="0"/>
        <w:rPr>
          <w:rFonts w:ascii="宋体" w:hAnsi="宋体" w:eastAsia="宋体" w:cs="Times New Roman"/>
          <w:sz w:val="24"/>
          <w:szCs w:val="24"/>
        </w:rPr>
      </w:pPr>
      <w:r>
        <w:rPr>
          <w:rFonts w:hint="eastAsia" w:ascii="宋体" w:hAnsi="宋体" w:eastAsia="宋体" w:cs="Times New Roman"/>
          <w:sz w:val="24"/>
          <w:szCs w:val="24"/>
        </w:rPr>
        <w:t>致：</w:t>
      </w:r>
      <w:r>
        <w:rPr>
          <w:rFonts w:hint="eastAsia" w:ascii="宋体" w:hAnsi="宋体" w:eastAsia="宋体" w:cs="Times New Roman"/>
          <w:sz w:val="24"/>
          <w:szCs w:val="24"/>
          <w:u w:val="single"/>
        </w:rPr>
        <w:t>深圳公共资源交易中心</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1.我单位参与本项目</w:t>
      </w:r>
      <w:r>
        <w:rPr>
          <w:rFonts w:hint="eastAsia" w:asciiTheme="minorEastAsia" w:hAnsiTheme="minorEastAsia" w:eastAsiaTheme="minorEastAsia" w:cstheme="minorEastAsia"/>
          <w:color w:val="auto"/>
        </w:rPr>
        <w:t>所投标（响应）的货物、工程或服务，不存在侵犯知识产权的情况。</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2.我单位参与本项目</w:t>
      </w:r>
      <w:r>
        <w:rPr>
          <w:rFonts w:hint="eastAsia" w:asciiTheme="minorEastAsia" w:hAnsiTheme="minorEastAsia" w:eastAsiaTheme="minorEastAsia" w:cstheme="minorEastAsia"/>
          <w:color w:val="auto"/>
        </w:rPr>
        <w:t>政府采购活动时不存在被有关部门禁止参与政府采购活动且在有效期内的情况。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3.我单位具备《中华人民共和国政府采购法》第二十二条第一款规定的六项条件。</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zCs w:val="21"/>
        </w:rPr>
        <w:t>4.我单位</w:t>
      </w:r>
      <w:r>
        <w:rPr>
          <w:rFonts w:hint="eastAsia" w:asciiTheme="minorEastAsia" w:hAnsiTheme="minorEastAsia" w:eastAsiaTheme="minorEastAsia" w:cstheme="minorEastAsia"/>
          <w:color w:val="auto"/>
        </w:rPr>
        <w:t>未被列入失信被执行人、重大税收违法案件当事人名单、政府采购严重违法失信行为记录名单</w:t>
      </w:r>
      <w:r>
        <w:rPr>
          <w:rFonts w:hint="eastAsia" w:asciiTheme="minorEastAsia" w:hAnsiTheme="minorEastAsia" w:eastAsiaTheme="minorEastAsia" w:cstheme="minorEastAsia"/>
          <w:color w:val="auto"/>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5.我单位不存在《深圳市财政局政府采购供应商信用信息管理办法》（深财规〔2023〕3号）列明的严重违法失信行为。</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7</w:t>
      </w:r>
      <w:r>
        <w:rPr>
          <w:rFonts w:hint="eastAsia" w:asciiTheme="minorEastAsia" w:hAnsiTheme="minorEastAsia" w:eastAsiaTheme="minorEastAsia" w:cstheme="minorEastAsia"/>
          <w:color w:val="auto"/>
          <w:szCs w:val="21"/>
        </w:rPr>
        <w:t>.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8</w:t>
      </w:r>
      <w:r>
        <w:rPr>
          <w:rFonts w:hint="eastAsia" w:asciiTheme="minorEastAsia" w:hAnsiTheme="minorEastAsia" w:eastAsiaTheme="minorEastAsia" w:cstheme="minorEastAsia"/>
          <w:color w:val="auto"/>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9</w:t>
      </w:r>
      <w:r>
        <w:rPr>
          <w:rFonts w:hint="eastAsia" w:asciiTheme="minorEastAsia" w:hAnsiTheme="minorEastAsia" w:eastAsiaTheme="minorEastAsia" w:cstheme="minorEastAsia"/>
          <w:color w:val="auto"/>
          <w:szCs w:val="21"/>
        </w:rPr>
        <w:t>.我单位承诺中标后项目不转包，未经采购人同意不进行分包。</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lang w:val="en-US" w:eastAsia="zh-CN"/>
        </w:rPr>
        <w:t>10</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.我单位保证，若所投货物涉及《财政部生态环境部关于印发节能产品政府采购品目清单的通知》（财库〔2019〕19号）列明的政府采购强制产品，则所投该产品符合节能产品的认证要求。</w:t>
      </w:r>
      <w:r>
        <w:rPr>
          <w:rFonts w:hint="eastAsia" w:asciiTheme="minorEastAsia" w:hAnsiTheme="minorEastAsia" w:eastAsiaTheme="minorEastAsia" w:cstheme="minorEastAsia"/>
          <w:color w:val="auto"/>
          <w:lang w:val="en-US" w:eastAsia="zh-CN"/>
        </w:rPr>
        <w:t>若所投产品包括数据中心相关设备的，应满足</w:t>
      </w:r>
      <w:r>
        <w:rPr>
          <w:rFonts w:hint="eastAsia" w:asciiTheme="minorEastAsia" w:hAnsiTheme="minorEastAsia" w:eastAsiaTheme="minorEastAsia" w:cstheme="minorEastAsia"/>
          <w:color w:val="auto"/>
        </w:rPr>
        <w:t>《财政部 生态环境部 工业和信息化部关于印发&lt;绿色数据中心政府采购需求标准（试行）&gt;的通知》</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财库〔2023〕7号）</w:t>
      </w:r>
      <w:r>
        <w:rPr>
          <w:rFonts w:hint="eastAsia" w:asciiTheme="minorEastAsia" w:hAnsiTheme="minorEastAsia" w:eastAsiaTheme="minorEastAsia" w:cstheme="minorEastAsia"/>
          <w:color w:val="auto"/>
          <w:lang w:val="en-US" w:eastAsia="zh-CN"/>
        </w:rPr>
        <w:t>要求。若所投产品涉及国家强制性标准的，所投产品应符合国家强制性标准相关要求。</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val="0"/>
          <w:bCs/>
          <w:color w:val="auto"/>
        </w:rPr>
      </w:pPr>
      <w:r>
        <w:rPr>
          <w:rFonts w:hint="eastAsia" w:asciiTheme="minorEastAsia" w:hAnsiTheme="minorEastAsia" w:eastAsiaTheme="minorEastAsia" w:cstheme="minorEastAsia"/>
          <w:b w:val="0"/>
          <w:bCs/>
          <w:color w:val="auto"/>
          <w:kern w:val="0"/>
          <w:szCs w:val="21"/>
        </w:rPr>
        <w:t>1</w:t>
      </w:r>
      <w:r>
        <w:rPr>
          <w:rFonts w:hint="eastAsia" w:asciiTheme="minorEastAsia" w:hAnsiTheme="minorEastAsia" w:eastAsiaTheme="minorEastAsia" w:cstheme="minorEastAsia"/>
          <w:b w:val="0"/>
          <w:bCs/>
          <w:color w:val="auto"/>
          <w:kern w:val="0"/>
          <w:szCs w:val="21"/>
          <w:lang w:val="en-US" w:eastAsia="zh-CN"/>
        </w:rPr>
        <w:t>2</w:t>
      </w:r>
      <w:r>
        <w:rPr>
          <w:rFonts w:hint="eastAsia" w:asciiTheme="minorEastAsia" w:hAnsiTheme="minorEastAsia" w:eastAsiaTheme="minorEastAsia" w:cstheme="minorEastAsia"/>
          <w:b w:val="0"/>
          <w:bCs/>
          <w:color w:val="auto"/>
          <w:kern w:val="0"/>
          <w:szCs w:val="21"/>
        </w:rPr>
        <w:t>.</w:t>
      </w:r>
      <w:r>
        <w:rPr>
          <w:rFonts w:hint="eastAsia" w:asciiTheme="minorEastAsia" w:hAnsiTheme="minorEastAsia" w:eastAsiaTheme="minorEastAsia" w:cstheme="minorEastAsia"/>
          <w:b w:val="0"/>
          <w:bCs/>
          <w:color w:val="auto"/>
        </w:rPr>
        <w:t>我单位已知悉并同意中标（成交）结果信息公示（公开）的内容。</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val="0"/>
          <w:bCs/>
          <w:color w:val="auto"/>
        </w:rPr>
      </w:pPr>
      <w:r>
        <w:rPr>
          <w:rFonts w:hint="eastAsia" w:asciiTheme="minorEastAsia" w:hAnsiTheme="minorEastAsia" w:eastAsiaTheme="minorEastAsia" w:cstheme="minorEastAsia"/>
          <w:b w:val="0"/>
          <w:bCs/>
          <w:color w:val="auto"/>
        </w:rPr>
        <w:t>1</w:t>
      </w:r>
      <w:r>
        <w:rPr>
          <w:rFonts w:hint="eastAsia" w:asciiTheme="minorEastAsia" w:hAnsiTheme="minorEastAsia" w:eastAsiaTheme="minorEastAsia" w:cstheme="minorEastAsia"/>
          <w:b w:val="0"/>
          <w:bCs/>
          <w:color w:val="auto"/>
          <w:lang w:val="en-US" w:eastAsia="zh-CN"/>
        </w:rPr>
        <w:t>3</w:t>
      </w:r>
      <w:r>
        <w:rPr>
          <w:rFonts w:hint="eastAsia" w:asciiTheme="minorEastAsia" w:hAnsiTheme="minorEastAsia" w:eastAsiaTheme="minorEastAsia" w:cstheme="minorEastAsia"/>
          <w:b w:val="0"/>
          <w:bCs/>
          <w:color w:val="auto"/>
        </w:rPr>
        <w:t>.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Theme="minorEastAsia" w:hAnsiTheme="minorEastAsia" w:eastAsiaTheme="minorEastAsia" w:cstheme="minorEastAsia"/>
          <w:b w:val="0"/>
          <w:bCs/>
          <w:color w:val="auto"/>
          <w:lang w:val="en-US" w:eastAsia="zh-CN"/>
        </w:rPr>
        <w:t>若</w:t>
      </w:r>
      <w:r>
        <w:rPr>
          <w:rFonts w:hint="eastAsia" w:asciiTheme="minorEastAsia" w:hAnsiTheme="minorEastAsia" w:eastAsiaTheme="minorEastAsia" w:cstheme="minorEastAsia"/>
          <w:b w:val="0"/>
          <w:bCs/>
          <w:color w:val="auto"/>
        </w:rPr>
        <w:t>存在“不同供应商的董事、股东或其他高级管理人员为同一人的”情形的，</w:t>
      </w:r>
      <w:r>
        <w:rPr>
          <w:rFonts w:hint="eastAsia" w:asciiTheme="minorEastAsia" w:hAnsiTheme="minorEastAsia" w:eastAsiaTheme="minorEastAsia" w:cstheme="minorEastAsia"/>
          <w:b w:val="0"/>
          <w:bCs/>
          <w:color w:val="auto"/>
          <w:lang w:val="en-US" w:eastAsia="zh-CN"/>
        </w:rPr>
        <w:t>我单位保证</w:t>
      </w:r>
      <w:r>
        <w:rPr>
          <w:rFonts w:hint="eastAsia" w:asciiTheme="minorEastAsia" w:hAnsiTheme="minorEastAsia" w:eastAsiaTheme="minorEastAsia" w:cstheme="minorEastAsia"/>
          <w:b w:val="0"/>
          <w:bCs/>
          <w:color w:val="auto"/>
        </w:rPr>
        <w:t>不存在串通投标、恶意串通或者视为串通投标的情形</w:t>
      </w:r>
      <w:r>
        <w:rPr>
          <w:rFonts w:hint="eastAsia" w:asciiTheme="minorEastAsia" w:hAnsiTheme="minorEastAsia" w:eastAsiaTheme="minorEastAsia" w:cstheme="minorEastAsia"/>
          <w:b w:val="0"/>
          <w:bCs/>
          <w:color w:val="auto"/>
          <w:lang w:eastAsia="zh-CN"/>
        </w:rPr>
        <w:t>。</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hint="eastAsia" w:asciiTheme="minorEastAsia" w:hAnsiTheme="minorEastAsia" w:eastAsiaTheme="minorEastAsia" w:cstheme="minorEastAsia"/>
          <w:b/>
          <w:bCs w:val="0"/>
          <w:color w:val="auto"/>
          <w:sz w:val="21"/>
          <w:lang w:val="en-US" w:eastAsia="zh-CN"/>
        </w:rPr>
      </w:pPr>
      <w:r>
        <w:rPr>
          <w:rFonts w:hint="eastAsia" w:asciiTheme="minorEastAsia" w:hAnsiTheme="minorEastAsia" w:eastAsiaTheme="minorEastAsia" w:cstheme="minorEastAsia"/>
          <w:b/>
          <w:bCs w:val="0"/>
          <w:color w:val="auto"/>
          <w:sz w:val="21"/>
          <w:lang w:val="en-US" w:eastAsia="zh-CN"/>
        </w:rPr>
        <w:t>14.我单位清楚，如存在违反投标承诺行为情节严重的，将根据《深圳市财政局关于印发&lt;深圳市财政局政府采购供应商信用信息管理办法&gt;的通知》，依法被列入失信信息。</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p>
    <w:p>
      <w:pPr>
        <w:ind w:firstLine="420" w:firstLineChars="200"/>
        <w:rPr>
          <w:rFonts w:ascii="宋体" w:hAnsi="宋体" w:eastAsia="宋体" w:cs="Times New Roman"/>
          <w:szCs w:val="21"/>
        </w:rPr>
      </w:pPr>
      <w:r>
        <w:rPr>
          <w:rFonts w:hint="eastAsia" w:asciiTheme="minorEastAsia" w:hAnsiTheme="minorEastAsia" w:eastAsiaTheme="minorEastAsia" w:cstheme="minorEastAsia"/>
          <w:color w:val="auto"/>
          <w:szCs w:val="21"/>
        </w:rPr>
        <w:t>以上承诺，如有违反，愿依照国家相关法律法规处理，并承担由此给采购人带来的损失</w:t>
      </w:r>
      <w:r>
        <w:rPr>
          <w:rFonts w:hint="eastAsia" w:ascii="宋体" w:hAnsi="宋体" w:eastAsia="宋体" w:cs="Times New Roman"/>
          <w:szCs w:val="21"/>
        </w:rPr>
        <w:t>。</w:t>
      </w:r>
    </w:p>
    <w:p>
      <w:pPr>
        <w:ind w:firstLine="480" w:firstLineChars="200"/>
        <w:rPr>
          <w:rFonts w:hint="eastAsia" w:ascii="宋体" w:hAnsi="宋体" w:eastAsia="宋体" w:cs="Times New Roman"/>
          <w:szCs w:val="21"/>
        </w:rPr>
      </w:pPr>
      <w:r>
        <w:rPr>
          <w:rFonts w:hint="eastAsia" w:ascii="宋体" w:hAnsi="宋体" w:eastAsia="宋体" w:cs="Times New Roman"/>
          <w:sz w:val="24"/>
          <w:szCs w:val="24"/>
        </w:rPr>
        <w:t xml:space="preserve">                        </w:t>
      </w:r>
      <w:r>
        <w:rPr>
          <w:rFonts w:hint="eastAsia" w:ascii="宋体" w:hAnsi="宋体" w:eastAsia="宋体" w:cs="Times New Roman"/>
          <w:szCs w:val="21"/>
        </w:rPr>
        <w:t>投标单位（投标人）名称：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 xml:space="preserve">                </w:t>
      </w:r>
    </w:p>
    <w:p>
      <w:pPr>
        <w:ind w:firstLine="420" w:firstLineChars="200"/>
        <w:rPr>
          <w:rFonts w:hint="eastAsia" w:ascii="宋体" w:hAnsi="宋体" w:eastAsia="宋体" w:cs="Times New Roman"/>
          <w:szCs w:val="21"/>
        </w:rPr>
      </w:pP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widowControl/>
        <w:rPr>
          <w:rFonts w:ascii="宋体" w:hAnsi="宋体" w:eastAsia="宋体" w:cs="Times New Roman"/>
          <w:b/>
          <w:color w:val="FF0000"/>
          <w:kern w:val="0"/>
          <w:sz w:val="24"/>
          <w:szCs w:val="24"/>
        </w:rPr>
      </w:pPr>
      <w:r>
        <w:rPr>
          <w:rFonts w:hint="eastAsia" w:ascii="宋体" w:hAnsi="宋体" w:eastAsia="宋体" w:cs="Times New Roman"/>
          <w:b/>
          <w:color w:val="FF0000"/>
          <w:kern w:val="0"/>
          <w:szCs w:val="21"/>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numPr>
          <w:ilvl w:val="0"/>
          <w:numId w:val="0"/>
        </w:numPr>
        <w:adjustRightInd w:val="0"/>
        <w:snapToGrid w:val="0"/>
        <w:spacing w:line="360" w:lineRule="auto"/>
        <w:jc w:val="center"/>
        <w:textAlignment w:val="baseline"/>
        <w:outlineLvl w:val="3"/>
        <w:rPr>
          <w:rFonts w:hint="eastAsia"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3.</w:t>
      </w:r>
      <w:r>
        <w:rPr>
          <w:rFonts w:hint="eastAsia" w:ascii="宋体" w:hAnsi="宋体" w:eastAsia="宋体" w:cs="Times New Roman"/>
          <w:b/>
          <w:bCs/>
          <w:kern w:val="0"/>
          <w:sz w:val="24"/>
          <w:szCs w:val="20"/>
        </w:rPr>
        <w:t>投标人情况及资格证明文件</w:t>
      </w:r>
    </w:p>
    <w:p>
      <w:pPr>
        <w:keepNext w:val="0"/>
        <w:keepLines w:val="0"/>
        <w:pageBreakBefore w:val="0"/>
        <w:widowControl w:val="0"/>
        <w:kinsoku/>
        <w:wordWrap/>
        <w:overflowPunct/>
        <w:topLinePunct w:val="0"/>
        <w:autoSpaceDE/>
        <w:autoSpaceDN/>
        <w:bidi w:val="0"/>
        <w:adjustRightInd/>
        <w:snapToGrid/>
        <w:spacing w:before="120" w:beforeLines="50"/>
        <w:jc w:val="center"/>
        <w:textAlignment w:val="auto"/>
        <w:outlineLvl w:val="4"/>
        <w:rPr>
          <w:rFonts w:hint="eastAsia"/>
          <w:b/>
          <w:bCs/>
          <w:color w:val="FF0000"/>
        </w:rPr>
      </w:pPr>
      <w:r>
        <w:rPr>
          <w:rFonts w:hint="eastAsia" w:ascii="黑体" w:hAnsi="宋体" w:eastAsia="黑体"/>
          <w:bCs/>
          <w:kern w:val="0"/>
          <w:sz w:val="24"/>
          <w:szCs w:val="32"/>
          <w:lang w:eastAsia="zh-CN"/>
        </w:rPr>
        <w:t>（</w:t>
      </w:r>
      <w:r>
        <w:rPr>
          <w:rFonts w:hint="eastAsia" w:ascii="黑体" w:hAnsi="宋体" w:eastAsia="黑体"/>
          <w:bCs/>
          <w:kern w:val="0"/>
          <w:sz w:val="24"/>
          <w:szCs w:val="32"/>
          <w:lang w:val="en-US" w:eastAsia="zh-CN"/>
        </w:rPr>
        <w:t>1</w:t>
      </w:r>
      <w:r>
        <w:rPr>
          <w:rFonts w:hint="eastAsia" w:ascii="黑体" w:hAnsi="宋体" w:eastAsia="黑体"/>
          <w:bCs/>
          <w:kern w:val="0"/>
          <w:sz w:val="24"/>
          <w:szCs w:val="32"/>
          <w:lang w:eastAsia="zh-CN"/>
        </w:rPr>
        <w:t>）</w:t>
      </w:r>
      <w:r>
        <w:rPr>
          <w:rFonts w:hint="eastAsia" w:ascii="黑体" w:hAnsi="宋体" w:eastAsia="黑体"/>
          <w:bCs/>
          <w:kern w:val="0"/>
          <w:sz w:val="24"/>
          <w:szCs w:val="32"/>
        </w:rPr>
        <w:t>投标人资格证明文件</w:t>
      </w:r>
    </w:p>
    <w:p>
      <w:pPr>
        <w:spacing w:before="120" w:beforeLines="50"/>
        <w:jc w:val="center"/>
        <w:rPr>
          <w:rFonts w:hint="eastAsia"/>
          <w:b/>
          <w:bCs/>
          <w:color w:val="FF0000"/>
        </w:rPr>
      </w:pPr>
      <w:r>
        <w:rPr>
          <w:rFonts w:hint="eastAsia"/>
          <w:b/>
          <w:bCs/>
          <w:color w:val="FF0000"/>
        </w:rPr>
        <w:t>（特别提示：投标人须按本招标文件第一册第一章招标公告 “申请人的资格要求”（即投标人资格要求）提供相关的资格证明资料，未提供或提供不完整、不符合要求的，将作投标无效处理，其中要求提供《政府采购投标及履约承诺函》且已在“</w:t>
      </w:r>
      <w:r>
        <w:rPr>
          <w:rFonts w:hint="eastAsia"/>
          <w:b/>
          <w:bCs/>
          <w:color w:val="FF0000"/>
          <w:lang w:val="en-US" w:eastAsia="zh-CN"/>
        </w:rPr>
        <w:t>2.</w:t>
      </w:r>
      <w:r>
        <w:rPr>
          <w:rFonts w:hint="eastAsia"/>
          <w:b/>
          <w:bCs/>
          <w:color w:val="FF0000"/>
        </w:rPr>
        <w:t>政府采购投标及履约承诺函”章节中提供了，此处可不重复提供。）</w:t>
      </w:r>
    </w:p>
    <w:p>
      <w:pPr>
        <w:spacing w:before="120" w:beforeLines="50"/>
        <w:jc w:val="center"/>
        <w:rPr>
          <w:rFonts w:hint="eastAsia"/>
          <w:b/>
          <w:bCs/>
          <w:color w:val="FF0000"/>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120" w:beforeLines="50"/>
        <w:jc w:val="center"/>
        <w:textAlignment w:val="auto"/>
        <w:outlineLvl w:val="4"/>
        <w:rPr>
          <w:rFonts w:hint="default" w:ascii="宋体" w:hAnsi="宋体" w:eastAsia="宋体" w:cs="Times New Roman"/>
          <w:b/>
          <w:bCs/>
          <w:kern w:val="0"/>
          <w:sz w:val="24"/>
          <w:szCs w:val="20"/>
          <w:lang w:val="en-US"/>
        </w:rPr>
      </w:pPr>
      <w:r>
        <w:rPr>
          <w:rFonts w:hint="eastAsia" w:ascii="黑体" w:hAnsi="宋体" w:eastAsia="黑体"/>
          <w:bCs/>
          <w:kern w:val="0"/>
          <w:sz w:val="24"/>
          <w:szCs w:val="32"/>
          <w:lang w:eastAsia="zh-CN"/>
        </w:rPr>
        <w:t>（</w:t>
      </w:r>
      <w:r>
        <w:rPr>
          <w:rFonts w:hint="eastAsia" w:ascii="黑体" w:hAnsi="宋体" w:eastAsia="黑体"/>
          <w:bCs/>
          <w:kern w:val="0"/>
          <w:sz w:val="24"/>
          <w:szCs w:val="32"/>
          <w:lang w:val="en-US" w:eastAsia="zh-CN"/>
        </w:rPr>
        <w:t>2</w:t>
      </w:r>
      <w:r>
        <w:rPr>
          <w:rFonts w:hint="eastAsia" w:ascii="黑体" w:hAnsi="宋体" w:eastAsia="黑体"/>
          <w:bCs/>
          <w:kern w:val="0"/>
          <w:sz w:val="24"/>
          <w:szCs w:val="32"/>
          <w:lang w:eastAsia="zh-CN"/>
        </w:rPr>
        <w:t>）</w:t>
      </w:r>
      <w:r>
        <w:rPr>
          <w:rFonts w:hint="eastAsia" w:ascii="黑体" w:hAnsi="宋体" w:eastAsia="黑体"/>
          <w:bCs/>
          <w:kern w:val="0"/>
          <w:sz w:val="24"/>
          <w:szCs w:val="32"/>
        </w:rPr>
        <w:t>中小企业声明函、残疾人福利性单位声明函及监狱企业声明函</w:t>
      </w:r>
    </w:p>
    <w:p>
      <w:pPr>
        <w:snapToGrid w:val="0"/>
        <w:rPr>
          <w:rFonts w:hint="eastAsia" w:ascii="黑体" w:hAnsi="黑体" w:eastAsia="黑体" w:cs="黑体"/>
          <w:color w:val="FF0000"/>
          <w:sz w:val="21"/>
          <w:szCs w:val="21"/>
        </w:rPr>
      </w:pPr>
      <w:r>
        <w:rPr>
          <w:rFonts w:hint="eastAsia" w:ascii="黑体" w:hAnsi="黑体" w:eastAsia="黑体" w:cs="黑体"/>
          <w:color w:val="FF0000"/>
          <w:sz w:val="21"/>
          <w:szCs w:val="21"/>
        </w:rPr>
        <w:t>填写指引：</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1、该部分内容由投标人根据自身实际情况填写。投标人提供的声明函不属实的，属于提供虚假资料谋取中标，依照《中华人民共和国政府采购法》等国家有关规定追究相应责任。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(2)《工业和信息化部、国家统计局、国家发展和改革委员会、财政部关于印发中小企业划型标准规定的通知》（工信部联企业〔2011〕300 号，以下简称300号文）</w:t>
      </w:r>
      <w:r>
        <w:rPr>
          <w:rFonts w:hint="eastAsia" w:ascii="黑体" w:hAnsi="黑体" w:eastAsia="黑体" w:cs="黑体"/>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lang w:eastAsia="zh-CN"/>
        </w:rPr>
      </w:pPr>
      <w:r>
        <w:rPr>
          <w:rFonts w:hint="eastAsia" w:ascii="黑体" w:hAnsi="黑体" w:eastAsia="黑体" w:cs="黑体"/>
          <w:color w:val="FF0000"/>
          <w:sz w:val="21"/>
          <w:szCs w:val="21"/>
        </w:rPr>
        <w:t>(3)《统计上大中小微型企业划分办法(2017)》（国统字〔2017〕213 号）</w:t>
      </w:r>
      <w:r>
        <w:rPr>
          <w:rFonts w:hint="eastAsia" w:ascii="黑体" w:hAnsi="黑体" w:eastAsia="黑体" w:cs="黑体"/>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lang w:eastAsia="zh-CN"/>
        </w:rPr>
      </w:pPr>
      <w:r>
        <w:rPr>
          <w:rFonts w:hint="eastAsia" w:ascii="黑体" w:hAnsi="黑体" w:eastAsia="黑体" w:cs="黑体"/>
          <w:color w:val="FF0000"/>
          <w:sz w:val="21"/>
          <w:szCs w:val="21"/>
        </w:rPr>
        <w:t>(4)《关于促进残疾人就业政府采购政策的通知》（财库〔2017〕141号）</w:t>
      </w:r>
      <w:r>
        <w:rPr>
          <w:rFonts w:hint="eastAsia" w:ascii="黑体" w:hAnsi="黑体" w:eastAsia="黑体" w:cs="黑体"/>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3、请依照提供的格式和内容填写声明函，不要随意变更格式；声明函不需要盖章或签字；</w:t>
      </w:r>
    </w:p>
    <w:p>
      <w:pPr>
        <w:snapToGrid w:val="0"/>
        <w:rPr>
          <w:rFonts w:hint="eastAsia" w:ascii="黑体" w:hAnsi="黑体" w:eastAsia="黑体" w:cs="黑体"/>
          <w:color w:val="FF0000"/>
          <w:sz w:val="21"/>
          <w:szCs w:val="21"/>
        </w:rPr>
      </w:pPr>
      <w:r>
        <w:rPr>
          <w:rFonts w:hint="eastAsia" w:ascii="黑体" w:hAnsi="黑体" w:eastAsia="黑体" w:cs="黑体"/>
          <w:color w:val="FF0000"/>
          <w:sz w:val="21"/>
          <w:szCs w:val="21"/>
        </w:rPr>
        <w:t xml:space="preserve">    4、声明函具体填写要求：</w:t>
      </w:r>
    </w:p>
    <w:p>
      <w:pPr>
        <w:snapToGrid w:val="0"/>
        <w:rPr>
          <w:rFonts w:hint="eastAsia" w:ascii="黑体" w:hAnsi="黑体" w:eastAsia="黑体" w:cs="黑体"/>
          <w:color w:val="FF0000"/>
          <w:sz w:val="21"/>
          <w:szCs w:val="21"/>
        </w:rPr>
      </w:pPr>
      <w:r>
        <w:rPr>
          <w:rFonts w:hint="eastAsia" w:ascii="黑体" w:hAnsi="黑体" w:eastAsia="黑体" w:cs="黑体"/>
          <w:color w:val="FF0000"/>
          <w:sz w:val="21"/>
          <w:szCs w:val="21"/>
        </w:rPr>
        <w:t xml:space="preserve">    （1）声明是中小企业须填写《中小企业声明函》的以下内容：</w:t>
      </w:r>
    </w:p>
    <w:p>
      <w:pPr>
        <w:snapToGrid w:val="0"/>
        <w:rPr>
          <w:rFonts w:hint="eastAsia" w:ascii="黑体" w:hAnsi="黑体" w:eastAsia="黑体" w:cs="黑体"/>
          <w:color w:val="FF0000"/>
          <w:sz w:val="21"/>
          <w:szCs w:val="21"/>
        </w:rPr>
      </w:pPr>
      <w:r>
        <w:rPr>
          <w:rFonts w:hint="eastAsia" w:ascii="黑体" w:hAnsi="黑体" w:eastAsia="黑体" w:cs="黑体"/>
          <w:color w:val="FF0000"/>
          <w:sz w:val="21"/>
          <w:szCs w:val="21"/>
        </w:rPr>
        <w:t xml:space="preserve">    第一处，在“</w:t>
      </w:r>
      <w:r>
        <w:rPr>
          <w:rFonts w:hint="eastAsia" w:ascii="黑体" w:hAnsi="黑体" w:eastAsia="黑体" w:cs="黑体"/>
          <w:color w:val="FF0000"/>
          <w:sz w:val="21"/>
          <w:szCs w:val="21"/>
          <w:lang w:val="en-US" w:eastAsia="zh-CN"/>
        </w:rPr>
        <w:t>采购人</w:t>
      </w:r>
      <w:r>
        <w:rPr>
          <w:rFonts w:hint="eastAsia" w:ascii="黑体" w:hAnsi="黑体" w:eastAsia="黑体" w:cs="黑体"/>
          <w:color w:val="FF0000"/>
          <w:sz w:val="21"/>
          <w:szCs w:val="21"/>
        </w:rPr>
        <w:t>名称”下划线处如实填写采购人名称（深圳公共资源交易中心不是本项目的采购人，而是组织实施机构）；</w:t>
      </w:r>
    </w:p>
    <w:p>
      <w:pPr>
        <w:snapToGrid w:val="0"/>
        <w:rPr>
          <w:rFonts w:hint="eastAsia" w:ascii="黑体" w:hAnsi="黑体" w:eastAsia="黑体" w:cs="黑体"/>
          <w:color w:val="FF0000"/>
          <w:sz w:val="21"/>
          <w:szCs w:val="21"/>
        </w:rPr>
      </w:pPr>
      <w:r>
        <w:rPr>
          <w:rFonts w:hint="eastAsia" w:ascii="黑体" w:hAnsi="黑体" w:eastAsia="黑体" w:cs="黑体"/>
          <w:color w:val="FF0000"/>
          <w:sz w:val="21"/>
          <w:szCs w:val="21"/>
        </w:rPr>
        <w:t xml:space="preserve">    第二处，在“项目名称”下划线处如实填写采购项目名称；</w:t>
      </w:r>
    </w:p>
    <w:p>
      <w:pPr>
        <w:snapToGrid w:val="0"/>
        <w:rPr>
          <w:rFonts w:hint="eastAsia" w:ascii="黑体" w:hAnsi="黑体" w:eastAsia="黑体" w:cs="黑体"/>
          <w:b w:val="0"/>
          <w:bCs w:val="0"/>
          <w:color w:val="FF0000"/>
          <w:sz w:val="21"/>
          <w:szCs w:val="21"/>
        </w:rPr>
      </w:pPr>
      <w:r>
        <w:rPr>
          <w:rFonts w:hint="eastAsia" w:ascii="黑体" w:hAnsi="黑体" w:eastAsia="黑体" w:cs="黑体"/>
          <w:color w:val="FF0000"/>
          <w:sz w:val="21"/>
          <w:szCs w:val="21"/>
        </w:rPr>
        <w:t xml:space="preserve">  </w:t>
      </w:r>
      <w:r>
        <w:rPr>
          <w:rFonts w:hint="eastAsia" w:ascii="黑体" w:hAnsi="黑体" w:eastAsia="黑体" w:cs="黑体"/>
          <w:b w:val="0"/>
          <w:bCs w:val="0"/>
          <w:color w:val="FF0000"/>
          <w:sz w:val="21"/>
          <w:szCs w:val="21"/>
        </w:rPr>
        <w:t xml:space="preserve">  第三处，在“标的名称”下划线处填写所采购服务（标的）的具体名称</w:t>
      </w:r>
      <w:r>
        <w:rPr>
          <w:rFonts w:hint="eastAsia" w:ascii="黑体" w:hAnsi="黑体" w:eastAsia="黑体" w:cs="黑体"/>
          <w:b w:val="0"/>
          <w:bCs w:val="0"/>
          <w:color w:val="0000FF"/>
          <w:sz w:val="21"/>
          <w:szCs w:val="21"/>
        </w:rPr>
        <w:t>（以招标文件第一册第三章用户需求书“</w:t>
      </w:r>
      <w:r>
        <w:rPr>
          <w:rFonts w:hint="eastAsia" w:ascii="黑体" w:hAnsi="黑体" w:eastAsia="黑体" w:cs="黑体"/>
          <w:b w:val="0"/>
          <w:bCs w:val="0"/>
          <w:color w:val="0000FF"/>
          <w:sz w:val="21"/>
          <w:szCs w:val="21"/>
          <w:lang w:val="en-US" w:eastAsia="zh-CN"/>
        </w:rPr>
        <w:t>服务需求</w:t>
      </w:r>
      <w:r>
        <w:rPr>
          <w:rFonts w:hint="eastAsia" w:ascii="黑体" w:hAnsi="黑体" w:eastAsia="黑体" w:cs="黑体"/>
          <w:b w:val="0"/>
          <w:bCs w:val="0"/>
          <w:color w:val="0000FF"/>
          <w:sz w:val="21"/>
          <w:szCs w:val="21"/>
        </w:rPr>
        <w:t>明细”的“</w:t>
      </w:r>
      <w:r>
        <w:rPr>
          <w:rFonts w:hint="eastAsia" w:ascii="黑体" w:hAnsi="黑体" w:eastAsia="黑体" w:cs="黑体"/>
          <w:b w:val="0"/>
          <w:bCs w:val="0"/>
          <w:color w:val="0000FF"/>
          <w:sz w:val="21"/>
          <w:szCs w:val="21"/>
          <w:lang w:val="en-US" w:eastAsia="zh-CN"/>
        </w:rPr>
        <w:t>服务需求</w:t>
      </w:r>
      <w:r>
        <w:rPr>
          <w:rFonts w:hint="eastAsia" w:ascii="黑体" w:hAnsi="黑体" w:eastAsia="黑体" w:cs="黑体"/>
          <w:b w:val="0"/>
          <w:bCs w:val="0"/>
          <w:color w:val="0000FF"/>
          <w:sz w:val="21"/>
          <w:szCs w:val="21"/>
        </w:rPr>
        <w:t>名称”一栏为准）</w:t>
      </w:r>
      <w:r>
        <w:rPr>
          <w:rFonts w:hint="eastAsia" w:ascii="黑体" w:hAnsi="黑体" w:eastAsia="黑体" w:cs="黑体"/>
          <w:b w:val="0"/>
          <w:bCs w:val="0"/>
          <w:color w:val="FF0000"/>
          <w:sz w:val="21"/>
          <w:szCs w:val="21"/>
        </w:rPr>
        <w:t>；如果涉及多项</w:t>
      </w:r>
      <w:r>
        <w:rPr>
          <w:rFonts w:hint="eastAsia" w:ascii="黑体" w:hAnsi="黑体" w:eastAsia="黑体" w:cs="黑体"/>
          <w:b w:val="0"/>
          <w:bCs w:val="0"/>
          <w:color w:val="FF0000"/>
          <w:sz w:val="21"/>
          <w:szCs w:val="21"/>
          <w:lang w:val="en-US" w:eastAsia="zh-CN"/>
        </w:rPr>
        <w:t>服务</w:t>
      </w:r>
      <w:r>
        <w:rPr>
          <w:rFonts w:hint="eastAsia" w:ascii="黑体" w:hAnsi="黑体" w:eastAsia="黑体" w:cs="黑体"/>
          <w:b w:val="0"/>
          <w:bCs w:val="0"/>
          <w:color w:val="FF0000"/>
          <w:sz w:val="21"/>
          <w:szCs w:val="21"/>
        </w:rPr>
        <w:t>（标的）为同一企业</w:t>
      </w:r>
      <w:r>
        <w:rPr>
          <w:rFonts w:hint="eastAsia" w:ascii="黑体" w:hAnsi="黑体" w:eastAsia="黑体" w:cs="黑体"/>
          <w:b w:val="0"/>
          <w:bCs w:val="0"/>
          <w:color w:val="FF0000"/>
          <w:sz w:val="21"/>
          <w:szCs w:val="21"/>
          <w:lang w:val="en-US" w:eastAsia="zh-CN"/>
        </w:rPr>
        <w:t>承接</w:t>
      </w:r>
      <w:r>
        <w:rPr>
          <w:rFonts w:hint="eastAsia" w:ascii="黑体" w:hAnsi="黑体" w:eastAsia="黑体" w:cs="黑体"/>
          <w:b w:val="0"/>
          <w:bCs w:val="0"/>
          <w:color w:val="FF0000"/>
          <w:sz w:val="21"/>
          <w:szCs w:val="21"/>
        </w:rPr>
        <w:t>，“标的名称”下划线处可以如实填写多项</w:t>
      </w:r>
      <w:r>
        <w:rPr>
          <w:rFonts w:hint="eastAsia" w:ascii="黑体" w:hAnsi="黑体" w:eastAsia="黑体" w:cs="黑体"/>
          <w:b w:val="0"/>
          <w:bCs w:val="0"/>
          <w:color w:val="FF0000"/>
          <w:sz w:val="21"/>
          <w:szCs w:val="21"/>
          <w:lang w:val="en-US" w:eastAsia="zh-CN"/>
        </w:rPr>
        <w:t>服务</w:t>
      </w:r>
      <w:r>
        <w:rPr>
          <w:rFonts w:hint="eastAsia" w:ascii="黑体" w:hAnsi="黑体" w:eastAsia="黑体" w:cs="黑体"/>
          <w:b w:val="0"/>
          <w:bCs w:val="0"/>
          <w:color w:val="FF0000"/>
          <w:sz w:val="21"/>
          <w:szCs w:val="21"/>
        </w:rPr>
        <w:t>；</w:t>
      </w:r>
    </w:p>
    <w:p>
      <w:pPr>
        <w:snapToGrid w:val="0"/>
        <w:rPr>
          <w:rFonts w:hint="eastAsia" w:ascii="黑体" w:hAnsi="黑体" w:eastAsia="黑体" w:cs="黑体"/>
          <w:b w:val="0"/>
          <w:bCs w:val="0"/>
          <w:color w:val="FF0000"/>
          <w:sz w:val="21"/>
          <w:szCs w:val="21"/>
        </w:rPr>
      </w:pPr>
      <w:r>
        <w:rPr>
          <w:rFonts w:hint="eastAsia" w:ascii="黑体" w:hAnsi="黑体" w:eastAsia="黑体" w:cs="黑体"/>
          <w:b w:val="0"/>
          <w:bCs w:val="0"/>
          <w:color w:val="FF0000"/>
          <w:sz w:val="21"/>
          <w:szCs w:val="21"/>
        </w:rPr>
        <w:t xml:space="preserve">    第四处，在“招标文件中明确的所属行业”下划线处填写采购标的对应的中小企业划分标准所属行业</w:t>
      </w:r>
      <w:r>
        <w:rPr>
          <w:rFonts w:hint="eastAsia" w:ascii="黑体" w:hAnsi="黑体" w:eastAsia="黑体" w:cs="黑体"/>
          <w:b w:val="0"/>
          <w:bCs w:val="0"/>
          <w:color w:val="0000FF"/>
          <w:sz w:val="21"/>
          <w:szCs w:val="21"/>
        </w:rPr>
        <w:t>（所属行业</w:t>
      </w:r>
      <w:r>
        <w:rPr>
          <w:rFonts w:hint="eastAsia" w:ascii="黑体" w:hAnsi="黑体" w:eastAsia="黑体" w:cs="黑体"/>
          <w:b w:val="0"/>
          <w:bCs w:val="0"/>
          <w:color w:val="0000FF"/>
          <w:sz w:val="21"/>
          <w:szCs w:val="21"/>
          <w:lang w:val="en-US" w:eastAsia="zh-CN"/>
        </w:rPr>
        <w:t>详见</w:t>
      </w:r>
      <w:r>
        <w:rPr>
          <w:rFonts w:hint="eastAsia" w:ascii="黑体" w:hAnsi="黑体" w:eastAsia="黑体" w:cs="黑体"/>
          <w:b w:val="0"/>
          <w:bCs w:val="0"/>
          <w:color w:val="0000FF"/>
          <w:sz w:val="21"/>
          <w:szCs w:val="21"/>
        </w:rPr>
        <w:t>招标文件第一册第二章“对通用条款的补充内容及其他关键信息”章节</w:t>
      </w:r>
      <w:r>
        <w:rPr>
          <w:rFonts w:hint="eastAsia" w:ascii="黑体" w:hAnsi="黑体" w:eastAsia="黑体" w:cs="黑体"/>
          <w:b w:val="0"/>
          <w:bCs w:val="0"/>
          <w:color w:val="0000FF"/>
          <w:sz w:val="21"/>
          <w:szCs w:val="21"/>
          <w:lang w:val="en-US" w:eastAsia="zh-CN"/>
        </w:rPr>
        <w:t>或</w:t>
      </w:r>
      <w:r>
        <w:rPr>
          <w:rFonts w:hint="eastAsia" w:ascii="黑体" w:hAnsi="黑体" w:eastAsia="黑体" w:cs="黑体"/>
          <w:b w:val="0"/>
          <w:bCs w:val="0"/>
          <w:color w:val="0000FF"/>
          <w:sz w:val="21"/>
          <w:szCs w:val="21"/>
        </w:rPr>
        <w:t>第三章用户需求书“</w:t>
      </w:r>
      <w:r>
        <w:rPr>
          <w:rFonts w:hint="eastAsia" w:ascii="黑体" w:hAnsi="黑体" w:eastAsia="黑体" w:cs="黑体"/>
          <w:b w:val="0"/>
          <w:bCs w:val="0"/>
          <w:color w:val="0000FF"/>
          <w:sz w:val="21"/>
          <w:szCs w:val="21"/>
          <w:lang w:val="en-US" w:eastAsia="zh-CN"/>
        </w:rPr>
        <w:t>服务需求</w:t>
      </w:r>
      <w:r>
        <w:rPr>
          <w:rFonts w:hint="eastAsia" w:ascii="黑体" w:hAnsi="黑体" w:eastAsia="黑体" w:cs="黑体"/>
          <w:b w:val="0"/>
          <w:bCs w:val="0"/>
          <w:color w:val="0000FF"/>
          <w:sz w:val="21"/>
          <w:szCs w:val="21"/>
        </w:rPr>
        <w:t>明细”</w:t>
      </w:r>
      <w:r>
        <w:rPr>
          <w:rFonts w:hint="eastAsia" w:ascii="黑体" w:hAnsi="黑体" w:eastAsia="黑体" w:cs="黑体"/>
          <w:b w:val="0"/>
          <w:bCs w:val="0"/>
          <w:color w:val="0000FF"/>
          <w:sz w:val="21"/>
          <w:szCs w:val="21"/>
          <w:lang w:val="en-US" w:eastAsia="zh-CN"/>
        </w:rPr>
        <w:t>中的所属行业信息</w:t>
      </w:r>
      <w:r>
        <w:rPr>
          <w:rFonts w:hint="eastAsia" w:ascii="黑体" w:hAnsi="黑体" w:eastAsia="黑体" w:cs="黑体"/>
          <w:b w:val="0"/>
          <w:bCs w:val="0"/>
          <w:color w:val="0000FF"/>
          <w:sz w:val="21"/>
          <w:szCs w:val="21"/>
        </w:rPr>
        <w:t>）</w:t>
      </w:r>
      <w:r>
        <w:rPr>
          <w:rFonts w:hint="eastAsia" w:ascii="黑体" w:hAnsi="黑体" w:eastAsia="黑体" w:cs="黑体"/>
          <w:b w:val="0"/>
          <w:bCs w:val="0"/>
          <w:color w:val="FF0000"/>
          <w:sz w:val="21"/>
          <w:szCs w:val="21"/>
        </w:rPr>
        <w:t>；</w:t>
      </w:r>
    </w:p>
    <w:p>
      <w:pPr>
        <w:snapToGrid w:val="0"/>
        <w:rPr>
          <w:rFonts w:hint="eastAsia" w:ascii="黑体" w:hAnsi="黑体" w:eastAsia="黑体" w:cs="黑体"/>
          <w:color w:val="FF0000"/>
          <w:sz w:val="21"/>
          <w:szCs w:val="21"/>
        </w:rPr>
      </w:pPr>
      <w:r>
        <w:rPr>
          <w:rFonts w:hint="eastAsia" w:ascii="黑体" w:hAnsi="黑体" w:eastAsia="黑体" w:cs="黑体"/>
          <w:color w:val="FF0000"/>
          <w:sz w:val="21"/>
          <w:szCs w:val="21"/>
        </w:rPr>
        <w:t xml:space="preserve">  </w:t>
      </w:r>
      <w:r>
        <w:rPr>
          <w:rFonts w:hint="eastAsia" w:ascii="黑体" w:hAnsi="黑体" w:eastAsia="黑体" w:cs="黑体"/>
          <w:color w:val="FF0000"/>
          <w:sz w:val="21"/>
          <w:szCs w:val="21"/>
          <w:lang w:val="en-US" w:eastAsia="zh-CN"/>
        </w:rPr>
        <w:t xml:space="preserve">  </w:t>
      </w:r>
      <w:r>
        <w:rPr>
          <w:rFonts w:hint="eastAsia" w:ascii="黑体" w:hAnsi="黑体" w:eastAsia="黑体" w:cs="黑体"/>
          <w:color w:val="FF0000"/>
          <w:sz w:val="21"/>
          <w:szCs w:val="21"/>
        </w:rPr>
        <w:t>第五处，在“企业名称”下划线处如实填写</w:t>
      </w:r>
      <w:r>
        <w:rPr>
          <w:rFonts w:hint="eastAsia" w:ascii="黑体" w:hAnsi="黑体" w:eastAsia="黑体" w:cs="黑体"/>
          <w:color w:val="FF0000"/>
          <w:sz w:val="21"/>
          <w:szCs w:val="21"/>
          <w:lang w:val="en-US" w:eastAsia="zh-CN"/>
        </w:rPr>
        <w:t>承接企业</w:t>
      </w:r>
      <w:r>
        <w:rPr>
          <w:rFonts w:hint="eastAsia" w:ascii="黑体" w:hAnsi="黑体" w:eastAsia="黑体" w:cs="黑体"/>
          <w:color w:val="FF0000"/>
          <w:sz w:val="21"/>
          <w:szCs w:val="21"/>
        </w:rPr>
        <w:t>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中小企业声明函》中供应商所属行业应当与招标文件要求的行业相一致，供应商如有疑问，可根据《国民经济行业分类》（GB/T4754-2002），结合《关于印发中小企业划型标准规定的通知》（工信部联企业〔2011〕300号）进行判断。事业单位、社会组织等非企业主体不享受中小企业扶持政策。</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（2）声明是残疾人福利性单位须填写《残疾人福利性单位声明函》的相关内容，具体参照以上《中小企业声明函》填写要求执行。</w:t>
      </w:r>
    </w:p>
    <w:p>
      <w:pPr>
        <w:snapToGrid w:val="0"/>
        <w:ind w:firstLine="420" w:firstLineChars="200"/>
        <w:rPr>
          <w:rFonts w:hint="eastAsia" w:ascii="黑体" w:hAnsi="黑体" w:eastAsia="黑体" w:cs="黑体"/>
          <w:color w:val="FF0000"/>
          <w:sz w:val="21"/>
          <w:szCs w:val="21"/>
        </w:rPr>
      </w:pPr>
      <w:r>
        <w:rPr>
          <w:rFonts w:hint="eastAsia" w:ascii="黑体" w:hAnsi="黑体" w:eastAsia="黑体" w:cs="黑体"/>
          <w:color w:val="FF0000"/>
          <w:sz w:val="21"/>
          <w:szCs w:val="21"/>
        </w:rPr>
        <w:t>（3）声明是监狱企业须填写《监狱企业声明函》的三项内容（填写位置的字体已加粗），具体参照以上《中小企业声明函》填写要求执行。</w:t>
      </w:r>
    </w:p>
    <w:p>
      <w:pPr>
        <w:snapToGrid w:val="0"/>
        <w:ind w:firstLine="420" w:firstLineChars="200"/>
        <w:jc w:val="left"/>
        <w:rPr>
          <w:rFonts w:hint="eastAsia" w:ascii="黑体" w:hAnsi="黑体" w:eastAsia="黑体" w:cs="黑体"/>
          <w:color w:val="FF0000"/>
          <w:sz w:val="21"/>
          <w:szCs w:val="21"/>
        </w:rPr>
      </w:pPr>
      <w:r>
        <w:rPr>
          <w:rFonts w:hint="eastAsia" w:ascii="黑体" w:hAnsi="黑体" w:eastAsia="黑体" w:cs="黑体"/>
          <w:color w:val="FF0000"/>
          <w:sz w:val="21"/>
          <w:szCs w:val="21"/>
        </w:rPr>
        <w:t>5、若本项目属于专门面向中小企业、残疾人福利性单位或监狱企业，则声明函有效性由采购人或代理机构判定，如判定声明函无效的，相关供应商将作资格审查不通过处理；若本项目非专门面向中小企业、残疾人福利性单位或监狱企业，声明函的有效性由评审委员会判定，如评审委员会判定声明函无效，相关供应商不享受价格扣除（但不作投标无效处理）。</w:t>
      </w:r>
    </w:p>
    <w:p>
      <w:pPr>
        <w:snapToGrid w:val="0"/>
        <w:jc w:val="left"/>
        <w:rPr>
          <w:rFonts w:hint="eastAsia" w:ascii="黑体" w:hAnsi="黑体" w:eastAsia="黑体" w:cs="黑体"/>
          <w:color w:val="FF0000"/>
          <w:sz w:val="21"/>
          <w:szCs w:val="21"/>
        </w:rPr>
      </w:pPr>
    </w:p>
    <w:p>
      <w:pPr>
        <w:keepNext w:val="0"/>
        <w:keepLines w:val="0"/>
        <w:pageBreakBefore w:val="0"/>
        <w:widowControl w:val="0"/>
        <w:kinsoku/>
        <w:wordWrap/>
        <w:overflowPunct/>
        <w:topLinePunct w:val="0"/>
        <w:autoSpaceDE/>
        <w:autoSpaceDN/>
        <w:bidi w:val="0"/>
        <w:adjustRightInd/>
        <w:snapToGrid w:val="0"/>
        <w:jc w:val="center"/>
        <w:textAlignment w:val="auto"/>
        <w:outlineLvl w:val="5"/>
        <w:rPr>
          <w:rFonts w:ascii="Arial" w:hAnsi="Arial" w:eastAsia="宋体" w:cs="Times New Roman"/>
          <w:b/>
          <w:sz w:val="24"/>
          <w:szCs w:val="24"/>
        </w:rPr>
      </w:pPr>
      <w:r>
        <w:rPr>
          <w:rFonts w:ascii="宋体" w:hAnsi="宋体" w:eastAsia="宋体" w:cs="Times New Roman"/>
          <w:b/>
          <w:bCs/>
          <w:sz w:val="24"/>
          <w:szCs w:val="24"/>
        </w:rPr>
        <w:fldChar w:fldCharType="begin"/>
      </w:r>
      <w:r>
        <w:rPr>
          <w:rFonts w:ascii="宋体" w:hAnsi="宋体" w:eastAsia="宋体" w:cs="Times New Roman"/>
          <w:b/>
          <w:sz w:val="24"/>
          <w:szCs w:val="24"/>
        </w:rPr>
        <w:instrText xml:space="preserve"> </w:instrText>
      </w:r>
      <w:r>
        <w:rPr>
          <w:rFonts w:hint="eastAsia" w:ascii="宋体" w:hAnsi="宋体" w:eastAsia="宋体" w:cs="Times New Roman"/>
          <w:b/>
          <w:sz w:val="24"/>
          <w:szCs w:val="24"/>
        </w:rPr>
        <w:instrText xml:space="preserve">= 1 \* GB3</w:instrText>
      </w:r>
      <w:r>
        <w:rPr>
          <w:rFonts w:ascii="宋体" w:hAnsi="宋体" w:eastAsia="宋体" w:cs="Times New Roman"/>
          <w:b/>
          <w:sz w:val="24"/>
          <w:szCs w:val="24"/>
        </w:rPr>
        <w:instrText xml:space="preserve"> </w:instrText>
      </w:r>
      <w:r>
        <w:rPr>
          <w:rFonts w:ascii="宋体" w:hAnsi="宋体" w:eastAsia="宋体" w:cs="Times New Roman"/>
          <w:b/>
          <w:bCs/>
          <w:sz w:val="24"/>
          <w:szCs w:val="24"/>
        </w:rPr>
        <w:fldChar w:fldCharType="separate"/>
      </w:r>
      <w:r>
        <w:rPr>
          <w:rFonts w:hint="eastAsia" w:ascii="宋体" w:hAnsi="宋体" w:eastAsia="宋体" w:cs="Times New Roman"/>
          <w:b/>
          <w:sz w:val="24"/>
          <w:szCs w:val="24"/>
        </w:rPr>
        <w:t>①</w:t>
      </w:r>
      <w:r>
        <w:rPr>
          <w:rFonts w:ascii="宋体" w:hAnsi="宋体" w:eastAsia="宋体" w:cs="Times New Roman"/>
          <w:b/>
          <w:bCs/>
          <w:sz w:val="24"/>
          <w:szCs w:val="24"/>
        </w:rPr>
        <w:fldChar w:fldCharType="end"/>
      </w:r>
      <w:r>
        <w:rPr>
          <w:rFonts w:hint="eastAsia" w:ascii="Arial" w:hAnsi="Arial" w:eastAsia="宋体" w:cs="Times New Roman"/>
          <w:b/>
          <w:sz w:val="24"/>
          <w:szCs w:val="24"/>
        </w:rPr>
        <w:t>中小企业声明函（服务）</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本</w:t>
      </w:r>
      <w:r>
        <w:rPr>
          <w:rFonts w:hint="eastAsia" w:ascii="宋体" w:hAnsi="宋体" w:eastAsia="宋体" w:cs="Times New Roman"/>
          <w:szCs w:val="21"/>
        </w:rPr>
        <w:t>投标人</w:t>
      </w:r>
      <w:r>
        <w:rPr>
          <w:rFonts w:ascii="宋体" w:hAnsi="宋体" w:eastAsia="宋体" w:cs="Times New Roman"/>
          <w:szCs w:val="21"/>
        </w:rPr>
        <w:t>郑重声明，根据《政府采购促进中小企业发展管理办法》（财库</w:t>
      </w:r>
      <w:r>
        <w:rPr>
          <w:rFonts w:hint="eastAsia" w:ascii="宋体" w:hAnsi="宋体" w:eastAsia="宋体" w:cs="Times New Roman"/>
          <w:szCs w:val="21"/>
        </w:rPr>
        <w:t>﹝</w:t>
      </w:r>
      <w:r>
        <w:rPr>
          <w:rFonts w:ascii="宋体" w:hAnsi="宋体" w:eastAsia="宋体" w:cs="Times New Roman"/>
          <w:szCs w:val="21"/>
        </w:rPr>
        <w:t>2020</w:t>
      </w:r>
      <w:r>
        <w:rPr>
          <w:rFonts w:hint="eastAsia" w:ascii="宋体" w:hAnsi="宋体" w:eastAsia="宋体" w:cs="Times New Roman"/>
          <w:szCs w:val="21"/>
        </w:rPr>
        <w:t>﹞</w:t>
      </w:r>
      <w:r>
        <w:rPr>
          <w:rFonts w:ascii="宋体" w:hAnsi="宋体" w:eastAsia="宋体" w:cs="Times New Roman"/>
          <w:szCs w:val="21"/>
        </w:rPr>
        <w:t>46 号）的规定，本</w:t>
      </w:r>
      <w:r>
        <w:rPr>
          <w:rFonts w:hint="eastAsia" w:ascii="宋体" w:hAnsi="宋体" w:eastAsia="宋体" w:cs="Times New Roman"/>
          <w:szCs w:val="21"/>
        </w:rPr>
        <w:t>投标人</w:t>
      </w:r>
      <w:r>
        <w:rPr>
          <w:rFonts w:ascii="宋体" w:hAnsi="宋体" w:eastAsia="宋体" w:cs="Times New Roman"/>
          <w:szCs w:val="21"/>
        </w:rPr>
        <w:t>参加</w:t>
      </w:r>
      <w:r>
        <w:rPr>
          <w:rFonts w:ascii="宋体" w:hAnsi="宋体" w:eastAsia="宋体" w:cs="Times New Roman"/>
          <w:b/>
          <w:bCs/>
          <w:szCs w:val="21"/>
          <w:u w:val="single"/>
        </w:rPr>
        <w:t>（</w:t>
      </w:r>
      <w:r>
        <w:rPr>
          <w:rFonts w:hint="eastAsia" w:ascii="宋体" w:hAnsi="宋体" w:eastAsia="宋体" w:cs="Times New Roman"/>
          <w:b/>
          <w:bCs/>
          <w:szCs w:val="21"/>
          <w:u w:val="single"/>
        </w:rPr>
        <w:t>采购人</w:t>
      </w:r>
      <w:r>
        <w:rPr>
          <w:rFonts w:ascii="宋体" w:hAnsi="宋体" w:eastAsia="宋体" w:cs="Times New Roman"/>
          <w:b/>
          <w:bCs/>
          <w:szCs w:val="21"/>
          <w:u w:val="single"/>
        </w:rPr>
        <w:t>名称）</w:t>
      </w:r>
      <w:r>
        <w:rPr>
          <w:rFonts w:ascii="宋体" w:hAnsi="宋体" w:eastAsia="宋体" w:cs="Times New Roman"/>
          <w:szCs w:val="21"/>
        </w:rPr>
        <w:t>的</w:t>
      </w:r>
      <w:r>
        <w:rPr>
          <w:rFonts w:ascii="宋体" w:hAnsi="宋体" w:eastAsia="宋体" w:cs="Times New Roman"/>
          <w:b/>
          <w:bCs/>
          <w:szCs w:val="21"/>
          <w:u w:val="single"/>
        </w:rPr>
        <w:t>（项目名称）</w:t>
      </w:r>
      <w:r>
        <w:rPr>
          <w:rFonts w:ascii="宋体" w:hAnsi="宋体" w:eastAsia="宋体" w:cs="Times New Roman"/>
          <w:szCs w:val="21"/>
        </w:rPr>
        <w:t>采购活动，</w:t>
      </w:r>
      <w:r>
        <w:rPr>
          <w:rFonts w:hint="eastAsia" w:ascii="宋体" w:hAnsi="宋体" w:eastAsia="宋体" w:cs="Times New Roman"/>
          <w:szCs w:val="21"/>
        </w:rPr>
        <w:t>服务</w:t>
      </w:r>
      <w:r>
        <w:rPr>
          <w:rFonts w:ascii="宋体" w:hAnsi="宋体" w:eastAsia="宋体" w:cs="Times New Roman"/>
          <w:szCs w:val="21"/>
        </w:rPr>
        <w:t>全部由符合政策要求的中小企业</w:t>
      </w:r>
      <w:r>
        <w:rPr>
          <w:rFonts w:hint="eastAsia" w:ascii="宋体" w:hAnsi="宋体" w:eastAsia="宋体" w:cs="Times New Roman"/>
          <w:szCs w:val="21"/>
        </w:rPr>
        <w:t>承接</w:t>
      </w:r>
      <w:r>
        <w:rPr>
          <w:rFonts w:ascii="宋体" w:hAnsi="宋体" w:eastAsia="宋体" w:cs="Times New Roman"/>
          <w:szCs w:val="21"/>
        </w:rPr>
        <w:t>。相关企业的具体情况如下：</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1.</w:t>
      </w:r>
      <w:r>
        <w:rPr>
          <w:rFonts w:ascii="宋体" w:hAnsi="宋体" w:eastAsia="宋体" w:cs="Times New Roman"/>
          <w:b/>
          <w:bCs/>
          <w:szCs w:val="21"/>
          <w:u w:val="single"/>
        </w:rPr>
        <w:t xml:space="preserve"> （标的名称）</w:t>
      </w:r>
      <w:r>
        <w:rPr>
          <w:rFonts w:ascii="宋体" w:hAnsi="宋体" w:eastAsia="宋体" w:cs="Times New Roman"/>
          <w:szCs w:val="21"/>
        </w:rPr>
        <w:t xml:space="preserve"> ，属于</w:t>
      </w:r>
      <w:r>
        <w:rPr>
          <w:rFonts w:ascii="宋体" w:hAnsi="宋体" w:eastAsia="宋体" w:cs="Times New Roman"/>
          <w:b/>
          <w:bCs/>
          <w:szCs w:val="21"/>
          <w:u w:val="single"/>
        </w:rPr>
        <w:t>（</w:t>
      </w:r>
      <w:r>
        <w:rPr>
          <w:rFonts w:hint="eastAsia" w:ascii="宋体" w:hAnsi="宋体" w:eastAsia="宋体" w:cs="Times New Roman"/>
          <w:b/>
          <w:bCs/>
          <w:szCs w:val="21"/>
          <w:u w:val="single"/>
        </w:rPr>
        <w:t>招标</w:t>
      </w:r>
      <w:r>
        <w:rPr>
          <w:rFonts w:ascii="宋体" w:hAnsi="宋体" w:eastAsia="宋体" w:cs="Times New Roman"/>
          <w:b/>
          <w:bCs/>
          <w:szCs w:val="21"/>
          <w:u w:val="single"/>
        </w:rPr>
        <w:t xml:space="preserve">文件中明确的所属行业） </w:t>
      </w:r>
      <w:r>
        <w:rPr>
          <w:rFonts w:ascii="宋体" w:hAnsi="宋体" w:eastAsia="宋体" w:cs="Times New Roman"/>
          <w:szCs w:val="21"/>
        </w:rPr>
        <w:t>行业；</w:t>
      </w:r>
      <w:r>
        <w:rPr>
          <w:rFonts w:hint="eastAsia" w:ascii="宋体" w:hAnsi="宋体" w:eastAsia="宋体" w:cs="Times New Roman"/>
          <w:szCs w:val="21"/>
        </w:rPr>
        <w:t>承接企业</w:t>
      </w:r>
      <w:r>
        <w:rPr>
          <w:rFonts w:ascii="宋体" w:hAnsi="宋体" w:eastAsia="宋体" w:cs="Times New Roman"/>
          <w:szCs w:val="21"/>
        </w:rPr>
        <w:t>为</w:t>
      </w:r>
      <w:r>
        <w:rPr>
          <w:rFonts w:ascii="宋体" w:hAnsi="宋体" w:eastAsia="宋体" w:cs="Times New Roman"/>
          <w:b/>
          <w:bCs/>
          <w:szCs w:val="21"/>
          <w:u w:val="single"/>
        </w:rPr>
        <w:t>（企业名称</w:t>
      </w:r>
      <w:r>
        <w:rPr>
          <w:rFonts w:hint="eastAsia" w:ascii="Arial" w:hAnsi="Arial" w:eastAsia="宋体" w:cs="Times New Roman"/>
          <w:b/>
          <w:bCs/>
          <w:szCs w:val="21"/>
          <w:u w:val="single"/>
        </w:rPr>
        <w:t>，要求</w:t>
      </w:r>
      <w:r>
        <w:rPr>
          <w:rFonts w:hint="eastAsia" w:ascii="Arial" w:hAnsi="Arial" w:eastAsia="宋体" w:cs="Times New Roman"/>
          <w:b/>
          <w:bCs/>
          <w:szCs w:val="21"/>
          <w:u w:val="single"/>
          <w:lang w:val="en-US" w:eastAsia="zh-CN"/>
        </w:rPr>
        <w:t>承接企业</w:t>
      </w:r>
      <w:r>
        <w:rPr>
          <w:rFonts w:hint="eastAsia" w:ascii="Arial" w:hAnsi="Arial" w:eastAsia="宋体" w:cs="Times New Roman"/>
          <w:b/>
          <w:bCs/>
          <w:szCs w:val="21"/>
          <w:u w:val="single"/>
        </w:rPr>
        <w:t>本身所属行业应当与招标文件要求的行业相一致</w:t>
      </w:r>
      <w:r>
        <w:rPr>
          <w:rFonts w:ascii="宋体" w:hAnsi="宋体" w:eastAsia="宋体" w:cs="Times New Roman"/>
          <w:b/>
          <w:bCs/>
          <w:szCs w:val="21"/>
          <w:u w:val="single"/>
        </w:rPr>
        <w:t>）</w:t>
      </w:r>
      <w:r>
        <w:rPr>
          <w:rFonts w:ascii="宋体" w:hAnsi="宋体" w:eastAsia="宋体" w:cs="Times New Roman"/>
          <w:szCs w:val="21"/>
        </w:rPr>
        <w:t>，从业人员</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人，营业收入为</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万元，资产总额为</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 ，属于</w:t>
      </w:r>
      <w:r>
        <w:rPr>
          <w:rFonts w:ascii="宋体" w:hAnsi="宋体" w:eastAsia="宋体" w:cs="Times New Roman"/>
          <w:b/>
          <w:bCs/>
          <w:szCs w:val="21"/>
          <w:u w:val="single"/>
        </w:rPr>
        <w:t>（中型企业、小型企业、微型企业）</w:t>
      </w:r>
      <w:r>
        <w:rPr>
          <w:rFonts w:ascii="宋体" w:hAnsi="宋体" w:eastAsia="宋体" w:cs="Times New Roman"/>
          <w:szCs w:val="21"/>
        </w:rPr>
        <w:t xml:space="preserve">； </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2.</w:t>
      </w:r>
      <w:r>
        <w:rPr>
          <w:rFonts w:ascii="宋体" w:hAnsi="宋体" w:eastAsia="宋体" w:cs="Times New Roman"/>
          <w:b/>
          <w:bCs/>
          <w:szCs w:val="21"/>
          <w:u w:val="single"/>
        </w:rPr>
        <w:t xml:space="preserve"> （标的名称）</w:t>
      </w:r>
      <w:r>
        <w:rPr>
          <w:rFonts w:ascii="宋体" w:hAnsi="宋体" w:eastAsia="宋体" w:cs="Times New Roman"/>
          <w:szCs w:val="21"/>
        </w:rPr>
        <w:t xml:space="preserve"> ，属于</w:t>
      </w:r>
      <w:r>
        <w:rPr>
          <w:rFonts w:ascii="宋体" w:hAnsi="宋体" w:eastAsia="宋体" w:cs="Times New Roman"/>
          <w:b/>
          <w:bCs/>
          <w:szCs w:val="21"/>
          <w:u w:val="single"/>
        </w:rPr>
        <w:t>（</w:t>
      </w:r>
      <w:r>
        <w:rPr>
          <w:rFonts w:hint="eastAsia" w:ascii="宋体" w:hAnsi="宋体" w:eastAsia="宋体" w:cs="Times New Roman"/>
          <w:b/>
          <w:bCs/>
          <w:szCs w:val="21"/>
          <w:u w:val="single"/>
        </w:rPr>
        <w:t>招标</w:t>
      </w:r>
      <w:r>
        <w:rPr>
          <w:rFonts w:ascii="宋体" w:hAnsi="宋体" w:eastAsia="宋体" w:cs="Times New Roman"/>
          <w:b/>
          <w:bCs/>
          <w:szCs w:val="21"/>
          <w:u w:val="single"/>
        </w:rPr>
        <w:t xml:space="preserve">文件中明确的所属行业） </w:t>
      </w:r>
      <w:r>
        <w:rPr>
          <w:rFonts w:ascii="宋体" w:hAnsi="宋体" w:eastAsia="宋体" w:cs="Times New Roman"/>
          <w:szCs w:val="21"/>
        </w:rPr>
        <w:t>行业；</w:t>
      </w:r>
      <w:r>
        <w:rPr>
          <w:rFonts w:hint="eastAsia" w:ascii="宋体" w:hAnsi="宋体" w:eastAsia="宋体" w:cs="Times New Roman"/>
          <w:szCs w:val="21"/>
        </w:rPr>
        <w:t>承接企业</w:t>
      </w:r>
      <w:r>
        <w:rPr>
          <w:rFonts w:ascii="宋体" w:hAnsi="宋体" w:eastAsia="宋体" w:cs="Times New Roman"/>
          <w:szCs w:val="21"/>
        </w:rPr>
        <w:t>为</w:t>
      </w:r>
      <w:r>
        <w:rPr>
          <w:rFonts w:ascii="宋体" w:hAnsi="宋体" w:eastAsia="宋体" w:cs="Times New Roman"/>
          <w:b/>
          <w:bCs/>
          <w:szCs w:val="21"/>
          <w:u w:val="single"/>
        </w:rPr>
        <w:t>（企业名称</w:t>
      </w:r>
      <w:r>
        <w:rPr>
          <w:rFonts w:hint="eastAsia" w:ascii="Arial" w:hAnsi="Arial" w:eastAsia="宋体" w:cs="Times New Roman"/>
          <w:b/>
          <w:bCs/>
          <w:szCs w:val="21"/>
          <w:u w:val="single"/>
        </w:rPr>
        <w:t>，要求</w:t>
      </w:r>
      <w:r>
        <w:rPr>
          <w:rFonts w:hint="eastAsia" w:ascii="Arial" w:hAnsi="Arial" w:eastAsia="宋体" w:cs="Times New Roman"/>
          <w:b/>
          <w:bCs/>
          <w:szCs w:val="21"/>
          <w:u w:val="single"/>
          <w:lang w:val="en-US" w:eastAsia="zh-CN"/>
        </w:rPr>
        <w:t>承接企业</w:t>
      </w:r>
      <w:r>
        <w:rPr>
          <w:rFonts w:hint="eastAsia" w:ascii="Arial" w:hAnsi="Arial" w:eastAsia="宋体" w:cs="Times New Roman"/>
          <w:b/>
          <w:bCs/>
          <w:szCs w:val="21"/>
          <w:u w:val="single"/>
        </w:rPr>
        <w:t>本身所属行业应当与招标文件要求的行业相一致</w:t>
      </w:r>
      <w:r>
        <w:rPr>
          <w:rFonts w:ascii="宋体" w:hAnsi="宋体" w:eastAsia="宋体" w:cs="Times New Roman"/>
          <w:b/>
          <w:bCs/>
          <w:szCs w:val="21"/>
          <w:u w:val="single"/>
        </w:rPr>
        <w:t>）</w:t>
      </w:r>
      <w:r>
        <w:rPr>
          <w:rFonts w:ascii="宋体" w:hAnsi="宋体" w:eastAsia="宋体" w:cs="Times New Roman"/>
          <w:szCs w:val="21"/>
        </w:rPr>
        <w:t>，从业人员</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人，营业收入为</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万元，资产总额为</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 ，属于</w:t>
      </w:r>
      <w:r>
        <w:rPr>
          <w:rFonts w:ascii="宋体" w:hAnsi="宋体" w:eastAsia="宋体" w:cs="Times New Roman"/>
          <w:b/>
          <w:bCs/>
          <w:szCs w:val="21"/>
          <w:u w:val="single"/>
        </w:rPr>
        <w:t>（中型企业、小型企业、微型企业）</w:t>
      </w:r>
      <w:r>
        <w:rPr>
          <w:rFonts w:ascii="宋体" w:hAnsi="宋体" w:eastAsia="宋体" w:cs="Times New Roman"/>
          <w:szCs w:val="21"/>
        </w:rPr>
        <w:t xml:space="preserve">； </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 xml:space="preserve">…… </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以上企业，不属于大企业的分支机构，不存在控股股东为大企业的情形，也不存在与大企业的负责人为同一人的情形。</w:t>
      </w:r>
    </w:p>
    <w:p>
      <w:pPr>
        <w:spacing w:afterLines="25" w:line="300" w:lineRule="auto"/>
        <w:ind w:firstLine="420" w:firstLineChars="200"/>
        <w:rPr>
          <w:rFonts w:hint="eastAsia" w:ascii="宋体" w:hAnsi="宋体" w:eastAsia="宋体" w:cs="Times New Roman"/>
          <w:szCs w:val="21"/>
        </w:rPr>
      </w:pPr>
      <w:r>
        <w:rPr>
          <w:rFonts w:hint="eastAsia" w:ascii="宋体" w:hAnsi="宋体" w:eastAsia="宋体" w:cs="Times New Roman"/>
          <w:szCs w:val="21"/>
        </w:rPr>
        <w:t>本</w:t>
      </w:r>
      <w:r>
        <w:rPr>
          <w:rFonts w:hint="eastAsia" w:ascii="宋体" w:hAnsi="宋体" w:eastAsia="宋体" w:cs="Times New Roman"/>
          <w:szCs w:val="21"/>
          <w:lang w:val="en-US" w:eastAsia="zh-CN"/>
        </w:rPr>
        <w:t>投标人</w:t>
      </w:r>
      <w:r>
        <w:rPr>
          <w:rFonts w:hint="eastAsia" w:ascii="宋体" w:hAnsi="宋体" w:eastAsia="宋体" w:cs="Times New Roman"/>
          <w:szCs w:val="21"/>
        </w:rPr>
        <w:t>对上述声明内容的真实性负责。如有虚假，将依法承担相应责任。</w:t>
      </w:r>
    </w:p>
    <w:p>
      <w:pPr>
        <w:spacing w:afterLines="25" w:line="300" w:lineRule="auto"/>
        <w:ind w:firstLine="420" w:firstLineChars="200"/>
        <w:rPr>
          <w:rFonts w:ascii="宋体" w:hAnsi="宋体" w:eastAsia="宋体" w:cs="Times New Roman"/>
          <w:szCs w:val="21"/>
        </w:rPr>
      </w:pPr>
      <w:r>
        <w:rPr>
          <w:rFonts w:hint="eastAsia" w:ascii="宋体" w:hAnsi="宋体" w:eastAsia="宋体" w:cs="Times New Roman"/>
          <w:szCs w:val="21"/>
        </w:rPr>
        <w:t>本</w:t>
      </w:r>
      <w:r>
        <w:rPr>
          <w:rFonts w:ascii="宋体" w:hAnsi="宋体" w:eastAsia="宋体" w:cs="Times New Roman"/>
          <w:szCs w:val="21"/>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ascii="宋体" w:hAnsi="宋体" w:eastAsia="宋体" w:cs="Times New Roman"/>
          <w:szCs w:val="21"/>
        </w:rPr>
        <w:t>投标人</w:t>
      </w:r>
      <w:r>
        <w:rPr>
          <w:rFonts w:ascii="宋体" w:hAnsi="宋体" w:eastAsia="宋体" w:cs="Times New Roman"/>
          <w:szCs w:val="21"/>
        </w:rPr>
        <w:t>按照本办法规定提供声明函内容不实的，属于提供虚假材料谋取中标，依照《政府采购法》等政府采购有关法律法规规定追究相应责任</w:t>
      </w:r>
      <w:r>
        <w:rPr>
          <w:rFonts w:hint="eastAsia" w:ascii="宋体" w:hAnsi="宋体" w:eastAsia="宋体" w:cs="Times New Roman"/>
          <w:szCs w:val="21"/>
        </w:rPr>
        <w:t xml:space="preserve">。 </w:t>
      </w:r>
    </w:p>
    <w:p>
      <w:pPr>
        <w:spacing w:afterLines="25" w:line="300" w:lineRule="auto"/>
        <w:ind w:firstLine="420" w:firstLineChars="200"/>
        <w:jc w:val="center"/>
        <w:rPr>
          <w:rFonts w:ascii="宋体" w:hAnsi="宋体" w:eastAsia="宋体" w:cs="Times New Roman"/>
          <w:szCs w:val="21"/>
        </w:rPr>
      </w:pPr>
    </w:p>
    <w:p>
      <w:pPr>
        <w:wordWrap w:val="0"/>
        <w:spacing w:afterLines="25" w:line="300" w:lineRule="auto"/>
        <w:ind w:firstLine="420" w:firstLineChars="200"/>
        <w:jc w:val="right"/>
        <w:rPr>
          <w:rFonts w:ascii="宋体" w:hAnsi="宋体" w:eastAsia="宋体" w:cs="Times New Roman"/>
          <w:szCs w:val="21"/>
        </w:rPr>
      </w:pPr>
      <w:r>
        <w:rPr>
          <w:rFonts w:hint="eastAsia" w:ascii="宋体" w:hAnsi="宋体" w:eastAsia="宋体" w:cs="Times New Roman"/>
          <w:szCs w:val="21"/>
        </w:rPr>
        <w:t xml:space="preserve">     投标人（投标单位）：       </w:t>
      </w:r>
    </w:p>
    <w:p>
      <w:pPr>
        <w:wordWrap w:val="0"/>
        <w:spacing w:afterLines="25" w:line="300" w:lineRule="auto"/>
        <w:ind w:firstLine="420" w:firstLineChars="200"/>
        <w:jc w:val="right"/>
        <w:rPr>
          <w:rFonts w:ascii="Arial" w:hAnsi="Arial" w:eastAsia="宋体" w:cs="Times New Roman"/>
          <w:b/>
          <w:sz w:val="24"/>
          <w:szCs w:val="24"/>
        </w:rPr>
      </w:pPr>
      <w:r>
        <w:rPr>
          <w:rFonts w:hint="eastAsia" w:ascii="宋体" w:hAnsi="宋体" w:eastAsia="宋体" w:cs="Times New Roman"/>
          <w:szCs w:val="21"/>
        </w:rPr>
        <w:t xml:space="preserve">日期：       </w:t>
      </w:r>
    </w:p>
    <w:p>
      <w:pPr>
        <w:spacing w:afterLines="25" w:line="300" w:lineRule="auto"/>
        <w:ind w:firstLine="422" w:firstLineChars="200"/>
        <w:rPr>
          <w:rFonts w:ascii="宋体" w:hAnsi="宋体" w:eastAsia="宋体" w:cs="Times New Roman"/>
          <w:szCs w:val="21"/>
          <w:highlight w:val="yellow"/>
        </w:rPr>
      </w:pPr>
      <w:r>
        <w:rPr>
          <w:rFonts w:hint="eastAsia" w:ascii="Arial" w:hAnsi="Arial" w:eastAsia="宋体" w:cs="Times New Roman"/>
          <w:b/>
          <w:szCs w:val="21"/>
          <w:highlight w:val="yellow"/>
        </w:rPr>
        <w:t>说明：</w:t>
      </w:r>
      <w:r>
        <w:rPr>
          <w:rFonts w:hint="eastAsia" w:ascii="宋体" w:hAnsi="宋体" w:eastAsia="宋体" w:cs="Times New Roman"/>
          <w:szCs w:val="21"/>
          <w:highlight w:val="yellow"/>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keepNext w:val="0"/>
        <w:keepLines w:val="0"/>
        <w:pageBreakBefore w:val="0"/>
        <w:widowControl w:val="0"/>
        <w:kinsoku/>
        <w:wordWrap/>
        <w:overflowPunct/>
        <w:topLinePunct w:val="0"/>
        <w:autoSpaceDE/>
        <w:autoSpaceDN/>
        <w:bidi w:val="0"/>
        <w:adjustRightInd/>
        <w:snapToGrid/>
        <w:spacing w:afterLines="25" w:line="300" w:lineRule="auto"/>
        <w:jc w:val="center"/>
        <w:textAlignment w:val="auto"/>
        <w:outlineLvl w:val="9"/>
        <w:rPr>
          <w:rFonts w:hint="eastAsia" w:ascii="宋体" w:hAnsi="宋体"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afterLines="25" w:line="300" w:lineRule="auto"/>
        <w:jc w:val="center"/>
        <w:textAlignment w:val="auto"/>
        <w:outlineLvl w:val="9"/>
        <w:rPr>
          <w:rFonts w:hint="eastAsia" w:ascii="宋体" w:hAnsi="宋体" w:eastAsia="宋体" w:cs="Times New Roman"/>
          <w:b/>
          <w:sz w:val="24"/>
          <w:szCs w:val="24"/>
        </w:rPr>
      </w:pPr>
    </w:p>
    <w:p>
      <w:pPr>
        <w:rPr>
          <w:rFonts w:hint="eastAsia" w:ascii="宋体" w:hAnsi="宋体" w:eastAsia="宋体" w:cs="Times New Roman"/>
          <w:b/>
          <w:sz w:val="24"/>
          <w:szCs w:val="24"/>
        </w:rPr>
      </w:pPr>
      <w:r>
        <w:rPr>
          <w:rFonts w:hint="eastAsia" w:ascii="宋体" w:hAnsi="宋体" w:eastAsia="宋体" w:cs="Times New Roman"/>
          <w:b/>
          <w:sz w:val="24"/>
          <w:szCs w:val="24"/>
        </w:rPr>
        <w:br w:type="page"/>
      </w:r>
    </w:p>
    <w:p>
      <w:pPr>
        <w:keepNext w:val="0"/>
        <w:keepLines w:val="0"/>
        <w:pageBreakBefore w:val="0"/>
        <w:widowControl w:val="0"/>
        <w:kinsoku/>
        <w:wordWrap/>
        <w:overflowPunct/>
        <w:topLinePunct w:val="0"/>
        <w:autoSpaceDE/>
        <w:autoSpaceDN/>
        <w:bidi w:val="0"/>
        <w:adjustRightInd/>
        <w:snapToGrid/>
        <w:spacing w:afterLines="25" w:line="300" w:lineRule="auto"/>
        <w:jc w:val="center"/>
        <w:textAlignment w:val="auto"/>
        <w:outlineLvl w:val="5"/>
        <w:rPr>
          <w:rFonts w:ascii="Arial" w:hAnsi="Arial" w:eastAsia="宋体" w:cs="Times New Roman"/>
          <w:b/>
          <w:sz w:val="24"/>
          <w:szCs w:val="24"/>
        </w:rPr>
      </w:pPr>
      <w:r>
        <w:rPr>
          <w:rFonts w:hint="eastAsia" w:ascii="宋体" w:hAnsi="宋体" w:eastAsia="宋体" w:cs="Times New Roman"/>
          <w:b/>
          <w:sz w:val="24"/>
          <w:szCs w:val="24"/>
        </w:rPr>
        <w:t>②残疾人福利性单位声明函（服务）</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本</w:t>
      </w:r>
      <w:r>
        <w:rPr>
          <w:rFonts w:hint="eastAsia" w:cs="Times New Roman" w:asciiTheme="minorEastAsia" w:hAnsiTheme="minorEastAsia"/>
          <w:szCs w:val="21"/>
        </w:rPr>
        <w:t>投标人郑重声明，根据《财政部民政部中国残疾人联合会关于促进残疾人就业政府采购政策的通知》（财库〔</w:t>
      </w:r>
      <w:r>
        <w:rPr>
          <w:rFonts w:cs="Times New Roman" w:asciiTheme="minorEastAsia" w:hAnsiTheme="minorEastAsia"/>
          <w:szCs w:val="21"/>
        </w:rPr>
        <w:t>2017</w:t>
      </w:r>
      <w:r>
        <w:rPr>
          <w:rFonts w:hint="eastAsia" w:cs="Times New Roman" w:asciiTheme="minorEastAsia" w:hAnsiTheme="minorEastAsia"/>
          <w:szCs w:val="21"/>
        </w:rPr>
        <w:t>〕</w:t>
      </w:r>
      <w:r>
        <w:rPr>
          <w:rFonts w:cs="Times New Roman" w:asciiTheme="minorEastAsia" w:hAnsiTheme="minorEastAsia"/>
          <w:szCs w:val="21"/>
        </w:rPr>
        <w:t xml:space="preserve">141 </w:t>
      </w:r>
      <w:r>
        <w:rPr>
          <w:rFonts w:hint="eastAsia" w:cs="Times New Roman" w:asciiTheme="minorEastAsia" w:hAnsiTheme="minorEastAsia"/>
          <w:szCs w:val="21"/>
        </w:rPr>
        <w:t>号）的规定，本投标人</w:t>
      </w:r>
      <w:r>
        <w:rPr>
          <w:rFonts w:cs="Times New Roman" w:asciiTheme="minorEastAsia" w:hAnsiTheme="minorEastAsia"/>
          <w:szCs w:val="21"/>
        </w:rPr>
        <w:t>参加</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采购人</w:t>
      </w:r>
      <w:r>
        <w:rPr>
          <w:rFonts w:cs="Times New Roman" w:asciiTheme="minorEastAsia" w:hAnsiTheme="minorEastAsia"/>
          <w:b/>
          <w:bCs/>
          <w:szCs w:val="21"/>
          <w:u w:val="single"/>
        </w:rPr>
        <w:t>名称）</w:t>
      </w:r>
      <w:r>
        <w:rPr>
          <w:rFonts w:cs="Times New Roman" w:asciiTheme="minorEastAsia" w:hAnsiTheme="minorEastAsia"/>
          <w:szCs w:val="21"/>
        </w:rPr>
        <w:t>的</w:t>
      </w:r>
      <w:r>
        <w:rPr>
          <w:rFonts w:cs="Times New Roman" w:asciiTheme="minorEastAsia" w:hAnsiTheme="minorEastAsia"/>
          <w:b/>
          <w:bCs/>
          <w:szCs w:val="21"/>
          <w:u w:val="single"/>
        </w:rPr>
        <w:t>（项目名称）</w:t>
      </w:r>
      <w:r>
        <w:rPr>
          <w:rFonts w:cs="Times New Roman" w:asciiTheme="minorEastAsia" w:hAnsiTheme="minorEastAsia"/>
          <w:szCs w:val="21"/>
        </w:rPr>
        <w:t>采购活动，</w:t>
      </w:r>
      <w:r>
        <w:rPr>
          <w:rFonts w:hint="eastAsia" w:cs="Times New Roman" w:asciiTheme="minorEastAsia" w:hAnsiTheme="minorEastAsia"/>
          <w:szCs w:val="21"/>
        </w:rPr>
        <w:t>服务</w:t>
      </w:r>
      <w:r>
        <w:rPr>
          <w:rFonts w:cs="Times New Roman" w:asciiTheme="minorEastAsia" w:hAnsiTheme="minorEastAsia"/>
          <w:szCs w:val="21"/>
        </w:rPr>
        <w:t>全部由符合政策要求的</w:t>
      </w:r>
      <w:r>
        <w:rPr>
          <w:rFonts w:hint="eastAsia" w:cs="Times New Roman" w:asciiTheme="minorEastAsia" w:hAnsiTheme="minorEastAsia"/>
          <w:szCs w:val="21"/>
        </w:rPr>
        <w:t>残疾人福利性单位承接</w:t>
      </w:r>
      <w:r>
        <w:rPr>
          <w:rFonts w:cs="Times New Roman" w:asciiTheme="minorEastAsia" w:hAnsiTheme="minorEastAsia"/>
          <w:szCs w:val="21"/>
        </w:rPr>
        <w:t>。相关</w:t>
      </w:r>
      <w:r>
        <w:rPr>
          <w:rFonts w:hint="eastAsia" w:cs="Times New Roman" w:asciiTheme="minorEastAsia" w:hAnsiTheme="minorEastAsia"/>
          <w:szCs w:val="21"/>
        </w:rPr>
        <w:t>残疾人福利性单位</w:t>
      </w:r>
      <w:r>
        <w:rPr>
          <w:rFonts w:cs="Times New Roman" w:asciiTheme="minorEastAsia" w:hAnsiTheme="minorEastAsia"/>
          <w:szCs w:val="21"/>
        </w:rPr>
        <w:t>的具体情况如下：</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1.</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，承接企业</w:t>
      </w:r>
      <w:r>
        <w:rPr>
          <w:rFonts w:cs="Times New Roman" w:asciiTheme="minorEastAsia" w:hAnsiTheme="minorEastAsia"/>
          <w:szCs w:val="21"/>
        </w:rPr>
        <w:t>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2.</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，承接企业</w:t>
      </w:r>
      <w:r>
        <w:rPr>
          <w:rFonts w:cs="Times New Roman" w:asciiTheme="minorEastAsia" w:hAnsiTheme="minorEastAsia"/>
          <w:szCs w:val="21"/>
        </w:rPr>
        <w:t>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hint="eastAsia"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 xml:space="preserve">…… </w:t>
      </w:r>
    </w:p>
    <w:p>
      <w:pPr>
        <w:spacing w:afterLines="25" w:line="300" w:lineRule="auto"/>
        <w:ind w:firstLine="420" w:firstLineChars="200"/>
        <w:rPr>
          <w:rFonts w:hint="eastAsia" w:cs="Times New Roman" w:asciiTheme="minorEastAsia" w:hAnsiTheme="minorEastAsia"/>
          <w:szCs w:val="21"/>
        </w:rPr>
      </w:pPr>
      <w:r>
        <w:rPr>
          <w:rFonts w:hint="eastAsia" w:cs="Times New Roman" w:asciiTheme="minorEastAsia" w:hAnsiTheme="minorEastAsia"/>
          <w:szCs w:val="21"/>
        </w:rPr>
        <w:t>本投标人对上述声明内容的真实性负责。如有虚假，将依法承担相应责任。</w:t>
      </w:r>
    </w:p>
    <w:p>
      <w:pPr>
        <w:spacing w:afterLines="25" w:line="300" w:lineRule="auto"/>
        <w:ind w:firstLine="420" w:firstLineChars="200"/>
        <w:rPr>
          <w:rFonts w:cs="Times New Roman" w:asciiTheme="minorEastAsia" w:hAnsiTheme="minorEastAsia"/>
          <w:szCs w:val="21"/>
        </w:rPr>
      </w:pPr>
      <w:r>
        <w:rPr>
          <w:rFonts w:hint="eastAsia" w:cs="Times New Roman" w:asciiTheme="minorEastAsia" w:hAnsiTheme="minorEastAsia"/>
          <w:szCs w:val="21"/>
        </w:rPr>
        <w:t>本</w:t>
      </w:r>
      <w:r>
        <w:rPr>
          <w:rFonts w:cs="Times New Roman" w:asciiTheme="minorEastAsia" w:hAnsiTheme="minorEastAsia"/>
          <w:szCs w:val="21"/>
        </w:rPr>
        <w:t>投标人</w:t>
      </w:r>
      <w:r>
        <w:rPr>
          <w:rFonts w:hint="eastAsia" w:cs="Times New Roman" w:asciiTheme="minorEastAsia" w:hAnsiTheme="minorEastAsia"/>
          <w:szCs w:val="21"/>
        </w:rPr>
        <w:t>已</w:t>
      </w:r>
      <w:r>
        <w:rPr>
          <w:rFonts w:cs="Times New Roman" w:asciiTheme="minorEastAsia" w:hAnsiTheme="minorEastAsia"/>
          <w:szCs w:val="21"/>
        </w:rPr>
        <w:t>知悉</w:t>
      </w:r>
      <w:r>
        <w:rPr>
          <w:rFonts w:hint="eastAsia" w:cs="Times New Roman" w:asciiTheme="minorEastAsia" w:hAnsiTheme="minorEastAsia"/>
          <w:szCs w:val="21"/>
        </w:rPr>
        <w:t>《财政部民政部中国残疾人联合会关于促进残疾人就业政府采购政策的通知》（财库〔2017〕141 号）</w:t>
      </w:r>
      <w:r>
        <w:rPr>
          <w:rFonts w:cs="Times New Roman" w:asciiTheme="minorEastAsia" w:hAnsiTheme="minorEastAsia"/>
          <w:szCs w:val="21"/>
        </w:rPr>
        <w:t>的规定，承诺提供的声明函内容是真实的，如提供声明函内容不实，则依法追究相关法律责任</w:t>
      </w:r>
      <w:r>
        <w:rPr>
          <w:rFonts w:hint="eastAsia" w:cs="Times New Roman" w:asciiTheme="minorEastAsia" w:hAnsiTheme="minorEastAsia"/>
          <w:szCs w:val="21"/>
        </w:rPr>
        <w:t>。</w:t>
      </w:r>
    </w:p>
    <w:p>
      <w:pPr>
        <w:spacing w:afterLines="25" w:line="560" w:lineRule="exact"/>
        <w:ind w:firstLine="420" w:firstLineChars="200"/>
        <w:jc w:val="center"/>
        <w:rPr>
          <w:rFonts w:cs="Times New Roman" w:asciiTheme="minorEastAsia" w:hAnsiTheme="minorEastAsia"/>
          <w:szCs w:val="24"/>
        </w:rPr>
      </w:pPr>
      <w:r>
        <w:rPr>
          <w:rFonts w:hint="eastAsia" w:cs="Times New Roman" w:asciiTheme="minorEastAsia" w:hAnsiTheme="minorEastAsia"/>
          <w:szCs w:val="24"/>
        </w:rPr>
        <w:t xml:space="preserve">      </w:t>
      </w:r>
    </w:p>
    <w:p>
      <w:pPr>
        <w:wordWrap w:val="0"/>
        <w:spacing w:afterLines="25" w:line="300" w:lineRule="auto"/>
        <w:ind w:firstLine="420" w:firstLineChars="200"/>
        <w:jc w:val="right"/>
        <w:rPr>
          <w:rFonts w:cs="Times New Roman" w:asciiTheme="minorEastAsia" w:hAnsiTheme="minorEastAsia"/>
          <w:szCs w:val="21"/>
        </w:rPr>
      </w:pPr>
      <w:r>
        <w:rPr>
          <w:rFonts w:hint="eastAsia" w:cs="Times New Roman" w:asciiTheme="minorEastAsia" w:hAnsiTheme="minorEastAsia"/>
          <w:szCs w:val="24"/>
        </w:rPr>
        <w:t xml:space="preserve">     </w:t>
      </w:r>
      <w:r>
        <w:rPr>
          <w:rFonts w:hint="eastAsia" w:cs="Times New Roman" w:asciiTheme="minorEastAsia" w:hAnsiTheme="minorEastAsia"/>
          <w:szCs w:val="21"/>
        </w:rPr>
        <w:t xml:space="preserve">投标人（投标单位）：       </w:t>
      </w:r>
    </w:p>
    <w:p>
      <w:pPr>
        <w:wordWrap w:val="0"/>
        <w:spacing w:afterLines="25" w:line="300" w:lineRule="auto"/>
        <w:ind w:firstLine="420" w:firstLineChars="200"/>
        <w:jc w:val="right"/>
        <w:rPr>
          <w:rFonts w:cs="Times New Roman" w:asciiTheme="minorEastAsia" w:hAnsiTheme="minorEastAsia"/>
          <w:szCs w:val="24"/>
        </w:rPr>
      </w:pPr>
      <w:r>
        <w:rPr>
          <w:rFonts w:hint="eastAsia" w:cs="Times New Roman" w:asciiTheme="minorEastAsia" w:hAnsiTheme="minorEastAsia"/>
          <w:szCs w:val="21"/>
        </w:rPr>
        <w:t xml:space="preserve">日期：       </w:t>
      </w:r>
    </w:p>
    <w:p>
      <w:pPr>
        <w:spacing w:afterLines="25" w:line="300" w:lineRule="auto"/>
        <w:ind w:firstLine="422" w:firstLineChars="200"/>
        <w:rPr>
          <w:rFonts w:ascii="宋体" w:hAnsi="宋体" w:eastAsia="宋体" w:cs="Times New Roman"/>
          <w:szCs w:val="21"/>
          <w:highlight w:val="yellow"/>
        </w:rPr>
      </w:pPr>
      <w:r>
        <w:rPr>
          <w:rFonts w:hint="eastAsia" w:ascii="宋体" w:hAnsi="宋体" w:eastAsia="宋体" w:cs="Times New Roman"/>
          <w:b/>
          <w:szCs w:val="21"/>
          <w:highlight w:val="yellow"/>
        </w:rPr>
        <w:t>说明：</w:t>
      </w:r>
      <w:r>
        <w:rPr>
          <w:rFonts w:hint="eastAsia" w:ascii="宋体" w:hAnsi="宋体" w:eastAsia="宋体" w:cs="Times New Roman"/>
          <w:szCs w:val="21"/>
          <w:highlight w:val="yellow"/>
        </w:rPr>
        <w:t>根据财库〔2017〕141号文件的规定,享受政府采购支持政策的残疾人福利性单位应当同时满足以下条件：</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（一）</w:t>
      </w:r>
      <w:r>
        <w:rPr>
          <w:rFonts w:hint="eastAsia" w:ascii="宋体" w:hAnsi="宋体" w:eastAsia="宋体" w:cs="Times New Roman"/>
          <w:b/>
          <w:szCs w:val="21"/>
          <w:highlight w:val="yellow"/>
        </w:rPr>
        <w:t>安置的残疾人占本单位在职职工人数的比例不低于25%（含25%），并且安置的残疾人人数不少于10人（含10人）</w:t>
      </w:r>
      <w:r>
        <w:rPr>
          <w:rFonts w:hint="eastAsia" w:ascii="宋体" w:hAnsi="宋体" w:eastAsia="宋体" w:cs="Times New Roman"/>
          <w:szCs w:val="21"/>
          <w:highlight w:val="yellow"/>
        </w:rPr>
        <w:t>；</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（二）依法与安置的每位残疾人签订了一年以上（含一年）的劳动合同或服务协议；</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（三）为安置的每位残疾人按月足额缴纳了基本养老保险、基本医疗保险、失业保险、工伤保险和生育保险等社会保险费；</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（四）通过银行等金融机构向安置的每位残疾人，按月支付了不低于单位所在区县适用的经省级人民政府批准的月最低工资标准的工资；</w:t>
      </w:r>
    </w:p>
    <w:p>
      <w:pPr>
        <w:spacing w:afterLines="25" w:line="300" w:lineRule="auto"/>
        <w:ind w:firstLine="420" w:firstLineChars="200"/>
        <w:rPr>
          <w:rFonts w:ascii="宋体" w:hAnsi="宋体" w:eastAsia="宋体" w:cs="Times New Roman"/>
          <w:szCs w:val="21"/>
        </w:rPr>
      </w:pPr>
      <w:r>
        <w:rPr>
          <w:rFonts w:hint="eastAsia" w:ascii="宋体" w:hAnsi="宋体" w:eastAsia="宋体" w:cs="Times New Roman"/>
          <w:szCs w:val="21"/>
          <w:highlight w:val="yellow"/>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center"/>
        <w:rPr>
          <w:rFonts w:hint="eastAsia" w:ascii="宋体" w:hAnsi="宋体" w:eastAsia="宋体" w:cs="Times New Roman"/>
          <w:b/>
          <w:sz w:val="24"/>
          <w:szCs w:val="24"/>
        </w:rPr>
      </w:pPr>
    </w:p>
    <w:p>
      <w:pPr>
        <w:widowControl/>
        <w:jc w:val="center"/>
        <w:rPr>
          <w:rFonts w:hint="eastAsia" w:ascii="宋体" w:hAnsi="宋体" w:eastAsia="宋体" w:cs="Times New Roman"/>
          <w:b/>
          <w:sz w:val="24"/>
          <w:szCs w:val="24"/>
        </w:rPr>
      </w:pPr>
    </w:p>
    <w:p>
      <w:pPr>
        <w:rPr>
          <w:rFonts w:hint="eastAsia" w:ascii="宋体" w:hAnsi="宋体" w:eastAsia="宋体" w:cs="Times New Roman"/>
          <w:b/>
          <w:sz w:val="24"/>
          <w:szCs w:val="24"/>
        </w:rPr>
      </w:pPr>
      <w:r>
        <w:rPr>
          <w:rFonts w:hint="eastAsia" w:ascii="宋体" w:hAnsi="宋体" w:eastAsia="宋体" w:cs="Times New Roman"/>
          <w:b/>
          <w:sz w:val="24"/>
          <w:szCs w:val="24"/>
        </w:rPr>
        <w:br w:type="page"/>
      </w:r>
    </w:p>
    <w:p>
      <w:pPr>
        <w:keepNext w:val="0"/>
        <w:keepLines w:val="0"/>
        <w:pageBreakBefore w:val="0"/>
        <w:widowControl/>
        <w:kinsoku/>
        <w:wordWrap/>
        <w:overflowPunct/>
        <w:topLinePunct w:val="0"/>
        <w:autoSpaceDE/>
        <w:autoSpaceDN/>
        <w:bidi w:val="0"/>
        <w:adjustRightInd/>
        <w:snapToGrid/>
        <w:jc w:val="center"/>
        <w:textAlignment w:val="auto"/>
        <w:outlineLvl w:val="5"/>
        <w:rPr>
          <w:rFonts w:ascii="Arial" w:hAnsi="Arial" w:eastAsia="宋体" w:cs="Times New Roman"/>
          <w:b/>
          <w:sz w:val="24"/>
          <w:szCs w:val="24"/>
        </w:rPr>
      </w:pPr>
      <w:r>
        <w:rPr>
          <w:rFonts w:hint="eastAsia" w:ascii="宋体" w:hAnsi="宋体" w:eastAsia="宋体" w:cs="Times New Roman"/>
          <w:b/>
          <w:sz w:val="24"/>
          <w:szCs w:val="24"/>
        </w:rPr>
        <w:t>③</w:t>
      </w:r>
      <w:r>
        <w:rPr>
          <w:rFonts w:hint="eastAsia" w:ascii="Arial" w:hAnsi="Arial" w:eastAsia="宋体" w:cs="Times New Roman"/>
          <w:b/>
          <w:sz w:val="24"/>
          <w:szCs w:val="24"/>
        </w:rPr>
        <w:t>监狱企业声明函</w:t>
      </w:r>
      <w:r>
        <w:rPr>
          <w:rFonts w:hint="eastAsia"/>
          <w:b/>
          <w:sz w:val="24"/>
        </w:rPr>
        <w:t>【服务类，监狱企业如需享受优惠政策，还须另行提供省级以上监狱管理局、戒毒管理局（含新疆生产建设兵团）出具的监狱企业证明文件】</w:t>
      </w:r>
    </w:p>
    <w:p>
      <w:pPr>
        <w:spacing w:afterLines="25" w:line="300" w:lineRule="auto"/>
        <w:ind w:firstLine="420" w:firstLineChars="200"/>
        <w:rPr>
          <w:rFonts w:ascii="宋体" w:hAnsi="宋体" w:eastAsia="宋体" w:cs="Times New Roman"/>
          <w:szCs w:val="21"/>
        </w:rPr>
      </w:pPr>
      <w:r>
        <w:rPr>
          <w:rFonts w:hint="eastAsia" w:ascii="宋体" w:hAnsi="宋体" w:eastAsia="宋体" w:cs="Times New Roman"/>
          <w:szCs w:val="21"/>
        </w:rPr>
        <w:t>本投标人郑重声明，根据《财政部司法部关于政府采购支持监狱企业发展有关问题的通知》（财库〔</w:t>
      </w:r>
      <w:r>
        <w:rPr>
          <w:rFonts w:ascii="宋体" w:hAnsi="宋体" w:eastAsia="宋体" w:cs="Times New Roman"/>
          <w:szCs w:val="21"/>
        </w:rPr>
        <w:t>2014</w:t>
      </w:r>
      <w:r>
        <w:rPr>
          <w:rFonts w:hint="eastAsia" w:ascii="宋体" w:hAnsi="宋体" w:eastAsia="宋体" w:cs="Times New Roman"/>
          <w:szCs w:val="21"/>
        </w:rPr>
        <w:t>〕</w:t>
      </w:r>
      <w:r>
        <w:rPr>
          <w:rFonts w:ascii="宋体" w:hAnsi="宋体" w:eastAsia="宋体" w:cs="Times New Roman"/>
          <w:szCs w:val="21"/>
        </w:rPr>
        <w:t>68</w:t>
      </w:r>
      <w:r>
        <w:rPr>
          <w:rFonts w:hint="eastAsia" w:ascii="宋体" w:hAnsi="宋体" w:eastAsia="宋体" w:cs="Times New Roman"/>
          <w:szCs w:val="21"/>
        </w:rPr>
        <w:t>号）的规定，本投标人</w:t>
      </w:r>
      <w:r>
        <w:rPr>
          <w:rFonts w:ascii="宋体" w:hAnsi="宋体" w:eastAsia="宋体" w:cs="Times New Roman"/>
          <w:szCs w:val="21"/>
        </w:rPr>
        <w:t>参加</w:t>
      </w:r>
      <w:r>
        <w:rPr>
          <w:rFonts w:ascii="宋体" w:hAnsi="宋体" w:eastAsia="宋体" w:cs="Times New Roman"/>
          <w:b/>
          <w:bCs/>
          <w:szCs w:val="21"/>
          <w:u w:val="single"/>
        </w:rPr>
        <w:t>（</w:t>
      </w:r>
      <w:r>
        <w:rPr>
          <w:rFonts w:hint="eastAsia" w:ascii="宋体" w:hAnsi="宋体" w:eastAsia="宋体" w:cs="Times New Roman"/>
          <w:b/>
          <w:bCs/>
          <w:szCs w:val="21"/>
          <w:u w:val="single"/>
        </w:rPr>
        <w:t>采购人</w:t>
      </w:r>
      <w:r>
        <w:rPr>
          <w:rFonts w:ascii="宋体" w:hAnsi="宋体" w:eastAsia="宋体" w:cs="Times New Roman"/>
          <w:b/>
          <w:bCs/>
          <w:szCs w:val="21"/>
          <w:u w:val="single"/>
        </w:rPr>
        <w:t>名称）</w:t>
      </w:r>
      <w:r>
        <w:rPr>
          <w:rFonts w:ascii="宋体" w:hAnsi="宋体" w:eastAsia="宋体" w:cs="Times New Roman"/>
          <w:szCs w:val="21"/>
        </w:rPr>
        <w:t>的</w:t>
      </w:r>
      <w:r>
        <w:rPr>
          <w:rFonts w:ascii="宋体" w:hAnsi="宋体" w:eastAsia="宋体" w:cs="Times New Roman"/>
          <w:b/>
          <w:bCs/>
          <w:szCs w:val="21"/>
          <w:u w:val="single"/>
        </w:rPr>
        <w:t>（项目名称）</w:t>
      </w:r>
      <w:r>
        <w:rPr>
          <w:rFonts w:ascii="宋体" w:hAnsi="宋体" w:eastAsia="宋体" w:cs="Times New Roman"/>
          <w:szCs w:val="21"/>
        </w:rPr>
        <w:t>采购活动，</w:t>
      </w:r>
      <w:r>
        <w:rPr>
          <w:rFonts w:hint="eastAsia" w:ascii="宋体" w:hAnsi="宋体" w:eastAsia="宋体" w:cs="Times New Roman"/>
          <w:szCs w:val="21"/>
        </w:rPr>
        <w:t>服务</w:t>
      </w:r>
      <w:r>
        <w:rPr>
          <w:rFonts w:ascii="宋体" w:hAnsi="宋体" w:eastAsia="宋体" w:cs="Times New Roman"/>
          <w:szCs w:val="21"/>
        </w:rPr>
        <w:t>全部由符合政策要求的</w:t>
      </w:r>
      <w:r>
        <w:rPr>
          <w:rFonts w:hint="eastAsia" w:ascii="宋体" w:hAnsi="宋体" w:eastAsia="宋体" w:cs="Times New Roman"/>
          <w:szCs w:val="21"/>
        </w:rPr>
        <w:t>监狱企业承接</w:t>
      </w:r>
      <w:r>
        <w:rPr>
          <w:rFonts w:ascii="宋体" w:hAnsi="宋体" w:eastAsia="宋体" w:cs="Times New Roman"/>
          <w:szCs w:val="21"/>
        </w:rPr>
        <w:t>。相关</w:t>
      </w:r>
      <w:r>
        <w:rPr>
          <w:rFonts w:hint="eastAsia" w:ascii="宋体" w:hAnsi="宋体" w:eastAsia="宋体" w:cs="Times New Roman"/>
          <w:szCs w:val="21"/>
        </w:rPr>
        <w:t>监狱企业</w:t>
      </w:r>
      <w:r>
        <w:rPr>
          <w:rFonts w:ascii="宋体" w:hAnsi="宋体" w:eastAsia="宋体" w:cs="Times New Roman"/>
          <w:szCs w:val="21"/>
        </w:rPr>
        <w:t>的具体情况如下：</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1.</w:t>
      </w:r>
      <w:r>
        <w:rPr>
          <w:rFonts w:ascii="宋体" w:hAnsi="宋体" w:eastAsia="宋体" w:cs="Times New Roman"/>
          <w:b/>
          <w:bCs/>
          <w:szCs w:val="21"/>
          <w:u w:val="single"/>
        </w:rPr>
        <w:t xml:space="preserve"> （标的名称）</w:t>
      </w:r>
      <w:r>
        <w:rPr>
          <w:rFonts w:ascii="宋体" w:hAnsi="宋体" w:eastAsia="宋体" w:cs="Times New Roman"/>
          <w:szCs w:val="21"/>
        </w:rPr>
        <w:t xml:space="preserve"> </w:t>
      </w:r>
      <w:r>
        <w:rPr>
          <w:rFonts w:hint="eastAsia" w:ascii="宋体" w:hAnsi="宋体" w:eastAsia="宋体" w:cs="Times New Roman"/>
          <w:szCs w:val="21"/>
        </w:rPr>
        <w:t>，承接单位</w:t>
      </w:r>
      <w:r>
        <w:rPr>
          <w:rFonts w:ascii="宋体" w:hAnsi="宋体" w:eastAsia="宋体" w:cs="Times New Roman"/>
          <w:szCs w:val="21"/>
        </w:rPr>
        <w:t>为</w:t>
      </w:r>
      <w:r>
        <w:rPr>
          <w:rFonts w:ascii="宋体" w:hAnsi="宋体" w:eastAsia="宋体" w:cs="Times New Roman"/>
          <w:b/>
          <w:bCs/>
          <w:szCs w:val="21"/>
          <w:u w:val="single"/>
        </w:rPr>
        <w:t>（</w:t>
      </w:r>
      <w:r>
        <w:rPr>
          <w:rFonts w:hint="eastAsia" w:ascii="宋体" w:hAnsi="宋体" w:eastAsia="宋体" w:cs="Times New Roman"/>
          <w:b/>
          <w:bCs/>
          <w:szCs w:val="21"/>
          <w:u w:val="single"/>
        </w:rPr>
        <w:t>企业</w:t>
      </w:r>
      <w:r>
        <w:rPr>
          <w:rFonts w:ascii="宋体" w:hAnsi="宋体" w:eastAsia="宋体" w:cs="Times New Roman"/>
          <w:b/>
          <w:bCs/>
          <w:szCs w:val="21"/>
          <w:u w:val="single"/>
        </w:rPr>
        <w:t>名称）</w:t>
      </w:r>
      <w:r>
        <w:rPr>
          <w:rFonts w:ascii="宋体" w:hAnsi="宋体" w:eastAsia="宋体" w:cs="Times New Roman"/>
          <w:szCs w:val="21"/>
        </w:rPr>
        <w:t>，属于</w:t>
      </w:r>
      <w:r>
        <w:rPr>
          <w:rFonts w:hint="eastAsia" w:ascii="宋体" w:hAnsi="宋体" w:eastAsia="宋体" w:cs="Times New Roman"/>
          <w:b/>
          <w:bCs/>
          <w:szCs w:val="21"/>
          <w:u w:val="single"/>
        </w:rPr>
        <w:t>监狱企业</w:t>
      </w:r>
      <w:r>
        <w:rPr>
          <w:rFonts w:ascii="宋体" w:hAnsi="宋体" w:eastAsia="宋体" w:cs="Times New Roman"/>
          <w:szCs w:val="21"/>
        </w:rPr>
        <w:t>；</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2.</w:t>
      </w:r>
      <w:r>
        <w:rPr>
          <w:rFonts w:ascii="宋体" w:hAnsi="宋体" w:eastAsia="宋体" w:cs="Times New Roman"/>
          <w:b/>
          <w:bCs/>
          <w:szCs w:val="21"/>
          <w:u w:val="single"/>
        </w:rPr>
        <w:t xml:space="preserve"> （标的名称）</w:t>
      </w:r>
      <w:r>
        <w:rPr>
          <w:rFonts w:ascii="宋体" w:hAnsi="宋体" w:eastAsia="宋体" w:cs="Times New Roman"/>
          <w:szCs w:val="21"/>
        </w:rPr>
        <w:t xml:space="preserve"> </w:t>
      </w:r>
      <w:r>
        <w:rPr>
          <w:rFonts w:hint="eastAsia" w:ascii="宋体" w:hAnsi="宋体" w:eastAsia="宋体" w:cs="Times New Roman"/>
          <w:szCs w:val="21"/>
        </w:rPr>
        <w:t>，承接单位</w:t>
      </w:r>
      <w:r>
        <w:rPr>
          <w:rFonts w:ascii="宋体" w:hAnsi="宋体" w:eastAsia="宋体" w:cs="Times New Roman"/>
          <w:szCs w:val="21"/>
        </w:rPr>
        <w:t>为</w:t>
      </w:r>
      <w:r>
        <w:rPr>
          <w:rFonts w:ascii="宋体" w:hAnsi="宋体" w:eastAsia="宋体" w:cs="Times New Roman"/>
          <w:b/>
          <w:bCs/>
          <w:szCs w:val="21"/>
          <w:u w:val="single"/>
        </w:rPr>
        <w:t>（</w:t>
      </w:r>
      <w:r>
        <w:rPr>
          <w:rFonts w:hint="eastAsia" w:ascii="宋体" w:hAnsi="宋体" w:eastAsia="宋体" w:cs="Times New Roman"/>
          <w:b/>
          <w:bCs/>
          <w:szCs w:val="21"/>
          <w:u w:val="single"/>
        </w:rPr>
        <w:t>企业</w:t>
      </w:r>
      <w:r>
        <w:rPr>
          <w:rFonts w:ascii="宋体" w:hAnsi="宋体" w:eastAsia="宋体" w:cs="Times New Roman"/>
          <w:b/>
          <w:bCs/>
          <w:szCs w:val="21"/>
          <w:u w:val="single"/>
        </w:rPr>
        <w:t>名称）</w:t>
      </w:r>
      <w:r>
        <w:rPr>
          <w:rFonts w:ascii="宋体" w:hAnsi="宋体" w:eastAsia="宋体" w:cs="Times New Roman"/>
          <w:szCs w:val="21"/>
        </w:rPr>
        <w:t>，属于</w:t>
      </w:r>
      <w:r>
        <w:rPr>
          <w:rFonts w:hint="eastAsia" w:ascii="宋体" w:hAnsi="宋体" w:eastAsia="宋体" w:cs="Times New Roman"/>
          <w:b/>
          <w:bCs/>
          <w:szCs w:val="21"/>
          <w:u w:val="single"/>
        </w:rPr>
        <w:t>监狱企业</w:t>
      </w:r>
      <w:r>
        <w:rPr>
          <w:rFonts w:hint="eastAsia" w:ascii="宋体" w:hAnsi="宋体" w:eastAsia="宋体" w:cs="Times New Roman"/>
          <w:szCs w:val="21"/>
        </w:rPr>
        <w:t>。</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 xml:space="preserve">…… </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本</w:t>
      </w:r>
      <w:r>
        <w:rPr>
          <w:rFonts w:hint="eastAsia" w:ascii="宋体" w:hAnsi="宋体" w:eastAsia="宋体" w:cs="Times New Roman"/>
          <w:szCs w:val="21"/>
        </w:rPr>
        <w:t>投标人</w:t>
      </w:r>
      <w:r>
        <w:rPr>
          <w:rFonts w:ascii="宋体" w:hAnsi="宋体" w:eastAsia="宋体" w:cs="Times New Roman"/>
          <w:szCs w:val="21"/>
        </w:rPr>
        <w:t>对上述声明内容的真实性负责。如有虚假，将依法承担相应责任。</w:t>
      </w:r>
    </w:p>
    <w:p>
      <w:pPr>
        <w:spacing w:afterLines="25" w:line="300" w:lineRule="auto"/>
        <w:ind w:firstLine="420" w:firstLineChars="200"/>
        <w:rPr>
          <w:rFonts w:ascii="宋体" w:hAnsi="宋体" w:eastAsia="宋体" w:cs="Times New Roman"/>
          <w:szCs w:val="21"/>
        </w:rPr>
      </w:pPr>
    </w:p>
    <w:p>
      <w:pPr>
        <w:spacing w:afterLines="25" w:line="300" w:lineRule="auto"/>
        <w:ind w:firstLine="422" w:firstLineChars="200"/>
        <w:rPr>
          <w:rFonts w:ascii="宋体" w:hAnsi="宋体" w:eastAsia="宋体" w:cs="Times New Roman"/>
          <w:szCs w:val="21"/>
        </w:rPr>
      </w:pPr>
      <w:r>
        <w:rPr>
          <w:rFonts w:hint="eastAsia" w:ascii="宋体" w:hAnsi="宋体" w:eastAsia="宋体" w:cs="Times New Roman"/>
          <w:b/>
          <w:color w:val="FF0000"/>
          <w:szCs w:val="21"/>
        </w:rPr>
        <w:t>附：省级以上监狱管理局、戒毒管理局（含新疆生产建设兵团）出具的监狱企业证明文件。</w:t>
      </w:r>
    </w:p>
    <w:p>
      <w:pPr>
        <w:spacing w:afterLines="25" w:line="300" w:lineRule="auto"/>
        <w:rPr>
          <w:rFonts w:ascii="宋体" w:hAnsi="宋体" w:eastAsia="宋体" w:cs="Times New Roman"/>
          <w:szCs w:val="21"/>
        </w:rPr>
      </w:pPr>
    </w:p>
    <w:p>
      <w:pPr>
        <w:wordWrap w:val="0"/>
        <w:spacing w:afterLines="25" w:line="300" w:lineRule="auto"/>
        <w:ind w:firstLine="420" w:firstLineChars="200"/>
        <w:jc w:val="right"/>
        <w:rPr>
          <w:rFonts w:ascii="宋体" w:hAnsi="宋体" w:eastAsia="宋体" w:cs="Times New Roman"/>
          <w:szCs w:val="21"/>
        </w:rPr>
      </w:pPr>
      <w:r>
        <w:rPr>
          <w:rFonts w:hint="eastAsia" w:ascii="宋体" w:hAnsi="宋体" w:eastAsia="宋体" w:cs="Times New Roman"/>
          <w:szCs w:val="21"/>
        </w:rPr>
        <w:t xml:space="preserve">投标人（投标单位）：       </w:t>
      </w:r>
    </w:p>
    <w:p>
      <w:pPr>
        <w:wordWrap w:val="0"/>
        <w:spacing w:afterLines="25" w:line="300" w:lineRule="auto"/>
        <w:ind w:firstLine="420" w:firstLineChars="200"/>
        <w:jc w:val="right"/>
        <w:rPr>
          <w:rFonts w:ascii="宋体" w:hAnsi="宋体" w:eastAsia="宋体" w:cs="Times New Roman"/>
          <w:szCs w:val="21"/>
        </w:rPr>
      </w:pPr>
      <w:r>
        <w:rPr>
          <w:rFonts w:hint="eastAsia" w:ascii="宋体" w:hAnsi="宋体" w:eastAsia="宋体" w:cs="Times New Roman"/>
          <w:szCs w:val="21"/>
        </w:rPr>
        <w:t xml:space="preserve">日期：       </w:t>
      </w:r>
    </w:p>
    <w:p>
      <w:pPr>
        <w:widowControl/>
        <w:jc w:val="center"/>
        <w:rPr>
          <w:rFonts w:hint="eastAsia" w:ascii="宋体" w:hAnsi="宋体" w:eastAsia="宋体" w:cs="Times New Roman"/>
          <w:b/>
          <w:sz w:val="24"/>
          <w:szCs w:val="24"/>
        </w:rPr>
      </w:pPr>
    </w:p>
    <w:p>
      <w:pPr>
        <w:widowControl/>
        <w:jc w:val="center"/>
        <w:rPr>
          <w:rFonts w:hint="eastAsia" w:ascii="宋体" w:hAnsi="宋体" w:eastAsia="宋体" w:cs="Times New Roman"/>
          <w:b/>
          <w:sz w:val="24"/>
          <w:szCs w:val="24"/>
        </w:rPr>
      </w:pPr>
    </w:p>
    <w:p>
      <w:pPr>
        <w:rPr>
          <w:rFonts w:hint="eastAsia" w:ascii="宋体" w:hAnsi="宋体" w:eastAsia="宋体" w:cs="Times New Roman"/>
          <w:b/>
          <w:sz w:val="24"/>
          <w:szCs w:val="24"/>
        </w:rPr>
      </w:pPr>
      <w:r>
        <w:rPr>
          <w:rFonts w:hint="eastAsia" w:ascii="宋体" w:hAnsi="宋体" w:eastAsia="宋体" w:cs="Times New Roman"/>
          <w:b/>
          <w:sz w:val="24"/>
          <w:szCs w:val="24"/>
        </w:rPr>
        <w:br w:type="page"/>
      </w:r>
    </w:p>
    <w:p>
      <w:pPr>
        <w:keepNext w:val="0"/>
        <w:keepLines w:val="0"/>
        <w:pageBreakBefore w:val="0"/>
        <w:widowControl/>
        <w:kinsoku/>
        <w:wordWrap/>
        <w:overflowPunct/>
        <w:topLinePunct w:val="0"/>
        <w:autoSpaceDE/>
        <w:autoSpaceDN/>
        <w:bidi w:val="0"/>
        <w:adjustRightInd/>
        <w:snapToGrid/>
        <w:jc w:val="center"/>
        <w:textAlignment w:val="auto"/>
        <w:outlineLvl w:val="5"/>
        <w:rPr>
          <w:rFonts w:ascii="宋体" w:hAnsi="宋体" w:eastAsia="宋体" w:cs="Times New Roman"/>
          <w:b/>
          <w:szCs w:val="21"/>
        </w:rPr>
      </w:pPr>
      <w:r>
        <w:rPr>
          <w:rFonts w:hint="eastAsia" w:ascii="宋体" w:hAnsi="宋体" w:eastAsia="宋体" w:cs="Times New Roman"/>
          <w:b/>
          <w:sz w:val="24"/>
          <w:szCs w:val="24"/>
        </w:rPr>
        <w:t>④</w:t>
      </w:r>
      <w:r>
        <w:rPr>
          <w:rFonts w:hint="eastAsia" w:ascii="宋体" w:hAnsi="宋体" w:eastAsia="宋体" w:cs="Times New Roman"/>
          <w:b/>
          <w:szCs w:val="21"/>
        </w:rPr>
        <w:t>含有优惠主体的联合体声明函</w:t>
      </w:r>
    </w:p>
    <w:p>
      <w:pPr>
        <w:spacing w:afterLines="25" w:line="300" w:lineRule="auto"/>
        <w:ind w:firstLine="420" w:firstLineChars="200"/>
        <w:rPr>
          <w:rFonts w:ascii="宋体" w:hAnsi="宋体" w:eastAsia="宋体" w:cs="Times New Roman"/>
          <w:szCs w:val="21"/>
        </w:rPr>
      </w:pPr>
      <w:r>
        <w:rPr>
          <w:rFonts w:hint="eastAsia" w:ascii="宋体" w:hAnsi="宋体" w:eastAsia="宋体" w:cs="Times New Roman"/>
          <w:szCs w:val="21"/>
          <w:u w:val="single"/>
        </w:rPr>
        <w:t xml:space="preserve">  （供应商名称、供应商名称）  </w:t>
      </w:r>
      <w:r>
        <w:rPr>
          <w:rFonts w:hint="eastAsia" w:ascii="宋体" w:hAnsi="宋体" w:eastAsia="宋体" w:cs="Times New Roman"/>
          <w:szCs w:val="21"/>
        </w:rPr>
        <w:t>共同组成联合体（详见联合体协议）。本联合体</w:t>
      </w:r>
      <w:r>
        <w:rPr>
          <w:rFonts w:ascii="宋体" w:hAnsi="宋体" w:eastAsia="宋体" w:cs="Times New Roman"/>
          <w:szCs w:val="21"/>
        </w:rPr>
        <w:t>参加</w:t>
      </w:r>
      <w:r>
        <w:rPr>
          <w:rFonts w:ascii="宋体" w:hAnsi="宋体" w:eastAsia="宋体" w:cs="Times New Roman"/>
          <w:b/>
          <w:bCs/>
          <w:szCs w:val="21"/>
          <w:u w:val="single"/>
        </w:rPr>
        <w:t>（</w:t>
      </w:r>
      <w:r>
        <w:rPr>
          <w:rFonts w:hint="eastAsia" w:ascii="宋体" w:hAnsi="宋体" w:eastAsia="宋体" w:cs="Times New Roman"/>
          <w:b/>
          <w:bCs/>
          <w:szCs w:val="21"/>
          <w:u w:val="single"/>
        </w:rPr>
        <w:t>采购人</w:t>
      </w:r>
      <w:r>
        <w:rPr>
          <w:rFonts w:ascii="宋体" w:hAnsi="宋体" w:eastAsia="宋体" w:cs="Times New Roman"/>
          <w:b/>
          <w:bCs/>
          <w:szCs w:val="21"/>
          <w:u w:val="single"/>
        </w:rPr>
        <w:t>名称）</w:t>
      </w:r>
      <w:r>
        <w:rPr>
          <w:rFonts w:ascii="宋体" w:hAnsi="宋体" w:eastAsia="宋体" w:cs="Times New Roman"/>
          <w:szCs w:val="21"/>
        </w:rPr>
        <w:t>的</w:t>
      </w:r>
      <w:r>
        <w:rPr>
          <w:rFonts w:ascii="宋体" w:hAnsi="宋体" w:eastAsia="宋体" w:cs="Times New Roman"/>
          <w:b/>
          <w:bCs/>
          <w:szCs w:val="21"/>
          <w:u w:val="single"/>
        </w:rPr>
        <w:t>（项目名称）</w:t>
      </w:r>
      <w:r>
        <w:rPr>
          <w:rFonts w:ascii="宋体" w:hAnsi="宋体" w:eastAsia="宋体" w:cs="Times New Roman"/>
          <w:szCs w:val="21"/>
        </w:rPr>
        <w:t>采购活动</w:t>
      </w:r>
      <w:r>
        <w:rPr>
          <w:rFonts w:hint="eastAsia" w:ascii="宋体" w:hAnsi="宋体" w:eastAsia="宋体" w:cs="Times New Roman"/>
          <w:szCs w:val="21"/>
        </w:rPr>
        <w:t>，郑重声明：</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1.</w:t>
      </w:r>
      <w:r>
        <w:rPr>
          <w:rFonts w:ascii="宋体" w:hAnsi="宋体" w:eastAsia="宋体" w:cs="Times New Roman"/>
          <w:b/>
          <w:bCs/>
          <w:szCs w:val="21"/>
          <w:u w:val="single"/>
        </w:rPr>
        <w:t>（标的名称）</w:t>
      </w:r>
      <w:r>
        <w:rPr>
          <w:rFonts w:ascii="宋体" w:hAnsi="宋体" w:eastAsia="宋体" w:cs="Times New Roman"/>
          <w:szCs w:val="21"/>
        </w:rPr>
        <w:t>，属于</w:t>
      </w:r>
      <w:r>
        <w:rPr>
          <w:rFonts w:ascii="宋体" w:hAnsi="宋体" w:eastAsia="宋体" w:cs="Times New Roman"/>
          <w:b/>
          <w:bCs/>
          <w:szCs w:val="21"/>
          <w:u w:val="single"/>
        </w:rPr>
        <w:t>（</w:t>
      </w:r>
      <w:r>
        <w:rPr>
          <w:rFonts w:hint="eastAsia" w:ascii="宋体" w:hAnsi="宋体" w:eastAsia="宋体" w:cs="Times New Roman"/>
          <w:b/>
          <w:bCs/>
          <w:szCs w:val="21"/>
          <w:u w:val="single"/>
        </w:rPr>
        <w:t>招标</w:t>
      </w:r>
      <w:r>
        <w:rPr>
          <w:rFonts w:ascii="宋体" w:hAnsi="宋体" w:eastAsia="宋体" w:cs="Times New Roman"/>
          <w:b/>
          <w:bCs/>
          <w:szCs w:val="21"/>
          <w:u w:val="single"/>
        </w:rPr>
        <w:t xml:space="preserve">文件中明确的所属行业） </w:t>
      </w:r>
      <w:r>
        <w:rPr>
          <w:rFonts w:ascii="宋体" w:hAnsi="宋体" w:eastAsia="宋体" w:cs="Times New Roman"/>
          <w:szCs w:val="21"/>
        </w:rPr>
        <w:t>行业；</w:t>
      </w:r>
      <w:r>
        <w:rPr>
          <w:rFonts w:hint="eastAsia" w:ascii="宋体" w:hAnsi="宋体" w:eastAsia="宋体" w:cs="Times New Roman"/>
          <w:szCs w:val="21"/>
        </w:rPr>
        <w:t>承接企业</w:t>
      </w:r>
      <w:r>
        <w:rPr>
          <w:rFonts w:ascii="宋体" w:hAnsi="宋体" w:eastAsia="宋体" w:cs="Times New Roman"/>
          <w:szCs w:val="21"/>
        </w:rPr>
        <w:t>为</w:t>
      </w:r>
      <w:r>
        <w:rPr>
          <w:rFonts w:ascii="宋体" w:hAnsi="宋体" w:eastAsia="宋体" w:cs="Times New Roman"/>
          <w:b/>
          <w:bCs/>
          <w:szCs w:val="21"/>
          <w:u w:val="single"/>
        </w:rPr>
        <w:t>（企业名称</w:t>
      </w:r>
      <w:r>
        <w:rPr>
          <w:rFonts w:hint="eastAsia" w:ascii="宋体" w:hAnsi="宋体" w:eastAsia="宋体" w:cs="Times New Roman"/>
          <w:b/>
          <w:bCs/>
          <w:szCs w:val="21"/>
          <w:u w:val="single"/>
        </w:rPr>
        <w:t>，要求承接企业本身所属行业应当与招标文件要求的行业相一致</w:t>
      </w:r>
      <w:r>
        <w:rPr>
          <w:rFonts w:ascii="宋体" w:hAnsi="宋体" w:eastAsia="宋体" w:cs="Times New Roman"/>
          <w:b/>
          <w:bCs/>
          <w:szCs w:val="21"/>
          <w:u w:val="single"/>
        </w:rPr>
        <w:t>）</w:t>
      </w:r>
      <w:r>
        <w:rPr>
          <w:rFonts w:ascii="宋体" w:hAnsi="宋体" w:eastAsia="宋体" w:cs="Times New Roman"/>
          <w:szCs w:val="21"/>
        </w:rPr>
        <w:t>，从业人员</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人，营业收入为</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万元，资产总额为</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 ，属于</w:t>
      </w:r>
      <w:r>
        <w:rPr>
          <w:rFonts w:ascii="宋体" w:hAnsi="宋体" w:eastAsia="宋体" w:cs="Times New Roman"/>
          <w:b/>
          <w:bCs/>
          <w:szCs w:val="21"/>
          <w:u w:val="single"/>
        </w:rPr>
        <w:t>（</w:t>
      </w:r>
      <w:r>
        <w:rPr>
          <w:rFonts w:hint="eastAsia" w:ascii="宋体" w:hAnsi="宋体" w:eastAsia="宋体" w:cs="Times New Roman"/>
          <w:b/>
          <w:bCs/>
          <w:szCs w:val="21"/>
          <w:u w:val="single"/>
        </w:rPr>
        <w:t>小型企业、微型企业、监狱企业、残疾人福利性单位</w:t>
      </w:r>
      <w:r>
        <w:rPr>
          <w:rFonts w:ascii="宋体" w:hAnsi="宋体" w:eastAsia="宋体" w:cs="Times New Roman"/>
          <w:b/>
          <w:bCs/>
          <w:szCs w:val="21"/>
          <w:u w:val="single"/>
        </w:rPr>
        <w:t>）</w:t>
      </w:r>
      <w:r>
        <w:rPr>
          <w:rFonts w:ascii="宋体" w:hAnsi="宋体" w:eastAsia="宋体" w:cs="Times New Roman"/>
          <w:szCs w:val="21"/>
        </w:rPr>
        <w:t xml:space="preserve">； </w:t>
      </w:r>
    </w:p>
    <w:p>
      <w:pPr>
        <w:spacing w:afterLines="25" w:line="300" w:lineRule="auto"/>
        <w:ind w:firstLine="420" w:firstLineChars="200"/>
        <w:rPr>
          <w:rFonts w:ascii="宋体" w:hAnsi="宋体" w:eastAsia="宋体" w:cs="Times New Roman"/>
          <w:szCs w:val="21"/>
          <w:u w:val="single"/>
        </w:rPr>
      </w:pPr>
      <w:r>
        <w:rPr>
          <w:rFonts w:ascii="宋体" w:hAnsi="宋体" w:eastAsia="宋体" w:cs="Times New Roman"/>
          <w:szCs w:val="21"/>
        </w:rPr>
        <w:t>2.</w:t>
      </w:r>
      <w:r>
        <w:rPr>
          <w:rFonts w:ascii="宋体" w:hAnsi="宋体" w:eastAsia="宋体" w:cs="Times New Roman"/>
          <w:b/>
          <w:bCs/>
          <w:szCs w:val="21"/>
          <w:u w:val="single"/>
        </w:rPr>
        <w:t>（标的名称）</w:t>
      </w:r>
      <w:r>
        <w:rPr>
          <w:rFonts w:ascii="宋体" w:hAnsi="宋体" w:eastAsia="宋体" w:cs="Times New Roman"/>
          <w:szCs w:val="21"/>
        </w:rPr>
        <w:t>，属于</w:t>
      </w:r>
      <w:r>
        <w:rPr>
          <w:rFonts w:ascii="宋体" w:hAnsi="宋体" w:eastAsia="宋体" w:cs="Times New Roman"/>
          <w:b/>
          <w:bCs/>
          <w:szCs w:val="21"/>
          <w:u w:val="single"/>
        </w:rPr>
        <w:t>（</w:t>
      </w:r>
      <w:r>
        <w:rPr>
          <w:rFonts w:hint="eastAsia" w:ascii="宋体" w:hAnsi="宋体" w:eastAsia="宋体" w:cs="Times New Roman"/>
          <w:b/>
          <w:bCs/>
          <w:szCs w:val="21"/>
          <w:u w:val="single"/>
        </w:rPr>
        <w:t>招标</w:t>
      </w:r>
      <w:r>
        <w:rPr>
          <w:rFonts w:ascii="宋体" w:hAnsi="宋体" w:eastAsia="宋体" w:cs="Times New Roman"/>
          <w:b/>
          <w:bCs/>
          <w:szCs w:val="21"/>
          <w:u w:val="single"/>
        </w:rPr>
        <w:t xml:space="preserve">文件中明确的所属行业） </w:t>
      </w:r>
      <w:r>
        <w:rPr>
          <w:rFonts w:ascii="宋体" w:hAnsi="宋体" w:eastAsia="宋体" w:cs="Times New Roman"/>
          <w:szCs w:val="21"/>
        </w:rPr>
        <w:t>行业；</w:t>
      </w:r>
      <w:r>
        <w:rPr>
          <w:rFonts w:hint="eastAsia" w:ascii="宋体" w:hAnsi="宋体" w:eastAsia="宋体" w:cs="Times New Roman"/>
          <w:szCs w:val="21"/>
        </w:rPr>
        <w:t>承接企业</w:t>
      </w:r>
      <w:r>
        <w:rPr>
          <w:rFonts w:ascii="宋体" w:hAnsi="宋体" w:eastAsia="宋体" w:cs="Times New Roman"/>
          <w:szCs w:val="21"/>
        </w:rPr>
        <w:t>为</w:t>
      </w:r>
      <w:r>
        <w:rPr>
          <w:rFonts w:ascii="宋体" w:hAnsi="宋体" w:eastAsia="宋体" w:cs="Times New Roman"/>
          <w:b/>
          <w:bCs/>
          <w:szCs w:val="21"/>
          <w:u w:val="single"/>
        </w:rPr>
        <w:t>（企业名称</w:t>
      </w:r>
      <w:r>
        <w:rPr>
          <w:rFonts w:hint="eastAsia" w:ascii="宋体" w:hAnsi="宋体" w:eastAsia="宋体" w:cs="Times New Roman"/>
          <w:b/>
          <w:bCs/>
          <w:szCs w:val="21"/>
          <w:u w:val="single"/>
        </w:rPr>
        <w:t>，要求承接企业本身所属行业应当与招标文件要求的行业相一致</w:t>
      </w:r>
      <w:r>
        <w:rPr>
          <w:rFonts w:ascii="宋体" w:hAnsi="宋体" w:eastAsia="宋体" w:cs="Times New Roman"/>
          <w:b/>
          <w:bCs/>
          <w:szCs w:val="21"/>
          <w:u w:val="single"/>
        </w:rPr>
        <w:t>）</w:t>
      </w:r>
      <w:r>
        <w:rPr>
          <w:rFonts w:ascii="宋体" w:hAnsi="宋体" w:eastAsia="宋体" w:cs="Times New Roman"/>
          <w:szCs w:val="21"/>
        </w:rPr>
        <w:t>，从业人员</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人，营业收入为</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万元，资产总额为</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 ，属于</w:t>
      </w:r>
      <w:r>
        <w:rPr>
          <w:rFonts w:ascii="宋体" w:hAnsi="宋体" w:eastAsia="宋体" w:cs="Times New Roman"/>
          <w:b/>
          <w:bCs/>
          <w:szCs w:val="21"/>
          <w:u w:val="single"/>
        </w:rPr>
        <w:t>（</w:t>
      </w:r>
      <w:r>
        <w:rPr>
          <w:rFonts w:hint="eastAsia" w:ascii="宋体" w:hAnsi="宋体" w:eastAsia="宋体" w:cs="Times New Roman"/>
          <w:b/>
          <w:bCs/>
          <w:szCs w:val="21"/>
          <w:u w:val="single"/>
        </w:rPr>
        <w:t>小型企业、微型企业、监狱企业、残疾人福利性单位</w:t>
      </w:r>
      <w:r>
        <w:rPr>
          <w:rFonts w:ascii="宋体" w:hAnsi="宋体" w:eastAsia="宋体" w:cs="Times New Roman"/>
          <w:b/>
          <w:bCs/>
          <w:szCs w:val="21"/>
          <w:u w:val="single"/>
        </w:rPr>
        <w:t>）</w:t>
      </w:r>
      <w:r>
        <w:rPr>
          <w:rFonts w:hint="eastAsia" w:ascii="宋体" w:hAnsi="宋体" w:eastAsia="宋体" w:cs="Times New Roman"/>
          <w:szCs w:val="21"/>
        </w:rPr>
        <w:t>；</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 xml:space="preserve">…… </w:t>
      </w:r>
    </w:p>
    <w:p>
      <w:pPr>
        <w:spacing w:afterLines="25" w:line="300" w:lineRule="auto"/>
        <w:ind w:firstLine="420" w:firstLineChars="200"/>
        <w:rPr>
          <w:rFonts w:ascii="宋体" w:hAnsi="宋体" w:eastAsia="宋体" w:cs="Times New Roman"/>
          <w:szCs w:val="21"/>
        </w:rPr>
      </w:pPr>
      <w:r>
        <w:rPr>
          <w:rFonts w:hint="eastAsia" w:ascii="宋体" w:hAnsi="宋体" w:eastAsia="宋体" w:cs="Times New Roman"/>
          <w:szCs w:val="21"/>
        </w:rPr>
        <w:t>上述优惠主体均符合《</w:t>
      </w:r>
      <w:r>
        <w:rPr>
          <w:rFonts w:ascii="宋体" w:hAnsi="宋体" w:eastAsia="宋体" w:cs="Times New Roman"/>
          <w:szCs w:val="21"/>
        </w:rPr>
        <w:t>政府采购促进中小企业发展管理办法</w:t>
      </w:r>
      <w:r>
        <w:rPr>
          <w:rFonts w:hint="eastAsia" w:ascii="宋体" w:hAnsi="宋体" w:eastAsia="宋体" w:cs="Times New Roman"/>
          <w:szCs w:val="21"/>
        </w:rPr>
        <w:t>》（</w:t>
      </w:r>
      <w:r>
        <w:rPr>
          <w:rFonts w:ascii="宋体" w:hAnsi="宋体" w:eastAsia="宋体" w:cs="Times New Roman"/>
          <w:szCs w:val="21"/>
        </w:rPr>
        <w:t>财库〔2020〕46号</w:t>
      </w:r>
      <w:r>
        <w:rPr>
          <w:rFonts w:hint="eastAsia" w:ascii="宋体" w:hAnsi="宋体" w:eastAsia="宋体" w:cs="Times New Roman"/>
          <w:szCs w:val="21"/>
        </w:rPr>
        <w:t>）或《关于政府采购支持监狱企业发展有关问题的通知》（财库〔2014〕68号）或《关于促进残疾人就业政府采购政策的通知》（财库〔2017〕141号）等文件的规定，且优惠主体的协议合同金额占到联合体协议总金额比例为</w:t>
      </w:r>
      <w:r>
        <w:rPr>
          <w:rFonts w:hint="eastAsia" w:ascii="宋体" w:hAnsi="宋体" w:eastAsia="宋体" w:cs="Times New Roman"/>
          <w:szCs w:val="21"/>
          <w:u w:val="single"/>
        </w:rPr>
        <w:t>_____</w:t>
      </w:r>
      <w:r>
        <w:rPr>
          <w:rFonts w:hint="eastAsia" w:ascii="宋体" w:hAnsi="宋体" w:eastAsia="宋体" w:cs="Times New Roman"/>
          <w:szCs w:val="21"/>
        </w:rPr>
        <w:t>%。</w:t>
      </w:r>
    </w:p>
    <w:p>
      <w:pPr>
        <w:spacing w:afterLines="25" w:line="300" w:lineRule="auto"/>
        <w:ind w:firstLine="420" w:firstLineChars="200"/>
        <w:rPr>
          <w:rFonts w:hint="eastAsia" w:ascii="宋体" w:hAnsi="宋体" w:eastAsia="宋体" w:cs="Times New Roman"/>
          <w:szCs w:val="21"/>
        </w:rPr>
      </w:pPr>
      <w:r>
        <w:rPr>
          <w:rFonts w:hint="eastAsia" w:ascii="宋体" w:hAnsi="宋体" w:eastAsia="宋体" w:cs="Times New Roman"/>
          <w:szCs w:val="21"/>
        </w:rPr>
        <w:t>本联合体对上述声明的真实性负责。如有虚假，将依法承担相应责任。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asciiTheme="minorEastAsia" w:hAnsiTheme="minorEastAsia" w:eastAsiaTheme="minorEastAsia" w:cstheme="minorEastAsia"/>
          <w:kern w:val="2"/>
          <w:sz w:val="21"/>
          <w:szCs w:val="21"/>
          <w:lang w:val="en-US" w:eastAsia="zh-CN" w:bidi="ar-SA"/>
        </w:rPr>
        <w:t>本投标人已知悉《政府采购促进中小企业发展管理办法》（财库〔2020〕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号）第二十条规定，投标人按照本办法规定提供声明函内容不实的，属于提供虚假材料谋取中标，依照《政府采购法》等政府采购有关法律法规规定追究相应责任。</w:t>
      </w:r>
    </w:p>
    <w:p>
      <w:pPr>
        <w:spacing w:afterLines="25" w:line="300" w:lineRule="auto"/>
        <w:rPr>
          <w:rFonts w:ascii="宋体" w:hAnsi="宋体" w:eastAsia="宋体" w:cs="Times New Roman"/>
          <w:szCs w:val="21"/>
        </w:rPr>
      </w:pPr>
      <w:r>
        <w:rPr>
          <w:rFonts w:ascii="宋体" w:hAnsi="宋体" w:eastAsia="宋体" w:cs="Times New Roman"/>
          <w:szCs w:val="21"/>
        </w:rPr>
        <w:t xml:space="preserve"> </w:t>
      </w:r>
    </w:p>
    <w:p>
      <w:pPr>
        <w:spacing w:afterLines="25" w:line="300" w:lineRule="auto"/>
        <w:rPr>
          <w:rFonts w:ascii="宋体" w:hAnsi="宋体" w:eastAsia="宋体" w:cs="Times New Roman"/>
          <w:szCs w:val="21"/>
        </w:rPr>
      </w:pPr>
      <w:r>
        <w:rPr>
          <w:rFonts w:hint="eastAsia" w:ascii="宋体" w:hAnsi="宋体" w:eastAsia="宋体" w:cs="Times New Roman"/>
          <w:szCs w:val="21"/>
        </w:rPr>
        <w:t xml:space="preserve">供应商名称：                              供应商名称： </w:t>
      </w:r>
    </w:p>
    <w:p>
      <w:pPr>
        <w:spacing w:afterLines="25" w:line="300" w:lineRule="auto"/>
        <w:rPr>
          <w:rFonts w:ascii="宋体" w:hAnsi="宋体" w:eastAsia="宋体" w:cs="Times New Roman"/>
          <w:szCs w:val="21"/>
        </w:rPr>
      </w:pPr>
      <w:r>
        <w:rPr>
          <w:rFonts w:hint="eastAsia" w:ascii="宋体" w:hAnsi="宋体" w:eastAsia="宋体" w:cs="Times New Roman"/>
          <w:szCs w:val="21"/>
        </w:rPr>
        <w:t xml:space="preserve">日期：                                    日期： </w:t>
      </w:r>
    </w:p>
    <w:p>
      <w:pPr>
        <w:spacing w:afterLines="25" w:line="300" w:lineRule="auto"/>
        <w:rPr>
          <w:rFonts w:ascii="Arial" w:hAnsi="Arial" w:eastAsia="宋体" w:cs="Times New Roman"/>
          <w:szCs w:val="24"/>
        </w:rPr>
      </w:pPr>
    </w:p>
    <w:p>
      <w:pPr>
        <w:spacing w:afterLines="25" w:line="300" w:lineRule="auto"/>
        <w:jc w:val="left"/>
        <w:rPr>
          <w:rFonts w:ascii="宋体" w:hAnsi="宋体" w:eastAsia="宋体" w:cs="Times New Roman"/>
          <w:szCs w:val="21"/>
        </w:rPr>
      </w:pPr>
      <w:r>
        <w:rPr>
          <w:rFonts w:hint="eastAsia" w:ascii="宋体" w:hAnsi="宋体" w:eastAsia="宋体" w:cs="Times New Roman"/>
          <w:szCs w:val="21"/>
        </w:rPr>
        <w:t xml:space="preserve">供应商名称：       </w:t>
      </w:r>
    </w:p>
    <w:p>
      <w:pPr>
        <w:wordWrap w:val="0"/>
        <w:spacing w:afterLines="25" w:line="300" w:lineRule="auto"/>
        <w:jc w:val="left"/>
        <w:rPr>
          <w:rFonts w:ascii="Arial" w:hAnsi="Arial" w:eastAsia="宋体" w:cs="Times New Roman"/>
          <w:szCs w:val="24"/>
        </w:rPr>
      </w:pPr>
      <w:r>
        <w:rPr>
          <w:rFonts w:hint="eastAsia" w:ascii="宋体" w:hAnsi="宋体" w:eastAsia="宋体" w:cs="Times New Roman"/>
          <w:szCs w:val="21"/>
        </w:rPr>
        <w:t xml:space="preserve">日期：       </w:t>
      </w:r>
    </w:p>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宋体" w:hAnsi="宋体" w:eastAsia="宋体" w:cs="Times New Roman"/>
          <w:b/>
          <w:bCs/>
          <w:kern w:val="0"/>
          <w:sz w:val="24"/>
          <w:szCs w:val="20"/>
          <w:lang w:val="en-US" w:eastAsia="zh-CN"/>
        </w:rPr>
      </w:pPr>
      <w:r>
        <w:rPr>
          <w:rFonts w:hint="eastAsia" w:ascii="Arial" w:hAnsi="Arial" w:eastAsia="宋体" w:cs="Times New Roman"/>
          <w:b/>
          <w:sz w:val="24"/>
          <w:szCs w:val="24"/>
          <w:highlight w:val="yellow"/>
        </w:rPr>
        <w:t>说明：本声明函仅针对允许联合体投标的项目（联合体数量上限以资格要求为准），非联合体投标的供应商或不符合优惠政策的供应商无需提供。</w:t>
      </w:r>
      <w:r>
        <w:rPr>
          <w:rFonts w:hint="eastAsia" w:ascii="Arial" w:hAnsi="Arial" w:eastAsia="宋体" w:cs="Times New Roman"/>
          <w:sz w:val="24"/>
          <w:szCs w:val="24"/>
          <w:highlight w:val="yellow"/>
        </w:rPr>
        <w:t>符合条件的供应商，请仔细填写声明函中需填写内容，</w:t>
      </w:r>
      <w:r>
        <w:rPr>
          <w:rFonts w:hint="eastAsia" w:ascii="Arial" w:hAnsi="Arial" w:eastAsia="宋体" w:cs="Times New Roman"/>
          <w:b/>
          <w:sz w:val="24"/>
          <w:szCs w:val="24"/>
          <w:highlight w:val="yellow"/>
        </w:rPr>
        <w:t>供应商可根据自身联合体数量及优惠主体类型进行调整本声明函格式</w:t>
      </w:r>
      <w:r>
        <w:rPr>
          <w:rFonts w:hint="eastAsia" w:ascii="Arial" w:hAnsi="Arial" w:eastAsia="宋体" w:cs="Times New Roman"/>
          <w:sz w:val="24"/>
          <w:szCs w:val="24"/>
          <w:highlight w:val="yellow"/>
        </w:rPr>
        <w:t>，</w:t>
      </w:r>
      <w:r>
        <w:rPr>
          <w:rFonts w:hint="eastAsia" w:ascii="Arial" w:hAnsi="Arial" w:eastAsia="宋体" w:cs="Times New Roman"/>
          <w:b/>
          <w:sz w:val="24"/>
          <w:szCs w:val="24"/>
          <w:highlight w:val="yellow"/>
        </w:rPr>
        <w:t>如内容填写不全</w:t>
      </w:r>
      <w:r>
        <w:rPr>
          <w:rFonts w:hint="eastAsia" w:ascii="Arial" w:hAnsi="Arial" w:eastAsia="宋体" w:cs="Times New Roman"/>
          <w:sz w:val="24"/>
          <w:szCs w:val="24"/>
          <w:highlight w:val="yellow"/>
        </w:rPr>
        <w:t>，</w:t>
      </w:r>
      <w:r>
        <w:rPr>
          <w:rFonts w:hint="eastAsia" w:ascii="Arial" w:hAnsi="Arial" w:eastAsia="宋体" w:cs="Times New Roman"/>
          <w:sz w:val="24"/>
          <w:szCs w:val="24"/>
          <w:highlight w:val="yellow"/>
          <w:lang w:val="en-US" w:eastAsia="zh-CN"/>
        </w:rPr>
        <w:t>将承担相关不利后果（如声明函被认定无效等）。</w:t>
      </w:r>
    </w:p>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宋体" w:hAnsi="宋体" w:eastAsia="宋体" w:cs="Times New Roman"/>
          <w:b/>
          <w:bCs/>
          <w:kern w:val="0"/>
          <w:sz w:val="24"/>
          <w:szCs w:val="20"/>
        </w:rPr>
      </w:pPr>
    </w:p>
    <w:p>
      <w:pPr>
        <w:rPr>
          <w:rFonts w:hint="eastAsia" w:ascii="宋体" w:hAnsi="宋体" w:eastAsia="宋体" w:cs="Times New Roman"/>
          <w:b/>
          <w:bCs/>
          <w:kern w:val="0"/>
          <w:sz w:val="24"/>
          <w:szCs w:val="20"/>
        </w:rPr>
      </w:pPr>
      <w:r>
        <w:rPr>
          <w:rFonts w:hint="eastAsia" w:ascii="宋体" w:hAnsi="宋体" w:eastAsia="宋体" w:cs="Times New Roman"/>
          <w:b/>
          <w:bCs/>
          <w:kern w:val="0"/>
          <w:sz w:val="24"/>
          <w:szCs w:val="20"/>
        </w:rPr>
        <w:br w:type="page"/>
      </w:r>
    </w:p>
    <w:p>
      <w:pPr>
        <w:widowControl/>
        <w:jc w:val="center"/>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4</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分项报价清单</w:t>
      </w:r>
    </w:p>
    <w:p>
      <w:pPr>
        <w:spacing w:afterLines="25" w:line="300" w:lineRule="auto"/>
        <w:rPr>
          <w:rFonts w:ascii="Arial" w:hAnsi="Arial" w:eastAsia="宋体" w:cs="Arial"/>
          <w:szCs w:val="24"/>
        </w:rPr>
      </w:pPr>
      <w:r>
        <w:rPr>
          <w:rFonts w:hint="eastAsia" w:ascii="Arial" w:hAnsi="Arial" w:eastAsia="宋体" w:cs="Arial"/>
          <w:color w:val="000000"/>
          <w:szCs w:val="24"/>
        </w:rPr>
        <w:t>投标单位（投标人）名称：</w:t>
      </w:r>
      <w:r>
        <w:rPr>
          <w:rFonts w:ascii="Arial" w:hAnsi="Arial" w:eastAsia="宋体" w:cs="Arial"/>
          <w:color w:val="000000"/>
          <w:szCs w:val="24"/>
          <w:u w:val="single"/>
        </w:rPr>
        <w:t xml:space="preserve">                          </w:t>
      </w:r>
    </w:p>
    <w:tbl>
      <w:tblPr>
        <w:tblStyle w:val="16"/>
        <w:tblW w:w="9011"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22"/>
        <w:gridCol w:w="3260"/>
        <w:gridCol w:w="1413"/>
        <w:gridCol w:w="1470"/>
        <w:gridCol w:w="2038"/>
        <w:gridCol w:w="8"/>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序号</w:t>
            </w:r>
          </w:p>
        </w:tc>
        <w:tc>
          <w:tcPr>
            <w:tcW w:w="3260"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支出项名称</w:t>
            </w:r>
          </w:p>
        </w:tc>
        <w:tc>
          <w:tcPr>
            <w:tcW w:w="1413"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数量</w:t>
            </w:r>
          </w:p>
        </w:tc>
        <w:tc>
          <w:tcPr>
            <w:tcW w:w="1470"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单价（元）</w:t>
            </w:r>
          </w:p>
        </w:tc>
        <w:tc>
          <w:tcPr>
            <w:tcW w:w="2046" w:type="dxa"/>
            <w:gridSpan w:val="2"/>
            <w:vAlign w:val="center"/>
          </w:tcPr>
          <w:p>
            <w:pPr>
              <w:snapToGrid w:val="0"/>
              <w:spacing w:afterLines="25"/>
              <w:jc w:val="center"/>
              <w:rPr>
                <w:rFonts w:ascii="Arial" w:hAnsi="Arial" w:eastAsia="宋体" w:cs="Arial"/>
                <w:szCs w:val="24"/>
              </w:rPr>
            </w:pPr>
            <w:r>
              <w:rPr>
                <w:rFonts w:hint="eastAsia" w:ascii="Arial" w:hAnsi="Arial" w:eastAsia="宋体" w:cs="Arial"/>
                <w:szCs w:val="24"/>
              </w:rPr>
              <w:t>总价（元）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1</w:t>
            </w:r>
          </w:p>
        </w:tc>
        <w:tc>
          <w:tcPr>
            <w:tcW w:w="3260" w:type="dxa"/>
            <w:vAlign w:val="center"/>
          </w:tcPr>
          <w:p>
            <w:pPr>
              <w:snapToGrid w:val="0"/>
              <w:spacing w:afterLines="25"/>
              <w:jc w:val="center"/>
              <w:rPr>
                <w:rFonts w:ascii="Arial" w:hAnsi="Arial" w:eastAsia="宋体" w:cs="Times New Roman"/>
                <w:szCs w:val="24"/>
              </w:rPr>
            </w:pPr>
          </w:p>
        </w:tc>
        <w:tc>
          <w:tcPr>
            <w:tcW w:w="1413" w:type="dxa"/>
            <w:vAlign w:val="center"/>
          </w:tcPr>
          <w:p>
            <w:pPr>
              <w:snapToGrid w:val="0"/>
              <w:spacing w:afterLines="25"/>
              <w:jc w:val="center"/>
              <w:rPr>
                <w:rFonts w:ascii="Arial" w:hAnsi="Arial" w:eastAsia="宋体" w:cs="Arial"/>
                <w:szCs w:val="24"/>
              </w:rPr>
            </w:pPr>
          </w:p>
        </w:tc>
        <w:tc>
          <w:tcPr>
            <w:tcW w:w="1470" w:type="dxa"/>
            <w:vAlign w:val="center"/>
          </w:tcPr>
          <w:p>
            <w:pPr>
              <w:snapToGrid w:val="0"/>
              <w:spacing w:afterLines="25"/>
              <w:jc w:val="center"/>
              <w:rPr>
                <w:rFonts w:ascii="Arial" w:hAnsi="Arial" w:eastAsia="宋体" w:cs="Arial"/>
                <w:szCs w:val="24"/>
              </w:rPr>
            </w:pPr>
          </w:p>
        </w:tc>
        <w:tc>
          <w:tcPr>
            <w:tcW w:w="2046" w:type="dxa"/>
            <w:gridSpan w:val="2"/>
            <w:vAlign w:val="center"/>
          </w:tcPr>
          <w:p>
            <w:pPr>
              <w:snapToGrid w:val="0"/>
              <w:spacing w:afterLines="25"/>
              <w:jc w:val="center"/>
              <w:rPr>
                <w:rFonts w:ascii="Arial" w:hAnsi="Arial" w:eastAsia="宋体" w:cs="Arial"/>
                <w:szCs w:val="24"/>
              </w:rPr>
            </w:pPr>
          </w:p>
        </w:tc>
      </w:tr>
      <w:tr>
        <w:tblPrEx>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2</w:t>
            </w:r>
          </w:p>
        </w:tc>
        <w:tc>
          <w:tcPr>
            <w:tcW w:w="3260" w:type="dxa"/>
            <w:vAlign w:val="center"/>
          </w:tcPr>
          <w:p>
            <w:pPr>
              <w:snapToGrid w:val="0"/>
              <w:spacing w:afterLines="25"/>
              <w:jc w:val="center"/>
              <w:rPr>
                <w:rFonts w:ascii="Arial" w:hAnsi="Arial" w:eastAsia="宋体" w:cs="Times New Roman"/>
                <w:szCs w:val="24"/>
              </w:rPr>
            </w:pPr>
          </w:p>
        </w:tc>
        <w:tc>
          <w:tcPr>
            <w:tcW w:w="1413" w:type="dxa"/>
            <w:vAlign w:val="center"/>
          </w:tcPr>
          <w:p>
            <w:pPr>
              <w:snapToGrid w:val="0"/>
              <w:spacing w:afterLines="25"/>
              <w:jc w:val="center"/>
              <w:rPr>
                <w:rFonts w:ascii="Arial" w:hAnsi="Arial" w:eastAsia="宋体" w:cs="Arial"/>
                <w:szCs w:val="24"/>
              </w:rPr>
            </w:pPr>
          </w:p>
        </w:tc>
        <w:tc>
          <w:tcPr>
            <w:tcW w:w="1470" w:type="dxa"/>
            <w:vAlign w:val="center"/>
          </w:tcPr>
          <w:p>
            <w:pPr>
              <w:snapToGrid w:val="0"/>
              <w:spacing w:afterLines="25"/>
              <w:jc w:val="center"/>
              <w:rPr>
                <w:rFonts w:ascii="Arial" w:hAnsi="Arial" w:eastAsia="宋体" w:cs="Arial"/>
                <w:szCs w:val="24"/>
              </w:rPr>
            </w:pPr>
          </w:p>
        </w:tc>
        <w:tc>
          <w:tcPr>
            <w:tcW w:w="2046" w:type="dxa"/>
            <w:gridSpan w:val="2"/>
            <w:vAlign w:val="center"/>
          </w:tcPr>
          <w:p>
            <w:pPr>
              <w:snapToGrid w:val="0"/>
              <w:spacing w:afterLines="25"/>
              <w:jc w:val="center"/>
              <w:rPr>
                <w:rFonts w:ascii="Arial" w:hAnsi="Arial" w:eastAsia="宋体" w:cs="Arial"/>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3</w:t>
            </w:r>
          </w:p>
        </w:tc>
        <w:tc>
          <w:tcPr>
            <w:tcW w:w="3260" w:type="dxa"/>
            <w:vAlign w:val="center"/>
          </w:tcPr>
          <w:p>
            <w:pPr>
              <w:snapToGrid w:val="0"/>
              <w:spacing w:afterLines="25"/>
              <w:jc w:val="center"/>
              <w:rPr>
                <w:rFonts w:ascii="Arial" w:hAnsi="Arial" w:eastAsia="宋体" w:cs="Times New Roman"/>
                <w:szCs w:val="24"/>
              </w:rPr>
            </w:pPr>
          </w:p>
        </w:tc>
        <w:tc>
          <w:tcPr>
            <w:tcW w:w="1413" w:type="dxa"/>
            <w:vAlign w:val="center"/>
          </w:tcPr>
          <w:p>
            <w:pPr>
              <w:snapToGrid w:val="0"/>
              <w:spacing w:afterLines="25"/>
              <w:jc w:val="center"/>
              <w:rPr>
                <w:rFonts w:ascii="Arial" w:hAnsi="Arial" w:eastAsia="宋体" w:cs="Arial"/>
                <w:szCs w:val="24"/>
              </w:rPr>
            </w:pPr>
          </w:p>
        </w:tc>
        <w:tc>
          <w:tcPr>
            <w:tcW w:w="1470" w:type="dxa"/>
            <w:vAlign w:val="center"/>
          </w:tcPr>
          <w:p>
            <w:pPr>
              <w:snapToGrid w:val="0"/>
              <w:spacing w:afterLines="25"/>
              <w:jc w:val="center"/>
              <w:rPr>
                <w:rFonts w:ascii="Arial" w:hAnsi="Arial" w:eastAsia="宋体" w:cs="Arial"/>
                <w:szCs w:val="24"/>
              </w:rPr>
            </w:pPr>
          </w:p>
        </w:tc>
        <w:tc>
          <w:tcPr>
            <w:tcW w:w="2046" w:type="dxa"/>
            <w:gridSpan w:val="2"/>
            <w:vAlign w:val="center"/>
          </w:tcPr>
          <w:p>
            <w:pPr>
              <w:snapToGrid w:val="0"/>
              <w:spacing w:afterLines="25"/>
              <w:jc w:val="center"/>
              <w:rPr>
                <w:rFonts w:ascii="Arial" w:hAnsi="Arial" w:eastAsia="宋体" w:cs="Arial"/>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w:t>
            </w:r>
          </w:p>
        </w:tc>
        <w:tc>
          <w:tcPr>
            <w:tcW w:w="3260" w:type="dxa"/>
            <w:vAlign w:val="center"/>
          </w:tcPr>
          <w:p>
            <w:pPr>
              <w:snapToGrid w:val="0"/>
              <w:spacing w:afterLines="25"/>
              <w:jc w:val="center"/>
              <w:rPr>
                <w:rFonts w:ascii="Arial" w:hAnsi="Arial" w:eastAsia="宋体" w:cs="Arial"/>
                <w:szCs w:val="24"/>
              </w:rPr>
            </w:pPr>
          </w:p>
        </w:tc>
        <w:tc>
          <w:tcPr>
            <w:tcW w:w="1413" w:type="dxa"/>
            <w:vAlign w:val="center"/>
          </w:tcPr>
          <w:p>
            <w:pPr>
              <w:snapToGrid w:val="0"/>
              <w:spacing w:afterLines="25"/>
              <w:jc w:val="center"/>
              <w:rPr>
                <w:rFonts w:ascii="Arial" w:hAnsi="Arial" w:eastAsia="宋体" w:cs="Arial"/>
                <w:szCs w:val="24"/>
              </w:rPr>
            </w:pPr>
          </w:p>
        </w:tc>
        <w:tc>
          <w:tcPr>
            <w:tcW w:w="1470" w:type="dxa"/>
            <w:vAlign w:val="center"/>
          </w:tcPr>
          <w:p>
            <w:pPr>
              <w:snapToGrid w:val="0"/>
              <w:spacing w:afterLines="25"/>
              <w:jc w:val="center"/>
              <w:rPr>
                <w:rFonts w:ascii="Arial" w:hAnsi="Arial" w:eastAsia="宋体" w:cs="Arial"/>
                <w:szCs w:val="24"/>
              </w:rPr>
            </w:pPr>
          </w:p>
        </w:tc>
        <w:tc>
          <w:tcPr>
            <w:tcW w:w="2046" w:type="dxa"/>
            <w:gridSpan w:val="2"/>
            <w:vAlign w:val="center"/>
          </w:tcPr>
          <w:p>
            <w:pPr>
              <w:snapToGrid w:val="0"/>
              <w:spacing w:afterLines="25"/>
              <w:jc w:val="center"/>
              <w:rPr>
                <w:rFonts w:ascii="Arial" w:hAnsi="Arial" w:eastAsia="宋体" w:cs="Arial"/>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After w:val="1"/>
          <w:wAfter w:w="8" w:type="dxa"/>
          <w:cantSplit/>
          <w:trHeight w:val="646" w:hRule="atLeast"/>
          <w:jc w:val="center"/>
        </w:trPr>
        <w:tc>
          <w:tcPr>
            <w:tcW w:w="6965" w:type="dxa"/>
            <w:gridSpan w:val="4"/>
            <w:vAlign w:val="center"/>
          </w:tcPr>
          <w:p>
            <w:pPr>
              <w:snapToGrid w:val="0"/>
              <w:spacing w:afterLines="25"/>
              <w:jc w:val="center"/>
              <w:rPr>
                <w:rFonts w:ascii="Arial" w:hAnsi="Arial" w:eastAsia="宋体" w:cs="Arial"/>
                <w:b/>
                <w:szCs w:val="24"/>
              </w:rPr>
            </w:pPr>
            <w:r>
              <w:rPr>
                <w:rFonts w:hint="eastAsia" w:ascii="Arial" w:hAnsi="Arial" w:eastAsia="宋体" w:cs="Arial"/>
                <w:b/>
                <w:szCs w:val="24"/>
              </w:rPr>
              <w:t>投标总价</w:t>
            </w:r>
            <w:r>
              <w:rPr>
                <w:rFonts w:hint="eastAsia" w:ascii="Arial" w:hAnsi="Arial" w:eastAsia="宋体" w:cs="Times New Roman"/>
                <w:szCs w:val="24"/>
              </w:rPr>
              <w:t>（</w:t>
            </w:r>
            <w:r>
              <w:rPr>
                <w:rFonts w:hint="eastAsia" w:ascii="Arial" w:hAnsi="Arial" w:eastAsia="宋体" w:cs="Times New Roman"/>
                <w:szCs w:val="24"/>
                <w:lang w:val="en-US" w:eastAsia="zh-CN"/>
              </w:rPr>
              <w:t>以上各项之和；</w:t>
            </w:r>
            <w:r>
              <w:rPr>
                <w:rFonts w:hint="eastAsia" w:ascii="Arial" w:hAnsi="Arial" w:eastAsia="宋体" w:cs="Times New Roman"/>
                <w:szCs w:val="24"/>
              </w:rPr>
              <w:t>币种：人民币；单位：元）</w:t>
            </w:r>
          </w:p>
        </w:tc>
        <w:tc>
          <w:tcPr>
            <w:tcW w:w="2038" w:type="dxa"/>
            <w:vAlign w:val="center"/>
          </w:tcPr>
          <w:p>
            <w:pPr>
              <w:snapToGrid w:val="0"/>
              <w:spacing w:afterLines="25"/>
              <w:jc w:val="center"/>
              <w:rPr>
                <w:rFonts w:ascii="Arial" w:hAnsi="Arial" w:eastAsia="宋体" w:cs="Arial"/>
                <w:szCs w:val="24"/>
              </w:rPr>
            </w:pPr>
          </w:p>
        </w:tc>
      </w:tr>
    </w:tbl>
    <w:p>
      <w:pPr>
        <w:spacing w:afterLines="25" w:line="300" w:lineRule="auto"/>
        <w:rPr>
          <w:rFonts w:ascii="Arial" w:hAnsi="Arial" w:eastAsia="宋体" w:cs="Times New Roman"/>
          <w:b/>
          <w:szCs w:val="24"/>
        </w:rPr>
      </w:pPr>
      <w:r>
        <w:rPr>
          <w:rFonts w:hint="eastAsia" w:ascii="Arial" w:hAnsi="Arial" w:eastAsia="宋体" w:cs="Times New Roman"/>
          <w:b/>
          <w:szCs w:val="24"/>
        </w:rPr>
        <w:t>填写说明：</w:t>
      </w:r>
    </w:p>
    <w:p>
      <w:pPr>
        <w:spacing w:afterLines="25" w:line="300" w:lineRule="auto"/>
        <w:rPr>
          <w:rFonts w:ascii="Arial" w:hAnsi="Arial" w:eastAsia="宋体" w:cs="Times New Roman"/>
          <w:b/>
          <w:szCs w:val="24"/>
        </w:rPr>
      </w:pPr>
      <w:r>
        <w:rPr>
          <w:rFonts w:hint="eastAsia" w:ascii="Arial" w:hAnsi="Arial" w:eastAsia="宋体" w:cs="Times New Roman"/>
          <w:b/>
          <w:szCs w:val="24"/>
        </w:rPr>
        <w:t>1、此表可延长，各投标人根据本项目实际涉及的所有支出项情况修改后填写。本表如有缺漏项，由投标人自行承担。</w:t>
      </w:r>
    </w:p>
    <w:p>
      <w:pPr>
        <w:spacing w:line="360" w:lineRule="exact"/>
        <w:rPr>
          <w:rFonts w:ascii="宋体" w:hAnsi="宋体" w:eastAsia="宋体" w:cs="Times New Roman"/>
          <w:b/>
          <w:szCs w:val="21"/>
        </w:rPr>
      </w:pPr>
      <w:r>
        <w:rPr>
          <w:rFonts w:hint="eastAsia" w:ascii="宋体" w:hAnsi="宋体" w:eastAsia="宋体" w:cs="Times New Roman"/>
          <w:b/>
          <w:szCs w:val="21"/>
        </w:rPr>
        <w:t>2、中标人签订合同前将详细的《分项报价清单》递交采购单位，经采购单位审核同意后方可实施。</w:t>
      </w:r>
    </w:p>
    <w:p>
      <w:pPr>
        <w:spacing w:afterLines="25" w:line="300" w:lineRule="auto"/>
        <w:rPr>
          <w:rFonts w:ascii="Arial" w:hAnsi="Arial" w:eastAsia="宋体" w:cs="Times New Roman"/>
          <w:b/>
          <w:szCs w:val="24"/>
        </w:rPr>
      </w:pPr>
    </w:p>
    <w:p>
      <w:pPr>
        <w:widowControl/>
        <w:jc w:val="left"/>
        <w:rPr>
          <w:rFonts w:cs="Times New Roman" w:asciiTheme="minorEastAsia" w:hAnsiTheme="minorEastAsia"/>
          <w:sz w:val="24"/>
          <w:szCs w:val="24"/>
        </w:rPr>
      </w:pPr>
      <w:r>
        <w:rPr>
          <w:rFonts w:cs="Times New Roman" w:asciiTheme="minorEastAsia" w:hAnsiTheme="minorEastAsia"/>
          <w:sz w:val="24"/>
          <w:szCs w:val="24"/>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5</w:t>
      </w:r>
      <w:r>
        <w:rPr>
          <w:rFonts w:hint="eastAsia" w:ascii="宋体" w:hAnsi="宋体" w:eastAsia="宋体" w:cs="Times New Roman"/>
          <w:b/>
          <w:bCs/>
          <w:kern w:val="0"/>
          <w:sz w:val="24"/>
          <w:szCs w:val="20"/>
        </w:rPr>
        <w:t>.经验情况表</w:t>
      </w:r>
    </w:p>
    <w:tbl>
      <w:tblPr>
        <w:tblStyle w:val="16"/>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04"/>
        <w:gridCol w:w="1854"/>
        <w:gridCol w:w="2287"/>
        <w:gridCol w:w="1336"/>
        <w:gridCol w:w="1392"/>
        <w:gridCol w:w="144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41"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序号</w:t>
            </w:r>
          </w:p>
        </w:tc>
        <w:tc>
          <w:tcPr>
            <w:tcW w:w="1017"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tc>
        <w:tc>
          <w:tcPr>
            <w:tcW w:w="1255" w:type="pct"/>
            <w:vAlign w:val="center"/>
          </w:tcPr>
          <w:p>
            <w:pPr>
              <w:snapToGrid w:val="0"/>
              <w:jc w:val="center"/>
              <w:rPr>
                <w:rFonts w:ascii="宋体" w:hAnsi="宋体" w:eastAsia="宋体" w:cs="Times New Roman"/>
                <w:b/>
                <w:sz w:val="24"/>
                <w:szCs w:val="24"/>
              </w:rPr>
            </w:pPr>
            <w:r>
              <w:rPr>
                <w:rFonts w:hint="eastAsia" w:ascii="Arial" w:hAnsi="Arial" w:eastAsia="宋体" w:cs="Arial"/>
                <w:b/>
                <w:sz w:val="24"/>
                <w:szCs w:val="24"/>
              </w:rPr>
              <w:t>项目</w:t>
            </w:r>
            <w:r>
              <w:rPr>
                <w:rFonts w:hint="eastAsia" w:ascii="宋体" w:hAnsi="宋体" w:eastAsia="宋体" w:cs="Times New Roman"/>
                <w:b/>
                <w:sz w:val="24"/>
                <w:szCs w:val="24"/>
              </w:rPr>
              <w:t>名称</w:t>
            </w:r>
          </w:p>
        </w:tc>
        <w:tc>
          <w:tcPr>
            <w:tcW w:w="733"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时间</w:t>
            </w:r>
          </w:p>
        </w:tc>
        <w:tc>
          <w:tcPr>
            <w:tcW w:w="764"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p>
            <w:pPr>
              <w:snapToGrid w:val="0"/>
              <w:jc w:val="center"/>
              <w:rPr>
                <w:rFonts w:ascii="宋体" w:hAnsi="宋体" w:eastAsia="宋体" w:cs="Times New Roman"/>
                <w:b/>
                <w:sz w:val="24"/>
                <w:szCs w:val="24"/>
              </w:rPr>
            </w:pPr>
            <w:r>
              <w:rPr>
                <w:rFonts w:hint="eastAsia" w:ascii="宋体" w:hAnsi="宋体" w:eastAsia="宋体" w:cs="Times New Roman"/>
                <w:b/>
                <w:sz w:val="24"/>
                <w:szCs w:val="24"/>
              </w:rPr>
              <w:t>联系人</w:t>
            </w:r>
          </w:p>
        </w:tc>
        <w:tc>
          <w:tcPr>
            <w:tcW w:w="790"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r>
              <w:rPr>
                <w:rFonts w:ascii="宋体" w:hAnsi="宋体" w:eastAsia="宋体" w:cs="Times New Roman"/>
                <w:b/>
                <w:sz w:val="24"/>
                <w:szCs w:val="24"/>
              </w:rPr>
              <w:br w:type="textWrapping"/>
            </w:r>
            <w:r>
              <w:rPr>
                <w:rFonts w:hint="eastAsia" w:ascii="宋体" w:hAnsi="宋体" w:eastAsia="宋体" w:cs="Times New Roman"/>
                <w:b/>
                <w:sz w:val="24"/>
                <w:szCs w:val="24"/>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bl>
    <w:p>
      <w:pPr>
        <w:spacing w:line="300" w:lineRule="auto"/>
        <w:rPr>
          <w:rFonts w:ascii="Arial" w:hAnsi="Arial" w:eastAsia="宋体" w:cs="Times New Roman"/>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pStyle w:val="2"/>
        <w:rPr>
          <w:rFonts w:ascii="Arial" w:hAnsi="Arial" w:eastAsia="宋体" w:cs="Times New Roman"/>
          <w:sz w:val="24"/>
          <w:szCs w:val="24"/>
        </w:rPr>
      </w:pPr>
    </w:p>
    <w:p>
      <w:pPr>
        <w:pStyle w:val="3"/>
      </w:pPr>
    </w:p>
    <w:p>
      <w:pPr>
        <w:spacing w:afterLines="25" w:line="300" w:lineRule="auto"/>
        <w:rPr>
          <w:rFonts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jc w:val="center"/>
        <w:rPr>
          <w:rFonts w:hint="eastAsia" w:ascii="Arial" w:hAnsi="Arial" w:eastAsia="宋体" w:cs="Times New Roman"/>
          <w:b/>
          <w:sz w:val="24"/>
          <w:szCs w:val="24"/>
        </w:rPr>
      </w:pPr>
    </w:p>
    <w:p>
      <w:pPr>
        <w:ind w:firstLine="723" w:firstLineChars="300"/>
        <w:jc w:val="center"/>
        <w:rPr>
          <w:b/>
          <w:color w:val="FF0000"/>
          <w:sz w:val="24"/>
        </w:rPr>
      </w:pPr>
      <w:r>
        <w:rPr>
          <w:rFonts w:hint="eastAsia"/>
          <w:b/>
          <w:color w:val="FF0000"/>
          <w:sz w:val="24"/>
        </w:rPr>
        <w:t>（信息公开部分的内容到此为止！以下为信息不公开部分。）</w:t>
      </w:r>
    </w:p>
    <w:p>
      <w:pPr>
        <w:pStyle w:val="2"/>
        <w:rPr>
          <w:rFonts w:hint="eastAsia" w:ascii="Arial" w:hAnsi="Arial" w:eastAsia="宋体" w:cs="Times New Roman"/>
          <w:b/>
          <w:sz w:val="24"/>
          <w:szCs w:val="24"/>
        </w:rPr>
      </w:pPr>
    </w:p>
    <w:p>
      <w:pPr>
        <w:pStyle w:val="3"/>
        <w:rPr>
          <w:rFonts w:hint="eastAsia" w:ascii="Arial" w:hAnsi="Arial" w:eastAsia="宋体" w:cs="Times New Roman"/>
          <w:b/>
          <w:sz w:val="24"/>
          <w:szCs w:val="24"/>
        </w:rPr>
      </w:pPr>
    </w:p>
    <w:p>
      <w:pPr>
        <w:pStyle w:val="3"/>
        <w:rPr>
          <w:rFonts w:hint="eastAsia" w:ascii="Arial" w:hAnsi="Arial" w:eastAsia="宋体" w:cs="Times New Roman"/>
          <w:b/>
          <w:sz w:val="24"/>
          <w:szCs w:val="24"/>
        </w:rPr>
      </w:pPr>
    </w:p>
    <w:p>
      <w:pPr>
        <w:pStyle w:val="3"/>
        <w:rPr>
          <w:rFonts w:hint="eastAsia" w:ascii="Arial" w:hAnsi="Arial" w:eastAsia="宋体" w:cs="Times New Roman"/>
          <w:b/>
          <w:sz w:val="24"/>
          <w:szCs w:val="24"/>
        </w:rPr>
      </w:pPr>
    </w:p>
    <w:p>
      <w:pPr>
        <w:widowControl/>
        <w:jc w:val="left"/>
        <w:rPr>
          <w:rFonts w:ascii="Arial" w:hAnsi="Arial" w:eastAsia="宋体" w:cs="Times New Roman"/>
          <w:szCs w:val="24"/>
        </w:rPr>
      </w:pPr>
      <w:r>
        <w:rPr>
          <w:rFonts w:ascii="Arial" w:hAnsi="Arial" w:eastAsia="宋体" w:cs="Times New Roman"/>
          <w:szCs w:val="24"/>
        </w:rPr>
        <w:br w:type="page"/>
      </w:r>
    </w:p>
    <w:p>
      <w:pPr>
        <w:spacing w:afterLines="25" w:line="300" w:lineRule="auto"/>
        <w:outlineLvl w:val="2"/>
        <w:rPr>
          <w:rFonts w:ascii="Arial" w:hAnsi="Arial" w:eastAsia="宋体" w:cs="Times New Roman"/>
          <w:b/>
          <w:color w:val="FF0000"/>
          <w:sz w:val="32"/>
          <w:szCs w:val="32"/>
        </w:rPr>
      </w:pPr>
      <w:r>
        <w:rPr>
          <w:rFonts w:hint="eastAsia" w:ascii="Arial" w:hAnsi="Arial" w:eastAsia="宋体" w:cs="Times New Roman"/>
          <w:b/>
          <w:color w:val="FF0000"/>
          <w:sz w:val="32"/>
          <w:szCs w:val="32"/>
        </w:rPr>
        <w:t>（二）投标文件附件（信息不公开部分）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1.法定代表人（负责人）证明书</w:t>
      </w:r>
    </w:p>
    <w:p>
      <w:pPr>
        <w:spacing w:line="300" w:lineRule="auto"/>
        <w:ind w:left="140"/>
        <w:jc w:val="center"/>
        <w:rPr>
          <w:rFonts w:ascii="Arial" w:hAnsi="Arial" w:eastAsia="宋体" w:cs="Arial"/>
          <w:b/>
          <w:sz w:val="24"/>
          <w:szCs w:val="24"/>
        </w:rPr>
      </w:pPr>
    </w:p>
    <w:p>
      <w:pPr>
        <w:spacing w:line="300" w:lineRule="auto"/>
        <w:ind w:left="140"/>
        <w:rPr>
          <w:rFonts w:asciiTheme="minorEastAsia" w:hAnsiTheme="minorEastAsia"/>
          <w:szCs w:val="21"/>
        </w:rPr>
      </w:pPr>
      <w:r>
        <w:rPr>
          <w:rFonts w:hint="eastAsia" w:cs="Arial" w:asciiTheme="minorEastAsia" w:hAnsiTheme="minorEastAsia"/>
          <w:sz w:val="24"/>
          <w:szCs w:val="24"/>
          <w:u w:val="single"/>
        </w:rPr>
        <w:t xml:space="preserve">  （姓名）  </w:t>
      </w:r>
      <w:r>
        <w:rPr>
          <w:rFonts w:hint="eastAsia" w:asciiTheme="minorEastAsia" w:hAnsiTheme="minorEastAsia"/>
          <w:szCs w:val="21"/>
        </w:rPr>
        <w:t>同志，现任我单位</w:t>
      </w:r>
      <w:r>
        <w:rPr>
          <w:rFonts w:hint="eastAsia" w:asciiTheme="minorEastAsia" w:hAnsiTheme="minorEastAsia"/>
          <w:szCs w:val="21"/>
          <w:u w:val="single"/>
        </w:rPr>
        <w:t xml:space="preserve">       </w:t>
      </w:r>
      <w:r>
        <w:rPr>
          <w:rFonts w:hint="eastAsia" w:asciiTheme="minorEastAsia" w:hAnsiTheme="minorEastAsia"/>
          <w:szCs w:val="21"/>
        </w:rPr>
        <w:t>职务，为我单位法定代表人（负责人）。</w:t>
      </w:r>
    </w:p>
    <w:p>
      <w:pPr>
        <w:spacing w:line="300" w:lineRule="auto"/>
        <w:ind w:left="140"/>
        <w:rPr>
          <w:rFonts w:asciiTheme="minorEastAsia" w:hAnsiTheme="minorEastAsia"/>
          <w:szCs w:val="21"/>
          <w:u w:val="single"/>
        </w:rPr>
      </w:pPr>
      <w:r>
        <w:rPr>
          <w:rFonts w:hint="eastAsia" w:asciiTheme="minorEastAsia" w:hAnsiTheme="minorEastAsia"/>
          <w:szCs w:val="21"/>
        </w:rPr>
        <w:t xml:space="preserve">身份证号： </w:t>
      </w:r>
      <w:r>
        <w:rPr>
          <w:rFonts w:hint="eastAsia" w:asciiTheme="minorEastAsia" w:hAnsiTheme="minorEastAsia"/>
          <w:szCs w:val="21"/>
          <w:u w:val="single"/>
        </w:rPr>
        <w:t xml:space="preserve">              </w:t>
      </w:r>
      <w:r>
        <w:rPr>
          <w:rFonts w:hint="eastAsia" w:asciiTheme="minorEastAsia" w:hAnsiTheme="minorEastAsia"/>
          <w:szCs w:val="21"/>
          <w:u w:val="none"/>
          <w:lang w:val="en-US" w:eastAsia="zh-CN"/>
        </w:rPr>
        <w:t xml:space="preserve">    </w:t>
      </w:r>
      <w:r>
        <w:rPr>
          <w:rFonts w:hint="eastAsia" w:asciiTheme="minorEastAsia" w:hAnsiTheme="minorEastAsia"/>
          <w:szCs w:val="21"/>
        </w:rPr>
        <w:t xml:space="preserve">联系电话：  </w:t>
      </w:r>
      <w:r>
        <w:rPr>
          <w:rFonts w:hint="eastAsia" w:asciiTheme="minorEastAsia" w:hAnsiTheme="minorEastAsia"/>
          <w:szCs w:val="21"/>
          <w:u w:val="single"/>
        </w:rPr>
        <w:t xml:space="preserve">             </w:t>
      </w:r>
    </w:p>
    <w:p>
      <w:pPr>
        <w:spacing w:line="300" w:lineRule="auto"/>
        <w:ind w:left="140"/>
        <w:rPr>
          <w:rFonts w:cs="Arial" w:asciiTheme="minorEastAsia" w:hAnsiTheme="minorEastAsia"/>
          <w:b/>
          <w:sz w:val="24"/>
          <w:szCs w:val="24"/>
        </w:rPr>
      </w:pPr>
      <w:r>
        <w:rPr>
          <w:rFonts w:hint="eastAsia" w:asciiTheme="minorEastAsia" w:hAnsiTheme="minorEastAsia"/>
          <w:szCs w:val="21"/>
        </w:rPr>
        <w:t>特此证明。</w:t>
      </w:r>
    </w:p>
    <w:p>
      <w:pPr>
        <w:snapToGrid w:val="0"/>
        <w:rPr>
          <w:rFonts w:hint="eastAsia" w:ascii="宋体" w:hAnsi="宋体" w:eastAsia="宋体" w:cs="Times New Roman"/>
          <w:color w:val="FF0000"/>
          <w:sz w:val="28"/>
          <w:szCs w:val="28"/>
        </w:rPr>
      </w:pP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lang w:val="en-US" w:eastAsia="zh-CN"/>
        </w:rPr>
        <w:t>说明</w:t>
      </w:r>
      <w:r>
        <w:rPr>
          <w:rFonts w:hint="eastAsia" w:ascii="宋体" w:hAnsi="宋体" w:eastAsia="宋体" w:cs="Times New Roman"/>
          <w:color w:val="FF0000"/>
          <w:sz w:val="21"/>
          <w:szCs w:val="21"/>
        </w:rPr>
        <w:t>：</w:t>
      </w:r>
    </w:p>
    <w:p>
      <w:pPr>
        <w:snapToGrid w:val="0"/>
        <w:rPr>
          <w:rFonts w:ascii="Arial" w:hAnsi="Arial" w:eastAsia="宋体" w:cs="Times New Roman"/>
          <w:sz w:val="21"/>
          <w:szCs w:val="21"/>
        </w:rPr>
      </w:pPr>
      <w:r>
        <w:rPr>
          <w:rFonts w:hint="eastAsia" w:ascii="宋体" w:hAnsi="宋体" w:eastAsia="宋体" w:cs="Times New Roman"/>
          <w:color w:val="FF0000"/>
          <w:sz w:val="21"/>
          <w:szCs w:val="21"/>
        </w:rPr>
        <w:t>1、如发现上述人员非投标人法定代表人（负责人），视同提供虚假资料，按投标无效处理，并将依法承担相应法律责任。</w:t>
      </w: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rPr>
        <w:t>2、法定代表人为投标人（企业事业单位、国家机关、社会团体）的主要行政负责人。</w:t>
      </w:r>
    </w:p>
    <w:p>
      <w:pPr>
        <w:snapToGrid w:val="0"/>
        <w:rPr>
          <w:rFonts w:hint="eastAsia" w:ascii="宋体" w:hAnsi="宋体" w:eastAsia="宋体" w:cs="Times New Roman"/>
          <w:color w:val="FF0000"/>
          <w:sz w:val="21"/>
          <w:szCs w:val="21"/>
          <w:lang w:val="en-US" w:eastAsia="zh-CN"/>
        </w:rPr>
      </w:pPr>
      <w:r>
        <w:rPr>
          <w:rFonts w:hint="eastAsia" w:ascii="宋体" w:hAnsi="宋体" w:eastAsia="宋体" w:cs="Times New Roman"/>
          <w:color w:val="FF0000"/>
          <w:sz w:val="21"/>
          <w:szCs w:val="21"/>
        </w:rPr>
        <w:t>3、本证明书</w:t>
      </w:r>
      <w:r>
        <w:rPr>
          <w:rFonts w:hint="eastAsia" w:ascii="宋体" w:hAnsi="宋体" w:eastAsia="宋体" w:cs="Times New Roman"/>
          <w:color w:val="FF0000"/>
          <w:sz w:val="21"/>
          <w:szCs w:val="21"/>
          <w:lang w:val="en-US" w:eastAsia="zh-CN"/>
        </w:rPr>
        <w:t>要求提</w:t>
      </w:r>
      <w:r>
        <w:rPr>
          <w:rFonts w:hint="eastAsia" w:ascii="宋体" w:hAnsi="宋体" w:eastAsia="宋体" w:cs="Times New Roman"/>
          <w:color w:val="FF0000"/>
          <w:sz w:val="21"/>
          <w:szCs w:val="21"/>
        </w:rPr>
        <w:t>供法定代表人（负责人）相关身份证明文件：身份证扫描件（正反两面）；港澳台居民可提供来往通行证扫描件；非中国国籍管辖范围人员，可提供公安部门认可的身份证明材料扫描件。</w:t>
      </w:r>
      <w:r>
        <w:rPr>
          <w:rFonts w:hint="eastAsia" w:ascii="宋体" w:hAnsi="宋体" w:eastAsia="宋体" w:cs="Times New Roman"/>
          <w:color w:val="FF0000"/>
          <w:sz w:val="21"/>
          <w:szCs w:val="21"/>
          <w:lang w:val="en-US" w:eastAsia="zh-CN"/>
        </w:rPr>
        <w:t>未提供的</w:t>
      </w:r>
      <w:r>
        <w:rPr>
          <w:rFonts w:hint="eastAsia" w:ascii="宋体" w:hAnsi="宋体" w:eastAsia="宋体" w:cs="Times New Roman"/>
          <w:color w:val="FF0000"/>
          <w:sz w:val="21"/>
          <w:szCs w:val="21"/>
        </w:rPr>
        <w:t>按投标无效处理</w:t>
      </w:r>
      <w:r>
        <w:rPr>
          <w:rFonts w:hint="eastAsia" w:ascii="宋体" w:hAnsi="宋体" w:eastAsia="宋体" w:cs="Times New Roman"/>
          <w:color w:val="FF0000"/>
          <w:sz w:val="21"/>
          <w:szCs w:val="21"/>
          <w:lang w:eastAsia="zh-CN"/>
        </w:rPr>
        <w:t>。</w:t>
      </w: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rPr>
        <w:t>4、本项目投标授权代表为法定代表人（负责人）的，无需提供《投标文件签署授权委托书》。</w:t>
      </w: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rPr>
        <w:t>5、内容必须填写真实、清楚，涂改无效，不得转让、买卖。</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4264" w:type="dxa"/>
            <w:vAlign w:val="top"/>
          </w:tcPr>
          <w:p>
            <w:pPr>
              <w:jc w:val="center"/>
              <w:rPr>
                <w:rFonts w:hint="eastAsia"/>
                <w:lang w:val="en-US" w:eastAsia="zh-CN"/>
              </w:rPr>
            </w:pPr>
            <w:r>
              <w:rPr>
                <w:rFonts w:hint="eastAsia"/>
                <w:lang w:val="en-US" w:eastAsia="zh-CN"/>
              </w:rPr>
              <w:t>证件扫描件正面</w:t>
            </w:r>
          </w:p>
          <w:p>
            <w:pPr>
              <w:pStyle w:val="2"/>
              <w:jc w:val="center"/>
              <w:rPr>
                <w:rFonts w:hint="eastAsia"/>
                <w:lang w:val="en-US" w:eastAsia="zh-CN"/>
              </w:rPr>
            </w:pPr>
          </w:p>
          <w:p>
            <w:pPr>
              <w:pStyle w:val="3"/>
              <w:jc w:val="center"/>
              <w:rPr>
                <w:rFonts w:hint="default"/>
                <w:lang w:val="en-US" w:eastAsia="zh-CN"/>
              </w:rPr>
            </w:pPr>
          </w:p>
        </w:tc>
        <w:tc>
          <w:tcPr>
            <w:tcW w:w="4265" w:type="dxa"/>
            <w:vAlign w:val="top"/>
          </w:tcPr>
          <w:p>
            <w:pPr>
              <w:jc w:val="center"/>
              <w:rPr>
                <w:rFonts w:hint="eastAsia"/>
                <w:lang w:val="en-US" w:eastAsia="zh-CN"/>
              </w:rPr>
            </w:pPr>
            <w:r>
              <w:rPr>
                <w:rFonts w:hint="eastAsia"/>
                <w:lang w:val="en-US" w:eastAsia="zh-CN"/>
              </w:rPr>
              <w:t>证件扫描件反面</w:t>
            </w:r>
          </w:p>
          <w:p>
            <w:pPr>
              <w:pStyle w:val="2"/>
              <w:jc w:val="center"/>
              <w:rPr>
                <w:rFonts w:hint="eastAsia"/>
                <w:lang w:val="en-US" w:eastAsia="zh-CN"/>
              </w:rPr>
            </w:pPr>
          </w:p>
          <w:p>
            <w:pPr>
              <w:pStyle w:val="3"/>
              <w:jc w:val="center"/>
              <w:rPr>
                <w:rFonts w:hint="eastAsia"/>
                <w:sz w:val="24"/>
                <w:vertAlign w:val="baseline"/>
                <w:lang w:val="en-US" w:eastAsia="zh-CN"/>
              </w:rPr>
            </w:pPr>
          </w:p>
        </w:tc>
      </w:tr>
    </w:tbl>
    <w:p>
      <w:pPr>
        <w:pStyle w:val="2"/>
      </w:pPr>
    </w:p>
    <w:p>
      <w:pPr>
        <w:spacing w:line="300" w:lineRule="auto"/>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spacing w:line="300" w:lineRule="auto"/>
        <w:rPr>
          <w:rFonts w:ascii="Arial" w:hAnsi="Arial" w:eastAsia="宋体" w:cs="Times New Roman"/>
          <w:szCs w:val="21"/>
        </w:rPr>
      </w:pPr>
      <w:r>
        <w:rPr>
          <w:rFonts w:hint="eastAsia" w:ascii="Arial" w:hAnsi="Arial" w:eastAsia="宋体" w:cs="Times New Roman"/>
          <w:szCs w:val="21"/>
        </w:rPr>
        <w:t>日</w:t>
      </w:r>
      <w:r>
        <w:rPr>
          <w:rFonts w:ascii="Arial" w:hAnsi="Arial" w:eastAsia="宋体" w:cs="Times New Roman"/>
          <w:szCs w:val="21"/>
        </w:rPr>
        <w:t xml:space="preserve">  </w:t>
      </w:r>
      <w:r>
        <w:rPr>
          <w:rFonts w:hint="eastAsia" w:ascii="Arial" w:hAnsi="Arial" w:eastAsia="宋体" w:cs="Times New Roman"/>
          <w:szCs w:val="21"/>
        </w:rPr>
        <w:t>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u w:val="single"/>
        </w:rPr>
        <w:t xml:space="preserve">     </w:t>
      </w:r>
      <w:r>
        <w:rPr>
          <w:rFonts w:hint="eastAsia" w:ascii="Arial" w:hAnsi="Arial" w:eastAsia="宋体" w:cs="Times New Roman"/>
          <w:szCs w:val="21"/>
        </w:rPr>
        <w:t>日</w:t>
      </w:r>
    </w:p>
    <w:p>
      <w:pPr>
        <w:spacing w:line="500" w:lineRule="exact"/>
        <w:ind w:firstLine="420" w:firstLineChars="200"/>
        <w:rPr>
          <w:rFonts w:ascii="Arial" w:hAnsi="Arial" w:eastAsia="宋体" w:cs="Times New Roman"/>
          <w:szCs w:val="24"/>
        </w:rPr>
      </w:pP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2.投标文件签署授权委托书</w:t>
      </w:r>
    </w:p>
    <w:p>
      <w:pPr>
        <w:spacing w:line="300" w:lineRule="auto"/>
        <w:jc w:val="center"/>
        <w:rPr>
          <w:rFonts w:ascii="Arial" w:hAnsi="Arial" w:eastAsia="宋体" w:cs="Times New Roman"/>
          <w:b/>
          <w:sz w:val="28"/>
          <w:szCs w:val="28"/>
        </w:rPr>
      </w:pPr>
    </w:p>
    <w:p>
      <w:pPr>
        <w:spacing w:line="360" w:lineRule="auto"/>
        <w:ind w:firstLine="420" w:firstLineChars="200"/>
        <w:rPr>
          <w:rFonts w:hint="eastAsia"/>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（投标人名称）的法定代表人（负责人），现授权委托</w:t>
      </w:r>
      <w:r>
        <w:rPr>
          <w:rFonts w:hint="eastAsia"/>
          <w:szCs w:val="21"/>
          <w:u w:val="single"/>
        </w:rPr>
        <w:t xml:space="preserve">            </w:t>
      </w:r>
      <w:r>
        <w:rPr>
          <w:rFonts w:hint="eastAsia"/>
          <w:szCs w:val="21"/>
        </w:rPr>
        <w:t>（姓名）为我单位签署本项目已递交的投标文件的法定代表人（负责人）的授权委托代理人，代理人全权代表我所签署的本项目已递交的投标文件内容我均承认。</w:t>
      </w:r>
    </w:p>
    <w:p>
      <w:pPr>
        <w:spacing w:line="360" w:lineRule="auto"/>
        <w:ind w:firstLine="420" w:firstLineChars="200"/>
        <w:rPr>
          <w:rFonts w:hint="eastAsia"/>
          <w:szCs w:val="21"/>
        </w:rPr>
      </w:pPr>
      <w:r>
        <w:rPr>
          <w:rFonts w:hint="eastAsia"/>
          <w:szCs w:val="21"/>
        </w:rPr>
        <w:t>代理人无转委托权，特此委托。</w:t>
      </w:r>
    </w:p>
    <w:p>
      <w:pPr>
        <w:spacing w:line="360" w:lineRule="auto"/>
        <w:ind w:firstLine="422" w:firstLineChars="200"/>
        <w:rPr>
          <w:rFonts w:hint="eastAsia"/>
          <w:b/>
          <w:color w:val="FF0000"/>
          <w:szCs w:val="21"/>
        </w:rPr>
      </w:pPr>
    </w:p>
    <w:p>
      <w:pPr>
        <w:spacing w:line="360" w:lineRule="auto"/>
        <w:ind w:firstLine="422" w:firstLineChars="200"/>
        <w:rPr>
          <w:rFonts w:ascii="Arial" w:hAnsi="Arial" w:eastAsia="宋体" w:cs="Times New Roman"/>
          <w:szCs w:val="21"/>
        </w:rPr>
      </w:pPr>
      <w:r>
        <w:rPr>
          <w:rFonts w:hint="eastAsia"/>
          <w:b/>
          <w:color w:val="FF0000"/>
          <w:szCs w:val="21"/>
        </w:rPr>
        <w:t>附：请提供代理人身份证扫描件（正反两面）；港澳台居民可提供来往通行证扫描件；非中国国籍管辖范围人员，可提供公安部门认可的身份证明材料扫描件。</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264" w:type="dxa"/>
            <w:vAlign w:val="top"/>
          </w:tcPr>
          <w:p>
            <w:pPr>
              <w:jc w:val="center"/>
              <w:rPr>
                <w:rFonts w:hint="eastAsia"/>
                <w:lang w:val="en-US" w:eastAsia="zh-CN"/>
              </w:rPr>
            </w:pPr>
            <w:r>
              <w:rPr>
                <w:rFonts w:hint="eastAsia" w:ascii="Times New Roman" w:eastAsia="宋体"/>
                <w:lang w:val="en-US" w:eastAsia="zh-CN"/>
              </w:rPr>
              <w:t>证件扫描件正面</w:t>
            </w:r>
          </w:p>
          <w:p>
            <w:pPr>
              <w:pStyle w:val="2"/>
              <w:jc w:val="center"/>
              <w:rPr>
                <w:rFonts w:hint="eastAsia"/>
                <w:lang w:val="en-US" w:eastAsia="zh-CN"/>
              </w:rPr>
            </w:pPr>
          </w:p>
          <w:p>
            <w:pPr>
              <w:pStyle w:val="3"/>
              <w:jc w:val="center"/>
              <w:rPr>
                <w:rFonts w:hint="default"/>
                <w:lang w:val="en-US" w:eastAsia="zh-CN"/>
              </w:rPr>
            </w:pPr>
          </w:p>
        </w:tc>
        <w:tc>
          <w:tcPr>
            <w:tcW w:w="4265" w:type="dxa"/>
            <w:vAlign w:val="top"/>
          </w:tcPr>
          <w:p>
            <w:pPr>
              <w:jc w:val="center"/>
              <w:rPr>
                <w:rFonts w:hint="eastAsia"/>
                <w:lang w:val="en-US" w:eastAsia="zh-CN"/>
              </w:rPr>
            </w:pPr>
            <w:r>
              <w:rPr>
                <w:rFonts w:hint="eastAsia" w:ascii="Times New Roman" w:eastAsia="宋体"/>
                <w:lang w:val="en-US" w:eastAsia="zh-CN"/>
              </w:rPr>
              <w:t>证件扫描件反面</w:t>
            </w:r>
          </w:p>
          <w:p>
            <w:pPr>
              <w:pStyle w:val="2"/>
              <w:jc w:val="center"/>
              <w:rPr>
                <w:rFonts w:hint="eastAsia"/>
                <w:lang w:val="en-US" w:eastAsia="zh-CN"/>
              </w:rPr>
            </w:pPr>
          </w:p>
          <w:p>
            <w:pPr>
              <w:pStyle w:val="3"/>
              <w:jc w:val="center"/>
              <w:rPr>
                <w:rFonts w:hint="eastAsia"/>
                <w:sz w:val="24"/>
                <w:vertAlign w:val="baseline"/>
                <w:lang w:val="en-US" w:eastAsia="zh-CN"/>
              </w:rPr>
            </w:pPr>
          </w:p>
        </w:tc>
      </w:tr>
    </w:tbl>
    <w:p>
      <w:pPr>
        <w:spacing w:line="360" w:lineRule="auto"/>
        <w:rPr>
          <w:rFonts w:hint="eastAsia" w:ascii="Arial" w:hAnsi="Arial" w:eastAsia="宋体" w:cs="Times New Roman"/>
          <w:szCs w:val="21"/>
        </w:rPr>
      </w:pPr>
    </w:p>
    <w:p>
      <w:pPr>
        <w:spacing w:line="360" w:lineRule="auto"/>
        <w:ind w:left="3360" w:leftChars="1600"/>
        <w:rPr>
          <w:rFonts w:ascii="Arial" w:hAnsi="Arial" w:eastAsia="宋体" w:cs="Times New Roman"/>
          <w:szCs w:val="21"/>
          <w:u w:val="single"/>
        </w:rPr>
      </w:pPr>
      <w:r>
        <w:rPr>
          <w:rFonts w:hint="eastAsia" w:ascii="Arial" w:hAnsi="Arial" w:eastAsia="宋体" w:cs="Times New Roman"/>
          <w:szCs w:val="21"/>
        </w:rPr>
        <w:t>代理人：</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hint="eastAsia" w:ascii="Arial" w:hAnsi="Arial" w:eastAsia="宋体" w:cs="Times New Roman"/>
          <w:szCs w:val="21"/>
        </w:rPr>
      </w:pPr>
      <w:r>
        <w:rPr>
          <w:rFonts w:hint="eastAsia" w:ascii="Arial" w:hAnsi="Arial" w:eastAsia="宋体" w:cs="Times New Roman"/>
          <w:szCs w:val="21"/>
        </w:rPr>
        <w:t>身份证号码：</w:t>
      </w:r>
      <w:r>
        <w:rPr>
          <w:rFonts w:ascii="Arial" w:hAnsi="Arial" w:eastAsia="宋体" w:cs="Times New Roman"/>
          <w:szCs w:val="21"/>
          <w:u w:val="single"/>
        </w:rPr>
        <w:t xml:space="preserve">                       </w:t>
      </w:r>
      <w:r>
        <w:rPr>
          <w:rFonts w:hint="eastAsia" w:ascii="Arial" w:hAnsi="Arial" w:eastAsia="宋体" w:cs="Times New Roman"/>
          <w:szCs w:val="21"/>
        </w:rPr>
        <w:t>职务：</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联系电话：</w:t>
      </w:r>
      <w:r>
        <w:rPr>
          <w:rFonts w:ascii="Arial" w:hAnsi="Arial" w:eastAsia="宋体" w:cs="Times New Roman"/>
          <w:szCs w:val="21"/>
          <w:u w:val="single"/>
        </w:rPr>
        <w:t xml:space="preserve">              </w:t>
      </w:r>
      <w:r>
        <w:rPr>
          <w:rFonts w:hint="eastAsia" w:ascii="Arial" w:hAnsi="Arial" w:eastAsia="宋体" w:cs="Times New Roman"/>
          <w:szCs w:val="21"/>
        </w:rPr>
        <w:t>手机：</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u w:val="single"/>
        </w:rPr>
      </w:pPr>
      <w:r>
        <w:rPr>
          <w:rFonts w:hint="eastAsia"/>
          <w:szCs w:val="21"/>
          <w:u w:val="none"/>
          <w:lang w:val="en-US" w:eastAsia="zh-CN"/>
        </w:rPr>
        <w:t>电子邮箱：</w:t>
      </w:r>
      <w:r>
        <w:rPr>
          <w:rFonts w:hint="eastAsia"/>
          <w:szCs w:val="21"/>
          <w:u w:val="single"/>
        </w:rPr>
        <w:t xml:space="preserve">            </w:t>
      </w:r>
      <w:r>
        <w:rPr>
          <w:rFonts w:hint="eastAsia"/>
          <w:szCs w:val="21"/>
          <w:u w:val="single"/>
          <w:lang w:val="en-US" w:eastAsia="zh-CN"/>
        </w:rPr>
        <w:t xml:space="preserve">     </w:t>
      </w:r>
      <w:r>
        <w:rPr>
          <w:rFonts w:hint="eastAsia"/>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tabs>
          <w:tab w:val="left" w:pos="651"/>
        </w:tabs>
        <w:snapToGrid w:val="0"/>
        <w:jc w:val="center"/>
        <w:rPr>
          <w:rFonts w:ascii="宋体" w:hAnsi="宋体" w:eastAsia="宋体" w:cs="Times New Roman"/>
          <w:color w:val="FF0000"/>
          <w:sz w:val="28"/>
          <w:szCs w:val="28"/>
        </w:rPr>
      </w:pPr>
      <w:r>
        <w:rPr>
          <w:rFonts w:hint="eastAsia" w:ascii="Arial" w:hAnsi="Arial" w:eastAsia="宋体" w:cs="Times New Roman"/>
          <w:szCs w:val="21"/>
          <w:lang w:val="en-US" w:eastAsia="zh-CN"/>
        </w:rPr>
        <w:t xml:space="preserve">                   </w:t>
      </w:r>
      <w:r>
        <w:rPr>
          <w:rFonts w:hint="eastAsia" w:ascii="Arial" w:hAnsi="Arial" w:eastAsia="宋体" w:cs="Times New Roman"/>
          <w:szCs w:val="21"/>
        </w:rPr>
        <w:t>授权委托日期：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rPr>
        <w:t xml:space="preserve"> </w:t>
      </w:r>
      <w:r>
        <w:rPr>
          <w:rFonts w:ascii="Arial" w:hAnsi="Arial" w:eastAsia="宋体" w:cs="Times New Roman"/>
          <w:szCs w:val="21"/>
          <w:u w:val="single"/>
        </w:rPr>
        <w:t xml:space="preserve">      </w:t>
      </w:r>
      <w:r>
        <w:rPr>
          <w:rFonts w:hint="eastAsia" w:ascii="Arial" w:hAnsi="Arial" w:eastAsia="宋体" w:cs="Times New Roman"/>
          <w:szCs w:val="21"/>
        </w:rPr>
        <w:t>日</w:t>
      </w:r>
      <w:r>
        <w:rPr>
          <w:rFonts w:ascii="宋体" w:hAnsi="宋体" w:eastAsia="宋体" w:cs="Times New Roman"/>
          <w:color w:val="FF0000"/>
          <w:sz w:val="28"/>
          <w:szCs w:val="28"/>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3</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实质性条款响应情况表</w:t>
      </w:r>
    </w:p>
    <w:p>
      <w:pPr>
        <w:snapToGrid w:val="0"/>
        <w:rPr>
          <w:rFonts w:ascii="Arial" w:hAnsi="Arial" w:eastAsia="宋体" w:cs="Arial"/>
          <w:sz w:val="24"/>
          <w:szCs w:val="24"/>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b/>
          <w:sz w:val="24"/>
          <w:szCs w:val="24"/>
        </w:rPr>
      </w:pPr>
    </w:p>
    <w:tbl>
      <w:tblPr>
        <w:tblStyle w:val="16"/>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29" w:hRule="atLeast"/>
          <w:jc w:val="center"/>
        </w:trPr>
        <w:tc>
          <w:tcPr>
            <w:tcW w:w="602" w:type="dxa"/>
            <w:vAlign w:val="center"/>
          </w:tcPr>
          <w:p>
            <w:pPr>
              <w:jc w:val="center"/>
              <w:rPr>
                <w:rFonts w:ascii="宋体" w:hAnsi="宋体" w:eastAsia="宋体" w:cs="Arial"/>
                <w:b/>
                <w:szCs w:val="21"/>
              </w:rPr>
            </w:pPr>
            <w:r>
              <w:rPr>
                <w:rFonts w:hint="eastAsia" w:ascii="宋体" w:hAnsi="宋体" w:eastAsia="宋体" w:cs="Arial"/>
                <w:b/>
                <w:szCs w:val="21"/>
              </w:rPr>
              <w:t>序号</w:t>
            </w:r>
          </w:p>
        </w:tc>
        <w:tc>
          <w:tcPr>
            <w:tcW w:w="3901" w:type="dxa"/>
            <w:vAlign w:val="center"/>
          </w:tcPr>
          <w:p>
            <w:pPr>
              <w:jc w:val="center"/>
              <w:rPr>
                <w:rFonts w:ascii="宋体" w:hAnsi="宋体" w:eastAsia="宋体" w:cs="Arial"/>
                <w:b/>
                <w:szCs w:val="21"/>
              </w:rPr>
            </w:pPr>
            <w:r>
              <w:rPr>
                <w:rFonts w:hint="eastAsia" w:ascii="宋体" w:hAnsi="宋体" w:eastAsia="宋体" w:cs="Arial"/>
                <w:b/>
                <w:szCs w:val="21"/>
              </w:rPr>
              <w:t>实质性条款具体内容</w:t>
            </w:r>
          </w:p>
        </w:tc>
        <w:tc>
          <w:tcPr>
            <w:tcW w:w="2176" w:type="dxa"/>
            <w:vAlign w:val="center"/>
          </w:tcPr>
          <w:p>
            <w:pPr>
              <w:jc w:val="center"/>
              <w:rPr>
                <w:rFonts w:ascii="宋体" w:hAnsi="宋体" w:eastAsia="宋体" w:cs="Arial"/>
                <w:b/>
                <w:szCs w:val="21"/>
              </w:rPr>
            </w:pPr>
            <w:r>
              <w:rPr>
                <w:rFonts w:hint="eastAsia" w:ascii="宋体" w:hAnsi="宋体" w:eastAsia="宋体" w:cs="Arial"/>
                <w:b/>
                <w:szCs w:val="21"/>
              </w:rPr>
              <w:t>投标文件响应</w:t>
            </w:r>
          </w:p>
        </w:tc>
        <w:tc>
          <w:tcPr>
            <w:tcW w:w="1732" w:type="dxa"/>
          </w:tcPr>
          <w:p>
            <w:pPr>
              <w:spacing w:beforeLines="50"/>
              <w:jc w:val="center"/>
              <w:rPr>
                <w:rFonts w:ascii="宋体" w:hAnsi="宋体" w:eastAsia="宋体" w:cs="Arial"/>
                <w:b/>
                <w:szCs w:val="21"/>
              </w:rPr>
            </w:pPr>
            <w:r>
              <w:rPr>
                <w:rFonts w:hint="eastAsia" w:ascii="宋体" w:hAnsi="宋体" w:eastAsia="宋体" w:cs="Arial"/>
                <w:b/>
                <w:szCs w:val="21"/>
              </w:rPr>
              <w:t>偏离情况</w:t>
            </w:r>
          </w:p>
        </w:tc>
        <w:tc>
          <w:tcPr>
            <w:tcW w:w="992" w:type="dxa"/>
            <w:vAlign w:val="center"/>
          </w:tcPr>
          <w:p>
            <w:pPr>
              <w:jc w:val="center"/>
              <w:rPr>
                <w:rFonts w:ascii="宋体" w:hAnsi="宋体" w:eastAsia="宋体" w:cs="Arial"/>
                <w:b/>
                <w:szCs w:val="21"/>
              </w:rPr>
            </w:pPr>
            <w:r>
              <w:rPr>
                <w:rFonts w:hint="eastAsia" w:ascii="宋体" w:hAnsi="宋体" w:eastAsia="宋体" w:cs="Arial"/>
                <w:b/>
                <w:szCs w:val="21"/>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60" w:hRule="atLeast"/>
          <w:jc w:val="center"/>
        </w:trPr>
        <w:tc>
          <w:tcPr>
            <w:tcW w:w="602" w:type="dxa"/>
            <w:vAlign w:val="center"/>
          </w:tcPr>
          <w:p>
            <w:pPr>
              <w:spacing w:line="300" w:lineRule="auto"/>
              <w:jc w:val="center"/>
              <w:rPr>
                <w:rFonts w:hint="eastAsia" w:ascii="宋体" w:hAnsi="宋体" w:eastAsia="宋体" w:cs="Times New Roman"/>
                <w:b/>
                <w:color w:val="FF0000"/>
                <w:kern w:val="0"/>
                <w:szCs w:val="21"/>
                <w:lang w:val="en-US" w:eastAsia="zh-CN"/>
              </w:rPr>
            </w:pPr>
            <w:r>
              <w:rPr>
                <w:rFonts w:hint="eastAsia" w:ascii="宋体" w:hAnsi="宋体" w:eastAsia="宋体" w:cs="Times New Roman"/>
                <w:b/>
                <w:color w:val="FF0000"/>
                <w:kern w:val="0"/>
                <w:szCs w:val="21"/>
                <w:lang w:val="en-US" w:eastAsia="zh-CN"/>
              </w:rPr>
              <w:t>1</w:t>
            </w:r>
          </w:p>
        </w:tc>
        <w:tc>
          <w:tcPr>
            <w:tcW w:w="3901" w:type="dxa"/>
            <w:vAlign w:val="center"/>
          </w:tcPr>
          <w:p>
            <w:pPr>
              <w:spacing w:line="300" w:lineRule="auto"/>
              <w:jc w:val="center"/>
              <w:rPr>
                <w:rFonts w:hint="eastAsia" w:ascii="宋体" w:hAnsi="宋体" w:eastAsia="宋体" w:cs="Times New Roman"/>
                <w:b/>
                <w:color w:val="FF0000"/>
                <w:kern w:val="0"/>
                <w:szCs w:val="21"/>
                <w:lang w:val="en-US" w:eastAsia="zh-CN"/>
              </w:rPr>
            </w:pPr>
            <w:r>
              <w:rPr>
                <w:rFonts w:hint="eastAsia" w:ascii="宋体" w:hAnsi="宋体" w:eastAsia="宋体" w:cs="Times New Roman"/>
                <w:b/>
                <w:color w:val="FF0000"/>
                <w:kern w:val="0"/>
                <w:szCs w:val="21"/>
                <w:lang w:val="en-US" w:eastAsia="zh-CN"/>
              </w:rPr>
              <w:t>本项目招标文件中所有带★号条款内容</w:t>
            </w:r>
          </w:p>
        </w:tc>
        <w:tc>
          <w:tcPr>
            <w:tcW w:w="2176" w:type="dxa"/>
            <w:vAlign w:val="center"/>
          </w:tcPr>
          <w:p>
            <w:pPr>
              <w:spacing w:line="300" w:lineRule="auto"/>
              <w:jc w:val="center"/>
              <w:rPr>
                <w:rFonts w:hint="eastAsia" w:ascii="宋体" w:hAnsi="宋体" w:eastAsia="宋体" w:cs="Times New Roman"/>
                <w:b/>
                <w:color w:val="auto"/>
                <w:kern w:val="0"/>
                <w:szCs w:val="21"/>
                <w:lang w:val="en-US" w:eastAsia="zh-CN"/>
              </w:rPr>
            </w:pPr>
            <w:r>
              <w:rPr>
                <w:rFonts w:hint="eastAsia" w:ascii="宋体" w:hAnsi="宋体" w:eastAsia="宋体" w:cs="Times New Roman"/>
                <w:b/>
                <w:color w:val="auto"/>
                <w:kern w:val="0"/>
                <w:szCs w:val="21"/>
                <w:lang w:val="en-US" w:eastAsia="zh-CN"/>
              </w:rPr>
              <w:t>完全响应</w:t>
            </w:r>
          </w:p>
        </w:tc>
        <w:tc>
          <w:tcPr>
            <w:tcW w:w="1732" w:type="dxa"/>
            <w:vAlign w:val="center"/>
          </w:tcPr>
          <w:p>
            <w:pPr>
              <w:spacing w:line="300" w:lineRule="auto"/>
              <w:jc w:val="center"/>
              <w:rPr>
                <w:rFonts w:hint="eastAsia" w:ascii="宋体" w:hAnsi="宋体" w:eastAsia="宋体" w:cs="Times New Roman"/>
                <w:b/>
                <w:color w:val="auto"/>
                <w:kern w:val="0"/>
                <w:szCs w:val="21"/>
                <w:lang w:val="en-US" w:eastAsia="zh-CN"/>
              </w:rPr>
            </w:pPr>
            <w:r>
              <w:rPr>
                <w:rFonts w:hint="eastAsia" w:ascii="宋体" w:hAnsi="宋体" w:eastAsia="宋体" w:cs="Times New Roman"/>
                <w:b/>
                <w:color w:val="auto"/>
                <w:kern w:val="0"/>
                <w:szCs w:val="21"/>
                <w:lang w:val="en-US" w:eastAsia="zh-CN"/>
              </w:rPr>
              <w:t>无偏离</w:t>
            </w:r>
          </w:p>
        </w:tc>
        <w:tc>
          <w:tcPr>
            <w:tcW w:w="992" w:type="dxa"/>
            <w:vAlign w:val="center"/>
          </w:tcPr>
          <w:p>
            <w:pPr>
              <w:spacing w:line="300" w:lineRule="auto"/>
              <w:jc w:val="center"/>
              <w:rPr>
                <w:rFonts w:hint="eastAsia" w:ascii="宋体" w:hAnsi="宋体" w:eastAsia="宋体" w:cs="Times New Roman"/>
                <w:b/>
                <w:color w:val="FF0000"/>
                <w:kern w:val="0"/>
                <w:szCs w:val="21"/>
                <w:lang w:val="en-US" w:eastAsia="zh-CN"/>
              </w:rPr>
            </w:pPr>
          </w:p>
        </w:tc>
      </w:tr>
    </w:tbl>
    <w:p>
      <w:pPr>
        <w:snapToGrid w:val="0"/>
        <w:rPr>
          <w:rFonts w:cs="Times New Roman" w:asciiTheme="minorEastAsia" w:hAnsiTheme="minorEastAsia"/>
          <w:sz w:val="24"/>
          <w:szCs w:val="24"/>
        </w:rPr>
      </w:pPr>
    </w:p>
    <w:p>
      <w:pPr>
        <w:snapToGrid w:val="0"/>
        <w:rPr>
          <w:rFonts w:cs="Times New Roman" w:asciiTheme="minorEastAsia" w:hAnsiTheme="minorEastAsia"/>
          <w:b/>
          <w:sz w:val="24"/>
          <w:szCs w:val="24"/>
        </w:rPr>
      </w:pPr>
      <w:r>
        <w:rPr>
          <w:rFonts w:hint="eastAsia" w:ascii="宋体" w:hAnsi="宋体" w:eastAsia="宋体" w:cs="Times New Roman"/>
          <w:b/>
          <w:sz w:val="24"/>
          <w:szCs w:val="24"/>
        </w:rPr>
        <w:t>填写说明：</w:t>
      </w:r>
    </w:p>
    <w:p>
      <w:pPr>
        <w:spacing w:line="276" w:lineRule="auto"/>
        <w:ind w:firstLine="480" w:firstLineChars="200"/>
        <w:rPr>
          <w:rFonts w:ascii="宋体" w:hAnsi="宋体" w:cs="宋体"/>
          <w:bCs/>
          <w:sz w:val="24"/>
          <w:szCs w:val="24"/>
        </w:rPr>
      </w:pPr>
      <w:r>
        <w:rPr>
          <w:rFonts w:hint="eastAsia" w:ascii="宋体" w:hAnsi="宋体" w:cs="宋体"/>
          <w:bCs/>
          <w:sz w:val="24"/>
          <w:szCs w:val="24"/>
        </w:rPr>
        <w:t>1</w:t>
      </w:r>
      <w:r>
        <w:rPr>
          <w:rFonts w:hint="eastAsia" w:ascii="宋体" w:hAnsi="宋体" w:cs="宋体"/>
          <w:bCs/>
          <w:sz w:val="24"/>
          <w:szCs w:val="24"/>
          <w:lang w:eastAsia="zh-CN"/>
        </w:rPr>
        <w:t>、</w:t>
      </w:r>
      <w:r>
        <w:rPr>
          <w:rFonts w:hint="eastAsia" w:ascii="宋体" w:hAnsi="宋体" w:cs="宋体"/>
          <w:bCs/>
          <w:sz w:val="24"/>
          <w:szCs w:val="24"/>
        </w:rPr>
        <w:t>上表所列各项均为不可负偏离条款。</w:t>
      </w:r>
    </w:p>
    <w:p>
      <w:pPr>
        <w:spacing w:line="276" w:lineRule="auto"/>
        <w:ind w:firstLine="480" w:firstLineChars="200"/>
        <w:rPr>
          <w:rFonts w:ascii="宋体" w:hAnsi="宋体" w:cs="宋体"/>
          <w:bCs/>
          <w:sz w:val="24"/>
          <w:szCs w:val="24"/>
        </w:rPr>
      </w:pPr>
      <w:r>
        <w:rPr>
          <w:rFonts w:hint="eastAsia" w:ascii="宋体" w:hAnsi="宋体" w:cs="宋体"/>
          <w:bCs/>
          <w:sz w:val="24"/>
          <w:szCs w:val="24"/>
        </w:rPr>
        <w:t>2</w:t>
      </w:r>
      <w:r>
        <w:rPr>
          <w:rFonts w:hint="eastAsia" w:ascii="宋体" w:hAnsi="宋体" w:cs="宋体"/>
          <w:bCs/>
          <w:sz w:val="24"/>
          <w:szCs w:val="24"/>
          <w:lang w:eastAsia="zh-CN"/>
        </w:rPr>
        <w:t>、</w:t>
      </w:r>
      <w:r>
        <w:rPr>
          <w:rFonts w:hint="eastAsia" w:ascii="宋体" w:hAnsi="宋体" w:cs="宋体"/>
          <w:bCs/>
          <w:sz w:val="24"/>
          <w:szCs w:val="24"/>
        </w:rPr>
        <w:t>“投标</w:t>
      </w:r>
      <w:r>
        <w:rPr>
          <w:rFonts w:hint="eastAsia" w:ascii="宋体" w:hAnsi="宋体" w:cs="宋体"/>
          <w:bCs/>
          <w:sz w:val="24"/>
          <w:szCs w:val="24"/>
          <w:lang w:val="en-US" w:eastAsia="zh-CN"/>
        </w:rPr>
        <w:t>文件</w:t>
      </w:r>
      <w:r>
        <w:rPr>
          <w:rFonts w:hint="eastAsia" w:ascii="宋体" w:hAnsi="宋体" w:cs="宋体"/>
          <w:bCs/>
          <w:sz w:val="24"/>
          <w:szCs w:val="24"/>
        </w:rPr>
        <w:t>响应”一栏应当详细填写投标人自身响应情况，而不能不合理照搬照抄招标文件实质性条款具体内容。</w:t>
      </w:r>
      <w:r>
        <w:rPr>
          <w:rFonts w:hint="eastAsia" w:ascii="宋体" w:hAnsi="宋体" w:cs="宋体"/>
          <w:b/>
          <w:bCs/>
          <w:color w:val="auto"/>
          <w:sz w:val="24"/>
          <w:szCs w:val="24"/>
        </w:rPr>
        <w:t>如完全满足实质性条款具体内容可填写“完全响应”，除招标文件另有注明外，不强制要求逐条列出响应。</w:t>
      </w:r>
    </w:p>
    <w:p>
      <w:pPr>
        <w:spacing w:line="276" w:lineRule="auto"/>
        <w:ind w:firstLine="480" w:firstLineChars="200"/>
        <w:rPr>
          <w:rFonts w:ascii="宋体" w:hAnsi="宋体" w:cs="宋体"/>
          <w:bCs/>
          <w:sz w:val="24"/>
          <w:szCs w:val="24"/>
        </w:rPr>
      </w:pPr>
      <w:r>
        <w:rPr>
          <w:rFonts w:hint="eastAsia" w:ascii="宋体" w:hAnsi="宋体" w:cs="宋体"/>
          <w:bCs/>
          <w:sz w:val="24"/>
          <w:szCs w:val="24"/>
        </w:rPr>
        <w:t>3</w:t>
      </w:r>
      <w:r>
        <w:rPr>
          <w:rFonts w:hint="eastAsia" w:ascii="宋体" w:hAnsi="宋体" w:cs="宋体"/>
          <w:bCs/>
          <w:sz w:val="24"/>
          <w:szCs w:val="24"/>
          <w:lang w:eastAsia="zh-CN"/>
        </w:rPr>
        <w:t>、</w:t>
      </w:r>
      <w:r>
        <w:rPr>
          <w:rFonts w:hint="eastAsia" w:ascii="宋体" w:hAnsi="宋体" w:cs="宋体"/>
          <w:bCs/>
          <w:sz w:val="24"/>
          <w:szCs w:val="24"/>
        </w:rPr>
        <w:t>“偏离情况”一栏应填写</w:t>
      </w:r>
      <w:r>
        <w:rPr>
          <w:rFonts w:hint="eastAsia" w:ascii="宋体" w:hAnsi="宋体" w:cs="宋体"/>
          <w:b w:val="0"/>
          <w:bCs w:val="0"/>
          <w:sz w:val="24"/>
          <w:szCs w:val="24"/>
        </w:rPr>
        <w:t>“</w:t>
      </w:r>
      <w:r>
        <w:rPr>
          <w:rFonts w:hint="eastAsia" w:ascii="宋体" w:hAnsi="宋体" w:cs="宋体"/>
          <w:b/>
          <w:bCs/>
          <w:sz w:val="24"/>
          <w:szCs w:val="24"/>
        </w:rPr>
        <w:t>正偏离</w:t>
      </w:r>
      <w:r>
        <w:rPr>
          <w:rFonts w:hint="eastAsia" w:ascii="宋体" w:hAnsi="宋体" w:cs="宋体"/>
          <w:b w:val="0"/>
          <w:bCs w:val="0"/>
          <w:sz w:val="24"/>
          <w:szCs w:val="24"/>
        </w:rPr>
        <w:t>”</w:t>
      </w:r>
      <w:r>
        <w:rPr>
          <w:rFonts w:hint="eastAsia" w:ascii="宋体" w:hAnsi="宋体" w:cs="宋体"/>
          <w:b w:val="0"/>
          <w:bCs w:val="0"/>
          <w:sz w:val="24"/>
          <w:szCs w:val="24"/>
          <w:lang w:val="en-US" w:eastAsia="zh-CN"/>
        </w:rPr>
        <w:t>或</w:t>
      </w:r>
      <w:r>
        <w:rPr>
          <w:rFonts w:hint="eastAsia" w:ascii="宋体" w:hAnsi="宋体" w:cs="宋体"/>
          <w:b w:val="0"/>
          <w:bCs w:val="0"/>
          <w:sz w:val="24"/>
          <w:szCs w:val="24"/>
        </w:rPr>
        <w:t>“</w:t>
      </w:r>
      <w:r>
        <w:rPr>
          <w:rFonts w:hint="eastAsia" w:ascii="宋体" w:hAnsi="宋体" w:cs="宋体"/>
          <w:b/>
          <w:bCs/>
          <w:sz w:val="24"/>
          <w:szCs w:val="24"/>
        </w:rPr>
        <w:t>负偏离</w:t>
      </w:r>
      <w:r>
        <w:rPr>
          <w:rFonts w:hint="eastAsia" w:ascii="宋体" w:hAnsi="宋体" w:cs="宋体"/>
          <w:b w:val="0"/>
          <w:bCs w:val="0"/>
          <w:sz w:val="24"/>
          <w:szCs w:val="24"/>
        </w:rPr>
        <w:t>”或“</w:t>
      </w:r>
      <w:r>
        <w:rPr>
          <w:rFonts w:hint="eastAsia" w:ascii="宋体" w:hAnsi="宋体" w:cs="宋体"/>
          <w:b/>
          <w:bCs/>
          <w:sz w:val="24"/>
          <w:szCs w:val="24"/>
        </w:rPr>
        <w:t>无偏离</w:t>
      </w:r>
      <w:r>
        <w:rPr>
          <w:rFonts w:hint="eastAsia" w:ascii="宋体" w:hAnsi="宋体" w:cs="宋体"/>
          <w:b w:val="0"/>
          <w:bCs w:val="0"/>
          <w:sz w:val="24"/>
          <w:szCs w:val="24"/>
        </w:rPr>
        <w:t>”</w:t>
      </w:r>
      <w:r>
        <w:rPr>
          <w:rFonts w:hint="eastAsia" w:ascii="宋体" w:hAnsi="宋体" w:cs="宋体"/>
          <w:bCs/>
          <w:sz w:val="24"/>
          <w:szCs w:val="24"/>
        </w:rPr>
        <w:t>，“正偏离”表示“投标响应优于实质性条款具体内容要求”，“负偏离”表示“投标响应不满足实质性条款具体内容要求”，“无偏离”表示“投标响应与实质性条款具体内容要求一致”。</w:t>
      </w:r>
    </w:p>
    <w:p>
      <w:pPr>
        <w:spacing w:line="276" w:lineRule="auto"/>
        <w:ind w:firstLine="480" w:firstLineChars="200"/>
        <w:rPr>
          <w:rFonts w:ascii="宋体" w:hAnsi="宋体" w:cs="宋体"/>
          <w:bCs/>
          <w:sz w:val="24"/>
          <w:szCs w:val="24"/>
        </w:rPr>
      </w:pPr>
      <w:r>
        <w:rPr>
          <w:rFonts w:hint="eastAsia" w:ascii="宋体" w:hAnsi="宋体" w:cs="宋体"/>
          <w:bCs/>
          <w:sz w:val="24"/>
          <w:szCs w:val="24"/>
        </w:rPr>
        <w:t>4</w:t>
      </w:r>
      <w:r>
        <w:rPr>
          <w:rFonts w:hint="eastAsia" w:ascii="宋体" w:hAnsi="宋体" w:cs="宋体"/>
          <w:bCs/>
          <w:sz w:val="24"/>
          <w:szCs w:val="24"/>
          <w:lang w:eastAsia="zh-CN"/>
        </w:rPr>
        <w:t>、</w:t>
      </w:r>
      <w:r>
        <w:rPr>
          <w:rFonts w:hint="eastAsia" w:ascii="宋体" w:hAnsi="宋体" w:cs="宋体"/>
          <w:bCs/>
          <w:sz w:val="24"/>
          <w:szCs w:val="24"/>
        </w:rPr>
        <w:t>评审委员会有权对投标响应情况作出判断。</w:t>
      </w:r>
    </w:p>
    <w:p>
      <w:pPr>
        <w:spacing w:line="276" w:lineRule="auto"/>
        <w:ind w:firstLine="480" w:firstLineChars="200"/>
        <w:rPr>
          <w:rFonts w:ascii="宋体" w:hAnsi="宋体" w:cs="宋体"/>
          <w:bCs/>
          <w:sz w:val="24"/>
          <w:szCs w:val="24"/>
        </w:rPr>
      </w:pPr>
      <w:r>
        <w:rPr>
          <w:rFonts w:hint="eastAsia" w:ascii="宋体" w:hAnsi="宋体" w:cs="宋体"/>
          <w:bCs/>
          <w:sz w:val="24"/>
          <w:szCs w:val="24"/>
        </w:rPr>
        <w:t>5</w:t>
      </w:r>
      <w:r>
        <w:rPr>
          <w:rFonts w:hint="eastAsia" w:ascii="宋体" w:hAnsi="宋体" w:cs="宋体"/>
          <w:bCs/>
          <w:sz w:val="24"/>
          <w:szCs w:val="24"/>
          <w:lang w:eastAsia="zh-CN"/>
        </w:rPr>
        <w:t>、</w:t>
      </w:r>
      <w:r>
        <w:rPr>
          <w:rFonts w:hint="eastAsia" w:ascii="宋体" w:hAnsi="宋体" w:cs="宋体"/>
          <w:bCs/>
          <w:sz w:val="24"/>
          <w:szCs w:val="24"/>
        </w:rPr>
        <w:t>实质性响应条款“投标响应情况”与投标文件其它内容冲突的，以实质性响应条款“投标响应情况”为准。</w:t>
      </w:r>
    </w:p>
    <w:p>
      <w:pPr>
        <w:spacing w:line="276" w:lineRule="auto"/>
        <w:ind w:firstLine="480" w:firstLineChars="200"/>
        <w:rPr>
          <w:rFonts w:ascii="宋体" w:hAnsi="宋体" w:cs="宋体"/>
          <w:bCs/>
          <w:sz w:val="24"/>
          <w:szCs w:val="24"/>
        </w:rPr>
      </w:pPr>
      <w:r>
        <w:rPr>
          <w:rFonts w:hint="eastAsia" w:ascii="宋体" w:hAnsi="宋体" w:cs="宋体"/>
          <w:bCs/>
          <w:sz w:val="24"/>
          <w:szCs w:val="24"/>
        </w:rPr>
        <w:t>6</w:t>
      </w:r>
      <w:r>
        <w:rPr>
          <w:rFonts w:hint="eastAsia" w:ascii="宋体" w:hAnsi="宋体" w:cs="宋体"/>
          <w:bCs/>
          <w:sz w:val="24"/>
          <w:szCs w:val="24"/>
          <w:lang w:eastAsia="zh-CN"/>
        </w:rPr>
        <w:t>、</w:t>
      </w:r>
      <w:r>
        <w:rPr>
          <w:rFonts w:hint="eastAsia" w:ascii="宋体" w:hAnsi="宋体" w:cs="宋体"/>
          <w:bCs/>
          <w:sz w:val="24"/>
          <w:szCs w:val="24"/>
        </w:rPr>
        <w:t>以上实质性条款中要求提供证明材料，需如实提供证明材料扫描件，在“说明”一栏中列明证明材料的位置，以便评审；未要求提供证明材料的，投标人可以不提供。</w:t>
      </w:r>
    </w:p>
    <w:p>
      <w:pPr>
        <w:numPr>
          <w:ilvl w:val="0"/>
          <w:numId w:val="0"/>
        </w:numPr>
        <w:snapToGrid w:val="0"/>
        <w:spacing w:afterLines="25" w:line="300" w:lineRule="auto"/>
        <w:ind w:leftChars="0"/>
        <w:rPr>
          <w:rFonts w:cs="Times New Roman" w:asciiTheme="majorEastAsia" w:hAnsiTheme="majorEastAsia" w:eastAsiaTheme="majorEastAsia"/>
          <w:b/>
          <w:color w:val="FF0000"/>
          <w:sz w:val="24"/>
          <w:szCs w:val="24"/>
        </w:rPr>
      </w:pPr>
    </w:p>
    <w:p>
      <w:pPr>
        <w:pStyle w:val="2"/>
        <w:rPr>
          <w:rFonts w:cs="Times New Roman" w:asciiTheme="majorEastAsia" w:hAnsiTheme="majorEastAsia" w:eastAsiaTheme="majorEastAsia"/>
          <w:b/>
          <w:color w:val="FF0000"/>
          <w:sz w:val="24"/>
          <w:szCs w:val="24"/>
        </w:rPr>
      </w:pPr>
    </w:p>
    <w:p>
      <w:pPr>
        <w:pStyle w:val="3"/>
        <w:rPr>
          <w:rFonts w:cs="Times New Roman" w:asciiTheme="majorEastAsia" w:hAnsiTheme="majorEastAsia" w:eastAsiaTheme="majorEastAsia"/>
          <w:b/>
          <w:color w:val="FF0000"/>
          <w:sz w:val="24"/>
          <w:szCs w:val="24"/>
        </w:rPr>
      </w:pPr>
    </w:p>
    <w:p>
      <w:pPr>
        <w:rPr>
          <w:rFonts w:hint="eastAsia" w:ascii="宋体" w:hAnsi="宋体" w:eastAsia="宋体" w:cs="Times New Roman"/>
          <w:b/>
          <w:bCs/>
          <w:kern w:val="0"/>
          <w:sz w:val="24"/>
          <w:szCs w:val="20"/>
          <w:lang w:val="en-US" w:eastAsia="zh-CN"/>
        </w:rPr>
      </w:pPr>
      <w:r>
        <w:rPr>
          <w:rFonts w:hint="eastAsia" w:ascii="宋体" w:hAnsi="宋体" w:eastAsia="宋体" w:cs="Times New Roman"/>
          <w:b/>
          <w:bCs/>
          <w:kern w:val="0"/>
          <w:sz w:val="24"/>
          <w:szCs w:val="2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afterLines="25" w:line="300" w:lineRule="auto"/>
        <w:ind w:leftChars="0"/>
        <w:jc w:val="center"/>
        <w:textAlignment w:val="auto"/>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4.</w:t>
      </w:r>
      <w:r>
        <w:rPr>
          <w:rFonts w:hint="eastAsia" w:ascii="宋体" w:hAnsi="宋体" w:eastAsia="宋体" w:cs="Times New Roman"/>
          <w:b/>
          <w:bCs/>
          <w:kern w:val="0"/>
          <w:sz w:val="24"/>
          <w:szCs w:val="20"/>
        </w:rPr>
        <w:t>商务（服务）</w:t>
      </w:r>
      <w:r>
        <w:rPr>
          <w:rFonts w:hint="eastAsia" w:ascii="宋体" w:hAnsi="宋体" w:eastAsia="宋体" w:cs="Times New Roman"/>
          <w:b/>
          <w:bCs/>
          <w:kern w:val="0"/>
          <w:sz w:val="24"/>
          <w:szCs w:val="20"/>
          <w:lang w:val="en-US" w:eastAsia="zh-CN"/>
        </w:rPr>
        <w:t>要求</w:t>
      </w:r>
      <w:r>
        <w:rPr>
          <w:rFonts w:hint="eastAsia" w:ascii="宋体" w:hAnsi="宋体" w:eastAsia="宋体" w:cs="Times New Roman"/>
          <w:b/>
          <w:bCs/>
          <w:kern w:val="0"/>
          <w:sz w:val="24"/>
          <w:szCs w:val="20"/>
        </w:rPr>
        <w:t>偏离表</w:t>
      </w:r>
    </w:p>
    <w:p>
      <w:pPr>
        <w:snapToGrid w:val="0"/>
        <w:rPr>
          <w:rFonts w:ascii="Arial" w:hAnsi="Arial" w:eastAsia="宋体" w:cs="Arial"/>
          <w:sz w:val="24"/>
          <w:szCs w:val="24"/>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b/>
          <w:sz w:val="24"/>
          <w:szCs w:val="24"/>
        </w:rPr>
      </w:pPr>
    </w:p>
    <w:tbl>
      <w:tblPr>
        <w:tblStyle w:val="16"/>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jc w:val="center"/>
              <w:rPr>
                <w:rFonts w:ascii="宋体" w:hAnsi="宋体" w:eastAsia="宋体" w:cs="Arial"/>
                <w:b/>
                <w:szCs w:val="21"/>
              </w:rPr>
            </w:pPr>
            <w:r>
              <w:rPr>
                <w:rFonts w:hint="eastAsia" w:ascii="宋体" w:hAnsi="宋体" w:eastAsia="宋体" w:cs="Arial"/>
                <w:b/>
                <w:szCs w:val="21"/>
              </w:rPr>
              <w:t>序号</w:t>
            </w:r>
          </w:p>
        </w:tc>
        <w:tc>
          <w:tcPr>
            <w:tcW w:w="3901" w:type="dxa"/>
            <w:vAlign w:val="center"/>
          </w:tcPr>
          <w:p>
            <w:pPr>
              <w:jc w:val="center"/>
              <w:rPr>
                <w:rFonts w:ascii="宋体" w:hAnsi="宋体" w:eastAsia="宋体" w:cs="Arial"/>
                <w:b/>
                <w:szCs w:val="21"/>
              </w:rPr>
            </w:pPr>
            <w:r>
              <w:rPr>
                <w:rFonts w:hint="eastAsia" w:ascii="宋体" w:hAnsi="宋体" w:eastAsia="宋体" w:cs="Arial"/>
                <w:b/>
                <w:szCs w:val="21"/>
              </w:rPr>
              <w:t>招标文件要求</w:t>
            </w:r>
          </w:p>
        </w:tc>
        <w:tc>
          <w:tcPr>
            <w:tcW w:w="2176" w:type="dxa"/>
            <w:vAlign w:val="center"/>
          </w:tcPr>
          <w:p>
            <w:pPr>
              <w:jc w:val="center"/>
              <w:rPr>
                <w:rFonts w:ascii="宋体" w:hAnsi="宋体" w:eastAsia="宋体" w:cs="Arial"/>
                <w:b/>
                <w:szCs w:val="21"/>
              </w:rPr>
            </w:pPr>
            <w:r>
              <w:rPr>
                <w:rFonts w:hint="eastAsia" w:ascii="宋体" w:hAnsi="宋体" w:eastAsia="宋体" w:cs="Arial"/>
                <w:b/>
                <w:szCs w:val="21"/>
              </w:rPr>
              <w:t>投标文件响应</w:t>
            </w:r>
          </w:p>
        </w:tc>
        <w:tc>
          <w:tcPr>
            <w:tcW w:w="1732" w:type="dxa"/>
          </w:tcPr>
          <w:p>
            <w:pPr>
              <w:spacing w:beforeLines="50"/>
              <w:jc w:val="center"/>
              <w:rPr>
                <w:rFonts w:ascii="宋体" w:hAnsi="宋体" w:eastAsia="宋体" w:cs="Arial"/>
                <w:b/>
                <w:szCs w:val="21"/>
              </w:rPr>
            </w:pPr>
            <w:r>
              <w:rPr>
                <w:rFonts w:hint="eastAsia" w:ascii="宋体" w:hAnsi="宋体" w:eastAsia="宋体" w:cs="Arial"/>
                <w:b/>
                <w:szCs w:val="21"/>
              </w:rPr>
              <w:t>偏离情况</w:t>
            </w:r>
          </w:p>
        </w:tc>
        <w:tc>
          <w:tcPr>
            <w:tcW w:w="992" w:type="dxa"/>
            <w:vAlign w:val="center"/>
          </w:tcPr>
          <w:p>
            <w:pPr>
              <w:jc w:val="center"/>
              <w:rPr>
                <w:rFonts w:ascii="宋体" w:hAnsi="宋体" w:eastAsia="宋体" w:cs="Arial"/>
                <w:b/>
                <w:szCs w:val="21"/>
              </w:rPr>
            </w:pPr>
            <w:r>
              <w:rPr>
                <w:rFonts w:hint="eastAsia" w:ascii="宋体" w:hAnsi="宋体" w:eastAsia="宋体" w:cs="Arial"/>
                <w:b/>
                <w:szCs w:val="21"/>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spacing w:line="300" w:lineRule="auto"/>
              <w:jc w:val="center"/>
              <w:rPr>
                <w:rFonts w:hint="default" w:ascii="宋体" w:hAnsi="宋体" w:eastAsia="宋体" w:cs="Times New Roman"/>
                <w:szCs w:val="24"/>
                <w:highlight w:val="none"/>
                <w:lang w:val="en-US" w:eastAsia="zh-CN"/>
              </w:rPr>
            </w:pPr>
            <w:r>
              <w:rPr>
                <w:rFonts w:hint="eastAsia" w:ascii="宋体" w:hAnsi="宋体" w:eastAsia="宋体" w:cs="Times New Roman"/>
                <w:szCs w:val="24"/>
                <w:highlight w:val="none"/>
                <w:lang w:val="en-US" w:eastAsia="zh-CN"/>
              </w:rPr>
              <w:t>1</w:t>
            </w:r>
          </w:p>
        </w:tc>
        <w:tc>
          <w:tcPr>
            <w:tcW w:w="3901" w:type="dxa"/>
          </w:tcPr>
          <w:p>
            <w:pPr>
              <w:spacing w:line="300" w:lineRule="auto"/>
              <w:rPr>
                <w:rFonts w:ascii="宋体" w:hAnsi="宋体" w:eastAsia="宋体" w:cs="Times New Roman"/>
                <w:b/>
                <w:color w:val="FF0000"/>
                <w:kern w:val="0"/>
                <w:szCs w:val="21"/>
                <w:highlight w:val="none"/>
              </w:rPr>
            </w:pPr>
            <w:r>
              <w:rPr>
                <w:rFonts w:hint="eastAsia" w:ascii="宋体" w:hAnsi="宋体" w:eastAsia="宋体" w:cs="Times New Roman"/>
                <w:kern w:val="0"/>
                <w:szCs w:val="21"/>
                <w:highlight w:val="none"/>
              </w:rPr>
              <w:t>《第三章 用户需求书：</w:t>
            </w:r>
            <w:r>
              <w:rPr>
                <w:rFonts w:hint="eastAsia" w:ascii="宋体" w:hAnsi="宋体" w:eastAsia="宋体" w:cs="Times New Roman"/>
                <w:b w:val="0"/>
                <w:bCs/>
                <w:kern w:val="0"/>
                <w:szCs w:val="21"/>
                <w:highlight w:val="none"/>
                <w:lang w:val="en-US" w:eastAsia="zh-CN"/>
              </w:rPr>
              <w:t>四</w:t>
            </w:r>
            <w:r>
              <w:rPr>
                <w:rFonts w:hint="eastAsia" w:ascii="宋体" w:hAnsi="宋体" w:eastAsia="宋体" w:cs="Times New Roman"/>
                <w:kern w:val="0"/>
                <w:szCs w:val="21"/>
                <w:highlight w:val="none"/>
              </w:rPr>
              <w:t>、商务和服务条款部分》</w:t>
            </w:r>
            <w:r>
              <w:rPr>
                <w:rFonts w:hint="eastAsia" w:ascii="宋体" w:hAnsi="宋体" w:eastAsia="宋体" w:cs="Times New Roman"/>
                <w:b/>
                <w:kern w:val="0"/>
                <w:szCs w:val="21"/>
                <w:highlight w:val="none"/>
              </w:rPr>
              <w:t>“工作质量要求、服务技术标准”</w:t>
            </w:r>
            <w:r>
              <w:rPr>
                <w:rFonts w:hint="eastAsia" w:ascii="宋体" w:hAnsi="宋体" w:eastAsia="宋体" w:cs="Arial"/>
                <w:b/>
                <w:szCs w:val="24"/>
                <w:highlight w:val="none"/>
              </w:rPr>
              <w:t>中所有非</w:t>
            </w:r>
            <w:r>
              <w:rPr>
                <w:rFonts w:hint="eastAsia" w:ascii="宋体" w:hAnsi="宋体" w:eastAsia="宋体" w:cs="Times New Roman"/>
                <w:b/>
                <w:color w:val="FF0000"/>
                <w:kern w:val="0"/>
                <w:szCs w:val="21"/>
                <w:highlight w:val="none"/>
              </w:rPr>
              <w:t>★</w:t>
            </w:r>
            <w:r>
              <w:rPr>
                <w:rFonts w:hint="eastAsia" w:ascii="宋体" w:hAnsi="宋体" w:eastAsia="宋体" w:cs="Arial"/>
                <w:b/>
                <w:szCs w:val="24"/>
                <w:highlight w:val="none"/>
              </w:rPr>
              <w:t>号</w:t>
            </w:r>
            <w:r>
              <w:rPr>
                <w:rFonts w:hint="eastAsia" w:ascii="宋体" w:hAnsi="宋体" w:eastAsia="宋体" w:cs="Times New Roman"/>
                <w:szCs w:val="21"/>
                <w:highlight w:val="none"/>
              </w:rPr>
              <w:t>条款要求。</w:t>
            </w:r>
          </w:p>
        </w:tc>
        <w:tc>
          <w:tcPr>
            <w:tcW w:w="2176" w:type="dxa"/>
            <w:vAlign w:val="center"/>
          </w:tcPr>
          <w:p>
            <w:pPr>
              <w:rPr>
                <w:rFonts w:ascii="宋体" w:hAnsi="宋体" w:eastAsia="宋体" w:cs="Arial"/>
                <w:b/>
                <w:color w:val="0000FF"/>
                <w:sz w:val="18"/>
                <w:szCs w:val="18"/>
                <w:highlight w:val="yellow"/>
              </w:rPr>
            </w:pPr>
          </w:p>
        </w:tc>
        <w:tc>
          <w:tcPr>
            <w:tcW w:w="1732" w:type="dxa"/>
          </w:tcPr>
          <w:p>
            <w:pPr>
              <w:spacing w:beforeLines="50"/>
              <w:jc w:val="center"/>
              <w:rPr>
                <w:rFonts w:ascii="宋体" w:hAnsi="宋体" w:eastAsia="宋体" w:cs="Arial"/>
                <w:szCs w:val="21"/>
              </w:rPr>
            </w:pPr>
          </w:p>
        </w:tc>
        <w:tc>
          <w:tcPr>
            <w:tcW w:w="992" w:type="dxa"/>
            <w:vAlign w:val="center"/>
          </w:tcPr>
          <w:p>
            <w:pPr>
              <w:jc w:val="center"/>
              <w:rPr>
                <w:rFonts w:ascii="宋体" w:hAnsi="宋体" w:eastAsia="宋体" w:cs="Arial"/>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spacing w:line="300" w:lineRule="auto"/>
              <w:jc w:val="center"/>
              <w:rPr>
                <w:rFonts w:hint="eastAsia" w:ascii="宋体" w:hAnsi="宋体" w:eastAsia="宋体" w:cs="Times New Roman"/>
                <w:b/>
                <w:color w:val="FF0000"/>
                <w:kern w:val="0"/>
                <w:szCs w:val="21"/>
                <w:highlight w:val="none"/>
                <w:lang w:val="en-US" w:eastAsia="zh-CN"/>
              </w:rPr>
            </w:pPr>
            <w:r>
              <w:rPr>
                <w:rFonts w:hint="eastAsia" w:ascii="宋体" w:hAnsi="宋体" w:eastAsia="宋体" w:cs="Times New Roman"/>
                <w:b/>
                <w:color w:val="FF0000"/>
                <w:kern w:val="0"/>
                <w:szCs w:val="21"/>
                <w:highlight w:val="none"/>
                <w:lang w:val="en-US" w:eastAsia="zh-CN"/>
              </w:rPr>
              <w:t>2</w:t>
            </w:r>
          </w:p>
        </w:tc>
        <w:tc>
          <w:tcPr>
            <w:tcW w:w="3901" w:type="dxa"/>
          </w:tcPr>
          <w:p>
            <w:pPr>
              <w:spacing w:line="300" w:lineRule="auto"/>
              <w:rPr>
                <w:rFonts w:ascii="宋体" w:hAnsi="宋体" w:eastAsia="宋体" w:cs="Times New Roman"/>
                <w:b/>
                <w:color w:val="FF0000"/>
                <w:kern w:val="0"/>
                <w:szCs w:val="21"/>
                <w:highlight w:val="none"/>
              </w:rPr>
            </w:pPr>
            <w:r>
              <w:rPr>
                <w:rFonts w:hint="eastAsia" w:ascii="宋体" w:hAnsi="宋体" w:eastAsia="宋体" w:cs="Times New Roman"/>
                <w:kern w:val="0"/>
                <w:szCs w:val="21"/>
                <w:highlight w:val="none"/>
              </w:rPr>
              <w:t>《第三章 用户需求书：</w:t>
            </w:r>
            <w:r>
              <w:rPr>
                <w:rFonts w:hint="eastAsia" w:ascii="宋体" w:hAnsi="宋体" w:eastAsia="宋体" w:cs="Times New Roman"/>
                <w:b w:val="0"/>
                <w:bCs/>
                <w:kern w:val="0"/>
                <w:szCs w:val="21"/>
                <w:highlight w:val="none"/>
                <w:lang w:val="en-US" w:eastAsia="zh-CN"/>
              </w:rPr>
              <w:t>四</w:t>
            </w:r>
            <w:r>
              <w:rPr>
                <w:rFonts w:hint="eastAsia" w:ascii="宋体" w:hAnsi="宋体" w:eastAsia="宋体" w:cs="Times New Roman"/>
                <w:kern w:val="0"/>
                <w:szCs w:val="21"/>
                <w:highlight w:val="none"/>
              </w:rPr>
              <w:t>、商务和服务条款部分》</w:t>
            </w:r>
            <w:r>
              <w:rPr>
                <w:rFonts w:hint="eastAsia" w:ascii="宋体" w:hAnsi="宋体" w:eastAsia="宋体" w:cs="Times New Roman"/>
                <w:b/>
                <w:kern w:val="0"/>
                <w:szCs w:val="21"/>
                <w:highlight w:val="none"/>
              </w:rPr>
              <w:t>“人员要求、考核办法、其他需说明的事项”</w:t>
            </w:r>
            <w:r>
              <w:rPr>
                <w:rFonts w:hint="eastAsia" w:ascii="宋体" w:hAnsi="宋体" w:eastAsia="宋体" w:cs="Arial"/>
                <w:b/>
                <w:szCs w:val="24"/>
                <w:highlight w:val="none"/>
              </w:rPr>
              <w:t>中所有非</w:t>
            </w:r>
            <w:r>
              <w:rPr>
                <w:rFonts w:hint="eastAsia" w:ascii="宋体" w:hAnsi="宋体" w:eastAsia="宋体" w:cs="Times New Roman"/>
                <w:b/>
                <w:color w:val="FF0000"/>
                <w:kern w:val="0"/>
                <w:szCs w:val="21"/>
                <w:highlight w:val="none"/>
              </w:rPr>
              <w:t>★</w:t>
            </w:r>
            <w:r>
              <w:rPr>
                <w:rFonts w:hint="eastAsia" w:ascii="宋体" w:hAnsi="宋体" w:eastAsia="宋体" w:cs="Arial"/>
                <w:b/>
                <w:szCs w:val="24"/>
                <w:highlight w:val="none"/>
              </w:rPr>
              <w:t>号</w:t>
            </w:r>
            <w:r>
              <w:rPr>
                <w:rFonts w:hint="eastAsia" w:ascii="宋体" w:hAnsi="宋体" w:eastAsia="宋体" w:cs="Times New Roman"/>
                <w:szCs w:val="21"/>
                <w:highlight w:val="none"/>
              </w:rPr>
              <w:t>条款要求。</w:t>
            </w:r>
          </w:p>
        </w:tc>
        <w:tc>
          <w:tcPr>
            <w:tcW w:w="2176" w:type="dxa"/>
            <w:vAlign w:val="center"/>
          </w:tcPr>
          <w:p>
            <w:pPr>
              <w:rPr>
                <w:rFonts w:ascii="宋体" w:hAnsi="宋体" w:eastAsia="宋体" w:cs="Arial"/>
                <w:b/>
                <w:color w:val="0000FF"/>
                <w:sz w:val="18"/>
                <w:szCs w:val="18"/>
                <w:highlight w:val="yellow"/>
              </w:rPr>
            </w:pPr>
          </w:p>
        </w:tc>
        <w:tc>
          <w:tcPr>
            <w:tcW w:w="1732" w:type="dxa"/>
          </w:tcPr>
          <w:p>
            <w:pPr>
              <w:spacing w:beforeLines="50"/>
              <w:jc w:val="center"/>
              <w:rPr>
                <w:rFonts w:ascii="宋体" w:hAnsi="宋体" w:eastAsia="宋体" w:cs="Arial"/>
                <w:b/>
                <w:color w:val="0000FF"/>
                <w:sz w:val="18"/>
                <w:szCs w:val="18"/>
                <w:highlight w:val="green"/>
              </w:rPr>
            </w:pPr>
          </w:p>
        </w:tc>
        <w:tc>
          <w:tcPr>
            <w:tcW w:w="992" w:type="dxa"/>
            <w:vAlign w:val="center"/>
          </w:tcPr>
          <w:p>
            <w:pPr>
              <w:jc w:val="center"/>
              <w:rPr>
                <w:rFonts w:ascii="宋体" w:hAnsi="宋体" w:eastAsia="宋体" w:cs="Arial"/>
                <w:b/>
                <w:color w:val="0000FF"/>
                <w:sz w:val="18"/>
                <w:szCs w:val="18"/>
                <w:highlight w:val="green"/>
              </w:rPr>
            </w:pPr>
          </w:p>
        </w:tc>
      </w:tr>
    </w:tbl>
    <w:p>
      <w:pPr>
        <w:snapToGrid w:val="0"/>
        <w:rPr>
          <w:rFonts w:cs="Times New Roman" w:asciiTheme="minorEastAsia" w:hAnsiTheme="minorEastAsia"/>
          <w:sz w:val="24"/>
          <w:szCs w:val="24"/>
        </w:rPr>
      </w:pPr>
    </w:p>
    <w:p>
      <w:pPr>
        <w:snapToGrid w:val="0"/>
        <w:rPr>
          <w:rFonts w:cs="Times New Roman" w:asciiTheme="minorEastAsia" w:hAnsiTheme="minorEastAsia"/>
          <w:b/>
          <w:sz w:val="24"/>
          <w:szCs w:val="24"/>
        </w:rPr>
      </w:pPr>
      <w:r>
        <w:rPr>
          <w:rFonts w:hint="eastAsia" w:ascii="宋体" w:hAnsi="宋体" w:eastAsia="宋体" w:cs="Times New Roman"/>
          <w:b/>
          <w:sz w:val="24"/>
          <w:szCs w:val="24"/>
        </w:rPr>
        <w:t>填写说明：</w:t>
      </w:r>
    </w:p>
    <w:p>
      <w:pPr>
        <w:numPr>
          <w:ilvl w:val="0"/>
          <w:numId w:val="0"/>
        </w:numPr>
        <w:snapToGrid w:val="0"/>
        <w:spacing w:afterLines="25" w:line="300" w:lineRule="auto"/>
        <w:ind w:leftChars="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lang w:val="en-US" w:eastAsia="zh-CN"/>
        </w:rPr>
        <w:t>1、</w:t>
      </w:r>
      <w:r>
        <w:rPr>
          <w:rFonts w:hint="eastAsia" w:cs="Times New Roman" w:asciiTheme="majorEastAsia" w:hAnsiTheme="majorEastAsia" w:eastAsiaTheme="majorEastAsia"/>
          <w:sz w:val="24"/>
          <w:szCs w:val="24"/>
        </w:rPr>
        <w:t>如投标人完全响应满足本表【招标文件要求】栏中内容的，建议投标人在对应的【投标文件响应】栏中填写“我公司完全响应满足招标文件中此项要求”即可，除招标文件另有注明外，不强制要求逐条列出响应；</w:t>
      </w:r>
    </w:p>
    <w:p>
      <w:pPr>
        <w:numPr>
          <w:ilvl w:val="0"/>
          <w:numId w:val="0"/>
        </w:numPr>
        <w:snapToGrid w:val="0"/>
        <w:spacing w:afterLines="25" w:line="300" w:lineRule="auto"/>
        <w:ind w:leftChars="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lang w:val="en-US" w:eastAsia="zh-CN"/>
        </w:rPr>
        <w:t>2、</w:t>
      </w:r>
      <w:r>
        <w:rPr>
          <w:rFonts w:hint="eastAsia" w:cs="Times New Roman" w:asciiTheme="majorEastAsia" w:hAnsiTheme="majorEastAsia" w:eastAsiaTheme="majorEastAsia"/>
          <w:sz w:val="24"/>
          <w:szCs w:val="24"/>
        </w:rPr>
        <w:t>【偏离情况】一栏应填写“正偏离”、“负偏离”或“无偏离”；“正偏离”表示“投标响应优于商务（服务）条款具体内容要求”，“负偏离”表示“投标响应不满足商务（服务）条款具体内容要求”，“无偏离”表示“投标响应与商务（服务）条款具体内容要求一致”。</w:t>
      </w:r>
    </w:p>
    <w:p>
      <w:pPr>
        <w:numPr>
          <w:ilvl w:val="0"/>
          <w:numId w:val="0"/>
        </w:numPr>
        <w:snapToGrid w:val="0"/>
        <w:spacing w:afterLines="25" w:line="300" w:lineRule="auto"/>
        <w:ind w:leftChars="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lang w:val="en-US" w:eastAsia="zh-CN"/>
        </w:rPr>
        <w:t>3、</w:t>
      </w:r>
      <w:r>
        <w:rPr>
          <w:rFonts w:hint="eastAsia" w:cs="Times New Roman" w:asciiTheme="majorEastAsia" w:hAnsiTheme="majorEastAsia" w:eastAsiaTheme="majorEastAsia"/>
          <w:sz w:val="24"/>
          <w:szCs w:val="24"/>
        </w:rPr>
        <w:t>如投标人响应情况优于或低于招标要求的，应在【投标文件响应】或【说明】栏中作详细说明，如完全满足或符合招标文件要求的则无需说明，参照第1条填写内容即可。</w:t>
      </w:r>
      <w:r>
        <w:rPr>
          <w:rFonts w:cs="Times New Roman" w:asciiTheme="majorEastAsia" w:hAnsiTheme="majorEastAsia" w:eastAsiaTheme="majorEastAsia"/>
          <w:sz w:val="24"/>
          <w:szCs w:val="24"/>
        </w:rPr>
        <w:t>评标委员会将根据具体投标响应情况给予是否偏离的认定，并以此认定</w:t>
      </w:r>
      <w:r>
        <w:rPr>
          <w:rFonts w:hint="eastAsia" w:cs="Times New Roman" w:asciiTheme="majorEastAsia" w:hAnsiTheme="majorEastAsia" w:eastAsiaTheme="majorEastAsia"/>
          <w:sz w:val="24"/>
          <w:szCs w:val="24"/>
        </w:rPr>
        <w:t>标准</w:t>
      </w:r>
      <w:r>
        <w:rPr>
          <w:rFonts w:cs="Times New Roman" w:asciiTheme="majorEastAsia" w:hAnsiTheme="majorEastAsia" w:eastAsiaTheme="majorEastAsia"/>
          <w:sz w:val="24"/>
          <w:szCs w:val="24"/>
        </w:rPr>
        <w:t>为最终评判标准</w:t>
      </w:r>
      <w:r>
        <w:rPr>
          <w:rFonts w:hint="eastAsia" w:cs="Times New Roman" w:asciiTheme="majorEastAsia" w:hAnsiTheme="majorEastAsia" w:eastAsiaTheme="majorEastAsia"/>
          <w:sz w:val="24"/>
          <w:szCs w:val="24"/>
        </w:rPr>
        <w:t>；</w:t>
      </w:r>
    </w:p>
    <w:p>
      <w:pPr>
        <w:widowControl/>
        <w:jc w:val="left"/>
        <w:rPr>
          <w:rFonts w:ascii="宋体" w:hAnsi="宋体" w:eastAsia="宋体" w:cs="Times New Roman"/>
          <w:color w:val="FF0000"/>
          <w:sz w:val="32"/>
          <w:szCs w:val="32"/>
        </w:rPr>
      </w:pPr>
      <w:r>
        <w:rPr>
          <w:rFonts w:ascii="宋体" w:hAnsi="宋体" w:eastAsia="宋体" w:cs="Times New Roman"/>
          <w:color w:val="FF0000"/>
          <w:sz w:val="32"/>
          <w:szCs w:val="32"/>
        </w:rPr>
        <w:br w:type="page"/>
      </w: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hAnsi="宋体" w:eastAsia="黑体"/>
          <w:kern w:val="0"/>
          <w:sz w:val="24"/>
          <w:szCs w:val="20"/>
        </w:rPr>
      </w:pPr>
      <w:r>
        <w:rPr>
          <w:rFonts w:hint="eastAsia" w:ascii="宋体" w:hAnsi="宋体" w:eastAsia="宋体" w:cs="Times New Roman"/>
          <w:b/>
          <w:bCs/>
          <w:kern w:val="0"/>
          <w:sz w:val="24"/>
          <w:szCs w:val="20"/>
          <w:lang w:val="en-US" w:eastAsia="zh-CN"/>
        </w:rPr>
        <w:t>5.</w:t>
      </w:r>
      <w:r>
        <w:rPr>
          <w:rFonts w:hint="eastAsia" w:ascii="宋体" w:hAnsi="宋体" w:eastAsia="宋体" w:cs="Times New Roman"/>
          <w:b/>
          <w:bCs/>
          <w:kern w:val="0"/>
          <w:sz w:val="24"/>
          <w:szCs w:val="20"/>
        </w:rPr>
        <w:t>政府采购违法行为风险知悉确认书</w:t>
      </w:r>
    </w:p>
    <w:p>
      <w:pPr>
        <w:widowControl/>
        <w:jc w:val="center"/>
        <w:rPr>
          <w:rFonts w:ascii="黑体" w:hAnsi="宋体" w:eastAsia="黑体"/>
          <w:kern w:val="0"/>
          <w:sz w:val="24"/>
          <w:szCs w:val="20"/>
        </w:rPr>
      </w:pPr>
    </w:p>
    <w:p>
      <w:pPr>
        <w:ind w:firstLine="420" w:firstLineChars="200"/>
      </w:pPr>
      <w:r>
        <w:rPr>
          <w:rFonts w:hint="eastAsia"/>
        </w:rPr>
        <w:t>本公司在投标前已充分知悉以下情形为参与政府采购活动时的重大风险事项，并承诺已对下述风险提示事项重点排查，做到严谨、诚信、依法依规参与政府采购活动。</w:t>
      </w:r>
    </w:p>
    <w:p>
      <w:pPr>
        <w:ind w:firstLine="422" w:firstLineChars="200"/>
        <w:rPr>
          <w:b/>
        </w:rPr>
      </w:pPr>
      <w:r>
        <w:rPr>
          <w:rFonts w:hint="eastAsia"/>
          <w:b/>
        </w:rPr>
        <w:t>一、本公司已充分知悉“隐瞒真实情况，提供虚假资料”的法定情形，相关情形包括但不限于：</w:t>
      </w:r>
    </w:p>
    <w:p>
      <w:pPr>
        <w:ind w:firstLine="420" w:firstLineChars="200"/>
      </w:pPr>
      <w:r>
        <w:rPr>
          <w:rFonts w:hint="eastAsia"/>
        </w:rPr>
        <w:t>（一）通过转让或者租借等方式从其他单位获取资格或者资质证书投标的。</w:t>
      </w:r>
    </w:p>
    <w:p>
      <w:pPr>
        <w:ind w:firstLine="420" w:firstLineChars="200"/>
      </w:pPr>
      <w:r>
        <w:rPr>
          <w:rFonts w:hint="eastAsia"/>
        </w:rPr>
        <w:t>（二）由其他单位或者其他单位负责人在投标供应商编制的投标文件上加盖印章或者签字的。</w:t>
      </w:r>
    </w:p>
    <w:p>
      <w:pPr>
        <w:ind w:firstLine="420" w:firstLineChars="200"/>
      </w:pPr>
      <w:r>
        <w:rPr>
          <w:rFonts w:hint="eastAsia"/>
        </w:rPr>
        <w:t>（三）项目负责人或者主要技术人员不是本单位人员的。</w:t>
      </w:r>
    </w:p>
    <w:p>
      <w:pPr>
        <w:ind w:firstLine="420" w:firstLineChars="200"/>
      </w:pPr>
      <w:r>
        <w:rPr>
          <w:rFonts w:hint="eastAsia"/>
        </w:rPr>
        <w:t>（四）投标保证金不是从投标供应商基本账户转出的。</w:t>
      </w:r>
    </w:p>
    <w:p>
      <w:pPr>
        <w:ind w:firstLine="420" w:firstLineChars="200"/>
      </w:pPr>
      <w:r>
        <w:rPr>
          <w:rFonts w:hint="eastAsia"/>
        </w:rPr>
        <w:t>（五）其他隐瞒真实情况、提供虚假资料的行为。</w:t>
      </w:r>
    </w:p>
    <w:p>
      <w:pPr>
        <w:ind w:firstLine="422" w:firstLineChars="200"/>
        <w:rPr>
          <w:b/>
        </w:rPr>
      </w:pPr>
      <w:r>
        <w:rPr>
          <w:rFonts w:hint="eastAsia"/>
          <w:b/>
        </w:rPr>
        <w:t>二、本公司已充分知悉“与其他采购参加人串通投标”的法定情形，相关情形包括但不限于：</w:t>
      </w:r>
    </w:p>
    <w:p>
      <w:pPr>
        <w:ind w:firstLine="420" w:firstLineChars="200"/>
      </w:pPr>
      <w:r>
        <w:rPr>
          <w:rFonts w:hint="eastAsia"/>
        </w:rPr>
        <w:t>（一）投标供应商之间相互约定给予未中标的供应商利益补偿。</w:t>
      </w:r>
    </w:p>
    <w:p>
      <w:pPr>
        <w:ind w:firstLine="420" w:firstLineChars="200"/>
      </w:pPr>
      <w:r>
        <w:rPr>
          <w:rFonts w:hint="eastAsia"/>
        </w:rPr>
        <w:t>（二）不同投标供应商的法定代表人、主要经营负责人、项目投标授权代表人、项目负责人、主要技术人员为同一人、属同一单位或者在同一单位缴纳社会保险。</w:t>
      </w:r>
    </w:p>
    <w:p>
      <w:pPr>
        <w:ind w:firstLine="420" w:firstLineChars="200"/>
      </w:pPr>
      <w:r>
        <w:rPr>
          <w:rFonts w:hint="eastAsia"/>
        </w:rPr>
        <w:t>（三）不同投标供应商的投标文件由同一单位或者同一人编制，或者由同一人分阶段参与编制的。</w:t>
      </w:r>
    </w:p>
    <w:p>
      <w:pPr>
        <w:ind w:firstLine="420" w:firstLineChars="200"/>
      </w:pPr>
      <w:r>
        <w:rPr>
          <w:rFonts w:hint="eastAsia"/>
        </w:rPr>
        <w:t>（四）不同投标供应商的投标文件或部分投标文件相互混装。</w:t>
      </w:r>
    </w:p>
    <w:p>
      <w:pPr>
        <w:ind w:firstLine="420" w:firstLineChars="200"/>
      </w:pPr>
      <w:r>
        <w:rPr>
          <w:rFonts w:hint="eastAsia"/>
        </w:rPr>
        <w:t>（五）不同投标供应商的投标文件内容存在非正常一致。</w:t>
      </w:r>
    </w:p>
    <w:p>
      <w:pPr>
        <w:ind w:firstLine="420" w:firstLineChars="200"/>
      </w:pPr>
      <w:r>
        <w:rPr>
          <w:rFonts w:hint="eastAsia"/>
        </w:rPr>
        <w:t>（六）由同一单位工作人员为两家以上（含两家）供应商进行同一项投标活动的。</w:t>
      </w:r>
    </w:p>
    <w:p>
      <w:pPr>
        <w:ind w:firstLine="420" w:firstLineChars="200"/>
      </w:pPr>
      <w:r>
        <w:rPr>
          <w:rFonts w:hint="eastAsia"/>
        </w:rPr>
        <w:t>（七）不同投标人的投标报价呈规律性差异。</w:t>
      </w:r>
    </w:p>
    <w:p>
      <w:pPr>
        <w:ind w:firstLine="420" w:firstLineChars="200"/>
      </w:pPr>
      <w:r>
        <w:rPr>
          <w:rFonts w:hint="eastAsia"/>
        </w:rPr>
        <w:t>（八）不同投标人的投标保证金从同一单位或者个人的账户转出。</w:t>
      </w:r>
    </w:p>
    <w:p>
      <w:pPr>
        <w:ind w:firstLine="420" w:firstLineChars="200"/>
      </w:pPr>
      <w:r>
        <w:rPr>
          <w:rFonts w:hint="eastAsia"/>
        </w:rPr>
        <w:t>（九）主管部门依照法律、法规认定的其他情形。</w:t>
      </w:r>
    </w:p>
    <w:p>
      <w:pPr>
        <w:ind w:firstLine="422" w:firstLineChars="200"/>
        <w:rPr>
          <w:b/>
        </w:rPr>
      </w:pPr>
      <w:r>
        <w:rPr>
          <w:rFonts w:hint="eastAsia"/>
          <w:b/>
        </w:rPr>
        <w:t>三、本公司已充分知悉下列情形所对应的法律风险，并在投标前已对相关风险事项进行排查。</w:t>
      </w:r>
    </w:p>
    <w:p>
      <w:pPr>
        <w:ind w:firstLine="420" w:firstLineChars="200"/>
        <w:rPr>
          <w:b/>
        </w:rPr>
      </w:pPr>
      <w:r>
        <w:rPr>
          <w:rFonts w:hint="eastAsia"/>
        </w:rPr>
        <w:t>（一）对于从其他主体获取的投标资料，供应商应审慎核查，确保投标资料的真实性。</w:t>
      </w:r>
      <w:r>
        <w:rPr>
          <w:rFonts w:hint="eastAsia"/>
          <w:b/>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pPr>
      <w:r>
        <w:rPr>
          <w:rFonts w:hint="eastAsia"/>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pPr>
      <w:r>
        <w:rPr>
          <w:rFonts w:hint="eastAsia"/>
        </w:rPr>
        <w:t>（三）对于涉及安全生产、特种作业、抢险救灾、防疫等政府采购项目，供应商实施提供虚假资料、串通投标等违法行为的，主管部门将依法从严处理。</w:t>
      </w:r>
    </w:p>
    <w:p>
      <w:pPr>
        <w:ind w:firstLine="420" w:firstLineChars="200"/>
      </w:pPr>
      <w:r>
        <w:rPr>
          <w:rFonts w:hint="eastAsia"/>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pPr>
      <w:r>
        <w:rPr>
          <w:rFonts w:hint="eastAsia"/>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pPr>
      <w:r>
        <w:rPr>
          <w:rFonts w:hint="eastAsia"/>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2" w:firstLineChars="200"/>
        <w:rPr>
          <w:b/>
        </w:rPr>
      </w:pPr>
      <w:r>
        <w:rPr>
          <w:rFonts w:hint="eastAsia"/>
          <w:b/>
        </w:rPr>
        <w:t>四、本公司已充分知悉政府采购违法、违规行为的法律后果。</w:t>
      </w:r>
    </w:p>
    <w:p>
      <w:pPr>
        <w:ind w:firstLine="420" w:firstLineChars="200"/>
      </w:pPr>
      <w:r>
        <w:rPr>
          <w:rFonts w:hint="eastAsia"/>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pPr>
      <w:r>
        <w:rPr>
          <w:rFonts w:hint="eastAsia"/>
          <w:highlight w:val="yellow"/>
        </w:rPr>
        <w:t>以下文字请投标供应商抄写并确认：“本公司已仔细阅读《政府采购违法行为风险知悉确认书》，充分知悉违法行为的法律后果，并承诺将严谨、诚信、依法依规参与政府采购活动”。</w:t>
      </w:r>
    </w:p>
    <w:tbl>
      <w:tblPr>
        <w:tblStyle w:val="33"/>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autoSpaceDE w:val="0"/>
              <w:autoSpaceDN w:val="0"/>
              <w:spacing w:line="400" w:lineRule="exact"/>
              <w:ind w:firstLine="1866"/>
              <w:rPr>
                <w:rFonts w:ascii="宋体" w:hAnsi="宋体" w:eastAsiaTheme="minorEastAsia"/>
                <w:spacing w:val="-4"/>
                <w:kern w:val="0"/>
                <w:szCs w:val="21"/>
              </w:rPr>
            </w:pPr>
          </w:p>
        </w:tc>
      </w:tr>
    </w:tbl>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负责人/投标授权代表签名：</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知悉人（公章）：</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 xml:space="preserve">     日期：</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1414" w:firstLine="404" w:firstLineChars="200"/>
        <w:jc w:val="right"/>
        <w:rPr>
          <w:rFonts w:ascii="宋体" w:hAnsi="宋体" w:eastAsiaTheme="minorEastAsia"/>
          <w:spacing w:val="-4"/>
          <w:kern w:val="0"/>
          <w:szCs w:val="21"/>
        </w:rPr>
      </w:pPr>
      <w:r>
        <w:rPr>
          <w:rFonts w:hint="eastAsia" w:ascii="宋体" w:hAnsi="宋体" w:eastAsiaTheme="minorEastAsia"/>
          <w:spacing w:val="-4"/>
          <w:kern w:val="0"/>
          <w:szCs w:val="21"/>
        </w:rPr>
        <w:t xml:space="preserve">     </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注：</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1.</w:t>
      </w:r>
      <w:r>
        <w:rPr>
          <w:rFonts w:hint="eastAsia"/>
        </w:rPr>
        <w:t xml:space="preserve"> </w:t>
      </w:r>
      <w:r>
        <w:rPr>
          <w:rFonts w:hint="eastAsia" w:ascii="宋体" w:hAnsi="宋体" w:eastAsiaTheme="minorEastAsia"/>
          <w:b/>
          <w:bCs/>
          <w:color w:val="FF0000"/>
          <w:spacing w:val="-4"/>
          <w:kern w:val="0"/>
          <w:szCs w:val="21"/>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06" w:firstLineChars="200"/>
        <w:jc w:val="left"/>
        <w:rPr>
          <w:rFonts w:hint="eastAsia"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2.投标供应商负责人或投标授权代表签字</w:t>
      </w:r>
      <w:r>
        <w:rPr>
          <w:rFonts w:hint="eastAsia" w:ascii="宋体" w:hAnsi="宋体" w:eastAsiaTheme="minorEastAsia"/>
          <w:b/>
          <w:bCs/>
          <w:color w:val="FF0000"/>
          <w:spacing w:val="-4"/>
          <w:kern w:val="0"/>
          <w:szCs w:val="21"/>
          <w:highlight w:val="yellow"/>
        </w:rPr>
        <w:t>并加盖单位公章</w:t>
      </w:r>
      <w:r>
        <w:rPr>
          <w:rFonts w:hint="eastAsia" w:ascii="宋体" w:hAnsi="宋体" w:eastAsiaTheme="minorEastAsia"/>
          <w:b/>
          <w:bCs/>
          <w:color w:val="FF0000"/>
          <w:spacing w:val="-4"/>
          <w:kern w:val="0"/>
          <w:szCs w:val="21"/>
        </w:rPr>
        <w:t>后，扫描上传至投标文件一并提交。</w:t>
      </w:r>
    </w:p>
    <w:p>
      <w:pPr>
        <w:pStyle w:val="2"/>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pStyle w:val="3"/>
        <w:rPr>
          <w:rFonts w:hint="eastAsia" w:ascii="宋体" w:hAnsi="宋体" w:eastAsiaTheme="minorEastAsia"/>
          <w:b/>
          <w:bCs/>
          <w:color w:val="FF0000"/>
          <w:spacing w:val="-4"/>
          <w:kern w:val="0"/>
          <w:szCs w:val="21"/>
        </w:rPr>
      </w:pPr>
    </w:p>
    <w:p>
      <w:pPr>
        <w:keepNext/>
        <w:keepLines/>
        <w:adjustRightInd w:val="0"/>
        <w:snapToGrid w:val="0"/>
        <w:spacing w:line="360" w:lineRule="auto"/>
        <w:jc w:val="center"/>
        <w:textAlignment w:val="baseline"/>
        <w:outlineLvl w:val="3"/>
        <w:rPr>
          <w:rFonts w:ascii="宋体" w:hAnsi="宋体" w:eastAsia="宋体" w:cs="Times New Roman"/>
          <w:kern w:val="0"/>
          <w:sz w:val="24"/>
          <w:szCs w:val="20"/>
        </w:rPr>
      </w:pPr>
      <w:r>
        <w:rPr>
          <w:rFonts w:hint="eastAsia" w:ascii="宋体" w:hAnsi="宋体" w:eastAsia="宋体" w:cs="Times New Roman"/>
          <w:b/>
          <w:bCs/>
          <w:kern w:val="0"/>
          <w:sz w:val="24"/>
          <w:szCs w:val="20"/>
          <w:lang w:val="en-US" w:eastAsia="zh-CN"/>
        </w:rPr>
        <w:t>6</w:t>
      </w:r>
      <w:r>
        <w:rPr>
          <w:rFonts w:hint="eastAsia" w:ascii="宋体" w:hAnsi="宋体" w:eastAsia="宋体" w:cs="Times New Roman"/>
          <w:b/>
          <w:bCs/>
          <w:kern w:val="0"/>
          <w:sz w:val="24"/>
          <w:szCs w:val="20"/>
        </w:rPr>
        <w:t>.人员情况表</w:t>
      </w:r>
    </w:p>
    <w:tbl>
      <w:tblPr>
        <w:tblStyle w:val="16"/>
        <w:tblW w:w="9088" w:type="dxa"/>
        <w:tblInd w:w="9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67"/>
        <w:gridCol w:w="1276"/>
        <w:gridCol w:w="1559"/>
        <w:gridCol w:w="2126"/>
        <w:gridCol w:w="326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67"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序号</w:t>
            </w:r>
          </w:p>
        </w:tc>
        <w:tc>
          <w:tcPr>
            <w:tcW w:w="127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职务</w:t>
            </w:r>
          </w:p>
        </w:tc>
        <w:tc>
          <w:tcPr>
            <w:tcW w:w="1559"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姓名</w:t>
            </w:r>
          </w:p>
        </w:tc>
        <w:tc>
          <w:tcPr>
            <w:tcW w:w="212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相关证书</w:t>
            </w:r>
          </w:p>
        </w:tc>
        <w:tc>
          <w:tcPr>
            <w:tcW w:w="3260"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相关经验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bl>
    <w:p>
      <w:pPr>
        <w:spacing w:afterLines="25" w:line="300" w:lineRule="auto"/>
        <w:rPr>
          <w:rFonts w:ascii="Arial" w:hAnsi="Arial" w:eastAsia="宋体" w:cs="Times New Roman"/>
          <w:sz w:val="24"/>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jc w:val="center"/>
        <w:rPr>
          <w:rFonts w:ascii="Arial" w:hAnsi="Arial" w:eastAsia="宋体" w:cs="Times New Roman"/>
          <w:sz w:val="24"/>
          <w:szCs w:val="24"/>
        </w:rPr>
      </w:pPr>
      <w:r>
        <w:rPr>
          <w:rFonts w:hint="eastAsia" w:ascii="Arial" w:hAnsi="Arial" w:eastAsia="宋体" w:cs="Times New Roman"/>
          <w:b/>
          <w:sz w:val="24"/>
          <w:szCs w:val="24"/>
        </w:rPr>
        <w:t>（本章未提供的招标要求的其他文件格式由供应商自拟）</w:t>
      </w:r>
    </w:p>
    <w:p>
      <w:pPr>
        <w:widowControl/>
        <w:jc w:val="left"/>
        <w:rPr>
          <w:rFonts w:ascii="宋体" w:hAnsi="宋体" w:eastAsia="宋体" w:cs="Times New Roman"/>
          <w:color w:val="FF0000"/>
          <w:sz w:val="32"/>
          <w:szCs w:val="32"/>
        </w:rPr>
      </w:pP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第五章  合同条款及格式</w:t>
      </w:r>
    </w:p>
    <w:p>
      <w:pPr>
        <w:widowControl/>
        <w:jc w:val="center"/>
        <w:rPr>
          <w:rFonts w:ascii="宋体" w:hAnsi="宋体" w:eastAsia="黑体" w:cs="Times New Roman"/>
          <w:bCs/>
          <w:kern w:val="44"/>
          <w:sz w:val="28"/>
          <w:szCs w:val="44"/>
        </w:rPr>
      </w:pPr>
      <w:bookmarkStart w:id="33" w:name="_Hlk72574405"/>
      <w:r>
        <w:rPr>
          <w:rFonts w:hint="eastAsia"/>
          <w:b/>
          <w:sz w:val="24"/>
        </w:rPr>
        <w:t>（仅供参考，具体以项目需求及采购结果为准）</w:t>
      </w:r>
      <w:bookmarkEnd w:id="33"/>
    </w:p>
    <w:p>
      <w:pPr>
        <w:snapToGrid w:val="0"/>
        <w:spacing w:line="300" w:lineRule="auto"/>
        <w:jc w:val="center"/>
        <w:rPr>
          <w:rFonts w:ascii="仿宋" w:hAnsi="仿宋" w:eastAsia="仿宋" w:cs="Times New Roman"/>
          <w:sz w:val="28"/>
          <w:szCs w:val="28"/>
        </w:rPr>
      </w:pPr>
    </w:p>
    <w:p>
      <w:pPr>
        <w:rPr>
          <w:rFonts w:ascii="宋体" w:hAnsi="宋体" w:eastAsia="宋体" w:cs="Times New Roman"/>
          <w:b/>
          <w:bCs/>
          <w:sz w:val="24"/>
          <w:szCs w:val="24"/>
        </w:rPr>
      </w:pPr>
      <w:r>
        <w:rPr>
          <w:rFonts w:hint="eastAsia" w:ascii="宋体" w:hAnsi="宋体" w:eastAsia="宋体" w:cs="Times New Roman"/>
          <w:b/>
          <w:bCs/>
          <w:sz w:val="24"/>
          <w:szCs w:val="24"/>
        </w:rPr>
        <w:t>甲方：</w:t>
      </w:r>
    </w:p>
    <w:p>
      <w:pPr>
        <w:rPr>
          <w:rFonts w:ascii="宋体" w:hAnsi="宋体" w:eastAsia="宋体" w:cs="Times New Roman"/>
          <w:sz w:val="24"/>
          <w:szCs w:val="24"/>
        </w:rPr>
      </w:pPr>
      <w:r>
        <w:rPr>
          <w:rFonts w:hint="eastAsia" w:ascii="宋体" w:hAnsi="宋体" w:eastAsia="宋体" w:cs="Times New Roman"/>
          <w:sz w:val="24"/>
          <w:szCs w:val="24"/>
        </w:rPr>
        <w:t>地址：</w:t>
      </w:r>
    </w:p>
    <w:p>
      <w:pPr>
        <w:rPr>
          <w:rFonts w:ascii="宋体" w:hAnsi="宋体" w:eastAsia="宋体" w:cs="Times New Roman"/>
          <w:sz w:val="24"/>
          <w:szCs w:val="24"/>
        </w:rPr>
      </w:pPr>
      <w:r>
        <w:rPr>
          <w:rFonts w:hint="eastAsia" w:ascii="宋体" w:hAnsi="宋体" w:eastAsia="宋体" w:cs="Times New Roman"/>
          <w:sz w:val="24"/>
          <w:szCs w:val="24"/>
        </w:rPr>
        <w:t>联系人：</w:t>
      </w:r>
    </w:p>
    <w:p>
      <w:pPr>
        <w:rPr>
          <w:rFonts w:ascii="宋体" w:hAnsi="宋体" w:eastAsia="宋体" w:cs="Times New Roman"/>
          <w:b/>
          <w:bCs/>
          <w:sz w:val="24"/>
          <w:szCs w:val="24"/>
        </w:rPr>
      </w:pPr>
      <w:r>
        <w:rPr>
          <w:rFonts w:hint="eastAsia" w:ascii="宋体" w:hAnsi="宋体" w:eastAsia="宋体" w:cs="Times New Roman"/>
          <w:sz w:val="24"/>
          <w:szCs w:val="24"/>
        </w:rPr>
        <w:t>联系电话：</w:t>
      </w:r>
    </w:p>
    <w:p>
      <w:pPr>
        <w:rPr>
          <w:rFonts w:ascii="宋体" w:hAnsi="宋体" w:eastAsia="宋体" w:cs="Times New Roman"/>
          <w:b/>
          <w:bCs/>
          <w:sz w:val="24"/>
          <w:szCs w:val="24"/>
        </w:rPr>
      </w:pPr>
    </w:p>
    <w:p>
      <w:pPr>
        <w:rPr>
          <w:rFonts w:ascii="宋体" w:hAnsi="宋体" w:eastAsia="宋体" w:cs="Times New Roman"/>
          <w:b/>
          <w:bCs/>
          <w:sz w:val="24"/>
          <w:szCs w:val="24"/>
        </w:rPr>
      </w:pPr>
      <w:r>
        <w:rPr>
          <w:rFonts w:hint="eastAsia" w:ascii="宋体" w:hAnsi="宋体" w:eastAsia="宋体" w:cs="Times New Roman"/>
          <w:b/>
          <w:bCs/>
          <w:sz w:val="24"/>
          <w:szCs w:val="24"/>
        </w:rPr>
        <w:t>乙方：</w:t>
      </w:r>
    </w:p>
    <w:p>
      <w:pPr>
        <w:rPr>
          <w:rFonts w:ascii="宋体" w:hAnsi="宋体" w:eastAsia="宋体" w:cs="Times New Roman"/>
          <w:sz w:val="24"/>
          <w:szCs w:val="24"/>
        </w:rPr>
      </w:pPr>
      <w:r>
        <w:rPr>
          <w:rFonts w:hint="eastAsia" w:ascii="宋体" w:hAnsi="宋体" w:eastAsia="宋体" w:cs="Times New Roman"/>
          <w:sz w:val="24"/>
          <w:szCs w:val="24"/>
        </w:rPr>
        <w:t>地址：</w:t>
      </w:r>
    </w:p>
    <w:p>
      <w:pPr>
        <w:rPr>
          <w:rFonts w:ascii="宋体" w:hAnsi="宋体" w:eastAsia="宋体" w:cs="Times New Roman"/>
          <w:sz w:val="24"/>
          <w:szCs w:val="24"/>
        </w:rPr>
      </w:pPr>
      <w:r>
        <w:rPr>
          <w:rFonts w:hint="eastAsia" w:ascii="宋体" w:hAnsi="宋体" w:eastAsia="宋体" w:cs="Times New Roman"/>
          <w:sz w:val="24"/>
          <w:szCs w:val="24"/>
        </w:rPr>
        <w:t>联系人：</w:t>
      </w:r>
    </w:p>
    <w:p>
      <w:pPr>
        <w:rPr>
          <w:rFonts w:ascii="宋体" w:hAnsi="宋体" w:eastAsia="宋体" w:cs="Times New Roman"/>
          <w:b/>
          <w:bCs/>
          <w:sz w:val="24"/>
          <w:szCs w:val="24"/>
        </w:rPr>
      </w:pPr>
      <w:r>
        <w:rPr>
          <w:rFonts w:hint="eastAsia" w:ascii="宋体" w:hAnsi="宋体" w:eastAsia="宋体" w:cs="Times New Roman"/>
          <w:sz w:val="24"/>
          <w:szCs w:val="24"/>
        </w:rPr>
        <w:t>联系电话：</w:t>
      </w:r>
    </w:p>
    <w:p>
      <w:pPr>
        <w:rPr>
          <w:rFonts w:ascii="宋体" w:hAnsi="宋体" w:eastAsia="宋体" w:cs="Times New Roman"/>
          <w:sz w:val="24"/>
          <w:szCs w:val="24"/>
        </w:rPr>
      </w:pPr>
    </w:p>
    <w:p>
      <w:pPr>
        <w:rPr>
          <w:rFonts w:ascii="宋体" w:hAnsi="宋体" w:eastAsia="宋体" w:cs="Times New Roman"/>
          <w:sz w:val="24"/>
          <w:szCs w:val="24"/>
        </w:rPr>
      </w:pP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根据深圳公共资源交易中心（深圳交易集团有限公司*</w:t>
      </w:r>
      <w:r>
        <w:rPr>
          <w:rFonts w:ascii="宋体" w:hAnsi="宋体" w:eastAsia="宋体" w:cs="Times New Roman"/>
          <w:sz w:val="24"/>
          <w:szCs w:val="24"/>
        </w:rPr>
        <w:t>**</w:t>
      </w:r>
      <w:r>
        <w:rPr>
          <w:rFonts w:hint="eastAsia" w:ascii="宋体" w:hAnsi="宋体" w:eastAsia="宋体" w:cs="Times New Roman"/>
          <w:sz w:val="24"/>
          <w:szCs w:val="24"/>
        </w:rPr>
        <w:t>分公司）*</w:t>
      </w:r>
      <w:r>
        <w:rPr>
          <w:rFonts w:ascii="宋体" w:hAnsi="宋体" w:eastAsia="宋体" w:cs="Times New Roman"/>
          <w:sz w:val="24"/>
          <w:szCs w:val="24"/>
        </w:rPr>
        <w:t>**</w:t>
      </w:r>
      <w:r>
        <w:rPr>
          <w:rFonts w:hint="eastAsia" w:ascii="宋体" w:hAnsi="宋体" w:eastAsia="宋体" w:cs="Times New Roman"/>
          <w:sz w:val="24"/>
          <w:szCs w:val="24"/>
        </w:rPr>
        <w:t>号项目结果，*</w:t>
      </w:r>
      <w:r>
        <w:rPr>
          <w:rFonts w:ascii="宋体" w:hAnsi="宋体" w:eastAsia="宋体" w:cs="Times New Roman"/>
          <w:sz w:val="24"/>
          <w:szCs w:val="24"/>
        </w:rPr>
        <w:t>**</w:t>
      </w:r>
      <w:r>
        <w:rPr>
          <w:rFonts w:hint="eastAsia" w:ascii="宋体" w:hAnsi="宋体" w:eastAsia="宋体" w:cs="Times New Roman"/>
          <w:sz w:val="24"/>
          <w:szCs w:val="24"/>
        </w:rPr>
        <w:t>单位为中标人。按照《中华人民共和国民法典》（第三编 合同）》和《深圳经济特区政府采购条例》，经深圳市（以下简称甲方）和单位（以下简称乙方）协商，就甲方委托乙方承担</w:t>
      </w:r>
      <w:r>
        <w:rPr>
          <w:rFonts w:hint="eastAsia" w:ascii="宋体" w:hAnsi="宋体" w:eastAsia="宋体" w:cs="Times New Roman"/>
          <w:b/>
          <w:bCs/>
          <w:snapToGrid w:val="0"/>
          <w:kern w:val="0"/>
          <w:sz w:val="24"/>
          <w:szCs w:val="24"/>
          <w:u w:val="single"/>
          <w:lang w:val="zh-CN"/>
        </w:rPr>
        <w:t xml:space="preserve">                      项目</w:t>
      </w:r>
      <w:r>
        <w:rPr>
          <w:rFonts w:hint="eastAsia" w:ascii="宋体" w:hAnsi="宋体" w:eastAsia="宋体" w:cs="Times New Roman"/>
          <w:sz w:val="24"/>
          <w:szCs w:val="24"/>
        </w:rPr>
        <w:t>，达成以下合同条款：</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第一条　项目概况</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项目名称：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项目内容：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服务时间：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合同价款：合同总价为元，含一切税、费。</w:t>
      </w:r>
      <w:r>
        <w:rPr>
          <w:rFonts w:ascii="Times New Roman" w:hAnsi="Times New Roman" w:eastAsia="宋体" w:cs="Times New Roman"/>
          <w:sz w:val="24"/>
          <w:szCs w:val="24"/>
        </w:rPr>
        <w:t>本合同总价包括</w:t>
      </w:r>
      <w:r>
        <w:rPr>
          <w:rFonts w:hint="eastAsia" w:ascii="宋体" w:hAnsi="宋体" w:eastAsia="宋体" w:cs="Times New Roman"/>
          <w:sz w:val="24"/>
          <w:szCs w:val="24"/>
        </w:rPr>
        <w:t>乙方为实施本项目*</w:t>
      </w:r>
      <w:r>
        <w:rPr>
          <w:rFonts w:ascii="宋体" w:hAnsi="宋体" w:eastAsia="宋体" w:cs="Times New Roman"/>
          <w:sz w:val="24"/>
          <w:szCs w:val="24"/>
        </w:rPr>
        <w:t>**</w:t>
      </w:r>
      <w:r>
        <w:rPr>
          <w:rFonts w:hint="eastAsia" w:ascii="宋体" w:hAnsi="宋体" w:eastAsia="宋体" w:cs="Times New Roman"/>
          <w:sz w:val="24"/>
          <w:szCs w:val="24"/>
        </w:rPr>
        <w:t>所需的设备仪器费、车辆租赁费、</w:t>
      </w:r>
      <w:r>
        <w:rPr>
          <w:rFonts w:ascii="Times New Roman" w:hAnsi="Times New Roman" w:eastAsia="宋体" w:cs="Times New Roman"/>
          <w:sz w:val="24"/>
          <w:szCs w:val="24"/>
        </w:rPr>
        <w:t>服务</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技术费用</w:t>
      </w:r>
      <w:r>
        <w:rPr>
          <w:rFonts w:hint="eastAsia" w:ascii="Times New Roman" w:hAnsi="Times New Roman" w:eastAsia="宋体" w:cs="Times New Roman"/>
          <w:sz w:val="24"/>
          <w:szCs w:val="24"/>
        </w:rPr>
        <w:t>等</w:t>
      </w:r>
      <w:r>
        <w:rPr>
          <w:rFonts w:ascii="Times New Roman" w:hAnsi="Times New Roman" w:eastAsia="宋体" w:cs="Times New Roman"/>
          <w:sz w:val="24"/>
          <w:szCs w:val="24"/>
        </w:rPr>
        <w:t>，为固定不变价格，且不随通货膨胀的影响而波动。合同总价包括</w:t>
      </w:r>
      <w:r>
        <w:rPr>
          <w:rFonts w:hint="eastAsia" w:ascii="宋体" w:hAnsi="宋体" w:eastAsia="宋体" w:cs="Times New Roman"/>
          <w:sz w:val="24"/>
          <w:szCs w:val="24"/>
        </w:rPr>
        <w:t>乙方</w:t>
      </w:r>
      <w:r>
        <w:rPr>
          <w:rFonts w:ascii="Times New Roman" w:hAnsi="Times New Roman" w:eastAsia="宋体" w:cs="Times New Roman"/>
          <w:sz w:val="24"/>
          <w:szCs w:val="24"/>
        </w:rPr>
        <w:t>履行本合同义务所发生的一切费用和支出和以各种方式寄送技术资料到</w:t>
      </w:r>
      <w:r>
        <w:rPr>
          <w:rFonts w:hint="eastAsia" w:ascii="Times New Roman" w:hAnsi="Times New Roman" w:eastAsia="宋体" w:cs="Times New Roman"/>
          <w:sz w:val="24"/>
          <w:szCs w:val="24"/>
        </w:rPr>
        <w:t>甲</w:t>
      </w:r>
      <w:r>
        <w:rPr>
          <w:rFonts w:ascii="Times New Roman" w:hAnsi="Times New Roman" w:eastAsia="宋体" w:cs="Times New Roman"/>
          <w:sz w:val="24"/>
          <w:szCs w:val="24"/>
        </w:rPr>
        <w:t>方办公室所发生的费用。</w:t>
      </w:r>
    </w:p>
    <w:p>
      <w:pPr>
        <w:ind w:firstLine="420"/>
        <w:rPr>
          <w:rFonts w:ascii="宋体" w:hAnsi="宋体" w:eastAsia="宋体" w:cs="Times New Roman"/>
          <w:sz w:val="24"/>
          <w:szCs w:val="24"/>
        </w:rPr>
      </w:pPr>
      <w:r>
        <w:rPr>
          <w:rFonts w:hint="eastAsia" w:ascii="宋体" w:hAnsi="宋体" w:eastAsia="宋体" w:cs="Times New Roman"/>
          <w:sz w:val="24"/>
          <w:szCs w:val="24"/>
        </w:rPr>
        <w:t>支付方式：分期支付。</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第二条  服务范围</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1、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2、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3、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4、 其他合同未明示的相关工作。</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第三条  时间要求及阶段成果</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1、合同签订天内完成项目实施的准备工作，包括工作大纲和试验细则的编制；</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2、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3、</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4、</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第四条  咨询服务资料归属</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所有提交给</w:t>
      </w:r>
      <w:r>
        <w:rPr>
          <w:rFonts w:hint="eastAsia" w:ascii="Times New Roman" w:hAnsi="Times New Roman" w:eastAsia="宋体" w:cs="Times New Roman"/>
          <w:sz w:val="24"/>
          <w:szCs w:val="24"/>
        </w:rPr>
        <w:t>甲</w:t>
      </w:r>
      <w:r>
        <w:rPr>
          <w:rFonts w:ascii="Times New Roman" w:hAnsi="Times New Roman" w:eastAsia="宋体" w:cs="Times New Roman"/>
          <w:sz w:val="24"/>
          <w:szCs w:val="24"/>
        </w:rPr>
        <w:t>方的咨询服务</w:t>
      </w:r>
      <w:r>
        <w:rPr>
          <w:rFonts w:hint="eastAsia" w:ascii="Times New Roman" w:hAnsi="Times New Roman" w:eastAsia="宋体" w:cs="Times New Roman"/>
          <w:sz w:val="24"/>
          <w:szCs w:val="24"/>
        </w:rPr>
        <w:t>文件</w:t>
      </w:r>
      <w:r>
        <w:rPr>
          <w:rFonts w:ascii="Times New Roman" w:hAnsi="Times New Roman" w:eastAsia="宋体" w:cs="Times New Roman"/>
          <w:sz w:val="24"/>
          <w:szCs w:val="24"/>
        </w:rPr>
        <w:t>及相关的资料的最后文本，包括为履行技术咨询服务范围所编制的图纸、计划和证明资料等，都属于</w:t>
      </w:r>
      <w:r>
        <w:rPr>
          <w:rFonts w:hint="eastAsia" w:ascii="Times New Roman" w:hAnsi="Times New Roman" w:eastAsia="宋体" w:cs="Times New Roman"/>
          <w:sz w:val="24"/>
          <w:szCs w:val="24"/>
        </w:rPr>
        <w:t>甲</w:t>
      </w:r>
      <w:r>
        <w:rPr>
          <w:rFonts w:ascii="Times New Roman" w:hAnsi="Times New Roman" w:eastAsia="宋体" w:cs="Times New Roman"/>
          <w:sz w:val="24"/>
          <w:szCs w:val="24"/>
        </w:rPr>
        <w:t>方的财产，</w:t>
      </w:r>
      <w:r>
        <w:rPr>
          <w:rFonts w:hint="eastAsia" w:ascii="宋体" w:hAnsi="宋体" w:eastAsia="宋体" w:cs="Times New Roman"/>
          <w:sz w:val="24"/>
          <w:szCs w:val="24"/>
        </w:rPr>
        <w:t>乙</w:t>
      </w:r>
      <w:r>
        <w:rPr>
          <w:rFonts w:ascii="Times New Roman" w:hAnsi="Times New Roman" w:eastAsia="宋体" w:cs="Times New Roman"/>
          <w:sz w:val="24"/>
          <w:szCs w:val="24"/>
        </w:rPr>
        <w:t>方在提交给</w:t>
      </w:r>
      <w:r>
        <w:rPr>
          <w:rFonts w:hint="eastAsia" w:ascii="Times New Roman" w:hAnsi="Times New Roman" w:eastAsia="宋体" w:cs="Times New Roman"/>
          <w:sz w:val="24"/>
          <w:szCs w:val="24"/>
        </w:rPr>
        <w:t>甲</w:t>
      </w:r>
      <w:r>
        <w:rPr>
          <w:rFonts w:ascii="Times New Roman" w:hAnsi="Times New Roman" w:eastAsia="宋体" w:cs="Times New Roman"/>
          <w:sz w:val="24"/>
          <w:szCs w:val="24"/>
        </w:rPr>
        <w:t>方之前应将上述资料进行整理归类和编制索引</w:t>
      </w:r>
      <w:r>
        <w:rPr>
          <w:rFonts w:hint="eastAsia" w:ascii="Times New Roman" w:hAnsi="Times New Roman" w:eastAsia="宋体" w:cs="Times New Roman"/>
          <w:sz w:val="24"/>
          <w:szCs w:val="24"/>
        </w:rPr>
        <w:t>。</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hint="eastAsia" w:ascii="宋体" w:hAnsi="宋体" w:eastAsia="宋体" w:cs="Times New Roman"/>
          <w:sz w:val="24"/>
          <w:szCs w:val="24"/>
        </w:rPr>
        <w:t>乙</w:t>
      </w:r>
      <w:r>
        <w:rPr>
          <w:rFonts w:ascii="Times New Roman" w:hAnsi="Times New Roman" w:eastAsia="宋体" w:cs="Times New Roman"/>
          <w:sz w:val="24"/>
          <w:szCs w:val="24"/>
        </w:rPr>
        <w:t>方未经</w:t>
      </w:r>
      <w:r>
        <w:rPr>
          <w:rFonts w:hint="eastAsia" w:ascii="Times New Roman" w:hAnsi="Times New Roman" w:eastAsia="宋体" w:cs="Times New Roman"/>
          <w:sz w:val="24"/>
          <w:szCs w:val="24"/>
        </w:rPr>
        <w:t>甲</w:t>
      </w:r>
      <w:r>
        <w:rPr>
          <w:rFonts w:ascii="Times New Roman" w:hAnsi="Times New Roman" w:eastAsia="宋体" w:cs="Times New Roman"/>
          <w:sz w:val="24"/>
          <w:szCs w:val="24"/>
        </w:rPr>
        <w:t>方的书面同意，不得将上述资料用于与本咨询服务项目之外的任何项目</w:t>
      </w:r>
      <w:r>
        <w:rPr>
          <w:rFonts w:hint="eastAsia" w:ascii="Times New Roman" w:hAnsi="Times New Roman" w:eastAsia="宋体" w:cs="Times New Roman"/>
          <w:sz w:val="24"/>
          <w:szCs w:val="24"/>
        </w:rPr>
        <w:t>。</w:t>
      </w:r>
    </w:p>
    <w:p>
      <w:pPr>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合同履行</w:t>
      </w:r>
      <w:r>
        <w:rPr>
          <w:rFonts w:hint="eastAsia" w:ascii="Times New Roman" w:hAnsi="Times New Roman" w:eastAsia="宋体" w:cs="Times New Roman"/>
          <w:sz w:val="24"/>
          <w:szCs w:val="24"/>
        </w:rPr>
        <w:t>完毕，</w:t>
      </w:r>
      <w:r>
        <w:rPr>
          <w:rFonts w:ascii="Times New Roman" w:hAnsi="Times New Roman" w:eastAsia="宋体" w:cs="Times New Roman"/>
          <w:sz w:val="24"/>
          <w:szCs w:val="24"/>
        </w:rPr>
        <w:t>未经</w:t>
      </w:r>
      <w:r>
        <w:rPr>
          <w:rFonts w:hint="eastAsia" w:ascii="Times New Roman" w:hAnsi="Times New Roman" w:eastAsia="宋体" w:cs="Times New Roman"/>
          <w:sz w:val="24"/>
          <w:szCs w:val="24"/>
        </w:rPr>
        <w:t>甲</w:t>
      </w:r>
      <w:r>
        <w:rPr>
          <w:rFonts w:ascii="Times New Roman" w:hAnsi="Times New Roman" w:eastAsia="宋体" w:cs="Times New Roman"/>
          <w:sz w:val="24"/>
          <w:szCs w:val="24"/>
        </w:rPr>
        <w:t>方的书面同意</w:t>
      </w:r>
      <w:r>
        <w:rPr>
          <w:rFonts w:hint="eastAsia" w:ascii="Times New Roman" w:hAnsi="Times New Roman" w:eastAsia="宋体" w:cs="Times New Roman"/>
          <w:sz w:val="24"/>
          <w:szCs w:val="24"/>
        </w:rPr>
        <w:t>，</w:t>
      </w:r>
      <w:r>
        <w:rPr>
          <w:rFonts w:hint="eastAsia" w:ascii="宋体" w:hAnsi="宋体" w:eastAsia="宋体" w:cs="Times New Roman"/>
          <w:sz w:val="24"/>
          <w:szCs w:val="24"/>
        </w:rPr>
        <w:t>乙</w:t>
      </w:r>
      <w:r>
        <w:rPr>
          <w:rFonts w:ascii="Times New Roman" w:hAnsi="Times New Roman" w:eastAsia="宋体" w:cs="Times New Roman"/>
          <w:sz w:val="24"/>
          <w:szCs w:val="24"/>
        </w:rPr>
        <w:t>方</w:t>
      </w:r>
      <w:r>
        <w:rPr>
          <w:rFonts w:hint="eastAsia" w:ascii="Times New Roman" w:hAnsi="Times New Roman" w:eastAsia="宋体" w:cs="Times New Roman"/>
          <w:sz w:val="24"/>
          <w:szCs w:val="24"/>
        </w:rPr>
        <w:t>不得保存在</w:t>
      </w:r>
      <w:r>
        <w:rPr>
          <w:rFonts w:ascii="Times New Roman" w:hAnsi="Times New Roman" w:eastAsia="宋体" w:cs="Times New Roman"/>
          <w:sz w:val="24"/>
          <w:szCs w:val="24"/>
        </w:rPr>
        <w:t>履行合同过程中所获得或接触到的任何</w:t>
      </w:r>
      <w:r>
        <w:rPr>
          <w:rFonts w:hint="eastAsia" w:ascii="宋体" w:hAnsi="宋体" w:eastAsia="宋体" w:cs="Times New Roman"/>
          <w:sz w:val="24"/>
          <w:szCs w:val="24"/>
        </w:rPr>
        <w:t>内部数据资料。</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第五条  甲方的义务</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1、负责与本咨询服务项目有关的第三方的协调，提供开展咨询服务工作的外部条件。</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2、向乙方提供与本项目咨询服务工作有关的资料。</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3、负责组织有关专家对项目试验成果评估报告的评审。</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第六条　乙方的义务</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１、应按照招标文件、投标文件要求按期完成本项目咨询服务工作。</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2、负责组织项目的实施，保证工程进度和成桥荷载试验工作质量，并满足交通部交工验收相关标准。</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3、向甲方提交检测资料等各套，一套电子版文件。</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4、在履行合同期间或合同规定期限内，不得泄露与本合同规定业务活动有关的保密资料。</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第七条  甲方的权利</w:t>
      </w:r>
    </w:p>
    <w:p>
      <w:pPr>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、有权向乙方询问工作进展情况及相关的内容。</w:t>
      </w:r>
    </w:p>
    <w:p>
      <w:pPr>
        <w:ind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、有权阐述对具体问题的意见和建议。</w:t>
      </w:r>
    </w:p>
    <w:p>
      <w:pPr>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、当甲方认定乙方人员不按合同履行其职责，或与第三人串通给甲方造成经济损失的，甲方有权要求更换人员，直至终止合同并要求乙方承担相应的赔偿责任。</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第八条  乙方的权利</w:t>
      </w:r>
    </w:p>
    <w:p>
      <w:pPr>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、乙方在本项目服务过程中，如甲方提供的资料不明确时可向甲方提出书面报告。</w:t>
      </w:r>
    </w:p>
    <w:p>
      <w:pPr>
        <w:ind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、乙方在本项目服务过程中，有权对第三方提出与本咨询服务业务有关的问题进行核对或查问。</w:t>
      </w:r>
    </w:p>
    <w:p>
      <w:pPr>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、乙方在本项目服务过程中，有到工程现场勘察的权利。</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第九条  甲方的责任</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1、应当履行本合同约定的义务，如有违反则应当承担违约责任，赔偿给乙方造成的损失。</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2、甲方向乙方提出赔偿要求不能成立时，则应补偿由于该赔偿或其他要求所导致乙方的各种费用的支出。</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第十条  乙方的责任</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1、乙方的责任期即本合同有效期。如因非乙方的责任造成进度的推迟或延误而超过约定的日期，双方应进一步约定相应延长合同有效期。</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2、乙方的责任期内，应当履行本合同中约定的义务，因乙方的单方过失造成的经济损失，应当向甲方进行赔偿。</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3、乙方对甲方或第三方所提出的问题不能及时核对或答复，导致合同不能全部或部分履行，乙方应承担责任。</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4、乙方向甲方提出赔偿要求不能成立时，则应补偿由于该赔偿或其他要求所导致甲方的各种费用的支出。</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第十一条  人员要求</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1、参加本项目试验的人员必须具有国家和有关部门规定的相应资质。</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2、 参加本项目的试验人员的配置必须与投标文件中的服务承诺书和试验服务组织实施方案一致。</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3、必须以直属试验人员参与本项目服务，不得使用挂靠队伍。</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第十二条  乙方咨询服务工具要求</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1、乙方应配备中标项目所需的足够数量的仪器、仪表以及工具等设备。用户不需向乙方提供施工工具和仪器、仪表。</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2、乙方在提供服务过程中应自备车辆。</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第十三条  保密要求</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乙方在履行合同过程中所获得或接触到的任何</w:t>
      </w:r>
      <w:r>
        <w:rPr>
          <w:rFonts w:hint="eastAsia" w:ascii="宋体" w:hAnsi="宋体" w:eastAsia="宋体" w:cs="Times New Roman"/>
          <w:sz w:val="24"/>
          <w:szCs w:val="24"/>
        </w:rPr>
        <w:t>内部数据资料，未经甲方同意，不得向第三方透露。</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乙方</w:t>
      </w:r>
      <w:r>
        <w:rPr>
          <w:rFonts w:hint="eastAsia" w:ascii="宋体" w:hAnsi="宋体" w:eastAsia="宋体" w:cs="Times New Roman"/>
          <w:sz w:val="24"/>
          <w:szCs w:val="24"/>
        </w:rPr>
        <w:t>实施项目的一切程序都应符合国家安全、保密的有关规定和标准。</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乙方</w:t>
      </w:r>
      <w:r>
        <w:rPr>
          <w:rFonts w:hint="eastAsia" w:ascii="宋体" w:hAnsi="宋体" w:eastAsia="宋体" w:cs="Times New Roman"/>
          <w:sz w:val="24"/>
          <w:szCs w:val="24"/>
        </w:rPr>
        <w:t>参加项目的有关人员均需同甲方签订保密协议。</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 xml:space="preserve">第十四条  验收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1、下列文件的验收分为</w:t>
      </w:r>
      <w:r>
        <w:rPr>
          <w:rFonts w:hint="eastAsia" w:ascii="宋体" w:hAnsi="宋体" w:eastAsia="宋体" w:cs="Times New Roman"/>
          <w:sz w:val="24"/>
          <w:szCs w:val="24"/>
          <w:u w:val="single"/>
        </w:rPr>
        <w:t xml:space="preserve">          三</w:t>
      </w:r>
      <w:r>
        <w:rPr>
          <w:rFonts w:hint="eastAsia" w:ascii="宋体" w:hAnsi="宋体" w:eastAsia="宋体" w:cs="Times New Roman"/>
          <w:sz w:val="24"/>
          <w:szCs w:val="24"/>
        </w:rPr>
        <w:t>个阶段:</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2、其余文件和工作由用户组织有关技术人员根据国家和行业有关规范、规程、标准和用户需求直接验收。</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3、验收依据为招标文件、投标文件，国家和行业有关规范、规程和标准。</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第十五条  付款方式</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1、合同签订后   天内乙方向甲方开具合法有效的发票后，甲方于   天内向乙方支付合同总价%的款项。</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2、检测完成并提交评估报告后  天内，乙方向甲方开具合法有效发票后 天，甲方向乙方支付合同总价%的款项。</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3、报告通过专家评审后，甲方向乙方支付合同总价%的款项。</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第十六条  争议解决办法</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执行本合同发生的争议，由甲乙双方协商解决，如协商不成的，应提交甲方所在地人民法院诉讼解决。</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第十七条  风险责任</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１、乙方应完全地按照招标文件的要求和乙方投标文件的承诺完成本项目，出于自身财务、技术、人力等原因导致项目失败的，应承担全部责任。</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2、乙方在实施荷载试验过程中应对自身的安全生产负责，若非因甲方原因发生的各种事故甲方不承担任何责任。</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第十八条  违约责任</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１、因乙方原因，未能按规定时间完成有关工作的，每延误一天，甲方可在支付合同余款中扣除合同价款千分之一。</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2、由于乙方原因造成试验成果质量低劣，不能满足大纲要求时，应继续完善试验工作，其费用由乙方承担。</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3、乙方交付的成果经验收不合格，应于7日内无条件修改，费用由乙方自行承担，在甲方要求整改后再次验收不合格的，甲方有权解除合同、要求乙方返还甲方已支付的合同款项，并有权要求乙方按合同总额   %支付违约金。。</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5、乙方或其工作人员违反本合同约定的保密义务，甲方有权要求乙方按合同总额   %支付违约金；造成不良影响或对甲方造成损失的，甲方有权要求乙方消除影响，承担赔偿责任，并有权解除合同。</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6、因乙方提供的服务成果受到侵权指控或者引发法律纠纷，影响甲方使用服务成果或者导致合同目的不能实现的，甲方有权要求乙方按合同总额   %支付违约金，并有权解除合同。</w:t>
      </w:r>
    </w:p>
    <w:p>
      <w:pPr>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第十九条  其他</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1、本协议书与下列文件一起构成合同文件，如下述文件之间有任何抵触、矛盾或歧义，应按以下顺序解释：</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（1）政府采购合同协议书及其变更、补充协议</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（2）政府采购合同专用条款</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（3）政府采购合同通用条款</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（4）中标（成交）通知书</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（5）投标（响应）文件</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（6）采购文件</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（7）有关技术文件，图纸</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（8）国家法律、行政法规和规章制度规定或合同约定的作为合同组成部分的其他文件。</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2、下列文件均为本合同的组成部分：</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（1）号招标文件、答疑及补充通知；</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（2）投标文件；</w:t>
      </w:r>
    </w:p>
    <w:p>
      <w:pPr>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（3）本合同执行中共同签署的补充与修正文件。</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本合同一式份，甲、乙方双方各执份，具有同等法律效力。本合同自双方法人代表签字（盖章）认可之日起生效。</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本合同未尽事宜，双方友好协商，达成解决方案，经双方签字后，可作为本合同的有效附件。</w:t>
      </w:r>
    </w:p>
    <w:p>
      <w:pPr>
        <w:ind w:firstLine="480" w:firstLineChars="200"/>
        <w:rPr>
          <w:rFonts w:ascii="宋体" w:hAnsi="宋体" w:eastAsia="宋体" w:cs="Times New Roman"/>
          <w:sz w:val="24"/>
          <w:szCs w:val="24"/>
        </w:rPr>
      </w:pPr>
    </w:p>
    <w:p>
      <w:pPr>
        <w:ind w:firstLine="480" w:firstLineChars="200"/>
        <w:rPr>
          <w:rFonts w:ascii="宋体" w:hAnsi="宋体" w:eastAsia="宋体" w:cs="Times New Roman"/>
          <w:sz w:val="24"/>
          <w:szCs w:val="24"/>
        </w:rPr>
      </w:pPr>
    </w:p>
    <w:p>
      <w:pPr>
        <w:spacing w:line="360" w:lineRule="auto"/>
        <w:ind w:firstLine="560"/>
        <w:jc w:val="left"/>
        <w:rPr>
          <w:rFonts w:ascii="宋体" w:hAnsi="宋体" w:eastAsia="宋体" w:cs="Times New Roman"/>
          <w:sz w:val="24"/>
          <w:szCs w:val="24"/>
        </w:rPr>
      </w:pPr>
      <w:r>
        <w:rPr>
          <w:rFonts w:hint="eastAsia" w:ascii="宋体" w:hAnsi="宋体" w:eastAsia="宋体" w:cs="Times New Roman"/>
          <w:sz w:val="24"/>
          <w:szCs w:val="24"/>
        </w:rPr>
        <w:t>甲方（采购人）：   （盖章）       乙方（供应商）：    （盖章）</w:t>
      </w:r>
    </w:p>
    <w:p>
      <w:pPr>
        <w:spacing w:line="360" w:lineRule="auto"/>
        <w:ind w:firstLine="560"/>
        <w:jc w:val="left"/>
        <w:rPr>
          <w:rFonts w:ascii="宋体" w:hAnsi="宋体" w:eastAsia="宋体" w:cs="Times New Roman"/>
          <w:sz w:val="24"/>
          <w:szCs w:val="24"/>
        </w:rPr>
      </w:pPr>
      <w:r>
        <w:rPr>
          <w:rFonts w:hint="eastAsia" w:ascii="宋体" w:hAnsi="宋体" w:eastAsia="宋体" w:cs="Times New Roman"/>
          <w:sz w:val="24"/>
          <w:szCs w:val="24"/>
        </w:rPr>
        <w:t xml:space="preserve">法定代表人：                     法定代表人： </w:t>
      </w:r>
    </w:p>
    <w:p>
      <w:pPr>
        <w:spacing w:line="360" w:lineRule="auto"/>
        <w:ind w:firstLine="560"/>
        <w:jc w:val="left"/>
        <w:rPr>
          <w:rFonts w:ascii="宋体" w:hAnsi="宋体" w:eastAsia="宋体" w:cs="Times New Roman"/>
          <w:sz w:val="24"/>
          <w:szCs w:val="24"/>
        </w:rPr>
      </w:pPr>
      <w:r>
        <w:rPr>
          <w:rFonts w:hint="eastAsia" w:ascii="宋体" w:hAnsi="宋体" w:eastAsia="宋体" w:cs="Times New Roman"/>
          <w:sz w:val="24"/>
          <w:szCs w:val="24"/>
        </w:rPr>
        <w:t>委托代理人：                     委托代理人：</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日期：   年     月    日         日期：   年     月    日</w:t>
      </w:r>
    </w:p>
    <w:p>
      <w:pPr>
        <w:snapToGrid w:val="0"/>
        <w:spacing w:line="300" w:lineRule="auto"/>
        <w:rPr>
          <w:rFonts w:ascii="仿宋_GB2312" w:hAnsi="华文仿宋" w:eastAsia="仿宋_GB2312" w:cs="Times New Roman"/>
          <w:sz w:val="28"/>
        </w:rPr>
      </w:pPr>
    </w:p>
    <w:p>
      <w:pPr>
        <w:widowControl/>
        <w:jc w:val="left"/>
        <w:rPr>
          <w:rFonts w:ascii="Arial" w:hAnsi="Arial" w:eastAsia="宋体" w:cs="Times New Roman"/>
          <w:color w:val="FF0000"/>
          <w:szCs w:val="24"/>
        </w:rPr>
      </w:pPr>
    </w:p>
    <w:p>
      <w:pPr>
        <w:widowControl/>
        <w:jc w:val="left"/>
        <w:rPr>
          <w:b/>
          <w:color w:val="FF0000"/>
          <w:sz w:val="52"/>
          <w:szCs w:val="52"/>
        </w:rPr>
      </w:pPr>
      <w:r>
        <w:rPr>
          <w:b/>
          <w:color w:val="FF0000"/>
          <w:sz w:val="52"/>
          <w:szCs w:val="52"/>
        </w:rPr>
        <w:br w:type="page"/>
      </w:r>
    </w:p>
    <w:p>
      <w:pPr>
        <w:keepNext/>
        <w:keepLines/>
        <w:spacing w:before="340" w:afterLines="25" w:line="578" w:lineRule="auto"/>
        <w:jc w:val="center"/>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第二册  通用条款（公开招标）</w:t>
      </w:r>
    </w:p>
    <w:p>
      <w:pPr>
        <w:pStyle w:val="27"/>
        <w:keepNext/>
        <w:keepLines/>
        <w:numPr>
          <w:ilvl w:val="0"/>
          <w:numId w:val="3"/>
        </w:numPr>
        <w:tabs>
          <w:tab w:val="left" w:pos="720"/>
        </w:tabs>
        <w:adjustRightInd w:val="0"/>
        <w:spacing w:beforeLines="50" w:afterLines="50"/>
        <w:ind w:firstLineChars="0"/>
        <w:jc w:val="center"/>
        <w:textAlignment w:val="baseline"/>
        <w:outlineLvl w:val="1"/>
        <w:rPr>
          <w:rFonts w:asciiTheme="majorHAnsi" w:hAnsiTheme="majorHAnsi" w:eastAsiaTheme="majorEastAsia" w:cstheme="majorBidi"/>
          <w:b/>
          <w:bCs/>
          <w:sz w:val="28"/>
          <w:szCs w:val="28"/>
        </w:rPr>
      </w:pPr>
      <w:bookmarkStart w:id="34" w:name="_Hlk72399513"/>
      <w:r>
        <w:rPr>
          <w:rFonts w:hint="eastAsia" w:asciiTheme="majorHAnsi" w:hAnsiTheme="majorHAnsi" w:eastAsiaTheme="majorEastAsia" w:cstheme="majorBidi"/>
          <w:b/>
          <w:bCs/>
          <w:sz w:val="28"/>
          <w:szCs w:val="28"/>
        </w:rPr>
        <w:t>总则</w:t>
      </w:r>
    </w:p>
    <w:bookmarkEnd w:id="34"/>
    <w:p>
      <w:pPr>
        <w:rPr>
          <w:rFonts w:ascii="黑体" w:hAnsi="宋体" w:eastAsia="黑体"/>
          <w:sz w:val="24"/>
        </w:rPr>
      </w:pPr>
      <w:bookmarkStart w:id="35" w:name="_Hlk72439706"/>
      <w:r>
        <w:rPr>
          <w:rFonts w:hint="eastAsia" w:ascii="黑体" w:hAnsi="宋体" w:eastAsia="黑体"/>
          <w:sz w:val="24"/>
        </w:rPr>
        <w:t>1. 通用条款说明</w:t>
      </w:r>
    </w:p>
    <w:p>
      <w:pPr>
        <w:ind w:firstLine="411" w:firstLineChars="196"/>
        <w:rPr>
          <w:rFonts w:ascii="宋体" w:hAnsi="宋体"/>
          <w:szCs w:val="21"/>
        </w:rPr>
      </w:pPr>
      <w:r>
        <w:rPr>
          <w:rFonts w:hint="eastAsia" w:ascii="宋体" w:hAnsi="宋体"/>
          <w:szCs w:val="21"/>
        </w:rPr>
        <w:t>1.1政府集中采购机构发出招标文件通用条款版本，列出深圳市政府采购项目进行招标采购所适用的通用条款内容。</w:t>
      </w:r>
      <w:bookmarkStart w:id="36" w:name="_Hlk72399729"/>
      <w:r>
        <w:rPr>
          <w:rFonts w:hint="eastAsia" w:ascii="宋体" w:hAnsi="宋体"/>
          <w:szCs w:val="21"/>
        </w:rPr>
        <w:t>如有需要，政府集中采购机构可以对通用条款的内容进行补充。</w:t>
      </w:r>
      <w:bookmarkEnd w:id="36"/>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rPr>
      </w:pPr>
      <w:r>
        <w:rPr>
          <w:rFonts w:hint="eastAsia" w:ascii="宋体" w:hAnsi="宋体"/>
          <w:szCs w:val="21"/>
        </w:rPr>
        <w:t>1.4“通用条款”是适用于政府采购公开招标项目的基础性条款，具有普遍性和通用性。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本项目按照《深圳经济特区政府采购条例》、《深圳经济特区政府采购条例实施细则》及政府采购其他法律法规，通过公开招标方式确定中标供应商。</w:t>
      </w:r>
    </w:p>
    <w:p>
      <w:pPr>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“采购人”：指利用财政性资金依法进行政府采购的国家机关、事业单位、团体组织；</w:t>
      </w:r>
      <w:r>
        <w:rPr>
          <w:rFonts w:ascii="宋体" w:hAnsi="宋体"/>
          <w:szCs w:val="21"/>
        </w:rPr>
        <w:t xml:space="preserve"> </w:t>
      </w:r>
    </w:p>
    <w:p>
      <w:pPr>
        <w:ind w:firstLine="411" w:firstLineChars="196"/>
        <w:rPr>
          <w:rFonts w:ascii="宋体" w:hAnsi="宋体"/>
          <w:szCs w:val="21"/>
        </w:rPr>
      </w:pPr>
      <w:r>
        <w:rPr>
          <w:rFonts w:hint="eastAsia" w:ascii="宋体" w:hAnsi="宋体"/>
          <w:szCs w:val="21"/>
        </w:rPr>
        <w:t>3.2 “政府集中采购机构”</w:t>
      </w:r>
      <w:r>
        <w:rPr>
          <w:rFonts w:hint="eastAsia" w:ascii="Arial" w:hAnsi="Arial" w:cs="Arial"/>
          <w:szCs w:val="21"/>
          <w:shd w:val="clear" w:color="auto" w:fill="FFFFFF"/>
        </w:rPr>
        <w:t>是指市政府设立的，组织实施政府采购项目，并对政府采购活动提供服务的专门机构；</w:t>
      </w:r>
      <w:r>
        <w:rPr>
          <w:rFonts w:hint="eastAsia" w:ascii="宋体" w:hAnsi="宋体"/>
          <w:szCs w:val="21"/>
        </w:rPr>
        <w:t>本文件所述的“政府集中采购机构”</w:t>
      </w:r>
      <w:r>
        <w:rPr>
          <w:rFonts w:ascii="宋体" w:hAnsi="宋体"/>
          <w:szCs w:val="21"/>
        </w:rPr>
        <w:t>指</w:t>
      </w:r>
      <w:r>
        <w:rPr>
          <w:rFonts w:hint="eastAsia" w:ascii="宋体" w:hAnsi="宋体"/>
          <w:b/>
          <w:bCs/>
          <w:szCs w:val="21"/>
        </w:rPr>
        <w:t>深圳公共资源交易中心</w:t>
      </w:r>
      <w:r>
        <w:rPr>
          <w:rFonts w:hint="eastAsia" w:ascii="宋体" w:hAnsi="宋体"/>
          <w:szCs w:val="21"/>
        </w:rPr>
        <w:t>；</w:t>
      </w:r>
    </w:p>
    <w:p>
      <w:pPr>
        <w:ind w:firstLine="411" w:firstLineChars="196"/>
        <w:rPr>
          <w:rFonts w:ascii="宋体" w:hAnsi="宋体"/>
          <w:szCs w:val="21"/>
        </w:rPr>
      </w:pPr>
      <w:r>
        <w:rPr>
          <w:rFonts w:hint="eastAsia" w:ascii="宋体" w:hAnsi="宋体"/>
          <w:szCs w:val="21"/>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rPr>
      </w:pPr>
      <w:r>
        <w:rPr>
          <w:rFonts w:hint="eastAsia" w:ascii="宋体" w:hAnsi="宋体"/>
          <w:szCs w:val="21"/>
        </w:rPr>
        <w:t>3.5“日期”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hint="eastAsia" w:ascii="宋体" w:hAnsi="宋体"/>
          <w:szCs w:val="21"/>
        </w:rPr>
        <w:t>3.6“合同”指由本次招标所产生的合同或合约文件；</w:t>
      </w:r>
    </w:p>
    <w:p>
      <w:pPr>
        <w:ind w:firstLine="411" w:firstLineChars="196"/>
        <w:rPr>
          <w:rFonts w:ascii="宋体" w:hAnsi="宋体"/>
          <w:szCs w:val="21"/>
        </w:rPr>
      </w:pPr>
      <w:r>
        <w:rPr>
          <w:rFonts w:hint="eastAsia" w:ascii="宋体" w:hAnsi="宋体"/>
          <w:szCs w:val="21"/>
        </w:rPr>
        <w:t>3.7“电子投标文件”指利用</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提供的深圳市自行采购系统投标文件制作专用软件（以下简称：投标文件制作软件）制作并加密的投标文件,适用于网上投标；（投标文件制作软件可从“下载地址：https://www.szggzy.com/jyfw/details.html?contentId=2053275深圳市自行采购系统投标文件编制工具”下载）</w:t>
      </w:r>
    </w:p>
    <w:p>
      <w:pPr>
        <w:ind w:firstLine="411" w:firstLineChars="196"/>
        <w:rPr>
          <w:rFonts w:ascii="宋体" w:hAnsi="宋体"/>
          <w:szCs w:val="21"/>
        </w:rPr>
      </w:pPr>
      <w:r>
        <w:rPr>
          <w:rFonts w:hint="eastAsia" w:ascii="宋体" w:hAnsi="宋体"/>
          <w:szCs w:val="21"/>
        </w:rPr>
        <w:t>3.8“网上投标”指通过</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网站上传电子投标文件；</w:t>
      </w:r>
    </w:p>
    <w:p>
      <w:pPr>
        <w:ind w:firstLine="411" w:firstLineChars="196"/>
        <w:rPr>
          <w:rFonts w:ascii="宋体" w:hAnsi="宋体"/>
          <w:szCs w:val="21"/>
        </w:rPr>
      </w:pPr>
      <w:r>
        <w:rPr>
          <w:rFonts w:hint="eastAsia" w:ascii="宋体" w:hAnsi="宋体"/>
          <w:szCs w:val="21"/>
        </w:rPr>
        <w:t>3.9招标文件中的标题或题名仅起引导作用，而不应视为对招标文件内容的理解和解释。</w:t>
      </w:r>
    </w:p>
    <w:p>
      <w:pPr>
        <w:rPr>
          <w:rFonts w:ascii="黑体" w:hAnsi="宋体" w:eastAsia="黑体"/>
          <w:sz w:val="24"/>
        </w:rPr>
      </w:pPr>
      <w:r>
        <w:rPr>
          <w:rFonts w:hint="eastAsia" w:ascii="黑体" w:hAnsi="宋体" w:eastAsia="黑体"/>
          <w:sz w:val="24"/>
        </w:rPr>
        <w:t xml:space="preserve">4. </w:t>
      </w:r>
      <w:bookmarkStart w:id="37" w:name="_Hlk72398643"/>
      <w:r>
        <w:rPr>
          <w:rFonts w:hint="eastAsia" w:ascii="黑体" w:hAnsi="宋体" w:eastAsia="黑体"/>
          <w:sz w:val="24"/>
        </w:rPr>
        <w:t>政府采购供应商责任</w:t>
      </w:r>
    </w:p>
    <w:p>
      <w:pPr>
        <w:ind w:firstLine="411" w:firstLineChars="196"/>
        <w:rPr>
          <w:rFonts w:ascii="宋体" w:hAnsi="宋体"/>
          <w:szCs w:val="21"/>
        </w:rPr>
      </w:pPr>
      <w:r>
        <w:rPr>
          <w:rFonts w:hint="eastAsia" w:ascii="宋体" w:hAnsi="宋体"/>
          <w:szCs w:val="21"/>
        </w:rPr>
        <w:t>4.1欢迎诚信、有实力和有社会责任心的供应商参与政府采购事业。</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rPr>
      </w:pPr>
      <w:r>
        <w:rPr>
          <w:rFonts w:hint="eastAsia" w:ascii="黑体" w:hAnsi="宋体" w:eastAsia="黑体"/>
          <w:sz w:val="24"/>
        </w:rPr>
        <w:t>5．投标人参加政府采购的条件</w:t>
      </w:r>
    </w:p>
    <w:p>
      <w:pPr>
        <w:ind w:firstLine="411" w:firstLineChars="196"/>
        <w:jc w:val="left"/>
        <w:rPr>
          <w:rFonts w:ascii="宋体" w:hAnsi="宋体"/>
          <w:szCs w:val="21"/>
        </w:rPr>
      </w:pPr>
      <w:r>
        <w:rPr>
          <w:rFonts w:hint="eastAsia" w:ascii="宋体" w:hAnsi="宋体"/>
          <w:szCs w:val="21"/>
        </w:rPr>
        <w:t>5.1投标人应在投标前到</w:t>
      </w:r>
      <w:r>
        <w:rPr>
          <w:rFonts w:hint="eastAsia" w:ascii="宋体" w:hAnsi="宋体"/>
          <w:b/>
          <w:bCs/>
          <w:szCs w:val="21"/>
        </w:rPr>
        <w:t>深圳公共资源交易中心（具体在深圳交易集团有限公司政府采购业务分公司进行办理）</w:t>
      </w:r>
      <w:r>
        <w:rPr>
          <w:rFonts w:hint="eastAsia" w:ascii="宋体" w:hAnsi="宋体"/>
          <w:szCs w:val="21"/>
        </w:rPr>
        <w:t>进行注册并办理电子密钥。《供应商注册及信息变更指引》详见www.szggzy.com网站“交易服务指南-政府采购”</w:t>
      </w:r>
      <w:r>
        <w:rPr>
          <w:rFonts w:hint="eastAsia" w:ascii="宋体" w:hAnsi="宋体"/>
          <w:szCs w:val="21"/>
          <w:lang w:val="en-US" w:eastAsia="zh-CN"/>
        </w:rPr>
        <w:t>。</w:t>
      </w:r>
    </w:p>
    <w:p>
      <w:pPr>
        <w:ind w:firstLine="411" w:firstLineChars="196"/>
        <w:rPr>
          <w:rFonts w:ascii="宋体" w:hAnsi="宋体"/>
          <w:szCs w:val="21"/>
        </w:rPr>
      </w:pPr>
      <w:r>
        <w:rPr>
          <w:rFonts w:hint="eastAsia" w:ascii="宋体" w:hAnsi="宋体"/>
          <w:szCs w:val="21"/>
        </w:rPr>
        <w:t>5.2投标人资格要求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 “投标人资格要求”（即申请人的资格要求）的内容。</w:t>
      </w:r>
    </w:p>
    <w:p>
      <w:pPr>
        <w:ind w:firstLine="411" w:firstLineChars="196"/>
        <w:rPr>
          <w:rFonts w:ascii="宋体" w:hAnsi="宋体"/>
          <w:szCs w:val="21"/>
        </w:rPr>
      </w:pPr>
      <w:r>
        <w:rPr>
          <w:rFonts w:hint="eastAsia" w:ascii="宋体" w:hAnsi="宋体"/>
          <w:szCs w:val="21"/>
        </w:rPr>
        <w:t>5.3联合体投标</w:t>
      </w:r>
    </w:p>
    <w:p>
      <w:pPr>
        <w:ind w:firstLine="411" w:firstLineChars="196"/>
        <w:rPr>
          <w:rFonts w:ascii="宋体" w:hAnsi="宋体"/>
          <w:szCs w:val="21"/>
        </w:rPr>
      </w:pPr>
      <w:r>
        <w:rPr>
          <w:rFonts w:hint="eastAsia" w:ascii="宋体" w:hAnsi="宋体"/>
          <w:szCs w:val="21"/>
        </w:rPr>
        <w:t>5.3.1　以下有关联合体投标的条款仅适用于允许投标人组成联合体投标的项目。</w:t>
      </w:r>
    </w:p>
    <w:p>
      <w:pPr>
        <w:ind w:firstLine="411" w:firstLineChars="196"/>
        <w:rPr>
          <w:rFonts w:ascii="宋体" w:hAnsi="宋体"/>
          <w:szCs w:val="21"/>
        </w:rPr>
      </w:pPr>
      <w:r>
        <w:rPr>
          <w:rFonts w:hint="eastAsia" w:ascii="宋体" w:hAnsi="宋体"/>
          <w:szCs w:val="21"/>
        </w:rPr>
        <w:t>5.3.2  由两个或两个以上的自然人、法人或者其他组织可以组成一个联合体，以一个供应商的身份共同投标时，应符合以下原则：</w:t>
      </w:r>
    </w:p>
    <w:p>
      <w:pPr>
        <w:ind w:firstLine="411" w:firstLineChars="196"/>
        <w:rPr>
          <w:rFonts w:ascii="宋体" w:hAnsi="宋体"/>
        </w:rPr>
      </w:pPr>
      <w:r>
        <w:rPr>
          <w:rFonts w:hint="eastAsia" w:ascii="宋体" w:hAnsi="宋体"/>
        </w:rPr>
        <w:t>（1）投标联合体各方参加政府采购活动应当具备下列条件：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5、参加政府采购活动前三年内，在经营活动中没有重大违法记录；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（2）在投标截止前，投标联合体各方均应注册成政府集中采购机构供应商；</w:t>
      </w:r>
    </w:p>
    <w:p>
      <w:pPr>
        <w:ind w:firstLine="411" w:firstLineChars="196"/>
        <w:rPr>
          <w:rFonts w:ascii="宋体" w:hAnsi="宋体"/>
        </w:rPr>
      </w:pPr>
      <w:r>
        <w:rPr>
          <w:rFonts w:hint="eastAsia" w:ascii="宋体" w:hAnsi="宋体"/>
        </w:rPr>
        <w:t>（3）联合体中有同类资质的供应商按照联合体分工承担相同工作的，应当按照资质等级较低的供应商确定资质等级；</w:t>
      </w:r>
    </w:p>
    <w:p>
      <w:pPr>
        <w:ind w:firstLine="411" w:firstLineChars="196"/>
      </w:pPr>
      <w:r>
        <w:rPr>
          <w:rFonts w:hint="eastAsia"/>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rPr>
      </w:pPr>
      <w:r>
        <w:rPr>
          <w:rFonts w:hint="eastAsia" w:ascii="宋体" w:hAnsi="宋体"/>
        </w:rPr>
        <w:t>（5）投标人的投标文件及中标后签署的合同协议对联合体各方均具法律约束力；</w:t>
      </w:r>
    </w:p>
    <w:p>
      <w:pPr>
        <w:ind w:firstLine="411" w:firstLineChars="196"/>
        <w:rPr>
          <w:rFonts w:ascii="宋体" w:hAnsi="宋体"/>
        </w:rPr>
      </w:pPr>
      <w:r>
        <w:rPr>
          <w:rFonts w:hint="eastAsia" w:ascii="宋体" w:hAnsi="宋体"/>
        </w:rPr>
        <w:t>（6）联合体各方应当签订联合体投标协议，明确约定各方拟承担的工作和责任，并将该协议随投标文件一并递交给政府集中采购机构；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rPr>
      </w:pPr>
      <w:r>
        <w:rPr>
          <w:rFonts w:hint="eastAsia" w:ascii="宋体" w:hAnsi="宋体"/>
        </w:rPr>
        <w:t>（9）本通用条款中“投标人”一词亦指联合体各方，专用条款另有规定或说明的除外。</w:t>
      </w:r>
    </w:p>
    <w:p>
      <w:pPr>
        <w:rPr>
          <w:rFonts w:ascii="黑体" w:hAnsi="宋体" w:eastAsia="黑体"/>
          <w:sz w:val="24"/>
        </w:rPr>
      </w:pPr>
      <w:r>
        <w:rPr>
          <w:rFonts w:hint="eastAsia" w:ascii="黑体" w:hAnsi="宋体" w:eastAsia="黑体"/>
          <w:sz w:val="24"/>
        </w:rPr>
        <w:t>6．政策导向</w:t>
      </w:r>
    </w:p>
    <w:p>
      <w:pPr>
        <w:ind w:firstLine="411" w:firstLineChars="196"/>
        <w:rPr>
          <w:rFonts w:ascii="宋体" w:hAnsi="宋体"/>
        </w:rPr>
      </w:pPr>
      <w:r>
        <w:rPr>
          <w:rFonts w:hint="eastAsia" w:ascii="宋体" w:hAnsi="宋体"/>
        </w:rPr>
        <w:t>6.1</w:t>
      </w:r>
      <w:r>
        <w:rPr>
          <w:rFonts w:ascii="宋体" w:hAnsi="宋体"/>
        </w:rPr>
        <w:t xml:space="preserve">  </w:t>
      </w:r>
      <w:r>
        <w:rPr>
          <w:rFonts w:hint="eastAsia" w:ascii="宋体" w:hAnsi="宋体"/>
        </w:rPr>
        <w:t>政府采购扶持贫困地区、中小企业、监狱企业和残疾人福利性单位发展，支持节能减排、环境保护。</w:t>
      </w:r>
    </w:p>
    <w:p>
      <w:pPr>
        <w:ind w:firstLine="405"/>
        <w:rPr>
          <w:rFonts w:hint="eastAsia" w:ascii="宋体" w:hAnsi="宋体"/>
        </w:rPr>
      </w:pPr>
      <w:r>
        <w:rPr>
          <w:rFonts w:hint="eastAsia" w:ascii="宋体" w:hAnsi="宋体"/>
        </w:rPr>
        <w:t>6.2</w:t>
      </w:r>
      <w:r>
        <w:rPr>
          <w:rFonts w:ascii="宋体" w:hAnsi="宋体"/>
        </w:rPr>
        <w:t xml:space="preserve">  </w:t>
      </w:r>
      <w:r>
        <w:rPr>
          <w:rFonts w:hint="eastAsia" w:ascii="宋体" w:hAnsi="宋体"/>
        </w:rPr>
        <w:t>本项目落实深圳市政府采购供应商诚信管理政策要求。</w:t>
      </w:r>
    </w:p>
    <w:p>
      <w:pPr>
        <w:ind w:firstLine="405"/>
        <w:rPr>
          <w:rFonts w:hint="default" w:eastAsia="宋体"/>
          <w:lang w:val="en-US" w:eastAsia="zh-CN"/>
        </w:rPr>
      </w:pPr>
      <w:r>
        <w:rPr>
          <w:rFonts w:hint="eastAsia" w:ascii="宋体" w:hAnsi="宋体"/>
          <w:lang w:val="en-US" w:eastAsia="zh-CN"/>
        </w:rPr>
        <w:t>6.3  本项目支持投标人性别平等的相关政策。</w:t>
      </w:r>
    </w:p>
    <w:p>
      <w:pPr>
        <w:rPr>
          <w:rFonts w:ascii="黑体" w:hAnsi="宋体" w:eastAsia="黑体"/>
          <w:sz w:val="24"/>
        </w:rPr>
      </w:pPr>
      <w:r>
        <w:rPr>
          <w:rFonts w:hint="eastAsia" w:ascii="黑体" w:hAnsi="宋体" w:eastAsia="黑体"/>
          <w:sz w:val="24"/>
        </w:rPr>
        <w:t>7. 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w:t>
      </w:r>
      <w:bookmarkStart w:id="38" w:name="_Hlk72152753"/>
      <w:r>
        <w:rPr>
          <w:rFonts w:hint="eastAsia" w:ascii="宋体" w:hAnsi="宋体"/>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8"/>
    </w:p>
    <w:p>
      <w:pPr>
        <w:ind w:firstLine="411" w:firstLineChars="196"/>
        <w:rPr>
          <w:rFonts w:ascii="宋体" w:hAnsi="宋体"/>
        </w:rPr>
      </w:pPr>
      <w:r>
        <w:rPr>
          <w:rFonts w:hint="eastAsia" w:ascii="宋体" w:hAnsi="宋体"/>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工期要求：投标人在投标时对其所投项目应提交交货进度、交货计划等，在合同规定的时间内完成项目实施工作。</w:t>
      </w:r>
    </w:p>
    <w:p>
      <w:pPr>
        <w:ind w:firstLine="411" w:firstLineChars="196"/>
        <w:rPr>
          <w:rFonts w:ascii="宋体" w:hAnsi="宋体"/>
        </w:rPr>
      </w:pPr>
      <w:r>
        <w:rPr>
          <w:rFonts w:hint="eastAsia" w:ascii="宋体" w:hAnsi="宋体"/>
        </w:rPr>
        <w:t>7.7  投标人必须承担的设备运输、安装调试、验收检测和提供设备操作说明书、图纸等其他相关及类似的义务。</w:t>
      </w:r>
    </w:p>
    <w:p>
      <w:pPr>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rPr>
          <w:rFonts w:ascii="黑体" w:hAnsi="宋体" w:eastAsia="黑体"/>
          <w:sz w:val="24"/>
        </w:rPr>
      </w:pPr>
      <w:r>
        <w:rPr>
          <w:rFonts w:hint="eastAsia" w:ascii="黑体" w:hAnsi="宋体" w:eastAsia="黑体"/>
          <w:sz w:val="24"/>
        </w:rPr>
        <w:t>9．踏勘现场</w:t>
      </w:r>
    </w:p>
    <w:p>
      <w:pPr>
        <w:ind w:firstLine="411" w:firstLineChars="196"/>
        <w:rPr>
          <w:rFonts w:ascii="宋体" w:hAnsi="宋体"/>
          <w:szCs w:val="21"/>
        </w:rPr>
      </w:pPr>
      <w:r>
        <w:rPr>
          <w:rFonts w:hint="eastAsia" w:ascii="宋体" w:hAnsi="宋体"/>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9.3采购人应当通过政府集中采购机构向投标人提供有关现场的书面资料和数据。</w:t>
      </w:r>
    </w:p>
    <w:p>
      <w:pPr>
        <w:ind w:firstLine="411" w:firstLineChars="196"/>
        <w:rPr>
          <w:rFonts w:ascii="宋体" w:hAnsi="宋体"/>
        </w:rPr>
      </w:pPr>
      <w:r>
        <w:rPr>
          <w:rFonts w:hint="eastAsia" w:ascii="宋体" w:hAnsi="宋体"/>
        </w:rPr>
        <w:t>9.4任何人或任何组织在踏勘现场时向投标人提供的任何书面资料或口头承诺，未经政府集中采购机构在网上发布或书面通知，均作无效处理。</w:t>
      </w:r>
    </w:p>
    <w:p>
      <w:pPr>
        <w:ind w:firstLine="411" w:firstLineChars="196"/>
        <w:rPr>
          <w:rFonts w:ascii="宋体" w:hAnsi="宋体"/>
        </w:rPr>
      </w:pPr>
      <w:r>
        <w:rPr>
          <w:rFonts w:ascii="宋体" w:hAnsi="宋体"/>
          <w:szCs w:val="21"/>
        </w:rPr>
        <w:t>9</w:t>
      </w:r>
      <w:r>
        <w:rPr>
          <w:rFonts w:hint="eastAsia" w:ascii="宋体" w:hAnsi="宋体"/>
          <w:szCs w:val="21"/>
        </w:rPr>
        <w:t>.</w:t>
      </w:r>
      <w:r>
        <w:rPr>
          <w:rFonts w:ascii="宋体" w:hAnsi="宋体"/>
          <w:szCs w:val="21"/>
        </w:rPr>
        <w:t>5</w:t>
      </w:r>
      <w:r>
        <w:rPr>
          <w:rFonts w:hint="eastAsia" w:ascii="宋体" w:hAnsi="宋体"/>
          <w:szCs w:val="21"/>
        </w:rPr>
        <w:t>未参与踏勘现场不作为否定投标人资格的理由。</w:t>
      </w:r>
    </w:p>
    <w:p>
      <w:pPr>
        <w:rPr>
          <w:rFonts w:ascii="宋体" w:hAnsi="宋体"/>
          <w:szCs w:val="21"/>
        </w:rPr>
      </w:pPr>
      <w:r>
        <w:rPr>
          <w:rFonts w:hint="eastAsia" w:ascii="黑体" w:hAnsi="宋体" w:eastAsia="黑体"/>
          <w:sz w:val="24"/>
        </w:rPr>
        <w:t>1</w:t>
      </w:r>
      <w:r>
        <w:rPr>
          <w:rFonts w:ascii="黑体" w:hAnsi="宋体" w:eastAsia="黑体"/>
          <w:sz w:val="24"/>
        </w:rPr>
        <w:t>0</w:t>
      </w:r>
      <w:r>
        <w:rPr>
          <w:rFonts w:hint="eastAsia" w:ascii="黑体" w:hAnsi="宋体" w:eastAsia="黑体"/>
          <w:sz w:val="24"/>
        </w:rPr>
        <w:t>．标前会议</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1</w:t>
      </w:r>
      <w:r>
        <w:rPr>
          <w:rFonts w:hint="eastAsia" w:ascii="宋体" w:hAnsi="宋体"/>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rPr>
      </w:pPr>
      <w:r>
        <w:rPr>
          <w:rFonts w:ascii="宋体" w:hAnsi="宋体"/>
        </w:rPr>
        <w:t>10</w:t>
      </w:r>
      <w:r>
        <w:rPr>
          <w:rFonts w:hint="eastAsia" w:ascii="宋体" w:hAnsi="宋体"/>
        </w:rPr>
        <w:t>.</w:t>
      </w:r>
      <w:r>
        <w:rPr>
          <w:rFonts w:ascii="宋体" w:hAnsi="宋体"/>
        </w:rPr>
        <w:t>2</w:t>
      </w:r>
      <w:r>
        <w:rPr>
          <w:rFonts w:hint="eastAsia" w:ascii="宋体" w:hAnsi="宋体"/>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3</w:t>
      </w:r>
      <w:r>
        <w:rPr>
          <w:rFonts w:hint="eastAsia" w:ascii="宋体" w:hAnsi="宋体"/>
          <w:szCs w:val="21"/>
        </w:rPr>
        <w:t>未参与标前会议不作为否定投标人资格的理由。</w:t>
      </w:r>
    </w:p>
    <w:bookmarkEnd w:id="37"/>
    <w:p>
      <w:pPr>
        <w:ind w:firstLine="411" w:firstLineChars="196"/>
        <w:rPr>
          <w:rFonts w:ascii="宋体" w:hAnsi="宋体"/>
        </w:rPr>
      </w:pPr>
    </w:p>
    <w:p>
      <w:pPr>
        <w:pStyle w:val="5"/>
        <w:numPr>
          <w:ilvl w:val="0"/>
          <w:numId w:val="4"/>
        </w:numPr>
        <w:spacing w:before="120" w:beforeLines="50" w:after="120" w:afterLines="50"/>
        <w:ind w:left="562" w:hanging="562"/>
        <w:rPr>
          <w:sz w:val="28"/>
          <w:szCs w:val="28"/>
        </w:rPr>
      </w:pPr>
      <w:r>
        <w:rPr>
          <w:rFonts w:hint="eastAsia"/>
          <w:sz w:val="28"/>
          <w:szCs w:val="28"/>
        </w:rPr>
        <w:t>招标文件</w:t>
      </w:r>
    </w:p>
    <w:p>
      <w:pPr>
        <w:rPr>
          <w:rFonts w:ascii="黑体" w:hAnsi="宋体" w:eastAsia="黑体"/>
          <w:sz w:val="24"/>
        </w:rPr>
      </w:pPr>
      <w:r>
        <w:rPr>
          <w:rFonts w:hint="eastAsia" w:ascii="黑体" w:hAnsi="宋体" w:eastAsia="黑体"/>
          <w:sz w:val="24"/>
        </w:rPr>
        <w:t>1</w:t>
      </w:r>
      <w:r>
        <w:rPr>
          <w:rFonts w:ascii="黑体" w:hAnsi="宋体" w:eastAsia="黑体"/>
          <w:sz w:val="24"/>
        </w:rPr>
        <w:t>1</w:t>
      </w:r>
      <w:r>
        <w:rPr>
          <w:rFonts w:hint="eastAsia" w:ascii="黑体" w:hAnsi="宋体" w:eastAsia="黑体"/>
          <w:sz w:val="24"/>
        </w:rPr>
        <w:t>．</w:t>
      </w:r>
      <w:bookmarkStart w:id="39" w:name="_Hlk72399819"/>
      <w:r>
        <w:rPr>
          <w:rFonts w:hint="eastAsia" w:ascii="黑体" w:hAnsi="宋体" w:eastAsia="黑体"/>
          <w:sz w:val="24"/>
        </w:rPr>
        <w:t>招标文件的编制与组成</w:t>
      </w:r>
    </w:p>
    <w:p>
      <w:pPr>
        <w:snapToGrid w:val="0"/>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3"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第三章  用户需求书</w:t>
      </w:r>
    </w:p>
    <w:p>
      <w:pPr>
        <w:ind w:left="630" w:leftChars="300" w:firstLine="411" w:firstLineChars="196"/>
        <w:rPr>
          <w:rFonts w:ascii="宋体" w:hAnsi="宋体"/>
          <w:szCs w:val="21"/>
        </w:rPr>
      </w:pPr>
      <w:r>
        <w:rPr>
          <w:rFonts w:hint="eastAsia"/>
        </w:rPr>
        <w:t xml:space="preserve">第四章 </w:t>
      </w:r>
      <w:r>
        <w:t xml:space="preserve"> </w:t>
      </w:r>
      <w:r>
        <w:rPr>
          <w:rFonts w:hint="eastAsia"/>
        </w:rPr>
        <w:t>投标文件格式及附件</w:t>
      </w:r>
    </w:p>
    <w:p>
      <w:pPr>
        <w:ind w:left="630" w:leftChars="300" w:firstLine="411" w:firstLineChars="196"/>
        <w:rPr>
          <w:rFonts w:ascii="宋体" w:hAnsi="宋体"/>
          <w:szCs w:val="21"/>
        </w:rPr>
      </w:pPr>
      <w:r>
        <w:rPr>
          <w:rFonts w:hint="eastAsia" w:ascii="宋体" w:hAnsi="宋体"/>
          <w:szCs w:val="21"/>
        </w:rPr>
        <w:t>第五章  合同条款及格式</w:t>
      </w:r>
    </w:p>
    <w:p>
      <w:pPr>
        <w:ind w:left="420" w:leftChars="200" w:firstLine="413" w:firstLineChars="196"/>
        <w:rPr>
          <w:rFonts w:ascii="宋体" w:hAnsi="宋体"/>
          <w:b/>
          <w:szCs w:val="21"/>
        </w:rPr>
      </w:pPr>
      <w:r>
        <w:rPr>
          <w:rFonts w:hint="eastAsia" w:ascii="宋体" w:hAnsi="宋体"/>
          <w:b/>
          <w:szCs w:val="21"/>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.3</w:t>
      </w:r>
      <w:r>
        <w:rPr>
          <w:rFonts w:hint="eastAsia" w:ascii="宋体" w:hAnsi="宋体"/>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rPr>
      </w:pPr>
      <w:r>
        <w:rPr>
          <w:rFonts w:hint="eastAsia" w:ascii="黑体" w:hAnsi="宋体" w:eastAsia="黑体"/>
          <w:sz w:val="24"/>
        </w:rPr>
        <w:t>1</w:t>
      </w:r>
      <w:r>
        <w:rPr>
          <w:rFonts w:ascii="黑体" w:hAnsi="宋体" w:eastAsia="黑体"/>
          <w:sz w:val="24"/>
        </w:rPr>
        <w:t>2</w:t>
      </w:r>
      <w:r>
        <w:rPr>
          <w:rFonts w:hint="eastAsia" w:ascii="黑体" w:hAnsi="宋体" w:eastAsia="黑体"/>
          <w:sz w:val="24"/>
        </w:rPr>
        <w:t>．招标文件的澄清</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.1招标文件澄清的目的是澄清、解答投标人在查阅招标文件后或现场踏勘中可能提出的与投标有关的疑问或询问。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hint="eastAsia" w:ascii="宋体" w:hAnsi="宋体"/>
          <w:szCs w:val="21"/>
        </w:rPr>
        <w:t>、1</w:t>
      </w:r>
      <w:r>
        <w:rPr>
          <w:rFonts w:ascii="宋体" w:hAnsi="宋体"/>
          <w:szCs w:val="21"/>
        </w:rPr>
        <w:t>3.4</w:t>
      </w:r>
      <w:r>
        <w:rPr>
          <w:rFonts w:hint="eastAsia" w:ascii="宋体" w:hAnsi="宋体"/>
          <w:szCs w:val="21"/>
        </w:rPr>
        <w:t>款规定执行。</w:t>
      </w:r>
    </w:p>
    <w:p>
      <w:pPr>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39"/>
    </w:p>
    <w:p>
      <w:pPr>
        <w:rPr>
          <w:rFonts w:ascii="宋体" w:hAnsi="宋体"/>
          <w:szCs w:val="21"/>
        </w:rPr>
      </w:pPr>
    </w:p>
    <w:p>
      <w:pPr>
        <w:pStyle w:val="5"/>
        <w:numPr>
          <w:ilvl w:val="0"/>
          <w:numId w:val="4"/>
        </w:numPr>
        <w:spacing w:before="120" w:beforeLines="50" w:after="120" w:afterLines="50"/>
        <w:ind w:left="562" w:hanging="562"/>
        <w:rPr>
          <w:sz w:val="28"/>
          <w:szCs w:val="28"/>
        </w:rPr>
      </w:pPr>
      <w:r>
        <w:rPr>
          <w:rFonts w:hint="eastAsia"/>
          <w:sz w:val="28"/>
          <w:szCs w:val="28"/>
        </w:rPr>
        <w:t>投标文件的编制</w:t>
      </w:r>
    </w:p>
    <w:p>
      <w:pPr>
        <w:rPr>
          <w:rFonts w:ascii="黑体" w:hAnsi="宋体" w:eastAsia="黑体"/>
          <w:sz w:val="24"/>
        </w:rPr>
      </w:pPr>
      <w:r>
        <w:rPr>
          <w:rFonts w:hint="eastAsia" w:ascii="黑体" w:hAnsi="宋体" w:eastAsia="黑体"/>
          <w:sz w:val="24"/>
        </w:rPr>
        <w:t>14．</w:t>
      </w:r>
      <w:bookmarkStart w:id="40" w:name="_Hlk72400236"/>
      <w:r>
        <w:rPr>
          <w:rFonts w:hint="eastAsia" w:ascii="黑体" w:hAnsi="宋体" w:eastAsia="黑体"/>
          <w:sz w:val="24"/>
        </w:rPr>
        <w:t>投标文件的语言及度量单位</w:t>
      </w:r>
    </w:p>
    <w:p>
      <w:pPr>
        <w:ind w:firstLine="411" w:firstLineChars="196"/>
        <w:rPr>
          <w:rFonts w:ascii="宋体" w:hAnsi="宋体"/>
          <w:szCs w:val="21"/>
        </w:rPr>
      </w:pPr>
      <w:r>
        <w:rPr>
          <w:rFonts w:hint="eastAsia" w:ascii="宋体" w:hAnsi="宋体"/>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bookmarkEnd w:id="40"/>
    <w:p>
      <w:pPr>
        <w:rPr>
          <w:rFonts w:ascii="黑体" w:hAnsi="宋体" w:eastAsia="黑体"/>
          <w:sz w:val="24"/>
        </w:rPr>
      </w:pPr>
      <w:r>
        <w:rPr>
          <w:rFonts w:hint="eastAsia" w:ascii="黑体" w:hAnsi="宋体" w:eastAsia="黑体"/>
          <w:sz w:val="24"/>
        </w:rPr>
        <w:t>15．</w:t>
      </w:r>
      <w:bookmarkStart w:id="41" w:name="_Hlk72401567"/>
      <w:r>
        <w:rPr>
          <w:rFonts w:hint="eastAsia" w:ascii="黑体" w:hAnsi="宋体" w:eastAsia="黑体"/>
          <w:sz w:val="24"/>
        </w:rPr>
        <w:t>投标文件的组成</w:t>
      </w:r>
    </w:p>
    <w:p>
      <w:pPr>
        <w:ind w:firstLine="411" w:firstLineChars="196"/>
        <w:rPr>
          <w:rFonts w:ascii="宋体" w:hAnsi="宋体"/>
          <w:szCs w:val="21"/>
        </w:rPr>
      </w:pPr>
      <w:r>
        <w:rPr>
          <w:rFonts w:hint="eastAsia" w:ascii="宋体" w:hAnsi="宋体"/>
          <w:szCs w:val="21"/>
        </w:rPr>
        <w:t>具体内容在招标文件专用条款中进行规定。</w:t>
      </w:r>
    </w:p>
    <w:p>
      <w:pPr>
        <w:rPr>
          <w:rFonts w:ascii="黑体" w:hAnsi="宋体" w:eastAsia="黑体"/>
          <w:sz w:val="24"/>
        </w:rPr>
      </w:pPr>
      <w:r>
        <w:rPr>
          <w:rFonts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w:t>
      </w:r>
      <w:r>
        <w:rPr>
          <w:rFonts w:ascii="宋体" w:hAnsi="宋体"/>
          <w:szCs w:val="21"/>
        </w:rPr>
        <w:t>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（表格均可按同样格式扩展）。</w:t>
      </w:r>
    </w:p>
    <w:p>
      <w:pPr>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本项目的投标报价应以人民币计。</w:t>
      </w:r>
    </w:p>
    <w:bookmarkEnd w:id="41"/>
    <w:p>
      <w:pPr>
        <w:rPr>
          <w:rFonts w:ascii="黑体" w:hAnsi="宋体" w:eastAsia="黑体"/>
          <w:sz w:val="24"/>
        </w:rPr>
      </w:pPr>
      <w:r>
        <w:rPr>
          <w:rFonts w:hint="eastAsia" w:ascii="黑体" w:hAnsi="宋体" w:eastAsia="黑体"/>
          <w:sz w:val="24"/>
        </w:rPr>
        <w:t>18．</w:t>
      </w:r>
      <w:bookmarkStart w:id="42" w:name="_Hlk72401735"/>
      <w:r>
        <w:rPr>
          <w:rFonts w:hint="eastAsia" w:ascii="黑体" w:hAnsi="宋体" w:eastAsia="黑体"/>
          <w:sz w:val="24"/>
        </w:rPr>
        <w:t>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hint="eastAsia" w:ascii="宋体" w:hAnsi="宋体"/>
          <w:szCs w:val="21"/>
        </w:rPr>
        <w:t>；</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w:t>
      </w:r>
      <w:r>
        <w:rPr>
          <w:rFonts w:hint="eastAsia" w:ascii="宋体" w:hAnsi="宋体"/>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18.5除非另有规定或说明，投标人对同一项目投标时，不得同时提供两套或两套以上的投标方案。</w:t>
      </w:r>
    </w:p>
    <w:bookmarkEnd w:id="42"/>
    <w:p>
      <w:pPr>
        <w:rPr>
          <w:rFonts w:ascii="黑体" w:hAnsi="宋体" w:eastAsia="黑体"/>
          <w:sz w:val="24"/>
        </w:rPr>
      </w:pPr>
      <w:r>
        <w:rPr>
          <w:rFonts w:hint="eastAsia" w:ascii="黑体" w:hAnsi="宋体" w:eastAsia="黑体"/>
          <w:sz w:val="24"/>
        </w:rPr>
        <w:t>19．</w:t>
      </w:r>
      <w:bookmarkStart w:id="43" w:name="_Hlk72402034"/>
      <w:r>
        <w:rPr>
          <w:rFonts w:hint="eastAsia" w:ascii="黑体" w:hAnsi="宋体" w:eastAsia="黑体"/>
          <w:sz w:val="24"/>
        </w:rPr>
        <w:t>投标文件其他证明文件的要求</w:t>
      </w:r>
    </w:p>
    <w:p>
      <w:pPr>
        <w:rPr>
          <w:rFonts w:ascii="宋体" w:hAnsi="宋体"/>
          <w:color w:val="FF0000"/>
          <w:szCs w:val="21"/>
        </w:rPr>
      </w:pPr>
      <w:r>
        <w:rPr>
          <w:rFonts w:hint="eastAsia" w:ascii="黑体" w:hAnsi="宋体" w:eastAsia="黑体"/>
          <w:sz w:val="24"/>
        </w:rPr>
        <w:t xml:space="preserve">    </w:t>
      </w:r>
      <w:r>
        <w:rPr>
          <w:rFonts w:hint="eastAsia" w:ascii="宋体" w:hAnsi="宋体"/>
          <w:szCs w:val="21"/>
        </w:rPr>
        <w:t>19.1</w:t>
      </w:r>
      <w:bookmarkStart w:id="44" w:name="_Hlk71407299"/>
      <w:r>
        <w:rPr>
          <w:rFonts w:hint="eastAsia" w:ascii="宋体" w:hAnsi="宋体"/>
          <w:szCs w:val="21"/>
        </w:rPr>
        <w:t>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采购人</w:t>
      </w:r>
      <w:r>
        <w:rPr>
          <w:rFonts w:hint="eastAsia" w:ascii="宋体" w:hAnsi="宋体"/>
          <w:szCs w:val="21"/>
          <w:lang w:eastAsia="zh-CN"/>
        </w:rPr>
        <w:t>、</w:t>
      </w:r>
      <w:r>
        <w:rPr>
          <w:rFonts w:hint="eastAsia" w:ascii="宋体" w:hAnsi="宋体"/>
          <w:szCs w:val="21"/>
        </w:rPr>
        <w:t>代理机构</w:t>
      </w:r>
      <w:r>
        <w:rPr>
          <w:rFonts w:hint="eastAsia" w:ascii="宋体" w:hAnsi="宋体"/>
          <w:szCs w:val="21"/>
          <w:lang w:val="en-US" w:eastAsia="zh-CN"/>
        </w:rPr>
        <w:t>以及</w:t>
      </w:r>
      <w:r>
        <w:rPr>
          <w:rFonts w:hint="eastAsia" w:ascii="宋体" w:hAnsi="宋体"/>
          <w:szCs w:val="21"/>
        </w:rPr>
        <w:t>评审委员会依据各自审查范围，有权认定其投标文件未对招标文件有关需求进行响应，涉及资格性审查或符合性审查的予以投标无效处理，涉及《评标信息》打分项的则该项评分予以0分处理。对供应商投标资料是否异常、是否有效问题进行核查和判定，如认为供应商投标资料有异常或无效的，若涉及资格性审查或符合性审查条款的，则应作投标无效处理；若涉及评分的，则作不得分处理。</w:t>
      </w:r>
    </w:p>
    <w:bookmarkEnd w:id="44"/>
    <w:p>
      <w:pPr>
        <w:ind w:firstLine="411" w:firstLineChars="196"/>
        <w:rPr>
          <w:rFonts w:ascii="宋体" w:hAnsi="宋体"/>
          <w:szCs w:val="21"/>
        </w:rPr>
      </w:pPr>
      <w:r>
        <w:rPr>
          <w:rFonts w:hint="eastAsia" w:ascii="宋体" w:hAnsi="宋体"/>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rPr>
      </w:pPr>
      <w:r>
        <w:rPr>
          <w:rFonts w:hint="eastAsia" w:ascii="黑体" w:hAnsi="宋体" w:eastAsia="黑体"/>
          <w:sz w:val="24"/>
        </w:rPr>
        <w:t>20．投标有效期</w:t>
      </w:r>
    </w:p>
    <w:bookmarkEnd w:id="43"/>
    <w:p>
      <w:pPr>
        <w:ind w:firstLine="411" w:firstLineChars="196"/>
        <w:rPr>
          <w:rFonts w:ascii="宋体" w:hAnsi="宋体"/>
          <w:szCs w:val="21"/>
        </w:rPr>
      </w:pPr>
      <w:bookmarkStart w:id="45" w:name="_Hlk72402214"/>
      <w:r>
        <w:rPr>
          <w:rFonts w:hint="eastAsia" w:ascii="宋体" w:hAnsi="宋体"/>
          <w:szCs w:val="21"/>
        </w:rPr>
        <w:t>20.1 投标有效期为</w:t>
      </w:r>
      <w:r>
        <w:rPr>
          <w:rFonts w:hint="eastAsia" w:ascii="Arial" w:hAnsi="Arial" w:cs="Arial"/>
          <w:szCs w:val="21"/>
        </w:rPr>
        <w:t>从投标截止之日算起的日历天数。</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中标供应商的投标文件有效期，截止于完成本招标文件规定的全部项目内容，并通过竣工验收及保修期结束。</w:t>
      </w:r>
    </w:p>
    <w:bookmarkEnd w:id="45"/>
    <w:p>
      <w:pPr>
        <w:rPr>
          <w:rFonts w:ascii="黑体" w:hAnsi="宋体" w:eastAsia="黑体"/>
          <w:sz w:val="24"/>
        </w:rPr>
      </w:pPr>
      <w:r>
        <w:rPr>
          <w:rFonts w:hint="eastAsia" w:ascii="黑体" w:hAnsi="宋体" w:eastAsia="黑体"/>
          <w:sz w:val="24"/>
        </w:rPr>
        <w:t>21．</w:t>
      </w:r>
      <w:bookmarkStart w:id="46" w:name="_Hlk72402325"/>
      <w:r>
        <w:rPr>
          <w:rFonts w:hint="eastAsia" w:ascii="黑体" w:hAnsi="宋体" w:eastAsia="黑体"/>
          <w:sz w:val="24"/>
        </w:rPr>
        <w:t xml:space="preserve">关于投标保证金 </w:t>
      </w:r>
    </w:p>
    <w:p>
      <w:pPr>
        <w:rPr>
          <w:rFonts w:ascii="宋体" w:hAnsi="宋体"/>
          <w:szCs w:val="21"/>
        </w:rPr>
      </w:pPr>
      <w:r>
        <w:rPr>
          <w:rFonts w:hint="eastAsia" w:ascii="宋体" w:hAnsi="宋体"/>
          <w:szCs w:val="21"/>
        </w:rPr>
        <w:t xml:space="preserve">    21.1</w:t>
      </w:r>
      <w:r>
        <w:rPr>
          <w:rFonts w:hint="eastAsia"/>
        </w:rPr>
        <w:t>根据《深圳市财政局关于调整政府采购投标（响应）保证金管理政策的通知》（深财购〔2021〕51号）文的规定，本项目不收取投标保证金。</w:t>
      </w:r>
    </w:p>
    <w:p>
      <w:pPr>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46"/>
    <w:p>
      <w:pPr>
        <w:rPr>
          <w:rFonts w:ascii="黑体" w:hAnsi="宋体" w:eastAsia="黑体"/>
          <w:sz w:val="24"/>
        </w:rPr>
      </w:pPr>
      <w:r>
        <w:rPr>
          <w:rFonts w:hint="eastAsia" w:ascii="黑体" w:hAnsi="宋体" w:eastAsia="黑体"/>
          <w:sz w:val="24"/>
        </w:rPr>
        <w:t>23．</w:t>
      </w:r>
      <w:bookmarkStart w:id="47" w:name="_Hlk72402860"/>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23.1投标人应准备所投项目的电子投标文件一份。</w:t>
      </w:r>
    </w:p>
    <w:p>
      <w:pPr>
        <w:ind w:firstLine="411" w:firstLineChars="196"/>
        <w:rPr>
          <w:rFonts w:ascii="宋体" w:hAnsi="宋体"/>
        </w:rPr>
      </w:pPr>
      <w:r>
        <w:rPr>
          <w:rFonts w:hint="eastAsia" w:ascii="宋体" w:hAnsi="宋体"/>
        </w:rPr>
        <w:t>23.2投标人在使用《投标书编制软件》编制投标书时须注意：</w:t>
      </w:r>
    </w:p>
    <w:p>
      <w:pPr>
        <w:ind w:firstLine="411" w:firstLineChars="196"/>
        <w:rPr>
          <w:rFonts w:ascii="宋体" w:hAnsi="宋体"/>
        </w:rPr>
      </w:pPr>
      <w:r>
        <w:rPr>
          <w:rFonts w:hint="eastAsia" w:ascii="宋体" w:hAnsi="宋体"/>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rPr>
      </w:pPr>
      <w:r>
        <w:rPr>
          <w:rFonts w:hint="eastAsia" w:ascii="宋体" w:hAnsi="宋体"/>
        </w:rPr>
        <w:t>23.2.2不能用非本公司的电子密钥加密本公司的投标文件，或者用其它公司的登录用户上传本公司的投标文件。</w:t>
      </w:r>
    </w:p>
    <w:p>
      <w:pPr>
        <w:ind w:firstLine="411" w:firstLineChars="196"/>
        <w:rPr>
          <w:rFonts w:ascii="宋体" w:hAnsi="宋体"/>
        </w:rPr>
      </w:pPr>
      <w:r>
        <w:rPr>
          <w:rFonts w:hint="eastAsia" w:ascii="宋体" w:hAnsi="宋体"/>
        </w:rPr>
        <w:t>23.2.3要求用《投标书编制软件》编制投标书的包，不能用其它方式编制投标书。编制投标文件时，电脑须连通互联网。</w:t>
      </w:r>
    </w:p>
    <w:p>
      <w:pPr>
        <w:ind w:firstLine="411" w:firstLineChars="196"/>
        <w:rPr>
          <w:rFonts w:ascii="宋体" w:hAnsi="宋体"/>
        </w:rPr>
      </w:pPr>
      <w:r>
        <w:rPr>
          <w:rFonts w:hint="eastAsia" w:ascii="宋体" w:hAnsi="宋体"/>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rPr>
      </w:pPr>
      <w:r>
        <w:rPr>
          <w:rFonts w:hint="eastAsia" w:ascii="宋体" w:hAnsi="宋体"/>
        </w:rPr>
        <w:t>23.2.6投标人在编辑投标文件时，</w:t>
      </w:r>
      <w:r>
        <w:rPr>
          <w:rFonts w:hint="eastAsia" w:ascii="宋体" w:hAnsi="宋体"/>
          <w:b/>
        </w:rPr>
        <w:t>在投标文件目录中属于本节点内容的必须在本节点中填写，填写到其他节点或附件，</w:t>
      </w:r>
      <w:r>
        <w:rPr>
          <w:rFonts w:hint="eastAsia" w:ascii="宋体" w:hAnsi="宋体"/>
        </w:rPr>
        <w:t>一切后果由供应商自行承担。</w:t>
      </w:r>
    </w:p>
    <w:p>
      <w:pPr>
        <w:ind w:firstLine="411" w:firstLineChars="196"/>
        <w:rPr>
          <w:rFonts w:ascii="宋体" w:hAnsi="宋体"/>
        </w:rPr>
      </w:pPr>
      <w:r>
        <w:rPr>
          <w:rFonts w:hint="eastAsia" w:ascii="宋体" w:hAnsi="宋体"/>
        </w:rPr>
        <w:t>23.2.7投标文件编写完成后，</w:t>
      </w:r>
      <w:r>
        <w:rPr>
          <w:rFonts w:hint="eastAsia" w:ascii="宋体" w:hAnsi="宋体"/>
          <w:b/>
        </w:rPr>
        <w:t>必须用属于投标人的电子密钥</w:t>
      </w:r>
      <w:r>
        <w:rPr>
          <w:rFonts w:hint="eastAsia" w:ascii="宋体" w:hAnsi="宋体"/>
          <w:b/>
          <w:lang w:val="en-US" w:eastAsia="zh-CN"/>
        </w:rPr>
        <w:t>或电子营业执照</w:t>
      </w:r>
      <w:r>
        <w:rPr>
          <w:rFonts w:hint="eastAsia" w:ascii="宋体" w:hAnsi="宋体"/>
          <w:b/>
        </w:rPr>
        <w:t>进行加密，否则视同未盖公章，将导致投标文件无效。</w:t>
      </w:r>
    </w:p>
    <w:p>
      <w:pPr>
        <w:ind w:firstLine="411" w:firstLineChars="196"/>
        <w:rPr>
          <w:rFonts w:ascii="宋体" w:hAnsi="宋体"/>
        </w:rPr>
      </w:pPr>
      <w:r>
        <w:rPr>
          <w:rFonts w:hint="eastAsia" w:ascii="宋体" w:hAnsi="宋体"/>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rPr>
      </w:pPr>
      <w:r>
        <w:rPr>
          <w:rFonts w:hint="eastAsia" w:ascii="宋体" w:hAnsi="宋体"/>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rPr>
      </w:pPr>
      <w:r>
        <w:rPr>
          <w:rFonts w:hint="eastAsia" w:ascii="宋体" w:hAnsi="宋体"/>
        </w:rPr>
        <w:t>23.3电报、电话、传真形式的投标概不接受。</w:t>
      </w:r>
    </w:p>
    <w:p>
      <w:pPr>
        <w:ind w:firstLine="413" w:firstLineChars="196"/>
        <w:rPr>
          <w:rFonts w:ascii="宋体" w:hAnsi="宋体"/>
          <w:b/>
        </w:rPr>
      </w:pPr>
      <w:r>
        <w:rPr>
          <w:rFonts w:hint="eastAsia" w:ascii="宋体" w:hAnsi="宋体"/>
          <w:b/>
        </w:rPr>
        <w:t>23.4经投标人电子密钥</w:t>
      </w:r>
      <w:r>
        <w:rPr>
          <w:rFonts w:hint="eastAsia" w:ascii="宋体" w:hAnsi="宋体"/>
          <w:b/>
          <w:lang w:val="en-US" w:eastAsia="zh-CN"/>
        </w:rPr>
        <w:t>或电子营业执照</w:t>
      </w:r>
      <w:r>
        <w:rPr>
          <w:rFonts w:hint="eastAsia" w:ascii="宋体" w:hAnsi="宋体"/>
          <w:b/>
        </w:rPr>
        <w:t>加密的投标文件无须盖章或签字，</w:t>
      </w:r>
      <w:r>
        <w:rPr>
          <w:rFonts w:hint="eastAsia" w:ascii="宋体" w:hAnsi="宋体"/>
        </w:rPr>
        <w:t>专用条款另有要求的除外。</w:t>
      </w:r>
    </w:p>
    <w:p>
      <w:pPr>
        <w:ind w:firstLine="413" w:firstLineChars="196"/>
        <w:rPr>
          <w:rFonts w:ascii="宋体" w:hAnsi="宋体"/>
        </w:rPr>
      </w:pPr>
      <w:r>
        <w:rPr>
          <w:rFonts w:hint="eastAsia" w:ascii="宋体" w:hAnsi="宋体"/>
          <w:b/>
        </w:rPr>
        <w:t>23.5</w:t>
      </w:r>
      <w:r>
        <w:rPr>
          <w:rFonts w:hint="eastAsia" w:ascii="宋体" w:hAnsi="宋体"/>
        </w:rPr>
        <w:t xml:space="preserve"> 各类资格（资质）文件提供扫描件，专用条款另有要求的除外。</w:t>
      </w:r>
      <w:bookmarkEnd w:id="47"/>
    </w:p>
    <w:p>
      <w:pPr>
        <w:ind w:firstLine="411" w:firstLineChars="196"/>
        <w:rPr>
          <w:rFonts w:ascii="宋体" w:hAnsi="宋体"/>
          <w:szCs w:val="21"/>
        </w:rPr>
      </w:pPr>
    </w:p>
    <w:p>
      <w:pPr>
        <w:pStyle w:val="5"/>
        <w:numPr>
          <w:ilvl w:val="0"/>
          <w:numId w:val="4"/>
        </w:numPr>
        <w:spacing w:before="120" w:beforeLines="50" w:after="120" w:afterLines="50"/>
        <w:ind w:left="562" w:hanging="562"/>
        <w:rPr>
          <w:sz w:val="28"/>
          <w:szCs w:val="28"/>
        </w:rPr>
      </w:pPr>
      <w:r>
        <w:rPr>
          <w:rFonts w:hint="eastAsia"/>
          <w:sz w:val="28"/>
          <w:szCs w:val="28"/>
        </w:rPr>
        <w:t>投标文件的递交</w:t>
      </w:r>
    </w:p>
    <w:p>
      <w:pPr>
        <w:rPr>
          <w:rFonts w:ascii="黑体" w:hAnsi="宋体" w:eastAsia="黑体"/>
          <w:sz w:val="24"/>
        </w:rPr>
      </w:pPr>
      <w:bookmarkStart w:id="48" w:name="_Hlk72405459"/>
      <w:r>
        <w:rPr>
          <w:rFonts w:hint="eastAsia" w:ascii="黑体" w:hAnsi="宋体" w:eastAsia="黑体"/>
          <w:sz w:val="24"/>
        </w:rPr>
        <w:t>24．投标文件的保密</w:t>
      </w:r>
    </w:p>
    <w:p>
      <w:pPr>
        <w:ind w:firstLine="411" w:firstLineChars="196"/>
        <w:rPr>
          <w:rFonts w:hint="eastAsia" w:ascii="宋体" w:hAnsi="宋体" w:eastAsiaTheme="minorEastAsia"/>
          <w:lang w:eastAsia="zh-CN"/>
        </w:rPr>
      </w:pPr>
      <w:r>
        <w:rPr>
          <w:rFonts w:hint="eastAsia" w:ascii="宋体" w:hAnsi="宋体"/>
        </w:rPr>
        <w:t>24.1在投标文件制作完成后，生成后会选择是否加密投标文件，如不加密则直接点击生成文件即可，如需加密请插入CA锁，点击加密后生成文件，需输入CA锁密码即可加密成功</w:t>
      </w:r>
      <w:r>
        <w:rPr>
          <w:rFonts w:hint="eastAsia" w:ascii="宋体" w:hAnsi="宋体"/>
          <w:lang w:eastAsia="zh-CN"/>
        </w:rPr>
        <w:t>。加密后会提示文件生成成功！</w:t>
      </w:r>
      <w:r>
        <w:rPr>
          <w:rFonts w:hint="eastAsia" w:ascii="宋体" w:hAnsi="宋体"/>
          <w:highlight w:val="yellow"/>
          <w:lang w:eastAsia="zh-CN"/>
        </w:rPr>
        <w:t>(注意：加密的投标文件开标时须使用加密文件时使用的锁在项目规定时间内解密！)</w:t>
      </w:r>
    </w:p>
    <w:p>
      <w:pPr>
        <w:rPr>
          <w:rFonts w:ascii="宋体" w:hAnsi="宋体"/>
          <w:b/>
        </w:rPr>
      </w:pPr>
      <w:r>
        <w:rPr>
          <w:rFonts w:hint="eastAsia" w:ascii="宋体" w:hAnsi="宋体"/>
          <w:b/>
        </w:rPr>
        <w:t>24.2若采购项目出现延期情况：</w:t>
      </w:r>
    </w:p>
    <w:p>
      <w:pPr>
        <w:ind w:firstLine="422" w:firstLineChars="200"/>
        <w:rPr>
          <w:rFonts w:ascii="黑体" w:hAnsi="宋体" w:eastAsia="黑体"/>
          <w:b/>
          <w:sz w:val="24"/>
        </w:rPr>
      </w:pPr>
      <w:r>
        <w:rPr>
          <w:rFonts w:hint="eastAsia" w:ascii="宋体" w:hAnsi="宋体"/>
          <w:b/>
        </w:rPr>
        <w:t>如果供下载的招标文件有更新，投标人必须重新下载招标文件、重新制作投标文件、重新加密投标文件、重新上传投标文件。</w:t>
      </w:r>
    </w:p>
    <w:p>
      <w:pPr>
        <w:rPr>
          <w:rFonts w:ascii="黑体" w:hAnsi="宋体" w:eastAsia="黑体"/>
          <w:sz w:val="24"/>
        </w:rPr>
      </w:pPr>
      <w:r>
        <w:rPr>
          <w:rFonts w:hint="eastAsia" w:ascii="黑体" w:hAnsi="宋体" w:eastAsia="黑体"/>
          <w:sz w:val="24"/>
        </w:rPr>
        <w:t>25．上传投标文件及投标截止日期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1实行网上投标，</w:t>
      </w:r>
      <w:r>
        <w:rPr>
          <w:rFonts w:ascii="宋体" w:hAnsi="宋体"/>
        </w:rPr>
        <w:t>投标人必须</w:t>
      </w:r>
      <w:r>
        <w:rPr>
          <w:rFonts w:hint="eastAsia" w:ascii="宋体" w:hAnsi="宋体"/>
        </w:rPr>
        <w:t>在招标</w:t>
      </w:r>
      <w:r>
        <w:rPr>
          <w:rFonts w:ascii="宋体" w:hAnsi="宋体"/>
        </w:rPr>
        <w:t>文件规定的投标截止时间前</w:t>
      </w:r>
      <w:r>
        <w:rPr>
          <w:rFonts w:hint="eastAsia" w:ascii="宋体" w:hAnsi="宋体"/>
        </w:rPr>
        <w:t>用电子密钥登录“深圳市自行采购系统（https://trade.szggzy.com/ggzy/center/#/login）”上传投标文件。如上传过程中遇到问题，可拨打</w:t>
      </w:r>
      <w:r>
        <w:rPr>
          <w:rFonts w:hint="eastAsia" w:ascii="宋体" w:hAnsi="宋体"/>
          <w:lang w:val="en-US" w:eastAsia="zh-CN"/>
        </w:rPr>
        <w:t>采购公告中的技术支持电话</w:t>
      </w:r>
      <w:r>
        <w:rPr>
          <w:rFonts w:hint="eastAsia" w:ascii="宋体" w:hAnsi="宋体"/>
        </w:rPr>
        <w:t>。如多次上传均告失败，请在投标截止时间之前携带加密后的电子投标文件送达至</w:t>
      </w:r>
      <w:r>
        <w:rPr>
          <w:rFonts w:hint="eastAsia" w:ascii="宋体" w:hAnsi="宋体"/>
          <w:b/>
          <w:bCs/>
          <w:szCs w:val="21"/>
        </w:rPr>
        <w:t>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lang w:val="en-US" w:eastAsia="zh-CN"/>
        </w:rPr>
        <w:t>一</w:t>
      </w:r>
      <w:r>
        <w:rPr>
          <w:rFonts w:hint="eastAsia" w:ascii="宋体" w:hAnsi="宋体"/>
          <w:b/>
          <w:bCs/>
        </w:rPr>
        <w:t>楼</w:t>
      </w:r>
      <w:r>
        <w:rPr>
          <w:rFonts w:hint="eastAsia" w:ascii="宋体" w:hAnsi="宋体"/>
          <w:b/>
          <w:bCs/>
          <w:lang w:val="en-US" w:eastAsia="zh-CN"/>
        </w:rPr>
        <w:t>服务大厅</w:t>
      </w:r>
      <w:r>
        <w:rPr>
          <w:rFonts w:hint="eastAsia" w:ascii="宋体" w:hAnsi="宋体"/>
          <w:b/>
          <w:bCs/>
        </w:rPr>
        <w:t>（地址：</w:t>
      </w:r>
      <w:r>
        <w:rPr>
          <w:rFonts w:hint="eastAsia" w:ascii="宋体" w:hAnsi="宋体"/>
          <w:b/>
          <w:bCs/>
          <w:lang w:val="en-US" w:eastAsia="zh-CN"/>
        </w:rPr>
        <w:t>深圳市宝安区湖滨东路40号</w:t>
      </w:r>
      <w:r>
        <w:rPr>
          <w:rFonts w:hint="eastAsia" w:ascii="宋体" w:hAnsi="宋体"/>
          <w:b/>
          <w:bCs/>
        </w:rPr>
        <w:t>）</w:t>
      </w:r>
      <w:r>
        <w:rPr>
          <w:rFonts w:ascii="宋体" w:hAnsi="宋体"/>
          <w:b/>
          <w:bCs/>
        </w:rPr>
        <w:t>协助上传</w:t>
      </w:r>
      <w:r>
        <w:rPr>
          <w:rFonts w:hint="eastAsia" w:ascii="宋体" w:hAnsi="宋体"/>
          <w:b/>
          <w:bCs/>
        </w:rPr>
        <w:t>，</w:t>
      </w:r>
      <w:r>
        <w:rPr>
          <w:rFonts w:ascii="宋体" w:hAnsi="宋体"/>
          <w:b/>
          <w:bCs/>
        </w:rPr>
        <w:t>但上传过程</w:t>
      </w:r>
      <w:r>
        <w:rPr>
          <w:rFonts w:hint="eastAsia" w:ascii="宋体" w:hAnsi="宋体"/>
          <w:b/>
          <w:bCs/>
        </w:rPr>
        <w:t>中</w:t>
      </w:r>
      <w:r>
        <w:rPr>
          <w:rFonts w:ascii="宋体" w:hAnsi="宋体"/>
          <w:b/>
          <w:bCs/>
        </w:rPr>
        <w:t>投标截止时间到达仍无法上传成功的，由投标人自行负责</w:t>
      </w:r>
      <w:r>
        <w:rPr>
          <w:rFonts w:hint="eastAsia" w:ascii="宋体" w:hAnsi="宋体"/>
        </w:rPr>
        <w:t>。</w:t>
      </w:r>
    </w:p>
    <w:p>
      <w:pPr>
        <w:ind w:firstLine="411" w:firstLineChars="196"/>
        <w:rPr>
          <w:rFonts w:ascii="宋体" w:hAnsi="宋体"/>
        </w:rPr>
      </w:pPr>
      <w:r>
        <w:rPr>
          <w:rFonts w:hint="eastAsia" w:ascii="宋体" w:hAnsi="宋体"/>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3投标截止时间以后不得上传投标文件。</w:t>
      </w:r>
    </w:p>
    <w:p>
      <w:pPr>
        <w:ind w:firstLine="411" w:firstLineChars="196"/>
        <w:rPr>
          <w:rFonts w:ascii="宋体" w:hAnsi="宋体"/>
        </w:rPr>
      </w:pPr>
    </w:p>
    <w:p>
      <w:pPr>
        <w:ind w:firstLine="411" w:firstLineChars="196"/>
        <w:rPr>
          <w:rFonts w:ascii="宋体" w:hAnsi="宋体"/>
        </w:rPr>
      </w:pPr>
    </w:p>
    <w:bookmarkEnd w:id="48"/>
    <w:p>
      <w:pPr>
        <w:rPr>
          <w:rFonts w:ascii="黑体" w:hAnsi="宋体" w:eastAsia="黑体"/>
          <w:sz w:val="24"/>
        </w:rPr>
      </w:pPr>
      <w:r>
        <w:rPr>
          <w:rFonts w:hint="eastAsia" w:ascii="黑体" w:hAnsi="宋体" w:eastAsia="黑体"/>
          <w:sz w:val="24"/>
        </w:rPr>
        <w:t>26. 样品、现场演示、方案讲解</w:t>
      </w:r>
    </w:p>
    <w:p>
      <w:pPr>
        <w:ind w:firstLine="411" w:firstLineChars="196"/>
        <w:rPr>
          <w:rFonts w:ascii="宋体" w:hAnsi="宋体"/>
          <w:szCs w:val="21"/>
        </w:rPr>
      </w:pPr>
      <w:r>
        <w:rPr>
          <w:rFonts w:hint="eastAsia" w:ascii="宋体" w:hAnsi="宋体"/>
          <w:szCs w:val="21"/>
        </w:rPr>
        <w:t>26.1 样品、现场演示、方案讲解等事项在招标文件专用条款中进行规定。</w:t>
      </w:r>
    </w:p>
    <w:p>
      <w:pPr>
        <w:rPr>
          <w:rFonts w:ascii="黑体" w:hAnsi="宋体" w:eastAsia="黑体"/>
          <w:sz w:val="24"/>
        </w:rPr>
      </w:pPr>
      <w:bookmarkStart w:id="49" w:name="_Hlk72428346"/>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投标方在提交投标文件后可对其投标文件进行修改</w:t>
      </w:r>
      <w:r>
        <w:rPr>
          <w:rFonts w:hint="eastAsia" w:ascii="宋体" w:hAnsi="宋体"/>
        </w:rPr>
        <w:t>并重新上传投标文件</w:t>
      </w:r>
      <w:r>
        <w:rPr>
          <w:rFonts w:ascii="宋体" w:hAnsi="宋体"/>
        </w:rPr>
        <w:t>或</w:t>
      </w:r>
      <w:r>
        <w:rPr>
          <w:rFonts w:hint="eastAsia" w:ascii="宋体" w:hAnsi="宋体"/>
        </w:rPr>
        <w:t>在网上进行</w:t>
      </w:r>
      <w:r>
        <w:rPr>
          <w:rFonts w:ascii="宋体" w:hAnsi="宋体"/>
        </w:rPr>
        <w:t>撤销</w:t>
      </w:r>
      <w:r>
        <w:rPr>
          <w:rFonts w:hint="eastAsia" w:ascii="宋体" w:hAnsi="宋体"/>
        </w:rPr>
        <w:t>投标的操作</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3从投标截止期至投标人在投标文件中确定的投标有效期之间的这段时间内，投标人不得撤回其投标。</w:t>
      </w:r>
    </w:p>
    <w:p>
      <w:pPr>
        <w:ind w:firstLine="411" w:firstLineChars="196"/>
        <w:rPr>
          <w:rFonts w:ascii="宋体" w:hAnsi="宋体"/>
          <w:szCs w:val="21"/>
        </w:rPr>
      </w:pPr>
      <w:r>
        <w:rPr>
          <w:rFonts w:hint="eastAsia" w:ascii="宋体" w:hAnsi="宋体"/>
          <w:szCs w:val="21"/>
        </w:rPr>
        <w:t>27.4政府集中采购机构不退还投标文件，专用条款另有规定的除外。</w:t>
      </w:r>
    </w:p>
    <w:bookmarkEnd w:id="49"/>
    <w:p>
      <w:pPr>
        <w:pStyle w:val="5"/>
        <w:numPr>
          <w:ilvl w:val="0"/>
          <w:numId w:val="4"/>
        </w:numPr>
        <w:spacing w:before="120" w:beforeLines="50" w:after="120" w:afterLines="50"/>
        <w:ind w:left="562" w:hanging="562"/>
        <w:rPr>
          <w:sz w:val="28"/>
          <w:szCs w:val="28"/>
        </w:rPr>
      </w:pPr>
      <w:r>
        <w:rPr>
          <w:rFonts w:hint="eastAsia"/>
          <w:sz w:val="28"/>
          <w:szCs w:val="28"/>
        </w:rPr>
        <w:t>开标</w:t>
      </w:r>
    </w:p>
    <w:p>
      <w:pPr>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1投标人须在开标当日的开标时间至解密截止时间内进行解密，逾期未解密的作无效处理。解密方法：登录“</w:t>
      </w:r>
      <w:r>
        <w:rPr>
          <w:rFonts w:hint="eastAsia" w:ascii="宋体" w:hAnsi="宋体"/>
        </w:rPr>
        <w:t>深圳市自行采购系统（https://trade.szggzy.com/ggzy/center/#/login）</w:t>
      </w:r>
      <w:r>
        <w:rPr>
          <w:rFonts w:hint="eastAsia" w:ascii="宋体" w:hAnsi="宋体"/>
          <w:szCs w:val="21"/>
        </w:rPr>
        <w:t>”，使用本单位制作电子投标文件同一个电子密钥进行在线解密、查询开标情况。</w:t>
      </w:r>
    </w:p>
    <w:p>
      <w:pPr>
        <w:ind w:firstLine="315" w:firstLineChars="150"/>
        <w:rPr>
          <w:rFonts w:ascii="宋体" w:hAnsi="宋体"/>
          <w:szCs w:val="21"/>
        </w:rPr>
      </w:pPr>
      <w:r>
        <w:rPr>
          <w:rFonts w:hint="eastAsia" w:ascii="宋体" w:hAnsi="宋体"/>
          <w:szCs w:val="21"/>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ind w:firstLine="315" w:firstLineChars="150"/>
        <w:rPr>
          <w:rFonts w:ascii="宋体" w:hAnsi="宋体"/>
          <w:szCs w:val="21"/>
        </w:rPr>
      </w:pPr>
    </w:p>
    <w:p>
      <w:pPr>
        <w:pStyle w:val="5"/>
        <w:numPr>
          <w:ilvl w:val="0"/>
          <w:numId w:val="4"/>
        </w:numPr>
        <w:spacing w:before="120" w:beforeLines="50" w:after="120" w:afterLines="50"/>
        <w:ind w:left="562" w:hanging="562"/>
        <w:rPr>
          <w:sz w:val="28"/>
          <w:szCs w:val="28"/>
        </w:rPr>
      </w:pPr>
      <w:r>
        <w:rPr>
          <w:rFonts w:hint="eastAsia"/>
          <w:sz w:val="28"/>
          <w:szCs w:val="28"/>
        </w:rPr>
        <w:t>评审要求</w:t>
      </w:r>
    </w:p>
    <w:p>
      <w:pPr>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29.1网上开标结束后召开评审会议，</w:t>
      </w:r>
      <w:r>
        <w:rPr>
          <w:rFonts w:hint="eastAsia" w:ascii="宋体" w:hAnsi="宋体"/>
          <w:szCs w:val="21"/>
        </w:rPr>
        <w:t>评审委员会</w:t>
      </w:r>
      <w:r>
        <w:rPr>
          <w:rFonts w:hint="eastAsia" w:ascii="宋体" w:hAnsi="宋体"/>
        </w:rPr>
        <w:t>由政府集中采购机构依法组建，负责评审活动。</w:t>
      </w:r>
    </w:p>
    <w:p>
      <w:pPr>
        <w:ind w:firstLine="411" w:firstLineChars="196"/>
        <w:rPr>
          <w:rFonts w:ascii="宋体" w:hAnsi="宋体"/>
        </w:rPr>
      </w:pPr>
      <w:bookmarkStart w:id="50" w:name="_Hlk72436580"/>
      <w:r>
        <w:rPr>
          <w:rFonts w:hint="eastAsia" w:ascii="宋体" w:hAnsi="宋体"/>
        </w:rPr>
        <w:t>评审委员会由采购人代表和评审专家组成，成员人数应当为5人以上单数（部分条件下为7人以上单数），其中评审专家不得少于成员总数的三分之二。</w:t>
      </w:r>
      <w:bookmarkEnd w:id="50"/>
      <w:r>
        <w:rPr>
          <w:rFonts w:hint="eastAsia" w:ascii="宋体" w:hAnsi="宋体"/>
        </w:rPr>
        <w:t>评定</w:t>
      </w:r>
      <w:r>
        <w:rPr>
          <w:rFonts w:hint="eastAsia"/>
        </w:rPr>
        <w:t>分离项目</w:t>
      </w:r>
      <w:r>
        <w:t>评审专家</w:t>
      </w:r>
      <w:r>
        <w:rPr>
          <w:rFonts w:hint="eastAsia"/>
        </w:rPr>
        <w:t>均</w:t>
      </w:r>
      <w:r>
        <w:t>由</w:t>
      </w:r>
      <w:r>
        <w:rPr>
          <w:rFonts w:hint="eastAsia"/>
        </w:rPr>
        <w:t>评审专家组成。</w:t>
      </w:r>
      <w:r>
        <w:rPr>
          <w:rFonts w:hint="eastAsia" w:ascii="宋体" w:hAnsi="宋体"/>
          <w:szCs w:val="21"/>
        </w:rPr>
        <w:t>评审专家一般是</w:t>
      </w:r>
      <w:r>
        <w:rPr>
          <w:rFonts w:hint="eastAsia" w:ascii="宋体" w:hAnsi="宋体"/>
        </w:rPr>
        <w:t>从深圳市政府采购评审专家库中随机抽取。采购人代表须持本单位签发的《评审授权书》参加评审。</w:t>
      </w:r>
    </w:p>
    <w:p>
      <w:pPr>
        <w:ind w:firstLine="411" w:firstLineChars="196"/>
        <w:rPr>
          <w:rFonts w:ascii="宋体" w:hAnsi="宋体"/>
        </w:rPr>
      </w:pPr>
      <w:r>
        <w:rPr>
          <w:rFonts w:hint="eastAsia" w:ascii="宋体" w:hAnsi="宋体"/>
        </w:rPr>
        <w:t>29.2评审定标应当遵循公平、公正、科学、择优的原则。</w:t>
      </w:r>
    </w:p>
    <w:p>
      <w:pPr>
        <w:ind w:firstLine="411" w:firstLineChars="196"/>
        <w:rPr>
          <w:rFonts w:ascii="宋体" w:hAnsi="宋体"/>
        </w:rPr>
      </w:pPr>
      <w:r>
        <w:rPr>
          <w:rFonts w:hint="eastAsia" w:ascii="宋体" w:hAnsi="宋体"/>
        </w:rPr>
        <w:t>29.3评审活动依法进行，任何单位和个人不得非法干预评标过程和结果。</w:t>
      </w:r>
    </w:p>
    <w:p>
      <w:pPr>
        <w:ind w:firstLine="411" w:firstLineChars="196"/>
        <w:rPr>
          <w:rFonts w:ascii="宋体" w:hAnsi="宋体"/>
        </w:rPr>
      </w:pPr>
      <w:r>
        <w:rPr>
          <w:rFonts w:hint="eastAsia" w:ascii="宋体" w:hAnsi="宋体"/>
        </w:rPr>
        <w:t>29.4评审过程中不允许违背评标程序或采用招标文件未载明的评标方法或评标因素进行评标。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hint="eastAsia" w:ascii="宋体" w:hAnsi="宋体"/>
          <w:bCs/>
        </w:rPr>
        <w:t>）。</w:t>
      </w:r>
    </w:p>
    <w:p>
      <w:pPr>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w:t>
      </w:r>
      <w:r>
        <w:rPr>
          <w:rFonts w:hint="eastAsia" w:ascii="宋体" w:hAnsi="宋体"/>
          <w:szCs w:val="21"/>
        </w:rPr>
        <w:t>评审委员会</w:t>
      </w:r>
      <w:r>
        <w:rPr>
          <w:rFonts w:hint="eastAsia" w:ascii="宋体" w:hAnsi="宋体"/>
        </w:rPr>
        <w:t>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rPr>
          <w:rFonts w:ascii="黑体" w:hAnsi="宋体" w:eastAsia="黑体"/>
          <w:sz w:val="24"/>
        </w:rPr>
      </w:pPr>
      <w:r>
        <w:rPr>
          <w:rFonts w:hint="eastAsia" w:ascii="黑体" w:hAnsi="宋体" w:eastAsia="黑体"/>
          <w:sz w:val="24"/>
        </w:rPr>
        <w:t>31．独立评审</w:t>
      </w:r>
    </w:p>
    <w:p>
      <w:pPr>
        <w:ind w:firstLine="411" w:firstLineChars="196"/>
        <w:rPr>
          <w:rFonts w:ascii="宋体" w:hAnsi="宋体"/>
          <w:bCs/>
        </w:rPr>
      </w:pPr>
      <w:r>
        <w:rPr>
          <w:rFonts w:hint="eastAsia" w:ascii="宋体" w:hAnsi="宋体"/>
          <w:bCs/>
        </w:rPr>
        <w:t>3</w:t>
      </w:r>
      <w:r>
        <w:rPr>
          <w:rFonts w:ascii="宋体" w:hAnsi="宋体"/>
          <w:bCs/>
        </w:rPr>
        <w:t>1</w:t>
      </w:r>
      <w:r>
        <w:rPr>
          <w:rFonts w:hint="eastAsia" w:ascii="宋体" w:hAnsi="宋体"/>
          <w:bCs/>
        </w:rPr>
        <w:t>.1</w:t>
      </w:r>
      <w:r>
        <w:rPr>
          <w:rFonts w:hint="eastAsia" w:ascii="宋体" w:hAnsi="宋体"/>
          <w:szCs w:val="21"/>
        </w:rPr>
        <w:t>评审委员会</w:t>
      </w:r>
      <w:r>
        <w:rPr>
          <w:rFonts w:hint="eastAsia" w:ascii="宋体" w:hAnsi="宋体"/>
          <w:bCs/>
        </w:rPr>
        <w:t>成员的评标活动应当独立进行，并应遵循投标文件初审、澄清有关问题、比较与评价、确定中标供应商、编写评审报告的工作程序。</w:t>
      </w:r>
    </w:p>
    <w:p>
      <w:pPr>
        <w:ind w:firstLine="411" w:firstLineChars="196"/>
        <w:rPr>
          <w:rFonts w:ascii="宋体" w:hAnsi="宋体"/>
          <w:bCs/>
          <w:szCs w:val="21"/>
        </w:rPr>
      </w:pPr>
    </w:p>
    <w:p>
      <w:pPr>
        <w:pStyle w:val="5"/>
        <w:numPr>
          <w:ilvl w:val="0"/>
          <w:numId w:val="4"/>
        </w:numPr>
        <w:spacing w:before="120" w:beforeLines="50" w:after="120" w:afterLines="50"/>
        <w:ind w:left="562" w:hanging="562"/>
        <w:rPr>
          <w:sz w:val="28"/>
          <w:szCs w:val="28"/>
        </w:rPr>
      </w:pPr>
      <w:r>
        <w:rPr>
          <w:rFonts w:hint="eastAsia"/>
          <w:sz w:val="28"/>
          <w:szCs w:val="28"/>
        </w:rPr>
        <w:t>评审程序及评审方法</w:t>
      </w:r>
    </w:p>
    <w:p>
      <w:pPr>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w:t>
      </w:r>
    </w:p>
    <w:p>
      <w:pPr>
        <w:ind w:firstLine="411" w:firstLineChars="196"/>
        <w:rPr>
          <w:rFonts w:ascii="宋体" w:hAnsi="宋体"/>
        </w:rPr>
      </w:pPr>
      <w:r>
        <w:rPr>
          <w:rFonts w:hint="eastAsia" w:ascii="宋体" w:hAnsi="宋体"/>
        </w:rPr>
        <w:t>资格性审查：依据法律法规和招标文件的规定，对投标文件中的资格证明等进行审查，以确定投标供应商是否具备投标资格。</w:t>
      </w:r>
    </w:p>
    <w:p>
      <w:pPr>
        <w:ind w:firstLine="411" w:firstLineChars="196"/>
        <w:rPr>
          <w:rFonts w:ascii="宋体" w:hAnsi="宋体"/>
        </w:rPr>
      </w:pPr>
      <w:r>
        <w:rPr>
          <w:rFonts w:hint="eastAsia" w:ascii="宋体" w:hAnsi="宋体"/>
        </w:rPr>
        <w:t>符合性审查：依据招标文件的规定，对投标文件的有效性、完整性和对招标文件的响应程度进行审查，以确定是否满足符合性审查的要求。</w:t>
      </w:r>
    </w:p>
    <w:p>
      <w:pPr>
        <w:ind w:firstLine="411" w:firstLineChars="196"/>
        <w:rPr>
          <w:rFonts w:ascii="宋体" w:hAnsi="宋体"/>
        </w:rPr>
      </w:pPr>
      <w:r>
        <w:rPr>
          <w:rFonts w:hint="eastAsia" w:ascii="宋体" w:hAnsi="宋体"/>
        </w:rPr>
        <w:t>32.2 投标文件初审内容请详见《资格性审查表》和《符合性审查表》部分。投标人若有一条审查不通过则按投标无效处理。</w:t>
      </w:r>
    </w:p>
    <w:p>
      <w:pPr>
        <w:ind w:firstLine="411" w:firstLineChars="196"/>
        <w:rPr>
          <w:rFonts w:ascii="宋体" w:hAnsi="宋体"/>
          <w:bCs/>
        </w:rPr>
      </w:pPr>
      <w:r>
        <w:rPr>
          <w:rFonts w:hint="eastAsia" w:ascii="宋体" w:hAnsi="宋体"/>
          <w:bCs/>
        </w:rPr>
        <w:t>32.3 投标文件初审中关于供应商家数的计算:</w:t>
      </w:r>
    </w:p>
    <w:p>
      <w:pPr>
        <w:ind w:firstLine="411" w:firstLineChars="196"/>
        <w:rPr>
          <w:rFonts w:ascii="宋体" w:hAnsi="宋体"/>
          <w:bCs/>
        </w:rPr>
      </w:pPr>
      <w:r>
        <w:rPr>
          <w:rFonts w:hint="eastAsia" w:ascii="宋体" w:hAnsi="宋体"/>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rPr>
      </w:pPr>
      <w:r>
        <w:rPr>
          <w:rFonts w:hint="eastAsia" w:ascii="宋体" w:hAnsi="宋体"/>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rPr>
        <w:t>评审委员会</w:t>
      </w:r>
      <w:r>
        <w:rPr>
          <w:rFonts w:hint="eastAsia" w:ascii="宋体" w:hAnsi="宋体"/>
          <w:bCs/>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rPr>
      </w:pPr>
      <w:r>
        <w:rPr>
          <w:rFonts w:hint="eastAsia" w:ascii="宋体" w:hAnsi="宋体"/>
          <w:bCs/>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hint="eastAsia" w:ascii="宋体" w:hAnsi="宋体"/>
        </w:rPr>
        <w:t>32.4投标人投标文件作无效处理的情形，具体包括但不限于以下：</w:t>
      </w:r>
    </w:p>
    <w:p>
      <w:pPr>
        <w:ind w:firstLine="411" w:firstLineChars="196"/>
      </w:pPr>
      <w:r>
        <w:rPr>
          <w:rFonts w:hint="eastAsia" w:ascii="宋体" w:hAnsi="宋体"/>
        </w:rPr>
        <w:t>32.4.1</w:t>
      </w:r>
      <w:r>
        <w:rPr>
          <w:rFonts w:hint="eastAsia"/>
        </w:rPr>
        <w:t>不同投标人的投标文件由同一单位或者同一个人编制，或者由同一个人分阶段参与编制；</w:t>
      </w:r>
    </w:p>
    <w:p>
      <w:pPr>
        <w:ind w:firstLine="411" w:firstLineChars="196"/>
      </w:pPr>
      <w:r>
        <w:rPr>
          <w:rFonts w:ascii="宋体" w:hAnsi="宋体"/>
        </w:rPr>
        <w:t>32.4.</w:t>
      </w:r>
      <w:r>
        <w:rPr>
          <w:rFonts w:hint="eastAsia" w:ascii="宋体" w:hAnsi="宋体"/>
        </w:rPr>
        <w:t>2</w:t>
      </w:r>
      <w:r>
        <w:rPr>
          <w:rFonts w:hint="eastAsia"/>
        </w:rPr>
        <w:t>不同投标人委托同一单位或者个人办理投标事宜；</w:t>
      </w:r>
    </w:p>
    <w:p>
      <w:pPr>
        <w:ind w:firstLine="411" w:firstLineChars="196"/>
        <w:rPr>
          <w:rFonts w:ascii="宋体" w:hAnsi="宋体"/>
        </w:rPr>
      </w:pPr>
      <w:r>
        <w:rPr>
          <w:rFonts w:hint="eastAsia" w:ascii="宋体" w:hAnsi="宋体"/>
        </w:rPr>
        <w:t>32.4.3不同投标人的投标文件载明的项目管理成员或者联系人员为同一人；</w:t>
      </w:r>
    </w:p>
    <w:p>
      <w:pPr>
        <w:ind w:firstLine="411" w:firstLineChars="196"/>
        <w:rPr>
          <w:rFonts w:ascii="宋体" w:hAnsi="宋体"/>
        </w:rPr>
      </w:pPr>
      <w:r>
        <w:rPr>
          <w:rFonts w:hint="eastAsia" w:ascii="宋体" w:hAnsi="宋体"/>
        </w:rPr>
        <w:t>32.4.4不同投标人的投标文件异常一致或者投标报价呈规律性差异；</w:t>
      </w:r>
    </w:p>
    <w:p>
      <w:pPr>
        <w:ind w:firstLine="411" w:firstLineChars="196"/>
        <w:rPr>
          <w:rFonts w:ascii="宋体" w:hAnsi="宋体"/>
        </w:rPr>
      </w:pPr>
      <w:r>
        <w:rPr>
          <w:rFonts w:hint="eastAsia" w:ascii="宋体" w:hAnsi="宋体"/>
        </w:rPr>
        <w:t>32.4.5</w:t>
      </w:r>
      <w:r>
        <w:rPr>
          <w:rFonts w:ascii="宋体" w:hAnsi="宋体"/>
        </w:rPr>
        <w:t>不同投标供应商的投标文件或部分投标文件相互混装</w:t>
      </w:r>
      <w:r>
        <w:rPr>
          <w:rFonts w:hint="eastAsia" w:ascii="宋体" w:hAnsi="宋体"/>
        </w:rPr>
        <w:t>；</w:t>
      </w:r>
    </w:p>
    <w:p>
      <w:pPr>
        <w:ind w:firstLine="411" w:firstLineChars="196"/>
        <w:rPr>
          <w:rFonts w:ascii="宋体" w:hAnsi="宋体"/>
        </w:rPr>
      </w:pPr>
      <w:r>
        <w:rPr>
          <w:rFonts w:hint="eastAsia" w:ascii="宋体" w:hAnsi="宋体"/>
        </w:rPr>
        <w:t>32.4.6投标供应商之间相互约定给予未中标的供应商利益补偿；</w:t>
      </w:r>
    </w:p>
    <w:p>
      <w:pPr>
        <w:ind w:firstLine="411" w:firstLineChars="196"/>
        <w:rPr>
          <w:rFonts w:ascii="宋体" w:hAnsi="宋体"/>
        </w:rPr>
      </w:pPr>
      <w:r>
        <w:rPr>
          <w:rFonts w:hint="eastAsia" w:ascii="宋体" w:hAnsi="宋体"/>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32.4.8不同投标供应商的投标文件内容存在非正常一致；</w:t>
      </w:r>
    </w:p>
    <w:p>
      <w:pPr>
        <w:ind w:firstLine="411" w:firstLineChars="196"/>
        <w:rPr>
          <w:rFonts w:ascii="宋体" w:hAnsi="宋体"/>
        </w:rPr>
      </w:pPr>
      <w:r>
        <w:rPr>
          <w:rFonts w:hint="eastAsia" w:ascii="宋体" w:hAnsi="宋体"/>
        </w:rPr>
        <w:t>32.4.9在同一单位工作人员为两家以上（含两家）供应商进行同一项投标活动；</w:t>
      </w:r>
    </w:p>
    <w:p>
      <w:pPr>
        <w:ind w:firstLine="411" w:firstLineChars="196"/>
        <w:rPr>
          <w:rFonts w:ascii="宋体" w:hAnsi="宋体"/>
        </w:rPr>
      </w:pPr>
      <w:r>
        <w:rPr>
          <w:rFonts w:hint="eastAsia" w:ascii="宋体" w:hAnsi="宋体"/>
        </w:rPr>
        <w:t>32.4.10主管部门依照法律、法规认定的其他情形。</w:t>
      </w:r>
    </w:p>
    <w:p>
      <w:pPr>
        <w:rPr>
          <w:rFonts w:hint="eastAsia" w:ascii="宋体" w:hAnsi="宋体"/>
        </w:rPr>
      </w:pPr>
      <w:r>
        <w:rPr>
          <w:rFonts w:hint="eastAsia" w:ascii="宋体" w:hAnsi="宋体"/>
        </w:rPr>
        <w:t>32.5对不属于《资格性审查表》和《符合性审查表》所列的其他情形，除专用条款另有规定和32.4条款所列情形外，不得作为投标无效的理由。</w:t>
      </w:r>
    </w:p>
    <w:p>
      <w:pPr>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rPr>
      </w:pPr>
      <w:bookmarkStart w:id="51" w:name="_Hlk71407321"/>
      <w:r>
        <w:rPr>
          <w:rFonts w:hint="eastAsia" w:ascii="宋体" w:hAnsi="宋体"/>
        </w:rPr>
        <w:t>3</w:t>
      </w:r>
      <w:r>
        <w:rPr>
          <w:rFonts w:ascii="宋体" w:hAnsi="宋体"/>
        </w:rPr>
        <w:t>3.1</w:t>
      </w:r>
      <w:r>
        <w:rPr>
          <w:rFonts w:hint="eastAsia" w:ascii="宋体" w:hAnsi="宋体"/>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hint="eastAsia" w:ascii="宋体" w:hAnsi="宋体"/>
        </w:rPr>
        <w:t>，评审委员会有权进行评判，但对同一条款的评判应适用于每个投标人。</w:t>
      </w:r>
      <w:bookmarkEnd w:id="51"/>
    </w:p>
    <w:p>
      <w:pPr>
        <w:ind w:firstLine="411" w:firstLineChars="196"/>
        <w:rPr>
          <w:rFonts w:ascii="宋体" w:hAnsi="宋体"/>
        </w:rPr>
      </w:pPr>
      <w:r>
        <w:rPr>
          <w:rFonts w:hint="eastAsia" w:ascii="宋体" w:hAnsi="宋体"/>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pPr>
        <w:ind w:firstLine="411" w:firstLineChars="196"/>
        <w:rPr>
          <w:rFonts w:ascii="宋体" w:hAnsi="宋体"/>
        </w:rPr>
      </w:pPr>
      <w:r>
        <w:rPr>
          <w:rFonts w:ascii="宋体" w:hAnsi="宋体"/>
        </w:rPr>
        <w:t>33.3</w:t>
      </w:r>
      <w:r>
        <w:rPr>
          <w:rFonts w:hint="eastAsia" w:ascii="宋体" w:hAnsi="宋体"/>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rPr>
      </w:pPr>
      <w:r>
        <w:rPr>
          <w:rFonts w:hint="eastAsia" w:ascii="宋体" w:hAnsi="宋体"/>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rPr>
          <w:rFonts w:ascii="黑体" w:hAnsi="宋体" w:eastAsia="黑体"/>
          <w:sz w:val="24"/>
        </w:rPr>
      </w:pPr>
      <w:bookmarkStart w:id="52" w:name="_Toc73517673"/>
      <w:bookmarkStart w:id="53" w:name="_Toc100052400"/>
      <w:bookmarkStart w:id="54" w:name="_Toc73518151"/>
      <w:bookmarkStart w:id="55" w:name="_Toc73521581"/>
      <w:bookmarkStart w:id="56" w:name="_Toc73521669"/>
      <w:r>
        <w:rPr>
          <w:rFonts w:hint="eastAsia" w:ascii="黑体" w:hAnsi="宋体" w:eastAsia="黑体"/>
          <w:sz w:val="24"/>
        </w:rPr>
        <w:t>34．错误的修正</w:t>
      </w:r>
      <w:bookmarkEnd w:id="52"/>
      <w:bookmarkEnd w:id="53"/>
      <w:bookmarkEnd w:id="54"/>
      <w:bookmarkEnd w:id="55"/>
      <w:bookmarkEnd w:id="56"/>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34.1投标文件中开标一览表投标报价内容与投标文件中投标报价相应内容不一致的，以开标一览表为准；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rPr>
      </w:pPr>
      <w:r>
        <w:rPr>
          <w:rFonts w:hint="eastAsia" w:ascii="黑体" w:hAnsi="宋体" w:eastAsia="黑体"/>
          <w:sz w:val="24"/>
        </w:rPr>
        <w:t>36. 实地考察或资料查验</w:t>
      </w:r>
    </w:p>
    <w:p>
      <w:pPr>
        <w:ind w:firstLine="411" w:firstLineChars="196"/>
        <w:rPr>
          <w:rFonts w:ascii="宋体" w:hAnsi="宋体"/>
          <w:szCs w:val="21"/>
        </w:rPr>
      </w:pPr>
      <w:r>
        <w:rPr>
          <w:rFonts w:hint="eastAsia" w:ascii="宋体" w:hAnsi="宋体"/>
          <w:szCs w:val="21"/>
        </w:rPr>
        <w:t>36.1在评审过程中，评审委员会有权决定是否对本项目投标人进行实地考察或资料查验（原件）。投标人应随时做好接受实地考察或资料查验的准备。</w:t>
      </w:r>
    </w:p>
    <w:p>
      <w:pPr>
        <w:rPr>
          <w:rFonts w:ascii="黑体" w:hAnsi="宋体" w:eastAsia="黑体"/>
          <w:sz w:val="24"/>
        </w:rPr>
      </w:pPr>
      <w:r>
        <w:rPr>
          <w:rFonts w:hint="eastAsia" w:ascii="黑体" w:hAnsi="宋体" w:eastAsia="黑体"/>
          <w:sz w:val="24"/>
        </w:rPr>
        <w:t>37．评审方法</w:t>
      </w:r>
    </w:p>
    <w:p>
      <w:pPr>
        <w:ind w:firstLine="413" w:firstLineChars="196"/>
        <w:rPr>
          <w:rFonts w:ascii="宋体" w:hAnsi="宋体"/>
          <w:b/>
          <w:bCs/>
          <w:szCs w:val="21"/>
        </w:rPr>
      </w:pPr>
      <w:r>
        <w:rPr>
          <w:rFonts w:hint="eastAsia" w:ascii="宋体" w:hAnsi="宋体"/>
          <w:b/>
          <w:bCs/>
          <w:szCs w:val="21"/>
        </w:rPr>
        <w:t>37.1.1最低价法</w:t>
      </w:r>
    </w:p>
    <w:p>
      <w:pPr>
        <w:ind w:firstLine="411" w:firstLineChars="196"/>
        <w:rPr>
          <w:rFonts w:ascii="ˎ̥" w:hAnsi="ˎ̥"/>
        </w:rPr>
      </w:pPr>
      <w:bookmarkStart w:id="57" w:name="_Hlk72438142"/>
      <w:r>
        <w:rPr>
          <w:rFonts w:ascii="ˎ̥" w:hAnsi="ˎ̥"/>
        </w:rPr>
        <w:t>最低价法，是指</w:t>
      </w:r>
      <w:r>
        <w:rPr>
          <w:rFonts w:hint="eastAsia" w:ascii="ˎ̥" w:hAnsi="ˎ̥"/>
        </w:rPr>
        <w:t>完全</w:t>
      </w:r>
      <w:r>
        <w:rPr>
          <w:rFonts w:ascii="ˎ̥" w:hAnsi="ˎ̥"/>
        </w:rPr>
        <w:t>满足招标文件实质性要求，</w:t>
      </w:r>
      <w:r>
        <w:rPr>
          <w:rFonts w:hint="eastAsia" w:ascii="ˎ̥" w:hAnsi="ˎ̥"/>
        </w:rPr>
        <w:t>按照报价由低到高的顺序，依据招标文件中规定的数量或者比例推荐候选中标供应商。</w:t>
      </w:r>
    </w:p>
    <w:p>
      <w:pPr>
        <w:ind w:firstLine="413" w:firstLineChars="196"/>
        <w:rPr>
          <w:rFonts w:ascii="宋体" w:hAnsi="宋体"/>
          <w:b/>
          <w:bCs/>
          <w:szCs w:val="21"/>
        </w:rPr>
      </w:pPr>
      <w:r>
        <w:rPr>
          <w:rFonts w:hint="eastAsia" w:ascii="宋体" w:hAnsi="宋体"/>
          <w:b/>
          <w:bCs/>
          <w:szCs w:val="21"/>
        </w:rPr>
        <w:t>37.1.2综合评分法</w:t>
      </w:r>
    </w:p>
    <w:p>
      <w:pPr>
        <w:ind w:firstLine="411" w:firstLineChars="196"/>
        <w:rPr>
          <w:rFonts w:ascii="ˎ̥" w:hAnsi="ˎ̥"/>
        </w:rPr>
      </w:pPr>
      <w:r>
        <w:rPr>
          <w:rFonts w:ascii="ˎ̥" w:hAnsi="ˎ̥"/>
        </w:rPr>
        <w:t>综合评分法，是指</w:t>
      </w:r>
      <w:r>
        <w:rPr>
          <w:rFonts w:hint="eastAsia" w:ascii="ˎ̥" w:hAnsi="ˎ̥"/>
        </w:rPr>
        <w:t>在</w:t>
      </w:r>
      <w:r>
        <w:rPr>
          <w:rFonts w:ascii="ˎ̥" w:hAnsi="ˎ̥"/>
        </w:rPr>
        <w:t>满足招标文件全部实质性要求</w:t>
      </w:r>
      <w:r>
        <w:rPr>
          <w:rFonts w:hint="eastAsia" w:ascii="ˎ̥" w:hAnsi="ˎ̥"/>
        </w:rPr>
        <w:t>的前提下</w:t>
      </w:r>
      <w:r>
        <w:rPr>
          <w:rFonts w:ascii="ˎ̥" w:hAnsi="ˎ̥"/>
        </w:rPr>
        <w:t>，</w:t>
      </w:r>
      <w:r>
        <w:rPr>
          <w:rFonts w:hint="eastAsia" w:ascii="ˎ̥" w:hAnsi="ˎ̥"/>
        </w:rPr>
        <w:t>按照招标文件中规定的各项因素进行综合评审，评审总得分排名前列的投标人，作为推荐的候选中标供应商。</w:t>
      </w:r>
      <w:bookmarkEnd w:id="57"/>
      <w:r>
        <w:rPr>
          <w:rFonts w:hint="eastAsia" w:ascii="宋体" w:hAnsi="宋体"/>
          <w:bCs/>
          <w:color w:val="FF0000"/>
          <w:szCs w:val="21"/>
        </w:rPr>
        <w:t xml:space="preserve">  </w:t>
      </w:r>
      <w:r>
        <w:rPr>
          <w:rFonts w:hint="eastAsia" w:ascii="宋体" w:hAnsi="宋体"/>
          <w:bCs/>
          <w:szCs w:val="21"/>
        </w:rPr>
        <w:t xml:space="preserve">                                                                                                                                                                                                                                                                                                                                                                                                                                                                                                                                                                                                                                                                                                                                                                                                                                                                                                                                                                                                                                                                                                                                                                                                                                                                                                                                                                                                                                                                                                                                                                                                                                                                                                                                                                                                                                                                                                                                                                                                                                                                                                                                                                                                                                                                                                                                                                                                                                                                                                                                                                                                                                                                                                                                                                                                                                                                                                                                                                                                                           </w:t>
      </w:r>
    </w:p>
    <w:p>
      <w:pPr>
        <w:ind w:firstLine="413" w:firstLineChars="196"/>
        <w:rPr>
          <w:rFonts w:ascii="宋体" w:hAnsi="宋体"/>
          <w:b/>
          <w:bCs/>
          <w:szCs w:val="21"/>
        </w:rPr>
      </w:pPr>
      <w:r>
        <w:rPr>
          <w:rFonts w:hint="eastAsia" w:ascii="宋体" w:hAnsi="宋体"/>
          <w:b/>
          <w:bCs/>
          <w:szCs w:val="21"/>
        </w:rPr>
        <w:t>37.2 本项目采用的评审方法见本项目招标文件第一册“专用条款”的相关内容。</w:t>
      </w:r>
    </w:p>
    <w:p>
      <w:pPr>
        <w:ind w:firstLine="413" w:firstLineChars="196"/>
        <w:rPr>
          <w:rFonts w:ascii="宋体" w:hAnsi="宋体"/>
          <w:b/>
          <w:bCs/>
          <w:szCs w:val="21"/>
        </w:rPr>
      </w:pPr>
      <w:r>
        <w:rPr>
          <w:rFonts w:hint="eastAsia" w:ascii="宋体" w:hAnsi="宋体"/>
          <w:b/>
          <w:bCs/>
          <w:szCs w:val="21"/>
        </w:rPr>
        <w:t>37.3重新评审的情形</w:t>
      </w:r>
    </w:p>
    <w:p>
      <w:pPr>
        <w:ind w:firstLine="411" w:firstLineChars="196"/>
        <w:rPr>
          <w:rFonts w:ascii="宋体" w:hAnsi="宋体"/>
          <w:b/>
          <w:bCs/>
          <w:szCs w:val="21"/>
        </w:rPr>
      </w:pPr>
      <w:r>
        <w:rPr>
          <w:rFonts w:hint="eastAsia" w:ascii="宋体" w:hAnsi="宋体" w:cs="宋体"/>
          <w:kern w:val="0"/>
          <w:szCs w:val="21"/>
        </w:rPr>
        <w:t>评审结果汇总完成后，除下列情形外，任何人不得修改评审结果：</w:t>
      </w:r>
    </w:p>
    <w:p>
      <w:pPr>
        <w:ind w:firstLine="411" w:firstLineChars="196"/>
        <w:rPr>
          <w:rFonts w:ascii="宋体" w:hAnsi="宋体" w:cs="宋体"/>
          <w:kern w:val="0"/>
          <w:szCs w:val="21"/>
        </w:rPr>
      </w:pPr>
      <w:r>
        <w:rPr>
          <w:rFonts w:hint="eastAsia" w:ascii="宋体" w:hAnsi="宋体" w:cs="宋体"/>
          <w:kern w:val="0"/>
          <w:szCs w:val="21"/>
        </w:rPr>
        <w:t>37.3.1分值汇总计算错误的；</w:t>
      </w:r>
    </w:p>
    <w:p>
      <w:pPr>
        <w:ind w:firstLine="411" w:firstLineChars="196"/>
        <w:rPr>
          <w:rFonts w:ascii="宋体" w:hAnsi="宋体" w:cs="宋体"/>
          <w:kern w:val="0"/>
          <w:szCs w:val="21"/>
        </w:rPr>
      </w:pPr>
      <w:r>
        <w:rPr>
          <w:rFonts w:hint="eastAsia" w:ascii="宋体" w:hAnsi="宋体" w:cs="宋体"/>
          <w:kern w:val="0"/>
          <w:szCs w:val="21"/>
        </w:rPr>
        <w:t>37.3.2分项评分超出评分标准范围的；</w:t>
      </w:r>
    </w:p>
    <w:p>
      <w:pPr>
        <w:ind w:firstLine="411" w:firstLineChars="196"/>
        <w:rPr>
          <w:rFonts w:ascii="宋体" w:hAnsi="宋体" w:cs="宋体"/>
          <w:kern w:val="0"/>
          <w:szCs w:val="21"/>
        </w:rPr>
      </w:pPr>
      <w:r>
        <w:rPr>
          <w:rFonts w:hint="eastAsia" w:ascii="宋体" w:hAnsi="宋体" w:cs="宋体"/>
          <w:kern w:val="0"/>
          <w:szCs w:val="21"/>
        </w:rPr>
        <w:t>37.3.3评审委员会成员对客观评审因素评分不一致的；</w:t>
      </w:r>
    </w:p>
    <w:p>
      <w:pPr>
        <w:ind w:firstLine="411" w:firstLineChars="196"/>
        <w:rPr>
          <w:rFonts w:ascii="宋体" w:hAnsi="宋体" w:cs="宋体"/>
          <w:kern w:val="0"/>
          <w:szCs w:val="21"/>
        </w:rPr>
      </w:pPr>
      <w:r>
        <w:rPr>
          <w:rFonts w:hint="eastAsia" w:ascii="宋体" w:hAnsi="宋体" w:cs="宋体"/>
          <w:kern w:val="0"/>
          <w:szCs w:val="21"/>
        </w:rPr>
        <w:t>37.3.4经评审委员会认定评分畸高、畸低的。</w:t>
      </w:r>
    </w:p>
    <w:p>
      <w:pPr>
        <w:ind w:firstLine="411" w:firstLineChars="196"/>
        <w:rPr>
          <w:rFonts w:ascii="宋体" w:hAnsi="宋体" w:cs="宋体"/>
          <w:kern w:val="0"/>
          <w:szCs w:val="21"/>
        </w:rPr>
      </w:pPr>
      <w:r>
        <w:rPr>
          <w:rFonts w:hint="eastAsia" w:ascii="宋体" w:hAnsi="宋体" w:cs="宋体"/>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rPr>
      </w:pPr>
      <w:r>
        <w:rPr>
          <w:rFonts w:hint="eastAsia" w:ascii="宋体" w:hAnsi="宋体" w:cs="宋体"/>
          <w:kern w:val="0"/>
          <w:szCs w:val="21"/>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rPr>
      </w:pPr>
      <w:r>
        <w:rPr>
          <w:rFonts w:hint="eastAsia" w:ascii="宋体" w:hAnsi="宋体"/>
          <w:b/>
          <w:bCs/>
          <w:szCs w:val="21"/>
        </w:rPr>
        <w:t xml:space="preserve"> 37.4重新组建评审委员会的情形</w:t>
      </w:r>
    </w:p>
    <w:p>
      <w:pPr>
        <w:ind w:firstLine="411" w:firstLineChars="196"/>
        <w:rPr>
          <w:rFonts w:ascii="宋体" w:hAnsi="宋体" w:cs="宋体"/>
          <w:kern w:val="0"/>
          <w:szCs w:val="21"/>
        </w:rPr>
      </w:pPr>
      <w:r>
        <w:rPr>
          <w:rFonts w:hint="eastAsia" w:ascii="宋体" w:hAnsi="宋体" w:cs="宋体"/>
          <w:kern w:val="0"/>
          <w:szCs w:val="21"/>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rPr>
      </w:pPr>
      <w:r>
        <w:rPr>
          <w:rFonts w:hint="eastAsia" w:ascii="宋体" w:hAnsi="宋体" w:cs="宋体"/>
          <w:kern w:val="0"/>
          <w:szCs w:val="21"/>
        </w:rPr>
        <w:t>37.4.1评审委员会组成不符合《政府采购货物和服务招标投标管理办法》规定的；</w:t>
      </w:r>
    </w:p>
    <w:p>
      <w:pPr>
        <w:ind w:firstLine="411" w:firstLineChars="196"/>
        <w:rPr>
          <w:rFonts w:ascii="宋体" w:hAnsi="宋体" w:cs="宋体"/>
          <w:kern w:val="0"/>
          <w:szCs w:val="21"/>
        </w:rPr>
      </w:pPr>
      <w:r>
        <w:rPr>
          <w:rFonts w:hint="eastAsia" w:ascii="宋体" w:hAnsi="宋体" w:cs="宋体"/>
          <w:kern w:val="0"/>
          <w:szCs w:val="21"/>
        </w:rPr>
        <w:t>37.4.2有《政府采购货物和服务招标投标管理办法》第六十二条第一至五项情形的；</w:t>
      </w:r>
    </w:p>
    <w:p>
      <w:pPr>
        <w:ind w:firstLine="411" w:firstLineChars="196"/>
        <w:rPr>
          <w:rFonts w:ascii="宋体" w:hAnsi="宋体" w:cs="宋体"/>
          <w:kern w:val="0"/>
          <w:szCs w:val="21"/>
        </w:rPr>
      </w:pPr>
      <w:r>
        <w:rPr>
          <w:rFonts w:hint="eastAsia" w:ascii="宋体" w:hAnsi="宋体" w:cs="宋体"/>
          <w:kern w:val="0"/>
          <w:szCs w:val="21"/>
        </w:rPr>
        <w:t>37.4.3评审委员会及其成员独立评标受到非法干预的；</w:t>
      </w:r>
    </w:p>
    <w:p>
      <w:pPr>
        <w:ind w:firstLine="411" w:firstLineChars="196"/>
        <w:rPr>
          <w:rFonts w:ascii="宋体" w:hAnsi="宋体" w:cs="宋体"/>
          <w:kern w:val="0"/>
          <w:szCs w:val="21"/>
        </w:rPr>
      </w:pPr>
      <w:r>
        <w:rPr>
          <w:rFonts w:hint="eastAsia" w:ascii="宋体" w:hAnsi="宋体" w:cs="宋体"/>
          <w:kern w:val="0"/>
          <w:szCs w:val="21"/>
        </w:rPr>
        <w:t>37.4.4有政府采购法实施条例第七十五条规定的违法行为的。</w:t>
      </w:r>
    </w:p>
    <w:p>
      <w:pPr>
        <w:ind w:firstLine="411" w:firstLineChars="196"/>
        <w:rPr>
          <w:rFonts w:ascii="宋体" w:hAnsi="宋体" w:cs="宋体"/>
          <w:kern w:val="0"/>
          <w:szCs w:val="21"/>
        </w:rPr>
      </w:pPr>
      <w:r>
        <w:rPr>
          <w:rFonts w:hint="eastAsia" w:ascii="宋体" w:hAnsi="宋体" w:cs="宋体"/>
          <w:kern w:val="0"/>
          <w:szCs w:val="21"/>
        </w:rPr>
        <w:t>有违法违规行为的原评审委员会成员不得参加重新组建的评审委员会。</w:t>
      </w:r>
    </w:p>
    <w:p>
      <w:pPr>
        <w:ind w:firstLine="411" w:firstLineChars="196"/>
        <w:rPr>
          <w:rFonts w:ascii="宋体" w:hAnsi="宋体"/>
          <w:szCs w:val="21"/>
        </w:rPr>
      </w:pPr>
    </w:p>
    <w:p>
      <w:pPr>
        <w:pStyle w:val="5"/>
        <w:numPr>
          <w:ilvl w:val="0"/>
          <w:numId w:val="4"/>
        </w:numPr>
        <w:spacing w:before="120" w:beforeLines="50" w:after="120" w:afterLines="50"/>
        <w:ind w:left="562" w:hanging="562"/>
        <w:rPr>
          <w:sz w:val="28"/>
          <w:szCs w:val="28"/>
        </w:rPr>
      </w:pPr>
      <w:r>
        <w:rPr>
          <w:rFonts w:hint="eastAsia"/>
          <w:sz w:val="28"/>
          <w:szCs w:val="28"/>
        </w:rPr>
        <w:t>定标及公示</w:t>
      </w:r>
    </w:p>
    <w:p>
      <w:pPr>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bookmarkStart w:id="58" w:name="_Hlk73782795"/>
      <w:r>
        <w:rPr>
          <w:rFonts w:hint="eastAsia" w:ascii="宋体" w:hAnsi="宋体"/>
          <w:szCs w:val="21"/>
        </w:rPr>
        <w:t>38.1非评定分离项目定标方法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rPr>
      </w:pPr>
      <w:r>
        <w:rPr>
          <w:rFonts w:hint="eastAsia" w:ascii="宋体" w:hAnsi="宋体"/>
          <w:szCs w:val="21"/>
        </w:rPr>
        <w:t>38</w:t>
      </w:r>
      <w:r>
        <w:rPr>
          <w:rFonts w:ascii="宋体" w:hAnsi="宋体"/>
          <w:szCs w:val="21"/>
        </w:rPr>
        <w:t>.</w:t>
      </w:r>
      <w:r>
        <w:rPr>
          <w:rFonts w:hint="eastAsia" w:ascii="宋体" w:hAnsi="宋体"/>
          <w:szCs w:val="21"/>
        </w:rPr>
        <w:t>1.2</w:t>
      </w:r>
      <w:r>
        <w:rPr>
          <w:rFonts w:ascii="ˎ̥" w:hAnsi="ˎ̥"/>
        </w:rPr>
        <w:t>采用最低价法的，评</w:t>
      </w:r>
      <w:r>
        <w:rPr>
          <w:rFonts w:hint="eastAsia" w:ascii="ˎ̥" w:hAnsi="ˎ̥"/>
        </w:rPr>
        <w:t>审</w:t>
      </w:r>
      <w:r>
        <w:rPr>
          <w:rFonts w:ascii="ˎ̥" w:hAnsi="ˎ̥"/>
        </w:rPr>
        <w:t>结果按投标报价由低到高顺序排列。投标报价相同的并列。投标文件满足招标文件全部实质性要求且投标报价最低的</w:t>
      </w:r>
      <w:r>
        <w:rPr>
          <w:rFonts w:hint="eastAsia" w:ascii="ˎ̥" w:hAnsi="ˎ̥"/>
        </w:rPr>
        <w:t>投标人为</w:t>
      </w:r>
      <w:bookmarkStart w:id="59" w:name="_Hlk73821177"/>
      <w:r>
        <w:rPr>
          <w:rFonts w:hint="eastAsia" w:ascii="ˎ̥" w:hAnsi="ˎ̥"/>
          <w:lang w:val="en-US" w:eastAsia="zh-CN"/>
        </w:rPr>
        <w:t>唯一候选</w:t>
      </w:r>
      <w:r>
        <w:rPr>
          <w:rFonts w:hint="eastAsia" w:ascii="ˎ̥" w:hAnsi="ˎ̥"/>
        </w:rPr>
        <w:t>中标供应商</w:t>
      </w:r>
      <w:bookmarkEnd w:id="59"/>
      <w:r>
        <w:rPr>
          <w:rFonts w:ascii="ˎ̥" w:hAnsi="ˎ̥"/>
        </w:rPr>
        <w:t>。</w:t>
      </w:r>
    </w:p>
    <w:p>
      <w:pPr>
        <w:ind w:firstLine="411" w:firstLineChars="196"/>
        <w:rPr>
          <w:rFonts w:hint="eastAsia" w:ascii="ˎ̥" w:hAnsi="ˎ̥" w:eastAsiaTheme="minorEastAsia"/>
          <w:lang w:eastAsia="zh-CN"/>
        </w:rPr>
      </w:pPr>
      <w:r>
        <w:rPr>
          <w:rFonts w:hint="eastAsia" w:ascii="宋体" w:hAnsi="宋体"/>
          <w:szCs w:val="21"/>
        </w:rPr>
        <w:t>38</w:t>
      </w:r>
      <w:r>
        <w:rPr>
          <w:rFonts w:ascii="宋体" w:hAnsi="宋体"/>
          <w:szCs w:val="21"/>
        </w:rPr>
        <w:t>.</w:t>
      </w:r>
      <w:r>
        <w:rPr>
          <w:rFonts w:hint="eastAsia" w:ascii="宋体" w:hAnsi="宋体"/>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rPr>
        <w:t>为唯一</w:t>
      </w:r>
      <w:r>
        <w:rPr>
          <w:rFonts w:hint="eastAsia" w:ascii="ˎ̥" w:hAnsi="ˎ̥"/>
          <w:lang w:val="en-US" w:eastAsia="zh-CN"/>
        </w:rPr>
        <w:t>候选</w:t>
      </w:r>
      <w:r>
        <w:rPr>
          <w:rFonts w:hint="eastAsia" w:ascii="ˎ̥" w:hAnsi="ˎ̥"/>
        </w:rPr>
        <w:t>中标供应商</w:t>
      </w:r>
      <w:r>
        <w:rPr>
          <w:rFonts w:ascii="ˎ̥" w:hAnsi="ˎ̥"/>
        </w:rPr>
        <w:t>。</w:t>
      </w:r>
      <w:r>
        <w:rPr>
          <w:rFonts w:hint="eastAsia" w:ascii="ˎ̥" w:hAnsi="ˎ̥"/>
        </w:rPr>
        <w:t>出现</w:t>
      </w:r>
      <w:r>
        <w:rPr>
          <w:rFonts w:ascii="ˎ̥" w:hAnsi="ˎ̥"/>
        </w:rPr>
        <w:t>得分且投标报价相同的并列</w:t>
      </w:r>
      <w:r>
        <w:rPr>
          <w:rFonts w:hint="eastAsia" w:ascii="ˎ̥" w:hAnsi="ˎ̥"/>
        </w:rPr>
        <w:t>情况时，采取随机抽取的方式确定，具体操作办法及流程由评审委员会确定</w:t>
      </w:r>
      <w:r>
        <w:rPr>
          <w:rFonts w:hint="eastAsia" w:ascii="ˎ̥" w:hAnsi="ˎ̥"/>
          <w:lang w:eastAsia="zh-CN"/>
        </w:rPr>
        <w:t>（</w:t>
      </w:r>
      <w:r>
        <w:rPr>
          <w:rFonts w:hint="eastAsia" w:ascii="ˎ̥" w:hAnsi="ˎ̥"/>
          <w:lang w:val="en-US" w:eastAsia="zh-CN"/>
        </w:rPr>
        <w:t>如“专用条款”中另有规定的以“专用条款”相关规定内容为准</w:t>
      </w:r>
      <w:r>
        <w:rPr>
          <w:rFonts w:hint="eastAsia" w:ascii="ˎ̥" w:hAnsi="ˎ̥"/>
          <w:lang w:eastAsia="zh-CN"/>
        </w:rPr>
        <w:t>）</w:t>
      </w:r>
      <w:r>
        <w:rPr>
          <w:rFonts w:hint="eastAsia" w:ascii="ˎ̥" w:hAnsi="ˎ̥"/>
        </w:rPr>
        <w:t>。如唯一候选中标供应商被认定投标或中标无效，采购人应当重新开展采购活动</w:t>
      </w:r>
      <w:r>
        <w:rPr>
          <w:rFonts w:hint="eastAsia" w:ascii="ˎ̥" w:hAnsi="ˎ̥"/>
          <w:lang w:eastAsia="zh-CN"/>
        </w:rPr>
        <w:t>。</w:t>
      </w:r>
    </w:p>
    <w:p>
      <w:pPr>
        <w:ind w:firstLine="411" w:firstLineChars="196"/>
        <w:rPr>
          <w:rFonts w:ascii="宋体" w:hAnsi="宋体"/>
          <w:szCs w:val="21"/>
        </w:rPr>
      </w:pPr>
      <w:r>
        <w:rPr>
          <w:rFonts w:hint="eastAsia" w:ascii="宋体" w:hAnsi="宋体"/>
          <w:szCs w:val="21"/>
        </w:rPr>
        <w:t>38.2评定分离项目定标方法</w:t>
      </w:r>
    </w:p>
    <w:p>
      <w:pPr>
        <w:ind w:firstLine="411" w:firstLineChars="196"/>
        <w:rPr>
          <w:rFonts w:ascii="宋体" w:hAnsi="宋体"/>
          <w:szCs w:val="21"/>
        </w:rPr>
      </w:pPr>
      <w:r>
        <w:rPr>
          <w:rFonts w:hint="eastAsia" w:ascii="宋体" w:hAnsi="宋体"/>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pPr>
      <w:r>
        <w:rPr>
          <w:rFonts w:ascii="宋体" w:hAnsi="宋体"/>
          <w:szCs w:val="21"/>
        </w:rPr>
        <w:t xml:space="preserve">38.2.2 </w:t>
      </w:r>
      <w:bookmarkStart w:id="60" w:name="_Hlk71469733"/>
      <w:r>
        <w:t>适用评定分离的政府采购项目，采用综合评分法评</w:t>
      </w:r>
      <w:r>
        <w:rPr>
          <w:rFonts w:hint="eastAsia"/>
        </w:rPr>
        <w:t>审。</w:t>
      </w:r>
      <w:r>
        <w:rPr>
          <w:rFonts w:hint="eastAsia" w:ascii="宋体" w:hAnsi="宋体"/>
          <w:szCs w:val="21"/>
        </w:rPr>
        <w:t>评审委员会按照评审结果，推荐</w:t>
      </w:r>
      <w:r>
        <w:t>三个合格的候选中标供应商。</w:t>
      </w:r>
    </w:p>
    <w:p>
      <w:pPr>
        <w:ind w:firstLine="411" w:firstLineChars="196"/>
        <w:rPr>
          <w:rFonts w:ascii="宋体" w:hAnsi="宋体"/>
          <w:szCs w:val="21"/>
        </w:rPr>
      </w:pPr>
      <w:r>
        <w:rPr>
          <w:rFonts w:hint="eastAsia" w:ascii="宋体" w:hAnsi="宋体"/>
          <w:szCs w:val="21"/>
        </w:rPr>
        <w:t>38.2.3</w:t>
      </w:r>
      <w:bookmarkStart w:id="61" w:name="_Hlk71469688"/>
      <w:r>
        <w:t>适用评定分离的政府采购项目，</w:t>
      </w:r>
      <w:r>
        <w:rPr>
          <w:rFonts w:hint="eastAsia" w:ascii="宋体" w:hAnsi="宋体"/>
          <w:szCs w:val="21"/>
        </w:rPr>
        <w:t>按照自定法确定中标供应商：自定法是指采购人组织定标委员会，由定标委员会在三家候选中标供应商中确定中标供应商。</w:t>
      </w:r>
      <w:bookmarkEnd w:id="60"/>
      <w:bookmarkEnd w:id="61"/>
    </w:p>
    <w:p>
      <w:pPr>
        <w:ind w:firstLine="411" w:firstLineChars="196"/>
        <w:rPr>
          <w:rFonts w:ascii="宋体" w:hAnsi="宋体"/>
          <w:szCs w:val="21"/>
        </w:rPr>
      </w:pPr>
      <w:r>
        <w:rPr>
          <w:rFonts w:ascii="宋体" w:hAnsi="宋体"/>
          <w:szCs w:val="21"/>
        </w:rPr>
        <w:t>38.2.4</w:t>
      </w:r>
      <w:r>
        <w:rPr>
          <w:rFonts w:hint="eastAsia" w:ascii="宋体" w:hAnsi="宋体"/>
          <w:szCs w:val="21"/>
        </w:rPr>
        <w:t>政府集中采购机构</w:t>
      </w:r>
      <w:r>
        <w:t>应当自评审结束之日起两个工作日内将候选中标供应商名单及其投标文件、评审报告送交采购人</w:t>
      </w:r>
      <w:r>
        <w:rPr>
          <w:rFonts w:hint="eastAsia" w:ascii="宋体" w:hAnsi="宋体"/>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hint="eastAsia" w:ascii="宋体" w:hAnsi="宋体"/>
        </w:rPr>
        <w:t>〈</w:t>
      </w:r>
      <w:r>
        <w:t>深圳市政府采购评标定标分离管理办法</w:t>
      </w:r>
      <w:r>
        <w:rPr>
          <w:rFonts w:hint="eastAsia" w:ascii="宋体" w:hAnsi="宋体"/>
        </w:rPr>
        <w:t>〉</w:t>
      </w:r>
      <w:r>
        <w:t>的通知</w:t>
      </w:r>
      <w:r>
        <w:rPr>
          <w:rFonts w:hint="eastAsia"/>
        </w:rPr>
        <w:t>》（深财规【2</w:t>
      </w:r>
      <w:r>
        <w:t>020</w:t>
      </w:r>
      <w:r>
        <w:rPr>
          <w:rFonts w:hint="eastAsia"/>
        </w:rPr>
        <w:t>】1号）执行。</w:t>
      </w:r>
    </w:p>
    <w:p>
      <w:pPr>
        <w:ind w:firstLine="411" w:firstLineChars="196"/>
        <w:rPr>
          <w:rFonts w:ascii="宋体" w:hAnsi="宋体"/>
          <w:szCs w:val="21"/>
        </w:rPr>
      </w:pPr>
      <w:r>
        <w:rPr>
          <w:rFonts w:hint="eastAsia" w:ascii="宋体" w:hAnsi="宋体"/>
          <w:szCs w:val="21"/>
        </w:rPr>
        <w:t>说明：采购人及投标供应商应按照上述方法提前做好相关准备。</w:t>
      </w:r>
    </w:p>
    <w:p>
      <w:pPr>
        <w:ind w:firstLine="411" w:firstLineChars="196"/>
        <w:rPr>
          <w:rFonts w:ascii="宋体" w:hAnsi="宋体"/>
          <w:szCs w:val="21"/>
        </w:rPr>
      </w:pPr>
      <w:r>
        <w:rPr>
          <w:rFonts w:hint="eastAsia" w:ascii="宋体" w:hAnsi="宋体"/>
          <w:szCs w:val="21"/>
        </w:rPr>
        <w:t>38.3专用条款另有规定的，按专用条款相关要求定标。</w:t>
      </w:r>
      <w:bookmarkEnd w:id="58"/>
    </w:p>
    <w:p>
      <w:pPr>
        <w:rPr>
          <w:rFonts w:ascii="黑体" w:hAnsi="宋体" w:eastAsia="黑体"/>
          <w:sz w:val="24"/>
        </w:rPr>
      </w:pPr>
      <w:r>
        <w:rPr>
          <w:rFonts w:hint="eastAsia" w:ascii="黑体" w:hAnsi="宋体" w:eastAsia="黑体"/>
          <w:sz w:val="24"/>
        </w:rPr>
        <w:t>39．编写评审报告</w:t>
      </w:r>
    </w:p>
    <w:p>
      <w:pPr>
        <w:ind w:firstLine="411" w:firstLineChars="196"/>
        <w:rPr>
          <w:rFonts w:ascii="宋体" w:hAnsi="宋体"/>
          <w:szCs w:val="21"/>
        </w:rPr>
      </w:pPr>
      <w:r>
        <w:rPr>
          <w:rFonts w:hint="eastAsia" w:ascii="宋体" w:hAnsi="宋体"/>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w:t>
      </w:r>
      <w:bookmarkStart w:id="62" w:name="_Hlk72438709"/>
      <w:r>
        <w:rPr>
          <w:rFonts w:hint="eastAsia" w:ascii="宋体" w:hAnsi="宋体"/>
          <w:szCs w:val="21"/>
        </w:rPr>
        <w:t>为体现“公开、公平、公正”的原则，评审结束后经采购人确认（确定）评审结果，政府集中采购机构将在</w:t>
      </w:r>
      <w:r>
        <w:rPr>
          <w:rFonts w:hint="eastAsia" w:ascii="宋体" w:hAnsi="宋体"/>
          <w:b/>
          <w:bCs/>
          <w:szCs w:val="21"/>
        </w:rPr>
        <w:t>深圳公共资源交易网（https://szggzy.com/）</w:t>
      </w:r>
      <w:r>
        <w:rPr>
          <w:rFonts w:hint="eastAsia" w:ascii="宋体" w:hAnsi="宋体"/>
          <w:szCs w:val="21"/>
        </w:rPr>
        <w:t>上发布中标结果公告。</w:t>
      </w:r>
      <w:bookmarkEnd w:id="62"/>
      <w:bookmarkStart w:id="63" w:name="_Hlk72438751"/>
      <w:r>
        <w:rPr>
          <w:rFonts w:hint="eastAsia" w:ascii="宋体" w:hAnsi="宋体"/>
          <w:szCs w:val="21"/>
        </w:rPr>
        <w:t>供应商如对评审结果有异议，</w:t>
      </w:r>
      <w:r>
        <w:rPr>
          <w:rFonts w:ascii="宋体" w:hAnsi="宋体"/>
          <w:szCs w:val="21"/>
        </w:rPr>
        <w:t>可在发布公示日期起</w:t>
      </w:r>
      <w:r>
        <w:rPr>
          <w:rFonts w:hint="eastAsia" w:ascii="宋体" w:hAnsi="宋体"/>
          <w:szCs w:val="21"/>
        </w:rPr>
        <w:t>七</w:t>
      </w:r>
      <w:r>
        <w:rPr>
          <w:rFonts w:ascii="宋体" w:hAnsi="宋体"/>
          <w:szCs w:val="21"/>
        </w:rPr>
        <w:t>个工作日内向</w:t>
      </w:r>
      <w:r>
        <w:rPr>
          <w:rFonts w:hint="eastAsia" w:ascii="宋体" w:hAnsi="宋体"/>
          <w:szCs w:val="21"/>
        </w:rPr>
        <w:t>政府集中采购机构</w:t>
      </w:r>
      <w:r>
        <w:rPr>
          <w:rFonts w:ascii="宋体" w:hAnsi="宋体"/>
          <w:szCs w:val="21"/>
        </w:rPr>
        <w:t>提出。 监督电话：0755-83948143。</w:t>
      </w:r>
      <w:r>
        <w:rPr>
          <w:rFonts w:hint="eastAsia" w:ascii="宋体" w:hAnsi="宋体"/>
          <w:szCs w:val="21"/>
        </w:rPr>
        <w:t>若在公示期内未提出质疑，则视为认同该评审结果。</w:t>
      </w:r>
    </w:p>
    <w:bookmarkEnd w:id="63"/>
    <w:p>
      <w:pPr>
        <w:ind w:firstLine="411" w:firstLineChars="196"/>
        <w:rPr>
          <w:rFonts w:ascii="宋体" w:hAnsi="宋体"/>
          <w:szCs w:val="21"/>
        </w:rPr>
      </w:pPr>
      <w:r>
        <w:rPr>
          <w:rFonts w:hint="eastAsia" w:ascii="宋体" w:hAnsi="宋体"/>
          <w:szCs w:val="21"/>
        </w:rPr>
        <w:t>40.2质疑、投诉供应商应保证质疑、投诉内容的真实性和可靠性，并承担相应的法律责任。</w:t>
      </w:r>
    </w:p>
    <w:p>
      <w:pPr>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w:t>
      </w:r>
      <w:bookmarkStart w:id="64" w:name="_Hlk72438863"/>
      <w:r>
        <w:rPr>
          <w:rFonts w:hint="eastAsia" w:ascii="宋体" w:hAnsi="宋体"/>
          <w:szCs w:val="21"/>
        </w:rPr>
        <w:t>中标公告公布以后无异常的情况下,中标供应商和采购人可自行在</w:t>
      </w:r>
      <w:r>
        <w:rPr>
          <w:rFonts w:hint="eastAsia" w:ascii="宋体" w:hAnsi="宋体"/>
          <w:b/>
          <w:bCs/>
          <w:szCs w:val="21"/>
        </w:rPr>
        <w:t>“</w:t>
      </w:r>
      <w:r>
        <w:rPr>
          <w:rFonts w:hint="eastAsia" w:ascii="宋体" w:hAnsi="宋体"/>
        </w:rPr>
        <w:t>深圳市自行采购系统（https://trade.szggzy.com/ggzy/center/#/login）</w:t>
      </w:r>
      <w:r>
        <w:rPr>
          <w:rFonts w:hint="eastAsia" w:ascii="宋体" w:hAnsi="宋体"/>
          <w:b/>
          <w:bCs/>
          <w:szCs w:val="21"/>
        </w:rPr>
        <w:t>”</w:t>
      </w:r>
      <w:r>
        <w:rPr>
          <w:rFonts w:hint="eastAsia" w:ascii="宋体" w:hAnsi="宋体"/>
          <w:szCs w:val="21"/>
        </w:rPr>
        <w:t>上打印</w:t>
      </w:r>
      <w:r>
        <w:rPr>
          <w:rFonts w:hint="eastAsia" w:ascii="宋体" w:hAnsi="宋体"/>
          <w:b/>
          <w:szCs w:val="21"/>
        </w:rPr>
        <w:t>《数字中标通知书》</w:t>
      </w:r>
      <w:r>
        <w:rPr>
          <w:rFonts w:hint="eastAsia" w:ascii="宋体" w:hAnsi="宋体"/>
          <w:szCs w:val="21"/>
        </w:rPr>
        <w:t>。</w:t>
      </w:r>
      <w:bookmarkEnd w:id="64"/>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bookmarkStart w:id="65" w:name="_Hlk71407340"/>
      <w:r>
        <w:rPr>
          <w:rFonts w:hint="eastAsia" w:ascii="宋体" w:hAnsi="宋体"/>
          <w:szCs w:val="21"/>
        </w:rPr>
        <w:t>41.3因质疑投诉或其它原因导致项目结果变更或采购终止的，政府集中采购机构有权吊销中标通知书。</w:t>
      </w:r>
    </w:p>
    <w:bookmarkEnd w:id="65"/>
    <w:p>
      <w:pPr>
        <w:ind w:firstLine="411" w:firstLineChars="196"/>
        <w:rPr>
          <w:rFonts w:ascii="宋体" w:hAnsi="宋体"/>
          <w:szCs w:val="21"/>
        </w:rPr>
      </w:pPr>
    </w:p>
    <w:p>
      <w:pPr>
        <w:pStyle w:val="5"/>
        <w:numPr>
          <w:ilvl w:val="0"/>
          <w:numId w:val="4"/>
        </w:numPr>
        <w:spacing w:before="120" w:beforeLines="50" w:after="120" w:afterLines="50"/>
        <w:ind w:left="562" w:hanging="562"/>
        <w:rPr>
          <w:sz w:val="28"/>
          <w:szCs w:val="28"/>
        </w:rPr>
      </w:pPr>
      <w:r>
        <w:rPr>
          <w:rFonts w:hint="eastAsia"/>
          <w:sz w:val="28"/>
          <w:szCs w:val="28"/>
        </w:rPr>
        <w:t>公开招标失败的后续处理</w:t>
      </w:r>
    </w:p>
    <w:p>
      <w:pPr>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w:t>
      </w:r>
      <w:r>
        <w:rPr>
          <w:rFonts w:hint="eastAsia" w:ascii="宋体" w:hAnsi="宋体"/>
          <w:szCs w:val="21"/>
        </w:rPr>
        <w:t>评审委员会</w:t>
      </w:r>
      <w:r>
        <w:rPr>
          <w:rFonts w:hint="eastAsia" w:ascii="宋体" w:hAnsi="宋体"/>
        </w:rPr>
        <w:t>评审对招标文件作实质响应的供应商不足等原因造成公开招标失败，可由</w:t>
      </w:r>
      <w:r>
        <w:rPr>
          <w:rFonts w:hint="eastAsia" w:ascii="宋体" w:hAnsi="宋体" w:cs="宋体"/>
        </w:rPr>
        <w:t>政府集中采购机构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（1）由政府集中采购机构重新组织公开招标；</w:t>
      </w:r>
    </w:p>
    <w:p>
      <w:pPr>
        <w:ind w:firstLine="411" w:firstLineChars="196"/>
        <w:rPr>
          <w:rFonts w:ascii="宋体" w:hAnsi="宋体"/>
        </w:rPr>
      </w:pPr>
      <w:r>
        <w:rPr>
          <w:rFonts w:hint="eastAsia" w:ascii="宋体" w:hAnsi="宋体"/>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42.4公开招标失败的采购项目重新组织公开招标，由政府集中采购机构重新按公开招标流程组织采购活动。</w:t>
      </w:r>
    </w:p>
    <w:p>
      <w:pPr>
        <w:rPr>
          <w:rFonts w:ascii="宋体" w:hAnsi="宋体"/>
        </w:rPr>
      </w:pPr>
      <w:r>
        <w:rPr>
          <w:rFonts w:hint="eastAsia" w:ascii="黑体" w:hAnsi="宋体" w:eastAsia="黑体"/>
          <w:sz w:val="24"/>
        </w:rPr>
        <w:t xml:space="preserve">    </w:t>
      </w:r>
      <w:r>
        <w:rPr>
          <w:rFonts w:hint="eastAsia" w:ascii="宋体" w:hAnsi="宋体"/>
        </w:rPr>
        <w:t>42.5公开招标失败的采购项目经同级财政部门批准转为竞争性谈判或单一来源谈判方式采购的，按规定要求组织政府采购工作。</w:t>
      </w:r>
    </w:p>
    <w:p>
      <w:pPr>
        <w:rPr>
          <w:rFonts w:ascii="黑体" w:hAnsi="宋体" w:eastAsia="黑体"/>
          <w:sz w:val="24"/>
        </w:rPr>
      </w:pPr>
    </w:p>
    <w:p>
      <w:pPr>
        <w:pStyle w:val="5"/>
        <w:numPr>
          <w:ilvl w:val="0"/>
          <w:numId w:val="4"/>
        </w:numPr>
        <w:spacing w:before="120" w:beforeLines="50" w:after="120" w:afterLines="50"/>
        <w:ind w:left="562" w:hanging="562"/>
        <w:rPr>
          <w:sz w:val="28"/>
          <w:szCs w:val="28"/>
        </w:rPr>
      </w:pPr>
      <w:bookmarkStart w:id="66" w:name="_Hlk72439043"/>
      <w:r>
        <w:rPr>
          <w:rFonts w:hint="eastAsia"/>
          <w:sz w:val="28"/>
          <w:szCs w:val="28"/>
        </w:rPr>
        <w:t>合同的授予与备案</w:t>
      </w:r>
      <w:bookmarkEnd w:id="66"/>
    </w:p>
    <w:p>
      <w:pPr>
        <w:rPr>
          <w:rFonts w:ascii="黑体" w:hAnsi="宋体" w:eastAsia="黑体"/>
          <w:sz w:val="24"/>
        </w:rPr>
      </w:pPr>
      <w:bookmarkStart w:id="67" w:name="_Toc73521674"/>
      <w:bookmarkStart w:id="68" w:name="_Toc73517679"/>
      <w:bookmarkStart w:id="69" w:name="_Toc73521586"/>
      <w:bookmarkStart w:id="70" w:name="_Toc100052408"/>
      <w:bookmarkStart w:id="71" w:name="_Toc73518157"/>
      <w:bookmarkStart w:id="72" w:name="_Hlk72439088"/>
      <w:r>
        <w:rPr>
          <w:rFonts w:hint="eastAsia" w:ascii="黑体" w:hAnsi="宋体" w:eastAsia="黑体"/>
          <w:sz w:val="24"/>
        </w:rPr>
        <w:t>43．合同授予标准</w:t>
      </w:r>
      <w:bookmarkEnd w:id="67"/>
      <w:bookmarkEnd w:id="68"/>
      <w:bookmarkEnd w:id="69"/>
      <w:bookmarkEnd w:id="70"/>
      <w:bookmarkEnd w:id="71"/>
    </w:p>
    <w:p>
      <w:pPr>
        <w:ind w:firstLine="411" w:firstLineChars="196"/>
        <w:rPr>
          <w:rFonts w:ascii="宋体" w:hAnsi="宋体"/>
          <w:szCs w:val="21"/>
        </w:rPr>
      </w:pPr>
      <w:r>
        <w:rPr>
          <w:rFonts w:hint="eastAsia" w:ascii="宋体" w:hAnsi="宋体"/>
          <w:szCs w:val="21"/>
        </w:rPr>
        <w:t>本项目的合同将授予经本招标文件规定评审确定的中标供应商。</w:t>
      </w:r>
    </w:p>
    <w:p>
      <w:pPr>
        <w:rPr>
          <w:rFonts w:ascii="黑体" w:hAnsi="宋体" w:eastAsia="黑体"/>
          <w:sz w:val="24"/>
        </w:rPr>
      </w:pPr>
      <w:bookmarkStart w:id="73" w:name="_Toc73521675"/>
      <w:bookmarkStart w:id="74" w:name="_Toc73521587"/>
      <w:bookmarkStart w:id="75" w:name="_Toc100052409"/>
      <w:bookmarkStart w:id="76" w:name="_Toc73517680"/>
      <w:bookmarkStart w:id="77" w:name="_Toc73518158"/>
      <w:r>
        <w:rPr>
          <w:rFonts w:hint="eastAsia" w:ascii="黑体" w:hAnsi="宋体" w:eastAsia="黑体"/>
          <w:sz w:val="24"/>
        </w:rPr>
        <w:t>44．</w:t>
      </w:r>
      <w:bookmarkEnd w:id="73"/>
      <w:bookmarkEnd w:id="74"/>
      <w:bookmarkEnd w:id="75"/>
      <w:bookmarkEnd w:id="76"/>
      <w:bookmarkEnd w:id="77"/>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rPr>
      </w:pPr>
      <w:bookmarkStart w:id="78" w:name="_Toc73518160"/>
      <w:bookmarkStart w:id="79" w:name="_Toc73517682"/>
      <w:bookmarkStart w:id="80" w:name="_Toc100052410"/>
      <w:bookmarkStart w:id="81" w:name="_Toc73521589"/>
      <w:bookmarkStart w:id="82" w:name="_Toc73521677"/>
      <w:r>
        <w:rPr>
          <w:rFonts w:hint="eastAsia" w:ascii="黑体" w:hAnsi="宋体" w:eastAsia="黑体"/>
          <w:sz w:val="24"/>
        </w:rPr>
        <w:t>45．合同的签订</w:t>
      </w:r>
      <w:bookmarkEnd w:id="78"/>
      <w:bookmarkEnd w:id="79"/>
      <w:bookmarkEnd w:id="80"/>
      <w:bookmarkEnd w:id="81"/>
      <w:bookmarkEnd w:id="82"/>
    </w:p>
    <w:p>
      <w:pPr>
        <w:ind w:firstLine="411" w:firstLineChars="196"/>
        <w:rPr>
          <w:rFonts w:ascii="宋体" w:hAnsi="宋体"/>
          <w:szCs w:val="21"/>
        </w:rPr>
      </w:pPr>
      <w:r>
        <w:rPr>
          <w:rFonts w:hint="eastAsia" w:ascii="宋体" w:hAnsi="宋体"/>
          <w:szCs w:val="21"/>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rPr>
      </w:pPr>
      <w:r>
        <w:rPr>
          <w:rFonts w:hint="eastAsia" w:ascii="宋体" w:hAnsi="宋体"/>
          <w:szCs w:val="21"/>
        </w:rPr>
        <w:t>45.2中标人如不按本通用条款第45</w:t>
      </w:r>
      <w:r>
        <w:rPr>
          <w:rFonts w:ascii="宋体" w:hAnsi="宋体"/>
          <w:szCs w:val="21"/>
        </w:rPr>
        <w:t>.1</w:t>
      </w:r>
      <w:r>
        <w:rPr>
          <w:rFonts w:hint="eastAsia" w:ascii="宋体" w:hAnsi="宋体"/>
          <w:szCs w:val="21"/>
        </w:rPr>
        <w:t>款的规定与采购人签订合同，</w:t>
      </w:r>
      <w:r>
        <w:rPr>
          <w:rFonts w:ascii="宋体" w:hAnsi="宋体" w:cs="宋体"/>
          <w:kern w:val="0"/>
          <w:szCs w:val="21"/>
        </w:rPr>
        <w:t>情节严重的，由</w:t>
      </w:r>
      <w:r>
        <w:rPr>
          <w:rFonts w:hint="eastAsia" w:ascii="宋体" w:hAnsi="宋体" w:cs="宋体"/>
          <w:kern w:val="0"/>
          <w:szCs w:val="21"/>
        </w:rPr>
        <w:t>同级财政</w:t>
      </w:r>
      <w:r>
        <w:rPr>
          <w:rFonts w:ascii="宋体" w:hAnsi="宋体" w:cs="宋体"/>
          <w:kern w:val="0"/>
          <w:szCs w:val="21"/>
        </w:rPr>
        <w:t>部门记入供应商诚信档案，予以通报</w:t>
      </w:r>
      <w:r>
        <w:rPr>
          <w:rFonts w:hint="eastAsia" w:ascii="宋体" w:hAnsi="宋体"/>
          <w:szCs w:val="21"/>
        </w:rPr>
        <w:t>；</w:t>
      </w:r>
    </w:p>
    <w:p>
      <w:pPr>
        <w:ind w:firstLine="411" w:firstLineChars="196"/>
        <w:rPr>
          <w:rFonts w:ascii="宋体" w:hAnsi="宋体"/>
          <w:szCs w:val="21"/>
        </w:rPr>
      </w:pPr>
      <w:r>
        <w:rPr>
          <w:rFonts w:hint="eastAsia" w:ascii="宋体" w:hAnsi="宋体"/>
          <w:szCs w:val="21"/>
        </w:rPr>
        <w:t>45.3中标人应当按照合同约定履行义务，完成中标项目，不得将中标项目转让（转包）给他人。</w:t>
      </w:r>
    </w:p>
    <w:p>
      <w:pPr>
        <w:rPr>
          <w:rFonts w:ascii="黑体" w:hAnsi="宋体" w:eastAsia="黑体"/>
          <w:sz w:val="24"/>
        </w:rPr>
      </w:pPr>
      <w:bookmarkStart w:id="83" w:name="_Toc73521678"/>
      <w:bookmarkStart w:id="84" w:name="_Toc100052411"/>
      <w:bookmarkStart w:id="85" w:name="_Toc73521590"/>
      <w:bookmarkStart w:id="86" w:name="_Toc73517683"/>
      <w:bookmarkStart w:id="87" w:name="_Toc73518161"/>
      <w:r>
        <w:rPr>
          <w:rFonts w:hint="eastAsia" w:ascii="黑体" w:hAnsi="宋体" w:eastAsia="黑体"/>
          <w:sz w:val="24"/>
        </w:rPr>
        <w:t>46．履约担保</w:t>
      </w:r>
      <w:bookmarkEnd w:id="83"/>
      <w:bookmarkEnd w:id="84"/>
      <w:bookmarkEnd w:id="85"/>
      <w:bookmarkEnd w:id="86"/>
      <w:bookmarkEnd w:id="87"/>
    </w:p>
    <w:p>
      <w:pPr>
        <w:ind w:firstLine="411" w:firstLineChars="196"/>
        <w:rPr>
          <w:rFonts w:ascii="宋体" w:hAnsi="宋体"/>
          <w:szCs w:val="21"/>
        </w:rPr>
      </w:pPr>
      <w:r>
        <w:rPr>
          <w:rFonts w:hint="eastAsia" w:ascii="宋体" w:hAnsi="宋体"/>
          <w:szCs w:val="21"/>
        </w:rPr>
        <w:t>46.1在签订项目合同的同时，中标人应按“对通用条款的补充内容”中规定的金额向采购人提交履约担保；</w:t>
      </w:r>
    </w:p>
    <w:p>
      <w:pPr>
        <w:ind w:firstLine="411" w:firstLineChars="196"/>
        <w:rPr>
          <w:rFonts w:ascii="宋体" w:hAnsi="宋体"/>
          <w:szCs w:val="21"/>
        </w:rPr>
      </w:pPr>
      <w:r>
        <w:rPr>
          <w:rFonts w:hint="eastAsia" w:ascii="宋体" w:hAnsi="宋体"/>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pPr>
        <w:rPr>
          <w:rFonts w:ascii="黑体" w:hAnsi="宋体" w:eastAsia="黑体"/>
          <w:sz w:val="24"/>
        </w:rPr>
      </w:pPr>
      <w:r>
        <w:rPr>
          <w:rFonts w:hint="eastAsia" w:ascii="黑体" w:hAnsi="宋体" w:eastAsia="黑体"/>
          <w:sz w:val="24"/>
        </w:rPr>
        <w:t>47. 合同备案</w:t>
      </w:r>
    </w:p>
    <w:p>
      <w:pPr>
        <w:rPr>
          <w:rFonts w:ascii="黑体" w:hAnsi="宋体" w:eastAsia="黑体"/>
          <w:sz w:val="24"/>
        </w:rPr>
      </w:pPr>
      <w:r>
        <w:rPr>
          <w:rFonts w:hint="eastAsia" w:ascii="宋体" w:hAnsi="宋体" w:eastAsia="宋体" w:cs="Times New Roman"/>
          <w:kern w:val="2"/>
          <w:sz w:val="21"/>
          <w:szCs w:val="21"/>
          <w:lang w:eastAsia="zh-Hans"/>
        </w:rPr>
        <w:t>采购人与中标供应商自中标通知书发出之日起10个工作日内签订政府采购合同，</w:t>
      </w:r>
      <w:r>
        <w:rPr>
          <w:rFonts w:hint="eastAsia" w:ascii="宋体" w:hAnsi="宋体" w:eastAsia="宋体" w:cs="Times New Roman"/>
          <w:kern w:val="2"/>
          <w:sz w:val="21"/>
          <w:szCs w:val="21"/>
          <w:lang w:val="en-US" w:eastAsia="zh-CN"/>
        </w:rPr>
        <w:t>并按财政部门规定提交备案。</w:t>
      </w:r>
      <w:r>
        <w:rPr>
          <w:rFonts w:hint="eastAsia" w:ascii="黑体" w:hAnsi="宋体" w:eastAsia="黑体"/>
          <w:sz w:val="24"/>
        </w:rPr>
        <w:t>48. 合同变更</w:t>
      </w:r>
    </w:p>
    <w:p>
      <w:pPr>
        <w:ind w:firstLine="411" w:firstLineChars="196"/>
        <w:rPr>
          <w:rFonts w:ascii="宋体" w:hAnsi="宋体"/>
          <w:szCs w:val="21"/>
        </w:rPr>
      </w:pPr>
      <w:r>
        <w:rPr>
          <w:rFonts w:hint="eastAsia" w:ascii="宋体" w:hAnsi="宋体"/>
          <w:szCs w:val="21"/>
        </w:rPr>
        <w:t>合同变更事宜按《深圳市财政局关于优化政府采购合同备案的通知》（深财发保〔2022〕2号）相关规定执行。</w:t>
      </w:r>
    </w:p>
    <w:p>
      <w:pPr>
        <w:rPr>
          <w:rFonts w:ascii="黑体" w:hAnsi="宋体" w:eastAsia="黑体"/>
          <w:sz w:val="24"/>
        </w:rPr>
      </w:pPr>
      <w:r>
        <w:rPr>
          <w:rFonts w:hint="eastAsia" w:ascii="黑体" w:hAnsi="宋体" w:eastAsia="黑体"/>
          <w:sz w:val="24"/>
        </w:rPr>
        <w:t>49. 项目验收</w:t>
      </w:r>
    </w:p>
    <w:p>
      <w:pPr>
        <w:widowControl/>
        <w:ind w:right="176" w:firstLine="420"/>
        <w:jc w:val="left"/>
        <w:rPr>
          <w:rFonts w:ascii="宋体" w:hAnsi="宋体"/>
        </w:rPr>
      </w:pPr>
      <w:r>
        <w:rPr>
          <w:rFonts w:hint="eastAsia" w:ascii="宋体" w:hAnsi="宋体"/>
        </w:rPr>
        <w:t>49.1采购人应当按照招标文件和合同规定的标准和方法，及时组织验收。</w:t>
      </w:r>
      <w:r>
        <w:rPr>
          <w:rFonts w:ascii="宋体" w:hAnsi="宋体"/>
        </w:rPr>
        <w:t xml:space="preserve"> </w:t>
      </w:r>
    </w:p>
    <w:p>
      <w:pPr>
        <w:rPr>
          <w:rFonts w:ascii="黑体" w:hAnsi="宋体" w:eastAsia="黑体"/>
          <w:sz w:val="24"/>
        </w:rPr>
      </w:pPr>
      <w:r>
        <w:rPr>
          <w:rFonts w:hint="eastAsia" w:ascii="黑体" w:hAnsi="宋体" w:eastAsia="黑体"/>
          <w:sz w:val="24"/>
        </w:rPr>
        <w:t>50. 宣传</w:t>
      </w:r>
    </w:p>
    <w:p>
      <w:pPr>
        <w:ind w:left="210" w:leftChars="100" w:firstLine="411" w:firstLineChars="196"/>
        <w:rPr>
          <w:rFonts w:ascii="宋体" w:hAnsi="宋体"/>
        </w:rPr>
      </w:pPr>
      <w:r>
        <w:rPr>
          <w:rFonts w:hint="eastAsia" w:ascii="宋体" w:hAnsi="宋体"/>
        </w:rPr>
        <w:t>凡与政府采购活动有关的宣传或广告，若当中提及政府采购，</w:t>
      </w:r>
      <w:r>
        <w:rPr>
          <w:rFonts w:ascii="宋体" w:hAnsi="宋体"/>
        </w:rPr>
        <w:t>必须事先将具体对外宣传方案报</w:t>
      </w:r>
      <w:r>
        <w:rPr>
          <w:rFonts w:hint="eastAsia" w:ascii="宋体" w:hAnsi="宋体"/>
        </w:rPr>
        <w:t>同级财政部门</w:t>
      </w:r>
      <w:r>
        <w:rPr>
          <w:rFonts w:ascii="宋体" w:hAnsi="宋体"/>
        </w:rPr>
        <w:t>和</w:t>
      </w:r>
      <w:r>
        <w:rPr>
          <w:rFonts w:hint="eastAsia" w:ascii="宋体" w:hAnsi="宋体"/>
        </w:rPr>
        <w:t>政府集中采购机构</w:t>
      </w:r>
      <w:r>
        <w:rPr>
          <w:rFonts w:ascii="宋体" w:hAnsi="宋体"/>
        </w:rPr>
        <w:t>，并征得其同意。对外市场宣传包括但不限于以下形式：</w:t>
      </w:r>
    </w:p>
    <w:p>
      <w:pPr>
        <w:ind w:left="210" w:leftChars="100" w:firstLine="411" w:firstLineChars="196"/>
        <w:rPr>
          <w:rFonts w:ascii="宋体" w:hAnsi="宋体"/>
        </w:rPr>
      </w:pPr>
      <w:r>
        <w:rPr>
          <w:rFonts w:ascii="宋体" w:hAnsi="宋体"/>
        </w:rPr>
        <w:t>a.名片、宣传册、广告标语等；</w:t>
      </w:r>
    </w:p>
    <w:p>
      <w:pPr>
        <w:ind w:left="210" w:leftChars="100" w:firstLine="411" w:firstLineChars="196"/>
        <w:rPr>
          <w:rFonts w:ascii="宋体" w:hAnsi="宋体"/>
        </w:rPr>
      </w:pPr>
      <w:r>
        <w:rPr>
          <w:rFonts w:ascii="宋体" w:hAnsi="宋体"/>
        </w:rPr>
        <w:t>b.案例介绍、推广等；</w:t>
      </w:r>
    </w:p>
    <w:p>
      <w:pPr>
        <w:ind w:left="210" w:leftChars="100" w:firstLine="411" w:firstLineChars="196"/>
        <w:rPr>
          <w:rFonts w:ascii="宋体" w:hAnsi="宋体"/>
        </w:rPr>
      </w:pPr>
      <w:r>
        <w:rPr>
          <w:rFonts w:hint="eastAsia" w:ascii="宋体" w:hAnsi="宋体"/>
        </w:rPr>
        <w:t>c.工作</w:t>
      </w:r>
      <w:r>
        <w:rPr>
          <w:rFonts w:ascii="宋体" w:hAnsi="宋体"/>
        </w:rPr>
        <w:t>人员向其他消费群体宣传。</w:t>
      </w:r>
    </w:p>
    <w:p>
      <w:pPr>
        <w:rPr>
          <w:rFonts w:ascii="黑体" w:hAnsi="宋体" w:eastAsia="黑体"/>
          <w:sz w:val="24"/>
        </w:rPr>
      </w:pPr>
      <w:r>
        <w:rPr>
          <w:rFonts w:hint="eastAsia" w:ascii="黑体" w:hAnsi="宋体" w:eastAsia="黑体"/>
          <w:sz w:val="24"/>
        </w:rPr>
        <w:t>51. 供应商违法责任</w:t>
      </w:r>
    </w:p>
    <w:p>
      <w:pPr>
        <w:ind w:firstLine="411" w:firstLineChars="196"/>
        <w:rPr>
          <w:rFonts w:ascii="宋体" w:hAnsi="宋体"/>
          <w:szCs w:val="21"/>
        </w:rPr>
      </w:pPr>
      <w:r>
        <w:rPr>
          <w:rFonts w:hint="eastAsia" w:ascii="宋体" w:hAnsi="宋体"/>
          <w:szCs w:val="21"/>
        </w:rPr>
        <w:t>5</w:t>
      </w:r>
      <w:r>
        <w:rPr>
          <w:rFonts w:ascii="宋体" w:hAnsi="宋体"/>
          <w:szCs w:val="21"/>
        </w:rPr>
        <w:t>1.1</w:t>
      </w:r>
      <w:r>
        <w:rPr>
          <w:rFonts w:hint="eastAsia" w:ascii="宋体" w:hAnsi="宋体"/>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rPr>
      </w:pPr>
      <w:r>
        <w:rPr>
          <w:rFonts w:hint="eastAsia" w:ascii="宋体" w:hAnsi="宋体"/>
          <w:szCs w:val="21"/>
        </w:rPr>
        <w:t>（1）在采购活动中应当回避而未回避的；</w:t>
      </w:r>
    </w:p>
    <w:p>
      <w:pPr>
        <w:ind w:firstLine="411" w:firstLineChars="196"/>
        <w:rPr>
          <w:rFonts w:ascii="宋体" w:hAnsi="宋体"/>
          <w:szCs w:val="21"/>
        </w:rPr>
      </w:pPr>
      <w:r>
        <w:rPr>
          <w:rFonts w:hint="eastAsia" w:ascii="宋体" w:hAnsi="宋体"/>
          <w:szCs w:val="21"/>
        </w:rPr>
        <w:t>（2）未按本条例规定签订、履行采购合同，造成严重后果的；</w:t>
      </w:r>
    </w:p>
    <w:p>
      <w:pPr>
        <w:ind w:firstLine="411" w:firstLineChars="196"/>
        <w:rPr>
          <w:rFonts w:ascii="宋体" w:hAnsi="宋体"/>
          <w:szCs w:val="21"/>
        </w:rPr>
      </w:pPr>
      <w:r>
        <w:rPr>
          <w:rFonts w:hint="eastAsia" w:ascii="宋体" w:hAnsi="宋体"/>
          <w:szCs w:val="21"/>
        </w:rPr>
        <w:t>（3）隐瞒真实情况，提供虚假资料的；</w:t>
      </w:r>
    </w:p>
    <w:p>
      <w:pPr>
        <w:ind w:firstLine="411" w:firstLineChars="196"/>
        <w:rPr>
          <w:rFonts w:ascii="宋体" w:hAnsi="宋体"/>
          <w:szCs w:val="21"/>
        </w:rPr>
      </w:pPr>
      <w:r>
        <w:rPr>
          <w:rFonts w:hint="eastAsia" w:ascii="宋体" w:hAnsi="宋体"/>
          <w:szCs w:val="21"/>
        </w:rPr>
        <w:t>（4）以非法手段排斥其他供应商参与竞争的；</w:t>
      </w:r>
    </w:p>
    <w:p>
      <w:pPr>
        <w:ind w:firstLine="411" w:firstLineChars="196"/>
        <w:rPr>
          <w:rFonts w:ascii="宋体" w:hAnsi="宋体"/>
          <w:szCs w:val="21"/>
        </w:rPr>
      </w:pPr>
      <w:r>
        <w:rPr>
          <w:rFonts w:hint="eastAsia" w:ascii="宋体" w:hAnsi="宋体"/>
          <w:szCs w:val="21"/>
        </w:rPr>
        <w:t>（5）与其他采购参加人串通投标的；</w:t>
      </w:r>
    </w:p>
    <w:p>
      <w:pPr>
        <w:ind w:firstLine="411" w:firstLineChars="196"/>
        <w:rPr>
          <w:rFonts w:ascii="宋体" w:hAnsi="宋体"/>
          <w:szCs w:val="21"/>
        </w:rPr>
      </w:pPr>
      <w:r>
        <w:rPr>
          <w:rFonts w:hint="eastAsia" w:ascii="宋体" w:hAnsi="宋体"/>
          <w:szCs w:val="21"/>
        </w:rPr>
        <w:t>（6）恶意投诉的；</w:t>
      </w:r>
    </w:p>
    <w:p>
      <w:pPr>
        <w:ind w:firstLine="411" w:firstLineChars="196"/>
        <w:rPr>
          <w:rFonts w:ascii="宋体" w:hAnsi="宋体"/>
          <w:szCs w:val="21"/>
        </w:rPr>
      </w:pPr>
      <w:r>
        <w:rPr>
          <w:rFonts w:hint="eastAsia" w:ascii="宋体" w:hAnsi="宋体"/>
          <w:szCs w:val="21"/>
        </w:rPr>
        <w:t>（7）向采购项目相关人行贿或者提供其他不当利益的；</w:t>
      </w:r>
    </w:p>
    <w:p>
      <w:pPr>
        <w:ind w:firstLine="411" w:firstLineChars="196"/>
        <w:rPr>
          <w:rFonts w:ascii="宋体" w:hAnsi="宋体"/>
          <w:szCs w:val="21"/>
        </w:rPr>
      </w:pPr>
      <w:r>
        <w:rPr>
          <w:rFonts w:hint="eastAsia" w:ascii="宋体" w:hAnsi="宋体"/>
          <w:szCs w:val="21"/>
        </w:rPr>
        <w:t>（8）阻碍、抗拒主管部门监督检查的；</w:t>
      </w:r>
    </w:p>
    <w:p>
      <w:pPr>
        <w:ind w:firstLine="411" w:firstLineChars="196"/>
        <w:rPr>
          <w:rFonts w:ascii="宋体" w:hAnsi="宋体"/>
          <w:szCs w:val="21"/>
        </w:rPr>
      </w:pPr>
      <w:r>
        <w:rPr>
          <w:rFonts w:hint="eastAsia" w:ascii="宋体" w:hAnsi="宋体"/>
          <w:szCs w:val="21"/>
        </w:rPr>
        <w:t>（9）其他违反本条例规定的行为。</w:t>
      </w:r>
    </w:p>
    <w:p>
      <w:pPr>
        <w:ind w:firstLine="411" w:firstLineChars="196"/>
        <w:rPr>
          <w:rFonts w:ascii="宋体" w:hAnsi="宋体"/>
          <w:szCs w:val="21"/>
        </w:rPr>
      </w:pPr>
      <w:r>
        <w:rPr>
          <w:rFonts w:hint="eastAsia" w:ascii="宋体" w:hAnsi="宋体"/>
          <w:szCs w:val="21"/>
        </w:rPr>
        <w:t>5</w:t>
      </w:r>
      <w:r>
        <w:rPr>
          <w:rFonts w:ascii="宋体" w:hAnsi="宋体"/>
          <w:szCs w:val="21"/>
        </w:rPr>
        <w:t xml:space="preserve">1.2 </w:t>
      </w:r>
      <w:r>
        <w:rPr>
          <w:rFonts w:hint="eastAsia" w:ascii="宋体" w:hAnsi="宋体"/>
          <w:szCs w:val="21"/>
        </w:rPr>
        <w:t>根据《深圳市财政局关于调整政府采购投标（响应）保证金管理政策的通知 》（深财购〔2021〕51 号）的要求，供应商在政府采购活动中出现《深圳经济特区政府采购条例实施细则》第八十条所列情形的，</w:t>
      </w:r>
      <w:bookmarkStart w:id="88" w:name="_Hlk72440769"/>
      <w:r>
        <w:rPr>
          <w:rFonts w:hint="eastAsia" w:ascii="宋体" w:hAnsi="宋体"/>
          <w:szCs w:val="21"/>
        </w:rPr>
        <w:t>政府集中采购机构或采购人不予退还其交纳的谈判保证金，情节严重的，并由主管部门</w:t>
      </w:r>
      <w:bookmarkEnd w:id="88"/>
      <w:r>
        <w:rPr>
          <w:rFonts w:hint="eastAsia" w:ascii="宋体" w:hAnsi="宋体"/>
          <w:szCs w:val="21"/>
        </w:rPr>
        <w:t>记入供应商诚信档案，予以通报：</w:t>
      </w:r>
    </w:p>
    <w:p>
      <w:pPr>
        <w:ind w:firstLine="411" w:firstLineChars="196"/>
        <w:rPr>
          <w:rFonts w:ascii="宋体" w:hAnsi="宋体"/>
          <w:szCs w:val="21"/>
        </w:rPr>
      </w:pPr>
      <w:r>
        <w:rPr>
          <w:rFonts w:hint="eastAsia" w:ascii="宋体" w:hAnsi="宋体"/>
          <w:szCs w:val="21"/>
        </w:rPr>
        <w:t>（1</w:t>
      </w:r>
      <w:r>
        <w:rPr>
          <w:rFonts w:ascii="宋体" w:hAnsi="宋体"/>
          <w:szCs w:val="21"/>
        </w:rPr>
        <w:t>）投标截止后，撤销投标的；</w:t>
      </w:r>
    </w:p>
    <w:p>
      <w:pPr>
        <w:ind w:firstLine="411" w:firstLineChars="196"/>
        <w:rPr>
          <w:rFonts w:ascii="宋体" w:hAnsi="宋体"/>
          <w:szCs w:val="21"/>
        </w:rPr>
      </w:pPr>
      <w:r>
        <w:rPr>
          <w:rFonts w:ascii="宋体" w:hAnsi="宋体"/>
          <w:szCs w:val="21"/>
        </w:rPr>
        <w:t>（</w:t>
      </w:r>
      <w:r>
        <w:rPr>
          <w:rFonts w:hint="eastAsia" w:ascii="宋体" w:hAnsi="宋体"/>
          <w:szCs w:val="21"/>
        </w:rPr>
        <w:t>2</w:t>
      </w:r>
      <w:r>
        <w:rPr>
          <w:rFonts w:ascii="宋体" w:hAnsi="宋体"/>
          <w:szCs w:val="21"/>
        </w:rPr>
        <w:t>）中标后无正当理由未在规定期限内签订合同的；</w:t>
      </w:r>
    </w:p>
    <w:p>
      <w:pPr>
        <w:ind w:firstLine="411" w:firstLineChars="196"/>
        <w:rPr>
          <w:rFonts w:ascii="宋体" w:hAnsi="宋体"/>
          <w:szCs w:val="21"/>
        </w:rPr>
      </w:pPr>
      <w:r>
        <w:rPr>
          <w:rFonts w:ascii="宋体" w:hAnsi="宋体"/>
          <w:szCs w:val="21"/>
        </w:rPr>
        <w:t>（</w:t>
      </w:r>
      <w:r>
        <w:rPr>
          <w:rFonts w:hint="eastAsia" w:ascii="宋体" w:hAnsi="宋体"/>
          <w:szCs w:val="21"/>
        </w:rPr>
        <w:t>3</w:t>
      </w:r>
      <w:r>
        <w:rPr>
          <w:rFonts w:ascii="宋体" w:hAnsi="宋体"/>
          <w:szCs w:val="21"/>
        </w:rPr>
        <w:t>）将中标项目转让给他人、或者在投标文件中未说明且未经采购人、采购招标机构同意，将中标项目分包给他人的；</w:t>
      </w:r>
    </w:p>
    <w:p>
      <w:pPr>
        <w:ind w:firstLine="411" w:firstLineChars="196"/>
        <w:rPr>
          <w:rFonts w:ascii="宋体" w:hAnsi="宋体"/>
          <w:szCs w:val="21"/>
        </w:rPr>
      </w:pPr>
      <w:r>
        <w:rPr>
          <w:rFonts w:ascii="宋体" w:hAnsi="宋体"/>
          <w:szCs w:val="21"/>
        </w:rPr>
        <w:t>（</w:t>
      </w:r>
      <w:r>
        <w:rPr>
          <w:rFonts w:hint="eastAsia" w:ascii="宋体" w:hAnsi="宋体"/>
          <w:szCs w:val="21"/>
        </w:rPr>
        <w:t>4</w:t>
      </w:r>
      <w:r>
        <w:rPr>
          <w:rFonts w:ascii="宋体" w:hAnsi="宋体"/>
          <w:szCs w:val="21"/>
        </w:rPr>
        <w:t>）拒绝履行合同义务的</w:t>
      </w:r>
      <w:r>
        <w:rPr>
          <w:rFonts w:hint="eastAsia" w:ascii="宋体" w:hAnsi="宋体"/>
          <w:szCs w:val="21"/>
        </w:rPr>
        <w:t>。</w:t>
      </w:r>
    </w:p>
    <w:bookmarkEnd w:id="72"/>
    <w:p>
      <w:pPr>
        <w:pStyle w:val="5"/>
        <w:numPr>
          <w:ilvl w:val="0"/>
          <w:numId w:val="4"/>
        </w:numPr>
        <w:spacing w:before="120" w:beforeLines="50" w:after="120" w:afterLines="50"/>
        <w:ind w:left="562" w:hanging="562"/>
        <w:rPr>
          <w:sz w:val="28"/>
          <w:szCs w:val="28"/>
        </w:rPr>
      </w:pPr>
      <w:r>
        <w:rPr>
          <w:rFonts w:hint="eastAsia"/>
          <w:sz w:val="28"/>
          <w:szCs w:val="28"/>
        </w:rPr>
        <w:t>质疑处理</w:t>
      </w:r>
    </w:p>
    <w:p>
      <w:pPr>
        <w:rPr>
          <w:rFonts w:ascii="黑体" w:hAnsi="宋体" w:eastAsia="黑体"/>
          <w:sz w:val="24"/>
        </w:rPr>
      </w:pPr>
      <w:r>
        <w:rPr>
          <w:rFonts w:hint="eastAsia" w:ascii="黑体" w:hAnsi="宋体" w:eastAsia="黑体"/>
          <w:sz w:val="24"/>
        </w:rPr>
        <w:t>52.质疑提出与答复</w:t>
      </w:r>
    </w:p>
    <w:p>
      <w:pPr>
        <w:rPr>
          <w:rFonts w:ascii="宋体" w:hAnsi="宋体"/>
          <w:szCs w:val="21"/>
        </w:rPr>
      </w:pPr>
      <w:r>
        <w:rPr>
          <w:rFonts w:hint="eastAsia" w:ascii="宋体" w:hAnsi="宋体"/>
          <w:szCs w:val="21"/>
        </w:rPr>
        <w:t xml:space="preserve">    52.1提出质疑</w:t>
      </w:r>
    </w:p>
    <w:p>
      <w:pPr>
        <w:rPr>
          <w:rFonts w:ascii="宋体" w:hAnsi="宋体"/>
          <w:szCs w:val="21"/>
        </w:rPr>
      </w:pPr>
      <w:r>
        <w:rPr>
          <w:rFonts w:hint="eastAsia" w:ascii="宋体" w:hAnsi="宋体"/>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rPr>
      </w:pPr>
      <w:r>
        <w:rPr>
          <w:rFonts w:hint="eastAsia" w:ascii="宋体" w:hAnsi="宋体"/>
          <w:szCs w:val="21"/>
        </w:rPr>
        <w:t xml:space="preserve">    52.2</w:t>
      </w:r>
      <w:r>
        <w:rPr>
          <w:rFonts w:ascii="宋体" w:hAnsi="宋体"/>
          <w:szCs w:val="21"/>
        </w:rPr>
        <w:t>法律依据</w:t>
      </w:r>
    </w:p>
    <w:p>
      <w:pPr>
        <w:rPr>
          <w:rFonts w:ascii="宋体" w:hAnsi="宋体"/>
          <w:szCs w:val="21"/>
        </w:rPr>
      </w:pPr>
      <w:r>
        <w:rPr>
          <w:rFonts w:hint="eastAsia" w:ascii="宋体" w:hAnsi="宋体"/>
          <w:szCs w:val="21"/>
        </w:rPr>
        <w:t xml:space="preserve">    《中华人民共和国政府采购法》、《中华人民共和国政府采购法实施条例》、</w:t>
      </w:r>
      <w:r>
        <w:rPr>
          <w:rFonts w:ascii="宋体" w:hAnsi="宋体"/>
          <w:szCs w:val="21"/>
        </w:rPr>
        <w:t>《</w:t>
      </w:r>
      <w:r>
        <w:rPr>
          <w:rFonts w:hint="eastAsia" w:ascii="宋体" w:hAnsi="宋体"/>
          <w:szCs w:val="21"/>
        </w:rPr>
        <w:t>深圳经济特区政府采购</w:t>
      </w:r>
      <w:r>
        <w:rPr>
          <w:rFonts w:ascii="宋体" w:hAnsi="宋体"/>
          <w:szCs w:val="21"/>
        </w:rPr>
        <w:t>条例</w:t>
      </w:r>
      <w:r>
        <w:rPr>
          <w:rFonts w:hint="eastAsia" w:ascii="宋体" w:hAnsi="宋体"/>
          <w:szCs w:val="21"/>
        </w:rPr>
        <w:t>》、《深圳经济特区政府采购条例实施细则》、《政府采购质疑和投诉办法》（财政部令第94号）和其他有关法律法规规定。</w:t>
      </w:r>
    </w:p>
    <w:p>
      <w:pPr>
        <w:rPr>
          <w:rFonts w:ascii="宋体" w:hAnsi="宋体"/>
          <w:szCs w:val="21"/>
        </w:rPr>
      </w:pPr>
      <w:r>
        <w:rPr>
          <w:rFonts w:hint="eastAsia" w:ascii="宋体" w:hAnsi="宋体"/>
          <w:szCs w:val="21"/>
        </w:rPr>
        <w:t xml:space="preserve">  </w:t>
      </w:r>
      <w:r>
        <w:rPr>
          <w:rFonts w:hint="eastAsia" w:ascii="宋体" w:hAnsi="宋体"/>
          <w:color w:val="FF0000"/>
          <w:szCs w:val="21"/>
        </w:rPr>
        <w:t xml:space="preserve">  </w:t>
      </w:r>
      <w:r>
        <w:rPr>
          <w:rFonts w:hint="eastAsia" w:ascii="宋体" w:hAnsi="宋体"/>
          <w:szCs w:val="21"/>
        </w:rPr>
        <w:t>52.3质疑条件</w:t>
      </w:r>
    </w:p>
    <w:p>
      <w:pPr>
        <w:rPr>
          <w:rFonts w:ascii="宋体" w:hAnsi="宋体"/>
          <w:szCs w:val="21"/>
        </w:rPr>
      </w:pPr>
      <w:r>
        <w:rPr>
          <w:rFonts w:hint="eastAsia" w:ascii="宋体" w:hAnsi="宋体"/>
          <w:szCs w:val="21"/>
        </w:rPr>
        <w:t xml:space="preserve">    52.3.1提出质疑的供应商应当是参与所质疑项目采购活动的供应商；</w:t>
      </w:r>
      <w:bookmarkStart w:id="89" w:name="_Hlk75374941"/>
      <w:r>
        <w:rPr>
          <w:rFonts w:hint="eastAsia" w:ascii="宋体" w:hAnsi="宋体"/>
          <w:szCs w:val="21"/>
        </w:rPr>
        <w:t>以联合体形式参与的，质疑应当由组成联合体的所有成员共同提出</w:t>
      </w:r>
      <w:bookmarkEnd w:id="89"/>
      <w:r>
        <w:rPr>
          <w:rFonts w:hint="eastAsia" w:ascii="宋体" w:hAnsi="宋体"/>
          <w:szCs w:val="21"/>
        </w:rPr>
        <w:t>；</w:t>
      </w:r>
    </w:p>
    <w:p>
      <w:pPr>
        <w:rPr>
          <w:rFonts w:ascii="宋体" w:hAnsi="宋体"/>
          <w:szCs w:val="21"/>
        </w:rPr>
      </w:pPr>
      <w:r>
        <w:rPr>
          <w:rFonts w:hint="eastAsia" w:ascii="宋体" w:hAnsi="宋体"/>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rPr>
      </w:pPr>
      <w:r>
        <w:rPr>
          <w:rFonts w:hint="eastAsia" w:ascii="宋体" w:hAnsi="宋体"/>
          <w:szCs w:val="21"/>
        </w:rPr>
        <w:t>52.3.3应提交书面质疑函，质疑函应当包括以下内容：</w:t>
      </w:r>
      <w:r>
        <w:rPr>
          <w:rFonts w:ascii="宋体" w:hAnsi="宋体"/>
          <w:szCs w:val="21"/>
        </w:rPr>
        <w:t xml:space="preserve"> </w:t>
      </w:r>
    </w:p>
    <w:p>
      <w:pPr>
        <w:ind w:firstLine="420"/>
        <w:rPr>
          <w:rFonts w:ascii="宋体" w:hAnsi="宋体"/>
          <w:szCs w:val="21"/>
        </w:rPr>
      </w:pPr>
      <w:r>
        <w:rPr>
          <w:rFonts w:hint="eastAsia" w:ascii="宋体" w:hAnsi="宋体"/>
          <w:szCs w:val="21"/>
        </w:rPr>
        <w:t>（1）供应商的名称（或者姓名）、地址、邮编、邮箱、联系人及联系电话；</w:t>
      </w:r>
    </w:p>
    <w:p>
      <w:pPr>
        <w:ind w:firstLine="420" w:firstLineChars="200"/>
        <w:rPr>
          <w:rFonts w:ascii="宋体" w:hAnsi="宋体"/>
          <w:szCs w:val="21"/>
        </w:rPr>
      </w:pPr>
      <w:r>
        <w:rPr>
          <w:rFonts w:hint="eastAsia" w:ascii="宋体" w:hAnsi="宋体"/>
          <w:szCs w:val="21"/>
        </w:rPr>
        <w:t>（2）质疑项目的名称、编号；</w:t>
      </w:r>
    </w:p>
    <w:p>
      <w:pPr>
        <w:ind w:firstLine="420" w:firstLineChars="200"/>
        <w:rPr>
          <w:rFonts w:ascii="宋体" w:hAnsi="宋体"/>
          <w:szCs w:val="21"/>
        </w:rPr>
      </w:pPr>
      <w:r>
        <w:rPr>
          <w:rFonts w:hint="eastAsia" w:ascii="宋体" w:hAnsi="宋体"/>
          <w:szCs w:val="21"/>
        </w:rPr>
        <w:t>（3）具体、明确的质疑对象、质疑事项和质疑请求；</w:t>
      </w:r>
    </w:p>
    <w:p>
      <w:pPr>
        <w:ind w:firstLine="420" w:firstLineChars="200"/>
        <w:rPr>
          <w:rFonts w:ascii="宋体" w:hAnsi="宋体"/>
          <w:szCs w:val="21"/>
        </w:rPr>
      </w:pPr>
      <w:r>
        <w:rPr>
          <w:rFonts w:hint="eastAsia" w:ascii="宋体" w:hAnsi="宋体"/>
          <w:szCs w:val="21"/>
        </w:rPr>
        <w:t>（4）因质疑事项而受损害的权益；</w:t>
      </w:r>
    </w:p>
    <w:p>
      <w:pPr>
        <w:ind w:firstLine="420" w:firstLineChars="200"/>
        <w:rPr>
          <w:rFonts w:ascii="宋体" w:hAnsi="宋体"/>
          <w:szCs w:val="21"/>
        </w:rPr>
      </w:pPr>
      <w:r>
        <w:rPr>
          <w:rFonts w:hint="eastAsia" w:ascii="宋体" w:hAnsi="宋体"/>
          <w:szCs w:val="21"/>
        </w:rPr>
        <w:t>（5）事实依据；</w:t>
      </w:r>
    </w:p>
    <w:p>
      <w:pPr>
        <w:ind w:firstLine="420" w:firstLineChars="200"/>
        <w:rPr>
          <w:rFonts w:ascii="宋体" w:hAnsi="宋体"/>
          <w:szCs w:val="21"/>
        </w:rPr>
      </w:pPr>
      <w:r>
        <w:rPr>
          <w:rFonts w:hint="eastAsia" w:ascii="宋体" w:hAnsi="宋体"/>
          <w:szCs w:val="21"/>
        </w:rPr>
        <w:t>（6）必要的法律依据；</w:t>
      </w:r>
    </w:p>
    <w:p>
      <w:pPr>
        <w:ind w:firstLine="420" w:firstLineChars="200"/>
        <w:rPr>
          <w:rFonts w:ascii="宋体" w:hAnsi="宋体"/>
          <w:szCs w:val="21"/>
        </w:rPr>
      </w:pPr>
      <w:r>
        <w:rPr>
          <w:rFonts w:hint="eastAsia" w:ascii="宋体" w:hAnsi="宋体"/>
          <w:szCs w:val="21"/>
        </w:rPr>
        <w:t>（7）提出质疑的日期。</w:t>
      </w:r>
    </w:p>
    <w:p>
      <w:pPr>
        <w:ind w:firstLine="420" w:firstLineChars="200"/>
        <w:rPr>
          <w:rFonts w:ascii="宋体" w:hAnsi="宋体"/>
          <w:szCs w:val="21"/>
        </w:rPr>
      </w:pPr>
      <w:r>
        <w:rPr>
          <w:rFonts w:hint="eastAsia" w:ascii="宋体" w:hAnsi="宋体"/>
          <w:szCs w:val="21"/>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rPr>
      </w:pPr>
      <w:r>
        <w:rPr>
          <w:rFonts w:hint="eastAsia" w:ascii="宋体" w:hAnsi="宋体"/>
          <w:szCs w:val="21"/>
        </w:rPr>
        <w:t>52.4提交</w:t>
      </w:r>
      <w:r>
        <w:rPr>
          <w:rFonts w:ascii="宋体" w:hAnsi="宋体"/>
          <w:szCs w:val="21"/>
        </w:rPr>
        <w:t>材料</w:t>
      </w:r>
    </w:p>
    <w:p>
      <w:pPr>
        <w:ind w:firstLine="420" w:firstLineChars="200"/>
        <w:rPr>
          <w:rFonts w:ascii="宋体" w:hAnsi="宋体"/>
          <w:szCs w:val="21"/>
        </w:rPr>
      </w:pPr>
      <w:r>
        <w:rPr>
          <w:rFonts w:hint="eastAsia" w:ascii="宋体" w:hAnsi="宋体"/>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rPr>
      </w:pPr>
      <w:r>
        <w:rPr>
          <w:rFonts w:hint="eastAsia" w:ascii="宋体" w:hAnsi="宋体"/>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rPr>
      </w:pPr>
      <w:r>
        <w:rPr>
          <w:rFonts w:hint="eastAsia" w:ascii="宋体" w:hAnsi="宋体"/>
          <w:szCs w:val="21"/>
        </w:rPr>
        <w:t>52.5收文地点</w:t>
      </w:r>
    </w:p>
    <w:p>
      <w:pPr>
        <w:ind w:firstLine="422" w:firstLineChars="200"/>
        <w:rPr>
          <w:rFonts w:ascii="宋体" w:hAnsi="宋体"/>
          <w:b/>
          <w:bCs/>
          <w:szCs w:val="21"/>
        </w:rPr>
      </w:pPr>
      <w:r>
        <w:rPr>
          <w:rFonts w:hint="eastAsia" w:ascii="宋体" w:hAnsi="宋体"/>
          <w:b/>
          <w:bCs/>
          <w:szCs w:val="21"/>
        </w:rPr>
        <w:t>地址：深圳公共资源交易中心（深圳交易集团有限公司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szCs w:val="21"/>
          <w:lang w:val="en-US" w:eastAsia="zh-CN"/>
        </w:rPr>
        <w:t>一</w:t>
      </w:r>
      <w:r>
        <w:rPr>
          <w:rFonts w:hint="eastAsia" w:ascii="宋体" w:hAnsi="宋体"/>
          <w:b/>
          <w:bCs/>
          <w:szCs w:val="21"/>
        </w:rPr>
        <w:t>楼</w:t>
      </w:r>
      <w:r>
        <w:rPr>
          <w:rFonts w:hint="eastAsia" w:ascii="宋体" w:hAnsi="宋体"/>
          <w:b/>
          <w:bCs/>
          <w:szCs w:val="21"/>
          <w:lang w:val="en-US" w:eastAsia="zh-CN"/>
        </w:rPr>
        <w:t>服务大厅</w:t>
      </w:r>
      <w:r>
        <w:rPr>
          <w:rFonts w:hint="eastAsia" w:ascii="宋体" w:hAnsi="宋体"/>
          <w:b/>
          <w:bCs/>
          <w:szCs w:val="21"/>
        </w:rPr>
        <w:t>，质疑咨询电话：0755-</w:t>
      </w:r>
      <w:r>
        <w:rPr>
          <w:rFonts w:hint="eastAsia" w:ascii="宋体" w:hAnsi="宋体"/>
          <w:b/>
          <w:bCs/>
          <w:szCs w:val="21"/>
          <w:lang w:val="en-US" w:eastAsia="zh-CN"/>
        </w:rPr>
        <w:t>27758331</w:t>
      </w:r>
      <w:r>
        <w:rPr>
          <w:rFonts w:hint="eastAsia" w:ascii="宋体" w:hAnsi="宋体"/>
          <w:b/>
          <w:bCs/>
          <w:szCs w:val="21"/>
        </w:rPr>
        <w:t>。</w:t>
      </w:r>
    </w:p>
    <w:p>
      <w:pPr>
        <w:ind w:firstLine="420" w:firstLineChars="200"/>
        <w:rPr>
          <w:rFonts w:ascii="宋体" w:hAnsi="宋体"/>
          <w:szCs w:val="21"/>
        </w:rPr>
      </w:pPr>
      <w:r>
        <w:rPr>
          <w:rFonts w:hint="eastAsia" w:ascii="宋体" w:hAnsi="宋体"/>
          <w:szCs w:val="21"/>
        </w:rPr>
        <w:t>52.6收文办理</w:t>
      </w:r>
      <w:r>
        <w:rPr>
          <w:rFonts w:ascii="宋体" w:hAnsi="宋体"/>
          <w:szCs w:val="21"/>
        </w:rPr>
        <w:t>程序</w:t>
      </w:r>
    </w:p>
    <w:p>
      <w:pPr>
        <w:ind w:firstLine="420" w:firstLineChars="200"/>
        <w:rPr>
          <w:rFonts w:ascii="宋体" w:hAnsi="宋体"/>
          <w:szCs w:val="21"/>
        </w:rPr>
      </w:pPr>
      <w:r>
        <w:rPr>
          <w:rFonts w:hint="eastAsia" w:ascii="宋体" w:hAnsi="宋体"/>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rPr>
      </w:pPr>
      <w:r>
        <w:rPr>
          <w:rFonts w:hint="eastAsia" w:ascii="宋体" w:hAnsi="宋体"/>
          <w:szCs w:val="21"/>
        </w:rPr>
        <w:t>52.6.2供应商提交的质疑材料不符合质疑条件的，视情况处理：</w:t>
      </w:r>
    </w:p>
    <w:p>
      <w:pPr>
        <w:ind w:firstLine="420" w:firstLineChars="200"/>
        <w:rPr>
          <w:rFonts w:ascii="宋体" w:hAnsi="宋体"/>
          <w:szCs w:val="21"/>
        </w:rPr>
      </w:pPr>
      <w:r>
        <w:rPr>
          <w:rFonts w:hint="eastAsia" w:ascii="宋体" w:hAnsi="宋体"/>
          <w:szCs w:val="21"/>
        </w:rPr>
        <w:t>供应商提交的质疑材料不全或者未按要求签字或者盖章的，政府集中采购机构应当一次性告知供应商需补正的内容和补正期限。</w:t>
      </w:r>
    </w:p>
    <w:p>
      <w:pPr>
        <w:ind w:firstLine="420" w:firstLineChars="200"/>
        <w:rPr>
          <w:rFonts w:ascii="宋体" w:hAnsi="宋体"/>
          <w:szCs w:val="21"/>
        </w:rPr>
      </w:pPr>
      <w:r>
        <w:rPr>
          <w:rFonts w:hint="eastAsia" w:ascii="宋体" w:hAnsi="宋体"/>
          <w:szCs w:val="21"/>
        </w:rPr>
        <w:t>供应商提交的质疑存在下列情形之一的，不予受理：</w:t>
      </w:r>
    </w:p>
    <w:p>
      <w:pPr>
        <w:ind w:firstLine="420" w:firstLineChars="200"/>
        <w:rPr>
          <w:rFonts w:ascii="宋体" w:hAnsi="宋体"/>
          <w:szCs w:val="21"/>
        </w:rPr>
      </w:pPr>
      <w:r>
        <w:rPr>
          <w:rFonts w:hint="eastAsia" w:ascii="宋体" w:hAnsi="宋体"/>
          <w:szCs w:val="21"/>
        </w:rPr>
        <w:t>（1）质疑主体不满足要求的；</w:t>
      </w:r>
    </w:p>
    <w:p>
      <w:pPr>
        <w:ind w:firstLine="420" w:firstLineChars="200"/>
        <w:rPr>
          <w:rFonts w:ascii="宋体" w:hAnsi="宋体"/>
          <w:szCs w:val="21"/>
        </w:rPr>
      </w:pPr>
      <w:r>
        <w:rPr>
          <w:rFonts w:hint="eastAsia" w:ascii="宋体" w:hAnsi="宋体"/>
          <w:szCs w:val="21"/>
        </w:rPr>
        <w:t>（2）供应商自身权益未受到损害的；</w:t>
      </w:r>
    </w:p>
    <w:p>
      <w:pPr>
        <w:ind w:firstLine="420" w:firstLineChars="200"/>
        <w:rPr>
          <w:rFonts w:ascii="宋体" w:hAnsi="宋体"/>
          <w:szCs w:val="21"/>
        </w:rPr>
      </w:pPr>
      <w:r>
        <w:rPr>
          <w:rFonts w:hint="eastAsia" w:ascii="宋体" w:hAnsi="宋体"/>
          <w:szCs w:val="21"/>
        </w:rPr>
        <w:t>（3）供应商未在法定质疑期限内提出质疑的；</w:t>
      </w:r>
    </w:p>
    <w:p>
      <w:pPr>
        <w:ind w:firstLine="420" w:firstLineChars="200"/>
        <w:rPr>
          <w:rFonts w:ascii="宋体" w:hAnsi="宋体"/>
          <w:szCs w:val="21"/>
        </w:rPr>
      </w:pPr>
      <w:r>
        <w:rPr>
          <w:rFonts w:hint="eastAsia" w:ascii="宋体" w:hAnsi="宋体"/>
          <w:szCs w:val="21"/>
        </w:rPr>
        <w:t>（4）质疑材料不全或者未按要求签字或者盖章的情况下，要求补正后，逾期未补正或者补正后仍不符合规定的；</w:t>
      </w:r>
    </w:p>
    <w:p>
      <w:pPr>
        <w:ind w:firstLine="420" w:firstLineChars="200"/>
        <w:rPr>
          <w:rFonts w:ascii="宋体" w:hAnsi="宋体"/>
          <w:szCs w:val="21"/>
        </w:rPr>
      </w:pPr>
      <w:r>
        <w:rPr>
          <w:rFonts w:hint="eastAsia" w:ascii="宋体" w:hAnsi="宋体"/>
          <w:szCs w:val="21"/>
        </w:rPr>
        <w:t>（5）其他不符合受理条件情形的。</w:t>
      </w:r>
    </w:p>
    <w:p>
      <w:pPr>
        <w:ind w:firstLine="420" w:firstLineChars="200"/>
        <w:rPr>
          <w:rFonts w:ascii="宋体" w:hAnsi="宋体"/>
          <w:szCs w:val="21"/>
        </w:rPr>
      </w:pPr>
      <w:r>
        <w:rPr>
          <w:rFonts w:hint="eastAsia" w:ascii="宋体" w:hAnsi="宋体"/>
          <w:szCs w:val="21"/>
        </w:rPr>
        <w:t>质疑事项不予受理的，政府集中采购机构应当向供应商出具不符合质疑条件告知书。</w:t>
      </w:r>
    </w:p>
    <w:p>
      <w:pPr>
        <w:rPr>
          <w:rFonts w:ascii="宋体" w:hAnsi="宋体"/>
          <w:szCs w:val="21"/>
        </w:rPr>
      </w:pPr>
      <w:r>
        <w:rPr>
          <w:rFonts w:hint="eastAsia" w:ascii="宋体" w:hAnsi="宋体"/>
          <w:color w:val="FF0000"/>
          <w:szCs w:val="21"/>
        </w:rPr>
        <w:t xml:space="preserve">  </w:t>
      </w:r>
      <w:r>
        <w:rPr>
          <w:rFonts w:hint="eastAsia" w:ascii="宋体" w:hAnsi="宋体"/>
          <w:szCs w:val="21"/>
        </w:rPr>
        <w:t xml:space="preserve">  52.7质疑答复时限</w:t>
      </w:r>
    </w:p>
    <w:p>
      <w:pPr>
        <w:rPr>
          <w:rFonts w:ascii="宋体" w:hAnsi="宋体"/>
          <w:szCs w:val="21"/>
        </w:rPr>
      </w:pPr>
      <w:r>
        <w:rPr>
          <w:rFonts w:hint="eastAsia" w:ascii="宋体" w:hAnsi="宋体"/>
          <w:szCs w:val="21"/>
        </w:rPr>
        <w:t xml:space="preserve">    自收文之日起七个工作日内。</w:t>
      </w:r>
    </w:p>
    <w:p>
      <w:pPr>
        <w:rPr>
          <w:rFonts w:ascii="宋体" w:hAnsi="宋体"/>
          <w:szCs w:val="21"/>
        </w:rPr>
      </w:pPr>
      <w:r>
        <w:rPr>
          <w:rFonts w:hint="eastAsia" w:ascii="宋体" w:hAnsi="宋体"/>
          <w:szCs w:val="21"/>
        </w:rPr>
        <w:t xml:space="preserve">    52.8投诉</w:t>
      </w:r>
    </w:p>
    <w:p>
      <w:pPr>
        <w:rPr>
          <w:rFonts w:ascii="宋体" w:hAnsi="宋体"/>
          <w:szCs w:val="21"/>
        </w:rPr>
      </w:pPr>
      <w:r>
        <w:rPr>
          <w:rFonts w:hint="eastAsia" w:ascii="宋体" w:hAnsi="宋体"/>
          <w:szCs w:val="21"/>
        </w:rPr>
        <w:t xml:space="preserve">    对质疑答复不满意或者未在规定时间内答复的，提出质疑的供应商可以在答复期满后15个工作日内向本项目预算主管单位投诉。</w:t>
      </w:r>
    </w:p>
    <w:p>
      <w:pPr>
        <w:rPr>
          <w:rFonts w:ascii="黑体" w:hAnsi="宋体" w:eastAsia="黑体"/>
          <w:sz w:val="24"/>
        </w:rPr>
      </w:pPr>
      <w:r>
        <w:rPr>
          <w:rFonts w:hint="eastAsia" w:ascii="黑体" w:hAnsi="宋体" w:eastAsia="黑体"/>
          <w:sz w:val="24"/>
        </w:rPr>
        <w:t>53. 质疑后续处理</w:t>
      </w:r>
    </w:p>
    <w:p>
      <w:pPr>
        <w:rPr>
          <w:rFonts w:ascii="宋体" w:hAnsi="宋体"/>
          <w:szCs w:val="21"/>
        </w:rPr>
      </w:pPr>
      <w:r>
        <w:rPr>
          <w:rFonts w:hint="eastAsia" w:ascii="宋体" w:hAnsi="宋体"/>
          <w:szCs w:val="21"/>
        </w:rPr>
        <w:t xml:space="preserve">    53.1供应商质疑不成立，或者成立但未对中标、成交结果构成影响的，继续开展采购活动。</w:t>
      </w:r>
    </w:p>
    <w:p>
      <w:pPr>
        <w:jc w:val="center"/>
      </w:pPr>
      <w:r>
        <w:rPr>
          <w:rFonts w:hint="eastAsia" w:ascii="宋体" w:hAnsi="宋体"/>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t>---- END ----</w:t>
      </w:r>
    </w:p>
    <w:p>
      <w:pPr>
        <w:jc w:val="center"/>
        <w:rPr>
          <w:rFonts w:ascii="Times New Roman" w:hAnsi="Times New Roman" w:eastAsia="宋体" w:cs="Times New Roman"/>
          <w:szCs w:val="24"/>
        </w:rPr>
      </w:pPr>
      <w:r>
        <w:rPr>
          <w:rFonts w:ascii="Times New Roman" w:hAnsi="Times New Roman" w:eastAsia="宋体" w:cs="Times New Roman"/>
          <w:szCs w:val="24"/>
        </w:rPr>
        <w:t>---- END ----</w:t>
      </w:r>
      <w:bookmarkEnd w:id="35"/>
    </w:p>
    <w:p>
      <w:pPr>
        <w:rPr>
          <w:b/>
          <w:color w:val="FF0000"/>
          <w:sz w:val="52"/>
          <w:szCs w:val="52"/>
        </w:rPr>
      </w:pPr>
    </w:p>
    <w:p>
      <w:pPr>
        <w:rPr>
          <w:b/>
          <w:color w:val="FF0000"/>
          <w:sz w:val="52"/>
          <w:szCs w:val="5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2"/>
          <w:jc w:val="center"/>
        </w:pPr>
        <w:r>
          <w:fldChar w:fldCharType="begin"/>
        </w:r>
        <w:r>
          <w:instrText xml:space="preserve"> PAGE   \* MERGEFORMAT </w:instrText>
        </w:r>
        <w:r>
          <w:fldChar w:fldCharType="separate"/>
        </w:r>
        <w:r>
          <w:rPr>
            <w:lang w:val="zh-CN"/>
          </w:rPr>
          <w:t>40</w:t>
        </w:r>
        <w:r>
          <w:rPr>
            <w:lang w:val="zh-CN"/>
          </w:rPr>
          <w:fldChar w:fldCharType="end"/>
        </w:r>
      </w:p>
    </w:sdtContent>
  </w:sdt>
  <w:p>
    <w:pPr>
      <w:pStyle w:val="12"/>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CB11FD7"/>
    <w:multiLevelType w:val="multilevel"/>
    <w:tmpl w:val="0CB11FD7"/>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4416252"/>
    <w:multiLevelType w:val="multilevel"/>
    <w:tmpl w:val="3441625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C27779"/>
    <w:multiLevelType w:val="multilevel"/>
    <w:tmpl w:val="5EC27779"/>
    <w:lvl w:ilvl="0" w:tentative="0">
      <w:start w:val="1"/>
      <w:numFmt w:val="decimal"/>
      <w:lvlText w:val="%1)"/>
      <w:lvlJc w:val="left"/>
      <w:pPr>
        <w:tabs>
          <w:tab w:val="left" w:pos="1470"/>
        </w:tabs>
        <w:ind w:left="1470" w:hanging="420"/>
      </w:pPr>
      <w:rPr>
        <w:rFonts w:hint="eastAsia" w:asciiTheme="majorEastAsia" w:hAnsiTheme="majorEastAsia" w:eastAsiaTheme="majorEastAsia"/>
        <w:sz w:val="28"/>
        <w:szCs w:val="28"/>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MmExMWM2NGQxNjg0YTQwNTFhZDdkMmQwNmRkOWYifQ=="/>
  </w:docVars>
  <w:rsids>
    <w:rsidRoot w:val="002B296E"/>
    <w:rsid w:val="00002E60"/>
    <w:rsid w:val="000048FF"/>
    <w:rsid w:val="00004FA5"/>
    <w:rsid w:val="0000723B"/>
    <w:rsid w:val="000114D0"/>
    <w:rsid w:val="00012263"/>
    <w:rsid w:val="00015C20"/>
    <w:rsid w:val="000165A0"/>
    <w:rsid w:val="00017ECC"/>
    <w:rsid w:val="00024DCF"/>
    <w:rsid w:val="00026B1C"/>
    <w:rsid w:val="0002788F"/>
    <w:rsid w:val="00027E40"/>
    <w:rsid w:val="00030854"/>
    <w:rsid w:val="00030B9F"/>
    <w:rsid w:val="000325CA"/>
    <w:rsid w:val="0003474D"/>
    <w:rsid w:val="00035243"/>
    <w:rsid w:val="000354DF"/>
    <w:rsid w:val="000413CE"/>
    <w:rsid w:val="00041760"/>
    <w:rsid w:val="00046AE3"/>
    <w:rsid w:val="00047161"/>
    <w:rsid w:val="00047CFA"/>
    <w:rsid w:val="00047F90"/>
    <w:rsid w:val="000509B8"/>
    <w:rsid w:val="000549AF"/>
    <w:rsid w:val="00055C90"/>
    <w:rsid w:val="000572C4"/>
    <w:rsid w:val="0008028B"/>
    <w:rsid w:val="00082568"/>
    <w:rsid w:val="000839B0"/>
    <w:rsid w:val="00083BC2"/>
    <w:rsid w:val="00083FD9"/>
    <w:rsid w:val="000844B8"/>
    <w:rsid w:val="0008773C"/>
    <w:rsid w:val="0009130D"/>
    <w:rsid w:val="00091343"/>
    <w:rsid w:val="00094FCC"/>
    <w:rsid w:val="000A7A9D"/>
    <w:rsid w:val="000B5D94"/>
    <w:rsid w:val="000B6946"/>
    <w:rsid w:val="000C0D21"/>
    <w:rsid w:val="000C0E1A"/>
    <w:rsid w:val="000C106C"/>
    <w:rsid w:val="000C4236"/>
    <w:rsid w:val="000D406E"/>
    <w:rsid w:val="000D4A50"/>
    <w:rsid w:val="000D4B12"/>
    <w:rsid w:val="000D6122"/>
    <w:rsid w:val="000E13A3"/>
    <w:rsid w:val="000F1328"/>
    <w:rsid w:val="000F34B2"/>
    <w:rsid w:val="000F4368"/>
    <w:rsid w:val="000F50E1"/>
    <w:rsid w:val="000F6FF0"/>
    <w:rsid w:val="001031B0"/>
    <w:rsid w:val="0010408D"/>
    <w:rsid w:val="001053A0"/>
    <w:rsid w:val="001063E2"/>
    <w:rsid w:val="00110CBD"/>
    <w:rsid w:val="00111349"/>
    <w:rsid w:val="00112D2A"/>
    <w:rsid w:val="00113412"/>
    <w:rsid w:val="00114DD8"/>
    <w:rsid w:val="00115E40"/>
    <w:rsid w:val="00115FE9"/>
    <w:rsid w:val="00116C4B"/>
    <w:rsid w:val="00121E98"/>
    <w:rsid w:val="00122F53"/>
    <w:rsid w:val="00123D4F"/>
    <w:rsid w:val="00126CD8"/>
    <w:rsid w:val="00130EED"/>
    <w:rsid w:val="001318CF"/>
    <w:rsid w:val="0013313E"/>
    <w:rsid w:val="00135D16"/>
    <w:rsid w:val="001405FA"/>
    <w:rsid w:val="001423E8"/>
    <w:rsid w:val="00142726"/>
    <w:rsid w:val="00143A07"/>
    <w:rsid w:val="0014406D"/>
    <w:rsid w:val="00147326"/>
    <w:rsid w:val="001477E0"/>
    <w:rsid w:val="001478A4"/>
    <w:rsid w:val="0015184C"/>
    <w:rsid w:val="00152E85"/>
    <w:rsid w:val="00154E87"/>
    <w:rsid w:val="00155971"/>
    <w:rsid w:val="001559D5"/>
    <w:rsid w:val="00156956"/>
    <w:rsid w:val="00170A76"/>
    <w:rsid w:val="00171482"/>
    <w:rsid w:val="001776D1"/>
    <w:rsid w:val="00184554"/>
    <w:rsid w:val="00184F4C"/>
    <w:rsid w:val="001872EC"/>
    <w:rsid w:val="00190D4E"/>
    <w:rsid w:val="00191DBC"/>
    <w:rsid w:val="00192AD1"/>
    <w:rsid w:val="00196ADD"/>
    <w:rsid w:val="001A4CD3"/>
    <w:rsid w:val="001A5C09"/>
    <w:rsid w:val="001A6041"/>
    <w:rsid w:val="001B0953"/>
    <w:rsid w:val="001B1074"/>
    <w:rsid w:val="001B150F"/>
    <w:rsid w:val="001B51BE"/>
    <w:rsid w:val="001B5B31"/>
    <w:rsid w:val="001B77F3"/>
    <w:rsid w:val="001B7F44"/>
    <w:rsid w:val="001C09D9"/>
    <w:rsid w:val="001C2014"/>
    <w:rsid w:val="001C2B16"/>
    <w:rsid w:val="001C3631"/>
    <w:rsid w:val="001D0EB9"/>
    <w:rsid w:val="001D33A2"/>
    <w:rsid w:val="001E10E8"/>
    <w:rsid w:val="001E12CE"/>
    <w:rsid w:val="001E18EF"/>
    <w:rsid w:val="001E2BD6"/>
    <w:rsid w:val="001E76F0"/>
    <w:rsid w:val="001E7CA2"/>
    <w:rsid w:val="001E7E39"/>
    <w:rsid w:val="001F0086"/>
    <w:rsid w:val="001F0952"/>
    <w:rsid w:val="001F2FF4"/>
    <w:rsid w:val="001F3848"/>
    <w:rsid w:val="001F3DC3"/>
    <w:rsid w:val="001F587F"/>
    <w:rsid w:val="001F6634"/>
    <w:rsid w:val="0020017A"/>
    <w:rsid w:val="00201302"/>
    <w:rsid w:val="002051F9"/>
    <w:rsid w:val="00205AF2"/>
    <w:rsid w:val="0020663F"/>
    <w:rsid w:val="00207A91"/>
    <w:rsid w:val="00210E25"/>
    <w:rsid w:val="00212161"/>
    <w:rsid w:val="0021479B"/>
    <w:rsid w:val="002177DC"/>
    <w:rsid w:val="0022303D"/>
    <w:rsid w:val="00223EEB"/>
    <w:rsid w:val="002244C7"/>
    <w:rsid w:val="00225DED"/>
    <w:rsid w:val="002278BD"/>
    <w:rsid w:val="00227BC5"/>
    <w:rsid w:val="00231E55"/>
    <w:rsid w:val="00232987"/>
    <w:rsid w:val="0023517A"/>
    <w:rsid w:val="002378E5"/>
    <w:rsid w:val="0024137C"/>
    <w:rsid w:val="002425D6"/>
    <w:rsid w:val="00244C00"/>
    <w:rsid w:val="00246372"/>
    <w:rsid w:val="002505A6"/>
    <w:rsid w:val="0025158C"/>
    <w:rsid w:val="00254904"/>
    <w:rsid w:val="00262AF1"/>
    <w:rsid w:val="00263E6E"/>
    <w:rsid w:val="0026418F"/>
    <w:rsid w:val="0026450A"/>
    <w:rsid w:val="00267A80"/>
    <w:rsid w:val="002709A8"/>
    <w:rsid w:val="00273346"/>
    <w:rsid w:val="002746A1"/>
    <w:rsid w:val="00276D6D"/>
    <w:rsid w:val="002805D4"/>
    <w:rsid w:val="00282867"/>
    <w:rsid w:val="00284C24"/>
    <w:rsid w:val="00285DE2"/>
    <w:rsid w:val="002933B7"/>
    <w:rsid w:val="00293B10"/>
    <w:rsid w:val="002942A3"/>
    <w:rsid w:val="0029795C"/>
    <w:rsid w:val="002A0ED3"/>
    <w:rsid w:val="002A29E5"/>
    <w:rsid w:val="002A758C"/>
    <w:rsid w:val="002B0948"/>
    <w:rsid w:val="002B296E"/>
    <w:rsid w:val="002B5C22"/>
    <w:rsid w:val="002B6F9C"/>
    <w:rsid w:val="002C3F0A"/>
    <w:rsid w:val="002C3FC4"/>
    <w:rsid w:val="002C500F"/>
    <w:rsid w:val="002D2996"/>
    <w:rsid w:val="002D4DB4"/>
    <w:rsid w:val="002D5EB6"/>
    <w:rsid w:val="002D67D0"/>
    <w:rsid w:val="002E1005"/>
    <w:rsid w:val="002E6F35"/>
    <w:rsid w:val="002F019C"/>
    <w:rsid w:val="002F218D"/>
    <w:rsid w:val="002F3F2C"/>
    <w:rsid w:val="002F4FC9"/>
    <w:rsid w:val="002F7BA0"/>
    <w:rsid w:val="00305131"/>
    <w:rsid w:val="003075D2"/>
    <w:rsid w:val="00307991"/>
    <w:rsid w:val="00311E94"/>
    <w:rsid w:val="00315035"/>
    <w:rsid w:val="0031695C"/>
    <w:rsid w:val="00317044"/>
    <w:rsid w:val="00321622"/>
    <w:rsid w:val="00322FFC"/>
    <w:rsid w:val="0032311B"/>
    <w:rsid w:val="00323813"/>
    <w:rsid w:val="00324CB2"/>
    <w:rsid w:val="00331FE7"/>
    <w:rsid w:val="00334D55"/>
    <w:rsid w:val="00335A76"/>
    <w:rsid w:val="00340524"/>
    <w:rsid w:val="00342876"/>
    <w:rsid w:val="0034457F"/>
    <w:rsid w:val="00345849"/>
    <w:rsid w:val="00347ADA"/>
    <w:rsid w:val="003553CD"/>
    <w:rsid w:val="00356426"/>
    <w:rsid w:val="00356A28"/>
    <w:rsid w:val="00362CA7"/>
    <w:rsid w:val="0036622C"/>
    <w:rsid w:val="003706DD"/>
    <w:rsid w:val="0037109F"/>
    <w:rsid w:val="00372805"/>
    <w:rsid w:val="00372E27"/>
    <w:rsid w:val="00373CC6"/>
    <w:rsid w:val="00376180"/>
    <w:rsid w:val="00376EF5"/>
    <w:rsid w:val="003802A7"/>
    <w:rsid w:val="003811DD"/>
    <w:rsid w:val="00384539"/>
    <w:rsid w:val="00386271"/>
    <w:rsid w:val="003876BD"/>
    <w:rsid w:val="00387C79"/>
    <w:rsid w:val="00391E72"/>
    <w:rsid w:val="003936FB"/>
    <w:rsid w:val="003938DE"/>
    <w:rsid w:val="00395B93"/>
    <w:rsid w:val="003977F7"/>
    <w:rsid w:val="003A283F"/>
    <w:rsid w:val="003A5619"/>
    <w:rsid w:val="003A6825"/>
    <w:rsid w:val="003B1124"/>
    <w:rsid w:val="003B2CDB"/>
    <w:rsid w:val="003B2D06"/>
    <w:rsid w:val="003B3F59"/>
    <w:rsid w:val="003C7B60"/>
    <w:rsid w:val="003D016D"/>
    <w:rsid w:val="003E1A20"/>
    <w:rsid w:val="003E3A5C"/>
    <w:rsid w:val="003E3CEC"/>
    <w:rsid w:val="003F0736"/>
    <w:rsid w:val="003F0EBF"/>
    <w:rsid w:val="003F1B3F"/>
    <w:rsid w:val="003F385B"/>
    <w:rsid w:val="003F3E0E"/>
    <w:rsid w:val="003F3FB9"/>
    <w:rsid w:val="003F5EFA"/>
    <w:rsid w:val="003F5F84"/>
    <w:rsid w:val="003F6980"/>
    <w:rsid w:val="003F6F74"/>
    <w:rsid w:val="0040232B"/>
    <w:rsid w:val="00411AD4"/>
    <w:rsid w:val="004155CD"/>
    <w:rsid w:val="0041767A"/>
    <w:rsid w:val="004208A5"/>
    <w:rsid w:val="00420DE3"/>
    <w:rsid w:val="0042513B"/>
    <w:rsid w:val="004338D4"/>
    <w:rsid w:val="004340BA"/>
    <w:rsid w:val="00434434"/>
    <w:rsid w:val="00434C62"/>
    <w:rsid w:val="004370D7"/>
    <w:rsid w:val="00440482"/>
    <w:rsid w:val="004437AE"/>
    <w:rsid w:val="00444582"/>
    <w:rsid w:val="00446748"/>
    <w:rsid w:val="0045104F"/>
    <w:rsid w:val="004515EE"/>
    <w:rsid w:val="004519A1"/>
    <w:rsid w:val="00451D23"/>
    <w:rsid w:val="00460ABA"/>
    <w:rsid w:val="00460E5B"/>
    <w:rsid w:val="00463379"/>
    <w:rsid w:val="0046375D"/>
    <w:rsid w:val="00463D37"/>
    <w:rsid w:val="00471274"/>
    <w:rsid w:val="00471E81"/>
    <w:rsid w:val="00473EA5"/>
    <w:rsid w:val="0047463B"/>
    <w:rsid w:val="004747A0"/>
    <w:rsid w:val="00480F0D"/>
    <w:rsid w:val="00482482"/>
    <w:rsid w:val="00487E35"/>
    <w:rsid w:val="00492CAF"/>
    <w:rsid w:val="00493F5B"/>
    <w:rsid w:val="004A019E"/>
    <w:rsid w:val="004A19DD"/>
    <w:rsid w:val="004A20E5"/>
    <w:rsid w:val="004B294D"/>
    <w:rsid w:val="004B30D9"/>
    <w:rsid w:val="004B3548"/>
    <w:rsid w:val="004B3730"/>
    <w:rsid w:val="004B5FA8"/>
    <w:rsid w:val="004B6143"/>
    <w:rsid w:val="004C2208"/>
    <w:rsid w:val="004C3ADD"/>
    <w:rsid w:val="004C3E0E"/>
    <w:rsid w:val="004C44EC"/>
    <w:rsid w:val="004D1052"/>
    <w:rsid w:val="004D7F2E"/>
    <w:rsid w:val="004E00DC"/>
    <w:rsid w:val="004E0362"/>
    <w:rsid w:val="004E3FBD"/>
    <w:rsid w:val="004E5F98"/>
    <w:rsid w:val="004E714A"/>
    <w:rsid w:val="004E7B5C"/>
    <w:rsid w:val="004F29F5"/>
    <w:rsid w:val="004F7062"/>
    <w:rsid w:val="00500956"/>
    <w:rsid w:val="00501787"/>
    <w:rsid w:val="00501B5F"/>
    <w:rsid w:val="005038E9"/>
    <w:rsid w:val="00504893"/>
    <w:rsid w:val="00506897"/>
    <w:rsid w:val="005129E6"/>
    <w:rsid w:val="00513456"/>
    <w:rsid w:val="0051395D"/>
    <w:rsid w:val="00516147"/>
    <w:rsid w:val="0052007E"/>
    <w:rsid w:val="005252BE"/>
    <w:rsid w:val="00526A79"/>
    <w:rsid w:val="00532047"/>
    <w:rsid w:val="00532FBA"/>
    <w:rsid w:val="00535134"/>
    <w:rsid w:val="00536A0C"/>
    <w:rsid w:val="00537AA3"/>
    <w:rsid w:val="00537F1E"/>
    <w:rsid w:val="00540B12"/>
    <w:rsid w:val="00542681"/>
    <w:rsid w:val="005436FB"/>
    <w:rsid w:val="00543EBF"/>
    <w:rsid w:val="00545710"/>
    <w:rsid w:val="00546A86"/>
    <w:rsid w:val="00546E60"/>
    <w:rsid w:val="00552DE9"/>
    <w:rsid w:val="00553482"/>
    <w:rsid w:val="005537A7"/>
    <w:rsid w:val="005568B0"/>
    <w:rsid w:val="00557C1B"/>
    <w:rsid w:val="00563968"/>
    <w:rsid w:val="005668BA"/>
    <w:rsid w:val="00566A6A"/>
    <w:rsid w:val="00575109"/>
    <w:rsid w:val="005755D6"/>
    <w:rsid w:val="00576EAB"/>
    <w:rsid w:val="00581EE1"/>
    <w:rsid w:val="00582807"/>
    <w:rsid w:val="00582ECC"/>
    <w:rsid w:val="00582FA7"/>
    <w:rsid w:val="0058780A"/>
    <w:rsid w:val="00590EB6"/>
    <w:rsid w:val="00591BAF"/>
    <w:rsid w:val="00594D4B"/>
    <w:rsid w:val="00596152"/>
    <w:rsid w:val="005965FD"/>
    <w:rsid w:val="005A482C"/>
    <w:rsid w:val="005A6D72"/>
    <w:rsid w:val="005B1875"/>
    <w:rsid w:val="005B28C9"/>
    <w:rsid w:val="005B3AB8"/>
    <w:rsid w:val="005B749E"/>
    <w:rsid w:val="005B7B25"/>
    <w:rsid w:val="005C09EC"/>
    <w:rsid w:val="005C26DC"/>
    <w:rsid w:val="005C4B92"/>
    <w:rsid w:val="005C5083"/>
    <w:rsid w:val="005C5333"/>
    <w:rsid w:val="005C5ED0"/>
    <w:rsid w:val="005D1B8A"/>
    <w:rsid w:val="005D5EB2"/>
    <w:rsid w:val="005E24CF"/>
    <w:rsid w:val="005E27B2"/>
    <w:rsid w:val="005E513F"/>
    <w:rsid w:val="005E6307"/>
    <w:rsid w:val="005E7861"/>
    <w:rsid w:val="005F0ACD"/>
    <w:rsid w:val="005F0B55"/>
    <w:rsid w:val="005F1D5B"/>
    <w:rsid w:val="005F378B"/>
    <w:rsid w:val="005F4CF2"/>
    <w:rsid w:val="00603B6D"/>
    <w:rsid w:val="00604DC0"/>
    <w:rsid w:val="00607011"/>
    <w:rsid w:val="006137B4"/>
    <w:rsid w:val="00613CE9"/>
    <w:rsid w:val="00622334"/>
    <w:rsid w:val="006279EE"/>
    <w:rsid w:val="0063107F"/>
    <w:rsid w:val="00631EC8"/>
    <w:rsid w:val="006322DC"/>
    <w:rsid w:val="006331E8"/>
    <w:rsid w:val="00633C10"/>
    <w:rsid w:val="00634CA8"/>
    <w:rsid w:val="00634D11"/>
    <w:rsid w:val="006357F8"/>
    <w:rsid w:val="00636B59"/>
    <w:rsid w:val="0063769B"/>
    <w:rsid w:val="00637C05"/>
    <w:rsid w:val="006416BE"/>
    <w:rsid w:val="00650F5B"/>
    <w:rsid w:val="006529BC"/>
    <w:rsid w:val="00652E82"/>
    <w:rsid w:val="006530D0"/>
    <w:rsid w:val="0065516B"/>
    <w:rsid w:val="0066606D"/>
    <w:rsid w:val="00666B5D"/>
    <w:rsid w:val="0067242A"/>
    <w:rsid w:val="00673CED"/>
    <w:rsid w:val="00674722"/>
    <w:rsid w:val="006749FE"/>
    <w:rsid w:val="006801A9"/>
    <w:rsid w:val="00681D73"/>
    <w:rsid w:val="006821DB"/>
    <w:rsid w:val="00684C4D"/>
    <w:rsid w:val="00691817"/>
    <w:rsid w:val="0069374B"/>
    <w:rsid w:val="00696FD7"/>
    <w:rsid w:val="006A5F3A"/>
    <w:rsid w:val="006A6F0A"/>
    <w:rsid w:val="006B00E1"/>
    <w:rsid w:val="006B1578"/>
    <w:rsid w:val="006B6920"/>
    <w:rsid w:val="006B6BCB"/>
    <w:rsid w:val="006C01D1"/>
    <w:rsid w:val="006C13B8"/>
    <w:rsid w:val="006C5B1E"/>
    <w:rsid w:val="006C5C51"/>
    <w:rsid w:val="006C5CD4"/>
    <w:rsid w:val="006D4663"/>
    <w:rsid w:val="006D5BEC"/>
    <w:rsid w:val="006D6273"/>
    <w:rsid w:val="006F3A9D"/>
    <w:rsid w:val="006F6AAD"/>
    <w:rsid w:val="006F77AA"/>
    <w:rsid w:val="00701EE1"/>
    <w:rsid w:val="00702DD5"/>
    <w:rsid w:val="007037E0"/>
    <w:rsid w:val="00715EA0"/>
    <w:rsid w:val="00716DDE"/>
    <w:rsid w:val="00721211"/>
    <w:rsid w:val="0072143A"/>
    <w:rsid w:val="00722517"/>
    <w:rsid w:val="00722B3F"/>
    <w:rsid w:val="00725998"/>
    <w:rsid w:val="00725B12"/>
    <w:rsid w:val="007311C0"/>
    <w:rsid w:val="00731E2A"/>
    <w:rsid w:val="00734FD4"/>
    <w:rsid w:val="00740FDB"/>
    <w:rsid w:val="0074155C"/>
    <w:rsid w:val="00742715"/>
    <w:rsid w:val="0074419A"/>
    <w:rsid w:val="00744AC7"/>
    <w:rsid w:val="0074718B"/>
    <w:rsid w:val="00752F41"/>
    <w:rsid w:val="00755821"/>
    <w:rsid w:val="00756CF3"/>
    <w:rsid w:val="00760711"/>
    <w:rsid w:val="00764256"/>
    <w:rsid w:val="0076454F"/>
    <w:rsid w:val="00767B75"/>
    <w:rsid w:val="007700F8"/>
    <w:rsid w:val="007764F5"/>
    <w:rsid w:val="0078066F"/>
    <w:rsid w:val="0078157F"/>
    <w:rsid w:val="00781A4A"/>
    <w:rsid w:val="0079172F"/>
    <w:rsid w:val="00791C67"/>
    <w:rsid w:val="00793C07"/>
    <w:rsid w:val="007941DC"/>
    <w:rsid w:val="00794DAC"/>
    <w:rsid w:val="007958AE"/>
    <w:rsid w:val="0079703B"/>
    <w:rsid w:val="0079727B"/>
    <w:rsid w:val="007A0D34"/>
    <w:rsid w:val="007A5852"/>
    <w:rsid w:val="007A5F9B"/>
    <w:rsid w:val="007A7C7A"/>
    <w:rsid w:val="007B6A73"/>
    <w:rsid w:val="007C175B"/>
    <w:rsid w:val="007C3FAA"/>
    <w:rsid w:val="007D3AB6"/>
    <w:rsid w:val="007D4637"/>
    <w:rsid w:val="007D4C6C"/>
    <w:rsid w:val="007D569A"/>
    <w:rsid w:val="007D64F6"/>
    <w:rsid w:val="007D7F8F"/>
    <w:rsid w:val="007E4C94"/>
    <w:rsid w:val="007E5F04"/>
    <w:rsid w:val="007F2B36"/>
    <w:rsid w:val="007F2C2A"/>
    <w:rsid w:val="007F360E"/>
    <w:rsid w:val="007F4A22"/>
    <w:rsid w:val="007F5365"/>
    <w:rsid w:val="00800B76"/>
    <w:rsid w:val="00812DDE"/>
    <w:rsid w:val="008140E8"/>
    <w:rsid w:val="00815186"/>
    <w:rsid w:val="00816199"/>
    <w:rsid w:val="00816284"/>
    <w:rsid w:val="00817DB8"/>
    <w:rsid w:val="008223B6"/>
    <w:rsid w:val="008234AD"/>
    <w:rsid w:val="00824D57"/>
    <w:rsid w:val="00830E2C"/>
    <w:rsid w:val="00831A8D"/>
    <w:rsid w:val="00835FB6"/>
    <w:rsid w:val="008401DA"/>
    <w:rsid w:val="00844AC5"/>
    <w:rsid w:val="00845602"/>
    <w:rsid w:val="00846672"/>
    <w:rsid w:val="00847099"/>
    <w:rsid w:val="00853091"/>
    <w:rsid w:val="00861B0D"/>
    <w:rsid w:val="00864234"/>
    <w:rsid w:val="008642D5"/>
    <w:rsid w:val="00865A6F"/>
    <w:rsid w:val="00867AC8"/>
    <w:rsid w:val="0087133C"/>
    <w:rsid w:val="00872B38"/>
    <w:rsid w:val="008801A3"/>
    <w:rsid w:val="00880599"/>
    <w:rsid w:val="00882212"/>
    <w:rsid w:val="00883AA8"/>
    <w:rsid w:val="008853B1"/>
    <w:rsid w:val="0088696D"/>
    <w:rsid w:val="00887B87"/>
    <w:rsid w:val="00890BC9"/>
    <w:rsid w:val="0089165B"/>
    <w:rsid w:val="008920BC"/>
    <w:rsid w:val="00893242"/>
    <w:rsid w:val="008944F3"/>
    <w:rsid w:val="008A06BA"/>
    <w:rsid w:val="008A06DF"/>
    <w:rsid w:val="008A2AD6"/>
    <w:rsid w:val="008A2E3D"/>
    <w:rsid w:val="008A2FC0"/>
    <w:rsid w:val="008A59E6"/>
    <w:rsid w:val="008A6F34"/>
    <w:rsid w:val="008B2078"/>
    <w:rsid w:val="008B5366"/>
    <w:rsid w:val="008C3CB6"/>
    <w:rsid w:val="008C4241"/>
    <w:rsid w:val="008C444B"/>
    <w:rsid w:val="008C60E7"/>
    <w:rsid w:val="008D1150"/>
    <w:rsid w:val="008D16DC"/>
    <w:rsid w:val="008D1E2F"/>
    <w:rsid w:val="008E1FB9"/>
    <w:rsid w:val="008E3462"/>
    <w:rsid w:val="008E58D8"/>
    <w:rsid w:val="008E6A1B"/>
    <w:rsid w:val="008E6B4B"/>
    <w:rsid w:val="008F615A"/>
    <w:rsid w:val="008F6B49"/>
    <w:rsid w:val="0090150F"/>
    <w:rsid w:val="009025C1"/>
    <w:rsid w:val="009047BE"/>
    <w:rsid w:val="00904AF7"/>
    <w:rsid w:val="009059F6"/>
    <w:rsid w:val="00905EC4"/>
    <w:rsid w:val="00906E89"/>
    <w:rsid w:val="00914845"/>
    <w:rsid w:val="009159E1"/>
    <w:rsid w:val="00926143"/>
    <w:rsid w:val="0092669F"/>
    <w:rsid w:val="00932626"/>
    <w:rsid w:val="00937032"/>
    <w:rsid w:val="00937148"/>
    <w:rsid w:val="00941419"/>
    <w:rsid w:val="00942353"/>
    <w:rsid w:val="009437A8"/>
    <w:rsid w:val="00946EFC"/>
    <w:rsid w:val="00946F9D"/>
    <w:rsid w:val="00952D54"/>
    <w:rsid w:val="00953043"/>
    <w:rsid w:val="00954CB2"/>
    <w:rsid w:val="00960804"/>
    <w:rsid w:val="00960E38"/>
    <w:rsid w:val="00967D3B"/>
    <w:rsid w:val="00970EA5"/>
    <w:rsid w:val="00971A55"/>
    <w:rsid w:val="00972180"/>
    <w:rsid w:val="00973CA7"/>
    <w:rsid w:val="0097679F"/>
    <w:rsid w:val="00984C36"/>
    <w:rsid w:val="00986108"/>
    <w:rsid w:val="00987D22"/>
    <w:rsid w:val="00991008"/>
    <w:rsid w:val="009929A4"/>
    <w:rsid w:val="009963B1"/>
    <w:rsid w:val="009A0EA8"/>
    <w:rsid w:val="009A1BDE"/>
    <w:rsid w:val="009A4B3F"/>
    <w:rsid w:val="009A7DA8"/>
    <w:rsid w:val="009B352B"/>
    <w:rsid w:val="009B39E3"/>
    <w:rsid w:val="009B5D6F"/>
    <w:rsid w:val="009C3B31"/>
    <w:rsid w:val="009C4A73"/>
    <w:rsid w:val="009C5CF6"/>
    <w:rsid w:val="009C75DB"/>
    <w:rsid w:val="009D062B"/>
    <w:rsid w:val="009D1E75"/>
    <w:rsid w:val="009D389A"/>
    <w:rsid w:val="009D61CA"/>
    <w:rsid w:val="009E3496"/>
    <w:rsid w:val="009E444A"/>
    <w:rsid w:val="009E44D1"/>
    <w:rsid w:val="009F0561"/>
    <w:rsid w:val="009F1C8C"/>
    <w:rsid w:val="009F249A"/>
    <w:rsid w:val="009F6A79"/>
    <w:rsid w:val="00A00532"/>
    <w:rsid w:val="00A027FE"/>
    <w:rsid w:val="00A049ED"/>
    <w:rsid w:val="00A13FD3"/>
    <w:rsid w:val="00A15662"/>
    <w:rsid w:val="00A15B4D"/>
    <w:rsid w:val="00A17A05"/>
    <w:rsid w:val="00A201BA"/>
    <w:rsid w:val="00A20B5D"/>
    <w:rsid w:val="00A23F78"/>
    <w:rsid w:val="00A26C10"/>
    <w:rsid w:val="00A32364"/>
    <w:rsid w:val="00A32B12"/>
    <w:rsid w:val="00A332CD"/>
    <w:rsid w:val="00A33AC6"/>
    <w:rsid w:val="00A35840"/>
    <w:rsid w:val="00A43C61"/>
    <w:rsid w:val="00A44087"/>
    <w:rsid w:val="00A50064"/>
    <w:rsid w:val="00A50762"/>
    <w:rsid w:val="00A50EFB"/>
    <w:rsid w:val="00A51785"/>
    <w:rsid w:val="00A518CC"/>
    <w:rsid w:val="00A51DA0"/>
    <w:rsid w:val="00A52400"/>
    <w:rsid w:val="00A53AEC"/>
    <w:rsid w:val="00A5552F"/>
    <w:rsid w:val="00A557BC"/>
    <w:rsid w:val="00A57FA5"/>
    <w:rsid w:val="00A63D89"/>
    <w:rsid w:val="00A64913"/>
    <w:rsid w:val="00A66F56"/>
    <w:rsid w:val="00A70FB7"/>
    <w:rsid w:val="00A73159"/>
    <w:rsid w:val="00A90CAD"/>
    <w:rsid w:val="00A91710"/>
    <w:rsid w:val="00A921BD"/>
    <w:rsid w:val="00A925B1"/>
    <w:rsid w:val="00A92A0C"/>
    <w:rsid w:val="00A95ABA"/>
    <w:rsid w:val="00A96575"/>
    <w:rsid w:val="00AA1DA9"/>
    <w:rsid w:val="00AA3C1D"/>
    <w:rsid w:val="00AA470C"/>
    <w:rsid w:val="00AA6718"/>
    <w:rsid w:val="00AA733B"/>
    <w:rsid w:val="00AB0EAD"/>
    <w:rsid w:val="00AB2F6A"/>
    <w:rsid w:val="00AB686A"/>
    <w:rsid w:val="00AC108C"/>
    <w:rsid w:val="00AC1A00"/>
    <w:rsid w:val="00AC2AA0"/>
    <w:rsid w:val="00AC4E3E"/>
    <w:rsid w:val="00AD1041"/>
    <w:rsid w:val="00AD273D"/>
    <w:rsid w:val="00AD518D"/>
    <w:rsid w:val="00AD5200"/>
    <w:rsid w:val="00AD5F49"/>
    <w:rsid w:val="00AE19A1"/>
    <w:rsid w:val="00AE7D66"/>
    <w:rsid w:val="00AF0598"/>
    <w:rsid w:val="00AF15DE"/>
    <w:rsid w:val="00AF1826"/>
    <w:rsid w:val="00AF6FAC"/>
    <w:rsid w:val="00B00551"/>
    <w:rsid w:val="00B053A8"/>
    <w:rsid w:val="00B1021A"/>
    <w:rsid w:val="00B1504B"/>
    <w:rsid w:val="00B153BA"/>
    <w:rsid w:val="00B16372"/>
    <w:rsid w:val="00B16D72"/>
    <w:rsid w:val="00B176D7"/>
    <w:rsid w:val="00B200B5"/>
    <w:rsid w:val="00B20E1B"/>
    <w:rsid w:val="00B21432"/>
    <w:rsid w:val="00B232BF"/>
    <w:rsid w:val="00B246C8"/>
    <w:rsid w:val="00B2524F"/>
    <w:rsid w:val="00B2636C"/>
    <w:rsid w:val="00B26C75"/>
    <w:rsid w:val="00B31267"/>
    <w:rsid w:val="00B316F7"/>
    <w:rsid w:val="00B36C6F"/>
    <w:rsid w:val="00B44A67"/>
    <w:rsid w:val="00B45AD9"/>
    <w:rsid w:val="00B46B50"/>
    <w:rsid w:val="00B46F12"/>
    <w:rsid w:val="00B50FAF"/>
    <w:rsid w:val="00B56DC4"/>
    <w:rsid w:val="00B63EEA"/>
    <w:rsid w:val="00B64301"/>
    <w:rsid w:val="00B64CA6"/>
    <w:rsid w:val="00B64F0D"/>
    <w:rsid w:val="00B652C9"/>
    <w:rsid w:val="00B66291"/>
    <w:rsid w:val="00B6685C"/>
    <w:rsid w:val="00B67E44"/>
    <w:rsid w:val="00B70889"/>
    <w:rsid w:val="00B72209"/>
    <w:rsid w:val="00B723C4"/>
    <w:rsid w:val="00B73AEF"/>
    <w:rsid w:val="00B73D7A"/>
    <w:rsid w:val="00B759D9"/>
    <w:rsid w:val="00B75E35"/>
    <w:rsid w:val="00B762CF"/>
    <w:rsid w:val="00B8127D"/>
    <w:rsid w:val="00B8450A"/>
    <w:rsid w:val="00B94787"/>
    <w:rsid w:val="00B95FA8"/>
    <w:rsid w:val="00B96E1B"/>
    <w:rsid w:val="00B97368"/>
    <w:rsid w:val="00B97861"/>
    <w:rsid w:val="00B97CCE"/>
    <w:rsid w:val="00BA0C36"/>
    <w:rsid w:val="00BB22AB"/>
    <w:rsid w:val="00BB4B9A"/>
    <w:rsid w:val="00BB5734"/>
    <w:rsid w:val="00BB612C"/>
    <w:rsid w:val="00BB61A5"/>
    <w:rsid w:val="00BB74E8"/>
    <w:rsid w:val="00BC2E32"/>
    <w:rsid w:val="00BC3A0B"/>
    <w:rsid w:val="00BC4919"/>
    <w:rsid w:val="00BC7592"/>
    <w:rsid w:val="00BC79A5"/>
    <w:rsid w:val="00BD00BC"/>
    <w:rsid w:val="00BD3394"/>
    <w:rsid w:val="00BD4173"/>
    <w:rsid w:val="00BD4618"/>
    <w:rsid w:val="00BD4F05"/>
    <w:rsid w:val="00BD69D0"/>
    <w:rsid w:val="00BD72CF"/>
    <w:rsid w:val="00BD7899"/>
    <w:rsid w:val="00BE3DF4"/>
    <w:rsid w:val="00BE6581"/>
    <w:rsid w:val="00BE7E28"/>
    <w:rsid w:val="00BF0E74"/>
    <w:rsid w:val="00BF3488"/>
    <w:rsid w:val="00BF55BD"/>
    <w:rsid w:val="00C02333"/>
    <w:rsid w:val="00C05D05"/>
    <w:rsid w:val="00C06DAA"/>
    <w:rsid w:val="00C14B6A"/>
    <w:rsid w:val="00C15825"/>
    <w:rsid w:val="00C169A3"/>
    <w:rsid w:val="00C20E8D"/>
    <w:rsid w:val="00C217C3"/>
    <w:rsid w:val="00C225A6"/>
    <w:rsid w:val="00C23C13"/>
    <w:rsid w:val="00C240A7"/>
    <w:rsid w:val="00C25258"/>
    <w:rsid w:val="00C255CE"/>
    <w:rsid w:val="00C27BEA"/>
    <w:rsid w:val="00C3712E"/>
    <w:rsid w:val="00C40B64"/>
    <w:rsid w:val="00C435E6"/>
    <w:rsid w:val="00C443E4"/>
    <w:rsid w:val="00C446EE"/>
    <w:rsid w:val="00C4660F"/>
    <w:rsid w:val="00C471AC"/>
    <w:rsid w:val="00C476C8"/>
    <w:rsid w:val="00C51754"/>
    <w:rsid w:val="00C51F32"/>
    <w:rsid w:val="00C547A9"/>
    <w:rsid w:val="00C56E41"/>
    <w:rsid w:val="00C57192"/>
    <w:rsid w:val="00C609D6"/>
    <w:rsid w:val="00C64BB6"/>
    <w:rsid w:val="00C67553"/>
    <w:rsid w:val="00C67EFD"/>
    <w:rsid w:val="00C705B3"/>
    <w:rsid w:val="00C719FB"/>
    <w:rsid w:val="00C71C81"/>
    <w:rsid w:val="00C71F2E"/>
    <w:rsid w:val="00C72BA4"/>
    <w:rsid w:val="00C7311A"/>
    <w:rsid w:val="00C778D5"/>
    <w:rsid w:val="00C803D0"/>
    <w:rsid w:val="00C80A7E"/>
    <w:rsid w:val="00C85D36"/>
    <w:rsid w:val="00C867A5"/>
    <w:rsid w:val="00C86A3C"/>
    <w:rsid w:val="00C86FA4"/>
    <w:rsid w:val="00C87D50"/>
    <w:rsid w:val="00C90586"/>
    <w:rsid w:val="00C9432C"/>
    <w:rsid w:val="00C95401"/>
    <w:rsid w:val="00CA6AFC"/>
    <w:rsid w:val="00CA717E"/>
    <w:rsid w:val="00CB1580"/>
    <w:rsid w:val="00CB2684"/>
    <w:rsid w:val="00CB327E"/>
    <w:rsid w:val="00CB4CF4"/>
    <w:rsid w:val="00CB6D8B"/>
    <w:rsid w:val="00CB757F"/>
    <w:rsid w:val="00CB7714"/>
    <w:rsid w:val="00CB7888"/>
    <w:rsid w:val="00CC0D34"/>
    <w:rsid w:val="00CC1F52"/>
    <w:rsid w:val="00CC3CEC"/>
    <w:rsid w:val="00CC5650"/>
    <w:rsid w:val="00CC601E"/>
    <w:rsid w:val="00CD0810"/>
    <w:rsid w:val="00CD0871"/>
    <w:rsid w:val="00CD15AC"/>
    <w:rsid w:val="00CD16EF"/>
    <w:rsid w:val="00CD6E04"/>
    <w:rsid w:val="00CE0038"/>
    <w:rsid w:val="00CE00DF"/>
    <w:rsid w:val="00CE0EE9"/>
    <w:rsid w:val="00CE2815"/>
    <w:rsid w:val="00CE4363"/>
    <w:rsid w:val="00CE6145"/>
    <w:rsid w:val="00CE7493"/>
    <w:rsid w:val="00CF1384"/>
    <w:rsid w:val="00CF31A3"/>
    <w:rsid w:val="00CF5029"/>
    <w:rsid w:val="00D0005C"/>
    <w:rsid w:val="00D03E68"/>
    <w:rsid w:val="00D0649F"/>
    <w:rsid w:val="00D101DB"/>
    <w:rsid w:val="00D10EC7"/>
    <w:rsid w:val="00D14647"/>
    <w:rsid w:val="00D14DA8"/>
    <w:rsid w:val="00D152BD"/>
    <w:rsid w:val="00D1696C"/>
    <w:rsid w:val="00D173FA"/>
    <w:rsid w:val="00D17566"/>
    <w:rsid w:val="00D20765"/>
    <w:rsid w:val="00D20FE1"/>
    <w:rsid w:val="00D22980"/>
    <w:rsid w:val="00D251EF"/>
    <w:rsid w:val="00D25271"/>
    <w:rsid w:val="00D26AD1"/>
    <w:rsid w:val="00D27104"/>
    <w:rsid w:val="00D30143"/>
    <w:rsid w:val="00D31DD4"/>
    <w:rsid w:val="00D348B0"/>
    <w:rsid w:val="00D3713E"/>
    <w:rsid w:val="00D40793"/>
    <w:rsid w:val="00D436C6"/>
    <w:rsid w:val="00D463F3"/>
    <w:rsid w:val="00D47072"/>
    <w:rsid w:val="00D514DB"/>
    <w:rsid w:val="00D51D5A"/>
    <w:rsid w:val="00D526AB"/>
    <w:rsid w:val="00D54B44"/>
    <w:rsid w:val="00D558E1"/>
    <w:rsid w:val="00D57026"/>
    <w:rsid w:val="00D627C9"/>
    <w:rsid w:val="00D71828"/>
    <w:rsid w:val="00D800DA"/>
    <w:rsid w:val="00D8218E"/>
    <w:rsid w:val="00D8346E"/>
    <w:rsid w:val="00D86650"/>
    <w:rsid w:val="00D86D55"/>
    <w:rsid w:val="00D921FE"/>
    <w:rsid w:val="00D9496D"/>
    <w:rsid w:val="00D95BB3"/>
    <w:rsid w:val="00D97380"/>
    <w:rsid w:val="00DA044F"/>
    <w:rsid w:val="00DA105C"/>
    <w:rsid w:val="00DA2163"/>
    <w:rsid w:val="00DA28B2"/>
    <w:rsid w:val="00DA6C09"/>
    <w:rsid w:val="00DA6ECE"/>
    <w:rsid w:val="00DA7095"/>
    <w:rsid w:val="00DA72AF"/>
    <w:rsid w:val="00DB223F"/>
    <w:rsid w:val="00DB57BB"/>
    <w:rsid w:val="00DB6A83"/>
    <w:rsid w:val="00DC0B27"/>
    <w:rsid w:val="00DC3998"/>
    <w:rsid w:val="00DC4475"/>
    <w:rsid w:val="00DC5E9F"/>
    <w:rsid w:val="00DC7567"/>
    <w:rsid w:val="00DD645B"/>
    <w:rsid w:val="00DE1A22"/>
    <w:rsid w:val="00DE1CCA"/>
    <w:rsid w:val="00DE6729"/>
    <w:rsid w:val="00DE7E2D"/>
    <w:rsid w:val="00DF193F"/>
    <w:rsid w:val="00DF25E1"/>
    <w:rsid w:val="00DF3523"/>
    <w:rsid w:val="00E01458"/>
    <w:rsid w:val="00E0332B"/>
    <w:rsid w:val="00E036CD"/>
    <w:rsid w:val="00E049D9"/>
    <w:rsid w:val="00E07100"/>
    <w:rsid w:val="00E07FC2"/>
    <w:rsid w:val="00E10C3F"/>
    <w:rsid w:val="00E13124"/>
    <w:rsid w:val="00E153BB"/>
    <w:rsid w:val="00E21413"/>
    <w:rsid w:val="00E22D57"/>
    <w:rsid w:val="00E22EBC"/>
    <w:rsid w:val="00E251C7"/>
    <w:rsid w:val="00E278B7"/>
    <w:rsid w:val="00E30D44"/>
    <w:rsid w:val="00E329CC"/>
    <w:rsid w:val="00E37343"/>
    <w:rsid w:val="00E45FFA"/>
    <w:rsid w:val="00E50F9B"/>
    <w:rsid w:val="00E54396"/>
    <w:rsid w:val="00E5578E"/>
    <w:rsid w:val="00E604F1"/>
    <w:rsid w:val="00E61654"/>
    <w:rsid w:val="00E6680C"/>
    <w:rsid w:val="00E66C37"/>
    <w:rsid w:val="00E7270D"/>
    <w:rsid w:val="00E737A3"/>
    <w:rsid w:val="00E7592D"/>
    <w:rsid w:val="00E81AF6"/>
    <w:rsid w:val="00E826CD"/>
    <w:rsid w:val="00E843C6"/>
    <w:rsid w:val="00E85903"/>
    <w:rsid w:val="00E85964"/>
    <w:rsid w:val="00E85CA9"/>
    <w:rsid w:val="00E86560"/>
    <w:rsid w:val="00E86589"/>
    <w:rsid w:val="00E90411"/>
    <w:rsid w:val="00E90B57"/>
    <w:rsid w:val="00E90E77"/>
    <w:rsid w:val="00E91D47"/>
    <w:rsid w:val="00E950F7"/>
    <w:rsid w:val="00E9738B"/>
    <w:rsid w:val="00E97ED5"/>
    <w:rsid w:val="00EA2A02"/>
    <w:rsid w:val="00EA3FB7"/>
    <w:rsid w:val="00EA4881"/>
    <w:rsid w:val="00EA6339"/>
    <w:rsid w:val="00EB0F3C"/>
    <w:rsid w:val="00EB13A1"/>
    <w:rsid w:val="00EB1B29"/>
    <w:rsid w:val="00EB1F22"/>
    <w:rsid w:val="00EB4289"/>
    <w:rsid w:val="00EB5885"/>
    <w:rsid w:val="00EB6854"/>
    <w:rsid w:val="00EB75BE"/>
    <w:rsid w:val="00EC1352"/>
    <w:rsid w:val="00EC2549"/>
    <w:rsid w:val="00EC2883"/>
    <w:rsid w:val="00EC2BB5"/>
    <w:rsid w:val="00EC3810"/>
    <w:rsid w:val="00EC40A2"/>
    <w:rsid w:val="00EC4B4C"/>
    <w:rsid w:val="00EC4D83"/>
    <w:rsid w:val="00EC5F28"/>
    <w:rsid w:val="00EC69E5"/>
    <w:rsid w:val="00EE126C"/>
    <w:rsid w:val="00EE32ED"/>
    <w:rsid w:val="00EE7E2F"/>
    <w:rsid w:val="00EF31F9"/>
    <w:rsid w:val="00EF4E8F"/>
    <w:rsid w:val="00EF5AA6"/>
    <w:rsid w:val="00EF6661"/>
    <w:rsid w:val="00F02D10"/>
    <w:rsid w:val="00F0669D"/>
    <w:rsid w:val="00F07E14"/>
    <w:rsid w:val="00F10E50"/>
    <w:rsid w:val="00F211FE"/>
    <w:rsid w:val="00F224EF"/>
    <w:rsid w:val="00F234A7"/>
    <w:rsid w:val="00F238BB"/>
    <w:rsid w:val="00F2456F"/>
    <w:rsid w:val="00F261FD"/>
    <w:rsid w:val="00F27DDA"/>
    <w:rsid w:val="00F37F8A"/>
    <w:rsid w:val="00F42EDE"/>
    <w:rsid w:val="00F43EFC"/>
    <w:rsid w:val="00F446EB"/>
    <w:rsid w:val="00F46B36"/>
    <w:rsid w:val="00F47157"/>
    <w:rsid w:val="00F5336A"/>
    <w:rsid w:val="00F54C2B"/>
    <w:rsid w:val="00F567E7"/>
    <w:rsid w:val="00F571BE"/>
    <w:rsid w:val="00F5795E"/>
    <w:rsid w:val="00F57A49"/>
    <w:rsid w:val="00F61B76"/>
    <w:rsid w:val="00F643A2"/>
    <w:rsid w:val="00F643F2"/>
    <w:rsid w:val="00F65F03"/>
    <w:rsid w:val="00F6601D"/>
    <w:rsid w:val="00F673CB"/>
    <w:rsid w:val="00F67588"/>
    <w:rsid w:val="00F70F4B"/>
    <w:rsid w:val="00F72D0E"/>
    <w:rsid w:val="00F758CB"/>
    <w:rsid w:val="00F76A4D"/>
    <w:rsid w:val="00F8221A"/>
    <w:rsid w:val="00F87178"/>
    <w:rsid w:val="00F87390"/>
    <w:rsid w:val="00F90B59"/>
    <w:rsid w:val="00F91549"/>
    <w:rsid w:val="00F9208B"/>
    <w:rsid w:val="00F93EE8"/>
    <w:rsid w:val="00F943BD"/>
    <w:rsid w:val="00FA440F"/>
    <w:rsid w:val="00FA6888"/>
    <w:rsid w:val="00FB762C"/>
    <w:rsid w:val="00FC18D7"/>
    <w:rsid w:val="00FC6BE7"/>
    <w:rsid w:val="00FC7535"/>
    <w:rsid w:val="00FD0135"/>
    <w:rsid w:val="00FD028C"/>
    <w:rsid w:val="00FD2052"/>
    <w:rsid w:val="00FE0575"/>
    <w:rsid w:val="00FE26CC"/>
    <w:rsid w:val="00FE78A2"/>
    <w:rsid w:val="00FF3E28"/>
    <w:rsid w:val="00FF77D0"/>
    <w:rsid w:val="00FF7C8C"/>
    <w:rsid w:val="01DA23AF"/>
    <w:rsid w:val="025739FF"/>
    <w:rsid w:val="02581525"/>
    <w:rsid w:val="02971D9B"/>
    <w:rsid w:val="040F20B8"/>
    <w:rsid w:val="04A120E1"/>
    <w:rsid w:val="05CF5FA2"/>
    <w:rsid w:val="060C467C"/>
    <w:rsid w:val="062A31D9"/>
    <w:rsid w:val="062F259D"/>
    <w:rsid w:val="06654211"/>
    <w:rsid w:val="068C25DB"/>
    <w:rsid w:val="06AE79A3"/>
    <w:rsid w:val="06B47C7B"/>
    <w:rsid w:val="06EB2968"/>
    <w:rsid w:val="06ED4932"/>
    <w:rsid w:val="07106873"/>
    <w:rsid w:val="071C0D73"/>
    <w:rsid w:val="07504EC1"/>
    <w:rsid w:val="07EE41F1"/>
    <w:rsid w:val="080324F7"/>
    <w:rsid w:val="082F13F4"/>
    <w:rsid w:val="08381BDD"/>
    <w:rsid w:val="083D1CD8"/>
    <w:rsid w:val="087516B5"/>
    <w:rsid w:val="09A10A0F"/>
    <w:rsid w:val="0A1C72DC"/>
    <w:rsid w:val="0AC37758"/>
    <w:rsid w:val="0B154457"/>
    <w:rsid w:val="0B212DFC"/>
    <w:rsid w:val="0B3E2722"/>
    <w:rsid w:val="0B523A4C"/>
    <w:rsid w:val="0B91507D"/>
    <w:rsid w:val="0BBA6DAD"/>
    <w:rsid w:val="0C27455C"/>
    <w:rsid w:val="0C610D37"/>
    <w:rsid w:val="0D0F2768"/>
    <w:rsid w:val="0D8458C4"/>
    <w:rsid w:val="0E1704E7"/>
    <w:rsid w:val="0FDD1D3C"/>
    <w:rsid w:val="102B5847"/>
    <w:rsid w:val="10B169D0"/>
    <w:rsid w:val="10B72ECD"/>
    <w:rsid w:val="10F90F82"/>
    <w:rsid w:val="111019FE"/>
    <w:rsid w:val="11627CCB"/>
    <w:rsid w:val="1283393D"/>
    <w:rsid w:val="130D3C66"/>
    <w:rsid w:val="134358DA"/>
    <w:rsid w:val="134C478E"/>
    <w:rsid w:val="13533D6F"/>
    <w:rsid w:val="13A9398F"/>
    <w:rsid w:val="13BF03CA"/>
    <w:rsid w:val="143851FF"/>
    <w:rsid w:val="148B578A"/>
    <w:rsid w:val="1510485B"/>
    <w:rsid w:val="151E215B"/>
    <w:rsid w:val="15853F88"/>
    <w:rsid w:val="16157E2D"/>
    <w:rsid w:val="16393F65"/>
    <w:rsid w:val="16866209"/>
    <w:rsid w:val="174727ED"/>
    <w:rsid w:val="17D66D1D"/>
    <w:rsid w:val="18F25DD8"/>
    <w:rsid w:val="1945415A"/>
    <w:rsid w:val="196C5B8A"/>
    <w:rsid w:val="199F50F2"/>
    <w:rsid w:val="19AC5F87"/>
    <w:rsid w:val="19CF7EC7"/>
    <w:rsid w:val="1A134258"/>
    <w:rsid w:val="1A27385F"/>
    <w:rsid w:val="1A396A26"/>
    <w:rsid w:val="1A3D3083"/>
    <w:rsid w:val="1AB75623"/>
    <w:rsid w:val="1B297ECA"/>
    <w:rsid w:val="1BA91321"/>
    <w:rsid w:val="1C422BD3"/>
    <w:rsid w:val="1C4C57FF"/>
    <w:rsid w:val="1C56667E"/>
    <w:rsid w:val="1C607754"/>
    <w:rsid w:val="1CA266AD"/>
    <w:rsid w:val="1CE27F12"/>
    <w:rsid w:val="1CF75746"/>
    <w:rsid w:val="1D686669"/>
    <w:rsid w:val="1DD82FFB"/>
    <w:rsid w:val="1E4F15D7"/>
    <w:rsid w:val="1E571888"/>
    <w:rsid w:val="1ECC7CDD"/>
    <w:rsid w:val="1EFA59E6"/>
    <w:rsid w:val="1FFB5111"/>
    <w:rsid w:val="20DB53A4"/>
    <w:rsid w:val="20E650B5"/>
    <w:rsid w:val="21AB2FC8"/>
    <w:rsid w:val="21F104B3"/>
    <w:rsid w:val="22552F34"/>
    <w:rsid w:val="22843E91"/>
    <w:rsid w:val="23256E5B"/>
    <w:rsid w:val="23A943F2"/>
    <w:rsid w:val="23BF77F9"/>
    <w:rsid w:val="242F7EE0"/>
    <w:rsid w:val="24A02B8C"/>
    <w:rsid w:val="25BF7042"/>
    <w:rsid w:val="25C26B32"/>
    <w:rsid w:val="25E8116C"/>
    <w:rsid w:val="262B0B7B"/>
    <w:rsid w:val="263E1924"/>
    <w:rsid w:val="270D0281"/>
    <w:rsid w:val="27677991"/>
    <w:rsid w:val="27EC23B7"/>
    <w:rsid w:val="28CD68E9"/>
    <w:rsid w:val="292D1901"/>
    <w:rsid w:val="2A7B2E88"/>
    <w:rsid w:val="2AAC55EE"/>
    <w:rsid w:val="2B1241D5"/>
    <w:rsid w:val="2B1E480B"/>
    <w:rsid w:val="2B3D1DC1"/>
    <w:rsid w:val="2B886128"/>
    <w:rsid w:val="2C023A0C"/>
    <w:rsid w:val="2C475F3C"/>
    <w:rsid w:val="2CEB4BC0"/>
    <w:rsid w:val="2D170DFB"/>
    <w:rsid w:val="2D6B72D5"/>
    <w:rsid w:val="2D88240F"/>
    <w:rsid w:val="2DA51213"/>
    <w:rsid w:val="2E150147"/>
    <w:rsid w:val="2E4F4001"/>
    <w:rsid w:val="2EF36F14"/>
    <w:rsid w:val="2FA17BFB"/>
    <w:rsid w:val="2FC841E5"/>
    <w:rsid w:val="2FFA56D7"/>
    <w:rsid w:val="300852DE"/>
    <w:rsid w:val="301B3177"/>
    <w:rsid w:val="303F76FD"/>
    <w:rsid w:val="31992E3D"/>
    <w:rsid w:val="31E06CBE"/>
    <w:rsid w:val="32236BAB"/>
    <w:rsid w:val="3244289A"/>
    <w:rsid w:val="32AF74D9"/>
    <w:rsid w:val="32B97377"/>
    <w:rsid w:val="33941B0E"/>
    <w:rsid w:val="33C91D38"/>
    <w:rsid w:val="34291934"/>
    <w:rsid w:val="348D06FD"/>
    <w:rsid w:val="34CC177B"/>
    <w:rsid w:val="34DF325D"/>
    <w:rsid w:val="362E697F"/>
    <w:rsid w:val="362F1FC2"/>
    <w:rsid w:val="37144761"/>
    <w:rsid w:val="375A6BCB"/>
    <w:rsid w:val="37AB5678"/>
    <w:rsid w:val="37C24F6B"/>
    <w:rsid w:val="37D7173E"/>
    <w:rsid w:val="37F17D73"/>
    <w:rsid w:val="382F48C6"/>
    <w:rsid w:val="38312021"/>
    <w:rsid w:val="38B817B4"/>
    <w:rsid w:val="38C05153"/>
    <w:rsid w:val="393B4A71"/>
    <w:rsid w:val="398E34A3"/>
    <w:rsid w:val="3A7E52C6"/>
    <w:rsid w:val="3A8F1281"/>
    <w:rsid w:val="3A9B5E78"/>
    <w:rsid w:val="3AAC1E33"/>
    <w:rsid w:val="3AB17F7A"/>
    <w:rsid w:val="3ACA22B9"/>
    <w:rsid w:val="3B0E58C7"/>
    <w:rsid w:val="3B304812"/>
    <w:rsid w:val="3BCE7B87"/>
    <w:rsid w:val="3C033730"/>
    <w:rsid w:val="3C746980"/>
    <w:rsid w:val="3D406863"/>
    <w:rsid w:val="3D9D5870"/>
    <w:rsid w:val="3DDF607B"/>
    <w:rsid w:val="3E260CC7"/>
    <w:rsid w:val="3EB968CD"/>
    <w:rsid w:val="3EF8229A"/>
    <w:rsid w:val="3F446ADE"/>
    <w:rsid w:val="3F4563B2"/>
    <w:rsid w:val="40356427"/>
    <w:rsid w:val="40A35A86"/>
    <w:rsid w:val="40D93256"/>
    <w:rsid w:val="418961FE"/>
    <w:rsid w:val="41C2018E"/>
    <w:rsid w:val="42103A4A"/>
    <w:rsid w:val="42764E69"/>
    <w:rsid w:val="427D5E63"/>
    <w:rsid w:val="42D55C9F"/>
    <w:rsid w:val="434370AD"/>
    <w:rsid w:val="4416031D"/>
    <w:rsid w:val="44315157"/>
    <w:rsid w:val="44B10046"/>
    <w:rsid w:val="450811BF"/>
    <w:rsid w:val="452614AD"/>
    <w:rsid w:val="45823E47"/>
    <w:rsid w:val="46B17C96"/>
    <w:rsid w:val="46B300A5"/>
    <w:rsid w:val="46B8390E"/>
    <w:rsid w:val="471E5E67"/>
    <w:rsid w:val="47721D0E"/>
    <w:rsid w:val="47C754C6"/>
    <w:rsid w:val="47D71C0C"/>
    <w:rsid w:val="486E0FF2"/>
    <w:rsid w:val="486F44A0"/>
    <w:rsid w:val="49680B13"/>
    <w:rsid w:val="49D7054F"/>
    <w:rsid w:val="4BA12BC2"/>
    <w:rsid w:val="4C15710C"/>
    <w:rsid w:val="4C6C1422"/>
    <w:rsid w:val="4C7812B7"/>
    <w:rsid w:val="4CE2651F"/>
    <w:rsid w:val="4D0553D3"/>
    <w:rsid w:val="4D346757"/>
    <w:rsid w:val="4D3B1D7F"/>
    <w:rsid w:val="4E896D6E"/>
    <w:rsid w:val="4EDD03B5"/>
    <w:rsid w:val="50487D45"/>
    <w:rsid w:val="50F639B0"/>
    <w:rsid w:val="51121E6C"/>
    <w:rsid w:val="514C35D0"/>
    <w:rsid w:val="5176064D"/>
    <w:rsid w:val="52533F75"/>
    <w:rsid w:val="52C84ED8"/>
    <w:rsid w:val="52CA126A"/>
    <w:rsid w:val="52DB2E5E"/>
    <w:rsid w:val="530103EA"/>
    <w:rsid w:val="531445C2"/>
    <w:rsid w:val="53650979"/>
    <w:rsid w:val="53A07C03"/>
    <w:rsid w:val="54006EBD"/>
    <w:rsid w:val="540208BE"/>
    <w:rsid w:val="542425E2"/>
    <w:rsid w:val="550E3F9A"/>
    <w:rsid w:val="55766E6E"/>
    <w:rsid w:val="559B2D78"/>
    <w:rsid w:val="559B53B0"/>
    <w:rsid w:val="55B81234"/>
    <w:rsid w:val="55FE01DE"/>
    <w:rsid w:val="565F3711"/>
    <w:rsid w:val="567F7FA4"/>
    <w:rsid w:val="56951575"/>
    <w:rsid w:val="56B17AF5"/>
    <w:rsid w:val="56D7393C"/>
    <w:rsid w:val="57672F12"/>
    <w:rsid w:val="57F16C7F"/>
    <w:rsid w:val="57F95B34"/>
    <w:rsid w:val="58E10F36"/>
    <w:rsid w:val="591075D9"/>
    <w:rsid w:val="59BA5EBD"/>
    <w:rsid w:val="59CA6C37"/>
    <w:rsid w:val="59DD51A2"/>
    <w:rsid w:val="5A241C82"/>
    <w:rsid w:val="5A655703"/>
    <w:rsid w:val="5AC8016B"/>
    <w:rsid w:val="5ACD1DFE"/>
    <w:rsid w:val="5AE605F2"/>
    <w:rsid w:val="5B2D7FCE"/>
    <w:rsid w:val="5D0631CD"/>
    <w:rsid w:val="5D3445F3"/>
    <w:rsid w:val="5E4717A2"/>
    <w:rsid w:val="5E487850"/>
    <w:rsid w:val="5E4A70E9"/>
    <w:rsid w:val="5E6A778C"/>
    <w:rsid w:val="5EDB41E5"/>
    <w:rsid w:val="5F2B2A77"/>
    <w:rsid w:val="5FD35B6B"/>
    <w:rsid w:val="5FDE3F8D"/>
    <w:rsid w:val="609A4358"/>
    <w:rsid w:val="61665FE8"/>
    <w:rsid w:val="61BC56D7"/>
    <w:rsid w:val="62A3501A"/>
    <w:rsid w:val="635D7F5B"/>
    <w:rsid w:val="6445282D"/>
    <w:rsid w:val="64DA7491"/>
    <w:rsid w:val="652D4363"/>
    <w:rsid w:val="65BE5407"/>
    <w:rsid w:val="65CB6AD7"/>
    <w:rsid w:val="67065B78"/>
    <w:rsid w:val="67310E46"/>
    <w:rsid w:val="674F751F"/>
    <w:rsid w:val="675D6C23"/>
    <w:rsid w:val="67D77C40"/>
    <w:rsid w:val="67DA328C"/>
    <w:rsid w:val="6881130A"/>
    <w:rsid w:val="68C06BF6"/>
    <w:rsid w:val="696B1E57"/>
    <w:rsid w:val="69E0280F"/>
    <w:rsid w:val="6A99742E"/>
    <w:rsid w:val="6AF405C0"/>
    <w:rsid w:val="6B555802"/>
    <w:rsid w:val="6CE013DA"/>
    <w:rsid w:val="6CF5724A"/>
    <w:rsid w:val="6E14501E"/>
    <w:rsid w:val="6E971ED7"/>
    <w:rsid w:val="6EB15DD3"/>
    <w:rsid w:val="6EC91D52"/>
    <w:rsid w:val="6ED07E1A"/>
    <w:rsid w:val="6EE85353"/>
    <w:rsid w:val="6EF32E85"/>
    <w:rsid w:val="6F7A7850"/>
    <w:rsid w:val="703D7D6C"/>
    <w:rsid w:val="70CE05A3"/>
    <w:rsid w:val="71107D1F"/>
    <w:rsid w:val="71213CDA"/>
    <w:rsid w:val="71A50ADE"/>
    <w:rsid w:val="73DD5247"/>
    <w:rsid w:val="73EF2A80"/>
    <w:rsid w:val="742064CB"/>
    <w:rsid w:val="7476258E"/>
    <w:rsid w:val="748F01F5"/>
    <w:rsid w:val="75357D54"/>
    <w:rsid w:val="755A5A0C"/>
    <w:rsid w:val="75C80BC8"/>
    <w:rsid w:val="762A72B5"/>
    <w:rsid w:val="762B1157"/>
    <w:rsid w:val="768F16E6"/>
    <w:rsid w:val="76AD7DBE"/>
    <w:rsid w:val="76EE4427"/>
    <w:rsid w:val="77183DD1"/>
    <w:rsid w:val="77F71C38"/>
    <w:rsid w:val="78AA314A"/>
    <w:rsid w:val="78C25DA2"/>
    <w:rsid w:val="78CD0CE6"/>
    <w:rsid w:val="792A3948"/>
    <w:rsid w:val="79D07A75"/>
    <w:rsid w:val="79FB4704"/>
    <w:rsid w:val="7A1F0A71"/>
    <w:rsid w:val="7A3A5E0C"/>
    <w:rsid w:val="7A71379F"/>
    <w:rsid w:val="7BC566B5"/>
    <w:rsid w:val="7DCB394B"/>
    <w:rsid w:val="7DCC1471"/>
    <w:rsid w:val="7E70572F"/>
    <w:rsid w:val="7E7A031E"/>
    <w:rsid w:val="7F482D79"/>
    <w:rsid w:val="7F820039"/>
    <w:rsid w:val="7FFF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6"/>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5">
    <w:name w:val="heading 2"/>
    <w:basedOn w:val="1"/>
    <w:next w:val="1"/>
    <w:link w:val="2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7"/>
    <w:next w:val="1"/>
    <w:qFormat/>
    <w:uiPriority w:val="9"/>
    <w:pPr>
      <w:spacing w:before="260" w:after="260" w:line="240" w:lineRule="auto"/>
      <w:outlineLvl w:val="2"/>
    </w:pPr>
    <w:rPr>
      <w:rFonts w:ascii="宋体" w:hAnsi="宋体" w:eastAsia="宋体"/>
      <w:szCs w:val="32"/>
    </w:rPr>
  </w:style>
  <w:style w:type="paragraph" w:styleId="7">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b/>
      <w:bCs/>
      <w:sz w:val="24"/>
    </w:rPr>
  </w:style>
  <w:style w:type="paragraph" w:styleId="3">
    <w:name w:val="Body Text 2"/>
    <w:basedOn w:val="1"/>
    <w:qFormat/>
    <w:uiPriority w:val="0"/>
    <w:pPr>
      <w:spacing w:line="360" w:lineRule="auto"/>
    </w:pPr>
    <w:rPr>
      <w:sz w:val="24"/>
    </w:rPr>
  </w:style>
  <w:style w:type="paragraph" w:styleId="8">
    <w:name w:val="Normal Indent"/>
    <w:basedOn w:val="1"/>
    <w:qFormat/>
    <w:uiPriority w:val="0"/>
    <w:pPr>
      <w:ind w:firstLine="420"/>
    </w:pPr>
    <w:rPr>
      <w:szCs w:val="20"/>
    </w:rPr>
  </w:style>
  <w:style w:type="paragraph" w:styleId="9">
    <w:name w:val="Document Map"/>
    <w:basedOn w:val="1"/>
    <w:link w:val="28"/>
    <w:semiHidden/>
    <w:unhideWhenUsed/>
    <w:qFormat/>
    <w:uiPriority w:val="99"/>
    <w:rPr>
      <w:rFonts w:ascii="宋体" w:eastAsia="宋体"/>
      <w:sz w:val="18"/>
      <w:szCs w:val="18"/>
    </w:rPr>
  </w:style>
  <w:style w:type="paragraph" w:styleId="10">
    <w:name w:val="annotation text"/>
    <w:basedOn w:val="1"/>
    <w:link w:val="30"/>
    <w:semiHidden/>
    <w:unhideWhenUsed/>
    <w:qFormat/>
    <w:uiPriority w:val="99"/>
    <w:pPr>
      <w:jc w:val="left"/>
    </w:pPr>
  </w:style>
  <w:style w:type="paragraph" w:styleId="11">
    <w:name w:val="Balloon Text"/>
    <w:basedOn w:val="1"/>
    <w:link w:val="24"/>
    <w:semiHidden/>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link w:val="25"/>
    <w:qFormat/>
    <w:uiPriority w:val="99"/>
    <w:pPr>
      <w:widowControl/>
      <w:spacing w:before="100" w:beforeAutospacing="1" w:afterAutospacing="1"/>
      <w:jc w:val="left"/>
    </w:pPr>
    <w:rPr>
      <w:rFonts w:ascii="宋体" w:hAnsi="宋体"/>
      <w:sz w:val="24"/>
      <w:szCs w:val="24"/>
    </w:rPr>
  </w:style>
  <w:style w:type="paragraph" w:styleId="15">
    <w:name w:val="annotation subject"/>
    <w:basedOn w:val="10"/>
    <w:next w:val="10"/>
    <w:link w:val="32"/>
    <w:semiHidden/>
    <w:unhideWhenUsed/>
    <w:qFormat/>
    <w:uiPriority w:val="99"/>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3"/>
    <w:semiHidden/>
    <w:qFormat/>
    <w:uiPriority w:val="99"/>
    <w:rPr>
      <w:sz w:val="18"/>
      <w:szCs w:val="18"/>
    </w:rPr>
  </w:style>
  <w:style w:type="character" w:customStyle="1" w:styleId="23">
    <w:name w:val="页脚 Char"/>
    <w:basedOn w:val="18"/>
    <w:link w:val="12"/>
    <w:qFormat/>
    <w:uiPriority w:val="99"/>
    <w:rPr>
      <w:sz w:val="18"/>
      <w:szCs w:val="18"/>
    </w:rPr>
  </w:style>
  <w:style w:type="character" w:customStyle="1" w:styleId="24">
    <w:name w:val="批注框文本 Char"/>
    <w:basedOn w:val="18"/>
    <w:link w:val="11"/>
    <w:semiHidden/>
    <w:qFormat/>
    <w:uiPriority w:val="99"/>
    <w:rPr>
      <w:sz w:val="18"/>
      <w:szCs w:val="18"/>
    </w:rPr>
  </w:style>
  <w:style w:type="character" w:customStyle="1" w:styleId="25">
    <w:name w:val="普通(网站) Char"/>
    <w:link w:val="14"/>
    <w:qFormat/>
    <w:uiPriority w:val="99"/>
    <w:rPr>
      <w:rFonts w:ascii="宋体" w:hAnsi="宋体"/>
      <w:sz w:val="24"/>
      <w:szCs w:val="24"/>
    </w:rPr>
  </w:style>
  <w:style w:type="character" w:customStyle="1" w:styleId="26">
    <w:name w:val="标题 1 Char"/>
    <w:basedOn w:val="18"/>
    <w:link w:val="4"/>
    <w:qFormat/>
    <w:uiPriority w:val="0"/>
    <w:rPr>
      <w:rFonts w:ascii="Arial" w:hAnsi="Arial" w:eastAsia="宋体" w:cs="Times New Roman"/>
      <w:b/>
      <w:bCs/>
      <w:kern w:val="44"/>
      <w:sz w:val="44"/>
      <w:szCs w:val="44"/>
    </w:rPr>
  </w:style>
  <w:style w:type="paragraph" w:styleId="27">
    <w:name w:val="List Paragraph"/>
    <w:basedOn w:val="1"/>
    <w:qFormat/>
    <w:uiPriority w:val="34"/>
    <w:pPr>
      <w:ind w:firstLine="420" w:firstLineChars="200"/>
    </w:pPr>
  </w:style>
  <w:style w:type="character" w:customStyle="1" w:styleId="28">
    <w:name w:val="文档结构图 Char"/>
    <w:basedOn w:val="18"/>
    <w:link w:val="9"/>
    <w:semiHidden/>
    <w:qFormat/>
    <w:uiPriority w:val="99"/>
    <w:rPr>
      <w:rFonts w:ascii="宋体" w:eastAsia="宋体"/>
      <w:sz w:val="18"/>
      <w:szCs w:val="18"/>
    </w:rPr>
  </w:style>
  <w:style w:type="character" w:customStyle="1" w:styleId="29">
    <w:name w:val="标题 2 Char"/>
    <w:basedOn w:val="18"/>
    <w:link w:val="5"/>
    <w:semiHidden/>
    <w:qFormat/>
    <w:uiPriority w:val="9"/>
    <w:rPr>
      <w:rFonts w:asciiTheme="majorHAnsi" w:hAnsiTheme="majorHAnsi" w:eastAsiaTheme="majorEastAsia" w:cstheme="majorBidi"/>
      <w:b/>
      <w:bCs/>
      <w:sz w:val="32"/>
      <w:szCs w:val="32"/>
    </w:rPr>
  </w:style>
  <w:style w:type="character" w:customStyle="1" w:styleId="30">
    <w:name w:val="批注文字 Char"/>
    <w:basedOn w:val="18"/>
    <w:link w:val="10"/>
    <w:semiHidden/>
    <w:qFormat/>
    <w:uiPriority w:val="99"/>
  </w:style>
  <w:style w:type="character" w:customStyle="1" w:styleId="31">
    <w:name w:val="标题 3 Char"/>
    <w:qFormat/>
    <w:uiPriority w:val="0"/>
    <w:rPr>
      <w:rFonts w:ascii="黑体" w:eastAsia="黑体"/>
      <w:bCs/>
      <w:sz w:val="30"/>
    </w:rPr>
  </w:style>
  <w:style w:type="character" w:customStyle="1" w:styleId="32">
    <w:name w:val="批注主题 Char"/>
    <w:basedOn w:val="30"/>
    <w:link w:val="15"/>
    <w:semiHidden/>
    <w:qFormat/>
    <w:uiPriority w:val="99"/>
    <w:rPr>
      <w:b/>
      <w:bCs/>
      <w:kern w:val="2"/>
      <w:sz w:val="21"/>
      <w:szCs w:val="22"/>
    </w:rPr>
  </w:style>
  <w:style w:type="table" w:customStyle="1" w:styleId="33">
    <w:name w:val="网格型1"/>
    <w:basedOn w:val="16"/>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4">
    <w:name w:val="Default"/>
    <w:qFormat/>
    <w:uiPriority w:val="0"/>
    <w:pPr>
      <w:widowControl w:val="0"/>
      <w:autoSpaceDE w:val="0"/>
      <w:autoSpaceDN w:val="0"/>
      <w:adjustRightInd w:val="0"/>
    </w:pPr>
    <w:rPr>
      <w:rFonts w:ascii="Arial Narrow" w:hAnsi="Arial Narrow"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51</Pages>
  <Words>39412</Words>
  <Characters>41268</Characters>
  <Lines>316</Lines>
  <Paragraphs>89</Paragraphs>
  <TotalTime>1</TotalTime>
  <ScaleCrop>false</ScaleCrop>
  <LinksUpToDate>false</LinksUpToDate>
  <CharactersWithSpaces>45600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zhuang</cp:lastModifiedBy>
  <cp:lastPrinted>2021-01-15T01:17:00Z</cp:lastPrinted>
  <dcterms:modified xsi:type="dcterms:W3CDTF">2024-06-29T07:37:20Z</dcterms:modified>
  <cp:revision>708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572C2139BCA14D3C8B192B7085FEEA65_13</vt:lpwstr>
  </property>
</Properties>
</file>