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rPr>
        <w:t>BAZXCG-2024-00751</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rPr>
        <w:t>宝安中学（集团）第二实验学校食堂自营管理人员托管服务项目</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服务类</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pPr>
        <w:pStyle w:val="2"/>
        <w:rPr>
          <w:rFonts w:hint="eastAsia"/>
        </w:rPr>
      </w:pPr>
      <w:bookmarkStart w:id="81" w:name="_GoBack"/>
      <w:bookmarkEnd w:id="81"/>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20"/>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hint="eastAsia" w:ascii="黑体" w:hAnsi="黑体" w:eastAsia="黑体" w:cs="Times New Roman"/>
          <w:sz w:val="40"/>
          <w:szCs w:val="4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20"/>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采购标的/服务清单/报价等任意一类有缺漏项或响应不全，或者对招标文件规定的项目需求内容或者需求数量进行修改，评审委员会判定投标响应不满足采购需求；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ascii="宋体" w:hAnsi="宋体" w:eastAsia="宋体"/>
              </w:rPr>
              <w:t>不同投标供应商投标文件“文件制作机器码”一致的；</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ascii="宋体" w:hAnsi="宋体" w:eastAsia="宋体"/>
              </w:rPr>
            </w:pPr>
            <w:r>
              <w:rPr>
                <w:rFonts w:ascii="宋体" w:hAnsi="宋体" w:eastAsia="宋体"/>
              </w:rPr>
              <w:t>不同投标供应商投标文件“文件创建标识码”一致的</w:t>
            </w:r>
            <w:r>
              <w:rPr>
                <w:rFonts w:hint="eastAsia" w:ascii="宋体" w:hAnsi="宋体" w:eastAsia="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hint="eastAsia" w:ascii="Calibri" w:hAnsi="Calibri" w:eastAsia="宋体" w:cs="Times New Roman"/>
              </w:rPr>
              <w:t>13</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pStyle w:val="17"/>
        <w:jc w:val="center"/>
        <w:outlineLvl w:val="0"/>
        <w:rPr>
          <w:rFonts w:hint="eastAsia" w:ascii="黑体" w:eastAsia="黑体"/>
          <w:sz w:val="40"/>
          <w:szCs w:val="40"/>
        </w:rPr>
      </w:pPr>
      <w:r>
        <w:rPr>
          <w:rFonts w:hint="eastAsia" w:ascii="黑体" w:hAnsi="黑体" w:eastAsia="黑体"/>
          <w:sz w:val="40"/>
          <w:szCs w:val="40"/>
        </w:rPr>
        <w:t>评标信息</w:t>
      </w:r>
    </w:p>
    <w:p>
      <w:r>
        <w:rPr>
          <w:rFonts w:ascii="宋体" w:hAnsi="宋体"/>
          <w:b/>
          <w:bCs/>
        </w:rPr>
        <w:t>评标方法：综合评分法</w:t>
      </w:r>
      <w:r>
        <w:rPr>
          <w:rFonts w:hint="eastAsia" w:ascii="宋体" w:hAnsi="宋体"/>
          <w:b/>
          <w:bCs/>
        </w:rPr>
        <w:t>/最低价法</w:t>
      </w:r>
    </w:p>
    <w:p>
      <w:pPr>
        <w:ind w:firstLine="420"/>
        <w:rPr>
          <w:szCs w:val="21"/>
        </w:rPr>
      </w:pPr>
    </w:p>
    <w:p>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是指投标文件满足招标文件全部实质性要求，且按照评审因素的量化指标评审得分最高的投标人为中标候选人的评标方法。</w:t>
      </w:r>
    </w:p>
    <w:p>
      <w:pPr>
        <w:ind w:firstLine="420"/>
        <w:rPr>
          <w:rFonts w:hint="eastAsia" w:ascii="宋体" w:hAnsi="宋体"/>
        </w:rPr>
      </w:pPr>
    </w:p>
    <w:p>
      <w:pPr>
        <w:ind w:firstLine="420"/>
      </w:pPr>
      <w:r>
        <w:rPr>
          <w:rFonts w:ascii="宋体" w:hAnsi="宋体"/>
        </w:rPr>
        <w:t>价格分计算方法：</w:t>
      </w:r>
    </w:p>
    <w:p>
      <w:pPr>
        <w:widowControl/>
        <w:ind w:left="420"/>
        <w:jc w:val="left"/>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widowControl/>
        <w:ind w:left="420"/>
        <w:jc w:val="left"/>
      </w:pPr>
      <w:r>
        <w:rPr>
          <w:rFonts w:ascii="宋体" w:hAnsi="宋体"/>
        </w:rPr>
        <w:t>投标报价得分</w:t>
      </w:r>
      <w:r>
        <w:t>=(</w:t>
      </w:r>
      <w:r>
        <w:rPr>
          <w:rFonts w:ascii="宋体" w:hAnsi="宋体"/>
        </w:rPr>
        <w:t>评标基准价／投标报价</w:t>
      </w:r>
      <w:r>
        <w:t xml:space="preserve">)×100 </w:t>
      </w:r>
    </w:p>
    <w:p>
      <w:pPr>
        <w:widowControl/>
        <w:ind w:left="420"/>
        <w:jc w:val="left"/>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widowControl/>
        <w:ind w:left="420"/>
        <w:jc w:val="left"/>
        <w:rPr>
          <w:rFonts w:hint="eastAsia" w:ascii="宋体" w:hAnsi="宋体"/>
        </w:rPr>
      </w:pPr>
      <w:r>
        <w:t>F1</w:t>
      </w:r>
      <w:r>
        <w:rPr>
          <w:rFonts w:ascii="宋体" w:hAnsi="宋体"/>
        </w:rPr>
        <w:t>、</w:t>
      </w:r>
      <w:r>
        <w:t>F2……Fn</w:t>
      </w:r>
      <w:r>
        <w:rPr>
          <w:rFonts w:ascii="宋体" w:hAnsi="宋体"/>
        </w:rPr>
        <w:t xml:space="preserve">分别为各项评审因素的得分； </w:t>
      </w:r>
    </w:p>
    <w:p>
      <w:pPr>
        <w:widowControl/>
        <w:ind w:left="420"/>
        <w:jc w:val="left"/>
        <w:rPr>
          <w:rFonts w:hint="eastAsia" w:ascii="宋体" w:hAnsi="宋体"/>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widowControl/>
        <w:ind w:left="420"/>
        <w:jc w:val="left"/>
      </w:pPr>
      <w:r>
        <w:rPr>
          <w:rFonts w:ascii="宋体" w:hAnsi="宋体"/>
        </w:rPr>
        <w:t>评标过程中，不得去掉报价中的最高报价和最低报价。</w:t>
      </w:r>
      <w:r>
        <w:t xml:space="preserve"> </w:t>
      </w:r>
    </w:p>
    <w:p>
      <w:pPr>
        <w:widowControl/>
        <w:ind w:left="420"/>
        <w:jc w:val="left"/>
        <w:rPr>
          <w:rFonts w:hint="eastAsia" w:ascii="宋体" w:hAnsi="宋体"/>
        </w:rPr>
      </w:pPr>
      <w:r>
        <w:rPr>
          <w:rFonts w:hint="eastAsia" w:ascii="Times New Roman" w:hAnsi="Times New Roman" w:eastAsia="宋体" w:cs="Times New Roman"/>
          <w:szCs w:val="21"/>
        </w:rPr>
        <w:t>因落实政府采购</w:t>
      </w:r>
      <w:r>
        <w:rPr>
          <w:rFonts w:hint="eastAsia" w:ascii="宋体" w:hAnsi="宋体"/>
        </w:rPr>
        <w:t>政策进行价格调整的，以调整后的价格计算评标基准价和投标报价。</w:t>
      </w:r>
    </w:p>
    <w:p>
      <w:pPr>
        <w:rPr>
          <w:rFonts w:hint="eastAsia" w:ascii="宋体" w:hAnsi="宋体"/>
          <w:b/>
          <w:bCs/>
          <w:color w:val="auto"/>
        </w:rPr>
      </w:pPr>
      <w:r>
        <w:rPr>
          <w:rFonts w:hint="eastAsia"/>
          <w:b/>
          <w:bCs/>
          <w:color w:val="auto"/>
        </w:rPr>
        <w:t>注：投标人的“投标技术响应”“技术要求偏离表中偏离情况”等必须与客观实际保持一致，响应不实且情节严重的，经查实，将依法记入供应商诚信档案或受到行政处罚。</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20" w:type="dxa"/>
          <w:left w:w="108" w:type="dxa"/>
          <w:bottom w:w="20" w:type="dxa"/>
          <w:right w:w="108" w:type="dxa"/>
        </w:tblCellMar>
      </w:tblPr>
      <w:tblGrid>
        <w:gridCol w:w="714"/>
        <w:gridCol w:w="646"/>
        <w:gridCol w:w="1759"/>
        <w:gridCol w:w="992"/>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r>
              <w:rPr>
                <w:rFonts w:ascii="宋体" w:hAnsi="宋体"/>
                <w:b/>
                <w:bCs/>
                <w:szCs w:val="21"/>
              </w:rPr>
              <w:t>序号</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r>
              <w:rPr>
                <w:rFonts w:ascii="宋体" w:hAnsi="宋体"/>
                <w:b/>
                <w:bCs/>
                <w:szCs w:val="21"/>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r>
              <w:rPr>
                <w:rFonts w:ascii="宋体" w:hAnsi="宋体"/>
                <w:b/>
                <w:bCs/>
                <w:szCs w:val="21"/>
              </w:rPr>
              <w:t>权重</w:t>
            </w:r>
            <w:r>
              <w:rPr>
                <w:rFonts w:hint="eastAsia" w:ascii="宋体" w:hAnsi="宋体"/>
                <w:b/>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246"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ascii="宋体" w:hAnsi="宋体"/>
                <w:b/>
                <w:bCs/>
                <w:szCs w:val="21"/>
              </w:rPr>
              <w:t>1</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ascii="宋体" w:hAnsi="宋体"/>
                <w:b/>
                <w:bCs/>
                <w:szCs w:val="21"/>
              </w:rPr>
              <w:t>价格</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hint="eastAsia" w:ascii="宋体" w:hAnsi="宋体"/>
                <w:b/>
                <w:bCs/>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r>
              <w:rPr>
                <w:rFonts w:ascii="宋体" w:hAnsi="宋体"/>
                <w:b/>
                <w:bCs/>
                <w:szCs w:val="21"/>
              </w:rPr>
              <w:t>2</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ascii="宋体" w:hAnsi="宋体"/>
                <w:b/>
                <w:bCs/>
                <w:szCs w:val="21"/>
              </w:rPr>
              <w:t>技术部分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hint="eastAsia" w:ascii="宋体" w:hAnsi="宋体" w:cs="宋体"/>
                <w:b/>
                <w:bCs/>
                <w:szCs w:val="21"/>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rPr>
                <w:rFonts w:hint="eastAsia" w:ascii="宋体" w:hAnsi="宋体" w:cs="宋体"/>
                <w:b/>
                <w:bCs/>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权重</w:t>
            </w:r>
            <w:r>
              <w:rPr>
                <w:rFonts w:hint="eastAsia" w:ascii="宋体" w:hAnsi="宋体"/>
                <w:szCs w:val="21"/>
              </w:rPr>
              <w:t>（%）</w:t>
            </w:r>
          </w:p>
        </w:tc>
        <w:tc>
          <w:tcPr>
            <w:tcW w:w="49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Cs w:val="21"/>
              </w:rPr>
            </w:pPr>
            <w:r>
              <w:rPr>
                <w:rFonts w:hint="eastAsia" w:ascii="宋体" w:hAnsi="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top"/>
              <w:rPr>
                <w:rFonts w:hint="eastAsia" w:ascii="宋体" w:hAnsi="宋体" w:cs="宋体"/>
                <w:szCs w:val="21"/>
              </w:rPr>
            </w:pPr>
            <w:r>
              <w:rPr>
                <w:rFonts w:hint="eastAsia" w:ascii="宋体" w:hAnsi="宋体" w:cs="宋体"/>
                <w:szCs w:val="21"/>
              </w:rPr>
              <w:t>服务方案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top"/>
              <w:rPr>
                <w:rFonts w:hint="eastAsia" w:ascii="宋体" w:hAnsi="宋体" w:cs="宋体"/>
                <w:szCs w:val="21"/>
              </w:rPr>
            </w:pPr>
            <w:r>
              <w:rPr>
                <w:rFonts w:hint="eastAsia" w:ascii="宋体" w:hAnsi="宋体" w:cs="宋体"/>
                <w:szCs w:val="21"/>
              </w:rPr>
              <w:t>6</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textAlignment w:val="top"/>
              <w:rPr>
                <w:rFonts w:hint="eastAsia"/>
                <w:lang w:val="en-CA"/>
              </w:rPr>
            </w:pPr>
            <w:r>
              <w:rPr>
                <w:rFonts w:hint="eastAsia"/>
              </w:rPr>
              <w:t>（一）评审内容</w:t>
            </w:r>
            <w:r>
              <w:rPr>
                <w:rFonts w:hint="eastAsia"/>
                <w:lang w:val="en-CA"/>
              </w:rPr>
              <w:t>：</w:t>
            </w:r>
          </w:p>
          <w:p>
            <w:pPr>
              <w:textAlignment w:val="top"/>
              <w:rPr>
                <w:rFonts w:hint="eastAsia"/>
              </w:rPr>
            </w:pPr>
            <w:r>
              <w:rPr>
                <w:rFonts w:hint="eastAsia"/>
              </w:rPr>
              <w:t>投标人提供的项目服务方案需包括：</w:t>
            </w:r>
          </w:p>
          <w:p>
            <w:pPr>
              <w:rPr>
                <w:rFonts w:hint="eastAsia"/>
              </w:rPr>
            </w:pPr>
            <w:r>
              <w:t>1.对食堂需求情况的理解与分析；</w:t>
            </w:r>
          </w:p>
          <w:p>
            <w:pPr>
              <w:rPr>
                <w:rFonts w:hint="eastAsia"/>
              </w:rPr>
            </w:pPr>
            <w:r>
              <w:t>2.食品安全管理措施；</w:t>
            </w:r>
          </w:p>
          <w:p>
            <w:pPr>
              <w:rPr>
                <w:rFonts w:hint="eastAsia"/>
              </w:rPr>
            </w:pPr>
            <w:r>
              <w:t>3.整体管理设想和运作规划；</w:t>
            </w:r>
          </w:p>
          <w:p>
            <w:pPr>
              <w:ind w:right="201"/>
              <w:rPr>
                <w:rFonts w:hint="eastAsia"/>
              </w:rPr>
            </w:pPr>
            <w:r>
              <w:t>4.组织架构、服务团队配置、人员培训计划等。</w:t>
            </w:r>
          </w:p>
          <w:p>
            <w:pPr>
              <w:textAlignment w:val="top"/>
              <w:rPr>
                <w:rFonts w:hint="eastAsia"/>
              </w:rPr>
            </w:pPr>
            <w:r>
              <w:rPr>
                <w:rFonts w:hint="eastAsia"/>
              </w:rPr>
              <w:t>（二）评分标准：</w:t>
            </w:r>
          </w:p>
          <w:p>
            <w:pPr>
              <w:snapToGrid w:val="0"/>
              <w:spacing w:line="260" w:lineRule="exact"/>
              <w:rPr>
                <w:rFonts w:hint="eastAsia"/>
              </w:rPr>
            </w:pPr>
            <w:r>
              <w:rPr>
                <w:rFonts w:hint="eastAsia"/>
              </w:rPr>
              <w:t>提供的方案满足上述四点的80分，满足任意三点的得60分，满足任意二点的得40分，满足任意一点的得20分，未满足不得分。</w:t>
            </w:r>
          </w:p>
          <w:p>
            <w:pPr>
              <w:snapToGrid w:val="0"/>
              <w:spacing w:line="260" w:lineRule="exact"/>
              <w:rPr>
                <w:rFonts w:hint="eastAsia"/>
              </w:rPr>
            </w:pPr>
            <w:r>
              <w:rPr>
                <w:rFonts w:hint="eastAsia"/>
              </w:rPr>
              <w:t>在此基础上，由评审委员会对具体响应内容进一步评审：</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b w:val="0"/>
                <w:bCs w:val="0"/>
                <w:color w:val="0000FF"/>
                <w:kern w:val="2"/>
                <w:sz w:val="21"/>
                <w:szCs w:val="21"/>
                <w:lang w:val="en-US" w:eastAsia="zh-CN" w:bidi="ar-SA"/>
              </w:rPr>
              <w:t>①</w:t>
            </w:r>
            <w:r>
              <w:rPr>
                <w:rFonts w:hint="eastAsia" w:ascii="宋体" w:hAnsi="宋体" w:cs="宋体" w:eastAsiaTheme="minorEastAsia"/>
                <w:b w:val="0"/>
                <w:bCs w:val="0"/>
                <w:color w:val="0000FF"/>
                <w:kern w:val="2"/>
                <w:sz w:val="21"/>
                <w:szCs w:val="21"/>
                <w:lang w:val="en-US" w:eastAsia="zh-CN" w:bidi="ar-SA"/>
              </w:rPr>
              <w:t>方案极合理、条理极清晰、可操作性极强的得20分；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b w:val="0"/>
                <w:bCs w:val="0"/>
                <w:color w:val="0000FF"/>
                <w:kern w:val="2"/>
                <w:sz w:val="21"/>
                <w:szCs w:val="21"/>
                <w:lang w:val="en-US" w:eastAsia="zh-CN" w:bidi="ar-SA"/>
              </w:rPr>
              <w:t>②</w:t>
            </w:r>
            <w:r>
              <w:rPr>
                <w:rFonts w:hint="eastAsia" w:ascii="宋体" w:hAnsi="宋体" w:cs="宋体" w:eastAsiaTheme="minorEastAsia"/>
                <w:b w:val="0"/>
                <w:bCs w:val="0"/>
                <w:color w:val="0000FF"/>
                <w:kern w:val="2"/>
                <w:sz w:val="21"/>
                <w:szCs w:val="21"/>
                <w:lang w:val="en-US" w:eastAsia="zh-CN" w:bidi="ar-SA"/>
              </w:rPr>
              <w:t>方案一般合理、条理一般、可操作一般的得15分；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③方案不合理、条理不清晰、可操作性差的得10分；</w:t>
            </w:r>
          </w:p>
          <w:p>
            <w:pPr>
              <w:pStyle w:val="31"/>
              <w:snapToGrid w:val="0"/>
              <w:spacing w:line="260" w:lineRule="exact"/>
              <w:ind w:firstLine="0" w:firstLineChars="0"/>
              <w:rPr>
                <w:rFonts w:hint="default" w:eastAsiaTheme="minorEastAsia"/>
                <w:lang w:val="en-US" w:eastAsia="zh-CN"/>
              </w:rPr>
            </w:pPr>
            <w:r>
              <w:rPr>
                <w:rFonts w:hint="eastAsia" w:ascii="宋体" w:hAnsi="宋体" w:cs="宋体" w:eastAsiaTheme="minorEastAsia"/>
                <w:b w:val="0"/>
                <w:bCs w:val="0"/>
                <w:color w:val="0000FF"/>
                <w:kern w:val="2"/>
                <w:sz w:val="21"/>
                <w:szCs w:val="21"/>
                <w:lang w:val="en-US" w:eastAsia="zh-CN" w:bidi="ar-SA"/>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szCs w:val="21"/>
              </w:rPr>
            </w:pPr>
            <w:r>
              <w:rPr>
                <w:rFonts w:hint="eastAsia" w:ascii="宋体" w:hAnsi="宋体"/>
                <w:szCs w:val="21"/>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cs="宋体"/>
                <w:szCs w:val="21"/>
              </w:rPr>
              <w:t>项目重点难点分析、应对措施及相关的合理化建议</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top"/>
              <w:rPr>
                <w:rFonts w:hint="eastAsia" w:ascii="宋体" w:hAnsi="宋体" w:cs="宋体"/>
                <w:szCs w:val="21"/>
              </w:rPr>
            </w:pPr>
            <w:r>
              <w:rPr>
                <w:rFonts w:hint="eastAsia" w:ascii="宋体" w:hAnsi="宋体" w:cs="宋体"/>
                <w:szCs w:val="21"/>
              </w:rPr>
              <w:t>6</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textAlignment w:val="top"/>
              <w:rPr>
                <w:rFonts w:hint="eastAsia"/>
                <w:lang w:val="en-CA"/>
              </w:rPr>
            </w:pPr>
            <w:r>
              <w:rPr>
                <w:rFonts w:hint="eastAsia"/>
              </w:rPr>
              <w:t>（一）评审内容</w:t>
            </w:r>
            <w:r>
              <w:rPr>
                <w:rFonts w:hint="eastAsia"/>
                <w:lang w:val="en-CA"/>
              </w:rPr>
              <w:t>：</w:t>
            </w:r>
          </w:p>
          <w:p>
            <w:pPr>
              <w:ind w:right="103"/>
              <w:rPr>
                <w:rFonts w:hint="eastAsia"/>
              </w:rPr>
            </w:pPr>
            <w:r>
              <w:t>根据投标文件对本项目服务特点的相关重点难点分析、应对措施及相关的合理化建议包括但不限于：</w:t>
            </w:r>
          </w:p>
          <w:p>
            <w:pPr>
              <w:ind w:right="103"/>
              <w:rPr>
                <w:rFonts w:hint="eastAsia"/>
              </w:rPr>
            </w:pPr>
            <w:r>
              <w:t>1. 原材料验收标准；</w:t>
            </w:r>
          </w:p>
          <w:p>
            <w:pPr>
              <w:ind w:right="103"/>
              <w:rPr>
                <w:rFonts w:hint="eastAsia"/>
              </w:rPr>
            </w:pPr>
            <w:r>
              <w:t>2. 菜品加工流程；</w:t>
            </w:r>
          </w:p>
          <w:p>
            <w:pPr>
              <w:ind w:right="103"/>
              <w:rPr>
                <w:rFonts w:hint="eastAsia"/>
              </w:rPr>
            </w:pPr>
            <w:r>
              <w:t>3. 食品留样制度；</w:t>
            </w:r>
          </w:p>
          <w:p>
            <w:pPr>
              <w:ind w:right="103"/>
              <w:rPr>
                <w:rFonts w:hint="eastAsia"/>
              </w:rPr>
            </w:pPr>
            <w:r>
              <w:t>4. 食品安全管理、内控制度建立等进行评分。</w:t>
            </w:r>
          </w:p>
          <w:p>
            <w:pPr>
              <w:textAlignment w:val="top"/>
              <w:rPr>
                <w:rFonts w:hint="eastAsia"/>
              </w:rPr>
            </w:pPr>
            <w:r>
              <w:rPr>
                <w:rFonts w:hint="eastAsia"/>
              </w:rPr>
              <w:t>（二）评分标准：</w:t>
            </w:r>
          </w:p>
          <w:p>
            <w:pPr>
              <w:snapToGrid w:val="0"/>
              <w:spacing w:line="260" w:lineRule="exact"/>
              <w:rPr>
                <w:rFonts w:hint="eastAsia"/>
              </w:rPr>
            </w:pPr>
            <w:r>
              <w:rPr>
                <w:rFonts w:hint="eastAsia"/>
              </w:rPr>
              <w:t>提供的方案满足上述四点的80分，满足任意三点的得60分，满足任意二点的得40分，满足任意一点的得20分，未满足不得分。</w:t>
            </w:r>
          </w:p>
          <w:p>
            <w:pPr>
              <w:snapToGrid w:val="0"/>
              <w:spacing w:line="260" w:lineRule="exact"/>
              <w:rPr>
                <w:rFonts w:hint="eastAsia"/>
              </w:rPr>
            </w:pPr>
            <w:r>
              <w:rPr>
                <w:rFonts w:hint="eastAsia"/>
              </w:rPr>
              <w:t>在此基础上，由评审委员会对具体响应内容进一步评审：</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①方案极合理、条理极清晰、可操作性极强的得20分；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②方案一般合理、条理一般、可操作一般的得15分；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③方案不合理、条理不清晰、可操作性差的得10分；</w:t>
            </w:r>
          </w:p>
          <w:p>
            <w:pPr>
              <w:pStyle w:val="31"/>
              <w:snapToGrid w:val="0"/>
              <w:spacing w:line="260" w:lineRule="exact"/>
              <w:ind w:firstLine="0" w:firstLineChars="0"/>
              <w:rPr>
                <w:lang w:val="zh-CN"/>
              </w:rPr>
            </w:pPr>
            <w:r>
              <w:rPr>
                <w:rFonts w:hint="eastAsia" w:ascii="宋体" w:hAnsi="宋体" w:cs="宋体" w:eastAsiaTheme="minorEastAsia"/>
                <w:b w:val="0"/>
                <w:bCs w:val="0"/>
                <w:color w:val="0000FF"/>
                <w:kern w:val="2"/>
                <w:sz w:val="21"/>
                <w:szCs w:val="21"/>
                <w:lang w:val="en-US" w:eastAsia="zh-CN" w:bidi="ar-SA"/>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szCs w:val="21"/>
              </w:rPr>
            </w:pPr>
            <w:r>
              <w:rPr>
                <w:rFonts w:hint="eastAsia" w:ascii="宋体" w:hAnsi="宋体"/>
                <w:szCs w:val="21"/>
              </w:rPr>
              <w:t>3</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cs="宋体"/>
                <w:szCs w:val="21"/>
              </w:rPr>
              <w:t>质量（完成时间、安全、环保）保障措施及方案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cs="宋体"/>
                <w:szCs w:val="21"/>
              </w:rPr>
              <w:t>6</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textAlignment w:val="top"/>
              <w:rPr>
                <w:rFonts w:hint="eastAsia"/>
                <w:lang w:val="en-CA"/>
              </w:rPr>
            </w:pPr>
            <w:r>
              <w:rPr>
                <w:rFonts w:hint="eastAsia"/>
              </w:rPr>
              <w:t>（一）评审内容</w:t>
            </w:r>
            <w:r>
              <w:rPr>
                <w:rFonts w:hint="eastAsia"/>
                <w:lang w:val="en-CA"/>
              </w:rPr>
              <w:t>：</w:t>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投标人提供的质量保障措施内容需包括：</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食品安全操作流程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食品安全加工流程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自行编制的食品安全管理手册。</w:t>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 xml:space="preserve">（二）评分标准： </w:t>
            </w:r>
          </w:p>
          <w:p>
            <w:pPr>
              <w:snapToGrid w:val="0"/>
              <w:spacing w:line="260" w:lineRule="exact"/>
              <w:rPr>
                <w:rFonts w:hint="eastAsia"/>
              </w:rPr>
            </w:pPr>
            <w:r>
              <w:rPr>
                <w:rFonts w:hint="eastAsia"/>
              </w:rPr>
              <w:t>提供的方案满足上述三点的80分，满足任意二点的得50分，满足任意一点的得20分，未满足不得分。</w:t>
            </w:r>
          </w:p>
          <w:p>
            <w:pPr>
              <w:snapToGrid w:val="0"/>
              <w:spacing w:line="260" w:lineRule="exact"/>
              <w:rPr>
                <w:rFonts w:hint="eastAsia"/>
              </w:rPr>
            </w:pPr>
            <w:r>
              <w:rPr>
                <w:rFonts w:hint="eastAsia"/>
              </w:rPr>
              <w:t>在此基础上，由评审委员会对具体响应内容进一步评审：</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①方案极合理、条理极清晰、可操作性极强的得20分；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②方案一般合理、条理一般、可操作一般的得15分；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③方案不合理、条理不清晰、可操作性差的得10分；</w:t>
            </w:r>
          </w:p>
          <w:p>
            <w:pPr>
              <w:pStyle w:val="31"/>
              <w:snapToGrid w:val="0"/>
              <w:spacing w:line="260" w:lineRule="exact"/>
              <w:ind w:firstLine="0" w:firstLineChars="0"/>
              <w:rPr>
                <w:rFonts w:hint="eastAsia"/>
              </w:rPr>
            </w:pPr>
            <w:r>
              <w:rPr>
                <w:rFonts w:hint="eastAsia" w:ascii="宋体" w:hAnsi="宋体" w:cs="宋体" w:eastAsiaTheme="minorEastAsia"/>
                <w:b w:val="0"/>
                <w:bCs w:val="0"/>
                <w:color w:val="0000FF"/>
                <w:kern w:val="2"/>
                <w:sz w:val="21"/>
                <w:szCs w:val="21"/>
                <w:lang w:val="en-US" w:eastAsia="zh-CN" w:bidi="ar-SA"/>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rPr>
                <w:rFonts w:hint="eastAsia" w:ascii="宋体" w:hAnsi="宋体" w:cs="宋体"/>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Cs w:val="21"/>
              </w:rPr>
            </w:pPr>
            <w:r>
              <w:rPr>
                <w:rFonts w:hint="eastAsia" w:ascii="宋体" w:hAnsi="宋体" w:cs="宋体"/>
                <w:szCs w:val="21"/>
              </w:rPr>
              <w:t>4</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cs="宋体"/>
                <w:szCs w:val="21"/>
              </w:rPr>
              <w:t>应急响应方案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cs="宋体"/>
                <w:szCs w:val="21"/>
              </w:rPr>
              <w:t>7</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textAlignment w:val="top"/>
              <w:rPr>
                <w:rFonts w:hint="eastAsia"/>
              </w:rPr>
            </w:pPr>
            <w:r>
              <w:rPr>
                <w:rFonts w:hint="eastAsia"/>
              </w:rPr>
              <w:t>（一）评审内容：</w:t>
            </w:r>
          </w:p>
          <w:p>
            <w:pPr>
              <w:pStyle w:val="10"/>
              <w:rPr>
                <w:rFonts w:hint="eastAsia"/>
                <w:b w:val="0"/>
                <w:bCs w:val="0"/>
                <w:sz w:val="21"/>
                <w:szCs w:val="20"/>
              </w:rPr>
            </w:pPr>
            <w:r>
              <w:rPr>
                <w:rFonts w:hint="eastAsia"/>
                <w:b w:val="0"/>
                <w:bCs w:val="0"/>
                <w:sz w:val="21"/>
                <w:szCs w:val="20"/>
              </w:rPr>
              <w:t>投标人提供的应急响应方案内容需包括：</w:t>
            </w:r>
          </w:p>
          <w:p>
            <w:pPr>
              <w:autoSpaceDE w:val="0"/>
              <w:autoSpaceDN w:val="0"/>
              <w:adjustRightInd w:val="0"/>
              <w:rPr>
                <w:rFonts w:hint="eastAsia"/>
              </w:rPr>
            </w:pPr>
            <w:r>
              <w:rPr>
                <w:rFonts w:hint="eastAsia"/>
              </w:rPr>
              <w:t>1</w:t>
            </w:r>
            <w:r>
              <w:t>.临时勤务用餐</w:t>
            </w:r>
            <w:r>
              <w:rPr>
                <w:rFonts w:hint="eastAsia"/>
              </w:rPr>
              <w:t>；</w:t>
            </w:r>
          </w:p>
          <w:p>
            <w:pPr>
              <w:autoSpaceDE w:val="0"/>
              <w:autoSpaceDN w:val="0"/>
              <w:adjustRightInd w:val="0"/>
              <w:rPr>
                <w:rFonts w:hint="eastAsia"/>
              </w:rPr>
            </w:pPr>
            <w:r>
              <w:rPr>
                <w:rFonts w:hint="eastAsia"/>
              </w:rPr>
              <w:t>2</w:t>
            </w:r>
            <w:r>
              <w:t>.食堂停水停电</w:t>
            </w:r>
            <w:r>
              <w:rPr>
                <w:rFonts w:hint="eastAsia"/>
              </w:rPr>
              <w:t>；</w:t>
            </w:r>
          </w:p>
          <w:p>
            <w:pPr>
              <w:autoSpaceDE w:val="0"/>
              <w:autoSpaceDN w:val="0"/>
              <w:adjustRightInd w:val="0"/>
              <w:rPr>
                <w:rFonts w:hint="eastAsia"/>
              </w:rPr>
            </w:pPr>
            <w:r>
              <w:rPr>
                <w:rFonts w:hint="eastAsia"/>
              </w:rPr>
              <w:t>3</w:t>
            </w:r>
            <w:r>
              <w:t>.食品安全事故</w:t>
            </w:r>
            <w:r>
              <w:rPr>
                <w:rFonts w:hint="eastAsia"/>
              </w:rPr>
              <w:t>；</w:t>
            </w:r>
          </w:p>
          <w:p>
            <w:pPr>
              <w:autoSpaceDE w:val="0"/>
              <w:autoSpaceDN w:val="0"/>
              <w:adjustRightInd w:val="0"/>
              <w:rPr>
                <w:rFonts w:hint="eastAsia"/>
              </w:rPr>
            </w:pPr>
            <w:r>
              <w:rPr>
                <w:rFonts w:hint="eastAsia"/>
              </w:rPr>
              <w:t>4</w:t>
            </w:r>
            <w:r>
              <w:t>.消防安全</w:t>
            </w:r>
            <w:r>
              <w:rPr>
                <w:rFonts w:hint="eastAsia"/>
              </w:rPr>
              <w:t>；</w:t>
            </w:r>
          </w:p>
          <w:p>
            <w:pPr>
              <w:pStyle w:val="10"/>
              <w:rPr>
                <w:rFonts w:hint="eastAsia"/>
                <w:b w:val="0"/>
                <w:bCs w:val="0"/>
                <w:sz w:val="21"/>
                <w:szCs w:val="20"/>
              </w:rPr>
            </w:pPr>
            <w:r>
              <w:rPr>
                <w:rFonts w:hint="eastAsia"/>
                <w:b w:val="0"/>
                <w:bCs w:val="0"/>
                <w:sz w:val="21"/>
                <w:szCs w:val="20"/>
              </w:rPr>
              <w:t xml:space="preserve">（二）评分标准： </w:t>
            </w:r>
          </w:p>
          <w:p>
            <w:pPr>
              <w:snapToGrid w:val="0"/>
              <w:spacing w:line="260" w:lineRule="exact"/>
              <w:rPr>
                <w:rFonts w:hint="eastAsia"/>
              </w:rPr>
            </w:pPr>
            <w:r>
              <w:rPr>
                <w:rFonts w:hint="eastAsia"/>
              </w:rPr>
              <w:t>提供的方案满足上述四点的80分，满足任意三点的得60分，满足任意二点的得40分，满足任意一点的得20分，未满足不得分。</w:t>
            </w:r>
          </w:p>
          <w:p>
            <w:pPr>
              <w:snapToGrid w:val="0"/>
              <w:spacing w:line="260" w:lineRule="exact"/>
              <w:rPr>
                <w:rFonts w:hint="eastAsia"/>
              </w:rPr>
            </w:pPr>
            <w:r>
              <w:rPr>
                <w:rFonts w:hint="eastAsia"/>
              </w:rPr>
              <w:t>在此基础上，由评审委员会对具体响应内容进一步评审：</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①方案极合理、条理极清晰、可操作性极强的得20分；</w:t>
            </w:r>
          </w:p>
          <w:p>
            <w:pPr>
              <w:pStyle w:val="31"/>
              <w:snapToGrid w:val="0"/>
              <w:spacing w:line="260" w:lineRule="exact"/>
              <w:ind w:firstLine="0" w:firstLineChars="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②方案一般合理、条理一般、可操作一般的得15分；</w:t>
            </w:r>
          </w:p>
          <w:p>
            <w:pPr>
              <w:pStyle w:val="10"/>
              <w:rPr>
                <w:rFonts w:hint="eastAsia" w:ascii="宋体" w:hAnsi="宋体" w:cs="宋体" w:eastAsiaTheme="minorEastAsia"/>
                <w:b w:val="0"/>
                <w:bCs w:val="0"/>
                <w:color w:val="0000FF"/>
                <w:kern w:val="2"/>
                <w:sz w:val="21"/>
                <w:szCs w:val="21"/>
                <w:lang w:val="en-US" w:eastAsia="zh-CN" w:bidi="ar-SA"/>
              </w:rPr>
            </w:pPr>
            <w:r>
              <w:rPr>
                <w:rFonts w:hint="eastAsia" w:ascii="宋体" w:hAnsi="宋体" w:cs="宋体" w:eastAsiaTheme="minorEastAsia"/>
                <w:b w:val="0"/>
                <w:bCs w:val="0"/>
                <w:color w:val="0000FF"/>
                <w:kern w:val="2"/>
                <w:sz w:val="21"/>
                <w:szCs w:val="21"/>
                <w:lang w:val="en-US" w:eastAsia="zh-CN" w:bidi="ar-SA"/>
              </w:rPr>
              <w:t>③方案不合理、条理不清晰、可操作性差的得10分；</w:t>
            </w:r>
          </w:p>
          <w:p>
            <w:pPr>
              <w:pStyle w:val="11"/>
              <w:rPr>
                <w:rFonts w:hint="eastAsia"/>
              </w:rPr>
            </w:pPr>
            <w:r>
              <w:rPr>
                <w:rFonts w:hint="eastAsia" w:ascii="宋体" w:hAnsi="宋体" w:cs="宋体" w:eastAsiaTheme="minorEastAsia"/>
                <w:b w:val="0"/>
                <w:bCs w:val="0"/>
                <w:color w:val="0000FF"/>
                <w:kern w:val="2"/>
                <w:sz w:val="21"/>
                <w:szCs w:val="21"/>
                <w:lang w:val="en-US" w:eastAsia="zh-CN" w:bidi="ar-SA"/>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rPr>
                <w:rFonts w:hint="eastAsia" w:ascii="宋体" w:hAnsi="宋体" w:cs="宋体"/>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 w:val="20"/>
                <w:szCs w:val="20"/>
              </w:rPr>
            </w:pPr>
            <w:r>
              <w:rPr>
                <w:rFonts w:hint="eastAsia" w:ascii="宋体" w:hAnsi="宋体" w:cs="宋体"/>
                <w:sz w:val="20"/>
                <w:szCs w:val="20"/>
              </w:rPr>
              <w:t>5</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szCs w:val="21"/>
              </w:rPr>
              <w:t>拟安排的项目负责人（仅限1人）情况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szCs w:val="21"/>
              </w:rPr>
              <w:t>10</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szCs w:val="21"/>
              </w:rPr>
            </w:pPr>
            <w:r>
              <w:rPr>
                <w:rFonts w:hint="eastAsia" w:ascii="宋体" w:hAnsi="宋体"/>
                <w:szCs w:val="21"/>
              </w:rPr>
              <w:t>（一）评分内容：</w:t>
            </w:r>
          </w:p>
          <w:p>
            <w:pPr>
              <w:rPr>
                <w:rFonts w:hint="eastAsia" w:ascii="宋体" w:hAnsi="宋体"/>
                <w:szCs w:val="21"/>
              </w:rPr>
            </w:pPr>
            <w:r>
              <w:rPr>
                <w:rFonts w:hint="eastAsia" w:ascii="宋体" w:hAnsi="宋体"/>
                <w:szCs w:val="21"/>
              </w:rPr>
              <w:t>项目负责人需为投标人自有员工：</w:t>
            </w:r>
          </w:p>
          <w:p>
            <w:pPr>
              <w:spacing w:before="31"/>
              <w:ind w:left="45"/>
              <w:rPr>
                <w:rFonts w:hint="eastAsia" w:ascii="宋体" w:hAnsi="宋体" w:eastAsiaTheme="minorEastAsia"/>
                <w:szCs w:val="21"/>
                <w:lang w:eastAsia="zh-CN"/>
              </w:rPr>
            </w:pPr>
            <w:r>
              <w:rPr>
                <w:rFonts w:hint="eastAsia" w:ascii="宋体" w:hAnsi="宋体"/>
                <w:szCs w:val="21"/>
              </w:rPr>
              <w:t>1.本科（含）及以上学历</w:t>
            </w:r>
            <w:r>
              <w:rPr>
                <w:rFonts w:hint="eastAsia" w:ascii="宋体" w:hAnsi="宋体"/>
                <w:szCs w:val="21"/>
                <w:lang w:eastAsia="zh-CN"/>
              </w:rPr>
              <w:t>，</w:t>
            </w:r>
            <w:r>
              <w:rPr>
                <w:rFonts w:hint="eastAsia" w:ascii="宋体" w:hAnsi="宋体"/>
                <w:szCs w:val="21"/>
              </w:rPr>
              <w:t>得10分</w:t>
            </w:r>
            <w:r>
              <w:rPr>
                <w:rFonts w:hint="eastAsia" w:ascii="宋体" w:hAnsi="宋体"/>
                <w:szCs w:val="21"/>
                <w:lang w:eastAsia="zh-CN"/>
              </w:rPr>
              <w:t>。</w:t>
            </w:r>
          </w:p>
          <w:p>
            <w:pPr>
              <w:spacing w:before="31"/>
              <w:ind w:left="45"/>
              <w:rPr>
                <w:rFonts w:hint="eastAsia" w:ascii="宋体" w:hAnsi="宋体" w:eastAsiaTheme="minorEastAsia"/>
                <w:szCs w:val="21"/>
                <w:lang w:eastAsia="zh-CN"/>
              </w:rPr>
            </w:pPr>
            <w:r>
              <w:rPr>
                <w:rFonts w:hint="eastAsia" w:ascii="宋体" w:hAnsi="宋体"/>
                <w:szCs w:val="21"/>
              </w:rPr>
              <w:t>2. 相关机构颁发的高级职业经理人证书，得10分</w:t>
            </w:r>
            <w:r>
              <w:rPr>
                <w:rFonts w:hint="eastAsia" w:ascii="宋体" w:hAnsi="宋体"/>
                <w:szCs w:val="21"/>
                <w:lang w:eastAsia="zh-CN"/>
              </w:rPr>
              <w:t>。</w:t>
            </w:r>
          </w:p>
          <w:p>
            <w:pPr>
              <w:spacing w:before="31"/>
              <w:ind w:left="45"/>
              <w:rPr>
                <w:rFonts w:hint="eastAsia" w:ascii="宋体" w:hAnsi="宋体" w:eastAsiaTheme="minorEastAsia"/>
                <w:szCs w:val="21"/>
                <w:lang w:eastAsia="zh-CN"/>
              </w:rPr>
            </w:pPr>
            <w:r>
              <w:rPr>
                <w:rFonts w:hint="eastAsia" w:ascii="宋体" w:hAnsi="宋体"/>
                <w:szCs w:val="21"/>
              </w:rPr>
              <w:t>3. 相关机构颁发的食品安全管理师证书，得20分</w:t>
            </w:r>
            <w:r>
              <w:rPr>
                <w:rFonts w:hint="eastAsia" w:ascii="宋体" w:hAnsi="宋体"/>
                <w:szCs w:val="21"/>
                <w:lang w:eastAsia="zh-CN"/>
              </w:rPr>
              <w:t>。</w:t>
            </w:r>
          </w:p>
          <w:p>
            <w:pPr>
              <w:spacing w:before="31"/>
              <w:ind w:left="45"/>
              <w:rPr>
                <w:rFonts w:hint="eastAsia" w:ascii="宋体" w:hAnsi="宋体" w:eastAsiaTheme="minorEastAsia"/>
                <w:szCs w:val="21"/>
                <w:lang w:eastAsia="zh-CN"/>
              </w:rPr>
            </w:pPr>
            <w:r>
              <w:rPr>
                <w:rFonts w:hint="eastAsia" w:ascii="宋体" w:hAnsi="宋体"/>
                <w:szCs w:val="21"/>
              </w:rPr>
              <w:t>4. 相关机构颁发的三级（含）或以上健康管理师证书，得20分</w:t>
            </w:r>
            <w:r>
              <w:rPr>
                <w:rFonts w:hint="eastAsia" w:ascii="宋体" w:hAnsi="宋体"/>
                <w:szCs w:val="21"/>
                <w:lang w:eastAsia="zh-CN"/>
              </w:rPr>
              <w:t>。</w:t>
            </w:r>
          </w:p>
          <w:p>
            <w:pPr>
              <w:spacing w:before="31"/>
              <w:ind w:left="45"/>
              <w:rPr>
                <w:rFonts w:hint="eastAsia" w:ascii="宋体" w:hAnsi="宋体" w:eastAsiaTheme="minorEastAsia"/>
                <w:szCs w:val="21"/>
                <w:lang w:eastAsia="zh-CN"/>
              </w:rPr>
            </w:pPr>
            <w:r>
              <w:rPr>
                <w:rFonts w:hint="eastAsia" w:ascii="宋体" w:hAnsi="宋体"/>
                <w:szCs w:val="21"/>
              </w:rPr>
              <w:t>5. 相关机构颁发的一级中式烹调师，得20分</w:t>
            </w:r>
            <w:r>
              <w:rPr>
                <w:rFonts w:hint="eastAsia" w:ascii="宋体" w:hAnsi="宋体"/>
                <w:szCs w:val="21"/>
                <w:lang w:eastAsia="zh-CN"/>
              </w:rPr>
              <w:t>。</w:t>
            </w:r>
          </w:p>
          <w:p>
            <w:pPr>
              <w:spacing w:before="31"/>
              <w:ind w:left="45"/>
              <w:rPr>
                <w:rFonts w:hint="eastAsia" w:ascii="宋体" w:hAnsi="宋体" w:eastAsiaTheme="minorEastAsia"/>
                <w:szCs w:val="21"/>
                <w:lang w:eastAsia="zh-CN"/>
              </w:rPr>
            </w:pPr>
            <w:r>
              <w:rPr>
                <w:rFonts w:hint="eastAsia" w:ascii="宋体" w:hAnsi="宋体"/>
                <w:szCs w:val="21"/>
              </w:rPr>
              <w:t>6. 相关机构颁发的二级（含）或以上公共营养师证书， 20分</w:t>
            </w:r>
            <w:r>
              <w:rPr>
                <w:rFonts w:hint="eastAsia" w:ascii="宋体" w:hAnsi="宋体"/>
                <w:szCs w:val="21"/>
                <w:lang w:eastAsia="zh-CN"/>
              </w:rPr>
              <w:t>。</w:t>
            </w:r>
          </w:p>
          <w:p>
            <w:pPr>
              <w:wordWrap w:val="0"/>
              <w:rPr>
                <w:rFonts w:hint="eastAsia" w:ascii="宋体" w:hAnsi="宋体"/>
                <w:szCs w:val="21"/>
              </w:rPr>
            </w:pPr>
            <w:r>
              <w:rPr>
                <w:rFonts w:hint="eastAsia"/>
                <w:szCs w:val="21"/>
              </w:rPr>
              <w:t>具有所有要求证书的，最高得100分。</w:t>
            </w:r>
          </w:p>
          <w:p>
            <w:pPr>
              <w:wordWrap w:val="0"/>
              <w:rPr>
                <w:rFonts w:hint="eastAsia" w:ascii="宋体" w:hAnsi="宋体"/>
                <w:szCs w:val="21"/>
              </w:rPr>
            </w:pPr>
            <w:r>
              <w:rPr>
                <w:rFonts w:hint="eastAsia" w:ascii="宋体" w:hAnsi="宋体"/>
                <w:szCs w:val="21"/>
              </w:rPr>
              <w:t>（二）评分依据：</w:t>
            </w:r>
          </w:p>
          <w:p>
            <w:pPr>
              <w:pStyle w:val="10"/>
              <w:keepNext w:val="0"/>
              <w:keepLines w:val="0"/>
              <w:pageBreakBefore w:val="0"/>
              <w:widowControl w:val="0"/>
              <w:kinsoku/>
              <w:wordWrap/>
              <w:overflowPunct/>
              <w:topLinePunct w:val="0"/>
              <w:bidi w:val="0"/>
              <w:snapToGrid/>
              <w:spacing w:line="240" w:lineRule="auto"/>
              <w:textAlignment w:val="auto"/>
              <w:rPr>
                <w:rFonts w:hint="eastAsia" w:ascii="宋体" w:hAnsi="宋体"/>
                <w:b w:val="0"/>
                <w:bCs w:val="0"/>
                <w:color w:val="0000FF"/>
                <w:sz w:val="21"/>
                <w:szCs w:val="21"/>
              </w:rPr>
            </w:pPr>
            <w:r>
              <w:rPr>
                <w:rFonts w:hint="eastAsia" w:ascii="宋体" w:hAnsi="宋体"/>
                <w:b w:val="0"/>
                <w:bCs w:val="0"/>
                <w:color w:val="0000FF"/>
                <w:sz w:val="21"/>
                <w:szCs w:val="21"/>
              </w:rPr>
              <w:t>1.</w:t>
            </w:r>
            <w:r>
              <w:rPr>
                <w:rFonts w:hint="eastAsia" w:ascii="宋体" w:hAnsi="宋体" w:cs="宋体"/>
                <w:b w:val="0"/>
                <w:bCs w:val="0"/>
                <w:color w:val="0000FF"/>
                <w:sz w:val="21"/>
                <w:szCs w:val="21"/>
              </w:rPr>
              <w:t xml:space="preserve"> 提供该人员开标日当月（或前一个月）在本单位缴纳且载有社保部门（或税务部门）业务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pStyle w:val="10"/>
              <w:keepNext w:val="0"/>
              <w:keepLines w:val="0"/>
              <w:pageBreakBefore w:val="0"/>
              <w:widowControl w:val="0"/>
              <w:kinsoku/>
              <w:wordWrap/>
              <w:overflowPunct/>
              <w:topLinePunct w:val="0"/>
              <w:bidi w:val="0"/>
              <w:snapToGrid/>
              <w:spacing w:line="240" w:lineRule="auto"/>
              <w:textAlignment w:val="auto"/>
              <w:rPr>
                <w:rFonts w:hint="eastAsia" w:ascii="宋体" w:hAnsi="宋体"/>
                <w:b w:val="0"/>
                <w:bCs w:val="0"/>
                <w:color w:val="0000FF"/>
                <w:sz w:val="21"/>
                <w:szCs w:val="21"/>
              </w:rPr>
            </w:pPr>
            <w:r>
              <w:rPr>
                <w:rFonts w:hint="eastAsia" w:ascii="宋体" w:hAnsi="宋体"/>
                <w:b w:val="0"/>
                <w:bCs w:val="0"/>
                <w:color w:val="0000FF"/>
                <w:sz w:val="21"/>
                <w:szCs w:val="21"/>
              </w:rPr>
              <w:t>2. 学历需提供学信网信息查询截图：①如较早颁发的学历，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http://zwfw.cscse.edu.cn/））查询截图。若证明文件为其它语言，必须附中文译文，以中文译文为准。</w:t>
            </w:r>
          </w:p>
          <w:p>
            <w:pPr>
              <w:pStyle w:val="10"/>
              <w:keepNext w:val="0"/>
              <w:keepLines w:val="0"/>
              <w:pageBreakBefore w:val="0"/>
              <w:widowControl w:val="0"/>
              <w:kinsoku/>
              <w:wordWrap/>
              <w:overflowPunct/>
              <w:topLinePunct w:val="0"/>
              <w:bidi w:val="0"/>
              <w:snapToGrid/>
              <w:spacing w:line="240" w:lineRule="auto"/>
              <w:textAlignment w:val="auto"/>
              <w:rPr>
                <w:rFonts w:hint="eastAsia" w:ascii="宋体" w:hAnsi="宋体"/>
                <w:b w:val="0"/>
                <w:bCs w:val="0"/>
                <w:color w:val="FF0000"/>
                <w:sz w:val="21"/>
                <w:szCs w:val="21"/>
              </w:rPr>
            </w:pPr>
            <w:r>
              <w:rPr>
                <w:rFonts w:hint="eastAsia" w:ascii="宋体" w:hAnsi="宋体"/>
                <w:b w:val="0"/>
                <w:bCs w:val="0"/>
                <w:color w:val="0000FF"/>
                <w:sz w:val="21"/>
                <w:szCs w:val="21"/>
              </w:rPr>
              <w:t>3.</w:t>
            </w:r>
            <w:r>
              <w:rPr>
                <w:rFonts w:hint="eastAsia" w:ascii="宋体" w:hAnsi="宋体"/>
                <w:b w:val="0"/>
                <w:bCs w:val="0"/>
                <w:color w:val="FF0000"/>
                <w:sz w:val="21"/>
                <w:szCs w:val="21"/>
              </w:rPr>
              <w:t>第2-</w:t>
            </w:r>
            <w:r>
              <w:rPr>
                <w:rFonts w:hint="eastAsia" w:ascii="宋体" w:hAnsi="宋体"/>
                <w:b w:val="0"/>
                <w:bCs w:val="0"/>
                <w:color w:val="FF0000"/>
                <w:sz w:val="21"/>
                <w:szCs w:val="21"/>
                <w:lang w:val="en-US" w:eastAsia="zh-CN"/>
              </w:rPr>
              <w:t>6</w:t>
            </w:r>
            <w:r>
              <w:rPr>
                <w:rFonts w:hint="eastAsia" w:ascii="宋体" w:hAnsi="宋体"/>
                <w:b w:val="0"/>
                <w:bCs w:val="0"/>
                <w:color w:val="FF0000"/>
                <w:sz w:val="21"/>
                <w:szCs w:val="21"/>
              </w:rPr>
              <w:t>项</w:t>
            </w:r>
            <w:r>
              <w:rPr>
                <w:rFonts w:hint="eastAsia" w:ascii="宋体" w:hAnsi="宋体"/>
                <w:b w:val="0"/>
                <w:bCs w:val="0"/>
                <w:color w:val="0000FF"/>
                <w:sz w:val="21"/>
                <w:szCs w:val="21"/>
              </w:rPr>
              <w:t>提供相关证书扫描件，1）若为行业协会或第三方组织机构颁发的证书，需同时提供证书扫描件及颁发机构在全国社会组织信用信息公示平台（https://xxgs.chinanpo.mca.gov.cn）登记信息状态“正常”的网站查询截图；2）其中第4-6项评分，投标人须提供证书扫描件及及技能人才评价证书全国联网查询网站截图(</w:t>
            </w:r>
            <w:r>
              <w:rPr>
                <w:rFonts w:hint="eastAsia" w:ascii="宋体" w:hAnsi="宋体"/>
                <w:b w:val="0"/>
                <w:bCs w:val="0"/>
                <w:color w:val="FF0000"/>
                <w:sz w:val="21"/>
                <w:szCs w:val="21"/>
              </w:rPr>
              <w:t>查询网址：</w:t>
            </w:r>
            <w:r>
              <w:rPr>
                <w:color w:val="FF0000"/>
              </w:rPr>
              <w:fldChar w:fldCharType="begin"/>
            </w:r>
            <w:r>
              <w:rPr>
                <w:color w:val="FF0000"/>
              </w:rPr>
              <w:instrText xml:space="preserve"> HYPERLINK "http://zscx.osta.org.cn/或http:/jndj.osta.org.cn/)。" </w:instrText>
            </w:r>
            <w:r>
              <w:rPr>
                <w:color w:val="FF0000"/>
              </w:rPr>
              <w:fldChar w:fldCharType="separate"/>
            </w:r>
            <w:r>
              <w:rPr>
                <w:rFonts w:hint="eastAsia" w:ascii="宋体" w:hAnsi="宋体"/>
                <w:b w:val="0"/>
                <w:bCs w:val="0"/>
                <w:color w:val="FF0000"/>
                <w:sz w:val="21"/>
                <w:szCs w:val="21"/>
              </w:rPr>
              <w:t>http://zscx.osta.org.cn/)。</w:t>
            </w:r>
            <w:r>
              <w:rPr>
                <w:rFonts w:hint="eastAsia" w:ascii="宋体" w:hAnsi="宋体"/>
                <w:b w:val="0"/>
                <w:bCs w:val="0"/>
                <w:color w:val="FF0000"/>
                <w:sz w:val="21"/>
                <w:szCs w:val="21"/>
              </w:rPr>
              <w:fldChar w:fldCharType="end"/>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szCs w:val="21"/>
              </w:rPr>
            </w:pPr>
            <w:r>
              <w:rPr>
                <w:rFonts w:hint="eastAsia" w:ascii="宋体" w:hAnsi="宋体"/>
                <w:color w:val="0000FF"/>
                <w:szCs w:val="21"/>
              </w:rPr>
              <w:t>4.未按要求提供相关证明材料（或相关证明材料无法判断是否符合评分要求）的不计得分，原件备查。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bottom w:val="single" w:color="000000" w:sz="8" w:space="0"/>
              <w:right w:val="single" w:color="000000" w:sz="8" w:space="0"/>
            </w:tcBorders>
            <w:shd w:val="clear" w:color="auto" w:fill="FFFFFF"/>
            <w:vAlign w:val="center"/>
          </w:tcPr>
          <w:p>
            <w:pPr>
              <w:snapToGrid w:val="0"/>
              <w:spacing w:line="260" w:lineRule="exact"/>
              <w:rPr>
                <w:rFonts w:hint="eastAsia" w:ascii="宋体" w:hAnsi="宋体" w:cs="宋体"/>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Cs w:val="21"/>
              </w:rPr>
            </w:pPr>
            <w:r>
              <w:rPr>
                <w:rFonts w:hint="eastAsia" w:ascii="宋体" w:hAnsi="宋体" w:cs="宋体"/>
                <w:szCs w:val="21"/>
              </w:rPr>
              <w:t>6</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szCs w:val="21"/>
              </w:rPr>
              <w:t>投标人技术团队人员资质</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Cs w:val="21"/>
              </w:rPr>
            </w:pPr>
            <w:r>
              <w:rPr>
                <w:rFonts w:hint="eastAsia" w:ascii="宋体" w:hAnsi="宋体"/>
                <w:szCs w:val="21"/>
              </w:rPr>
              <w:t>10</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pPr>
            <w:r>
              <w:rPr>
                <w:rFonts w:hint="eastAsia"/>
              </w:rPr>
              <w:t>评审标准：</w:t>
            </w:r>
          </w:p>
          <w:p>
            <w:pPr>
              <w:autoSpaceDE w:val="0"/>
              <w:autoSpaceDN w:val="0"/>
              <w:adjustRightInd w:val="0"/>
            </w:pPr>
            <w:r>
              <w:rPr>
                <w:rFonts w:hint="eastAsia"/>
              </w:rPr>
              <w:t>拟安排项目主要团队成员需为投标人自有员工</w:t>
            </w:r>
            <w:r>
              <w:rPr>
                <w:rFonts w:hint="eastAsia"/>
                <w:lang w:val="en-US" w:eastAsia="zh-CN"/>
              </w:rPr>
              <w:t>且具有</w:t>
            </w:r>
            <w:r>
              <w:rPr>
                <w:rFonts w:hint="eastAsia"/>
              </w:rPr>
              <w:t>：</w:t>
            </w:r>
          </w:p>
          <w:p>
            <w:r>
              <w:rPr>
                <w:rFonts w:hint="eastAsia"/>
              </w:rPr>
              <w:t>1. 相关机构颁发的一级中式烹调师</w:t>
            </w:r>
            <w:r>
              <w:rPr>
                <w:rFonts w:hint="eastAsia"/>
                <w:lang w:val="en-US" w:eastAsia="zh-CN"/>
              </w:rPr>
              <w:t>证书</w:t>
            </w:r>
            <w:r>
              <w:rPr>
                <w:rFonts w:hint="eastAsia"/>
              </w:rPr>
              <w:t>，每提供1人得10分，最高得10分；</w:t>
            </w:r>
          </w:p>
          <w:p>
            <w:r>
              <w:rPr>
                <w:rFonts w:hint="eastAsia"/>
              </w:rPr>
              <w:t>2. 相关机构颁发的三级或以上中式烹调师</w:t>
            </w:r>
            <w:r>
              <w:rPr>
                <w:rFonts w:hint="eastAsia"/>
                <w:lang w:val="en-US" w:eastAsia="zh-CN"/>
              </w:rPr>
              <w:t>证书</w:t>
            </w:r>
            <w:r>
              <w:rPr>
                <w:rFonts w:hint="eastAsia"/>
              </w:rPr>
              <w:t>，每提供1人得5分，最高20分；</w:t>
            </w:r>
          </w:p>
          <w:p>
            <w:pPr>
              <w:tabs>
                <w:tab w:val="left" w:pos="312"/>
              </w:tabs>
              <w:autoSpaceDE w:val="0"/>
              <w:autoSpaceDN w:val="0"/>
              <w:adjustRightInd w:val="0"/>
            </w:pPr>
            <w:r>
              <w:rPr>
                <w:rFonts w:hint="eastAsia"/>
              </w:rPr>
              <w:t>3.相关机构颁发的西式烹调师证书，每提供1人得10分，最高10分；</w:t>
            </w:r>
          </w:p>
          <w:p>
            <w:pPr>
              <w:autoSpaceDE w:val="0"/>
              <w:autoSpaceDN w:val="0"/>
              <w:adjustRightInd w:val="0"/>
            </w:pPr>
            <w:r>
              <w:rPr>
                <w:rFonts w:hint="eastAsia"/>
              </w:rPr>
              <w:t>4.相关机构颁发的中式面点师</w:t>
            </w:r>
            <w:r>
              <w:rPr>
                <w:rFonts w:hint="eastAsia"/>
                <w:lang w:val="en-US" w:eastAsia="zh-CN"/>
              </w:rPr>
              <w:t>证书</w:t>
            </w:r>
            <w:r>
              <w:rPr>
                <w:rFonts w:hint="eastAsia"/>
              </w:rPr>
              <w:t>，每提供1人得10分，最高10分；</w:t>
            </w:r>
          </w:p>
          <w:p>
            <w:pPr>
              <w:autoSpaceDE w:val="0"/>
              <w:autoSpaceDN w:val="0"/>
              <w:adjustRightInd w:val="0"/>
            </w:pPr>
            <w:r>
              <w:rPr>
                <w:rFonts w:hint="eastAsia"/>
              </w:rPr>
              <w:t>5. 相关机构颁发的健康管理师证书，每提供1人得10分，最高得10分。</w:t>
            </w:r>
          </w:p>
          <w:p>
            <w:pPr>
              <w:autoSpaceDE w:val="0"/>
              <w:autoSpaceDN w:val="0"/>
              <w:adjustRightInd w:val="0"/>
            </w:pPr>
            <w:r>
              <w:rPr>
                <w:rFonts w:hint="eastAsia"/>
              </w:rPr>
              <w:t>6. 相关机构颁发的公共营养师证书，每提供1人得10分，最高得10分。</w:t>
            </w:r>
          </w:p>
          <w:p>
            <w:pPr>
              <w:autoSpaceDE w:val="0"/>
              <w:autoSpaceDN w:val="0"/>
              <w:adjustRightInd w:val="0"/>
            </w:pPr>
            <w:r>
              <w:rPr>
                <w:rFonts w:hint="eastAsia"/>
              </w:rPr>
              <w:t>7. 相关机构颁发的农产品食品检验员证书，每提供1人得10分，最高得10分。</w:t>
            </w:r>
          </w:p>
          <w:p>
            <w:pPr>
              <w:wordWrap w:val="0"/>
            </w:pPr>
            <w:r>
              <w:rPr>
                <w:rFonts w:hint="eastAsia"/>
              </w:rPr>
              <w:t>8. 相关机构颁发的膳食营养搭配专项职业技能证书，每提供1人得10分，最高得10分。</w:t>
            </w:r>
          </w:p>
          <w:p>
            <w:pPr>
              <w:wordWrap w:val="0"/>
            </w:pPr>
            <w:r>
              <w:rPr>
                <w:rFonts w:hint="eastAsia"/>
              </w:rPr>
              <w:t>9.相关机构颁发的高级食品安全管理员（餐饮服务类别），每提供1人得5分，最高10分。</w:t>
            </w:r>
          </w:p>
          <w:p>
            <w:pPr>
              <w:autoSpaceDE w:val="0"/>
              <w:autoSpaceDN w:val="0"/>
              <w:adjustRightInd w:val="0"/>
            </w:pPr>
            <w:r>
              <w:rPr>
                <w:rFonts w:hint="eastAsia"/>
              </w:rPr>
              <w:t>以上9项累计最高得100分，同一人同时满足多项要求时，不重复计分。</w:t>
            </w:r>
          </w:p>
          <w:p>
            <w:pPr>
              <w:autoSpaceDE w:val="0"/>
              <w:autoSpaceDN w:val="0"/>
              <w:adjustRightInd w:val="0"/>
            </w:pPr>
            <w:r>
              <w:rPr>
                <w:rFonts w:hint="eastAsia"/>
              </w:rPr>
              <w:t>证明文件：</w:t>
            </w:r>
          </w:p>
          <w:p>
            <w:pPr>
              <w:autoSpaceDE w:val="0"/>
              <w:autoSpaceDN w:val="0"/>
              <w:adjustRightInd w:val="0"/>
              <w:rPr>
                <w:color w:val="0000FF"/>
              </w:rPr>
            </w:pPr>
            <w:r>
              <w:rPr>
                <w:rFonts w:hint="eastAsia"/>
                <w:color w:val="0000FF"/>
              </w:rPr>
              <w:t>1、提供相关人员开标日当月（或前一个月）在本单位缴纳且载有社保部门（或税务部门）业务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autoSpaceDE w:val="0"/>
              <w:autoSpaceDN w:val="0"/>
              <w:adjustRightInd w:val="0"/>
              <w:rPr>
                <w:color w:val="FF0000"/>
              </w:rPr>
            </w:pPr>
            <w:r>
              <w:rPr>
                <w:rFonts w:hint="eastAsia"/>
                <w:color w:val="0000FF"/>
              </w:rPr>
              <w:t>2、第1-7项，投标人须提供证书扫描件及技能人才评价证书全国联网查询网站截图(</w:t>
            </w:r>
            <w:r>
              <w:rPr>
                <w:rFonts w:hint="eastAsia"/>
                <w:color w:val="FF0000"/>
              </w:rPr>
              <w:t>查询网址：</w:t>
            </w:r>
          </w:p>
          <w:p>
            <w:pPr>
              <w:autoSpaceDE w:val="0"/>
              <w:autoSpaceDN w:val="0"/>
              <w:adjustRightInd w:val="0"/>
              <w:rPr>
                <w:color w:val="FF0000"/>
              </w:rPr>
            </w:pPr>
            <w:r>
              <w:rPr>
                <w:rFonts w:hint="eastAsia"/>
                <w:color w:val="FF0000"/>
              </w:rPr>
              <w:t>http://zscx.osta.org.cn/)。</w:t>
            </w:r>
          </w:p>
          <w:p>
            <w:pPr>
              <w:autoSpaceDE w:val="0"/>
              <w:autoSpaceDN w:val="0"/>
              <w:adjustRightInd w:val="0"/>
              <w:rPr>
                <w:color w:val="0000FF"/>
              </w:rPr>
            </w:pPr>
            <w:r>
              <w:rPr>
                <w:rFonts w:hint="eastAsia"/>
                <w:color w:val="0000FF"/>
              </w:rPr>
              <w:t>3、第8-9项，投标人需提供相关证书</w:t>
            </w:r>
            <w:r>
              <w:rPr>
                <w:rFonts w:hint="eastAsia"/>
                <w:color w:val="0000FF"/>
                <w:lang w:val="en-US" w:eastAsia="zh-CN"/>
              </w:rPr>
              <w:t>扫描件</w:t>
            </w:r>
            <w:r>
              <w:rPr>
                <w:rFonts w:hint="eastAsia"/>
                <w:color w:val="0000FF"/>
              </w:rPr>
              <w:t>或证书网站查询截图。</w:t>
            </w:r>
          </w:p>
          <w:p>
            <w:pPr>
              <w:autoSpaceDE w:val="0"/>
              <w:autoSpaceDN w:val="0"/>
              <w:adjustRightInd w:val="0"/>
            </w:pPr>
            <w:r>
              <w:rPr>
                <w:rFonts w:hint="eastAsia"/>
                <w:color w:val="0000FF"/>
              </w:rPr>
              <w:t>4、未按要求提供相关证明材料（或相关证明材料无法判断是否符合评分要求）的不计得分，原件备查。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right w:val="single" w:color="000000" w:sz="8" w:space="0"/>
            </w:tcBorders>
            <w:shd w:val="clear" w:color="auto" w:fill="FFFFFF"/>
            <w:vAlign w:val="center"/>
          </w:tcPr>
          <w:p>
            <w:pPr>
              <w:snapToGrid w:val="0"/>
              <w:spacing w:line="260" w:lineRule="exact"/>
              <w:jc w:val="center"/>
              <w:rPr>
                <w:rFonts w:ascii="宋体" w:hAnsi="宋体"/>
                <w:b/>
                <w:bCs/>
                <w:szCs w:val="21"/>
              </w:rPr>
            </w:pPr>
            <w:r>
              <w:rPr>
                <w:rFonts w:ascii="宋体" w:hAnsi="宋体"/>
                <w:b/>
                <w:bCs/>
                <w:szCs w:val="21"/>
              </w:rPr>
              <w:t>3</w:t>
            </w:r>
          </w:p>
          <w:p>
            <w:pPr>
              <w:snapToGrid w:val="0"/>
              <w:spacing w:line="260" w:lineRule="exact"/>
              <w:jc w:val="center"/>
              <w:rPr>
                <w:rFonts w:hint="eastAsia" w:ascii="宋体" w:hAnsi="宋体" w:cs="宋体"/>
                <w:b/>
                <w:bCs/>
                <w:szCs w:val="21"/>
              </w:rPr>
            </w:pP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r>
              <w:rPr>
                <w:rFonts w:hint="eastAsia" w:ascii="宋体" w:hAnsi="宋体"/>
                <w:b/>
                <w:bCs/>
                <w:szCs w:val="21"/>
              </w:rPr>
              <w:t>商务</w:t>
            </w:r>
            <w:r>
              <w:rPr>
                <w:rFonts w:ascii="宋体" w:hAnsi="宋体"/>
                <w:b/>
                <w:bCs/>
                <w:szCs w:val="21"/>
              </w:rPr>
              <w:t>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hint="eastAsia" w:ascii="宋体" w:hAnsi="宋体" w:cs="宋体"/>
                <w:b/>
                <w:bCs/>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权重</w:t>
            </w:r>
            <w:r>
              <w:rPr>
                <w:rFonts w:hint="eastAsia" w:ascii="宋体" w:hAnsi="宋体"/>
                <w:szCs w:val="21"/>
              </w:rPr>
              <w:t>（%）</w:t>
            </w:r>
          </w:p>
        </w:tc>
        <w:tc>
          <w:tcPr>
            <w:tcW w:w="49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ascii="宋体" w:hAnsi="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信息化管理情况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rPr>
                <w:rFonts w:hint="eastAsia" w:ascii="宋体" w:hAnsi="宋体"/>
                <w:szCs w:val="21"/>
              </w:rPr>
            </w:pPr>
            <w:r>
              <w:rPr>
                <w:rFonts w:hint="eastAsia" w:ascii="宋体" w:hAnsi="宋体"/>
                <w:szCs w:val="21"/>
              </w:rPr>
              <w:t>评审标准：</w:t>
            </w:r>
          </w:p>
          <w:p>
            <w:pPr>
              <w:autoSpaceDE w:val="0"/>
              <w:autoSpaceDN w:val="0"/>
              <w:adjustRightInd w:val="0"/>
              <w:rPr>
                <w:rFonts w:hint="eastAsia" w:ascii="宋体" w:hAnsi="宋体"/>
                <w:szCs w:val="21"/>
              </w:rPr>
            </w:pPr>
            <w:r>
              <w:rPr>
                <w:rFonts w:hint="eastAsia" w:ascii="宋体" w:hAnsi="宋体"/>
                <w:szCs w:val="21"/>
              </w:rPr>
              <w:t>投标人</w:t>
            </w:r>
            <w:r>
              <w:rPr>
                <w:rFonts w:hint="eastAsia" w:ascii="宋体" w:hAnsi="宋体"/>
                <w:szCs w:val="21"/>
                <w:lang w:val="zh-CN"/>
              </w:rPr>
              <w:t>自</w:t>
            </w:r>
            <w:r>
              <w:rPr>
                <w:rFonts w:hint="eastAsia" w:ascii="宋体" w:hAnsi="宋体"/>
                <w:szCs w:val="21"/>
              </w:rPr>
              <w:t>有</w:t>
            </w:r>
            <w:r>
              <w:rPr>
                <w:rFonts w:hint="eastAsia" w:ascii="宋体" w:hAnsi="宋体"/>
                <w:szCs w:val="21"/>
                <w:lang w:val="zh-CN"/>
              </w:rPr>
              <w:t>或购买或租赁的</w:t>
            </w:r>
            <w:r>
              <w:rPr>
                <w:rFonts w:hint="eastAsia" w:ascii="宋体" w:hAnsi="宋体"/>
                <w:szCs w:val="21"/>
              </w:rPr>
              <w:t>系统并取得计算机软件著作权登记证书：</w:t>
            </w:r>
          </w:p>
          <w:p>
            <w:pPr>
              <w:autoSpaceDE w:val="0"/>
              <w:autoSpaceDN w:val="0"/>
              <w:adjustRightInd w:val="0"/>
              <w:rPr>
                <w:rFonts w:hint="eastAsia" w:ascii="宋体" w:hAnsi="宋体"/>
                <w:szCs w:val="21"/>
              </w:rPr>
            </w:pPr>
            <w:r>
              <w:rPr>
                <w:rFonts w:hint="eastAsia" w:ascii="宋体" w:hAnsi="宋体"/>
                <w:szCs w:val="21"/>
              </w:rPr>
              <w:t>1、营养配餐管理类系统；</w:t>
            </w:r>
          </w:p>
          <w:p>
            <w:pPr>
              <w:autoSpaceDE w:val="0"/>
              <w:autoSpaceDN w:val="0"/>
              <w:adjustRightInd w:val="0"/>
              <w:rPr>
                <w:rFonts w:hint="eastAsia" w:ascii="宋体" w:hAnsi="宋体"/>
                <w:szCs w:val="21"/>
              </w:rPr>
            </w:pPr>
            <w:r>
              <w:rPr>
                <w:rFonts w:hint="eastAsia" w:ascii="宋体" w:hAnsi="宋体"/>
                <w:szCs w:val="21"/>
              </w:rPr>
              <w:t>2、后厨智能监管类系统；</w:t>
            </w:r>
          </w:p>
          <w:p>
            <w:pPr>
              <w:autoSpaceDE w:val="0"/>
              <w:autoSpaceDN w:val="0"/>
              <w:adjustRightInd w:val="0"/>
              <w:rPr>
                <w:rFonts w:hint="eastAsia" w:ascii="宋体" w:hAnsi="宋体"/>
                <w:szCs w:val="21"/>
              </w:rPr>
            </w:pPr>
            <w:r>
              <w:rPr>
                <w:rFonts w:hint="eastAsia" w:ascii="宋体" w:hAnsi="宋体"/>
                <w:szCs w:val="21"/>
              </w:rPr>
              <w:t>3、数智餐厅管理类系统；</w:t>
            </w:r>
          </w:p>
          <w:p>
            <w:pPr>
              <w:autoSpaceDE w:val="0"/>
              <w:autoSpaceDN w:val="0"/>
              <w:adjustRightInd w:val="0"/>
              <w:rPr>
                <w:rFonts w:hint="eastAsia" w:ascii="宋体" w:hAnsi="宋体"/>
                <w:szCs w:val="21"/>
              </w:rPr>
            </w:pPr>
            <w:r>
              <w:rPr>
                <w:rFonts w:hint="eastAsia" w:ascii="宋体" w:hAnsi="宋体"/>
                <w:szCs w:val="21"/>
              </w:rPr>
              <w:t>4、食安监管类系统；</w:t>
            </w:r>
          </w:p>
          <w:p>
            <w:pPr>
              <w:autoSpaceDE w:val="0"/>
              <w:autoSpaceDN w:val="0"/>
              <w:adjustRightInd w:val="0"/>
              <w:rPr>
                <w:rFonts w:hint="eastAsia" w:ascii="宋体" w:hAnsi="宋体"/>
                <w:szCs w:val="21"/>
              </w:rPr>
            </w:pPr>
            <w:r>
              <w:rPr>
                <w:rFonts w:hint="eastAsia" w:ascii="宋体" w:hAnsi="宋体"/>
                <w:szCs w:val="21"/>
              </w:rPr>
              <w:t>5、智能化家常菜谱类软件。</w:t>
            </w:r>
          </w:p>
          <w:p>
            <w:pPr>
              <w:autoSpaceDE w:val="0"/>
              <w:autoSpaceDN w:val="0"/>
              <w:adjustRightInd w:val="0"/>
              <w:rPr>
                <w:rFonts w:hint="eastAsia" w:ascii="宋体" w:hAnsi="宋体"/>
                <w:szCs w:val="21"/>
              </w:rPr>
            </w:pPr>
            <w:r>
              <w:rPr>
                <w:rFonts w:hint="eastAsia" w:ascii="宋体" w:hAnsi="宋体"/>
                <w:szCs w:val="21"/>
              </w:rPr>
              <w:t>每提供一个得20分，最高得100分。</w:t>
            </w:r>
          </w:p>
          <w:p>
            <w:pPr>
              <w:autoSpaceDE w:val="0"/>
              <w:autoSpaceDN w:val="0"/>
              <w:adjustRightInd w:val="0"/>
              <w:rPr>
                <w:rFonts w:hint="eastAsia" w:ascii="宋体" w:hAnsi="宋体"/>
                <w:szCs w:val="21"/>
              </w:rPr>
            </w:pPr>
            <w:r>
              <w:rPr>
                <w:rFonts w:hint="eastAsia" w:ascii="宋体" w:hAnsi="宋体"/>
                <w:szCs w:val="21"/>
              </w:rPr>
              <w:t>证明文件：</w:t>
            </w:r>
          </w:p>
          <w:p>
            <w:pPr>
              <w:autoSpaceDE w:val="0"/>
              <w:autoSpaceDN w:val="0"/>
              <w:adjustRightInd w:val="0"/>
              <w:rPr>
                <w:rFonts w:hint="eastAsia" w:ascii="宋体" w:hAnsi="宋体"/>
                <w:color w:val="0000FF"/>
                <w:szCs w:val="21"/>
              </w:rPr>
            </w:pPr>
            <w:r>
              <w:rPr>
                <w:rFonts w:hint="eastAsia" w:ascii="宋体" w:hAnsi="宋体"/>
                <w:color w:val="0000FF"/>
                <w:szCs w:val="21"/>
              </w:rPr>
              <w:t>1、如为</w:t>
            </w:r>
            <w:r>
              <w:rPr>
                <w:rFonts w:hint="eastAsia" w:ascii="宋体" w:hAnsi="宋体"/>
                <w:b/>
                <w:bCs/>
                <w:color w:val="0000FF"/>
                <w:szCs w:val="21"/>
              </w:rPr>
              <w:t>自有的</w:t>
            </w:r>
            <w:r>
              <w:rPr>
                <w:rFonts w:hint="eastAsia" w:ascii="宋体" w:hAnsi="宋体"/>
                <w:color w:val="0000FF"/>
                <w:szCs w:val="21"/>
              </w:rPr>
              <w:t>，提供由国家版权局颁发的计算机软件著作权登记证书（著作权人为投标人）；</w:t>
            </w:r>
          </w:p>
          <w:p>
            <w:pPr>
              <w:autoSpaceDE w:val="0"/>
              <w:autoSpaceDN w:val="0"/>
              <w:adjustRightInd w:val="0"/>
              <w:rPr>
                <w:color w:val="0000FF"/>
                <w:szCs w:val="21"/>
              </w:rPr>
            </w:pPr>
            <w:r>
              <w:rPr>
                <w:rFonts w:hint="eastAsia" w:ascii="宋体" w:hAnsi="宋体" w:cs="宋体"/>
                <w:b/>
                <w:color w:val="0000FF"/>
                <w:szCs w:val="21"/>
              </w:rPr>
              <w:t>2.如为购买或租赁</w:t>
            </w:r>
            <w:r>
              <w:rPr>
                <w:rFonts w:hint="eastAsia" w:ascii="宋体" w:hAnsi="宋体" w:cs="宋体"/>
                <w:b/>
                <w:bCs/>
                <w:color w:val="0000FF"/>
                <w:szCs w:val="21"/>
              </w:rPr>
              <w:t>的</w:t>
            </w:r>
            <w:r>
              <w:rPr>
                <w:rFonts w:hint="eastAsia" w:ascii="宋体" w:hAnsi="宋体" w:cs="宋体"/>
                <w:b/>
                <w:color w:val="0000FF"/>
                <w:szCs w:val="21"/>
              </w:rPr>
              <w:t>，</w:t>
            </w:r>
            <w:r>
              <w:rPr>
                <w:rFonts w:hint="eastAsia" w:ascii="宋体" w:hAnsi="宋体" w:cs="宋体"/>
                <w:color w:val="0000FF"/>
                <w:szCs w:val="21"/>
              </w:rPr>
              <w:t>提供国家版权局颁发的计算机软件著作权登记证书扫描件，著作权人须能体现为出租人（或出售人）；同时提供购买（或租赁）合同（协议）扫描件【合同（协议）须体现签署方为投标人】和购买（或租赁）发票（发票须能体现购买人为投标人）</w:t>
            </w:r>
          </w:p>
          <w:p>
            <w:pPr>
              <w:autoSpaceDE w:val="0"/>
              <w:autoSpaceDN w:val="0"/>
              <w:adjustRightInd w:val="0"/>
              <w:rPr>
                <w:rFonts w:hint="eastAsia" w:ascii="宋体" w:hAnsi="宋体"/>
                <w:szCs w:val="21"/>
              </w:rPr>
            </w:pPr>
            <w:r>
              <w:rPr>
                <w:rFonts w:hint="eastAsia"/>
                <w:color w:val="0000FF"/>
                <w:szCs w:val="21"/>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体系认证情况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rPr>
                <w:rFonts w:hint="eastAsia" w:ascii="宋体" w:hAnsi="宋体"/>
                <w:szCs w:val="21"/>
              </w:rPr>
            </w:pPr>
            <w:r>
              <w:rPr>
                <w:rFonts w:hint="eastAsia" w:ascii="宋体" w:hAnsi="宋体"/>
                <w:szCs w:val="21"/>
              </w:rPr>
              <w:t>评审标准：</w:t>
            </w:r>
          </w:p>
          <w:p>
            <w:pPr>
              <w:autoSpaceDE w:val="0"/>
              <w:autoSpaceDN w:val="0"/>
              <w:adjustRightInd w:val="0"/>
              <w:rPr>
                <w:rFonts w:hint="eastAsia" w:ascii="宋体" w:hAnsi="宋体"/>
                <w:szCs w:val="21"/>
              </w:rPr>
            </w:pPr>
            <w:r>
              <w:rPr>
                <w:rFonts w:hint="eastAsia" w:ascii="宋体" w:hAnsi="宋体"/>
                <w:szCs w:val="21"/>
              </w:rPr>
              <w:t>投标人在开标日前获得以下证书：</w:t>
            </w:r>
          </w:p>
          <w:p>
            <w:pPr>
              <w:autoSpaceDE w:val="0"/>
              <w:autoSpaceDN w:val="0"/>
              <w:adjustRightInd w:val="0"/>
              <w:rPr>
                <w:rFonts w:hint="eastAsia" w:ascii="宋体" w:hAnsi="宋体"/>
                <w:color w:val="FF0000"/>
                <w:sz w:val="21"/>
                <w:szCs w:val="21"/>
              </w:rPr>
            </w:pPr>
            <w:r>
              <w:rPr>
                <w:rFonts w:hint="eastAsia" w:ascii="宋体" w:hAnsi="宋体"/>
                <w:color w:val="FF0000"/>
                <w:sz w:val="21"/>
                <w:szCs w:val="21"/>
              </w:rPr>
              <w:t>1、标准化管理体系认证证书（认证范围</w:t>
            </w:r>
            <w:r>
              <w:rPr>
                <w:rFonts w:hint="eastAsia" w:ascii="宋体" w:hAnsi="宋体"/>
                <w:color w:val="FF0000"/>
                <w:sz w:val="21"/>
                <w:szCs w:val="21"/>
                <w:lang w:val="en-US" w:eastAsia="zh-CN"/>
              </w:rPr>
              <w:t>包含</w:t>
            </w:r>
            <w:r>
              <w:rPr>
                <w:rFonts w:hint="eastAsia" w:ascii="宋体" w:hAnsi="宋体"/>
                <w:color w:val="FF0000"/>
                <w:sz w:val="21"/>
                <w:szCs w:val="21"/>
              </w:rPr>
              <w:t>餐饮</w:t>
            </w:r>
            <w:r>
              <w:rPr>
                <w:rFonts w:hint="eastAsia" w:ascii="宋体" w:hAnsi="宋体"/>
                <w:color w:val="FF0000"/>
                <w:sz w:val="21"/>
                <w:szCs w:val="21"/>
                <w:lang w:val="en-US" w:eastAsia="zh-CN"/>
              </w:rPr>
              <w:t>服务</w:t>
            </w:r>
            <w:r>
              <w:rPr>
                <w:rFonts w:hint="eastAsia" w:ascii="宋体" w:hAnsi="宋体"/>
                <w:color w:val="FF0000"/>
                <w:sz w:val="21"/>
                <w:szCs w:val="21"/>
              </w:rPr>
              <w:t>管理（食堂承包）），得20 分；</w:t>
            </w:r>
          </w:p>
          <w:p>
            <w:pPr>
              <w:autoSpaceDE w:val="0"/>
              <w:autoSpaceDN w:val="0"/>
              <w:adjustRightInd w:val="0"/>
              <w:rPr>
                <w:rFonts w:hint="eastAsia" w:ascii="宋体" w:hAnsi="宋体"/>
                <w:color w:val="FF0000"/>
                <w:sz w:val="21"/>
                <w:szCs w:val="21"/>
              </w:rPr>
            </w:pPr>
            <w:r>
              <w:rPr>
                <w:rFonts w:hint="eastAsia" w:ascii="宋体" w:hAnsi="宋体"/>
                <w:color w:val="FF0000"/>
                <w:sz w:val="21"/>
                <w:szCs w:val="21"/>
              </w:rPr>
              <w:t>2、</w:t>
            </w:r>
            <w:r>
              <w:rPr>
                <w:rFonts w:hint="eastAsia"/>
                <w:color w:val="FF0000"/>
                <w:sz w:val="21"/>
                <w:szCs w:val="21"/>
              </w:rPr>
              <w:t>SO14001环境管理体系认证证书</w:t>
            </w:r>
            <w:r>
              <w:rPr>
                <w:rFonts w:hint="eastAsia" w:ascii="宋体" w:hAnsi="宋体"/>
                <w:color w:val="FF0000"/>
                <w:sz w:val="21"/>
                <w:szCs w:val="21"/>
              </w:rPr>
              <w:t>（认证范围</w:t>
            </w:r>
            <w:r>
              <w:rPr>
                <w:rFonts w:hint="eastAsia" w:ascii="宋体" w:hAnsi="宋体"/>
                <w:color w:val="FF0000"/>
                <w:sz w:val="21"/>
                <w:szCs w:val="21"/>
                <w:lang w:val="en-US" w:eastAsia="zh-CN"/>
              </w:rPr>
              <w:t>包含</w:t>
            </w:r>
            <w:r>
              <w:rPr>
                <w:rFonts w:hint="eastAsia" w:ascii="宋体" w:hAnsi="宋体" w:cs="宋体"/>
                <w:color w:val="FF0000"/>
                <w:sz w:val="21"/>
                <w:szCs w:val="21"/>
              </w:rPr>
              <w:t>餐饮服务管理：中餐（热藏饭盒）配送、食堂承包</w:t>
            </w:r>
            <w:r>
              <w:rPr>
                <w:rFonts w:hint="eastAsia" w:ascii="宋体" w:hAnsi="宋体"/>
                <w:color w:val="FF0000"/>
                <w:sz w:val="21"/>
                <w:szCs w:val="21"/>
              </w:rPr>
              <w:t>），得 20 分；</w:t>
            </w:r>
          </w:p>
          <w:p>
            <w:pPr>
              <w:autoSpaceDE w:val="0"/>
              <w:autoSpaceDN w:val="0"/>
              <w:adjustRightInd w:val="0"/>
              <w:rPr>
                <w:rFonts w:hint="eastAsia" w:ascii="宋体" w:hAnsi="宋体"/>
                <w:color w:val="FF0000"/>
                <w:sz w:val="21"/>
                <w:szCs w:val="21"/>
              </w:rPr>
            </w:pPr>
            <w:r>
              <w:rPr>
                <w:rFonts w:hint="eastAsia" w:ascii="宋体" w:hAnsi="宋体"/>
                <w:color w:val="FF0000"/>
                <w:sz w:val="21"/>
                <w:szCs w:val="21"/>
              </w:rPr>
              <w:t>3、</w:t>
            </w:r>
            <w:r>
              <w:rPr>
                <w:rFonts w:hint="eastAsia"/>
                <w:color w:val="FF0000"/>
                <w:sz w:val="21"/>
                <w:szCs w:val="21"/>
              </w:rPr>
              <w:t>ISO45001职业健康安全管理体系认证证书</w:t>
            </w:r>
            <w:r>
              <w:rPr>
                <w:rFonts w:hint="eastAsia" w:ascii="宋体" w:hAnsi="宋体"/>
                <w:color w:val="FF0000"/>
                <w:sz w:val="21"/>
                <w:szCs w:val="21"/>
              </w:rPr>
              <w:t>（认证范围</w:t>
            </w:r>
            <w:r>
              <w:rPr>
                <w:rFonts w:hint="eastAsia" w:ascii="宋体" w:hAnsi="宋体"/>
                <w:color w:val="FF0000"/>
                <w:sz w:val="21"/>
                <w:szCs w:val="21"/>
                <w:lang w:val="en-US" w:eastAsia="zh-CN"/>
              </w:rPr>
              <w:t>包含</w:t>
            </w:r>
            <w:r>
              <w:rPr>
                <w:rFonts w:hint="eastAsia" w:ascii="宋体" w:hAnsi="宋体" w:cs="宋体"/>
                <w:color w:val="FF0000"/>
                <w:sz w:val="21"/>
                <w:szCs w:val="21"/>
              </w:rPr>
              <w:t>餐饮服务管理：中餐（热藏饭盒）配送、食堂承包</w:t>
            </w:r>
            <w:r>
              <w:rPr>
                <w:rFonts w:hint="eastAsia" w:ascii="宋体" w:hAnsi="宋体"/>
                <w:color w:val="FF0000"/>
                <w:sz w:val="21"/>
                <w:szCs w:val="21"/>
              </w:rPr>
              <w:t>）， 得20分；</w:t>
            </w:r>
          </w:p>
          <w:p>
            <w:pPr>
              <w:autoSpaceDE w:val="0"/>
              <w:autoSpaceDN w:val="0"/>
              <w:adjustRightInd w:val="0"/>
              <w:rPr>
                <w:rFonts w:hint="eastAsia" w:ascii="宋体" w:hAnsi="宋体"/>
                <w:color w:val="FF0000"/>
                <w:sz w:val="21"/>
                <w:szCs w:val="21"/>
              </w:rPr>
            </w:pPr>
            <w:r>
              <w:rPr>
                <w:rFonts w:hint="eastAsia" w:ascii="宋体" w:hAnsi="宋体"/>
                <w:color w:val="FF0000"/>
                <w:sz w:val="21"/>
                <w:szCs w:val="21"/>
              </w:rPr>
              <w:t>4、</w:t>
            </w:r>
            <w:r>
              <w:rPr>
                <w:rFonts w:hint="eastAsia"/>
                <w:color w:val="FF0000"/>
                <w:sz w:val="21"/>
                <w:szCs w:val="21"/>
              </w:rPr>
              <w:t>ISO9001质量管理体系认证证书</w:t>
            </w:r>
            <w:r>
              <w:rPr>
                <w:rFonts w:hint="eastAsia" w:ascii="宋体" w:hAnsi="宋体"/>
                <w:color w:val="FF0000"/>
                <w:sz w:val="21"/>
                <w:szCs w:val="21"/>
              </w:rPr>
              <w:t>（认证范围</w:t>
            </w:r>
            <w:r>
              <w:rPr>
                <w:rFonts w:hint="eastAsia" w:ascii="宋体" w:hAnsi="宋体"/>
                <w:color w:val="FF0000"/>
                <w:sz w:val="21"/>
                <w:szCs w:val="21"/>
                <w:lang w:val="en-US" w:eastAsia="zh-CN"/>
              </w:rPr>
              <w:t>包含</w:t>
            </w:r>
            <w:r>
              <w:rPr>
                <w:rFonts w:hint="eastAsia" w:ascii="宋体" w:hAnsi="宋体" w:cs="宋体"/>
                <w:color w:val="FF0000"/>
                <w:sz w:val="21"/>
                <w:szCs w:val="21"/>
              </w:rPr>
              <w:t>餐饮服务管理：中餐（热藏饭盒）配送、食堂承包</w:t>
            </w:r>
            <w:r>
              <w:rPr>
                <w:rFonts w:hint="eastAsia" w:ascii="宋体" w:hAnsi="宋体"/>
                <w:color w:val="FF0000"/>
                <w:sz w:val="21"/>
                <w:szCs w:val="21"/>
              </w:rPr>
              <w:t>）， 得20分；</w:t>
            </w:r>
          </w:p>
          <w:p>
            <w:pPr>
              <w:autoSpaceDE w:val="0"/>
              <w:autoSpaceDN w:val="0"/>
              <w:adjustRightInd w:val="0"/>
              <w:rPr>
                <w:rFonts w:hint="eastAsia" w:ascii="宋体" w:hAnsi="宋体"/>
                <w:szCs w:val="21"/>
              </w:rPr>
            </w:pPr>
            <w:r>
              <w:rPr>
                <w:rFonts w:hint="eastAsia" w:ascii="宋体" w:hAnsi="宋体"/>
                <w:color w:val="FF0000"/>
                <w:sz w:val="21"/>
                <w:szCs w:val="21"/>
              </w:rPr>
              <w:t>5、</w:t>
            </w:r>
            <w:r>
              <w:rPr>
                <w:rFonts w:hint="eastAsia"/>
                <w:color w:val="FF0000"/>
                <w:sz w:val="21"/>
                <w:szCs w:val="21"/>
              </w:rPr>
              <w:t>售后服务完善程度认证证书</w:t>
            </w:r>
            <w:r>
              <w:rPr>
                <w:rFonts w:hint="eastAsia" w:ascii="宋体" w:hAnsi="宋体"/>
                <w:color w:val="FF0000"/>
                <w:sz w:val="21"/>
                <w:szCs w:val="21"/>
              </w:rPr>
              <w:t>（认证范围</w:t>
            </w:r>
            <w:r>
              <w:rPr>
                <w:rFonts w:hint="eastAsia" w:ascii="宋体" w:hAnsi="宋体"/>
                <w:color w:val="FF0000"/>
                <w:sz w:val="21"/>
                <w:szCs w:val="21"/>
                <w:lang w:val="en-US" w:eastAsia="zh-CN"/>
              </w:rPr>
              <w:t>包含</w:t>
            </w:r>
            <w:r>
              <w:rPr>
                <w:rFonts w:hint="eastAsia" w:ascii="宋体" w:hAnsi="宋体" w:cs="宋体"/>
                <w:color w:val="FF0000"/>
                <w:sz w:val="21"/>
                <w:szCs w:val="21"/>
              </w:rPr>
              <w:t>餐饮管理（食堂承包）的售后服务完善程度</w:t>
            </w:r>
            <w:r>
              <w:rPr>
                <w:rFonts w:hint="eastAsia" w:ascii="宋体" w:hAnsi="宋体"/>
                <w:color w:val="FF0000"/>
                <w:sz w:val="21"/>
                <w:szCs w:val="21"/>
              </w:rPr>
              <w:t>），得 20 分；</w:t>
            </w:r>
            <w:r>
              <w:rPr>
                <w:rFonts w:hint="eastAsia" w:ascii="宋体" w:hAnsi="宋体"/>
                <w:szCs w:val="21"/>
              </w:rPr>
              <w:t>证明文件：</w:t>
            </w:r>
          </w:p>
          <w:p>
            <w:pPr>
              <w:autoSpaceDE w:val="0"/>
              <w:autoSpaceDN w:val="0"/>
              <w:adjustRightInd w:val="0"/>
              <w:rPr>
                <w:rFonts w:hint="eastAsia" w:ascii="宋体" w:hAnsi="宋体" w:cs="宋体"/>
                <w:color w:val="0000FF"/>
                <w:szCs w:val="21"/>
              </w:rPr>
            </w:pPr>
            <w:r>
              <w:rPr>
                <w:rFonts w:hint="eastAsia" w:ascii="宋体" w:hAnsi="宋体" w:cs="宋体"/>
                <w:color w:val="0000FF"/>
                <w:szCs w:val="21"/>
              </w:rPr>
              <w:t>1、提供相关认证机构颁发的有效期内的认证证书扫描件及认证信息查询截图（截图需显示证书状态为有效）。</w:t>
            </w:r>
            <w:r>
              <w:rPr>
                <w:rFonts w:hint="eastAsia" w:ascii="宋体" w:hAnsi="宋体" w:cs="宋体"/>
                <w:color w:val="0000FF"/>
                <w:szCs w:val="21"/>
                <w:lang w:eastAsia="zh-CN"/>
              </w:rPr>
              <w:t>（</w:t>
            </w:r>
            <w:r>
              <w:rPr>
                <w:rFonts w:hint="eastAsia" w:ascii="宋体" w:hAnsi="宋体" w:cs="宋体"/>
                <w:color w:val="0000FF"/>
                <w:szCs w:val="21"/>
              </w:rPr>
              <w:t>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r>
              <w:rPr>
                <w:rFonts w:hint="eastAsia" w:ascii="宋体" w:hAnsi="宋体" w:cs="宋体"/>
                <w:color w:val="0000FF"/>
                <w:szCs w:val="21"/>
                <w:lang w:eastAsia="zh-CN"/>
              </w:rPr>
              <w:t>）</w:t>
            </w:r>
          </w:p>
          <w:p>
            <w:pPr>
              <w:autoSpaceDE w:val="0"/>
              <w:autoSpaceDN w:val="0"/>
              <w:adjustRightInd w:val="0"/>
              <w:rPr>
                <w:rFonts w:hint="eastAsia" w:ascii="宋体" w:hAnsi="宋体"/>
                <w:szCs w:val="21"/>
              </w:rPr>
            </w:pPr>
            <w:r>
              <w:rPr>
                <w:rFonts w:hint="eastAsia" w:ascii="宋体" w:hAnsi="宋体" w:cs="宋体"/>
                <w:color w:val="0000FF"/>
                <w:szCs w:val="21"/>
              </w:rPr>
              <w:t>2、</w:t>
            </w:r>
            <w:r>
              <w:rPr>
                <w:rFonts w:hint="eastAsia"/>
                <w:color w:val="0000FF"/>
                <w:szCs w:val="21"/>
              </w:rPr>
              <w:t>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3</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同类项目业绩</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4</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rPr>
                <w:rFonts w:hint="eastAsia" w:ascii="宋体" w:hAnsi="宋体"/>
                <w:szCs w:val="21"/>
              </w:rPr>
            </w:pPr>
            <w:r>
              <w:rPr>
                <w:rFonts w:hint="eastAsia" w:ascii="宋体" w:hAnsi="宋体"/>
                <w:szCs w:val="21"/>
              </w:rPr>
              <w:t>评审标准：</w:t>
            </w:r>
          </w:p>
          <w:p>
            <w:pPr>
              <w:autoSpaceDE w:val="0"/>
              <w:autoSpaceDN w:val="0"/>
              <w:adjustRightInd w:val="0"/>
              <w:rPr>
                <w:rFonts w:hint="eastAsia" w:ascii="宋体" w:hAnsi="宋体"/>
                <w:szCs w:val="21"/>
              </w:rPr>
            </w:pPr>
            <w:r>
              <w:rPr>
                <w:rFonts w:hint="eastAsia" w:ascii="宋体" w:hAnsi="宋体"/>
                <w:szCs w:val="21"/>
              </w:rPr>
              <w:t>投标人自2021年1月1日至本项目开标之日前(以合同签订时间为准)，每具有一项</w:t>
            </w:r>
            <w:r>
              <w:rPr>
                <w:rFonts w:hint="eastAsia" w:ascii="宋体" w:hAnsi="宋体"/>
                <w:b/>
                <w:bCs/>
                <w:szCs w:val="21"/>
              </w:rPr>
              <w:t>国家机关或企业或事业单位食堂烹饪服务或食堂综合服务或食堂管理或食堂餐饮管理相关业绩合同（合同期满一年）</w:t>
            </w:r>
            <w:r>
              <w:rPr>
                <w:rFonts w:hint="eastAsia" w:ascii="宋体" w:hAnsi="宋体"/>
                <w:szCs w:val="21"/>
              </w:rPr>
              <w:t>，合同期后并经服务单位考核评价为</w:t>
            </w:r>
            <w:r>
              <w:rPr>
                <w:rFonts w:hint="eastAsia" w:ascii="宋体" w:hAnsi="宋体"/>
                <w:b/>
                <w:bCs/>
                <w:szCs w:val="21"/>
              </w:rPr>
              <w:t>“优”或“满意”或80分</w:t>
            </w:r>
            <w:r>
              <w:rPr>
                <w:rFonts w:hint="eastAsia" w:ascii="宋体" w:hAnsi="宋体"/>
                <w:b/>
                <w:bCs/>
                <w:szCs w:val="21"/>
                <w:lang w:eastAsia="zh-CN"/>
              </w:rPr>
              <w:t>（</w:t>
            </w:r>
            <w:r>
              <w:rPr>
                <w:rFonts w:hint="eastAsia" w:ascii="宋体" w:hAnsi="宋体"/>
                <w:b/>
                <w:bCs/>
                <w:szCs w:val="21"/>
                <w:lang w:val="en-US" w:eastAsia="zh-CN"/>
              </w:rPr>
              <w:t>百分制</w:t>
            </w:r>
            <w:r>
              <w:rPr>
                <w:rFonts w:hint="eastAsia" w:ascii="宋体" w:hAnsi="宋体"/>
                <w:b/>
                <w:bCs/>
                <w:szCs w:val="21"/>
                <w:lang w:eastAsia="zh-CN"/>
              </w:rPr>
              <w:t>）</w:t>
            </w:r>
            <w:r>
              <w:rPr>
                <w:rFonts w:hint="eastAsia" w:ascii="宋体" w:hAnsi="宋体"/>
                <w:b/>
                <w:bCs/>
                <w:szCs w:val="21"/>
              </w:rPr>
              <w:t>以上类似最高评价的</w:t>
            </w:r>
            <w:r>
              <w:rPr>
                <w:rFonts w:hint="eastAsia" w:ascii="宋体" w:hAnsi="宋体"/>
                <w:szCs w:val="21"/>
              </w:rPr>
              <w:t>，得20分，最高得100分。</w:t>
            </w:r>
          </w:p>
          <w:p>
            <w:pPr>
              <w:autoSpaceDE w:val="0"/>
              <w:autoSpaceDN w:val="0"/>
              <w:adjustRightInd w:val="0"/>
              <w:rPr>
                <w:rFonts w:hint="eastAsia" w:ascii="宋体" w:hAnsi="宋体"/>
                <w:b/>
                <w:bCs/>
                <w:szCs w:val="21"/>
              </w:rPr>
            </w:pPr>
            <w:r>
              <w:rPr>
                <w:rFonts w:hint="eastAsia" w:ascii="宋体" w:hAnsi="宋体"/>
                <w:b/>
                <w:bCs/>
                <w:szCs w:val="21"/>
              </w:rPr>
              <w:t>注：同一项目续签不重复计分。</w:t>
            </w:r>
          </w:p>
          <w:p>
            <w:pPr>
              <w:autoSpaceDE w:val="0"/>
              <w:autoSpaceDN w:val="0"/>
              <w:adjustRightInd w:val="0"/>
              <w:rPr>
                <w:rFonts w:hint="eastAsia" w:ascii="宋体" w:hAnsi="宋体"/>
                <w:szCs w:val="21"/>
              </w:rPr>
            </w:pPr>
            <w:r>
              <w:rPr>
                <w:rFonts w:hint="eastAsia" w:ascii="宋体" w:hAnsi="宋体"/>
                <w:szCs w:val="21"/>
              </w:rPr>
              <w:t>证明文件：</w:t>
            </w:r>
          </w:p>
          <w:p>
            <w:pPr>
              <w:autoSpaceDE w:val="0"/>
              <w:autoSpaceDN w:val="0"/>
              <w:adjustRightInd w:val="0"/>
              <w:rPr>
                <w:rFonts w:hint="eastAsia" w:ascii="宋体" w:hAnsi="宋体"/>
                <w:color w:val="0000FF"/>
                <w:szCs w:val="21"/>
              </w:rPr>
            </w:pPr>
            <w:r>
              <w:rPr>
                <w:rFonts w:hint="eastAsia" w:ascii="宋体" w:hAnsi="宋体"/>
                <w:color w:val="0000FF"/>
                <w:szCs w:val="21"/>
              </w:rPr>
              <w:t>1.同时提供项目合同关键页扫描件、加盖合同甲方公章或业务章的履约评价书，原件备查；</w:t>
            </w:r>
          </w:p>
          <w:p>
            <w:pPr>
              <w:autoSpaceDE w:val="0"/>
              <w:autoSpaceDN w:val="0"/>
              <w:adjustRightInd w:val="0"/>
              <w:rPr>
                <w:rFonts w:hint="eastAsia" w:ascii="宋体" w:hAnsi="宋体"/>
                <w:color w:val="0000FF"/>
                <w:szCs w:val="21"/>
              </w:rPr>
            </w:pPr>
            <w:r>
              <w:rPr>
                <w:rFonts w:hint="eastAsia" w:ascii="宋体" w:hAnsi="宋体"/>
                <w:color w:val="0000FF"/>
                <w:szCs w:val="21"/>
              </w:rPr>
              <w:t>2.投标人提供加盖甲方公章或业务章的履约评价书，原件备查；</w:t>
            </w:r>
          </w:p>
          <w:p>
            <w:pPr>
              <w:autoSpaceDE w:val="0"/>
              <w:autoSpaceDN w:val="0"/>
              <w:adjustRightInd w:val="0"/>
              <w:rPr>
                <w:rFonts w:hint="eastAsia" w:ascii="宋体" w:hAnsi="宋体"/>
                <w:szCs w:val="21"/>
              </w:rPr>
            </w:pPr>
            <w:r>
              <w:rPr>
                <w:rFonts w:hint="eastAsia" w:ascii="宋体" w:hAnsi="宋体"/>
                <w:color w:val="0000FF"/>
                <w:szCs w:val="21"/>
              </w:rPr>
              <w:t>3.</w:t>
            </w:r>
            <w:r>
              <w:rPr>
                <w:rFonts w:hint="eastAsia"/>
                <w:color w:val="0000FF"/>
                <w:szCs w:val="21"/>
              </w:rPr>
              <w:t>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4</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专业检测能力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7</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ordWrap w:val="0"/>
              <w:rPr>
                <w:rFonts w:hint="eastAsia" w:ascii="宋体" w:hAnsi="宋体" w:cs="宋体"/>
                <w:szCs w:val="21"/>
              </w:rPr>
            </w:pPr>
            <w:r>
              <w:rPr>
                <w:rFonts w:hint="eastAsia" w:ascii="宋体" w:hAnsi="宋体" w:cs="宋体"/>
                <w:szCs w:val="21"/>
              </w:rPr>
              <w:t>评审标准：</w:t>
            </w:r>
          </w:p>
          <w:p>
            <w:pPr>
              <w:wordWrap w:val="0"/>
              <w:rPr>
                <w:rFonts w:hint="eastAsia" w:ascii="宋体" w:hAnsi="宋体" w:cs="宋体"/>
                <w:szCs w:val="21"/>
              </w:rPr>
            </w:pPr>
            <w:r>
              <w:rPr>
                <w:rFonts w:ascii="宋体" w:hAnsi="宋体" w:cs="宋体"/>
                <w:szCs w:val="21"/>
              </w:rPr>
              <w:t>1、提供2024年1月1日至本项目投标截止之日前，</w:t>
            </w:r>
          </w:p>
          <w:p>
            <w:pPr>
              <w:wordWrap w:val="0"/>
              <w:rPr>
                <w:rFonts w:hint="eastAsia" w:ascii="宋体" w:hAnsi="宋体" w:cs="宋体"/>
                <w:szCs w:val="21"/>
              </w:rPr>
            </w:pPr>
            <w:r>
              <w:rPr>
                <w:rFonts w:ascii="宋体" w:hAnsi="宋体" w:cs="宋体"/>
                <w:szCs w:val="21"/>
              </w:rPr>
              <w:t>由</w:t>
            </w:r>
            <w:r>
              <w:rPr>
                <w:rFonts w:hint="eastAsia" w:ascii="宋体" w:hAnsi="宋体" w:cs="宋体"/>
                <w:szCs w:val="21"/>
                <w:lang w:val="en-US" w:eastAsia="zh-CN"/>
              </w:rPr>
              <w:t>具有</w:t>
            </w:r>
            <w:r>
              <w:rPr>
                <w:rFonts w:ascii="宋体" w:hAnsi="宋体" w:cs="宋体"/>
                <w:szCs w:val="21"/>
              </w:rPr>
              <w:t>CMA和CNAS标志的第三方检测机构出具的以下食材的检测报告（每份报告的检测项目均须包含但不限于以下的检测内容），且检测结果为合格（或符合或达标或未检出或其他同等结论，如检测项目出现“-”“/”类结论的不计分）：</w:t>
            </w:r>
          </w:p>
          <w:p>
            <w:pPr>
              <w:wordWrap w:val="0"/>
              <w:rPr>
                <w:rFonts w:hint="eastAsia" w:ascii="宋体" w:hAnsi="宋体" w:cs="宋体"/>
                <w:szCs w:val="21"/>
              </w:rPr>
            </w:pPr>
            <w:r>
              <w:rPr>
                <w:rFonts w:ascii="宋体" w:hAnsi="宋体" w:cs="宋体"/>
                <w:szCs w:val="21"/>
              </w:rPr>
              <w:t>①成品菜类：</w:t>
            </w:r>
          </w:p>
          <w:p>
            <w:pPr>
              <w:wordWrap w:val="0"/>
              <w:rPr>
                <w:rFonts w:hint="eastAsia" w:ascii="宋体" w:hAnsi="宋体" w:cs="宋体"/>
                <w:szCs w:val="21"/>
              </w:rPr>
            </w:pPr>
            <w:r>
              <w:rPr>
                <w:rFonts w:ascii="宋体" w:hAnsi="宋体" w:cs="宋体"/>
                <w:szCs w:val="21"/>
              </w:rPr>
              <w:t>检测项目包含但不限于沙门氏菌、菌落总数、大肠埃希氏菌、金黄色葡萄球菌、单核细胞增生李斯特氏菌、副溶血性弧菌，检测报告委托单位或送检单位为投标人，连续两个月每提供一份成品菜的检测报告得10分，此项最高得50分；</w:t>
            </w:r>
          </w:p>
          <w:p>
            <w:pPr>
              <w:wordWrap w:val="0"/>
              <w:rPr>
                <w:rFonts w:hint="eastAsia" w:ascii="宋体" w:hAnsi="宋体" w:cs="宋体"/>
                <w:szCs w:val="21"/>
              </w:rPr>
            </w:pPr>
            <w:r>
              <w:rPr>
                <w:rFonts w:ascii="宋体" w:hAnsi="宋体" w:cs="宋体"/>
                <w:szCs w:val="21"/>
              </w:rPr>
              <w:t>2、投标人具备食材检测设施设备，其中包括①农药残留检测仪、②兽药残留检测仪、③食品重金属检测仪、④ATP荧光检测仪、⑤亚硝酸盐检测仪、⑥肉类水分检测仪、⑦食用油类检测仪、⑧瘦肉精检测仪、⑨餐用具清洗消毒检测仪，得50分，缺一项仪器不得分。</w:t>
            </w:r>
            <w:r>
              <w:rPr>
                <w:rFonts w:hint="eastAsia" w:ascii="宋体" w:hAnsi="宋体" w:cs="宋体"/>
                <w:szCs w:val="21"/>
              </w:rPr>
              <w:t>证明文件：</w:t>
            </w:r>
          </w:p>
          <w:p>
            <w:pPr>
              <w:wordWrap w:val="0"/>
              <w:rPr>
                <w:rFonts w:hint="eastAsia" w:ascii="宋体" w:hAnsi="宋体" w:cs="宋体"/>
                <w:color w:val="0000FF"/>
                <w:szCs w:val="21"/>
              </w:rPr>
            </w:pPr>
            <w:r>
              <w:rPr>
                <w:rFonts w:hint="eastAsia" w:ascii="宋体" w:hAnsi="宋体" w:cs="宋体"/>
                <w:color w:val="0000FF"/>
                <w:szCs w:val="21"/>
              </w:rPr>
              <w:t>1、第 1 项投标时同时提供：①由第三方检验检测机构出具并加盖（或带有）CMA和CNAS标志的检验检测报告扫描件，原件备查；②上述检验检测报告</w:t>
            </w:r>
            <w:r>
              <w:rPr>
                <w:rFonts w:ascii="宋体" w:hAnsi="宋体" w:cs="宋体"/>
                <w:color w:val="0000FF"/>
                <w:szCs w:val="21"/>
              </w:rPr>
              <w:t>在全国认证认可信息公共服务平台（认e云）（http://cx.cnca.cn/）的信息查询记录截图。</w:t>
            </w:r>
            <w:r>
              <w:rPr>
                <w:rFonts w:hint="eastAsia" w:ascii="宋体" w:hAnsi="宋体" w:cs="宋体"/>
                <w:color w:val="0000FF"/>
                <w:szCs w:val="21"/>
              </w:rPr>
              <w:t>注：对应参数（检验检测项）在检验检测报告中进行标注。如检验检测报告中明确备注说明相关检验检测项不在检验检测机构CMA资质许可（认定）范围内的，不符合招标文件要求。</w:t>
            </w:r>
          </w:p>
          <w:p>
            <w:pPr>
              <w:wordWrap w:val="0"/>
              <w:rPr>
                <w:rFonts w:hint="eastAsia" w:ascii="宋体" w:hAnsi="宋体" w:cs="宋体"/>
                <w:color w:val="0000FF"/>
                <w:szCs w:val="21"/>
              </w:rPr>
            </w:pPr>
            <w:r>
              <w:rPr>
                <w:rFonts w:hint="eastAsia" w:ascii="宋体" w:hAnsi="宋体" w:cs="宋体"/>
                <w:color w:val="0000FF"/>
                <w:szCs w:val="21"/>
              </w:rPr>
              <w:t>2、</w:t>
            </w:r>
            <w:r>
              <w:rPr>
                <w:rFonts w:ascii="宋体" w:hAnsi="宋体" w:cs="宋体"/>
                <w:color w:val="0000FF"/>
                <w:szCs w:val="21"/>
              </w:rPr>
              <w:t>第2项提供：①如为自有的，提供购买发票（或购买凭证）扫描件（须能体现所有权人为投标人）；</w:t>
            </w:r>
          </w:p>
          <w:p>
            <w:pPr>
              <w:wordWrap w:val="0"/>
              <w:rPr>
                <w:rFonts w:hint="eastAsia" w:ascii="宋体" w:hAnsi="宋体" w:cs="宋体"/>
                <w:color w:val="0000FF"/>
                <w:szCs w:val="21"/>
              </w:rPr>
            </w:pPr>
            <w:r>
              <w:rPr>
                <w:rFonts w:ascii="宋体" w:hAnsi="宋体" w:cs="宋体"/>
                <w:color w:val="0000FF"/>
                <w:szCs w:val="21"/>
              </w:rPr>
              <w:t>②如为租赁的，提供租赁合同扫描件（须能体现租赁人为投标人）；</w:t>
            </w:r>
          </w:p>
          <w:p>
            <w:pPr>
              <w:autoSpaceDE w:val="0"/>
              <w:autoSpaceDN w:val="0"/>
              <w:adjustRightInd w:val="0"/>
              <w:rPr>
                <w:rFonts w:hint="eastAsia" w:ascii="宋体" w:hAnsi="宋体"/>
                <w:szCs w:val="21"/>
              </w:rPr>
            </w:pPr>
            <w:r>
              <w:rPr>
                <w:rFonts w:ascii="宋体" w:hAnsi="宋体" w:cs="宋体"/>
                <w:color w:val="0000FF"/>
                <w:szCs w:val="21"/>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5</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spacing w:val="10"/>
              </w:rPr>
              <w:t>食品安全责任</w:t>
            </w:r>
            <w:r>
              <w:rPr>
                <w:rFonts w:hint="eastAsia" w:ascii="宋体" w:hAnsi="宋体"/>
                <w:szCs w:val="21"/>
              </w:rPr>
              <w:t>险</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rPr>
                <w:rFonts w:hint="eastAsia" w:ascii="宋体" w:hAnsi="宋体"/>
                <w:szCs w:val="21"/>
              </w:rPr>
            </w:pPr>
            <w:r>
              <w:rPr>
                <w:rFonts w:hint="eastAsia" w:ascii="宋体" w:hAnsi="宋体"/>
                <w:szCs w:val="21"/>
              </w:rPr>
              <w:t>评审标准：</w:t>
            </w:r>
          </w:p>
          <w:p>
            <w:pPr>
              <w:widowControl/>
              <w:adjustRightInd w:val="0"/>
              <w:snapToGrid w:val="0"/>
              <w:spacing w:line="360" w:lineRule="auto"/>
              <w:rPr>
                <w:rStyle w:val="39"/>
                <w:rFonts w:hint="eastAsia" w:ascii="宋体" w:hAnsi="宋体" w:cs="宋体"/>
                <w:bCs/>
                <w:szCs w:val="21"/>
              </w:rPr>
            </w:pPr>
            <w:r>
              <w:rPr>
                <w:rFonts w:hint="eastAsia"/>
                <w:spacing w:val="10"/>
                <w:szCs w:val="21"/>
              </w:rPr>
              <w:t>1、投标人购买食品安全责任险（购买保险日期至招租</w:t>
            </w:r>
            <w:r>
              <w:rPr>
                <w:rStyle w:val="39"/>
                <w:rFonts w:hint="eastAsia" w:ascii="宋体" w:hAnsi="宋体" w:cs="宋体"/>
                <w:bCs/>
                <w:szCs w:val="21"/>
              </w:rPr>
              <w:t>截止之日）：</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①投保金额3亿元（含）以上且每次事故赔偿限额在3000万的，得50分；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②1.5亿元≤投保金额＜3亿元且每次事故赔偿限额在2000万的，得20分；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③5000万元≤投保金额＜1.5亿元且每次事故赔偿限额在1000万的，得10分；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④其他不得分。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提供多个保险投保金额不累计。</w:t>
            </w:r>
          </w:p>
          <w:p>
            <w:pPr>
              <w:autoSpaceDE w:val="0"/>
              <w:autoSpaceDN w:val="0"/>
              <w:adjustRightInd w:val="0"/>
              <w:rPr>
                <w:rFonts w:hint="eastAsia" w:ascii="宋体" w:hAnsi="宋体"/>
                <w:szCs w:val="21"/>
              </w:rPr>
            </w:pPr>
            <w:r>
              <w:rPr>
                <w:rFonts w:hint="eastAsia" w:ascii="宋体" w:hAnsi="宋体"/>
                <w:szCs w:val="21"/>
              </w:rPr>
              <w:t>证明文件：</w:t>
            </w:r>
          </w:p>
          <w:p>
            <w:pPr>
              <w:spacing w:line="320" w:lineRule="exact"/>
              <w:rPr>
                <w:rFonts w:hint="eastAsia" w:ascii="宋体" w:hAnsi="宋体" w:cs="宋体"/>
                <w:color w:val="0000FF"/>
                <w:szCs w:val="21"/>
              </w:rPr>
            </w:pPr>
            <w:r>
              <w:rPr>
                <w:rFonts w:hint="eastAsia" w:ascii="宋体" w:hAnsi="宋体" w:cs="宋体"/>
                <w:color w:val="0000FF"/>
                <w:szCs w:val="21"/>
              </w:rPr>
              <w:t>1、第1项：提供有效期内的保险单和相关购买保险发票。投保人必须和投标人名称一致。</w:t>
            </w:r>
          </w:p>
          <w:p>
            <w:pPr>
              <w:pStyle w:val="9"/>
              <w:rPr>
                <w:rFonts w:hint="eastAsia" w:ascii="宋体" w:hAnsi="宋体"/>
                <w:szCs w:val="21"/>
              </w:rPr>
            </w:pPr>
            <w:r>
              <w:rPr>
                <w:rFonts w:hint="eastAsia" w:ascii="宋体" w:hAnsi="宋体" w:cs="宋体"/>
                <w:color w:val="0000FF"/>
                <w:szCs w:val="21"/>
              </w:rPr>
              <w:t>2、未按要求提供相关证明材料（或相关证明材料无法判断是否符合评分要求）的不计得分，原件备查。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6</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公共（众）责任险</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hint="eastAsia" w:ascii="宋体" w:hAnsi="宋体"/>
                <w:szCs w:val="21"/>
              </w:rPr>
            </w:pPr>
            <w:r>
              <w:rPr>
                <w:rFonts w:hint="eastAsia" w:ascii="宋体" w:hAnsi="宋体"/>
                <w:szCs w:val="21"/>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rPr>
                <w:rFonts w:hint="eastAsia" w:ascii="宋体" w:hAnsi="宋体"/>
                <w:szCs w:val="21"/>
              </w:rPr>
            </w:pPr>
            <w:r>
              <w:rPr>
                <w:rFonts w:hint="eastAsia" w:ascii="宋体" w:hAnsi="宋体"/>
                <w:szCs w:val="21"/>
              </w:rPr>
              <w:t>评审标准：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投标人购买</w:t>
            </w:r>
            <w:r>
              <w:rPr>
                <w:rFonts w:hint="eastAsia" w:ascii="宋体" w:hAnsi="宋体"/>
                <w:szCs w:val="21"/>
              </w:rPr>
              <w:t>公共（众）责任险</w:t>
            </w:r>
            <w:r>
              <w:rPr>
                <w:rStyle w:val="39"/>
                <w:rFonts w:hint="eastAsia" w:ascii="宋体" w:hAnsi="宋体" w:cs="宋体"/>
                <w:bCs/>
                <w:szCs w:val="21"/>
              </w:rPr>
              <w:t>（购买保险日期至招租截止之日）：</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①投保金额3亿元（含）以上且每次事故赔偿限额在3000万的的，得50分；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②1.5亿元≤投保金额＜3亿元且每次事故赔偿限额在2000万的的，得20分；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③5000万元≤投保金额＜1.5亿元且每次事故赔偿限额在1000万的的，得10分；</w:t>
            </w:r>
          </w:p>
          <w:p>
            <w:pPr>
              <w:widowControl/>
              <w:adjustRightInd w:val="0"/>
              <w:snapToGrid w:val="0"/>
              <w:spacing w:line="360" w:lineRule="auto"/>
              <w:rPr>
                <w:rStyle w:val="39"/>
                <w:rFonts w:hint="eastAsia" w:ascii="宋体" w:hAnsi="宋体" w:cs="宋体"/>
                <w:bCs/>
                <w:szCs w:val="21"/>
              </w:rPr>
            </w:pPr>
            <w:r>
              <w:rPr>
                <w:rStyle w:val="39"/>
                <w:rFonts w:hint="eastAsia" w:ascii="宋体" w:hAnsi="宋体" w:cs="宋体"/>
                <w:bCs/>
                <w:szCs w:val="21"/>
              </w:rPr>
              <w:t>④其他不得分。</w:t>
            </w:r>
          </w:p>
          <w:p>
            <w:pPr>
              <w:autoSpaceDE w:val="0"/>
              <w:autoSpaceDN w:val="0"/>
              <w:adjustRightInd w:val="0"/>
              <w:rPr>
                <w:rFonts w:hint="eastAsia" w:ascii="宋体" w:hAnsi="宋体"/>
                <w:szCs w:val="21"/>
              </w:rPr>
            </w:pPr>
            <w:r>
              <w:rPr>
                <w:rFonts w:hint="eastAsia" w:ascii="宋体" w:hAnsi="宋体"/>
                <w:szCs w:val="21"/>
              </w:rPr>
              <w:t>证明文件：</w:t>
            </w:r>
          </w:p>
          <w:p>
            <w:pPr>
              <w:spacing w:line="320" w:lineRule="exact"/>
              <w:rPr>
                <w:rFonts w:hint="eastAsia" w:ascii="宋体" w:hAnsi="宋体" w:cs="宋体"/>
                <w:color w:val="0000FF"/>
                <w:szCs w:val="21"/>
              </w:rPr>
            </w:pPr>
            <w:r>
              <w:rPr>
                <w:rFonts w:hint="eastAsia" w:ascii="宋体" w:hAnsi="宋体" w:cs="宋体"/>
                <w:color w:val="0000FF"/>
                <w:szCs w:val="21"/>
              </w:rPr>
              <w:t>1、第1项：提供有效期内的保险单和相关购买保险发票。投保人必须和投标人名称一致。</w:t>
            </w:r>
          </w:p>
          <w:p>
            <w:pPr>
              <w:autoSpaceDE w:val="0"/>
              <w:autoSpaceDN w:val="0"/>
              <w:adjustRightInd w:val="0"/>
              <w:rPr>
                <w:rFonts w:hint="eastAsia" w:ascii="宋体" w:hAnsi="宋体"/>
                <w:szCs w:val="21"/>
              </w:rPr>
            </w:pPr>
            <w:r>
              <w:rPr>
                <w:rFonts w:hint="eastAsia" w:ascii="宋体" w:hAnsi="宋体" w:cs="宋体"/>
                <w:color w:val="0000FF"/>
                <w:szCs w:val="21"/>
              </w:rPr>
              <w:t>2、未按要求提供相关证明材料（或相关证明材料无法判断是否符合评分要求）的不计得分，原件备查。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b/>
                <w:bCs/>
                <w:szCs w:val="21"/>
              </w:rPr>
            </w:pPr>
            <w:r>
              <w:rPr>
                <w:rFonts w:ascii="宋体" w:hAnsi="宋体"/>
                <w:b/>
                <w:bCs/>
                <w:szCs w:val="21"/>
              </w:rPr>
              <w:t>4</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ascii="宋体" w:hAnsi="宋体"/>
                <w:b/>
                <w:bCs/>
                <w:szCs w:val="21"/>
              </w:rPr>
              <w:t>其他部分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hint="eastAsia" w:ascii="宋体" w:hAnsi="宋体" w:cs="宋体"/>
                <w:b/>
                <w:bCs/>
                <w:szCs w:val="21"/>
              </w:rPr>
            </w:pPr>
            <w:r>
              <w:rPr>
                <w:rFonts w:hint="eastAsia" w:ascii="宋体" w:hAnsi="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rPr>
                <w:rFonts w:hint="eastAsia" w:ascii="宋体" w:hAnsi="宋体" w:cs="宋体"/>
                <w:b/>
                <w:bCs/>
                <w:color w:val="0000FF"/>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权重</w:t>
            </w:r>
            <w:r>
              <w:rPr>
                <w:rFonts w:hint="eastAsia" w:ascii="宋体" w:hAnsi="宋体"/>
                <w:szCs w:val="21"/>
              </w:rPr>
              <w:t>（%）</w:t>
            </w:r>
          </w:p>
        </w:tc>
        <w:tc>
          <w:tcPr>
            <w:tcW w:w="49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rPr>
                <w:rFonts w:hint="eastAsia" w:ascii="宋体" w:hAnsi="宋体" w:cs="宋体"/>
                <w:b/>
                <w:bCs/>
                <w:color w:val="0000FF"/>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诚信情况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hint="eastAsia" w:ascii="宋体" w:hAnsi="宋体" w:cs="宋体"/>
                <w:szCs w:val="21"/>
              </w:rPr>
            </w:pPr>
            <w:r>
              <w:rPr>
                <w:rFonts w:ascii="宋体" w:hAnsi="宋体"/>
                <w:szCs w:val="21"/>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rPr>
                <w:rFonts w:hint="eastAsia" w:ascii="宋体" w:hAnsi="宋体" w:cs="宋体"/>
                <w:szCs w:val="21"/>
              </w:rPr>
            </w:pPr>
            <w:r>
              <w:rPr>
                <w:rFonts w:hint="eastAsia" w:ascii="宋体" w:hAnsi="宋体" w:cs="宋体"/>
                <w:szCs w:val="21"/>
              </w:rPr>
              <w:t>投标人存在</w:t>
            </w:r>
            <w:r>
              <w:rPr>
                <w:rFonts w:hint="eastAsia" w:ascii="宋体" w:hAnsi="宋体" w:cs="宋体"/>
                <w:b/>
                <w:bCs/>
                <w:szCs w:val="21"/>
              </w:rPr>
              <w:t>《深圳市财政局政府采购供应商信用信息管理办法》</w:t>
            </w:r>
            <w:r>
              <w:rPr>
                <w:rFonts w:hint="eastAsia" w:ascii="宋体" w:hAnsi="宋体" w:cs="宋体"/>
                <w:szCs w:val="21"/>
              </w:rPr>
              <w:t>（深财规〔2023〕3号）列明的</w:t>
            </w:r>
            <w:r>
              <w:rPr>
                <w:rFonts w:hint="eastAsia" w:ascii="宋体" w:hAnsi="宋体" w:cs="宋体"/>
                <w:b/>
                <w:bCs/>
                <w:szCs w:val="21"/>
              </w:rPr>
              <w:t>一般行政处罚信息</w:t>
            </w:r>
            <w:r>
              <w:rPr>
                <w:rFonts w:hint="eastAsia" w:ascii="宋体" w:hAnsi="宋体" w:cs="宋体"/>
                <w:szCs w:val="21"/>
              </w:rPr>
              <w:t>、</w:t>
            </w:r>
            <w:r>
              <w:rPr>
                <w:rFonts w:hint="eastAsia" w:ascii="宋体" w:hAnsi="宋体" w:cs="宋体"/>
                <w:b/>
                <w:bCs/>
                <w:szCs w:val="21"/>
              </w:rPr>
              <w:t>一般违法失信行为记录信息</w:t>
            </w:r>
            <w:r>
              <w:rPr>
                <w:rFonts w:hint="eastAsia" w:ascii="宋体" w:hAnsi="宋体" w:cs="宋体"/>
                <w:szCs w:val="21"/>
              </w:rPr>
              <w:t>的，本项不得分，不存在上述情形的本项得100分。投标人无需提供任何证明材料，评标过程中由工作人员向评审委员会提供有关供应商诚信查询结果。</w:t>
            </w:r>
          </w:p>
          <w:p>
            <w:pPr>
              <w:snapToGrid w:val="0"/>
              <w:spacing w:line="260" w:lineRule="exact"/>
              <w:rPr>
                <w:rFonts w:hint="eastAsia" w:ascii="宋体" w:hAnsi="宋体" w:cs="宋体"/>
                <w:szCs w:val="21"/>
              </w:rPr>
            </w:pPr>
            <w:r>
              <w:rPr>
                <w:rFonts w:hint="eastAsia" w:ascii="宋体" w:hAnsi="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84"/>
          <w:szCs w:val="84"/>
        </w:rPr>
      </w:pPr>
    </w:p>
    <w:p>
      <w:pPr>
        <w:jc w:val="center"/>
        <w:rPr>
          <w:b/>
          <w:sz w:val="84"/>
          <w:szCs w:val="84"/>
        </w:rPr>
      </w:pPr>
    </w:p>
    <w:p>
      <w:pPr>
        <w:jc w:val="center"/>
        <w:rPr>
          <w:b/>
          <w:sz w:val="84"/>
          <w:szCs w:val="84"/>
        </w:rPr>
      </w:pPr>
    </w:p>
    <w:p>
      <w:pPr>
        <w:jc w:val="center"/>
        <w:rPr>
          <w:b/>
          <w:sz w:val="120"/>
          <w:szCs w:val="120"/>
        </w:rPr>
      </w:pPr>
      <w:bookmarkStart w:id="1" w:name="_Hlk71465316"/>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pPr>
        <w:jc w:val="center"/>
        <w:rPr>
          <w:b/>
          <w:sz w:val="44"/>
          <w:szCs w:val="44"/>
        </w:rPr>
      </w:pPr>
    </w:p>
    <w:bookmarkEnd w:id="1"/>
    <w:p>
      <w:pPr>
        <w:jc w:val="center"/>
        <w:rPr>
          <w:b/>
          <w:color w:val="FF0000"/>
          <w:sz w:val="28"/>
          <w:szCs w:val="28"/>
        </w:rPr>
      </w:pPr>
      <w:r>
        <w:rPr>
          <w:rFonts w:hint="eastAsia"/>
          <w:b/>
          <w:color w:val="FF0000"/>
          <w:sz w:val="52"/>
          <w:szCs w:val="52"/>
        </w:rPr>
        <w:br w:type="page"/>
      </w:r>
    </w:p>
    <w:p>
      <w:pPr>
        <w:ind w:firstLine="3654" w:firstLineChars="1300"/>
        <w:outlineLvl w:val="0"/>
        <w:rPr>
          <w:rFonts w:hint="eastAsia" w:ascii="宋体" w:hAnsi="宋体"/>
          <w:color w:val="FF0000"/>
          <w:szCs w:val="21"/>
        </w:rPr>
      </w:pPr>
      <w:bookmarkStart w:id="2" w:name="_Hlk73564573"/>
      <w:r>
        <w:rPr>
          <w:rFonts w:hint="eastAsia" w:ascii="宋体" w:hAnsi="宋体" w:eastAsia="黑体"/>
          <w:b/>
          <w:bCs/>
          <w:color w:val="FF0000"/>
          <w:kern w:val="44"/>
          <w:sz w:val="28"/>
          <w:szCs w:val="44"/>
        </w:rPr>
        <w:t>警示条款</w:t>
      </w:r>
    </w:p>
    <w:bookmarkEnd w:id="2"/>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spacing w:line="280" w:lineRule="exact"/>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280" w:lineRule="exact"/>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spacing w:line="280" w:lineRule="exact"/>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spacing w:line="28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五、供应商在使用深圳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spacing w:line="28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为避免出现不同供应商投标文件的文件制作机器码、文件创建标识码、IP地址一致的异常情况，建议各供应商编制、上传投标文件时不要使用公共电脑设备或公共网络。</w:t>
      </w:r>
    </w:p>
    <w:p>
      <w:pPr>
        <w:spacing w:line="28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取消参与本市政府采购资格、依法吊销其营业执照等行政处罚，构成犯罪的，依法追究刑事责任</w:t>
      </w:r>
      <w:r>
        <w:rPr>
          <w:rFonts w:hint="eastAsia" w:ascii="宋体" w:hAnsi="宋体" w:eastAsia="宋体" w:cs="宋体"/>
          <w:bCs/>
          <w:color w:val="FF0000"/>
          <w:sz w:val="20"/>
          <w:szCs w:val="20"/>
        </w:rPr>
        <w:t>，请各供应商独立编制、上传投标文件，妥善保管和使用电子秘钥。</w:t>
      </w:r>
    </w:p>
    <w:p>
      <w:pPr>
        <w:snapToGrid w:val="0"/>
        <w:ind w:firstLine="420" w:firstLineChars="200"/>
        <w:jc w:val="left"/>
        <w:rPr>
          <w:rFonts w:hint="eastAsia" w:ascii="宋体" w:hAnsi="宋体" w:eastAsia="宋体" w:cs="宋体"/>
          <w:bCs/>
          <w:color w:val="FF0000"/>
          <w:szCs w:val="21"/>
        </w:rPr>
      </w:pP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72" w:firstLineChars="196"/>
        <w:rPr>
          <w:b/>
          <w:sz w:val="24"/>
          <w:szCs w:val="24"/>
        </w:rPr>
      </w:pPr>
      <w:r>
        <w:rPr>
          <w:rFonts w:hint="eastAsia"/>
          <w:b/>
          <w:sz w:val="24"/>
          <w:szCs w:val="24"/>
        </w:rPr>
        <w:tab/>
      </w:r>
      <w:r>
        <w:rPr>
          <w:rFonts w:hint="eastAsia" w:ascii="宋体" w:hAnsi="宋体"/>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hint="eastAsia"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w:t>
      </w:r>
      <w:r>
        <w:rPr>
          <w:rFonts w:hint="eastAsia" w:asciiTheme="minorEastAsia" w:hAnsiTheme="minorEastAsia" w:eastAsiaTheme="minorEastAsia" w:cstheme="minorEastAsia"/>
          <w:b w:val="0"/>
          <w:bCs/>
          <w:kern w:val="2"/>
          <w:sz w:val="24"/>
          <w:szCs w:val="24"/>
          <w:lang w:val="en-US" w:eastAsia="zh-CN" w:bidi="ar-SA"/>
        </w:rPr>
        <w:t>信行为记录名单（由供应商在《政府采购投标及履约承诺函》中作出声明）。</w:t>
      </w:r>
    </w:p>
    <w:p>
      <w:pPr>
        <w:pStyle w:val="10"/>
        <w:rPr>
          <w:rFonts w:hint="default"/>
          <w:lang w:val="en-US" w:eastAsia="zh-CN"/>
        </w:rPr>
      </w:pPr>
      <w:r>
        <w:rPr>
          <w:rFonts w:hint="eastAsia" w:asciiTheme="minorEastAsia" w:hAnsiTheme="minorEastAsia" w:eastAsiaTheme="minorEastAsia" w:cstheme="minorEastAsia"/>
          <w:b w:val="0"/>
          <w:bCs/>
          <w:kern w:val="2"/>
          <w:sz w:val="24"/>
          <w:szCs w:val="24"/>
          <w:lang w:val="en-US" w:eastAsia="zh-CN" w:bidi="ar-SA"/>
        </w:rPr>
        <w:t xml:space="preserve">   </w:t>
      </w:r>
      <w:r>
        <w:rPr>
          <w:rFonts w:hint="eastAsia" w:asciiTheme="minorEastAsia" w:hAnsiTheme="minorEastAsia" w:cstheme="minorEastAsia"/>
          <w:b w:val="0"/>
          <w:bCs/>
          <w:kern w:val="2"/>
          <w:sz w:val="24"/>
          <w:szCs w:val="24"/>
          <w:lang w:val="en-US" w:eastAsia="zh-CN" w:bidi="ar-SA"/>
        </w:rPr>
        <w:t xml:space="preserve"> </w:t>
      </w:r>
      <w:r>
        <w:rPr>
          <w:rFonts w:hint="eastAsia" w:asciiTheme="minorEastAsia" w:hAnsiTheme="minorEastAsia" w:eastAsiaTheme="minorEastAsia" w:cstheme="minorEastAsia"/>
          <w:b w:val="0"/>
          <w:bCs/>
          <w:kern w:val="2"/>
          <w:sz w:val="24"/>
          <w:szCs w:val="24"/>
          <w:lang w:val="en-US" w:eastAsia="zh-CN" w:bidi="ar-SA"/>
        </w:rPr>
        <w:t>6）不存在《深圳市财政局政府采购供应商信用信息管理办法》（深财规〔2023〕3号）列明的严重违法失信行为（由供应商在《政府采购投标及履约承诺函》中作出声明）；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snapToGrid w:val="0"/>
        <w:spacing w:line="360" w:lineRule="exact"/>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snapToGrid w:val="0"/>
        <w:spacing w:line="360" w:lineRule="exact"/>
        <w:ind w:firstLine="480" w:firstLineChars="200"/>
        <w:rPr>
          <w:rFonts w:hint="eastAsia" w:ascii="宋体" w:hAnsi="宋体" w:cs="宋体"/>
          <w:bCs/>
          <w:sz w:val="24"/>
          <w:highlight w:val="yellow"/>
        </w:rPr>
      </w:pPr>
      <w:r>
        <w:rPr>
          <w:rFonts w:hint="eastAsia" w:ascii="宋体" w:hAnsi="宋体" w:cs="宋体"/>
          <w:bCs/>
          <w:sz w:val="24"/>
          <w:highlight w:val="none"/>
        </w:rPr>
        <w:t>9）</w:t>
      </w:r>
      <w:r>
        <w:rPr>
          <w:rFonts w:hint="eastAsia" w:ascii="宋体" w:hAnsi="宋体" w:cs="宋体"/>
          <w:bCs/>
          <w:sz w:val="24"/>
        </w:rPr>
        <w:t>投标人须具备食品药品监督管理部门（或市场监督管理部门）颁发的《食品生产许可证》或《食品经营许可证》（提供有效的证书扫描件，原件备查）。</w:t>
      </w:r>
    </w:p>
    <w:p>
      <w:pPr>
        <w:snapToGrid w:val="0"/>
        <w:spacing w:line="360" w:lineRule="exact"/>
        <w:rPr>
          <w:rFonts w:hint="eastAsia" w:asciiTheme="minorEastAsia" w:hAnsiTheme="minorEastAsia" w:cstheme="minorEastAsia"/>
          <w:sz w:val="24"/>
          <w:szCs w:val="24"/>
        </w:rPr>
      </w:pPr>
    </w:p>
    <w:p>
      <w:pPr>
        <w:snapToGrid w:val="0"/>
        <w:spacing w:line="3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注：</w:t>
      </w:r>
    </w:p>
    <w:p>
      <w:pPr>
        <w:snapToGrid w:val="0"/>
        <w:spacing w:line="3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snapToGrid w:val="0"/>
        <w:spacing w:line="3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ind w:firstLine="442" w:firstLineChars="200"/>
        <w:rPr>
          <w:b/>
        </w:rPr>
      </w:pPr>
      <w:r>
        <w:rPr>
          <w:rFonts w:hint="eastAsia"/>
          <w:b/>
          <w:sz w:val="22"/>
          <w:szCs w:val="18"/>
        </w:rPr>
        <w:t>完整公告内容详见：深圳交易集团网（https://www.szexgrp.com/jyfw/zfcg-view.html?id=zfcg）</w:t>
      </w:r>
    </w:p>
    <w:p>
      <w:pPr>
        <w:widowControl/>
        <w:jc w:val="left"/>
        <w:rPr>
          <w:rFonts w:ascii="Arial" w:hAnsi="Arial" w:eastAsia="宋体" w:cs="Times New Roman"/>
          <w:b/>
          <w:color w:val="FF0000"/>
          <w:sz w:val="32"/>
          <w:szCs w:val="32"/>
        </w:rPr>
      </w:pPr>
    </w:p>
    <w:p>
      <w:pPr>
        <w:widowControl/>
        <w:jc w:val="left"/>
        <w:rPr>
          <w:rFonts w:ascii="Arial" w:hAnsi="Arial" w:eastAsia="宋体" w:cs="Times New Roman"/>
          <w:b/>
          <w:color w:val="FF0000"/>
          <w:sz w:val="32"/>
          <w:szCs w:val="32"/>
        </w:rPr>
      </w:pPr>
    </w:p>
    <w:p>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73517639"/>
      <w:bookmarkStart w:id="5" w:name="_Toc101074876"/>
      <w:bookmarkStart w:id="6" w:name="_Toc60560625"/>
      <w:bookmarkStart w:id="7" w:name="_Toc73518117"/>
      <w:bookmarkStart w:id="8" w:name="_Toc73521547"/>
      <w:bookmarkStart w:id="9" w:name="_Toc100052364"/>
      <w:bookmarkStart w:id="10" w:name="_Toc60631620"/>
      <w:bookmarkStart w:id="11" w:name="_Toc73521635"/>
      <w:r>
        <w:rPr>
          <w:rFonts w:hint="eastAsia" w:ascii="宋体" w:hAnsi="宋体" w:eastAsia="宋体" w:cs="Times New Roman"/>
          <w:b/>
          <w:bCs/>
          <w:kern w:val="0"/>
          <w:sz w:val="24"/>
          <w:szCs w:val="24"/>
        </w:rPr>
        <w:t>一、对通用条款的补充内容</w:t>
      </w:r>
    </w:p>
    <w:bookmarkEnd w:id="4"/>
    <w:bookmarkEnd w:id="5"/>
    <w:bookmarkEnd w:id="6"/>
    <w:bookmarkEnd w:id="7"/>
    <w:bookmarkEnd w:id="8"/>
    <w:bookmarkEnd w:id="9"/>
    <w:bookmarkEnd w:id="10"/>
    <w:bookmarkEnd w:id="11"/>
    <w:tbl>
      <w:tblPr>
        <w:tblStyle w:val="20"/>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b/>
                <w:bCs/>
              </w:rPr>
            </w:pPr>
            <w:r>
              <w:rPr>
                <w:rFonts w:hint="eastAsia" w:ascii="宋体" w:hAnsi="宋体"/>
                <w:b/>
                <w:bCs/>
              </w:rPr>
              <w:t>通用条款序号</w:t>
            </w:r>
          </w:p>
        </w:tc>
        <w:tc>
          <w:tcPr>
            <w:tcW w:w="1755" w:type="dxa"/>
            <w:vAlign w:val="center"/>
          </w:tcPr>
          <w:p>
            <w:pPr>
              <w:jc w:val="center"/>
              <w:rPr>
                <w:rFonts w:hint="eastAsia" w:ascii="宋体" w:hAnsi="宋体"/>
                <w:b/>
                <w:bCs/>
              </w:rPr>
            </w:pPr>
            <w:r>
              <w:rPr>
                <w:rFonts w:hint="eastAsia" w:ascii="宋体" w:hAnsi="宋体"/>
                <w:b/>
                <w:bCs/>
              </w:rPr>
              <w:t>涉及事项</w:t>
            </w:r>
          </w:p>
        </w:tc>
        <w:tc>
          <w:tcPr>
            <w:tcW w:w="6795"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hint="eastAsia" w:ascii="宋体" w:hAnsi="宋体"/>
              </w:rPr>
            </w:pPr>
            <w:r>
              <w:rPr>
                <w:rFonts w:hint="eastAsia" w:ascii="宋体" w:hAnsi="宋体" w:cs="宋体"/>
                <w:color w:val="000000"/>
                <w:kern w:val="0"/>
                <w:sz w:val="24"/>
              </w:rPr>
              <w:t>深圳市宝安中学（集团）第二实验学校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.2</w:t>
            </w:r>
          </w:p>
        </w:tc>
        <w:tc>
          <w:tcPr>
            <w:tcW w:w="1755" w:type="dxa"/>
            <w:vAlign w:val="center"/>
          </w:tcPr>
          <w:p>
            <w:pPr>
              <w:jc w:val="center"/>
              <w:rPr>
                <w:rFonts w:hint="eastAsia" w:ascii="宋体" w:hAnsi="宋体"/>
              </w:rPr>
            </w:pPr>
            <w:r>
              <w:rPr>
                <w:rFonts w:hint="eastAsia" w:ascii="宋体" w:hAnsi="宋体"/>
              </w:rPr>
              <w:t>政府集中采购机构</w:t>
            </w:r>
          </w:p>
        </w:tc>
        <w:tc>
          <w:tcPr>
            <w:tcW w:w="6795" w:type="dxa"/>
            <w:vAlign w:val="center"/>
          </w:tcPr>
          <w:p>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5</w:t>
            </w:r>
            <w:r>
              <w:rPr>
                <w:rFonts w:ascii="宋体" w:hAnsi="宋体"/>
              </w:rPr>
              <w:t>.3</w:t>
            </w:r>
          </w:p>
        </w:tc>
        <w:tc>
          <w:tcPr>
            <w:tcW w:w="1755" w:type="dxa"/>
            <w:vAlign w:val="center"/>
          </w:tcPr>
          <w:p>
            <w:pPr>
              <w:jc w:val="center"/>
              <w:rPr>
                <w:rFonts w:hint="eastAsia" w:ascii="宋体" w:hAnsi="宋体"/>
              </w:rPr>
            </w:pPr>
            <w:r>
              <w:rPr>
                <w:rFonts w:hint="eastAsia" w:ascii="宋体" w:hAnsi="宋体"/>
              </w:rPr>
              <w:t>联合体投标</w:t>
            </w:r>
          </w:p>
        </w:tc>
        <w:tc>
          <w:tcPr>
            <w:tcW w:w="6795" w:type="dxa"/>
            <w:vAlign w:val="center"/>
          </w:tcPr>
          <w:p>
            <w:pPr>
              <w:jc w:val="left"/>
              <w:rPr>
                <w:rFonts w:hint="eastAsia" w:ascii="宋体" w:hAnsi="宋体"/>
              </w:rPr>
            </w:pPr>
            <w:r>
              <w:rPr>
                <w:rFonts w:hint="eastAsia" w:ascii="宋体" w:hAnsi="宋体"/>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9</w:t>
            </w:r>
          </w:p>
        </w:tc>
        <w:tc>
          <w:tcPr>
            <w:tcW w:w="1755" w:type="dxa"/>
            <w:vAlign w:val="center"/>
          </w:tcPr>
          <w:p>
            <w:pPr>
              <w:jc w:val="center"/>
              <w:rPr>
                <w:rFonts w:hint="eastAsia" w:ascii="宋体" w:hAnsi="宋体"/>
              </w:rPr>
            </w:pPr>
            <w:r>
              <w:rPr>
                <w:rFonts w:hint="eastAsia" w:ascii="宋体" w:hAnsi="宋体"/>
              </w:rPr>
              <w:t>踏勘现场</w:t>
            </w:r>
          </w:p>
        </w:tc>
        <w:tc>
          <w:tcPr>
            <w:tcW w:w="6795" w:type="dxa"/>
            <w:vAlign w:val="center"/>
          </w:tcPr>
          <w:p>
            <w:pPr>
              <w:snapToGrid w:val="0"/>
              <w:jc w:val="left"/>
              <w:rPr>
                <w:rFonts w:hint="eastAsia"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0</w:t>
            </w:r>
          </w:p>
        </w:tc>
        <w:tc>
          <w:tcPr>
            <w:tcW w:w="1755" w:type="dxa"/>
            <w:vAlign w:val="center"/>
          </w:tcPr>
          <w:p>
            <w:pPr>
              <w:jc w:val="center"/>
              <w:rPr>
                <w:rFonts w:hint="eastAsia" w:ascii="宋体" w:hAnsi="宋体"/>
              </w:rPr>
            </w:pPr>
            <w:r>
              <w:rPr>
                <w:rFonts w:hint="eastAsia" w:ascii="宋体" w:hAnsi="宋体"/>
              </w:rPr>
              <w:t>标前会议</w:t>
            </w:r>
          </w:p>
        </w:tc>
        <w:tc>
          <w:tcPr>
            <w:tcW w:w="6795" w:type="dxa"/>
            <w:vAlign w:val="center"/>
          </w:tcPr>
          <w:p>
            <w:pPr>
              <w:jc w:val="left"/>
              <w:rPr>
                <w:rFonts w:hint="eastAsia"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hint="eastAsia" w:ascii="宋体" w:hAnsi="宋体"/>
              </w:rPr>
            </w:pPr>
            <w:r>
              <w:rPr>
                <w:rFonts w:hint="eastAsia" w:ascii="宋体" w:hAnsi="宋体"/>
              </w:rPr>
              <w:t>招标文件的澄清和修改</w:t>
            </w:r>
          </w:p>
        </w:tc>
        <w:tc>
          <w:tcPr>
            <w:tcW w:w="6795" w:type="dxa"/>
            <w:vAlign w:val="center"/>
          </w:tcPr>
          <w:p>
            <w:pPr>
              <w:jc w:val="left"/>
              <w:rPr>
                <w:rFonts w:hint="eastAsia" w:ascii="宋体" w:hAnsi="宋体"/>
              </w:rPr>
            </w:pPr>
            <w:r>
              <w:rPr>
                <w:rFonts w:hint="eastAsia" w:ascii="宋体" w:hAnsi="宋体"/>
              </w:rPr>
              <w:t>对招标文件澄清/修改时间不晚于投标截止日三日前，投标人有义务在招标期间在政府集中采购机构网站浏览与本项目有关的澄清和修改信息。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0</w:t>
            </w:r>
          </w:p>
        </w:tc>
        <w:tc>
          <w:tcPr>
            <w:tcW w:w="1755" w:type="dxa"/>
            <w:vAlign w:val="center"/>
          </w:tcPr>
          <w:p>
            <w:pPr>
              <w:jc w:val="center"/>
              <w:rPr>
                <w:rFonts w:hint="eastAsia" w:ascii="宋体" w:hAnsi="宋体"/>
              </w:rPr>
            </w:pPr>
            <w:r>
              <w:rPr>
                <w:rFonts w:hint="eastAsia" w:ascii="宋体" w:hAnsi="宋体"/>
              </w:rPr>
              <w:t>投标有效期</w:t>
            </w:r>
          </w:p>
        </w:tc>
        <w:tc>
          <w:tcPr>
            <w:tcW w:w="6795" w:type="dxa"/>
            <w:vAlign w:val="center"/>
          </w:tcPr>
          <w:p>
            <w:pPr>
              <w:jc w:val="left"/>
              <w:rPr>
                <w:rFonts w:hint="eastAsia"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2</w:t>
            </w:r>
          </w:p>
        </w:tc>
        <w:tc>
          <w:tcPr>
            <w:tcW w:w="1755" w:type="dxa"/>
            <w:vAlign w:val="center"/>
          </w:tcPr>
          <w:p>
            <w:pPr>
              <w:jc w:val="center"/>
              <w:rPr>
                <w:rFonts w:hint="eastAsia" w:ascii="宋体" w:hAnsi="宋体"/>
              </w:rPr>
            </w:pPr>
            <w:r>
              <w:rPr>
                <w:rFonts w:hint="eastAsia" w:ascii="宋体" w:hAnsi="宋体"/>
              </w:rPr>
              <w:t>投标人的替代方案</w:t>
            </w:r>
          </w:p>
        </w:tc>
        <w:tc>
          <w:tcPr>
            <w:tcW w:w="6795" w:type="dxa"/>
            <w:vAlign w:val="center"/>
          </w:tcPr>
          <w:p>
            <w:pPr>
              <w:jc w:val="left"/>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5</w:t>
            </w:r>
          </w:p>
        </w:tc>
        <w:tc>
          <w:tcPr>
            <w:tcW w:w="1755" w:type="dxa"/>
            <w:vAlign w:val="center"/>
          </w:tcPr>
          <w:p>
            <w:pPr>
              <w:jc w:val="center"/>
              <w:rPr>
                <w:rFonts w:hint="eastAsia" w:ascii="宋体" w:hAnsi="宋体"/>
              </w:rPr>
            </w:pPr>
            <w:r>
              <w:rPr>
                <w:rFonts w:hint="eastAsia" w:ascii="宋体" w:hAnsi="宋体"/>
              </w:rPr>
              <w:t>投标文件的大小</w:t>
            </w:r>
          </w:p>
        </w:tc>
        <w:tc>
          <w:tcPr>
            <w:tcW w:w="6795" w:type="dxa"/>
            <w:vAlign w:val="center"/>
          </w:tcPr>
          <w:p>
            <w:pPr>
              <w:jc w:val="left"/>
              <w:rPr>
                <w:rFonts w:hint="eastAsia"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6</w:t>
            </w:r>
          </w:p>
        </w:tc>
        <w:tc>
          <w:tcPr>
            <w:tcW w:w="1755" w:type="dxa"/>
            <w:vAlign w:val="center"/>
          </w:tcPr>
          <w:p>
            <w:pPr>
              <w:jc w:val="center"/>
              <w:rPr>
                <w:rFonts w:hint="eastAsia" w:ascii="宋体" w:hAnsi="宋体"/>
              </w:rPr>
            </w:pPr>
            <w:bookmarkStart w:id="12" w:name="_Hlk71664860"/>
            <w:r>
              <w:rPr>
                <w:rFonts w:hint="eastAsia" w:ascii="宋体" w:hAnsi="宋体"/>
              </w:rPr>
              <w:t>样品、现场演示、方案讲解</w:t>
            </w:r>
            <w:bookmarkEnd w:id="12"/>
          </w:p>
        </w:tc>
        <w:tc>
          <w:tcPr>
            <w:tcW w:w="6795" w:type="dxa"/>
            <w:vAlign w:val="center"/>
          </w:tcPr>
          <w:p>
            <w:pPr>
              <w:jc w:val="left"/>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7</w:t>
            </w:r>
          </w:p>
        </w:tc>
        <w:tc>
          <w:tcPr>
            <w:tcW w:w="1755" w:type="dxa"/>
            <w:vAlign w:val="center"/>
          </w:tcPr>
          <w:p>
            <w:pPr>
              <w:jc w:val="center"/>
              <w:rPr>
                <w:rFonts w:hint="eastAsia" w:ascii="宋体" w:hAnsi="宋体"/>
              </w:rPr>
            </w:pPr>
            <w:r>
              <w:rPr>
                <w:rFonts w:hint="eastAsia" w:ascii="宋体" w:hAnsi="宋体"/>
              </w:rPr>
              <w:t>评审方法</w:t>
            </w:r>
          </w:p>
        </w:tc>
        <w:tc>
          <w:tcPr>
            <w:tcW w:w="6795" w:type="dxa"/>
            <w:vAlign w:val="center"/>
          </w:tcPr>
          <w:p>
            <w:pPr>
              <w:jc w:val="left"/>
              <w:rPr>
                <w:rFonts w:hint="eastAsia"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8</w:t>
            </w:r>
          </w:p>
        </w:tc>
        <w:tc>
          <w:tcPr>
            <w:tcW w:w="1755" w:type="dxa"/>
            <w:vAlign w:val="center"/>
          </w:tcPr>
          <w:p>
            <w:pPr>
              <w:jc w:val="center"/>
              <w:rPr>
                <w:rFonts w:hint="eastAsia" w:ascii="宋体" w:hAnsi="宋体"/>
              </w:rPr>
            </w:pPr>
            <w:r>
              <w:rPr>
                <w:rFonts w:hint="eastAsia" w:ascii="宋体" w:hAnsi="宋体"/>
              </w:rPr>
              <w:t>定标方法</w:t>
            </w:r>
          </w:p>
        </w:tc>
        <w:tc>
          <w:tcPr>
            <w:tcW w:w="6795" w:type="dxa"/>
            <w:vAlign w:val="center"/>
          </w:tcPr>
          <w:p>
            <w:pPr>
              <w:snapToGrid w:val="0"/>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4</w:t>
            </w:r>
            <w:r>
              <w:rPr>
                <w:rFonts w:ascii="宋体" w:hAnsi="宋体"/>
              </w:rPr>
              <w:t>6</w:t>
            </w:r>
          </w:p>
        </w:tc>
        <w:tc>
          <w:tcPr>
            <w:tcW w:w="1755" w:type="dxa"/>
            <w:vAlign w:val="center"/>
          </w:tcPr>
          <w:p>
            <w:pPr>
              <w:jc w:val="center"/>
              <w:rPr>
                <w:rFonts w:hint="eastAsia" w:ascii="宋体" w:hAnsi="宋体"/>
              </w:rPr>
            </w:pPr>
            <w:r>
              <w:rPr>
                <w:rFonts w:hint="eastAsia" w:ascii="宋体" w:hAnsi="宋体"/>
              </w:rPr>
              <w:t>履约担保</w:t>
            </w:r>
          </w:p>
        </w:tc>
        <w:tc>
          <w:tcPr>
            <w:tcW w:w="6795" w:type="dxa"/>
            <w:vAlign w:val="center"/>
          </w:tcPr>
          <w:p>
            <w:pPr>
              <w:jc w:val="left"/>
              <w:rPr>
                <w:rFonts w:hint="eastAsia" w:ascii="宋体" w:hAnsi="宋体"/>
              </w:rPr>
            </w:pP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52.8</w:t>
            </w:r>
          </w:p>
        </w:tc>
        <w:tc>
          <w:tcPr>
            <w:tcW w:w="1755" w:type="dxa"/>
            <w:vAlign w:val="center"/>
          </w:tcPr>
          <w:p>
            <w:pPr>
              <w:jc w:val="center"/>
              <w:rPr>
                <w:rFonts w:hint="eastAsia" w:ascii="宋体" w:hAnsi="宋体"/>
              </w:rPr>
            </w:pPr>
            <w:r>
              <w:rPr>
                <w:rFonts w:hint="eastAsia" w:ascii="宋体" w:hAnsi="宋体"/>
              </w:rPr>
              <w:t>投诉</w:t>
            </w:r>
          </w:p>
        </w:tc>
        <w:tc>
          <w:tcPr>
            <w:tcW w:w="6795" w:type="dxa"/>
            <w:vAlign w:val="center"/>
          </w:tcPr>
          <w:p>
            <w:pPr>
              <w:jc w:val="left"/>
              <w:rPr>
                <w:rFonts w:hint="eastAsia" w:ascii="宋体" w:hAnsi="宋体"/>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pPr>
      <w:r>
        <w:rPr>
          <w:rFonts w:hint="eastAsia" w:ascii="黑体" w:hAnsi="宋体" w:eastAsia="黑体"/>
          <w:bCs/>
          <w:sz w:val="24"/>
        </w:rPr>
        <w:t>1、评标定标信息</w:t>
      </w:r>
    </w:p>
    <w:p>
      <w:pPr>
        <w:jc w:val="center"/>
      </w:pPr>
      <w:r>
        <w:rPr>
          <w:rFonts w:hint="eastAsia"/>
          <w:b/>
        </w:rPr>
        <w:t>非评定分离项目</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eastAsia="宋体"/>
              </w:rPr>
            </w:pPr>
            <w:r>
              <w:rPr>
                <w:rFonts w:hint="eastAsia"/>
              </w:rPr>
              <w:sym w:font="Wingdings" w:char="00FE"/>
            </w:r>
            <w:r>
              <w:rPr>
                <w:rFonts w:hint="eastAsia"/>
              </w:rPr>
              <w:t>综合评分法</w:t>
            </w:r>
          </w:p>
        </w:tc>
        <w:tc>
          <w:tcPr>
            <w:tcW w:w="2450" w:type="dxa"/>
          </w:tcPr>
          <w:p>
            <w:pPr>
              <w:jc w:val="center"/>
            </w:pPr>
            <w:r>
              <w:rPr>
                <w:rFonts w:hint="eastAsia" w:ascii="Times New Roman" w:eastAsia="宋体"/>
              </w:rPr>
              <w:sym w:font="Wingdings" w:char="00A8"/>
            </w:r>
            <w:r>
              <w:rPr>
                <w:rFonts w:hint="eastAsia" w:ascii="Times New Roman" w:eastAsia="宋体"/>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eastAsia="宋体"/>
              </w:rPr>
            </w:pPr>
            <w:r>
              <w:rPr>
                <w:rFonts w:hint="eastAsia"/>
              </w:rPr>
              <w:t>1</w:t>
            </w:r>
          </w:p>
        </w:tc>
        <w:tc>
          <w:tcPr>
            <w:tcW w:w="2450"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pPr>
            <w:r>
              <w:rPr>
                <w:rFonts w:hint="eastAsia"/>
              </w:rPr>
              <w:t>1</w:t>
            </w:r>
          </w:p>
        </w:tc>
      </w:tr>
    </w:tbl>
    <w:p>
      <w:pPr>
        <w:pStyle w:val="11"/>
      </w:pPr>
    </w:p>
    <w:p>
      <w:pPr>
        <w:tabs>
          <w:tab w:val="left" w:pos="720"/>
        </w:tabs>
        <w:rPr>
          <w:rFonts w:hint="eastAsia" w:ascii="黑体" w:hAnsi="宋体" w:eastAsia="黑体"/>
          <w:sz w:val="24"/>
        </w:rPr>
      </w:pPr>
      <w:r>
        <w:rPr>
          <w:rFonts w:hint="eastAsia" w:ascii="黑体" w:hAnsi="宋体" w:eastAsia="黑体"/>
          <w:sz w:val="24"/>
        </w:rPr>
        <w:t>（二）其他事项</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1、关于享受优惠政策的主体及价格扣除比例</w:t>
      </w:r>
    </w:p>
    <w:p>
      <w:pPr>
        <w:ind w:firstLine="420" w:firstLineChars="200"/>
        <w:rPr>
          <w:rFonts w:hint="eastAsia" w:ascii="宋体" w:hAnsi="宋体" w:eastAsia="宋体" w:cs="宋体"/>
          <w:szCs w:val="21"/>
        </w:rPr>
      </w:pPr>
      <w:r>
        <w:rPr>
          <w:rFonts w:hint="eastAsia" w:ascii="宋体" w:hAnsi="宋体" w:eastAsia="宋体" w:cs="宋体"/>
          <w:szCs w:val="21"/>
        </w:rPr>
        <w:t>（1）专门面向中小企业采购的项目，不再执行价格扣除比例。</w:t>
      </w:r>
    </w:p>
    <w:p>
      <w:pPr>
        <w:ind w:firstLine="420" w:firstLineChars="200"/>
        <w:rPr>
          <w:rFonts w:hint="eastAsia" w:ascii="宋体" w:hAnsi="宋体" w:eastAsia="宋体" w:cs="宋体"/>
          <w:szCs w:val="21"/>
        </w:rPr>
      </w:pPr>
      <w:r>
        <w:rPr>
          <w:rFonts w:hint="eastAsia" w:ascii="宋体" w:hAnsi="宋体" w:eastAsia="宋体" w:cs="宋体"/>
          <w:szCs w:val="21"/>
        </w:rPr>
        <w:t>（2）非专门面向中小企业采购的项目，应执行价格扣除比例：供应商提供的服务全部由优惠主体承接，则对其投标总价给予</w:t>
      </w:r>
      <w:r>
        <w:rPr>
          <w:rFonts w:hint="eastAsia" w:ascii="宋体" w:hAnsi="宋体" w:eastAsia="宋体" w:cs="宋体"/>
          <w:color w:val="FF0000"/>
          <w:szCs w:val="21"/>
          <w:u w:val="single"/>
        </w:rPr>
        <w:t xml:space="preserve">  10  %</w:t>
      </w:r>
      <w:r>
        <w:rPr>
          <w:rFonts w:hint="eastAsia" w:ascii="宋体" w:hAnsi="宋体" w:eastAsia="宋体" w:cs="宋体"/>
          <w:color w:val="000000" w:themeColor="text1"/>
          <w:szCs w:val="21"/>
          <w14:textFill>
            <w14:solidFill>
              <w14:schemeClr w14:val="tx1"/>
            </w14:solidFill>
          </w14:textFill>
        </w:rPr>
        <w:t>（10%~20%）</w:t>
      </w:r>
      <w:r>
        <w:rPr>
          <w:rFonts w:hint="eastAsia" w:ascii="宋体" w:hAnsi="宋体" w:eastAsia="宋体" w:cs="宋体"/>
          <w:szCs w:val="21"/>
        </w:rPr>
        <w:t>的扣除，用扣除后的价格参与评审。满足多项优惠政策的企业，不重复享受多项价格扣除政策。</w:t>
      </w:r>
    </w:p>
    <w:p>
      <w:pPr>
        <w:ind w:firstLine="420" w:firstLineChars="200"/>
        <w:rPr>
          <w:rFonts w:hint="eastAsia" w:ascii="宋体" w:hAnsi="宋体" w:eastAsia="宋体" w:cs="宋体"/>
          <w:szCs w:val="21"/>
        </w:rPr>
      </w:pPr>
      <w:r>
        <w:rPr>
          <w:rFonts w:hint="eastAsia" w:ascii="宋体" w:hAnsi="宋体" w:eastAsia="宋体" w:cs="宋体"/>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numPr>
          <w:ilvl w:val="0"/>
          <w:numId w:val="2"/>
        </w:numPr>
        <w:ind w:firstLine="420" w:firstLineChars="200"/>
        <w:rPr>
          <w:rFonts w:hint="eastAsia" w:ascii="宋体" w:hAnsi="宋体" w:eastAsia="宋体" w:cs="宋体"/>
          <w:szCs w:val="21"/>
        </w:rPr>
      </w:pPr>
      <w:r>
        <w:rPr>
          <w:rFonts w:hint="eastAsia" w:ascii="宋体" w:hAnsi="宋体" w:eastAsia="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Cs w:val="21"/>
        </w:rPr>
        <w:t>《中小企业声明函》中相关企业所属行业应当与采购标的所属行业相一致。</w:t>
      </w:r>
      <w:r>
        <w:rPr>
          <w:rFonts w:hint="eastAsia" w:ascii="宋体" w:hAnsi="宋体" w:eastAsia="宋体" w:cs="宋体"/>
          <w:szCs w:val="21"/>
        </w:rPr>
        <w:t>本项目采购标的（服务需求）对应的中小企业划分标准所属行业为</w:t>
      </w:r>
      <w:r>
        <w:rPr>
          <w:rFonts w:hint="eastAsia" w:ascii="宋体" w:hAnsi="宋体" w:eastAsia="宋体" w:cs="宋体"/>
          <w:color w:val="FF0000"/>
          <w:szCs w:val="21"/>
          <w:u w:val="single"/>
        </w:rPr>
        <w:t xml:space="preserve"> 餐饮业 </w:t>
      </w:r>
      <w:r>
        <w:rPr>
          <w:rFonts w:hint="eastAsia" w:ascii="宋体" w:hAnsi="宋体" w:eastAsia="宋体" w:cs="宋体"/>
          <w:szCs w:val="21"/>
        </w:rPr>
        <w:t>。</w:t>
      </w:r>
    </w:p>
    <w:p>
      <w:pPr>
        <w:numPr>
          <w:ilvl w:val="0"/>
          <w:numId w:val="2"/>
        </w:numPr>
        <w:ind w:firstLine="420" w:firstLineChars="200"/>
        <w:rPr>
          <w:rFonts w:hint="eastAsia" w:ascii="宋体" w:hAnsi="宋体" w:eastAsia="宋体" w:cs="宋体"/>
          <w:szCs w:val="21"/>
        </w:rPr>
      </w:pPr>
      <w:r>
        <w:rPr>
          <w:rFonts w:hint="eastAsia" w:ascii="宋体" w:hAnsi="宋体" w:eastAsia="宋体" w:cs="宋体"/>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hint="eastAsia"/>
        </w:rPr>
        <w:t>声明函样式见本招标文件第一册专用条款第四章“投标文件组成要求及格式”中“3、投标人情况及资格证明文件”章节提供的格式）</w:t>
      </w:r>
      <w:r>
        <w:rPr>
          <w:rFonts w:hint="eastAsia" w:ascii="宋体" w:hAnsi="宋体" w:eastAsia="宋体" w:cs="宋体"/>
          <w:szCs w:val="21"/>
        </w:rPr>
        <w:t>。</w:t>
      </w:r>
    </w:p>
    <w:p>
      <w:pPr>
        <w:numPr>
          <w:ilvl w:val="0"/>
          <w:numId w:val="2"/>
        </w:numPr>
        <w:ind w:firstLine="420" w:firstLineChars="200"/>
        <w:rPr>
          <w:rFonts w:hint="eastAsia" w:ascii="宋体" w:hAnsi="宋体" w:eastAsia="宋体" w:cs="宋体"/>
          <w:szCs w:val="21"/>
        </w:rPr>
      </w:pPr>
      <w:r>
        <w:rPr>
          <w:rFonts w:hint="eastAsia" w:ascii="宋体" w:hAnsi="宋体" w:eastAsia="宋体" w:cs="宋体"/>
          <w:szCs w:val="21"/>
        </w:rPr>
        <w:t>享受价格扣除获得政府采购合同的，小微企业不得将合同分包给大中型企业。</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2、关于政府采购订单融资政策</w:t>
      </w:r>
    </w:p>
    <w:p>
      <w:pPr>
        <w:ind w:firstLine="420" w:firstLineChars="200"/>
        <w:rPr>
          <w:rFonts w:hint="eastAsia" w:ascii="宋体" w:hAnsi="宋体" w:eastAsia="宋体" w:cs="宋体"/>
          <w:b/>
          <w:szCs w:val="21"/>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80" w:firstLineChars="200"/>
        <w:rPr>
          <w:rFonts w:hint="eastAsia" w:ascii="宋体" w:hAnsi="宋体" w:eastAsia="宋体" w:cs="宋体"/>
          <w:b/>
          <w:bCs/>
          <w:color w:val="FF0000"/>
          <w:szCs w:val="21"/>
        </w:rPr>
      </w:pPr>
      <w:r>
        <w:rPr>
          <w:rFonts w:hint="eastAsia" w:ascii="黑体" w:hAnsi="黑体" w:eastAsia="黑体" w:cs="黑体"/>
          <w:color w:val="FF0000"/>
          <w:sz w:val="24"/>
          <w:szCs w:val="24"/>
        </w:rPr>
        <w:t>3、本项目为代理服务项目，将向中标（成交）供应商收取代理服务费。</w:t>
      </w: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中标（成交）供应商在领取《中标（成交）通知书》之前须向深圳公共资源交易中心（深圳交易集团有限公司宝安分公司）交纳代理服务费。若因中标（成交）供应商交纳代理服务费所产生的时间影响到合同签订的，由中标（成交）供应商自行承担责任。代理服务费标准参照下列标准收取。</w:t>
      </w:r>
      <w:r>
        <w:rPr>
          <w:rFonts w:hint="eastAsia" w:ascii="宋体" w:hAnsi="宋体" w:eastAsia="宋体" w:cs="宋体"/>
          <w:b/>
          <w:color w:val="FF0000"/>
          <w:szCs w:val="21"/>
        </w:rPr>
        <w:t>本项目类型为</w:t>
      </w:r>
      <w:r>
        <w:rPr>
          <w:rFonts w:hint="eastAsia" w:ascii="宋体" w:hAnsi="宋体" w:eastAsia="宋体" w:cs="宋体"/>
          <w:b/>
          <w:color w:val="FF0000"/>
          <w:szCs w:val="21"/>
          <w:u w:val="single"/>
        </w:rPr>
        <w:t>服务采购</w:t>
      </w:r>
      <w:r>
        <w:rPr>
          <w:rFonts w:hint="eastAsia" w:ascii="宋体" w:hAnsi="宋体" w:eastAsia="宋体" w:cs="宋体"/>
          <w:b/>
          <w:color w:val="FF0000"/>
          <w:szCs w:val="21"/>
        </w:rPr>
        <w:t>：</w:t>
      </w: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（1）代理服务费以《中标（成交）通知书》确定的中标（成交）金额作为计算基数，按差额定率累进法计算。</w:t>
      </w: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（2）中标（成交）金额的各部分费率如下表：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中标（成交）金额</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货物采购</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服务采购</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100万元以下</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100万元（含）-500万元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1.1%</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0.8%</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500万元（含）-1000万元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0.8%</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0.45%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1000万元（含）-5000万元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0.25%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5000万元（含）-1亿元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0.25%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0.1%</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1亿元（含）-5亿元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5亿元（含）-10亿元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0.035%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0.035%</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10亿元（含）-50亿元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0.008%</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0.008%</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50亿元（含）-100亿元</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0.006%</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0.006%</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100亿元（含）以上</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0.004%</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0.004%</w:t>
            </w:r>
          </w:p>
        </w:tc>
        <w:tc>
          <w:tcPr>
            <w:tcW w:w="1799" w:type="dxa"/>
            <w:vAlign w:val="center"/>
          </w:tcPr>
          <w:p>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0.004%</w:t>
            </w:r>
          </w:p>
        </w:tc>
      </w:tr>
    </w:tbl>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备注：1.每宗交易代理服务费不低于 5000 元；</w:t>
      </w: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2.对于报总价的采购类项目，中标（成交）价为中标（成交）金额；对于报单价、折扣或费率的采购类项目，中标（成交）价为预算上限金额或经委托方与代理方确定的支付上限金额；</w:t>
      </w:r>
    </w:p>
    <w:p>
      <w:pPr>
        <w:ind w:firstLine="420" w:firstLineChars="200"/>
        <w:rPr>
          <w:rFonts w:hint="eastAsia" w:ascii="宋体" w:hAnsi="宋体" w:eastAsia="宋体" w:cs="宋体"/>
          <w:color w:val="FF0000"/>
          <w:szCs w:val="21"/>
        </w:rPr>
      </w:pP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如某货物采购项目，中标（成交）金额为600万元，总共交纳的代理服务费的具体计算过程如下：</w:t>
      </w: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3.中标（成交）供应商中标（成交）后，必须按规定采用银行对公转账方式向深圳交易集团有限公司直接交纳代理服务费，交纳信息及要求按照缴款（付款）通知书执行。</w:t>
      </w:r>
    </w:p>
    <w:p>
      <w:pPr>
        <w:pStyle w:val="10"/>
        <w:ind w:firstLine="480" w:firstLineChars="200"/>
        <w:rPr>
          <w:rFonts w:hint="eastAsia" w:ascii="宋体" w:hAnsi="宋体"/>
          <w:b w:val="0"/>
          <w:bCs w:val="0"/>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pStyle w:val="11"/>
        <w:rPr>
          <w:rFonts w:hint="eastAsia" w:ascii="宋体" w:hAnsi="宋体"/>
          <w:color w:val="FF0000"/>
          <w:szCs w:val="21"/>
        </w:rPr>
      </w:pP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20"/>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rPr>
              <w:t>预算金额（元）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sz w:val="24"/>
                <w:szCs w:val="24"/>
              </w:rPr>
            </w:pPr>
            <w:r>
              <w:rPr>
                <w:rFonts w:hint="eastAsia" w:asciiTheme="minorEastAsia" w:hAnsiTheme="minorEastAsia"/>
                <w:sz w:val="24"/>
                <w:szCs w:val="24"/>
              </w:rPr>
              <w:t>BAJYJ2024062800139F</w:t>
            </w:r>
          </w:p>
        </w:tc>
        <w:tc>
          <w:tcPr>
            <w:tcW w:w="2906" w:type="dxa"/>
            <w:tcBorders>
              <w:top w:val="single" w:color="000000" w:sz="4" w:space="0"/>
              <w:left w:val="single" w:color="000000" w:sz="4" w:space="0"/>
              <w:right w:val="single" w:color="000000" w:sz="4" w:space="0"/>
            </w:tcBorders>
            <w:vAlign w:val="center"/>
          </w:tcPr>
          <w:p>
            <w:pPr>
              <w:jc w:val="center"/>
            </w:pPr>
            <w:r>
              <w:rPr>
                <w:rFonts w:hint="eastAsia"/>
              </w:rPr>
              <w:t>宝安中学（集团）第二实验学校食堂自营管理人员托管服务项目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sz w:val="24"/>
                <w:szCs w:val="24"/>
              </w:rPr>
            </w:pPr>
            <w:r>
              <w:rPr>
                <w:rFonts w:hint="eastAsia" w:asciiTheme="minorEastAsia" w:hAnsiTheme="minorEastAsia"/>
                <w:sz w:val="24"/>
                <w:szCs w:val="24"/>
              </w:rPr>
              <w:t>601,000.00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pPr>
            <w:r>
              <w:rPr>
                <w:rFonts w:hint="eastAsia"/>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sz w:val="24"/>
                <w:szCs w:val="24"/>
              </w:rPr>
            </w:pPr>
          </w:p>
        </w:tc>
      </w:tr>
    </w:tbl>
    <w:p>
      <w:pPr>
        <w:pStyle w:val="5"/>
        <w:spacing w:before="156" w:beforeLines="50" w:after="156" w:afterLines="50"/>
        <w:jc w:val="center"/>
        <w:rPr>
          <w:rFonts w:hint="eastAsia"/>
          <w:sz w:val="32"/>
        </w:rPr>
      </w:pPr>
      <w:r>
        <w:rPr>
          <w:rFonts w:hint="eastAsia"/>
          <w:sz w:val="32"/>
        </w:rPr>
        <w:t>二、项目概况</w:t>
      </w:r>
    </w:p>
    <w:p>
      <w:pPr>
        <w:spacing w:before="156" w:beforeLines="50" w:after="156" w:afterLines="50" w:line="560" w:lineRule="exact"/>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宝安中学（集团）第二实验学校学校位于宝安区松岗街道桥山路，共有教职工90人（早餐及午餐 90 人、晚餐50 人）在校学生800名，用餐需求728人（以实际为准）。食堂己通水电，灶台、抽烟系统、蒸饭柜、消毒柜、仓库、洗菜池、餐车、餐椅、空调等配套设施齐全。本项目为食堂运营服务采购，包括管理人员、厨师、厨工、食品安全管理员、服务管理费、税费等，面向社会公开招标食堂自营管理人员托管服务供应商 1 家。</w:t>
      </w:r>
    </w:p>
    <w:p>
      <w:pPr>
        <w:pStyle w:val="5"/>
        <w:spacing w:before="156" w:beforeLines="50" w:after="156" w:afterLines="50"/>
        <w:jc w:val="center"/>
        <w:rPr>
          <w:rFonts w:hint="eastAsia"/>
          <w:sz w:val="32"/>
        </w:rPr>
      </w:pPr>
      <w:r>
        <w:rPr>
          <w:rFonts w:hint="eastAsia"/>
          <w:sz w:val="32"/>
        </w:rPr>
        <w:t>三、</w:t>
      </w:r>
      <w:bookmarkStart w:id="13" w:name="_Hlk72073432"/>
      <w:r>
        <w:rPr>
          <w:rFonts w:hint="eastAsia"/>
          <w:sz w:val="32"/>
        </w:rPr>
        <w:t>服务需求明细</w:t>
      </w:r>
      <w:bookmarkEnd w:id="13"/>
    </w:p>
    <w:tbl>
      <w:tblPr>
        <w:tblStyle w:val="20"/>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94"/>
        <w:gridCol w:w="3742"/>
        <w:gridCol w:w="816"/>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Cs/>
                <w:szCs w:val="21"/>
              </w:rPr>
            </w:pPr>
            <w:r>
              <w:rPr>
                <w:rFonts w:hint="eastAsia"/>
                <w:bCs/>
                <w:szCs w:val="21"/>
              </w:rPr>
              <w:t>序号</w:t>
            </w:r>
          </w:p>
        </w:tc>
        <w:tc>
          <w:tcPr>
            <w:tcW w:w="1194" w:type="dxa"/>
            <w:vAlign w:val="center"/>
          </w:tcPr>
          <w:p>
            <w:pPr>
              <w:jc w:val="center"/>
              <w:rPr>
                <w:bCs/>
                <w:szCs w:val="21"/>
              </w:rPr>
            </w:pPr>
            <w:r>
              <w:rPr>
                <w:rFonts w:hint="eastAsia"/>
                <w:szCs w:val="21"/>
              </w:rPr>
              <w:t>采购计划编号</w:t>
            </w:r>
          </w:p>
        </w:tc>
        <w:tc>
          <w:tcPr>
            <w:tcW w:w="3742" w:type="dxa"/>
            <w:vAlign w:val="center"/>
          </w:tcPr>
          <w:p>
            <w:pPr>
              <w:jc w:val="center"/>
              <w:rPr>
                <w:bCs/>
                <w:szCs w:val="21"/>
              </w:rPr>
            </w:pPr>
            <w:r>
              <w:rPr>
                <w:rFonts w:hint="eastAsia"/>
                <w:bCs/>
                <w:szCs w:val="21"/>
              </w:rPr>
              <w:t>服务需求名称（标的名称）</w:t>
            </w:r>
          </w:p>
        </w:tc>
        <w:tc>
          <w:tcPr>
            <w:tcW w:w="816" w:type="dxa"/>
            <w:vAlign w:val="center"/>
          </w:tcPr>
          <w:p>
            <w:pPr>
              <w:jc w:val="center"/>
              <w:rPr>
                <w:bCs/>
                <w:szCs w:val="21"/>
              </w:rPr>
            </w:pPr>
            <w:r>
              <w:rPr>
                <w:rFonts w:hint="eastAsia"/>
                <w:bCs/>
                <w:szCs w:val="21"/>
              </w:rPr>
              <w:t>数量</w:t>
            </w:r>
          </w:p>
        </w:tc>
        <w:tc>
          <w:tcPr>
            <w:tcW w:w="2038"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Cs/>
                <w:szCs w:val="21"/>
              </w:rPr>
            </w:pPr>
            <w:r>
              <w:rPr>
                <w:rFonts w:hint="eastAsia"/>
                <w:bCs/>
                <w:szCs w:val="21"/>
              </w:rPr>
              <w:t>1</w:t>
            </w:r>
          </w:p>
        </w:tc>
        <w:tc>
          <w:tcPr>
            <w:tcW w:w="1194" w:type="dxa"/>
            <w:vAlign w:val="center"/>
          </w:tcPr>
          <w:p>
            <w:pPr>
              <w:jc w:val="center"/>
              <w:rPr>
                <w:bCs/>
                <w:szCs w:val="21"/>
              </w:rPr>
            </w:pPr>
            <w:r>
              <w:rPr>
                <w:rFonts w:hint="eastAsia"/>
                <w:bCs/>
                <w:szCs w:val="21"/>
              </w:rPr>
              <w:t>BAJYJ2024062800139F</w:t>
            </w:r>
          </w:p>
        </w:tc>
        <w:tc>
          <w:tcPr>
            <w:tcW w:w="3742" w:type="dxa"/>
            <w:vAlign w:val="center"/>
          </w:tcPr>
          <w:p>
            <w:pPr>
              <w:jc w:val="center"/>
              <w:rPr>
                <w:bCs/>
                <w:szCs w:val="21"/>
              </w:rPr>
            </w:pPr>
            <w:r>
              <w:rPr>
                <w:rFonts w:hint="eastAsia"/>
                <w:bCs/>
                <w:szCs w:val="21"/>
              </w:rPr>
              <w:t>宝安中学（集团）第二实验学校食堂自营管理人员托管服务项目</w:t>
            </w:r>
          </w:p>
        </w:tc>
        <w:tc>
          <w:tcPr>
            <w:tcW w:w="816" w:type="dxa"/>
            <w:vAlign w:val="center"/>
          </w:tcPr>
          <w:p>
            <w:pPr>
              <w:jc w:val="center"/>
              <w:rPr>
                <w:bCs/>
                <w:szCs w:val="21"/>
              </w:rPr>
            </w:pPr>
            <w:r>
              <w:rPr>
                <w:rFonts w:hint="eastAsia"/>
              </w:rPr>
              <w:t>1</w:t>
            </w:r>
          </w:p>
        </w:tc>
        <w:tc>
          <w:tcPr>
            <w:tcW w:w="2038" w:type="dxa"/>
            <w:vAlign w:val="center"/>
          </w:tcPr>
          <w:p>
            <w:pPr>
              <w:jc w:val="center"/>
              <w:rPr>
                <w:bCs/>
                <w:szCs w:val="21"/>
              </w:rPr>
            </w:pPr>
            <w:r>
              <w:rPr>
                <w:rFonts w:hint="eastAsia"/>
                <w:bCs/>
                <w:szCs w:val="21"/>
              </w:rPr>
              <w:t>项</w:t>
            </w:r>
          </w:p>
        </w:tc>
      </w:tr>
    </w:tbl>
    <w:p>
      <w:pPr>
        <w:rPr>
          <w:rFonts w:hint="eastAsia" w:asciiTheme="minorEastAsia" w:hAnsiTheme="minorEastAsia"/>
          <w:bCs/>
          <w:sz w:val="24"/>
          <w:szCs w:val="24"/>
          <w:highlight w:val="yellow"/>
        </w:rPr>
      </w:pPr>
    </w:p>
    <w:p>
      <w:pPr>
        <w:ind w:firstLine="420" w:firstLineChars="200"/>
      </w:pPr>
    </w:p>
    <w:p>
      <w:pPr>
        <w:ind w:firstLine="420" w:firstLineChars="200"/>
      </w:pPr>
    </w:p>
    <w:p>
      <w:pPr>
        <w:ind w:firstLine="420" w:firstLineChars="200"/>
      </w:pPr>
    </w:p>
    <w:p>
      <w:pPr>
        <w:ind w:firstLine="420" w:firstLineChars="200"/>
      </w:pPr>
    </w:p>
    <w:p/>
    <w:p>
      <w:pPr>
        <w:ind w:firstLine="420" w:firstLineChars="200"/>
      </w:pPr>
    </w:p>
    <w:p>
      <w:pPr>
        <w:keepNext/>
        <w:keepLines/>
        <w:tabs>
          <w:tab w:val="left" w:pos="1680"/>
        </w:tabs>
        <w:spacing w:before="260" w:after="78" w:afterLines="25"/>
        <w:jc w:val="center"/>
        <w:outlineLvl w:val="2"/>
        <w:rPr>
          <w:rFonts w:ascii="Arial" w:hAnsi="Arial" w:eastAsia="宋体" w:cs="Times New Roman"/>
          <w:b/>
          <w:bCs/>
          <w:sz w:val="32"/>
          <w:szCs w:val="32"/>
        </w:rPr>
      </w:pPr>
      <w:bookmarkStart w:id="14" w:name="_Toc128884461"/>
      <w:r>
        <w:rPr>
          <w:rFonts w:hint="eastAsia" w:ascii="Arial" w:hAnsi="Arial" w:eastAsia="宋体" w:cs="Times New Roman"/>
          <w:b/>
          <w:bCs/>
          <w:sz w:val="32"/>
          <w:szCs w:val="32"/>
        </w:rPr>
        <w:t>四、实质性条款</w:t>
      </w:r>
    </w:p>
    <w:tbl>
      <w:tblPr>
        <w:tblStyle w:val="2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Pr>
          <w:p>
            <w:pPr>
              <w:jc w:val="center"/>
            </w:pPr>
            <w:r>
              <w:rPr>
                <w:rFonts w:hint="eastAsia"/>
              </w:rPr>
              <w:t>1</w:t>
            </w:r>
          </w:p>
        </w:tc>
        <w:tc>
          <w:tcPr>
            <w:tcW w:w="7483" w:type="dxa"/>
          </w:tcPr>
          <w:p>
            <w:pPr>
              <w:jc w:val="center"/>
            </w:pPr>
            <w:r>
              <w:rPr>
                <w:rFonts w:hint="eastAsia"/>
              </w:rPr>
              <w:t>本项目招标文件中所有带★号条款内容</w:t>
            </w:r>
          </w:p>
        </w:tc>
      </w:tr>
      <w:bookmarkEnd w:id="14"/>
    </w:tbl>
    <w:p>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rPr>
          <w:b/>
          <w:color w:val="FF0000"/>
        </w:rPr>
      </w:pPr>
    </w:p>
    <w:p>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★五</w:t>
      </w:r>
      <w:r>
        <w:rPr>
          <w:rFonts w:hint="eastAsia" w:ascii="Arial" w:hAnsi="Arial" w:eastAsia="宋体" w:cs="Times New Roman"/>
          <w:b/>
          <w:bCs/>
          <w:color w:val="FF0000"/>
          <w:sz w:val="32"/>
          <w:szCs w:val="32"/>
        </w:rPr>
        <w:t>、商务要求</w:t>
      </w:r>
    </w:p>
    <w:p>
      <w:pPr>
        <w:ind w:firstLine="422" w:firstLineChars="200"/>
        <w:rPr>
          <w:b/>
          <w:color w:val="FF0000"/>
          <w:szCs w:val="21"/>
        </w:rPr>
      </w:pPr>
      <w:r>
        <w:rPr>
          <w:rFonts w:hint="eastAsia"/>
          <w:b/>
          <w:color w:val="FF0000"/>
          <w:szCs w:val="21"/>
        </w:rPr>
        <w:t>本部分内容为项目正常开展的基本要求，均为★号条款要求，不作为评分准则中的评分内容，如未响应或出现负偏离的，将作投标无效处理；</w:t>
      </w:r>
    </w:p>
    <w:p>
      <w:pPr>
        <w:rPr>
          <w:b/>
          <w:color w:val="FF0000"/>
        </w:rPr>
      </w:pPr>
    </w:p>
    <w:p>
      <w:pPr>
        <w:spacing w:line="520" w:lineRule="exact"/>
        <w:ind w:firstLine="562" w:firstLineChars="200"/>
        <w:jc w:val="left"/>
        <w:rPr>
          <w:rFonts w:hint="eastAsia" w:ascii="仿宋_GB2312" w:hAnsi="华文仿宋" w:eastAsia="仿宋_GB2312"/>
          <w:sz w:val="28"/>
          <w:szCs w:val="28"/>
        </w:rPr>
      </w:pPr>
      <w:r>
        <w:rPr>
          <w:rFonts w:hint="eastAsia" w:ascii="仿宋_GB2312" w:hAnsi="华文仿宋" w:eastAsia="仿宋_GB2312"/>
          <w:b/>
          <w:sz w:val="28"/>
          <w:szCs w:val="28"/>
        </w:rPr>
        <w:t>（一）</w:t>
      </w:r>
      <w:r>
        <w:rPr>
          <w:rFonts w:hint="eastAsia" w:ascii="仿宋_GB2312" w:hAnsi="华文仿宋" w:eastAsia="仿宋_GB2312"/>
          <w:b/>
          <w:bCs/>
          <w:sz w:val="28"/>
          <w:szCs w:val="28"/>
        </w:rPr>
        <w:t>采购项目概况</w:t>
      </w:r>
      <w:r>
        <w:rPr>
          <w:rFonts w:hint="eastAsia" w:ascii="仿宋_GB2312" w:hAnsi="华文仿宋" w:eastAsia="仿宋_GB2312"/>
          <w:sz w:val="28"/>
          <w:szCs w:val="28"/>
        </w:rPr>
        <w:t>：</w:t>
      </w:r>
    </w:p>
    <w:p>
      <w:pPr>
        <w:numPr>
          <w:ilvl w:val="0"/>
          <w:numId w:val="3"/>
        </w:numPr>
        <w:spacing w:line="520" w:lineRule="exact"/>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项目名称：宝安中学（集团）第二实验学校食堂自营管理人员托管服务项目；</w:t>
      </w:r>
    </w:p>
    <w:p>
      <w:pPr>
        <w:spacing w:line="520" w:lineRule="exact"/>
        <w:ind w:left="560"/>
        <w:jc w:val="left"/>
        <w:rPr>
          <w:rFonts w:hint="eastAsia" w:ascii="仿宋_GB2312" w:hAnsi="华文仿宋" w:eastAsia="仿宋_GB2312"/>
          <w:sz w:val="28"/>
          <w:szCs w:val="28"/>
        </w:rPr>
      </w:pPr>
      <w:r>
        <w:rPr>
          <w:rFonts w:hint="eastAsia" w:ascii="仿宋_GB2312" w:hAnsi="华文仿宋" w:eastAsia="仿宋_GB2312"/>
          <w:sz w:val="28"/>
          <w:szCs w:val="28"/>
        </w:rPr>
        <w:t>2.项目简介（项目背景/服务范围）；</w:t>
      </w:r>
    </w:p>
    <w:p>
      <w:pPr>
        <w:spacing w:before="156" w:beforeLines="50" w:after="156" w:afterLines="50" w:line="560" w:lineRule="exact"/>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宝安中学（集团）第二实验学校学校位于宝安区松岗街道桥山路，共有教职工90人（早餐及午餐 90 人、晚餐50 人）在校学生800名，用餐需求728人（以实际为准）。食堂己通水电，灶台、抽烟系统、蒸饭柜、消毒柜、仓库、洗菜池、餐车、餐椅、空调等配套设施齐全。本项目为食堂运营服务采购，包括管理人员、厨师、厨工、食品安全管理员、服务管理费、税费等，面向社会公开招标食堂自营管理人员托管服务供应商 1 家。</w:t>
      </w:r>
    </w:p>
    <w:p>
      <w:pPr>
        <w:pStyle w:val="11"/>
        <w:rPr>
          <w:b/>
          <w:color w:val="FF0000"/>
        </w:rPr>
      </w:pPr>
    </w:p>
    <w:p>
      <w:pPr>
        <w:snapToGrid w:val="0"/>
        <w:spacing w:line="360" w:lineRule="auto"/>
        <w:ind w:left="562"/>
        <w:jc w:val="left"/>
        <w:rPr>
          <w:rFonts w:hint="eastAsia" w:ascii="仿宋_GB2312" w:hAnsi="华文仿宋" w:eastAsia="仿宋_GB2312"/>
          <w:sz w:val="28"/>
          <w:szCs w:val="28"/>
        </w:rPr>
      </w:pPr>
      <w:r>
        <w:rPr>
          <w:rFonts w:hint="eastAsia" w:ascii="仿宋_GB2312" w:hAnsi="华文仿宋" w:eastAsia="仿宋_GB2312"/>
          <w:b/>
          <w:bCs/>
          <w:sz w:val="28"/>
          <w:szCs w:val="28"/>
        </w:rPr>
        <w:t>（二）商务和服务条款</w:t>
      </w:r>
      <w:r>
        <w:rPr>
          <w:rFonts w:hint="eastAsia" w:ascii="仿宋_GB2312" w:hAnsi="华文仿宋" w:eastAsia="仿宋_GB2312"/>
          <w:sz w:val="28"/>
          <w:szCs w:val="28"/>
        </w:rPr>
        <w:t>：</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1、中标单位不得将本项目转包或委托他人，不能将业务分包，不能在校内搞不法经营。否则，学校有权取消中标单位在本校的服务资格，并予以经济处罚，由中标单位承担全部后果或法律责任。</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中标单位要立足为全体教职工与学生提供优质服务的思想，具有食堂运营管理的总体设想和措施，有健全的规章制度，包括人事管理、用工培训、工作规范、安全防患、卫生保障、民主管理、文明服务、价格管理等。严格服从卫生防疫部门和市场监督管理局的监督与指导，并接受学校食堂管理问题专项整治工作专班、合规委员会的监督与合理建议。如因卫生问题及其他原因引起食物中毒或其他安全事故，经公安机关、市场监督管理部门或卫生防疫部门鉴定属于</w:t>
      </w:r>
      <w:r>
        <w:rPr>
          <w:rFonts w:ascii="仿宋_GB2312" w:hAnsi="华文仿宋" w:eastAsia="仿宋_GB2312"/>
          <w:sz w:val="28"/>
          <w:szCs w:val="28"/>
        </w:rPr>
        <w:t>中标单位</w:t>
      </w:r>
      <w:r>
        <w:rPr>
          <w:rFonts w:hint="eastAsia" w:ascii="仿宋_GB2312" w:hAnsi="华文仿宋" w:eastAsia="仿宋_GB2312"/>
          <w:sz w:val="28"/>
          <w:szCs w:val="28"/>
        </w:rPr>
        <w:t>责任的，其产生的一切法律和经济责任全部由中标单位承担。</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中标单位运营人员服务所需用工必须符合《劳动合同法》要求，依法用工，并负责支付聘用人员工资、交通费、通信费、培训费、社保、住房公积金等（其中人员工资不得低于深圳市最低工资标准，且必须按照深圳市人力资源和社会保障局规定缴交食堂工作人员基本养老保险、医疗保险、生育保险、工伤保险以及住房公积金）。如发生用工纠纷，由中标单位自行承担责任。</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4、经营场地相关费用及要求。</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学校食堂通水电，配置基本厨具设备，如炉具、排烟系统、鲜风系统、油烟净化器、冰柜、大件厨具及就餐桌椅等。餐具抽检、原料抽检、学校承担相应责任的食品安全责任险和公众责任险由学校负责。</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（1）学校不收取中标单位服务场地的使用费用以及厨房设备设施的折旧费。</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（2）厨房及餐厅部分由学校提供设备，中标单位进场前应与学校对接设备清单，确认设备正常运转情况后双方签字确认。服务期间食堂运作需要增加厨具和设备等，由学校采购后移交</w:t>
      </w:r>
      <w:r>
        <w:rPr>
          <w:rFonts w:ascii="仿宋_GB2312" w:hAnsi="华文仿宋" w:eastAsia="仿宋_GB2312"/>
          <w:sz w:val="28"/>
          <w:szCs w:val="28"/>
        </w:rPr>
        <w:t>中标单位</w:t>
      </w:r>
      <w:r>
        <w:rPr>
          <w:rFonts w:hint="eastAsia" w:ascii="仿宋_GB2312" w:hAnsi="华文仿宋" w:eastAsia="仿宋_GB2312"/>
          <w:sz w:val="28"/>
          <w:szCs w:val="28"/>
        </w:rPr>
        <w:t>签字接收，食堂工作人员应严格按照设备操作规程，加强设备的维护与保养，确保其正常运行。</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（3）中标单位如需添置其它设备、进行特殊装修或改造等，须征得学校同意后方可实施。</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5、经营服务要求</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中标单位应建立基本的管理制度，主要包括厨房纪律、厨房出品制度、清洁卫生制度、员工考勤休假制度、食堂设施设备使用维护制度、技术业务考核制度、厨房会议制度、厨房日常工作检查制度等。</w:t>
      </w:r>
    </w:p>
    <w:p>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（1）人员管理要求</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按核定岗位配足配齐人员，所派驻的服务人员必须服从采购单位的指挥和管理，按采购单位要求提供服务；中标单位选派到采购单位的服务人员应当相对固定，不得随意更换服务人员，服务人员有变动时，中标单位需提前报采购单位研究同意后方可更换；如采购单位对中标单位选派的服务人员不满意提出更换要求的，中标单位必须无条件更换相同或更高级别的服务人员。</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2）中标单位制定完善的岗位职责分工及考勤、值班管理制度，服务人员必须严格遵守法律法规及采购单位的规章制度，落实文明管理服务措施，提供文明优质的服务，并自觉接受采购单位的监督。</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食堂工作人员须持有效健康证、饮食从业资格证上岗，食堂工作人员应严格执行《深圳市市场监管局关于食品经营单位切实落实疫情防控要求、加强从业人员健康管理等有关事项的通告》（深市监通告〔2022〕34号）、遵守最新版防疫指引。</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w:t>
      </w:r>
      <w:r>
        <w:rPr>
          <w:rFonts w:ascii="仿宋_GB2312" w:hAnsi="华文仿宋" w:eastAsia="仿宋_GB2312"/>
          <w:sz w:val="28"/>
          <w:szCs w:val="28"/>
        </w:rPr>
        <w:t>中标单位</w:t>
      </w:r>
      <w:r>
        <w:rPr>
          <w:rFonts w:hint="eastAsia" w:ascii="仿宋_GB2312" w:hAnsi="华文仿宋" w:eastAsia="仿宋_GB2312"/>
          <w:sz w:val="28"/>
          <w:szCs w:val="28"/>
        </w:rPr>
        <w:t>的服务人员上班时间必须统一服装，保持着装整洁、干净，保持良好的仪容仪表、精神面貌，正确使用服务用语，行为举止大方、有礼，工作积极主动、服务耐心周到，讲究服务效率；就餐期间，厨房工作人员要做好巡查，及时发现问题，及时清扫餐桌，及时补充就餐区各种饭菜等，就餐结束后及时清洁餐厅各项卫生，保持餐厅洁净。</w:t>
      </w:r>
    </w:p>
    <w:p>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（2）卫生管理要求</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1）食品卫生安全：</w:t>
      </w:r>
      <w:r>
        <w:rPr>
          <w:rFonts w:ascii="仿宋_GB2312" w:hAnsi="华文仿宋" w:eastAsia="仿宋_GB2312"/>
          <w:sz w:val="28"/>
          <w:szCs w:val="28"/>
        </w:rPr>
        <w:t>中标单位</w:t>
      </w:r>
      <w:r>
        <w:rPr>
          <w:rFonts w:hint="eastAsia" w:ascii="仿宋_GB2312" w:hAnsi="华文仿宋" w:eastAsia="仿宋_GB2312"/>
          <w:sz w:val="28"/>
          <w:szCs w:val="28"/>
        </w:rPr>
        <w:t>遵守国家有关食品、饮食业卫生安全的法律法规的规定，烹调的饭菜必须符合餐饮业的卫生管理标准，保证食品的卫生和质量，所有食品加工流程符合卫生防疫标准；必须严格执行食品留样制度，每种菜均留样，并在低温下保留48小时，以便作为卫生问题的追溯依据。随时接受采购单位的定期或不定期的检查。</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2）人员卫生：</w:t>
      </w:r>
      <w:r>
        <w:rPr>
          <w:rFonts w:ascii="仿宋_GB2312" w:hAnsi="华文仿宋" w:eastAsia="仿宋_GB2312"/>
          <w:sz w:val="28"/>
          <w:szCs w:val="28"/>
        </w:rPr>
        <w:t>中标单位</w:t>
      </w:r>
      <w:r>
        <w:rPr>
          <w:rFonts w:hint="eastAsia" w:ascii="仿宋_GB2312" w:hAnsi="华文仿宋" w:eastAsia="仿宋_GB2312"/>
          <w:sz w:val="28"/>
          <w:szCs w:val="28"/>
        </w:rPr>
        <w:t>的服务人员进入厨房作业区必须穿着统一的工作服，工作服保持整洁干净，禁止穿工作服离开厨房、食堂做与制作饭菜无关的工作；工作人员做好个人卫生，不留长指甲，工作前或工作中接触脏物后必须洗手，不得对着食物咳嗽、打喷嚏，不能用工作服擦鼻涕、擦汗、擦手或厨具等，不能随地吐痰；工作人员穿着工作服，工作服保持整洁干净；工作人员搬送菜肴和餐具前必须洗手。</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3）厨房卫生环境：</w:t>
      </w:r>
      <w:r>
        <w:rPr>
          <w:rFonts w:ascii="仿宋_GB2312" w:hAnsi="华文仿宋" w:eastAsia="仿宋_GB2312"/>
          <w:sz w:val="28"/>
          <w:szCs w:val="28"/>
        </w:rPr>
        <w:t>中标单位</w:t>
      </w:r>
      <w:r>
        <w:rPr>
          <w:rFonts w:hint="eastAsia" w:ascii="仿宋_GB2312" w:hAnsi="华文仿宋" w:eastAsia="仿宋_GB2312"/>
          <w:sz w:val="28"/>
          <w:szCs w:val="28"/>
        </w:rPr>
        <w:t>要明确厨房作业分区，标注明晰，物品归类有序；食品原料新鲜，分类分架存放，离墙隔地，防尘防蝇；加工食品生与熟、成品与半成品、食品与杂物隔离存放；配菜与出菜盘专用，标志明显；生、熟食物的盛用容器、刀具等严格区分，不得混用；刀具无锈，工具保持清洁、定位存放；每餐后台面地面要及时擦扫干净，厨具每天用专用的消毒剂进行处理，再用高温消毒柜进行全面消毒；保持厨房操作间排水畅通，不积存脏水污物，厨房地面、墙壁、门窗、桌椅清洁无油污，无灰尘，无杂物，干净整齐；餐厨垃圾要按规定及时处理。</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4）就餐区卫生环境：</w:t>
      </w:r>
      <w:r>
        <w:rPr>
          <w:rFonts w:ascii="仿宋_GB2312" w:hAnsi="华文仿宋" w:eastAsia="仿宋_GB2312"/>
          <w:sz w:val="28"/>
          <w:szCs w:val="28"/>
        </w:rPr>
        <w:t>中标单位</w:t>
      </w:r>
      <w:r>
        <w:rPr>
          <w:rFonts w:hint="eastAsia" w:ascii="仿宋_GB2312" w:hAnsi="华文仿宋" w:eastAsia="仿宋_GB2312"/>
          <w:sz w:val="28"/>
          <w:szCs w:val="28"/>
        </w:rPr>
        <w:t>要保证餐厅餐桌椅摆放整齐、桌上物品摆放有序；餐厅地面、墙壁无污物；餐具整洁干净，摆放有序，每餐洗净后及时进行消毒。</w:t>
      </w:r>
    </w:p>
    <w:p>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（3）菜式出品要求</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饮食菜谱：中标单位应制定科学的饮食菜谱，保障食堂供餐的质量和选择需求；中标单位应当于每周四前将制订好的下周食谱报采购单位，经采购单位确认同意后予以实施；中标单位应定期对食堂就餐人员的口味进行调查，调整菜式口味以满足就餐人员的需求和变化，保障人员用餐满意度。</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2）菜式品种：保障菜式多样化，根据采购单位实际需求进行调整配置。</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菜肴质量：中标单位须全程控制菜肴制作过程的安全卫生，防止外熟内生，确保无食物中毒或因食物引起的其他不良反应；菜肴新鲜，色泽良好，无过期及腐烂变质的食物；控制油及其他调味品用量，菜肴品种齐全，营养搭配合理；菜肴口味好，咸淡适中，并保证饭菜热度；配餐过程中要时刻防止污染，将食品安全可靠地提供给采购方；菜肴及时更新，一周内不出现2次以上完全相同品种菜肴，根据季节及工作需要调整就餐菜式，保证每月推出3款时令菜；根据就餐情况，合理提供菜肴，杜绝浪费。</w:t>
      </w:r>
    </w:p>
    <w:p>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（4）安全生产管理要求</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1）中标单位须遵循“安全第一、预防为主”的方针，遵守国家有关安全生产的法律、法规，制订切实可行的安全生产管理制度、操作规程和应急预案等，落实食堂安全生产管理主体责任。</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中标单位负责经营场所的消防安全工作，服从学校职能部门的统一管理，确保消防安全无事故。要加强用电、明火及燃气的安全管理，做好定期和日常的食堂安全检查，严禁私自乱接乱拉电线、严禁员工在厨房、燃气房内吸烟等不安全行为，对排查出来的安全隐患要及时报告采购单位，并负责整改工作。</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3）中标单位应随时接受采购单位、主管卫生安全等政府部门的安全卫生检查，尊重采购单位的检查人员，并积极配合，及时改正不完善的地方。</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4）中标单位应当依法做好从业人员的安全教育培训工作，增强员工的法制观念，提高员工的安全生产意识和自我保护的能力，督促员工自觉遵守安全制度。</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5）中标单位在承包期内，若严重违反安全生产管理制度造成安全事故或在饮食中造成中毒事故且影响恶劣的，采购单位有权依法提前解除合约，并依法追究中标单位的法律责任及要求相应的经济赔偿。</w:t>
      </w:r>
    </w:p>
    <w:p>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（5）其他事项</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所有的工作人员须具备正确进行食物制作的知识和普通食物中毒的救治知识，万一发生食物中毒，及时就地急救，并及时联系医院治疗，同时报告采购单位；服务期间因中标单位管理不善或工作程序不当等责任原因，引起卫生、安全事故等，造成人员伤害或财产损失的，采购单位有权以无法履约为由终止运营服务，因此而产生的损失及违约责任由中标单位承担。</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采购单位承担以下费用：食堂、厨房四害消杀，厨房油烟管道，除味设备清洗费用；食堂、厨房加工制作所发生的水、电、燃料等费用；食堂餐巾纸、牙签等消耗品费用；食堂清洁剂、消毒剂、去污剂等清洁用品费用。中标单位负责所有派驻服务人员的工作制服费。</w:t>
      </w:r>
    </w:p>
    <w:p>
      <w:pPr>
        <w:pStyle w:val="13"/>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3）教工食堂如遇停水、停电等突发情况，</w:t>
      </w:r>
      <w:r>
        <w:rPr>
          <w:rFonts w:ascii="仿宋_GB2312" w:hAnsi="华文仿宋" w:eastAsia="仿宋_GB2312"/>
          <w:sz w:val="28"/>
          <w:szCs w:val="28"/>
        </w:rPr>
        <w:t>中标单位</w:t>
      </w:r>
      <w:r>
        <w:rPr>
          <w:rFonts w:hint="eastAsia" w:ascii="仿宋_GB2312" w:hAnsi="华文仿宋" w:eastAsia="仿宋_GB2312"/>
          <w:sz w:val="28"/>
          <w:szCs w:val="28"/>
        </w:rPr>
        <w:t>必须积极配合学校解决就餐问题。</w:t>
      </w:r>
    </w:p>
    <w:p>
      <w:pPr>
        <w:pStyle w:val="13"/>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4）因各类考试、节假日加班（放假）等特殊情况的，学校应及时通知</w:t>
      </w:r>
      <w:r>
        <w:rPr>
          <w:rFonts w:ascii="仿宋_GB2312" w:hAnsi="华文仿宋" w:eastAsia="仿宋_GB2312"/>
          <w:sz w:val="28"/>
          <w:szCs w:val="28"/>
        </w:rPr>
        <w:t>中标单位</w:t>
      </w:r>
      <w:r>
        <w:rPr>
          <w:rFonts w:hint="eastAsia" w:ascii="仿宋_GB2312" w:hAnsi="华文仿宋" w:eastAsia="仿宋_GB2312"/>
          <w:sz w:val="28"/>
          <w:szCs w:val="28"/>
        </w:rPr>
        <w:t>用餐规模等，</w:t>
      </w:r>
      <w:r>
        <w:rPr>
          <w:rFonts w:ascii="仿宋_GB2312" w:hAnsi="华文仿宋" w:eastAsia="仿宋_GB2312"/>
          <w:sz w:val="28"/>
          <w:szCs w:val="28"/>
        </w:rPr>
        <w:t>中标单位</w:t>
      </w:r>
      <w:r>
        <w:rPr>
          <w:rFonts w:hint="eastAsia" w:ascii="仿宋_GB2312" w:hAnsi="华文仿宋" w:eastAsia="仿宋_GB2312"/>
          <w:sz w:val="28"/>
          <w:szCs w:val="28"/>
        </w:rPr>
        <w:t>应按照学校要求提供食品加工服务，以免造成浪费或供餐不足。</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5）食堂内部各种公示栏的样式、材料必须经学校认可，与学校食堂装修风格协调一致。</w:t>
      </w:r>
    </w:p>
    <w:p>
      <w:pPr>
        <w:pStyle w:val="13"/>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6）项目中食堂服务人员住宿问题原则上由</w:t>
      </w:r>
      <w:r>
        <w:rPr>
          <w:rFonts w:ascii="仿宋_GB2312" w:hAnsi="华文仿宋" w:eastAsia="仿宋_GB2312"/>
          <w:sz w:val="28"/>
          <w:szCs w:val="28"/>
        </w:rPr>
        <w:t>中标单位</w:t>
      </w:r>
      <w:r>
        <w:rPr>
          <w:rFonts w:hint="eastAsia" w:ascii="仿宋_GB2312" w:hAnsi="华文仿宋" w:eastAsia="仿宋_GB2312"/>
          <w:sz w:val="28"/>
          <w:szCs w:val="28"/>
        </w:rPr>
        <w:t>自行解决，特殊情况可与学校商讨住宿事宜，最终以学校意见为准。</w:t>
      </w:r>
    </w:p>
    <w:p>
      <w:pPr>
        <w:snapToGrid w:val="0"/>
        <w:spacing w:line="360" w:lineRule="auto"/>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三、项目预算</w:t>
      </w:r>
    </w:p>
    <w:p>
      <w:pPr>
        <w:snapToGrid w:val="0"/>
        <w:spacing w:line="360" w:lineRule="auto"/>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1、本项目预算控制金额为： 387559.60 元，此为壹年的教职工食堂托管服务预算费用。</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2、本项目服务费用采用包干制，应包括用人成本、服务成本、法定税费和企业利润。一经中标，合同金额在履约期间不作调整。</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3、供应商应充分考虑投标报价的风险，不得期望通过索赔等方式获取补偿，否则，除可能遭到拒绝外，还可能将被作为不良行为记录在案，并可能影响其以后参加政府采购的项目投标资格。</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4、供应商的投标报价，应是本项目招标文件所列的各项内容中所述的全部，不得以任何理由予以重复，并以供应商在投标书中提出的综合单价或总价为依据。</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w:t>
      </w:r>
      <w:r>
        <w:rPr>
          <w:rFonts w:ascii="仿宋_GB2312" w:hAnsi="华文仿宋" w:eastAsia="仿宋_GB2312"/>
          <w:sz w:val="28"/>
          <w:szCs w:val="28"/>
        </w:rPr>
        <w:t>标段划分（学校根据实际情况编制）</w:t>
      </w:r>
    </w:p>
    <w:tbl>
      <w:tblPr>
        <w:tblStyle w:val="20"/>
        <w:tblW w:w="8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380"/>
        <w:gridCol w:w="1365"/>
        <w:gridCol w:w="135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96" w:type="dxa"/>
            <w:shd w:val="clear" w:color="auto" w:fill="FFFFFF"/>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标段划分</w:t>
            </w:r>
          </w:p>
        </w:tc>
        <w:tc>
          <w:tcPr>
            <w:tcW w:w="1380" w:type="dxa"/>
            <w:shd w:val="clear" w:color="auto" w:fill="FFFFFF"/>
            <w:vAlign w:val="center"/>
          </w:tcPr>
          <w:p>
            <w:pPr>
              <w:snapToGrid w:val="0"/>
              <w:spacing w:line="360" w:lineRule="auto"/>
              <w:jc w:val="center"/>
              <w:rPr>
                <w:rFonts w:hint="eastAsia" w:ascii="仿宋_GB2312" w:hAnsi="华文仿宋" w:eastAsia="仿宋_GB2312"/>
                <w:sz w:val="28"/>
                <w:szCs w:val="28"/>
              </w:rPr>
            </w:pPr>
            <w:r>
              <w:rPr>
                <w:rFonts w:ascii="仿宋_GB2312" w:hAnsi="华文仿宋" w:eastAsia="仿宋_GB2312"/>
                <w:sz w:val="28"/>
                <w:szCs w:val="28"/>
              </w:rPr>
              <w:t>运营场所</w:t>
            </w:r>
          </w:p>
        </w:tc>
        <w:tc>
          <w:tcPr>
            <w:tcW w:w="1365" w:type="dxa"/>
            <w:shd w:val="clear" w:color="auto" w:fill="FFFFFF"/>
            <w:vAlign w:val="center"/>
          </w:tcPr>
          <w:p>
            <w:pPr>
              <w:snapToGrid w:val="0"/>
              <w:spacing w:line="360" w:lineRule="auto"/>
              <w:jc w:val="center"/>
              <w:rPr>
                <w:rFonts w:hint="eastAsia" w:ascii="仿宋_GB2312" w:hAnsi="华文仿宋" w:eastAsia="仿宋_GB2312"/>
                <w:sz w:val="28"/>
                <w:szCs w:val="28"/>
              </w:rPr>
            </w:pPr>
            <w:r>
              <w:rPr>
                <w:rFonts w:ascii="仿宋_GB2312" w:hAnsi="华文仿宋" w:eastAsia="仿宋_GB2312"/>
                <w:sz w:val="28"/>
                <w:szCs w:val="28"/>
              </w:rPr>
              <w:t>教工用餐人数</w:t>
            </w:r>
          </w:p>
        </w:tc>
        <w:tc>
          <w:tcPr>
            <w:tcW w:w="1350" w:type="dxa"/>
            <w:shd w:val="clear" w:color="auto" w:fill="FFFFFF"/>
            <w:vAlign w:val="center"/>
          </w:tcPr>
          <w:p>
            <w:pPr>
              <w:snapToGrid w:val="0"/>
              <w:spacing w:line="360" w:lineRule="auto"/>
              <w:jc w:val="center"/>
              <w:rPr>
                <w:rFonts w:hint="eastAsia" w:ascii="仿宋_GB2312" w:hAnsi="华文仿宋" w:eastAsia="仿宋_GB2312"/>
                <w:sz w:val="28"/>
                <w:szCs w:val="28"/>
              </w:rPr>
            </w:pPr>
            <w:r>
              <w:rPr>
                <w:rFonts w:ascii="仿宋_GB2312" w:hAnsi="华文仿宋" w:eastAsia="仿宋_GB2312"/>
                <w:sz w:val="28"/>
                <w:szCs w:val="28"/>
              </w:rPr>
              <w:t>学生用餐人数</w:t>
            </w:r>
          </w:p>
        </w:tc>
        <w:tc>
          <w:tcPr>
            <w:tcW w:w="1395" w:type="dxa"/>
            <w:shd w:val="clear" w:color="auto" w:fill="FFFFFF"/>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学生餐中餐</w:t>
            </w:r>
            <w:r>
              <w:rPr>
                <w:rFonts w:ascii="仿宋_GB2312" w:hAnsi="华文仿宋" w:eastAsia="仿宋_GB2312"/>
                <w:sz w:val="28"/>
                <w:szCs w:val="28"/>
              </w:rPr>
              <w:t>标准</w:t>
            </w:r>
          </w:p>
        </w:tc>
        <w:tc>
          <w:tcPr>
            <w:tcW w:w="1395" w:type="dxa"/>
            <w:shd w:val="clear" w:color="auto" w:fill="FFFFFF"/>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96" w:type="dxa"/>
            <w:vAlign w:val="center"/>
          </w:tcPr>
          <w:p>
            <w:pPr>
              <w:widowControl/>
              <w:snapToGrid w:val="0"/>
              <w:spacing w:line="360" w:lineRule="auto"/>
              <w:jc w:val="center"/>
              <w:textAlignment w:val="center"/>
              <w:rPr>
                <w:rFonts w:hint="eastAsia" w:ascii="仿宋_GB2312" w:hAnsi="华文仿宋" w:eastAsia="仿宋_GB2312"/>
                <w:sz w:val="28"/>
                <w:szCs w:val="28"/>
              </w:rPr>
            </w:pPr>
            <w:r>
              <w:rPr>
                <w:rFonts w:hint="eastAsia" w:ascii="仿宋_GB2312" w:hAnsi="华文仿宋" w:eastAsia="仿宋_GB2312"/>
                <w:sz w:val="28"/>
                <w:szCs w:val="28"/>
              </w:rPr>
              <w:t>一标段</w:t>
            </w:r>
          </w:p>
        </w:tc>
        <w:tc>
          <w:tcPr>
            <w:tcW w:w="1380" w:type="dxa"/>
            <w:vAlign w:val="center"/>
          </w:tcPr>
          <w:p>
            <w:pPr>
              <w:widowControl/>
              <w:snapToGrid w:val="0"/>
              <w:spacing w:line="360" w:lineRule="auto"/>
              <w:jc w:val="center"/>
              <w:textAlignment w:val="center"/>
              <w:rPr>
                <w:rFonts w:hint="eastAsia" w:ascii="仿宋_GB2312" w:hAnsi="华文仿宋" w:eastAsia="仿宋_GB2312"/>
                <w:sz w:val="28"/>
                <w:szCs w:val="28"/>
              </w:rPr>
            </w:pPr>
            <w:r>
              <w:rPr>
                <w:rFonts w:hint="eastAsia" w:ascii="仿宋_GB2312" w:hAnsi="华文仿宋" w:eastAsia="仿宋_GB2312"/>
                <w:sz w:val="28"/>
                <w:szCs w:val="28"/>
              </w:rPr>
              <w:t>餐厅</w:t>
            </w:r>
          </w:p>
        </w:tc>
        <w:tc>
          <w:tcPr>
            <w:tcW w:w="1365" w:type="dxa"/>
            <w:vAlign w:val="center"/>
          </w:tcPr>
          <w:p>
            <w:pPr>
              <w:widowControl/>
              <w:snapToGrid w:val="0"/>
              <w:spacing w:line="360" w:lineRule="auto"/>
              <w:jc w:val="center"/>
              <w:textAlignment w:val="center"/>
              <w:rPr>
                <w:rFonts w:hint="eastAsia" w:ascii="仿宋_GB2312" w:hAnsi="华文仿宋" w:eastAsia="仿宋_GB2312"/>
                <w:sz w:val="28"/>
                <w:szCs w:val="28"/>
              </w:rPr>
            </w:pPr>
            <w:r>
              <w:rPr>
                <w:rFonts w:hint="eastAsia" w:ascii="仿宋_GB2312" w:hAnsi="华文仿宋" w:eastAsia="仿宋_GB2312"/>
                <w:sz w:val="28"/>
                <w:szCs w:val="28"/>
              </w:rPr>
              <w:t>90</w:t>
            </w:r>
          </w:p>
        </w:tc>
        <w:tc>
          <w:tcPr>
            <w:tcW w:w="1350" w:type="dxa"/>
            <w:vAlign w:val="center"/>
          </w:tcPr>
          <w:p>
            <w:pPr>
              <w:widowControl/>
              <w:snapToGrid w:val="0"/>
              <w:spacing w:line="360" w:lineRule="auto"/>
              <w:jc w:val="center"/>
              <w:textAlignment w:val="center"/>
              <w:rPr>
                <w:rFonts w:hint="eastAsia" w:ascii="仿宋_GB2312" w:hAnsi="华文仿宋" w:eastAsia="仿宋_GB2312"/>
                <w:sz w:val="28"/>
                <w:szCs w:val="28"/>
              </w:rPr>
            </w:pPr>
            <w:r>
              <w:rPr>
                <w:rFonts w:hint="eastAsia" w:ascii="仿宋_GB2312" w:hAnsi="华文仿宋" w:eastAsia="仿宋_GB2312"/>
                <w:sz w:val="28"/>
                <w:szCs w:val="28"/>
              </w:rPr>
              <w:t>728</w:t>
            </w:r>
          </w:p>
        </w:tc>
        <w:tc>
          <w:tcPr>
            <w:tcW w:w="1395" w:type="dxa"/>
            <w:vAlign w:val="center"/>
          </w:tcPr>
          <w:p>
            <w:pPr>
              <w:widowControl/>
              <w:snapToGrid w:val="0"/>
              <w:spacing w:line="360" w:lineRule="auto"/>
              <w:jc w:val="center"/>
              <w:textAlignment w:val="center"/>
              <w:rPr>
                <w:rFonts w:hint="eastAsia" w:ascii="仿宋_GB2312" w:hAnsi="华文仿宋" w:eastAsia="仿宋_GB2312"/>
                <w:sz w:val="28"/>
                <w:szCs w:val="28"/>
              </w:rPr>
            </w:pPr>
            <w:r>
              <w:rPr>
                <w:rFonts w:hint="eastAsia" w:ascii="仿宋_GB2312" w:hAnsi="华文仿宋" w:eastAsia="仿宋_GB2312"/>
                <w:sz w:val="28"/>
                <w:szCs w:val="28"/>
              </w:rPr>
              <w:t>18元</w:t>
            </w:r>
          </w:p>
        </w:tc>
        <w:tc>
          <w:tcPr>
            <w:tcW w:w="1395" w:type="dxa"/>
            <w:vAlign w:val="center"/>
          </w:tcPr>
          <w:p>
            <w:pPr>
              <w:widowControl/>
              <w:snapToGrid w:val="0"/>
              <w:spacing w:line="360" w:lineRule="auto"/>
              <w:jc w:val="center"/>
              <w:textAlignment w:val="center"/>
              <w:rPr>
                <w:rFonts w:hint="eastAsia" w:ascii="仿宋_GB2312" w:hAnsi="华文仿宋" w:eastAsia="仿宋_GB2312"/>
                <w:sz w:val="28"/>
                <w:szCs w:val="28"/>
              </w:rPr>
            </w:pPr>
          </w:p>
        </w:tc>
      </w:tr>
    </w:tbl>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6、</w:t>
      </w:r>
      <w:r>
        <w:rPr>
          <w:rFonts w:ascii="仿宋_GB2312" w:hAnsi="华文仿宋" w:eastAsia="仿宋_GB2312"/>
          <w:sz w:val="28"/>
          <w:szCs w:val="28"/>
        </w:rPr>
        <w:t>教工食堂</w:t>
      </w:r>
      <w:r>
        <w:rPr>
          <w:rFonts w:hint="eastAsia" w:ascii="仿宋_GB2312" w:hAnsi="华文仿宋" w:eastAsia="仿宋_GB2312"/>
          <w:sz w:val="28"/>
          <w:szCs w:val="28"/>
        </w:rPr>
        <w:t>人员配置：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31"/>
        <w:gridCol w:w="15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序号</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职位名称</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数量</w:t>
            </w:r>
          </w:p>
        </w:tc>
        <w:tc>
          <w:tcPr>
            <w:tcW w:w="2435"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项目负责人</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435" w:type="dxa"/>
            <w:vAlign w:val="center"/>
          </w:tcPr>
          <w:p>
            <w:pPr>
              <w:snapToGrid w:val="0"/>
              <w:spacing w:line="360" w:lineRule="auto"/>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2</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厨师</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435" w:type="dxa"/>
            <w:vAlign w:val="center"/>
          </w:tcPr>
          <w:p>
            <w:pPr>
              <w:snapToGrid w:val="0"/>
              <w:spacing w:line="360" w:lineRule="auto"/>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3</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厨工</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2</w:t>
            </w:r>
          </w:p>
        </w:tc>
        <w:tc>
          <w:tcPr>
            <w:tcW w:w="2435" w:type="dxa"/>
            <w:vAlign w:val="center"/>
          </w:tcPr>
          <w:p>
            <w:pPr>
              <w:pStyle w:val="19"/>
              <w:snapToGrid w:val="0"/>
              <w:spacing w:after="0" w:line="360" w:lineRule="auto"/>
              <w:ind w:left="0" w:leftChars="0" w:firstLine="0" w:firstLineChars="0"/>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27" w:type="dxa"/>
            <w:gridSpan w:val="2"/>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合计</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4</w:t>
            </w:r>
          </w:p>
        </w:tc>
        <w:tc>
          <w:tcPr>
            <w:tcW w:w="2435" w:type="dxa"/>
            <w:vAlign w:val="center"/>
          </w:tcPr>
          <w:p>
            <w:pPr>
              <w:snapToGrid w:val="0"/>
              <w:spacing w:line="360" w:lineRule="auto"/>
              <w:jc w:val="center"/>
              <w:rPr>
                <w:rFonts w:hint="eastAsia" w:ascii="仿宋_GB2312" w:hAnsi="华文仿宋" w:eastAsia="仿宋_GB2312"/>
                <w:sz w:val="28"/>
                <w:szCs w:val="28"/>
              </w:rPr>
            </w:pPr>
          </w:p>
        </w:tc>
      </w:tr>
    </w:tbl>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学生餐人员配置（参考教职工食堂人员配置）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31"/>
        <w:gridCol w:w="15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序号</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职位名称</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数量</w:t>
            </w:r>
          </w:p>
        </w:tc>
        <w:tc>
          <w:tcPr>
            <w:tcW w:w="2435"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食堂主管</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435"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可选配置人员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2</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财务人员</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435"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可选配置人员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3</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厨师</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3</w:t>
            </w:r>
          </w:p>
        </w:tc>
        <w:tc>
          <w:tcPr>
            <w:tcW w:w="2435" w:type="dxa"/>
            <w:vAlign w:val="center"/>
          </w:tcPr>
          <w:p>
            <w:pPr>
              <w:snapToGrid w:val="0"/>
              <w:spacing w:line="360" w:lineRule="auto"/>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4</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面点</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435" w:type="dxa"/>
            <w:vAlign w:val="center"/>
          </w:tcPr>
          <w:p>
            <w:pPr>
              <w:snapToGrid w:val="0"/>
              <w:spacing w:line="360" w:lineRule="auto"/>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5</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厨工</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6</w:t>
            </w:r>
          </w:p>
        </w:tc>
        <w:tc>
          <w:tcPr>
            <w:tcW w:w="2435" w:type="dxa"/>
            <w:vAlign w:val="center"/>
          </w:tcPr>
          <w:p>
            <w:pPr>
              <w:pStyle w:val="19"/>
              <w:snapToGrid w:val="0"/>
              <w:spacing w:after="0" w:line="360" w:lineRule="auto"/>
              <w:ind w:left="0" w:leftChars="0" w:firstLine="0" w:firstLineChars="0"/>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6</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服务员</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2</w:t>
            </w:r>
          </w:p>
        </w:tc>
        <w:tc>
          <w:tcPr>
            <w:tcW w:w="2435" w:type="dxa"/>
            <w:vAlign w:val="center"/>
          </w:tcPr>
          <w:p>
            <w:pPr>
              <w:pStyle w:val="19"/>
              <w:snapToGrid w:val="0"/>
              <w:spacing w:after="0" w:line="360" w:lineRule="auto"/>
              <w:ind w:left="0" w:leftChars="0" w:firstLine="0" w:firstLineChars="0"/>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7</w:t>
            </w:r>
          </w:p>
        </w:tc>
        <w:tc>
          <w:tcPr>
            <w:tcW w:w="3331"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安全管理员</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435" w:type="dxa"/>
            <w:vAlign w:val="center"/>
          </w:tcPr>
          <w:p>
            <w:pPr>
              <w:pStyle w:val="19"/>
              <w:snapToGrid w:val="0"/>
              <w:spacing w:after="0" w:line="360" w:lineRule="auto"/>
              <w:ind w:left="0" w:leftChars="0" w:firstLine="0" w:firstLineChars="0"/>
              <w:rPr>
                <w:rFonts w:hint="eastAsia" w:ascii="仿宋_GB2312" w:hAnsi="华文仿宋" w:eastAsia="仿宋_GB2312"/>
                <w:sz w:val="28"/>
                <w:szCs w:val="28"/>
              </w:rPr>
            </w:pPr>
            <w:r>
              <w:rPr>
                <w:rFonts w:hint="eastAsia" w:ascii="仿宋_GB2312" w:hAnsi="华文仿宋" w:eastAsia="仿宋_GB2312"/>
                <w:sz w:val="28"/>
                <w:szCs w:val="28"/>
              </w:rPr>
              <w:t>根据教师食堂情况可选配置人员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27" w:type="dxa"/>
            <w:gridSpan w:val="2"/>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合计</w:t>
            </w:r>
          </w:p>
        </w:tc>
        <w:tc>
          <w:tcPr>
            <w:tcW w:w="1516" w:type="dxa"/>
            <w:vAlign w:val="center"/>
          </w:tcPr>
          <w:p>
            <w:pPr>
              <w:snapToGrid w:val="0"/>
              <w:spacing w:line="360" w:lineRule="auto"/>
              <w:jc w:val="center"/>
              <w:rPr>
                <w:rFonts w:hint="eastAsia" w:ascii="仿宋_GB2312" w:hAnsi="华文仿宋" w:eastAsia="仿宋_GB2312"/>
                <w:sz w:val="28"/>
                <w:szCs w:val="28"/>
              </w:rPr>
            </w:pPr>
            <w:r>
              <w:rPr>
                <w:rFonts w:hint="eastAsia" w:ascii="仿宋_GB2312" w:hAnsi="华文仿宋" w:eastAsia="仿宋_GB2312"/>
                <w:sz w:val="28"/>
                <w:szCs w:val="28"/>
              </w:rPr>
              <w:t>15</w:t>
            </w:r>
          </w:p>
        </w:tc>
        <w:tc>
          <w:tcPr>
            <w:tcW w:w="2435" w:type="dxa"/>
            <w:vAlign w:val="center"/>
          </w:tcPr>
          <w:p>
            <w:pPr>
              <w:snapToGrid w:val="0"/>
              <w:spacing w:line="360" w:lineRule="auto"/>
              <w:jc w:val="center"/>
              <w:rPr>
                <w:rFonts w:hint="eastAsia" w:ascii="仿宋_GB2312" w:hAnsi="华文仿宋" w:eastAsia="仿宋_GB2312"/>
                <w:sz w:val="28"/>
                <w:szCs w:val="28"/>
              </w:rPr>
            </w:pPr>
          </w:p>
        </w:tc>
      </w:tr>
    </w:tbl>
    <w:p>
      <w:pPr>
        <w:pStyle w:val="19"/>
        <w:snapToGrid w:val="0"/>
        <w:spacing w:after="0" w:line="360" w:lineRule="auto"/>
        <w:ind w:firstLine="560"/>
        <w:rPr>
          <w:rFonts w:hint="eastAsia" w:ascii="仿宋_GB2312" w:hAnsi="华文仿宋" w:eastAsia="仿宋_GB2312"/>
          <w:sz w:val="28"/>
          <w:szCs w:val="28"/>
        </w:rPr>
      </w:pPr>
      <w:r>
        <w:rPr>
          <w:rFonts w:hint="eastAsia" w:ascii="仿宋_GB2312" w:hAnsi="华文仿宋" w:eastAsia="仿宋_GB2312"/>
          <w:sz w:val="28"/>
          <w:szCs w:val="28"/>
        </w:rPr>
        <w:t>说明：</w:t>
      </w:r>
    </w:p>
    <w:p>
      <w:pPr>
        <w:snapToGrid w:val="0"/>
        <w:spacing w:line="360" w:lineRule="auto"/>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（1）学生餐费收取：餐费由家委会收齐后存至学校基本账户，学校根据实际情况统一管理与支出并且定期公示各项支出明细。</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学生餐运营服务费费用：学生餐总收入的33%（占学生餐费三分之一左右，填写具体比例）以内用于支付中标单位的学生餐运营服务费，学生餐运营服务费应包括用人成本、服务成本、法定税费和企业利润。一经中标，合同金额在履约期间可以根据就餐学生人数及收费情况进行调整。</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四、合同期限</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1、本项目为长期服务类项目，本次招标服务期限为12个月，本项目最长服务期限为36个月。即本项目一招三年，合同一年一签。一年合同期满后，如果运营托管服务获得学校</w:t>
      </w:r>
      <w:r>
        <w:rPr>
          <w:rFonts w:ascii="仿宋_GB2312" w:hAnsi="华文仿宋" w:eastAsia="仿宋_GB2312"/>
          <w:sz w:val="28"/>
          <w:szCs w:val="28"/>
        </w:rPr>
        <w:t>教职工与学生</w:t>
      </w:r>
      <w:r>
        <w:rPr>
          <w:rFonts w:hint="eastAsia" w:ascii="仿宋_GB2312" w:hAnsi="华文仿宋" w:eastAsia="仿宋_GB2312"/>
          <w:sz w:val="28"/>
          <w:szCs w:val="28"/>
        </w:rPr>
        <w:t>好评，满意度高，日常考核优良以上，</w:t>
      </w:r>
      <w:r>
        <w:rPr>
          <w:rFonts w:ascii="仿宋_GB2312" w:hAnsi="华文仿宋" w:eastAsia="仿宋_GB2312"/>
          <w:sz w:val="28"/>
          <w:szCs w:val="28"/>
        </w:rPr>
        <w:t>按学校议事规则规定</w:t>
      </w:r>
      <w:r>
        <w:rPr>
          <w:rFonts w:hint="eastAsia" w:ascii="仿宋_GB2312" w:hAnsi="华文仿宋" w:eastAsia="仿宋_GB2312"/>
          <w:sz w:val="28"/>
          <w:szCs w:val="28"/>
        </w:rPr>
        <w:t>讨论通过后可续签，续签不</w:t>
      </w:r>
      <w:r>
        <w:rPr>
          <w:rFonts w:ascii="仿宋_GB2312" w:hAnsi="华文仿宋" w:eastAsia="仿宋_GB2312"/>
          <w:sz w:val="28"/>
          <w:szCs w:val="28"/>
        </w:rPr>
        <w:t>得</w:t>
      </w:r>
      <w:r>
        <w:rPr>
          <w:rFonts w:hint="eastAsia" w:ascii="仿宋_GB2312" w:hAnsi="华文仿宋" w:eastAsia="仿宋_GB2312"/>
          <w:sz w:val="28"/>
          <w:szCs w:val="28"/>
        </w:rPr>
        <w:t>超过两次，即总服务时间不超过3年（36个月）。</w:t>
      </w:r>
    </w:p>
    <w:p>
      <w:pPr>
        <w:pStyle w:val="9"/>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w:t>
      </w:r>
      <w:r>
        <w:rPr>
          <w:rFonts w:ascii="仿宋_GB2312" w:hAnsi="华文仿宋" w:eastAsia="仿宋_GB2312"/>
          <w:sz w:val="28"/>
          <w:szCs w:val="28"/>
        </w:rPr>
        <w:t>中标单位</w:t>
      </w:r>
      <w:r>
        <w:rPr>
          <w:rFonts w:hint="eastAsia" w:ascii="仿宋_GB2312" w:hAnsi="华文仿宋" w:eastAsia="仿宋_GB2312"/>
          <w:sz w:val="28"/>
          <w:szCs w:val="28"/>
        </w:rPr>
        <w:t>因不能正常履约</w:t>
      </w:r>
      <w:r>
        <w:rPr>
          <w:rFonts w:ascii="仿宋_GB2312" w:hAnsi="华文仿宋" w:eastAsia="仿宋_GB2312"/>
          <w:sz w:val="28"/>
          <w:szCs w:val="28"/>
        </w:rPr>
        <w:t>、</w:t>
      </w:r>
      <w:r>
        <w:rPr>
          <w:rFonts w:hint="eastAsia" w:ascii="仿宋_GB2312" w:hAnsi="华文仿宋" w:eastAsia="仿宋_GB2312"/>
          <w:sz w:val="28"/>
          <w:szCs w:val="28"/>
        </w:rPr>
        <w:t>履约过程造成学校</w:t>
      </w:r>
      <w:r>
        <w:rPr>
          <w:rFonts w:ascii="仿宋_GB2312" w:hAnsi="华文仿宋" w:eastAsia="仿宋_GB2312"/>
          <w:sz w:val="28"/>
          <w:szCs w:val="28"/>
        </w:rPr>
        <w:t>教职工与学生</w:t>
      </w:r>
      <w:r>
        <w:rPr>
          <w:rFonts w:hint="eastAsia" w:ascii="仿宋_GB2312" w:hAnsi="华文仿宋" w:eastAsia="仿宋_GB2312"/>
          <w:sz w:val="28"/>
          <w:szCs w:val="28"/>
        </w:rPr>
        <w:t>满意度低或给学校带来其他严重负面影响和损失的，学校有权解除合同，一切损失由</w:t>
      </w:r>
      <w:r>
        <w:rPr>
          <w:rFonts w:ascii="仿宋_GB2312" w:hAnsi="华文仿宋" w:eastAsia="仿宋_GB2312"/>
          <w:sz w:val="28"/>
          <w:szCs w:val="28"/>
        </w:rPr>
        <w:t>中标单位</w:t>
      </w:r>
      <w:r>
        <w:rPr>
          <w:rFonts w:hint="eastAsia" w:ascii="仿宋_GB2312" w:hAnsi="华文仿宋" w:eastAsia="仿宋_GB2312"/>
          <w:sz w:val="28"/>
          <w:szCs w:val="28"/>
        </w:rPr>
        <w:t>承担。因政策性因素需要终止合同，双方无条件解除合同，双方不负有相关责任。</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3、满意度调查由学校组织，原则上每季度进行</w:t>
      </w:r>
      <w:r>
        <w:rPr>
          <w:rFonts w:ascii="仿宋_GB2312" w:hAnsi="华文仿宋" w:eastAsia="仿宋_GB2312"/>
          <w:sz w:val="28"/>
          <w:szCs w:val="28"/>
        </w:rPr>
        <w:t xml:space="preserve"> </w:t>
      </w:r>
      <w:r>
        <w:rPr>
          <w:rFonts w:hint="eastAsia" w:ascii="仿宋_GB2312" w:hAnsi="华文仿宋" w:eastAsia="仿宋_GB2312"/>
          <w:sz w:val="28"/>
          <w:szCs w:val="28"/>
        </w:rPr>
        <w:t>1</w:t>
      </w:r>
      <w:r>
        <w:rPr>
          <w:rFonts w:ascii="仿宋_GB2312" w:hAnsi="华文仿宋" w:eastAsia="仿宋_GB2312"/>
          <w:sz w:val="28"/>
          <w:szCs w:val="28"/>
        </w:rPr>
        <w:t xml:space="preserve"> </w:t>
      </w:r>
      <w:r>
        <w:rPr>
          <w:rFonts w:hint="eastAsia" w:ascii="仿宋_GB2312" w:hAnsi="华文仿宋" w:eastAsia="仿宋_GB2312"/>
          <w:sz w:val="28"/>
          <w:szCs w:val="28"/>
        </w:rPr>
        <w:t>次，满意率应达到</w:t>
      </w:r>
      <w:r>
        <w:rPr>
          <w:rFonts w:ascii="仿宋_GB2312" w:hAnsi="华文仿宋" w:eastAsia="仿宋_GB2312"/>
          <w:sz w:val="28"/>
          <w:szCs w:val="28"/>
        </w:rPr>
        <w:t xml:space="preserve">  </w:t>
      </w:r>
      <w:r>
        <w:rPr>
          <w:rFonts w:hint="eastAsia" w:ascii="仿宋_GB2312" w:hAnsi="华文仿宋" w:eastAsia="仿宋_GB2312"/>
          <w:sz w:val="28"/>
          <w:szCs w:val="28"/>
        </w:rPr>
        <w:t>80</w:t>
      </w:r>
      <w:r>
        <w:rPr>
          <w:rFonts w:ascii="仿宋_GB2312" w:hAnsi="华文仿宋" w:eastAsia="仿宋_GB2312"/>
          <w:sz w:val="28"/>
          <w:szCs w:val="28"/>
        </w:rPr>
        <w:t xml:space="preserve"> </w:t>
      </w:r>
      <w:r>
        <w:rPr>
          <w:rFonts w:hint="eastAsia" w:ascii="仿宋_GB2312" w:hAnsi="华文仿宋" w:eastAsia="仿宋_GB2312"/>
          <w:sz w:val="28"/>
          <w:szCs w:val="28"/>
        </w:rPr>
        <w:t>%（含）以上，如果</w:t>
      </w:r>
      <w:r>
        <w:rPr>
          <w:rFonts w:ascii="仿宋_GB2312" w:hAnsi="华文仿宋" w:eastAsia="仿宋_GB2312"/>
          <w:sz w:val="28"/>
          <w:szCs w:val="28"/>
        </w:rPr>
        <w:t xml:space="preserve">合同履约期间 </w:t>
      </w:r>
      <w:r>
        <w:rPr>
          <w:rFonts w:hint="eastAsia" w:ascii="仿宋_GB2312" w:hAnsi="华文仿宋" w:eastAsia="仿宋_GB2312"/>
          <w:sz w:val="28"/>
          <w:szCs w:val="28"/>
        </w:rPr>
        <w:t>2</w:t>
      </w:r>
      <w:r>
        <w:rPr>
          <w:rFonts w:ascii="仿宋_GB2312" w:hAnsi="华文仿宋" w:eastAsia="仿宋_GB2312"/>
          <w:sz w:val="28"/>
          <w:szCs w:val="28"/>
        </w:rPr>
        <w:t xml:space="preserve"> </w:t>
      </w:r>
      <w:r>
        <w:rPr>
          <w:rFonts w:hint="eastAsia" w:ascii="仿宋_GB2312" w:hAnsi="华文仿宋" w:eastAsia="仿宋_GB2312"/>
          <w:sz w:val="28"/>
          <w:szCs w:val="28"/>
        </w:rPr>
        <w:t>次达不到该满意率，学校有权解除合同。</w:t>
      </w:r>
    </w:p>
    <w:p>
      <w:pPr>
        <w:snapToGrid w:val="0"/>
        <w:spacing w:line="360" w:lineRule="auto"/>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五、付款方式</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1、本项目</w:t>
      </w:r>
      <w:r>
        <w:rPr>
          <w:rFonts w:ascii="仿宋_GB2312" w:hAnsi="华文仿宋" w:eastAsia="仿宋_GB2312"/>
          <w:sz w:val="28"/>
          <w:szCs w:val="28"/>
        </w:rPr>
        <w:t>服务</w:t>
      </w:r>
      <w:r>
        <w:rPr>
          <w:rFonts w:hint="eastAsia" w:ascii="仿宋_GB2312" w:hAnsi="华文仿宋" w:eastAsia="仿宋_GB2312"/>
          <w:sz w:val="28"/>
          <w:szCs w:val="28"/>
        </w:rPr>
        <w:t>费用按</w:t>
      </w:r>
      <w:r>
        <w:rPr>
          <w:rFonts w:ascii="仿宋_GB2312" w:hAnsi="华文仿宋" w:eastAsia="仿宋_GB2312"/>
          <w:sz w:val="28"/>
          <w:szCs w:val="28"/>
        </w:rPr>
        <w:t>宝安区国库集中支付及其他有关规定</w:t>
      </w:r>
      <w:r>
        <w:rPr>
          <w:rFonts w:hint="eastAsia" w:ascii="仿宋_GB2312" w:hAnsi="华文仿宋" w:eastAsia="仿宋_GB2312"/>
          <w:sz w:val="28"/>
          <w:szCs w:val="28"/>
        </w:rPr>
        <w:t>，凭</w:t>
      </w:r>
      <w:r>
        <w:rPr>
          <w:rFonts w:ascii="仿宋_GB2312" w:hAnsi="华文仿宋" w:eastAsia="仿宋_GB2312"/>
          <w:sz w:val="28"/>
          <w:szCs w:val="28"/>
        </w:rPr>
        <w:t>中标单位</w:t>
      </w:r>
      <w:r>
        <w:rPr>
          <w:rFonts w:hint="eastAsia" w:ascii="仿宋_GB2312" w:hAnsi="华文仿宋" w:eastAsia="仿宋_GB2312"/>
          <w:sz w:val="28"/>
          <w:szCs w:val="28"/>
        </w:rPr>
        <w:t>开具</w:t>
      </w:r>
      <w:r>
        <w:rPr>
          <w:rFonts w:ascii="仿宋_GB2312" w:hAnsi="华文仿宋" w:eastAsia="仿宋_GB2312"/>
          <w:sz w:val="28"/>
          <w:szCs w:val="28"/>
        </w:rPr>
        <w:t>的</w:t>
      </w:r>
      <w:r>
        <w:rPr>
          <w:rFonts w:hint="eastAsia" w:ascii="仿宋_GB2312" w:hAnsi="华文仿宋" w:eastAsia="仿宋_GB2312"/>
          <w:sz w:val="28"/>
          <w:szCs w:val="28"/>
        </w:rPr>
        <w:t>完税发票按月支付</w:t>
      </w:r>
      <w:r>
        <w:rPr>
          <w:rFonts w:ascii="仿宋_GB2312" w:hAnsi="华文仿宋" w:eastAsia="仿宋_GB2312"/>
          <w:sz w:val="28"/>
          <w:szCs w:val="28"/>
        </w:rPr>
        <w:t>。因财政审批程序或国库集中支付程序缘故</w:t>
      </w:r>
      <w:r>
        <w:rPr>
          <w:rFonts w:hint="eastAsia" w:ascii="仿宋_GB2312" w:hAnsi="华文仿宋" w:eastAsia="仿宋_GB2312"/>
          <w:sz w:val="28"/>
          <w:szCs w:val="28"/>
        </w:rPr>
        <w:t>导致付款迟延的，采购人不承担任何责任，供应商应当继续</w:t>
      </w:r>
      <w:r>
        <w:rPr>
          <w:rFonts w:ascii="仿宋_GB2312" w:hAnsi="华文仿宋" w:eastAsia="仿宋_GB2312"/>
          <w:sz w:val="28"/>
          <w:szCs w:val="28"/>
        </w:rPr>
        <w:t>履约</w:t>
      </w:r>
      <w:r>
        <w:rPr>
          <w:rFonts w:hint="eastAsia" w:ascii="仿宋_GB2312" w:hAnsi="华文仿宋" w:eastAsia="仿宋_GB2312"/>
          <w:sz w:val="28"/>
          <w:szCs w:val="28"/>
        </w:rPr>
        <w:t>。</w:t>
      </w:r>
    </w:p>
    <w:p>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2、学生费用</w:t>
      </w:r>
      <w:r>
        <w:rPr>
          <w:rFonts w:ascii="仿宋_GB2312" w:hAnsi="华文仿宋" w:eastAsia="仿宋_GB2312"/>
          <w:sz w:val="28"/>
          <w:szCs w:val="28"/>
        </w:rPr>
        <w:t>由学校食堂管理问题专项整治工作专班与</w:t>
      </w:r>
      <w:r>
        <w:rPr>
          <w:rFonts w:hint="eastAsia" w:ascii="仿宋_GB2312" w:hAnsi="华文仿宋" w:eastAsia="仿宋_GB2312"/>
          <w:sz w:val="28"/>
          <w:szCs w:val="28"/>
        </w:rPr>
        <w:t>家委</w:t>
      </w:r>
      <w:r>
        <w:rPr>
          <w:rFonts w:ascii="仿宋_GB2312" w:hAnsi="华文仿宋" w:eastAsia="仿宋_GB2312"/>
          <w:sz w:val="28"/>
          <w:szCs w:val="28"/>
        </w:rPr>
        <w:t>协商确定。</w:t>
      </w: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rFonts w:hint="eastAsia" w:ascii="仿宋_GB2312" w:hAnsi="华文仿宋" w:eastAsia="仿宋_GB2312"/>
          <w:sz w:val="28"/>
          <w:szCs w:val="28"/>
        </w:rPr>
      </w:pPr>
    </w:p>
    <w:p>
      <w:pPr>
        <w:jc w:val="center"/>
        <w:outlineLvl w:val="2"/>
        <w:rPr>
          <w:b/>
          <w:sz w:val="32"/>
          <w:szCs w:val="32"/>
        </w:rPr>
      </w:pPr>
      <w:r>
        <w:rPr>
          <w:rFonts w:hint="eastAsia"/>
          <w:b/>
          <w:sz w:val="32"/>
          <w:szCs w:val="32"/>
        </w:rPr>
        <w:t>五、其他重要条款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7"/>
        <w:spacing w:before="78" w:beforeLines="25" w:after="78"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rPr>
        <w:t>4</w:t>
      </w:r>
      <w:r>
        <w:rPr>
          <w:rFonts w:hint="eastAsia"/>
          <w:bCs/>
          <w:szCs w:val="21"/>
        </w:rPr>
        <w:t>、除政府采购合同继续履行将损害国家利益和社会公共利益外，双方当事人不得擅自变更、中止或者终止合同。</w:t>
      </w:r>
    </w:p>
    <w:p>
      <w:pPr>
        <w:ind w:firstLine="420" w:firstLineChars="200"/>
        <w:rPr>
          <w:rFonts w:eastAsia="宋体"/>
          <w:bCs/>
          <w:szCs w:val="21"/>
        </w:rPr>
      </w:pPr>
      <w:r>
        <w:rPr>
          <w:rFonts w:hint="eastAsia" w:ascii="Times New Roman" w:eastAsia="宋体"/>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rPr>
        <w:t>。</w:t>
      </w:r>
    </w:p>
    <w:p>
      <w:pPr>
        <w:pStyle w:val="11"/>
        <w:rPr>
          <w:bCs/>
          <w:szCs w:val="21"/>
        </w:rPr>
      </w:pPr>
    </w:p>
    <w:p>
      <w:pPr>
        <w:pStyle w:val="11"/>
        <w:rPr>
          <w:bCs/>
          <w:szCs w:val="21"/>
        </w:rPr>
      </w:pPr>
    </w:p>
    <w:p>
      <w:pPr>
        <w:widowControl/>
        <w:jc w:val="left"/>
        <w:rPr>
          <w:rFonts w:hint="eastAsia"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rPr>
          <w:rFonts w:ascii="黑体" w:eastAsia="黑体"/>
          <w:b/>
          <w:bCs/>
          <w:color w:val="FF0000"/>
          <w:sz w:val="28"/>
        </w:rPr>
      </w:pPr>
      <w:r>
        <w:rPr>
          <w:rFonts w:hint="eastAsia" w:ascii="黑体" w:eastAsia="黑体"/>
          <w:b/>
          <w:bCs/>
          <w:color w:val="FF0000"/>
          <w:sz w:val="28"/>
        </w:rPr>
        <w:t>特别提醒：</w:t>
      </w:r>
    </w:p>
    <w:p>
      <w:pPr>
        <w:ind w:firstLine="480" w:firstLineChars="200"/>
        <w:rPr>
          <w:rFonts w:hint="eastAsia" w:ascii="宋体" w:hAnsi="宋体" w:eastAsia="宋体" w:cs="宋体"/>
          <w:sz w:val="24"/>
        </w:rPr>
      </w:pPr>
      <w:r>
        <w:rPr>
          <w:rFonts w:hint="eastAsia" w:ascii="宋体" w:hAnsi="宋体" w:eastAsia="宋体" w:cs="宋体"/>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黑体" w:eastAsia="黑体"/>
          <w:b/>
          <w:bCs/>
          <w:color w:val="FF0000"/>
          <w:sz w:val="28"/>
        </w:rPr>
      </w:pPr>
      <w:r>
        <w:rPr>
          <w:rFonts w:hint="eastAsia" w:ascii="宋体" w:hAnsi="宋体" w:eastAsia="宋体" w:cs="宋体"/>
          <w:sz w:val="24"/>
        </w:rPr>
        <w:t xml:space="preserve">    投标文件正文（信息公开部分）必须编制于“正文（公开部分）”部分，投标文件附件（非信息公开部分）必须编制于“附件（不公开部分）”部分</w:t>
      </w:r>
      <w:r>
        <w:rPr>
          <w:rFonts w:hint="eastAsia" w:ascii="仿宋_GB2312" w:eastAsia="仿宋_GB2312"/>
          <w:sz w:val="24"/>
        </w:rPr>
        <w:t>。</w:t>
      </w:r>
    </w:p>
    <w:p>
      <w:pPr>
        <w:ind w:firstLine="480" w:firstLineChars="200"/>
        <w:rPr>
          <w:rFonts w:hint="eastAsia" w:ascii="宋体" w:hAnsi="宋体" w:eastAsia="宋体" w:cs="Times New Roman"/>
          <w:b/>
          <w:color w:val="FF0000"/>
          <w:sz w:val="24"/>
          <w:szCs w:val="24"/>
        </w:rPr>
      </w:pPr>
      <w:bookmarkStart w:id="15" w:name="_Hlk72257167"/>
      <w:r>
        <w:rPr>
          <w:rFonts w:hint="eastAsia" w:ascii="宋体" w:hAnsi="宋体" w:eastAsia="宋体" w:cs="宋体"/>
          <w:sz w:val="24"/>
        </w:rPr>
        <w:t>政府集中采购机构公布投标文件正文（信息公开部分）时为计算机截取信息自动公布，</w:t>
      </w:r>
      <w:r>
        <w:rPr>
          <w:rFonts w:hint="eastAsia" w:ascii="宋体" w:hAnsi="宋体" w:eastAsia="宋体" w:cs="宋体"/>
          <w:b/>
          <w:bCs/>
          <w:sz w:val="24"/>
        </w:rPr>
        <w:t>如投标人误将涉及个人隐私的信息放入投标文件正文，相关后果由投标人自负；</w:t>
      </w:r>
      <w:r>
        <w:rPr>
          <w:rFonts w:hint="eastAsia" w:ascii="宋体" w:hAnsi="宋体" w:eastAsia="宋体" w:cs="宋体"/>
          <w:sz w:val="24"/>
          <w:highlight w:val="yellow"/>
        </w:rPr>
        <w:t>如投标人将必须放于投标文件正文（信息公开部分）的内容放入投标文件附件（非信息公开部分），将作投标无效处理。</w:t>
      </w:r>
    </w:p>
    <w:bookmarkEnd w:id="15"/>
    <w:p>
      <w:pPr>
        <w:widowControl/>
        <w:jc w:val="left"/>
        <w:rPr>
          <w:rFonts w:hint="eastAsia" w:ascii="宋体" w:hAnsi="宋体" w:eastAsia="宋体" w:cs="宋体"/>
          <w:bCs/>
          <w:kern w:val="44"/>
          <w:sz w:val="24"/>
          <w:szCs w:val="24"/>
        </w:rPr>
      </w:pPr>
      <w:r>
        <w:rPr>
          <w:rFonts w:hint="eastAsia" w:ascii="宋体" w:hAnsi="宋体" w:eastAsia="宋体" w:cs="宋体"/>
          <w:bCs/>
          <w:kern w:val="44"/>
          <w:sz w:val="24"/>
          <w:szCs w:val="24"/>
        </w:rPr>
        <w:t>投标文件组成：</w:t>
      </w:r>
    </w:p>
    <w:p>
      <w:pPr>
        <w:snapToGrid w:val="0"/>
        <w:rPr>
          <w:rFonts w:hint="eastAsia" w:ascii="宋体" w:hAnsi="宋体" w:eastAsia="宋体" w:cs="宋体"/>
          <w:b/>
          <w:color w:val="FF0000"/>
          <w:sz w:val="24"/>
          <w:szCs w:val="24"/>
        </w:rPr>
      </w:pPr>
      <w:r>
        <w:rPr>
          <w:rFonts w:hint="eastAsia" w:ascii="宋体" w:hAnsi="宋体" w:eastAsia="宋体" w:cs="宋体"/>
          <w:b/>
          <w:color w:val="FF0000"/>
          <w:kern w:val="0"/>
          <w:sz w:val="24"/>
          <w:szCs w:val="24"/>
        </w:rPr>
        <w:t>投标文件正文（信息公开部分）：</w:t>
      </w:r>
    </w:p>
    <w:p>
      <w:pPr>
        <w:numPr>
          <w:ilvl w:val="0"/>
          <w:numId w:val="4"/>
        </w:numPr>
        <w:snapToGrid w:val="0"/>
        <w:jc w:val="left"/>
        <w:rPr>
          <w:rFonts w:hint="eastAsia" w:ascii="宋体" w:hAnsi="宋体" w:eastAsia="宋体" w:cs="宋体"/>
          <w:sz w:val="24"/>
          <w:szCs w:val="24"/>
        </w:rPr>
      </w:pPr>
      <w:r>
        <w:rPr>
          <w:rFonts w:hint="eastAsia" w:ascii="宋体" w:hAnsi="宋体" w:eastAsia="宋体" w:cs="宋体"/>
          <w:sz w:val="24"/>
          <w:szCs w:val="24"/>
        </w:rPr>
        <w:t>投标函；</w:t>
      </w:r>
    </w:p>
    <w:p>
      <w:pPr>
        <w:numPr>
          <w:ilvl w:val="0"/>
          <w:numId w:val="4"/>
        </w:numPr>
        <w:snapToGrid w:val="0"/>
        <w:jc w:val="left"/>
        <w:rPr>
          <w:rFonts w:hint="eastAsia" w:ascii="宋体" w:hAnsi="宋体" w:eastAsia="宋体" w:cs="宋体"/>
          <w:sz w:val="24"/>
          <w:szCs w:val="24"/>
        </w:rPr>
      </w:pPr>
      <w:bookmarkStart w:id="16" w:name="_Hlk72062521"/>
      <w:r>
        <w:rPr>
          <w:rFonts w:hint="eastAsia" w:ascii="宋体" w:hAnsi="宋体" w:eastAsia="宋体" w:cs="宋体"/>
          <w:sz w:val="24"/>
          <w:szCs w:val="24"/>
        </w:rPr>
        <w:t>政府采购投标及履约承诺函</w:t>
      </w:r>
      <w:bookmarkEnd w:id="16"/>
      <w:r>
        <w:rPr>
          <w:rFonts w:hint="eastAsia" w:ascii="宋体" w:hAnsi="宋体" w:eastAsia="宋体" w:cs="宋体"/>
          <w:sz w:val="24"/>
          <w:szCs w:val="24"/>
        </w:rPr>
        <w:t>；</w:t>
      </w:r>
    </w:p>
    <w:p>
      <w:pPr>
        <w:numPr>
          <w:ilvl w:val="0"/>
          <w:numId w:val="4"/>
        </w:numPr>
        <w:snapToGrid w:val="0"/>
        <w:jc w:val="left"/>
        <w:rPr>
          <w:rFonts w:hint="eastAsia" w:ascii="宋体" w:hAnsi="宋体" w:eastAsia="宋体" w:cs="宋体"/>
          <w:sz w:val="24"/>
          <w:szCs w:val="24"/>
        </w:rPr>
      </w:pPr>
      <w:r>
        <w:rPr>
          <w:rFonts w:hint="eastAsia" w:ascii="宋体" w:hAnsi="宋体" w:eastAsia="宋体" w:cs="宋体"/>
          <w:sz w:val="24"/>
          <w:szCs w:val="24"/>
        </w:rPr>
        <w:t>投标人情况及资格证明文件；</w:t>
      </w:r>
    </w:p>
    <w:p>
      <w:pPr>
        <w:numPr>
          <w:ilvl w:val="0"/>
          <w:numId w:val="4"/>
        </w:numPr>
        <w:snapToGrid w:val="0"/>
        <w:ind w:left="1456"/>
        <w:rPr>
          <w:rFonts w:hint="eastAsia" w:ascii="宋体" w:hAnsi="宋体" w:eastAsia="宋体" w:cs="宋体"/>
          <w:sz w:val="24"/>
          <w:szCs w:val="24"/>
        </w:rPr>
      </w:pPr>
      <w:r>
        <w:rPr>
          <w:rFonts w:hint="eastAsia" w:ascii="宋体" w:hAnsi="宋体" w:eastAsia="宋体" w:cs="宋体"/>
          <w:bCs/>
          <w:sz w:val="24"/>
          <w:szCs w:val="24"/>
        </w:rPr>
        <w:t>项目详细报价；</w:t>
      </w:r>
    </w:p>
    <w:p>
      <w:pPr>
        <w:numPr>
          <w:ilvl w:val="0"/>
          <w:numId w:val="4"/>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信息化管理情况</w:t>
      </w:r>
    </w:p>
    <w:p>
      <w:pPr>
        <w:numPr>
          <w:ilvl w:val="0"/>
          <w:numId w:val="4"/>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体系认证情况</w:t>
      </w:r>
    </w:p>
    <w:p>
      <w:pPr>
        <w:numPr>
          <w:ilvl w:val="0"/>
          <w:numId w:val="4"/>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同类项目业绩</w:t>
      </w:r>
    </w:p>
    <w:p>
      <w:pPr>
        <w:numPr>
          <w:ilvl w:val="0"/>
          <w:numId w:val="4"/>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专业检测能力</w:t>
      </w:r>
    </w:p>
    <w:p>
      <w:pPr>
        <w:numPr>
          <w:ilvl w:val="0"/>
          <w:numId w:val="4"/>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公共责任险</w:t>
      </w:r>
    </w:p>
    <w:p>
      <w:pPr>
        <w:numPr>
          <w:ilvl w:val="0"/>
          <w:numId w:val="4"/>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食品安全责任险；</w:t>
      </w:r>
    </w:p>
    <w:p>
      <w:pPr>
        <w:snapToGrid w:val="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法定代表人（负责人）证明书；</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投标文件签署授权委托书；</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实质性条款响应情况表；</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服务方案</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项目重点难点分析、应对措施及相关的合理化建议</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质量（完成时间、安全、环保）保障措施及方案</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应急响应方案</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拟安排的项目负责人（仅限1人）情况</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投标人技术团队人员资质；</w:t>
      </w:r>
    </w:p>
    <w:p>
      <w:pPr>
        <w:numPr>
          <w:ilvl w:val="0"/>
          <w:numId w:val="5"/>
        </w:numPr>
        <w:snapToGrid w:val="0"/>
        <w:rPr>
          <w:rFonts w:hint="eastAsia" w:ascii="宋体" w:hAnsi="宋体" w:eastAsia="宋体" w:cs="宋体"/>
          <w:sz w:val="24"/>
          <w:szCs w:val="24"/>
        </w:rPr>
      </w:pPr>
      <w:r>
        <w:rPr>
          <w:rFonts w:hint="eastAsia" w:ascii="宋体" w:hAnsi="宋体" w:eastAsia="宋体" w:cs="宋体"/>
          <w:sz w:val="24"/>
          <w:szCs w:val="24"/>
        </w:rPr>
        <w:t>投标人认为需要加以说明的其他内容。</w:t>
      </w:r>
    </w:p>
    <w:p>
      <w:pPr>
        <w:rPr>
          <w:rFonts w:hint="eastAsia" w:ascii="宋体" w:hAnsi="宋体"/>
          <w:b/>
          <w:sz w:val="24"/>
          <w:szCs w:val="24"/>
        </w:rPr>
      </w:pPr>
      <w:bookmarkStart w:id="17" w:name="_Hlk72257771"/>
      <w:r>
        <w:rPr>
          <w:rFonts w:hint="eastAsia" w:ascii="宋体" w:hAnsi="宋体"/>
          <w:b/>
          <w:sz w:val="24"/>
          <w:szCs w:val="24"/>
        </w:rPr>
        <w:t>备注：</w:t>
      </w:r>
    </w:p>
    <w:p>
      <w:pPr>
        <w:snapToGrid w:val="0"/>
        <w:spacing w:after="78" w:afterLines="25"/>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78" w:afterLines="25"/>
        <w:ind w:firstLine="482" w:firstLineChars="200"/>
        <w:rPr>
          <w:rFonts w:hint="eastAsia"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7"/>
      <w:bookmarkEnd w:id="18"/>
      <w:r>
        <w:rPr>
          <w:rFonts w:ascii="宋体" w:hAnsi="宋体" w:eastAsia="黑体" w:cs="Times New Roman"/>
          <w:bCs/>
          <w:kern w:val="44"/>
          <w:sz w:val="32"/>
          <w:szCs w:val="32"/>
        </w:rPr>
        <w:br w:type="page"/>
      </w:r>
    </w:p>
    <w:p>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hint="eastAsia" w:ascii="宋体" w:hAnsi="宋体"/>
          <w:szCs w:val="21"/>
        </w:rPr>
      </w:pPr>
      <w:bookmarkStart w:id="19" w:name="_Hlk73818812"/>
      <w:r>
        <w:rPr>
          <w:rFonts w:hint="eastAsia"/>
          <w:szCs w:val="21"/>
        </w:rPr>
        <w:t>1、根据已收到贵单位的项目编号为</w:t>
      </w:r>
      <w:r>
        <w:rPr>
          <w:rFonts w:hint="eastAsia"/>
          <w:szCs w:val="21"/>
          <w:u w:val="thick"/>
        </w:rPr>
        <w:t xml:space="preserve">  BAZXCG-2024-00751 </w:t>
      </w:r>
      <w:r>
        <w:rPr>
          <w:rFonts w:hint="eastAsia"/>
          <w:szCs w:val="21"/>
        </w:rPr>
        <w:t>的</w:t>
      </w:r>
      <w:r>
        <w:rPr>
          <w:rFonts w:hint="eastAsia"/>
          <w:szCs w:val="21"/>
          <w:u w:val="thick"/>
        </w:rPr>
        <w:t xml:space="preserve">  宝安中学（集团）第二实验学校食堂自营管理人员托管服务项目  </w:t>
      </w:r>
      <w:r>
        <w:rPr>
          <w:rFonts w:hint="eastAsia"/>
          <w:szCs w:val="21"/>
        </w:rPr>
        <w:t>项目的招标文件，遵照《深圳经济特区政府采购条例》和《深圳网上政府采购管理暂行办法》等有关规定，我单位经研究上述招标文件的专用条款及通用条款后，</w:t>
      </w:r>
      <w:bookmarkStart w:id="20" w:name="_Hlk72263588"/>
      <w:r>
        <w:rPr>
          <w:rFonts w:hint="eastAsia"/>
          <w:szCs w:val="21"/>
        </w:rPr>
        <w:t>愿意按照招标文件要求承包上述项目并修补其任何缺陷。</w:t>
      </w:r>
      <w:bookmarkEnd w:id="20"/>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19"/>
    </w:p>
    <w:p>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eastAsia="宋体"/>
          <w:szCs w:val="21"/>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pPr>
        <w:ind w:left="420" w:leftChars="200" w:firstLine="210" w:firstLineChars="100"/>
        <w:rPr>
          <w:szCs w:val="21"/>
        </w:rPr>
      </w:pPr>
      <w:r>
        <w:rPr>
          <w:rFonts w:hint="eastAsia"/>
          <w:szCs w:val="21"/>
        </w:rPr>
        <w:t>法定代表人（负责人）或其</w:t>
      </w:r>
      <w:r>
        <w:rPr>
          <w:rFonts w:hint="eastAsia" w:ascii="Times New Roman" w:eastAsia="宋体"/>
          <w:szCs w:val="21"/>
        </w:rPr>
        <w:t>授权</w:t>
      </w:r>
      <w:r>
        <w:rPr>
          <w:rFonts w:hint="eastAsia"/>
          <w:szCs w:val="21"/>
        </w:rPr>
        <w:t>委托代理人：</w:t>
      </w:r>
      <w:r>
        <w:rPr>
          <w:rFonts w:hint="eastAsia"/>
          <w:szCs w:val="21"/>
          <w:u w:val="thick"/>
        </w:rPr>
        <w:t xml:space="preserve">         </w:t>
      </w:r>
      <w:r>
        <w:rPr>
          <w:rFonts w:hint="eastAsia" w:eastAsia="宋体"/>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r>
        <w:rPr>
          <w:rFonts w:hint="eastAsia" w:eastAsia="宋体"/>
          <w:szCs w:val="21"/>
        </w:rPr>
        <w:t>；</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spacing w:line="260" w:lineRule="exact"/>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spacing w:line="260" w:lineRule="exact"/>
        <w:ind w:right="-815" w:firstLine="420" w:firstLineChars="200"/>
        <w:rPr>
          <w:rFonts w:hint="eastAsia" w:ascii="宋体" w:hAnsi="宋体"/>
          <w:szCs w:val="21"/>
        </w:rPr>
      </w:pPr>
      <w:r>
        <w:rPr>
          <w:rFonts w:hint="eastAsia" w:ascii="宋体" w:hAnsi="宋体"/>
          <w:szCs w:val="21"/>
        </w:rPr>
        <w:t>我单位承诺：</w:t>
      </w:r>
    </w:p>
    <w:p>
      <w:pPr>
        <w:spacing w:line="260" w:lineRule="exact"/>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spacing w:line="260" w:lineRule="exact"/>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spacing w:line="260" w:lineRule="exact"/>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pPr>
        <w:spacing w:line="260" w:lineRule="exact"/>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spacing w:line="260" w:lineRule="exact"/>
        <w:ind w:firstLine="420" w:firstLineChars="200"/>
      </w:pPr>
      <w:r>
        <w:rPr>
          <w:rFonts w:hint="eastAsia" w:ascii="Times New Roman" w:eastAsia="宋体"/>
          <w:color w:val="FF0000"/>
        </w:rPr>
        <w:t>5.我单位不存在《深圳市财政局政府采购供应商信用信息管理办法》（深财规〔2023〕3号）列明的严重违法失信行为。</w:t>
      </w:r>
    </w:p>
    <w:p>
      <w:pPr>
        <w:spacing w:line="260" w:lineRule="exact"/>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26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260" w:lineRule="exact"/>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260" w:lineRule="exact"/>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260" w:lineRule="exact"/>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spacing w:line="260" w:lineRule="exact"/>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260" w:lineRule="exact"/>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w:t>
      </w:r>
      <w:r>
        <w:rPr>
          <w:rFonts w:hint="eastAsia" w:eastAsia="宋体"/>
        </w:rPr>
        <w:t>（</w:t>
      </w:r>
      <w:r>
        <w:rPr>
          <w:rFonts w:hint="eastAsia"/>
        </w:rPr>
        <w:t>财库〔2023〕7号）</w:t>
      </w:r>
      <w:r>
        <w:rPr>
          <w:rFonts w:hint="eastAsia" w:ascii="Times New Roman" w:eastAsia="宋体"/>
        </w:rPr>
        <w:t>要求。若所投产品涉及国家强制性标准的，所投产品应符合国家强制性标准相关要求。</w:t>
      </w:r>
    </w:p>
    <w:p>
      <w:pPr>
        <w:spacing w:line="260" w:lineRule="exact"/>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spacing w:line="260" w:lineRule="exact"/>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spacing w:line="260" w:lineRule="exact"/>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spacing w:line="260" w:lineRule="exact"/>
        <w:ind w:firstLine="420" w:firstLineChars="200"/>
        <w:rPr>
          <w:rFonts w:hint="eastAsia" w:ascii="宋体" w:hAnsi="宋体"/>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pStyle w:val="10"/>
        <w:spacing w:line="260" w:lineRule="exact"/>
        <w:ind w:firstLine="482" w:firstLineChars="200"/>
        <w:rPr>
          <w:rFonts w:hint="eastAsia" w:ascii="宋体" w:hAnsi="宋体"/>
        </w:rPr>
      </w:pPr>
    </w:p>
    <w:p>
      <w:pPr>
        <w:spacing w:line="260" w:lineRule="exact"/>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line="260" w:lineRule="exact"/>
        <w:ind w:firstLine="5460" w:firstLineChars="2600"/>
        <w:rPr>
          <w:rFonts w:hint="eastAsia" w:ascii="宋体" w:hAnsi="宋体"/>
          <w:szCs w:val="21"/>
        </w:rPr>
      </w:pPr>
      <w:r>
        <w:rPr>
          <w:rFonts w:hint="eastAsia" w:ascii="宋体" w:hAnsi="宋体"/>
          <w:szCs w:val="21"/>
        </w:rPr>
        <w:t xml:space="preserve">                                    </w:t>
      </w:r>
    </w:p>
    <w:p>
      <w:pPr>
        <w:spacing w:before="78" w:beforeLines="25" w:after="78" w:afterLines="25" w:line="260" w:lineRule="exact"/>
        <w:ind w:firstLine="5460" w:firstLineChars="2600"/>
        <w:rPr>
          <w:color w:val="FF0000"/>
        </w:rPr>
      </w:pPr>
      <w:r>
        <w:rPr>
          <w:rFonts w:hint="eastAsia"/>
          <w:color w:val="FF0000"/>
          <w:szCs w:val="21"/>
        </w:rPr>
        <w:t>投标人：</w:t>
      </w:r>
      <w:r>
        <w:rPr>
          <w:rFonts w:hint="eastAsia"/>
          <w:color w:val="FF0000"/>
          <w:szCs w:val="21"/>
          <w:u w:val="single"/>
        </w:rPr>
        <w:t xml:space="preserve">              </w:t>
      </w:r>
    </w:p>
    <w:p>
      <w:pPr>
        <w:spacing w:line="260" w:lineRule="exact"/>
        <w:rPr>
          <w:rFonts w:hint="eastAsia" w:ascii="宋体" w:hAnsi="宋体" w:eastAsia="宋体" w:cs="Times New Roman"/>
          <w:b/>
          <w:bCs/>
          <w:kern w:val="0"/>
          <w:sz w:val="24"/>
          <w:szCs w:val="20"/>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eastAsia="宋体" w:cs="Times New Roman"/>
          <w:b/>
          <w:bCs/>
          <w:kern w:val="0"/>
          <w:sz w:val="24"/>
          <w:szCs w:val="20"/>
        </w:rPr>
        <w:br w:type="page"/>
      </w:r>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3.投标人情况及资格证明文件</w:t>
      </w:r>
    </w:p>
    <w:p>
      <w:pPr>
        <w:spacing w:before="156" w:beforeLines="50"/>
        <w:jc w:val="center"/>
        <w:rPr>
          <w:b/>
          <w:bCs/>
          <w:color w:val="FF0000"/>
        </w:rPr>
      </w:pPr>
      <w:r>
        <w:rPr>
          <w:rFonts w:hint="eastAsia" w:ascii="黑体" w:hAnsi="宋体" w:eastAsia="黑体"/>
          <w:bCs/>
          <w:kern w:val="0"/>
          <w:sz w:val="24"/>
          <w:szCs w:val="32"/>
        </w:rPr>
        <w:t>（1）投标人资格证明文件</w:t>
      </w:r>
    </w:p>
    <w:p>
      <w:pPr>
        <w:spacing w:before="156" w:beforeLines="50"/>
        <w:jc w:val="center"/>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56" w:beforeLines="50"/>
        <w:jc w:val="center"/>
        <w:rPr>
          <w:b/>
          <w:bCs/>
          <w:color w:val="FF0000"/>
        </w:rPr>
      </w:pPr>
    </w:p>
    <w:p>
      <w:pPr>
        <w:pStyle w:val="10"/>
      </w:pPr>
    </w:p>
    <w:p>
      <w:pPr>
        <w:spacing w:before="156" w:beforeLines="50"/>
        <w:jc w:val="center"/>
        <w:rPr>
          <w:rFonts w:hint="eastAsia" w:ascii="宋体" w:hAnsi="宋体" w:eastAsia="宋体" w:cs="Times New Roman"/>
          <w:b/>
          <w:bCs/>
          <w:kern w:val="0"/>
          <w:sz w:val="24"/>
          <w:szCs w:val="20"/>
        </w:rPr>
      </w:pPr>
      <w:r>
        <w:rPr>
          <w:rFonts w:hint="eastAsia" w:ascii="黑体" w:hAnsi="宋体" w:eastAsia="黑体"/>
          <w:bCs/>
          <w:kern w:val="0"/>
          <w:sz w:val="24"/>
          <w:szCs w:val="32"/>
        </w:rPr>
        <w:t>（2）中小企业声明函、残疾人福利性单位声明函及监狱企业声明函</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2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w:t>
      </w:r>
      <w:r>
        <w:rPr>
          <w:rFonts w:hint="eastAsia" w:ascii="黑体" w:hAnsi="宋体" w:eastAsia="黑体"/>
          <w:bCs/>
          <w:color w:val="0000FF"/>
          <w:kern w:val="0"/>
          <w:szCs w:val="21"/>
        </w:rPr>
        <w:t>以招标文件第一册第三章用户需求书“服务需求明细”的“服务需求名称”一栏为准</w:t>
      </w:r>
      <w:r>
        <w:rPr>
          <w:rFonts w:hint="eastAsia" w:ascii="黑体" w:hAnsi="宋体" w:eastAsia="黑体"/>
          <w:bCs/>
          <w:color w:val="FF0000"/>
          <w:kern w:val="0"/>
          <w:szCs w:val="21"/>
        </w:rPr>
        <w:t>）；如果涉及多项服务（标的）为同一企业制造，“标的名称”下划线处可以如实填写多项服务；</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w:t>
      </w:r>
      <w:r>
        <w:rPr>
          <w:rFonts w:hint="eastAsia" w:ascii="黑体" w:hAnsi="宋体" w:eastAsia="黑体"/>
          <w:bCs/>
          <w:color w:val="0000FF"/>
          <w:kern w:val="0"/>
          <w:szCs w:val="21"/>
        </w:rPr>
        <w:t>所属行业可在招标文件第一册第二章“对通用条款的补充内容及其他关键信息”章节查看</w:t>
      </w:r>
      <w:r>
        <w:rPr>
          <w:rFonts w:hint="eastAsia" w:ascii="黑体" w:hAnsi="黑体" w:eastAsia="黑体" w:cs="黑体"/>
          <w:color w:val="0000FF"/>
          <w:szCs w:val="21"/>
        </w:rPr>
        <w:t>或第三章用户需求书“服务需求明细”中的所属行业信息</w:t>
      </w:r>
      <w:r>
        <w:rPr>
          <w:rFonts w:hint="eastAsia" w:ascii="黑体" w:hAnsi="宋体" w:eastAsia="黑体"/>
          <w:bCs/>
          <w:color w:val="FF0000"/>
          <w:kern w:val="0"/>
          <w:szCs w:val="21"/>
        </w:rPr>
        <w:t>）；</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10"/>
      </w:pPr>
    </w:p>
    <w:p>
      <w:pPr>
        <w:snapToGrid w:val="0"/>
        <w:jc w:val="center"/>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中小企业声明函（服务）</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b/>
          <w:bCs/>
          <w:i/>
          <w:iCs/>
          <w:szCs w:val="21"/>
          <w:u w:val="single"/>
        </w:rPr>
        <w:t xml:space="preserve">    （标的名称）     </w:t>
      </w:r>
      <w:r>
        <w:rPr>
          <w:rFonts w:hint="eastAsia" w:asciiTheme="minorEastAsia" w:hAnsiTheme="minorEastAsia" w:cstheme="minorEastAsia"/>
          <w:szCs w:val="21"/>
        </w:rPr>
        <w:t>，属于</w:t>
      </w:r>
      <w:r>
        <w:rPr>
          <w:rFonts w:hint="eastAsia" w:asciiTheme="minorEastAsia" w:hAnsiTheme="minorEastAsia" w:cstheme="minorEastAsia"/>
          <w:b/>
          <w:bCs/>
          <w:i/>
          <w:iCs/>
          <w:szCs w:val="21"/>
          <w:u w:val="single"/>
        </w:rPr>
        <w:t xml:space="preserve">    （采购文件中明确的所属行业）    </w:t>
      </w:r>
      <w:r>
        <w:rPr>
          <w:rFonts w:hint="eastAsia" w:asciiTheme="minorEastAsia" w:hAnsiTheme="minorEastAsia" w:cstheme="minorEastAsia"/>
          <w:szCs w:val="21"/>
        </w:rPr>
        <w:t>行业；承接企业为</w:t>
      </w:r>
      <w:r>
        <w:rPr>
          <w:rFonts w:hint="eastAsia" w:asciiTheme="minorEastAsia" w:hAnsi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cstheme="minorEastAsia"/>
          <w:szCs w:val="21"/>
        </w:rPr>
        <w:t>，从业人员</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人，营业收入为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万元，资产总额为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万元，属于</w:t>
      </w:r>
      <w:r>
        <w:rPr>
          <w:rFonts w:hint="eastAsia" w:asciiTheme="minorEastAsia" w:hAnsiTheme="minorEastAsia" w:cstheme="minorEastAsia"/>
          <w:b/>
          <w:bCs/>
          <w:i/>
          <w:iCs/>
          <w:szCs w:val="21"/>
          <w:u w:val="single"/>
        </w:rPr>
        <w:t xml:space="preserve">    （中型企业、小型企业、微型企业）    </w:t>
      </w:r>
      <w:r>
        <w:rPr>
          <w:rFonts w:hint="eastAsia" w:asciiTheme="minorEastAsia" w:hAnsiTheme="minorEastAsia" w:cstheme="minorEastAsia"/>
          <w:szCs w:val="21"/>
        </w:rPr>
        <w:t>；</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b/>
          <w:bCs/>
          <w:i/>
          <w:iCs/>
          <w:szCs w:val="21"/>
          <w:u w:val="single"/>
        </w:rPr>
        <w:t xml:space="preserve">    （标的名称）     </w:t>
      </w:r>
      <w:r>
        <w:rPr>
          <w:rFonts w:hint="eastAsia" w:asciiTheme="minorEastAsia" w:hAnsiTheme="minorEastAsia" w:cstheme="minorEastAsia"/>
          <w:szCs w:val="21"/>
        </w:rPr>
        <w:t>，属于</w:t>
      </w:r>
      <w:r>
        <w:rPr>
          <w:rFonts w:hint="eastAsia" w:asciiTheme="minorEastAsia" w:hAnsiTheme="minorEastAsia" w:cstheme="minorEastAsia"/>
          <w:b/>
          <w:bCs/>
          <w:i/>
          <w:iCs/>
          <w:szCs w:val="21"/>
          <w:u w:val="single"/>
        </w:rPr>
        <w:t xml:space="preserve">    （采购文件中明确的所属行业）    </w:t>
      </w:r>
      <w:r>
        <w:rPr>
          <w:rFonts w:hint="eastAsia" w:asciiTheme="minorEastAsia" w:hAnsiTheme="minorEastAsia" w:cstheme="minorEastAsia"/>
          <w:szCs w:val="21"/>
        </w:rPr>
        <w:t>行业；承接企业为</w:t>
      </w:r>
      <w:r>
        <w:rPr>
          <w:rFonts w:hint="eastAsia" w:asciiTheme="minorEastAsia" w:hAnsi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cstheme="minorEastAsia"/>
          <w:szCs w:val="21"/>
        </w:rPr>
        <w:t>，从业人员</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人，营业收入为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万元，资产总额为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万元，属于</w:t>
      </w:r>
      <w:r>
        <w:rPr>
          <w:rFonts w:hint="eastAsia" w:asciiTheme="minorEastAsia" w:hAnsiTheme="minorEastAsia" w:cstheme="minorEastAsia"/>
          <w:b/>
          <w:bCs/>
          <w:i/>
          <w:iCs/>
          <w:szCs w:val="21"/>
          <w:u w:val="single"/>
        </w:rPr>
        <w:t xml:space="preserve">    （中型企业、小型企业、微型企业）    </w:t>
      </w:r>
      <w:r>
        <w:rPr>
          <w:rFonts w:hint="eastAsia" w:asciiTheme="minorEastAsia" w:hAnsiTheme="minorEastAsia" w:cstheme="minorEastAsia"/>
          <w:szCs w:val="21"/>
        </w:rPr>
        <w:t>；</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本企业对上述声明内容的真实性负责。如有虚假，将依法承担相应责任。</w:t>
      </w:r>
    </w:p>
    <w:p>
      <w:pPr>
        <w:spacing w:line="360" w:lineRule="auto"/>
        <w:ind w:firstLine="420" w:firstLineChars="200"/>
        <w:rPr>
          <w:rFonts w:hint="eastAsia" w:asciiTheme="minorEastAsia" w:hAnsiTheme="minorEastAsia" w:cstheme="minorEastAsia"/>
          <w:szCs w:val="21"/>
        </w:rPr>
      </w:pPr>
      <w:bookmarkStart w:id="22" w:name="_Hlk73562275"/>
      <w:r>
        <w:rPr>
          <w:rFonts w:hint="eastAsia" w:asciiTheme="minorEastAsia" w:hAnsi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2"/>
    </w:p>
    <w:p>
      <w:pPr>
        <w:spacing w:after="78" w:afterLines="25" w:line="300" w:lineRule="auto"/>
        <w:jc w:val="center"/>
        <w:rPr>
          <w:rFonts w:hint="eastAsia" w:ascii="宋体" w:hAnsi="宋体" w:eastAsia="宋体" w:cs="Times New Roman"/>
          <w:b/>
          <w:sz w:val="24"/>
          <w:szCs w:val="24"/>
        </w:rPr>
      </w:pPr>
    </w:p>
    <w:p>
      <w:pPr>
        <w:spacing w:after="78" w:afterLines="25" w:line="300" w:lineRule="auto"/>
        <w:jc w:val="center"/>
        <w:rPr>
          <w:rFonts w:hint="eastAsia" w:ascii="宋体" w:hAnsi="宋体" w:eastAsia="宋体" w:cs="Times New Roman"/>
          <w:b/>
          <w:sz w:val="24"/>
          <w:szCs w:val="24"/>
        </w:rPr>
      </w:pPr>
    </w:p>
    <w:p>
      <w:pPr>
        <w:spacing w:after="78" w:afterLines="25" w:line="300" w:lineRule="auto"/>
        <w:jc w:val="center"/>
        <w:rPr>
          <w:rFonts w:ascii="Arial" w:hAnsi="Arial" w:eastAsia="宋体" w:cs="Times New Roman"/>
          <w:b/>
          <w:sz w:val="24"/>
          <w:szCs w:val="24"/>
        </w:rPr>
      </w:pPr>
      <w:r>
        <w:rPr>
          <w:rFonts w:hint="eastAsia" w:ascii="宋体" w:hAnsi="宋体" w:eastAsia="宋体" w:cs="Times New Roman"/>
          <w:b/>
          <w:sz w:val="24"/>
          <w:szCs w:val="24"/>
        </w:rPr>
        <w:t>②残疾人福利性单位声明函（服务）</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项目采购活动由本单位提供服务。</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wordWrap w:val="0"/>
        <w:spacing w:after="78" w:afterLines="25" w:line="300" w:lineRule="auto"/>
        <w:ind w:firstLine="420" w:firstLineChars="200"/>
        <w:jc w:val="right"/>
        <w:rPr>
          <w:rFonts w:hint="eastAsia" w:cs="Times New Roman" w:asciiTheme="minorEastAsia" w:hAnsiTheme="minorEastAsia"/>
          <w:szCs w:val="24"/>
        </w:rPr>
      </w:pPr>
      <w:r>
        <w:rPr>
          <w:rFonts w:hint="eastAsia" w:cs="Times New Roman" w:asciiTheme="minorEastAsia" w:hAnsiTheme="minorEastAsia"/>
          <w:szCs w:val="21"/>
        </w:rPr>
        <w:t xml:space="preserve">      </w:t>
      </w:r>
    </w:p>
    <w:p>
      <w:pPr>
        <w:spacing w:after="78" w:afterLines="25" w:line="300" w:lineRule="auto"/>
        <w:ind w:firstLine="422" w:firstLineChars="200"/>
        <w:rPr>
          <w:rFonts w:hint="eastAsia"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 w:val="24"/>
          <w:szCs w:val="24"/>
        </w:rPr>
      </w:pPr>
    </w:p>
    <w:p>
      <w:pPr>
        <w:widowControl/>
        <w:jc w:val="center"/>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spacing w:after="78" w:afterLines="25" w:line="300" w:lineRule="auto"/>
        <w:rPr>
          <w:rFonts w:hint="eastAsia" w:ascii="宋体" w:hAnsi="宋体" w:eastAsia="宋体" w:cs="Times New Roman"/>
          <w:szCs w:val="21"/>
        </w:rPr>
      </w:pP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Cs w:val="21"/>
        </w:rPr>
      </w:pPr>
      <w:r>
        <w:rPr>
          <w:rFonts w:hint="eastAsia" w:ascii="宋体" w:hAnsi="宋体" w:eastAsia="宋体" w:cs="Times New Roman"/>
          <w:b/>
          <w:sz w:val="24"/>
          <w:szCs w:val="24"/>
        </w:rPr>
        <w:t>④</w:t>
      </w:r>
      <w:r>
        <w:rPr>
          <w:rFonts w:hint="eastAsia" w:ascii="宋体" w:hAnsi="宋体" w:eastAsia="宋体" w:cs="Times New Roman"/>
          <w:b/>
          <w:szCs w:val="21"/>
        </w:rPr>
        <w:t>含有优惠主体的联合体声明函</w:t>
      </w:r>
    </w:p>
    <w:p>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u w:val="single"/>
        </w:rPr>
        <w:t xml:space="preserve">  （供应商名称、供应商名称）  </w:t>
      </w:r>
      <w:r>
        <w:rPr>
          <w:rFonts w:hint="eastAsia" w:ascii="宋体" w:hAnsi="宋体" w:eastAsia="宋体" w:cs="Times New Roman"/>
          <w:szCs w:val="21"/>
        </w:rPr>
        <w:t>共同组成联合体（详见联合体协议）。本联合体</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，郑重声明：</w:t>
      </w:r>
    </w:p>
    <w:p>
      <w:pPr>
        <w:spacing w:after="78" w:afterLines="25" w:line="300" w:lineRule="auto"/>
        <w:ind w:firstLine="420" w:firstLineChars="200"/>
        <w:rPr>
          <w:rFonts w:hint="eastAsia"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ascii="宋体" w:hAnsi="宋体" w:eastAsia="宋体" w:cs="Times New Roman"/>
          <w:szCs w:val="21"/>
        </w:rPr>
        <w:t xml:space="preserve">； </w:t>
      </w:r>
    </w:p>
    <w:p>
      <w:pPr>
        <w:spacing w:after="78" w:afterLines="25" w:line="300" w:lineRule="auto"/>
        <w:ind w:firstLine="420" w:firstLineChars="200"/>
        <w:rPr>
          <w:rFonts w:hint="eastAsia" w:ascii="宋体" w:hAnsi="宋体" w:eastAsia="宋体" w:cs="Times New Roman"/>
          <w:szCs w:val="21"/>
          <w:u w:val="single"/>
        </w:rPr>
      </w:pPr>
      <w:r>
        <w:rPr>
          <w:rFonts w:ascii="宋体" w:hAnsi="宋体" w:eastAsia="宋体" w:cs="Times New Roman"/>
          <w:szCs w:val="21"/>
        </w:rPr>
        <w:t>2.</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hint="eastAsia" w:ascii="宋体" w:hAnsi="宋体" w:eastAsia="宋体" w:cs="Times New Roman"/>
          <w:szCs w:val="21"/>
        </w:rPr>
        <w:t>；</w:t>
      </w:r>
    </w:p>
    <w:p>
      <w:pPr>
        <w:spacing w:after="78" w:afterLines="25" w:line="300" w:lineRule="auto"/>
        <w:ind w:firstLine="420" w:firstLineChars="200"/>
        <w:rPr>
          <w:rFonts w:hint="eastAsia" w:ascii="宋体" w:hAnsi="宋体" w:eastAsia="宋体" w:cs="Times New Roman"/>
          <w:szCs w:val="21"/>
        </w:rPr>
      </w:pPr>
      <w:r>
        <w:rPr>
          <w:rFonts w:ascii="宋体" w:hAnsi="宋体" w:eastAsia="宋体" w:cs="Times New Roman"/>
          <w:szCs w:val="21"/>
        </w:rPr>
        <w:t xml:space="preserve">…… </w:t>
      </w:r>
    </w:p>
    <w:p>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上述优惠主体均符合《</w:t>
      </w:r>
      <w:r>
        <w:rPr>
          <w:rFonts w:ascii="宋体" w:hAnsi="宋体" w:eastAsia="宋体" w:cs="Times New Roman"/>
          <w:szCs w:val="21"/>
        </w:rPr>
        <w:t>政府采购促进中小企业发展管理办法</w:t>
      </w:r>
      <w:r>
        <w:rPr>
          <w:rFonts w:hint="eastAsia" w:ascii="宋体" w:hAnsi="宋体" w:eastAsia="宋体" w:cs="Times New Roman"/>
          <w:szCs w:val="21"/>
        </w:rPr>
        <w:t>》（</w:t>
      </w:r>
      <w:r>
        <w:rPr>
          <w:rFonts w:ascii="宋体" w:hAnsi="宋体" w:eastAsia="宋体" w:cs="Times New Roman"/>
          <w:szCs w:val="21"/>
        </w:rPr>
        <w:t>财库〔2020〕46号</w:t>
      </w:r>
      <w:r>
        <w:rPr>
          <w:rFonts w:hint="eastAsia" w:ascii="宋体" w:hAnsi="宋体" w:eastAsia="宋体" w:cs="Times New Roman"/>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Times New Roman"/>
          <w:szCs w:val="21"/>
          <w:u w:val="single"/>
        </w:rPr>
        <w:t>_____</w:t>
      </w:r>
      <w:r>
        <w:rPr>
          <w:rFonts w:hint="eastAsia" w:ascii="宋体" w:hAnsi="宋体" w:eastAsia="宋体" w:cs="Times New Roman"/>
          <w:szCs w:val="21"/>
        </w:rPr>
        <w:t>%。</w:t>
      </w:r>
    </w:p>
    <w:p>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本联合体对上述声明的真实性负责。如有虚假，将依法承担相应责任。</w:t>
      </w:r>
    </w:p>
    <w:p>
      <w:pPr>
        <w:spacing w:line="360" w:lineRule="auto"/>
        <w:ind w:firstLine="420" w:firstLineChars="200"/>
      </w:pPr>
      <w:r>
        <w:rPr>
          <w:rFonts w:hint="eastAsia" w:asciiTheme="minorEastAsia" w:hAnsi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spacing w:after="78" w:afterLines="25" w:line="300" w:lineRule="auto"/>
        <w:rPr>
          <w:rFonts w:hint="eastAsia" w:ascii="宋体" w:hAnsi="宋体" w:eastAsia="宋体" w:cs="Times New Roman"/>
          <w:szCs w:val="21"/>
        </w:rPr>
      </w:pPr>
      <w:r>
        <w:rPr>
          <w:rFonts w:ascii="宋体" w:hAnsi="宋体" w:eastAsia="宋体" w:cs="Times New Roman"/>
          <w:szCs w:val="21"/>
        </w:rPr>
        <w:t xml:space="preserve"> </w:t>
      </w:r>
    </w:p>
    <w:p>
      <w:pPr>
        <w:spacing w:after="78" w:afterLines="25" w:line="300" w:lineRule="auto"/>
        <w:rPr>
          <w:rFonts w:hint="eastAsia" w:ascii="宋体" w:hAnsi="宋体" w:eastAsia="宋体" w:cs="Times New Roman"/>
          <w:szCs w:val="21"/>
        </w:rPr>
      </w:pPr>
      <w:r>
        <w:rPr>
          <w:rFonts w:hint="eastAsia" w:ascii="宋体" w:hAnsi="宋体" w:eastAsia="宋体" w:cs="Times New Roman"/>
          <w:szCs w:val="21"/>
        </w:rPr>
        <w:t xml:space="preserve">供应商名称：                              供应商名称： </w:t>
      </w:r>
    </w:p>
    <w:p>
      <w:pPr>
        <w:spacing w:after="78" w:afterLines="25" w:line="300" w:lineRule="auto"/>
        <w:rPr>
          <w:rFonts w:hint="eastAsia" w:ascii="宋体" w:hAnsi="宋体" w:eastAsia="宋体" w:cs="Times New Roman"/>
          <w:szCs w:val="21"/>
        </w:rPr>
      </w:pPr>
      <w:r>
        <w:rPr>
          <w:rFonts w:hint="eastAsia" w:ascii="宋体" w:hAnsi="宋体" w:eastAsia="宋体" w:cs="Times New Roman"/>
          <w:szCs w:val="21"/>
        </w:rPr>
        <w:t xml:space="preserve">日期：                                    日期： </w:t>
      </w:r>
    </w:p>
    <w:p>
      <w:pPr>
        <w:spacing w:after="78" w:afterLines="25" w:line="300" w:lineRule="auto"/>
        <w:rPr>
          <w:rFonts w:ascii="Arial" w:hAnsi="Arial" w:eastAsia="宋体" w:cs="Times New Roman"/>
          <w:szCs w:val="24"/>
        </w:rPr>
      </w:pPr>
    </w:p>
    <w:p>
      <w:pPr>
        <w:spacing w:after="78" w:afterLines="25" w:line="300" w:lineRule="auto"/>
        <w:jc w:val="left"/>
        <w:rPr>
          <w:rFonts w:hint="eastAsia" w:ascii="宋体" w:hAnsi="宋体" w:eastAsia="宋体" w:cs="Times New Roman"/>
          <w:szCs w:val="21"/>
        </w:rPr>
      </w:pPr>
      <w:r>
        <w:rPr>
          <w:rFonts w:hint="eastAsia" w:ascii="宋体" w:hAnsi="宋体" w:eastAsia="宋体" w:cs="Times New Roman"/>
          <w:szCs w:val="21"/>
        </w:rPr>
        <w:t xml:space="preserve">供应商名称：       </w:t>
      </w:r>
    </w:p>
    <w:p>
      <w:pPr>
        <w:wordWrap w:val="0"/>
        <w:spacing w:after="78" w:afterLines="25" w:line="300" w:lineRule="auto"/>
        <w:jc w:val="left"/>
        <w:rPr>
          <w:rFonts w:ascii="Arial" w:hAnsi="Arial" w:eastAsia="宋体" w:cs="Times New Roman"/>
          <w:szCs w:val="24"/>
        </w:rPr>
      </w:pPr>
      <w:r>
        <w:rPr>
          <w:rFonts w:hint="eastAsia" w:ascii="宋体" w:hAnsi="宋体" w:eastAsia="宋体" w:cs="Times New Roman"/>
          <w:szCs w:val="21"/>
        </w:rPr>
        <w:t xml:space="preserve">日期：       </w:t>
      </w:r>
    </w:p>
    <w:p>
      <w:pPr>
        <w:widowControl/>
        <w:jc w:val="center"/>
        <w:rPr>
          <w:rFonts w:hint="eastAsia" w:ascii="宋体" w:hAnsi="宋体" w:eastAsia="宋体" w:cs="Times New Roman"/>
          <w:b/>
          <w:bCs/>
          <w:kern w:val="0"/>
          <w:sz w:val="24"/>
          <w:szCs w:val="20"/>
        </w:rPr>
      </w:pPr>
      <w:r>
        <w:rPr>
          <w:rFonts w:hint="eastAsia" w:ascii="Arial" w:hAnsi="Arial" w:eastAsia="宋体" w:cs="Times New Roman"/>
          <w:b/>
          <w:sz w:val="24"/>
          <w:szCs w:val="24"/>
          <w:highlight w:val="yellow"/>
        </w:rPr>
        <w:t>说明：“含有优惠主体的联合体声明函”仅针对允许联合体投标的项目（联合体数量上限以资格要求为准），非联合体投标的供应商或不符合优惠政策的供应商无需提供。</w:t>
      </w:r>
      <w:r>
        <w:rPr>
          <w:rFonts w:hint="eastAsia" w:ascii="Arial" w:hAnsi="Arial" w:eastAsia="宋体" w:cs="Times New Roman"/>
          <w:sz w:val="24"/>
          <w:szCs w:val="24"/>
          <w:highlight w:val="yellow"/>
        </w:rPr>
        <w:t>符合条件的供应商，请仔细填写声明函中需填写内容，</w:t>
      </w:r>
      <w:r>
        <w:rPr>
          <w:rFonts w:hint="eastAsia" w:ascii="Arial" w:hAnsi="Arial" w:eastAsia="宋体" w:cs="Times New Roman"/>
          <w:b/>
          <w:sz w:val="24"/>
          <w:szCs w:val="24"/>
          <w:highlight w:val="yellow"/>
        </w:rPr>
        <w:t>供应商可根据自身联合体数量及优惠主体类型进行调整本声明函格式</w:t>
      </w:r>
      <w:r>
        <w:rPr>
          <w:rFonts w:hint="eastAsia" w:ascii="Arial" w:hAnsi="Arial" w:eastAsia="宋体" w:cs="Times New Roman"/>
          <w:sz w:val="24"/>
          <w:szCs w:val="24"/>
          <w:highlight w:val="yellow"/>
        </w:rPr>
        <w:t>，</w:t>
      </w:r>
      <w:r>
        <w:rPr>
          <w:rFonts w:hint="eastAsia" w:ascii="Arial" w:hAnsi="Arial" w:eastAsia="宋体" w:cs="Times New Roman"/>
          <w:b/>
          <w:sz w:val="24"/>
          <w:szCs w:val="24"/>
          <w:highlight w:val="yellow"/>
        </w:rPr>
        <w:t>如内容填写不全</w:t>
      </w:r>
      <w:r>
        <w:rPr>
          <w:rFonts w:hint="eastAsia" w:ascii="Arial" w:hAnsi="Arial" w:eastAsia="宋体" w:cs="Times New Roman"/>
          <w:sz w:val="24"/>
          <w:szCs w:val="24"/>
          <w:highlight w:val="yellow"/>
        </w:rPr>
        <w:t>，将承担相关不利后果（如声明函被认定无效等）。</w:t>
      </w:r>
    </w:p>
    <w:p>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pPr>
        <w:widowControl/>
        <w:jc w:val="center"/>
        <w:outlineLvl w:val="3"/>
        <w:rPr>
          <w:rFonts w:hint="eastAsia" w:ascii="宋体" w:hAnsi="宋体" w:cs="Times New Roman"/>
          <w:b/>
          <w:bCs/>
          <w:kern w:val="0"/>
          <w:sz w:val="24"/>
          <w:szCs w:val="20"/>
        </w:rPr>
      </w:pPr>
      <w:r>
        <w:rPr>
          <w:rFonts w:hint="eastAsia" w:ascii="宋体" w:hAnsi="宋体" w:eastAsia="宋体" w:cs="Times New Roman"/>
          <w:b/>
          <w:bCs/>
          <w:kern w:val="0"/>
          <w:sz w:val="24"/>
          <w:szCs w:val="20"/>
        </w:rPr>
        <w:t>4</w:t>
      </w:r>
      <w:r>
        <w:rPr>
          <w:rFonts w:ascii="宋体" w:hAnsi="宋体" w:eastAsia="宋体" w:cs="Times New Roman"/>
          <w:b/>
          <w:bCs/>
          <w:kern w:val="0"/>
          <w:sz w:val="24"/>
          <w:szCs w:val="20"/>
        </w:rPr>
        <w:t>.</w:t>
      </w:r>
      <w:r>
        <w:rPr>
          <w:rFonts w:hint="eastAsia"/>
          <w:b/>
          <w:bCs/>
          <w:sz w:val="24"/>
          <w:szCs w:val="24"/>
        </w:rPr>
        <w:t>项目详细报价</w:t>
      </w:r>
    </w:p>
    <w:p>
      <w:pPr>
        <w:tabs>
          <w:tab w:val="left" w:pos="720"/>
        </w:tabs>
        <w:ind w:firstLine="3132" w:firstLineChars="1300"/>
        <w:rPr>
          <w:b/>
          <w:sz w:val="24"/>
        </w:rPr>
      </w:pPr>
      <w:r>
        <w:rPr>
          <w:rFonts w:hint="eastAsia"/>
          <w:b/>
          <w:sz w:val="24"/>
        </w:rPr>
        <w:t>（一）分项报价表</w:t>
      </w:r>
    </w:p>
    <w:tbl>
      <w:tblPr>
        <w:tblStyle w:val="20"/>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宝安中学（集团）第二实验学校食堂自营管理人员托管服务项目</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以上各项之和</w:t>
            </w:r>
          </w:p>
        </w:tc>
      </w:tr>
    </w:tbl>
    <w:p>
      <w:pPr>
        <w:spacing w:after="78" w:afterLines="25" w:line="300" w:lineRule="auto"/>
        <w:rPr>
          <w:rFonts w:ascii="Arial" w:hAnsi="Arial" w:eastAsia="宋体" w:cs="Times New Roman"/>
          <w:b/>
          <w:sz w:val="20"/>
        </w:rPr>
      </w:pPr>
      <w:r>
        <w:rPr>
          <w:rFonts w:hint="eastAsia" w:ascii="Arial" w:hAnsi="Arial" w:eastAsia="宋体" w:cs="Times New Roman"/>
          <w:b/>
          <w:sz w:val="20"/>
        </w:rPr>
        <w:t>填写说明：</w:t>
      </w:r>
    </w:p>
    <w:p>
      <w:pPr>
        <w:spacing w:line="440" w:lineRule="atLeast"/>
        <w:rPr>
          <w:rFonts w:hint="eastAsia" w:asciiTheme="minorEastAsia" w:hAnsiTheme="minorEastAsia" w:cstheme="minorEastAsia"/>
          <w:b/>
          <w:sz w:val="20"/>
        </w:rPr>
      </w:pPr>
      <w:r>
        <w:rPr>
          <w:rFonts w:hint="eastAsia" w:asciiTheme="minorEastAsia" w:hAnsiTheme="minorEastAsia" w:cstheme="minorEastAsia"/>
          <w:b/>
          <w:sz w:val="20"/>
        </w:rPr>
        <w:t>1、此表可延长，各投标人根据本项目实际涉及的所有支出项情况修改后填写。本表如有缺漏项，由投标人自行承担。</w:t>
      </w:r>
    </w:p>
    <w:p>
      <w:pPr>
        <w:pStyle w:val="10"/>
        <w:rPr>
          <w:sz w:val="22"/>
          <w:szCs w:val="21"/>
        </w:rPr>
      </w:pPr>
      <w:r>
        <w:rPr>
          <w:rFonts w:hint="eastAsia" w:asciiTheme="minorEastAsia" w:hAnsiTheme="minorEastAsia" w:cstheme="minorEastAsia"/>
          <w:sz w:val="22"/>
          <w:szCs w:val="20"/>
        </w:rPr>
        <w:t>2、中标人签订合同前将详细的《分项报价表》递交采购单位，经采购单位审核同意后方可实施。</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23" w:name="_Hlk72073235"/>
      <w:r>
        <w:rPr>
          <w:rFonts w:hint="eastAsia"/>
          <w:b/>
          <w:sz w:val="24"/>
        </w:rPr>
        <w:t>投标人认为需要涉及的其他内容报价清单</w:t>
      </w:r>
      <w:bookmarkEnd w:id="23"/>
    </w:p>
    <w:p>
      <w:pPr>
        <w:spacing w:line="440" w:lineRule="atLeast"/>
        <w:rPr>
          <w:rFonts w:hint="eastAsia" w:asciiTheme="minorEastAsia" w:hAnsiTheme="minorEastAsia" w:cstheme="minorEastAsia"/>
          <w:b/>
          <w:szCs w:val="21"/>
        </w:rPr>
      </w:pPr>
    </w:p>
    <w:p>
      <w:pPr>
        <w:widowControl/>
        <w:jc w:val="left"/>
        <w:rPr>
          <w:rFonts w:ascii="Arial" w:hAnsi="Arial" w:eastAsia="宋体" w:cs="Arial"/>
          <w:sz w:val="24"/>
          <w:szCs w:val="24"/>
          <w:u w:val="single"/>
        </w:rPr>
      </w:pPr>
      <w:r>
        <w:rPr>
          <w:rFonts w:cs="Times New Roman" w:asciiTheme="minorEastAsia" w:hAnsiTheme="minorEastAsia"/>
          <w:sz w:val="24"/>
          <w:szCs w:val="24"/>
        </w:rPr>
        <w:br w:type="page"/>
      </w:r>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5.经验情况表</w:t>
      </w:r>
    </w:p>
    <w:tbl>
      <w:tblPr>
        <w:tblStyle w:val="20"/>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hint="eastAsia"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78" w:afterLines="25" w:line="300" w:lineRule="auto"/>
              <w:rPr>
                <w:rFonts w:hint="eastAsia" w:ascii="宋体" w:hAnsi="宋体" w:eastAsia="宋体" w:cs="Arial"/>
                <w:sz w:val="24"/>
                <w:szCs w:val="24"/>
              </w:rPr>
            </w:pPr>
          </w:p>
        </w:tc>
        <w:tc>
          <w:tcPr>
            <w:tcW w:w="1017" w:type="pct"/>
          </w:tcPr>
          <w:p>
            <w:pPr>
              <w:spacing w:after="78" w:afterLines="25" w:line="300" w:lineRule="auto"/>
              <w:rPr>
                <w:rFonts w:hint="eastAsia" w:ascii="宋体" w:hAnsi="宋体" w:eastAsia="宋体" w:cs="Arial"/>
                <w:sz w:val="24"/>
                <w:szCs w:val="24"/>
              </w:rPr>
            </w:pPr>
          </w:p>
        </w:tc>
        <w:tc>
          <w:tcPr>
            <w:tcW w:w="1255" w:type="pct"/>
          </w:tcPr>
          <w:p>
            <w:pPr>
              <w:spacing w:after="78" w:afterLines="25" w:line="300" w:lineRule="auto"/>
              <w:rPr>
                <w:rFonts w:hint="eastAsia" w:ascii="宋体" w:hAnsi="宋体" w:eastAsia="宋体" w:cs="Arial"/>
                <w:sz w:val="24"/>
                <w:szCs w:val="24"/>
              </w:rPr>
            </w:pPr>
          </w:p>
        </w:tc>
        <w:tc>
          <w:tcPr>
            <w:tcW w:w="733" w:type="pct"/>
          </w:tcPr>
          <w:p>
            <w:pPr>
              <w:spacing w:after="78" w:afterLines="25" w:line="300" w:lineRule="auto"/>
              <w:rPr>
                <w:rFonts w:hint="eastAsia" w:ascii="宋体" w:hAnsi="宋体" w:eastAsia="宋体" w:cs="Arial"/>
                <w:sz w:val="24"/>
                <w:szCs w:val="24"/>
              </w:rPr>
            </w:pPr>
          </w:p>
        </w:tc>
        <w:tc>
          <w:tcPr>
            <w:tcW w:w="764" w:type="pct"/>
          </w:tcPr>
          <w:p>
            <w:pPr>
              <w:spacing w:after="78" w:afterLines="25" w:line="300" w:lineRule="auto"/>
              <w:rPr>
                <w:rFonts w:hint="eastAsia" w:ascii="宋体" w:hAnsi="宋体" w:eastAsia="宋体" w:cs="Arial"/>
                <w:sz w:val="24"/>
                <w:szCs w:val="24"/>
              </w:rPr>
            </w:pPr>
          </w:p>
        </w:tc>
        <w:tc>
          <w:tcPr>
            <w:tcW w:w="790" w:type="pct"/>
          </w:tcPr>
          <w:p>
            <w:pPr>
              <w:spacing w:after="78" w:afterLines="25" w:line="300" w:lineRule="auto"/>
              <w:rPr>
                <w:rFonts w:hint="eastAsia"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78" w:afterLines="25" w:line="300" w:lineRule="auto"/>
              <w:rPr>
                <w:rFonts w:hint="eastAsia" w:ascii="宋体" w:hAnsi="宋体" w:eastAsia="宋体" w:cs="Arial"/>
                <w:sz w:val="24"/>
                <w:szCs w:val="24"/>
              </w:rPr>
            </w:pPr>
          </w:p>
        </w:tc>
        <w:tc>
          <w:tcPr>
            <w:tcW w:w="1017" w:type="pct"/>
          </w:tcPr>
          <w:p>
            <w:pPr>
              <w:spacing w:after="78" w:afterLines="25" w:line="300" w:lineRule="auto"/>
              <w:rPr>
                <w:rFonts w:hint="eastAsia" w:ascii="宋体" w:hAnsi="宋体" w:eastAsia="宋体" w:cs="Arial"/>
                <w:sz w:val="24"/>
                <w:szCs w:val="24"/>
              </w:rPr>
            </w:pPr>
          </w:p>
        </w:tc>
        <w:tc>
          <w:tcPr>
            <w:tcW w:w="1255" w:type="pct"/>
          </w:tcPr>
          <w:p>
            <w:pPr>
              <w:spacing w:after="78" w:afterLines="25" w:line="300" w:lineRule="auto"/>
              <w:rPr>
                <w:rFonts w:hint="eastAsia" w:ascii="宋体" w:hAnsi="宋体" w:eastAsia="宋体" w:cs="Arial"/>
                <w:sz w:val="24"/>
                <w:szCs w:val="24"/>
              </w:rPr>
            </w:pPr>
          </w:p>
        </w:tc>
        <w:tc>
          <w:tcPr>
            <w:tcW w:w="733" w:type="pct"/>
          </w:tcPr>
          <w:p>
            <w:pPr>
              <w:spacing w:after="78" w:afterLines="25" w:line="300" w:lineRule="auto"/>
              <w:rPr>
                <w:rFonts w:hint="eastAsia" w:ascii="宋体" w:hAnsi="宋体" w:eastAsia="宋体" w:cs="Arial"/>
                <w:sz w:val="24"/>
                <w:szCs w:val="24"/>
              </w:rPr>
            </w:pPr>
          </w:p>
        </w:tc>
        <w:tc>
          <w:tcPr>
            <w:tcW w:w="764" w:type="pct"/>
          </w:tcPr>
          <w:p>
            <w:pPr>
              <w:spacing w:after="78" w:afterLines="25" w:line="300" w:lineRule="auto"/>
              <w:rPr>
                <w:rFonts w:hint="eastAsia" w:ascii="宋体" w:hAnsi="宋体" w:eastAsia="宋体" w:cs="Arial"/>
                <w:sz w:val="24"/>
                <w:szCs w:val="24"/>
              </w:rPr>
            </w:pPr>
          </w:p>
        </w:tc>
        <w:tc>
          <w:tcPr>
            <w:tcW w:w="790" w:type="pct"/>
          </w:tcPr>
          <w:p>
            <w:pPr>
              <w:spacing w:after="78" w:afterLines="25" w:line="300" w:lineRule="auto"/>
              <w:rPr>
                <w:rFonts w:hint="eastAsia"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78" w:afterLines="25" w:line="300" w:lineRule="auto"/>
              <w:rPr>
                <w:rFonts w:hint="eastAsia" w:ascii="宋体" w:hAnsi="宋体" w:eastAsia="宋体" w:cs="Arial"/>
                <w:sz w:val="24"/>
                <w:szCs w:val="24"/>
              </w:rPr>
            </w:pPr>
          </w:p>
        </w:tc>
        <w:tc>
          <w:tcPr>
            <w:tcW w:w="1017" w:type="pct"/>
          </w:tcPr>
          <w:p>
            <w:pPr>
              <w:spacing w:after="78" w:afterLines="25" w:line="300" w:lineRule="auto"/>
              <w:rPr>
                <w:rFonts w:hint="eastAsia" w:ascii="宋体" w:hAnsi="宋体" w:eastAsia="宋体" w:cs="Arial"/>
                <w:sz w:val="24"/>
                <w:szCs w:val="24"/>
              </w:rPr>
            </w:pPr>
          </w:p>
        </w:tc>
        <w:tc>
          <w:tcPr>
            <w:tcW w:w="1255" w:type="pct"/>
          </w:tcPr>
          <w:p>
            <w:pPr>
              <w:spacing w:after="78" w:afterLines="25" w:line="300" w:lineRule="auto"/>
              <w:rPr>
                <w:rFonts w:hint="eastAsia" w:ascii="宋体" w:hAnsi="宋体" w:eastAsia="宋体" w:cs="Arial"/>
                <w:sz w:val="24"/>
                <w:szCs w:val="24"/>
              </w:rPr>
            </w:pPr>
          </w:p>
        </w:tc>
        <w:tc>
          <w:tcPr>
            <w:tcW w:w="733" w:type="pct"/>
          </w:tcPr>
          <w:p>
            <w:pPr>
              <w:spacing w:after="78" w:afterLines="25" w:line="300" w:lineRule="auto"/>
              <w:rPr>
                <w:rFonts w:hint="eastAsia" w:ascii="宋体" w:hAnsi="宋体" w:eastAsia="宋体" w:cs="Arial"/>
                <w:sz w:val="24"/>
                <w:szCs w:val="24"/>
              </w:rPr>
            </w:pPr>
          </w:p>
        </w:tc>
        <w:tc>
          <w:tcPr>
            <w:tcW w:w="764" w:type="pct"/>
          </w:tcPr>
          <w:p>
            <w:pPr>
              <w:spacing w:after="78" w:afterLines="25" w:line="300" w:lineRule="auto"/>
              <w:rPr>
                <w:rFonts w:hint="eastAsia" w:ascii="宋体" w:hAnsi="宋体" w:eastAsia="宋体" w:cs="Arial"/>
                <w:sz w:val="24"/>
                <w:szCs w:val="24"/>
              </w:rPr>
            </w:pPr>
          </w:p>
        </w:tc>
        <w:tc>
          <w:tcPr>
            <w:tcW w:w="790" w:type="pct"/>
          </w:tcPr>
          <w:p>
            <w:pPr>
              <w:spacing w:after="78" w:afterLines="25" w:line="300" w:lineRule="auto"/>
              <w:rPr>
                <w:rFonts w:hint="eastAsia"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pStyle w:val="10"/>
        <w:rPr>
          <w:rFonts w:ascii="Arial" w:hAnsi="Arial" w:eastAsia="宋体" w:cs="Times New Roman"/>
          <w:szCs w:val="24"/>
        </w:rPr>
      </w:pPr>
    </w:p>
    <w:p>
      <w:pPr>
        <w:pStyle w:val="11"/>
      </w:pPr>
    </w:p>
    <w:p>
      <w:pPr>
        <w:spacing w:after="78" w:afterLines="25" w:line="300" w:lineRule="auto"/>
        <w:rPr>
          <w:rFonts w:ascii="Arial" w:hAnsi="Arial" w:eastAsia="宋体" w:cs="Times New Roman"/>
          <w:sz w:val="24"/>
          <w:szCs w:val="24"/>
        </w:rPr>
      </w:pPr>
    </w:p>
    <w:p>
      <w:pPr>
        <w:spacing w:after="78" w:afterLines="25" w:line="300" w:lineRule="auto"/>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78" w:afterLines="25" w:line="300" w:lineRule="auto"/>
        <w:jc w:val="center"/>
        <w:rPr>
          <w:rFonts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pStyle w:val="10"/>
        <w:rPr>
          <w:rFonts w:ascii="Arial" w:hAnsi="Arial" w:eastAsia="宋体" w:cs="Times New Roman"/>
          <w:szCs w:val="24"/>
        </w:rPr>
      </w:pPr>
    </w:p>
    <w:p>
      <w:pPr>
        <w:pStyle w:val="11"/>
        <w:rPr>
          <w:rFonts w:ascii="Arial" w:hAnsi="Arial" w:eastAsia="宋体" w:cs="Times New Roman"/>
          <w:b/>
          <w:szCs w:val="24"/>
        </w:rPr>
      </w:pPr>
    </w:p>
    <w:p>
      <w:pPr>
        <w:pStyle w:val="11"/>
        <w:rPr>
          <w:rFonts w:ascii="Arial" w:hAnsi="Arial" w:eastAsia="宋体" w:cs="Times New Roman"/>
          <w:b/>
          <w:szCs w:val="24"/>
        </w:rPr>
      </w:pPr>
    </w:p>
    <w:p>
      <w:pPr>
        <w:pStyle w:val="11"/>
        <w:rPr>
          <w:rFonts w:ascii="Arial" w:hAnsi="Arial" w:eastAsia="宋体" w:cs="Times New Roman"/>
          <w:b/>
          <w:szCs w:val="24"/>
        </w:rPr>
      </w:pPr>
    </w:p>
    <w:p>
      <w:pPr>
        <w:widowControl/>
        <w:jc w:val="left"/>
        <w:rPr>
          <w:rFonts w:ascii="Arial" w:hAnsi="Arial" w:eastAsia="宋体" w:cs="Times New Roman"/>
          <w:szCs w:val="24"/>
        </w:rPr>
      </w:pPr>
      <w:r>
        <w:rPr>
          <w:rFonts w:ascii="Arial" w:hAnsi="Arial" w:eastAsia="宋体" w:cs="Times New Roman"/>
          <w:szCs w:val="24"/>
        </w:rPr>
        <w:br w:type="page"/>
      </w:r>
    </w:p>
    <w:p>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ind w:left="140"/>
        <w:jc w:val="center"/>
        <w:rPr>
          <w:rFonts w:ascii="Arial" w:hAnsi="Arial" w:eastAsia="宋体" w:cs="Arial"/>
          <w:b/>
          <w:sz w:val="24"/>
          <w:szCs w:val="24"/>
        </w:rPr>
      </w:pPr>
    </w:p>
    <w:p>
      <w:pPr>
        <w:spacing w:line="360" w:lineRule="auto"/>
        <w:ind w:firstLine="420" w:firstLineChars="200"/>
        <w:rPr>
          <w:rFonts w:eastAsia="宋体"/>
          <w:szCs w:val="21"/>
        </w:rPr>
      </w:pP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ascii="Times New Roman" w:eastAsia="宋体"/>
          <w:szCs w:val="21"/>
          <w:u w:val="single"/>
        </w:rPr>
        <w:t xml:space="preserve">   </w:t>
      </w:r>
      <w:r>
        <w:rPr>
          <w:rFonts w:hint="eastAsia" w:eastAsia="宋体"/>
          <w:szCs w:val="21"/>
        </w:rPr>
        <w:t>（</w:t>
      </w:r>
      <w:r>
        <w:rPr>
          <w:rFonts w:hint="eastAsia" w:ascii="Times New Roman" w:eastAsia="宋体"/>
          <w:szCs w:val="21"/>
        </w:rPr>
        <w:t>姓名</w:t>
      </w:r>
      <w:r>
        <w:rPr>
          <w:rFonts w:hint="eastAsia" w:eastAsia="宋体"/>
          <w:szCs w:val="21"/>
        </w:rPr>
        <w:t>）</w:t>
      </w:r>
      <w:r>
        <w:rPr>
          <w:rFonts w:hint="eastAsia"/>
          <w:szCs w:val="21"/>
        </w:rPr>
        <w:t>，现任我单位</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rPr>
        <w:t>身份证件</w:t>
      </w:r>
      <w:r>
        <w:rPr>
          <w:rFonts w:hint="eastAsia"/>
          <w:szCs w:val="21"/>
        </w:rPr>
        <w:t>号</w:t>
      </w:r>
      <w:r>
        <w:rPr>
          <w:rFonts w:hint="eastAsia" w:ascii="Times New Roman" w:eastAsia="宋体"/>
          <w:szCs w:val="21"/>
        </w:rPr>
        <w:t>为</w:t>
      </w:r>
      <w:r>
        <w:rPr>
          <w:rFonts w:hint="eastAsia"/>
          <w:szCs w:val="21"/>
        </w:rPr>
        <w:t>：</w:t>
      </w:r>
      <w:r>
        <w:rPr>
          <w:rFonts w:hint="eastAsia"/>
          <w:szCs w:val="21"/>
          <w:u w:val="single"/>
        </w:rPr>
        <w:t xml:space="preserve">                                     </w:t>
      </w:r>
      <w:r>
        <w:rPr>
          <w:rFonts w:hint="eastAsia" w:eastAsia="宋体"/>
          <w:szCs w:val="21"/>
        </w:rPr>
        <w:t>，</w:t>
      </w:r>
      <w:r>
        <w:rPr>
          <w:rFonts w:hint="eastAsia"/>
          <w:szCs w:val="21"/>
        </w:rPr>
        <w:t>联系电话：</w:t>
      </w:r>
      <w:r>
        <w:rPr>
          <w:rFonts w:hint="eastAsia" w:ascii="Times New Roman" w:eastAsia="宋体"/>
          <w:szCs w:val="21"/>
          <w:u w:val="single"/>
        </w:rPr>
        <w:t xml:space="preserve">                </w:t>
      </w:r>
      <w:r>
        <w:rPr>
          <w:rFonts w:hint="eastAsia" w:ascii="Times New Roman" w:eastAsia="宋体"/>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6"/>
        </w:numPr>
        <w:spacing w:line="360" w:lineRule="auto"/>
        <w:ind w:firstLine="420" w:firstLineChars="200"/>
        <w:rPr>
          <w:szCs w:val="21"/>
        </w:rPr>
      </w:pPr>
      <w:r>
        <w:rPr>
          <w:rFonts w:hint="eastAsia" w:eastAsia="宋体"/>
          <w:szCs w:val="21"/>
          <w:lang w:eastAsia="zh-Hans"/>
        </w:rPr>
        <w:t>本证明书要供法定代表人（负责人）</w:t>
      </w:r>
      <w:r>
        <w:rPr>
          <w:rFonts w:hint="eastAsia" w:ascii="Times New Roman" w:eastAsia="宋体"/>
          <w:szCs w:val="21"/>
        </w:rPr>
        <w:t>相关身份证明文件：身份证扫描件（正反两面）；港澳台居民可提供来往通行证扫描件；非中国国籍管辖范围人员，可提供公安部门认可的身份证明材料扫描件。</w:t>
      </w:r>
    </w:p>
    <w:p>
      <w:pPr>
        <w:numPr>
          <w:ilvl w:val="0"/>
          <w:numId w:val="6"/>
        </w:numPr>
        <w:spacing w:line="360" w:lineRule="auto"/>
        <w:ind w:firstLine="420" w:firstLineChars="200"/>
        <w:rPr>
          <w:szCs w:val="21"/>
        </w:rPr>
      </w:pPr>
      <w:r>
        <w:rPr>
          <w:rFonts w:hint="eastAsia" w:eastAsia="宋体"/>
          <w:szCs w:val="21"/>
          <w:lang w:eastAsia="zh-Hans"/>
        </w:rPr>
        <w:t>本项目投标授权代表为法定代表人（负责人）的，无需提供</w:t>
      </w:r>
      <w:r>
        <w:rPr>
          <w:rFonts w:hint="eastAsia"/>
          <w:szCs w:val="21"/>
        </w:rPr>
        <w:t>《投标文件签署授权委托书》</w:t>
      </w:r>
      <w:r>
        <w:rPr>
          <w:rFonts w:hint="eastAsia" w:eastAsia="宋体"/>
          <w:szCs w:val="21"/>
          <w:lang w:eastAsia="zh-Hans"/>
        </w:rPr>
        <w:t>。</w:t>
      </w:r>
    </w:p>
    <w:p>
      <w:pPr>
        <w:numPr>
          <w:ilvl w:val="0"/>
          <w:numId w:val="6"/>
        </w:numPr>
        <w:spacing w:line="360" w:lineRule="auto"/>
        <w:ind w:firstLine="420" w:firstLineChars="200"/>
        <w:rPr>
          <w:szCs w:val="21"/>
        </w:rPr>
      </w:pPr>
      <w:r>
        <w:rPr>
          <w:rFonts w:hint="eastAsia"/>
          <w:szCs w:val="21"/>
        </w:rPr>
        <w:t>内容必须填写真实、清楚，涂改无效，不得转让、买卖。</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ascii="Times New Roman" w:eastAsia="宋体"/>
              </w:rPr>
              <w:t>证件扫描件正面</w:t>
            </w:r>
          </w:p>
          <w:p>
            <w:pPr>
              <w:pStyle w:val="10"/>
              <w:jc w:val="center"/>
            </w:pPr>
            <w:r>
              <w:rPr>
                <w:rFonts w:hint="eastAsia"/>
              </w:rPr>
              <w:t xml:space="preserve"> </w:t>
            </w:r>
          </w:p>
          <w:p>
            <w:pPr>
              <w:pStyle w:val="11"/>
            </w:pPr>
          </w:p>
          <w:p>
            <w:pPr>
              <w:pStyle w:val="11"/>
            </w:pPr>
          </w:p>
          <w:p>
            <w:pPr>
              <w:pStyle w:val="11"/>
            </w:pPr>
          </w:p>
          <w:p>
            <w:pPr>
              <w:pStyle w:val="11"/>
            </w:pPr>
          </w:p>
          <w:p>
            <w:pPr>
              <w:pStyle w:val="11"/>
              <w:jc w:val="center"/>
            </w:pPr>
          </w:p>
        </w:tc>
        <w:tc>
          <w:tcPr>
            <w:tcW w:w="4265" w:type="dxa"/>
          </w:tcPr>
          <w:p>
            <w:pPr>
              <w:jc w:val="center"/>
            </w:pPr>
            <w:r>
              <w:rPr>
                <w:rFonts w:hint="eastAsia" w:ascii="Times New Roman" w:eastAsia="宋体"/>
              </w:rPr>
              <w:t>证件扫描件反面</w:t>
            </w:r>
          </w:p>
          <w:p>
            <w:pPr>
              <w:pStyle w:val="10"/>
              <w:jc w:val="center"/>
            </w:pPr>
          </w:p>
          <w:p>
            <w:pPr>
              <w:pStyle w:val="11"/>
              <w:jc w:val="center"/>
            </w:pPr>
          </w:p>
        </w:tc>
      </w:tr>
    </w:tbl>
    <w:p>
      <w:pPr>
        <w:snapToGrid w:val="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eastAsia="宋体"/>
          <w:szCs w:val="21"/>
        </w:rPr>
        <w:t>：</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pPr>
        <w:spacing w:line="360" w:lineRule="auto"/>
        <w:ind w:firstLine="420" w:firstLineChars="200"/>
        <w:rPr>
          <w:szCs w:val="21"/>
        </w:rPr>
      </w:pPr>
      <w:r>
        <w:rPr>
          <w:rFonts w:hint="eastAsia"/>
          <w:szCs w:val="21"/>
        </w:rPr>
        <w:t>身份</w:t>
      </w:r>
      <w:r>
        <w:rPr>
          <w:rFonts w:hint="eastAsia" w:ascii="Times New Roman" w:eastAsia="宋体"/>
          <w:szCs w:val="21"/>
        </w:rPr>
        <w:t>证件号</w:t>
      </w:r>
      <w:r>
        <w:rPr>
          <w:rFonts w:hint="eastAsia"/>
          <w:szCs w:val="21"/>
        </w:rPr>
        <w:t>：</w:t>
      </w:r>
      <w:r>
        <w:rPr>
          <w:rFonts w:hint="eastAsia"/>
          <w:szCs w:val="21"/>
          <w:u w:val="single"/>
        </w:rPr>
        <w:t xml:space="preserve">                        </w:t>
      </w:r>
      <w:r>
        <w:rPr>
          <w:rFonts w:hint="eastAsia" w:eastAsia="宋体"/>
          <w:szCs w:val="21"/>
        </w:rPr>
        <w:t>，</w:t>
      </w:r>
      <w:r>
        <w:rPr>
          <w:rFonts w:hint="eastAsia"/>
          <w:szCs w:val="21"/>
        </w:rPr>
        <w:t>职务：</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eastAsia="宋体"/>
          <w:szCs w:val="21"/>
        </w:rPr>
        <w:t>，</w:t>
      </w:r>
      <w:r>
        <w:rPr>
          <w:rFonts w:hint="eastAsia"/>
          <w:szCs w:val="21"/>
        </w:rPr>
        <w:t>手机：</w:t>
      </w:r>
      <w:r>
        <w:rPr>
          <w:rFonts w:hint="eastAsia"/>
          <w:szCs w:val="21"/>
          <w:u w:val="single"/>
        </w:rPr>
        <w:t xml:space="preserve">                </w:t>
      </w:r>
      <w:r>
        <w:rPr>
          <w:rFonts w:hint="eastAsia" w:eastAsia="宋体"/>
          <w:szCs w:val="21"/>
        </w:rPr>
        <w:t>，</w:t>
      </w:r>
      <w:r>
        <w:rPr>
          <w:rFonts w:hint="eastAsia" w:ascii="Times New Roman" w:eastAsia="宋体"/>
          <w:szCs w:val="21"/>
        </w:rPr>
        <w:t>电子邮箱：</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264" w:type="dxa"/>
          </w:tcPr>
          <w:p>
            <w:pPr>
              <w:jc w:val="center"/>
            </w:pPr>
            <w:r>
              <w:rPr>
                <w:rFonts w:hint="eastAsia" w:ascii="Times New Roman" w:eastAsia="宋体"/>
              </w:rPr>
              <w:t>证件扫描件正面</w:t>
            </w:r>
          </w:p>
          <w:p>
            <w:pPr>
              <w:pStyle w:val="10"/>
              <w:jc w:val="center"/>
            </w:pPr>
          </w:p>
          <w:p>
            <w:pPr>
              <w:pStyle w:val="11"/>
              <w:jc w:val="center"/>
            </w:pPr>
          </w:p>
        </w:tc>
        <w:tc>
          <w:tcPr>
            <w:tcW w:w="4265" w:type="dxa"/>
          </w:tcPr>
          <w:p>
            <w:pPr>
              <w:jc w:val="center"/>
            </w:pPr>
            <w:r>
              <w:rPr>
                <w:rFonts w:hint="eastAsia" w:ascii="Times New Roman" w:eastAsia="宋体"/>
              </w:rPr>
              <w:t>证件扫描件反面</w:t>
            </w:r>
          </w:p>
          <w:p>
            <w:pPr>
              <w:pStyle w:val="10"/>
              <w:jc w:val="center"/>
            </w:pPr>
          </w:p>
          <w:p>
            <w:pPr>
              <w:pStyle w:val="11"/>
              <w:jc w:val="center"/>
            </w:pPr>
          </w:p>
        </w:tc>
      </w:tr>
    </w:tbl>
    <w:p>
      <w:pPr>
        <w:tabs>
          <w:tab w:val="left" w:pos="651"/>
        </w:tabs>
        <w:snapToGrid w:val="0"/>
        <w:jc w:val="center"/>
        <w:rPr>
          <w:rFonts w:hint="eastAsia" w:ascii="宋体" w:hAnsi="宋体" w:eastAsia="宋体" w:cs="Times New Roman"/>
          <w:color w:val="FF0000"/>
          <w:sz w:val="28"/>
          <w:szCs w:val="28"/>
        </w:rPr>
      </w:pP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hint="eastAsia" w:cs="Times New Roman" w:asciiTheme="minorEastAsia" w:hAnsiTheme="minorEastAsia"/>
          <w:b/>
          <w:sz w:val="24"/>
          <w:szCs w:val="24"/>
        </w:rPr>
      </w:pPr>
    </w:p>
    <w:tbl>
      <w:tblPr>
        <w:tblStyle w:val="20"/>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hint="eastAsia"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pPr>
              <w:spacing w:line="300" w:lineRule="auto"/>
              <w:jc w:val="center"/>
              <w:rPr>
                <w:rFonts w:hint="eastAsia" w:ascii="宋体" w:hAnsi="宋体" w:eastAsia="宋体" w:cs="Times New Roman"/>
                <w:b/>
                <w:color w:val="FF0000"/>
                <w:kern w:val="0"/>
                <w:szCs w:val="21"/>
              </w:rPr>
            </w:pPr>
          </w:p>
        </w:tc>
      </w:tr>
    </w:tbl>
    <w:p>
      <w:pPr>
        <w:snapToGrid w:val="0"/>
        <w:rPr>
          <w:rFonts w:hint="eastAsia"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注：</w:t>
      </w:r>
    </w:p>
    <w:p>
      <w:pPr>
        <w:ind w:firstLine="480" w:firstLineChars="200"/>
        <w:rPr>
          <w:bCs/>
          <w:sz w:val="24"/>
        </w:rPr>
      </w:pPr>
      <w:r>
        <w:rPr>
          <w:rFonts w:hint="eastAsia"/>
          <w:bCs/>
          <w:sz w:val="24"/>
        </w:rPr>
        <w:t>1.上表所列各项均为不可负偏离条款。</w:t>
      </w:r>
    </w:p>
    <w:p>
      <w:pPr>
        <w:ind w:firstLine="480" w:firstLineChars="200"/>
        <w:rPr>
          <w:bCs/>
          <w:sz w:val="24"/>
        </w:rPr>
      </w:pPr>
      <w:r>
        <w:rPr>
          <w:rFonts w:hint="eastAsia"/>
          <w:bCs/>
          <w:sz w:val="24"/>
        </w:rPr>
        <w:t>2.“投标响应”一栏应当详细填写投标人自身响应情况，而不能不合理照搬照抄招实质性条款具体内容。</w:t>
      </w:r>
      <w:r>
        <w:rPr>
          <w:rFonts w:hint="eastAsia"/>
          <w:b/>
          <w:sz w:val="24"/>
        </w:rPr>
        <w:t>如完全满足实质性条款具体内容可填写“完全响应”，除招标文件另有注明外，不强制要求逐条列出响应。</w:t>
      </w:r>
    </w:p>
    <w:p>
      <w:pPr>
        <w:ind w:firstLine="480" w:firstLineChars="200"/>
        <w:rPr>
          <w:bCs/>
          <w:sz w:val="24"/>
        </w:rPr>
      </w:pPr>
      <w:r>
        <w:rPr>
          <w:rFonts w:hint="eastAsia"/>
          <w:bCs/>
          <w:sz w:val="24"/>
        </w:rPr>
        <w:t>3</w:t>
      </w:r>
      <w:r>
        <w:rPr>
          <w:bCs/>
          <w:sz w:val="24"/>
        </w:rPr>
        <w:t>.</w:t>
      </w:r>
      <w:r>
        <w:rPr>
          <w:rFonts w:hint="eastAsia"/>
          <w:bCs/>
          <w:sz w:val="24"/>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0" w:firstLineChars="200"/>
        <w:rPr>
          <w:bCs/>
          <w:sz w:val="24"/>
        </w:rPr>
      </w:pPr>
      <w:r>
        <w:rPr>
          <w:bCs/>
          <w:sz w:val="24"/>
        </w:rPr>
        <w:t>4.</w:t>
      </w:r>
      <w:r>
        <w:rPr>
          <w:rFonts w:hint="eastAsia"/>
          <w:bCs/>
          <w:sz w:val="24"/>
        </w:rPr>
        <w:t>评审委员会有权对投标响应情况作出判断（作出评审结论）。</w:t>
      </w:r>
    </w:p>
    <w:p>
      <w:pPr>
        <w:ind w:firstLine="480" w:firstLineChars="200"/>
        <w:rPr>
          <w:bCs/>
          <w:sz w:val="24"/>
        </w:rPr>
      </w:pPr>
      <w:r>
        <w:rPr>
          <w:bCs/>
          <w:sz w:val="24"/>
        </w:rPr>
        <w:t>5</w:t>
      </w:r>
      <w:r>
        <w:rPr>
          <w:rFonts w:hint="eastAsia"/>
          <w:bCs/>
          <w:sz w:val="24"/>
        </w:rPr>
        <w:t>.实质性响应条款“投标响应情况”与投标文件其它内容冲突的，以实质性响应条款“投标响应情况”为准。</w:t>
      </w:r>
    </w:p>
    <w:p>
      <w:pPr>
        <w:ind w:firstLine="480" w:firstLineChars="200"/>
        <w:rPr>
          <w:bCs/>
          <w:sz w:val="24"/>
        </w:rPr>
      </w:pPr>
      <w:r>
        <w:rPr>
          <w:rFonts w:hint="eastAsia"/>
          <w:bCs/>
          <w:sz w:val="24"/>
        </w:rPr>
        <w:t>6.要求提供证明资料，在“说明”一栏中列明证明资料的位置,以便评审；未要求提供证明材料的，投标人可以不提供。</w:t>
      </w:r>
    </w:p>
    <w:p>
      <w:pPr>
        <w:snapToGrid w:val="0"/>
        <w:spacing w:after="78" w:afterLines="25" w:line="300" w:lineRule="auto"/>
        <w:rPr>
          <w:rFonts w:hint="eastAsia" w:cs="Times New Roman" w:asciiTheme="majorEastAsia" w:hAnsiTheme="majorEastAsia" w:eastAsiaTheme="majorEastAsia"/>
          <w:b/>
          <w:color w:val="FF0000"/>
          <w:sz w:val="24"/>
          <w:szCs w:val="24"/>
        </w:rPr>
      </w:pPr>
    </w:p>
    <w:p>
      <w:pPr>
        <w:pStyle w:val="10"/>
        <w:rPr>
          <w:rFonts w:hint="eastAsia" w:cs="Times New Roman" w:asciiTheme="majorEastAsia" w:hAnsiTheme="majorEastAsia" w:eastAsiaTheme="majorEastAsia"/>
          <w:color w:val="FF0000"/>
          <w:szCs w:val="24"/>
        </w:rPr>
      </w:pPr>
    </w:p>
    <w:p>
      <w:pPr>
        <w:pStyle w:val="11"/>
        <w:rPr>
          <w:rFonts w:hint="eastAsia" w:cs="Times New Roman" w:asciiTheme="majorEastAsia" w:hAnsiTheme="majorEastAsia" w:eastAsiaTheme="majorEastAsia"/>
          <w:b/>
          <w:color w:val="FF0000"/>
          <w:szCs w:val="24"/>
        </w:rPr>
      </w:pPr>
    </w:p>
    <w:p>
      <w:pPr>
        <w:rPr>
          <w:rFonts w:hint="eastAsia" w:cs="Times New Roman" w:asciiTheme="majorEastAsia" w:hAnsiTheme="majorEastAsia" w:eastAsiaTheme="majorEastAsia"/>
          <w:b/>
          <w:color w:val="FF0000"/>
          <w:sz w:val="24"/>
          <w:szCs w:val="24"/>
        </w:rPr>
      </w:pPr>
      <w:r>
        <w:rPr>
          <w:rFonts w:hint="eastAsia" w:ascii="宋体" w:hAnsi="宋体" w:eastAsia="宋体" w:cs="Times New Roman"/>
          <w:b/>
          <w:bCs/>
          <w:kern w:val="0"/>
          <w:sz w:val="24"/>
          <w:szCs w:val="20"/>
        </w:rPr>
        <w:br w:type="page"/>
      </w:r>
    </w:p>
    <w:p>
      <w:pPr>
        <w:widowControl/>
        <w:jc w:val="center"/>
        <w:outlineLvl w:val="3"/>
        <w:rPr>
          <w:rFonts w:hint="eastAsia" w:ascii="黑体" w:hAnsi="宋体" w:eastAsia="黑体"/>
          <w:kern w:val="0"/>
          <w:sz w:val="24"/>
          <w:szCs w:val="20"/>
        </w:rPr>
      </w:pPr>
      <w:r>
        <w:rPr>
          <w:rFonts w:hint="eastAsia" w:ascii="宋体" w:hAnsi="宋体" w:eastAsia="宋体" w:cs="Times New Roman"/>
          <w:b/>
          <w:bCs/>
          <w:kern w:val="0"/>
          <w:sz w:val="24"/>
          <w:szCs w:val="20"/>
        </w:rPr>
        <w:t>4.政府采购违法行为风险知悉确认书</w:t>
      </w:r>
    </w:p>
    <w:p>
      <w:pPr>
        <w:widowControl/>
        <w:jc w:val="center"/>
        <w:rPr>
          <w:rFonts w:hint="eastAsia"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pPr>
        <w:pStyle w:val="10"/>
        <w:rPr>
          <w:rFonts w:hint="eastAsia" w:ascii="宋体" w:hAnsi="宋体"/>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pStyle w:val="11"/>
        <w:rPr>
          <w:rFonts w:hint="eastAsia" w:ascii="宋体" w:hAnsi="宋体"/>
          <w:b/>
          <w:bCs/>
          <w:color w:val="FF0000"/>
          <w:spacing w:val="-4"/>
          <w:kern w:val="0"/>
          <w:szCs w:val="21"/>
        </w:rPr>
      </w:pPr>
    </w:p>
    <w:p>
      <w:pPr>
        <w:keepNext/>
        <w:keepLines/>
        <w:adjustRightInd w:val="0"/>
        <w:snapToGrid w:val="0"/>
        <w:spacing w:line="360" w:lineRule="auto"/>
        <w:jc w:val="center"/>
        <w:textAlignment w:val="baseline"/>
        <w:outlineLvl w:val="3"/>
        <w:rPr>
          <w:rFonts w:hint="eastAsia" w:ascii="宋体" w:hAnsi="宋体" w:eastAsia="宋体" w:cs="Times New Roman"/>
          <w:kern w:val="0"/>
          <w:sz w:val="24"/>
          <w:szCs w:val="20"/>
        </w:rPr>
      </w:pPr>
      <w:r>
        <w:rPr>
          <w:rFonts w:hint="eastAsia" w:ascii="宋体" w:hAnsi="宋体" w:eastAsia="宋体" w:cs="Times New Roman"/>
          <w:b/>
          <w:bCs/>
          <w:kern w:val="0"/>
          <w:sz w:val="24"/>
          <w:szCs w:val="20"/>
        </w:rPr>
        <w:t>5.人员情况表</w:t>
      </w:r>
    </w:p>
    <w:tbl>
      <w:tblPr>
        <w:tblStyle w:val="20"/>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78" w:afterLines="25" w:line="300" w:lineRule="auto"/>
              <w:rPr>
                <w:rFonts w:hint="eastAsia" w:ascii="宋体" w:hAnsi="宋体" w:eastAsia="宋体" w:cs="Arial"/>
                <w:sz w:val="24"/>
                <w:szCs w:val="24"/>
              </w:rPr>
            </w:pPr>
          </w:p>
        </w:tc>
      </w:tr>
    </w:tbl>
    <w:p>
      <w:pPr>
        <w:spacing w:after="78" w:afterLines="25" w:line="300" w:lineRule="auto"/>
        <w:rPr>
          <w:rFonts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sectPr>
          <w:headerReference r:id="rId3" w:type="default"/>
          <w:footerReference r:id="rId4" w:type="default"/>
          <w:pgSz w:w="11906" w:h="16838"/>
          <w:pgMar w:top="1440" w:right="1417" w:bottom="1440" w:left="1417" w:header="851" w:footer="992" w:gutter="0"/>
          <w:pgNumType w:start="1"/>
          <w:cols w:space="425" w:num="1"/>
          <w:docGrid w:type="lines" w:linePitch="312" w:charSpace="0"/>
        </w:sectPr>
      </w:pPr>
    </w:p>
    <w:p>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6.投标人认为需要加以说明的其他内容</w:t>
      </w:r>
    </w:p>
    <w:p>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hint="eastAsia"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pPr>
        <w:widowControl/>
        <w:autoSpaceDE w:val="0"/>
        <w:autoSpaceDN w:val="0"/>
        <w:spacing w:line="400" w:lineRule="exact"/>
        <w:ind w:right="1414" w:firstLine="480" w:firstLineChars="200"/>
        <w:jc w:val="right"/>
        <w:rPr>
          <w:kern w:val="0"/>
          <w:sz w:val="24"/>
        </w:rPr>
      </w:pPr>
    </w:p>
    <w:p>
      <w:pPr>
        <w:jc w:val="center"/>
        <w:rPr>
          <w:rFonts w:ascii="黑体" w:eastAsia="黑体"/>
          <w:sz w:val="24"/>
          <w:szCs w:val="20"/>
        </w:rPr>
      </w:pPr>
      <w:r>
        <w:rPr>
          <w:rFonts w:hint="eastAsia" w:ascii="黑体" w:eastAsia="黑体"/>
          <w:sz w:val="24"/>
          <w:szCs w:val="20"/>
        </w:rPr>
        <w:t>（二）订单融资情况</w:t>
      </w:r>
    </w:p>
    <w:p>
      <w:pPr>
        <w:ind w:firstLine="422" w:firstLineChars="200"/>
        <w:rPr>
          <w:rFonts w:hint="eastAsia" w:ascii="宋体" w:hAnsi="宋体" w:cs="宋体"/>
          <w:b/>
          <w:bCs/>
        </w:rPr>
      </w:pPr>
      <w:r>
        <w:rPr>
          <w:rFonts w:hint="eastAsia" w:ascii="宋体" w:hAnsi="宋体" w:cs="宋体"/>
          <w:b/>
          <w:bCs/>
        </w:rPr>
        <w:t>1、关于政府采购订单融资政策</w:t>
      </w:r>
    </w:p>
    <w:p>
      <w:pPr>
        <w:pStyle w:val="10"/>
        <w:spacing w:line="240" w:lineRule="auto"/>
        <w:ind w:firstLine="420" w:firstLineChars="200"/>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hint="eastAsia" w:ascii="宋体" w:hAnsi="宋体" w:cs="宋体"/>
          <w:b/>
          <w:bCs/>
        </w:rPr>
      </w:pPr>
      <w:r>
        <w:rPr>
          <w:rFonts w:hint="eastAsia" w:ascii="宋体" w:hAnsi="宋体" w:cs="宋体"/>
          <w:b/>
          <w:bCs/>
        </w:rPr>
        <w:t>2、供应商账户信息</w:t>
      </w:r>
    </w:p>
    <w:p>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eastAsia="宋体"/>
          <w:szCs w:val="21"/>
        </w:rPr>
        <w:t>；</w:t>
      </w:r>
      <w:r>
        <w:rPr>
          <w:rFonts w:hint="eastAsia"/>
          <w:szCs w:val="21"/>
        </w:rPr>
        <w:t xml:space="preserve">  </w:t>
      </w:r>
    </w:p>
    <w:p>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pPr>
        <w:ind w:left="420" w:leftChars="200" w:firstLine="210" w:firstLineChars="100"/>
        <w:rPr>
          <w:szCs w:val="21"/>
        </w:rPr>
      </w:pPr>
      <w:r>
        <w:rPr>
          <w:rFonts w:hint="eastAsia"/>
          <w:szCs w:val="21"/>
        </w:rPr>
        <w:t>法定代表人（负责人）或其</w:t>
      </w:r>
      <w:r>
        <w:rPr>
          <w:rFonts w:hint="eastAsia" w:ascii="Times New Roman" w:eastAsia="宋体"/>
          <w:szCs w:val="21"/>
        </w:rPr>
        <w:t>授权</w:t>
      </w:r>
      <w:r>
        <w:rPr>
          <w:rFonts w:hint="eastAsia"/>
          <w:szCs w:val="21"/>
        </w:rPr>
        <w:t>委托代理人：</w:t>
      </w:r>
      <w:r>
        <w:rPr>
          <w:rFonts w:hint="eastAsia"/>
          <w:szCs w:val="21"/>
          <w:u w:val="thick"/>
        </w:rPr>
        <w:t xml:space="preserve">                      </w:t>
      </w:r>
      <w:r>
        <w:rPr>
          <w:rFonts w:hint="eastAsia" w:eastAsia="宋体"/>
          <w:szCs w:val="21"/>
        </w:rPr>
        <w:t>；</w:t>
      </w:r>
    </w:p>
    <w:p>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eastAsia="宋体"/>
          <w:szCs w:val="21"/>
        </w:rPr>
        <w:t>；</w:t>
      </w:r>
    </w:p>
    <w:p>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 xml:space="preserve"> </w:t>
      </w:r>
      <w:r>
        <w:rPr>
          <w:rFonts w:hint="eastAsia" w:ascii="宋体" w:hAnsi="宋体"/>
          <w:b/>
          <w:bCs/>
          <w:color w:val="FF0000"/>
          <w:spacing w:val="-4"/>
          <w:kern w:val="0"/>
          <w:szCs w:val="21"/>
        </w:rPr>
        <w:t>注：本项填写内容作为订单融资开展的参考信息，不作为供应商资格性审查及符合性审查条件。</w:t>
      </w:r>
    </w:p>
    <w:p>
      <w:pPr>
        <w:widowControl/>
        <w:autoSpaceDE w:val="0"/>
        <w:autoSpaceDN w:val="0"/>
        <w:spacing w:line="400" w:lineRule="exact"/>
        <w:ind w:right="1414" w:firstLine="480" w:firstLineChars="200"/>
        <w:jc w:val="right"/>
        <w:rPr>
          <w:kern w:val="0"/>
          <w:sz w:val="24"/>
        </w:rPr>
      </w:pPr>
    </w:p>
    <w:p>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pPr>
        <w:pStyle w:val="11"/>
        <w:sectPr>
          <w:pgSz w:w="11906" w:h="16838"/>
          <w:pgMar w:top="1440" w:right="1417" w:bottom="1440" w:left="1417" w:header="851" w:footer="992" w:gutter="0"/>
          <w:pgNumType w:start="1"/>
          <w:cols w:space="425" w:num="1"/>
          <w:docGrid w:type="lines" w:linePitch="312" w:charSpace="0"/>
        </w:sectPr>
      </w:pPr>
    </w:p>
    <w:p>
      <w:pPr>
        <w:pStyle w:val="11"/>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（本章未提供的招标要求的其他文件格式由供应商自拟）</w:t>
      </w:r>
    </w:p>
    <w:p>
      <w:pPr>
        <w:widowControl/>
        <w:jc w:val="left"/>
        <w:rPr>
          <w:rFonts w:hint="eastAsia" w:ascii="宋体" w:hAnsi="宋体" w:eastAsia="宋体" w:cs="Times New Roman"/>
          <w:color w:val="FF0000"/>
          <w:sz w:val="32"/>
          <w:szCs w:val="32"/>
        </w:rPr>
      </w:pP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sectPr>
          <w:pgSz w:w="11906" w:h="16838"/>
          <w:pgMar w:top="1440" w:right="1417" w:bottom="1440" w:left="1417" w:header="851" w:footer="992" w:gutter="0"/>
          <w:pgNumType w:start="1"/>
          <w:cols w:space="425" w:num="1"/>
          <w:docGrid w:type="lines" w:linePitch="312" w:charSpace="0"/>
        </w:sectPr>
      </w:pP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hint="eastAsia" w:ascii="宋体" w:hAnsi="宋体" w:eastAsia="黑体" w:cs="Times New Roman"/>
          <w:bCs/>
          <w:kern w:val="44"/>
          <w:sz w:val="28"/>
          <w:szCs w:val="44"/>
        </w:rPr>
      </w:pPr>
      <w:bookmarkStart w:id="24" w:name="_Hlk72574405"/>
      <w:r>
        <w:rPr>
          <w:rFonts w:hint="eastAsia"/>
          <w:b/>
          <w:sz w:val="24"/>
        </w:rPr>
        <w:t>（仅供参考，具体以项目需求及采购结果为准）</w:t>
      </w:r>
      <w:bookmarkEnd w:id="24"/>
    </w:p>
    <w:p>
      <w:pPr>
        <w:snapToGrid w:val="0"/>
        <w:spacing w:line="300" w:lineRule="auto"/>
        <w:jc w:val="center"/>
        <w:rPr>
          <w:rFonts w:hint="eastAsia" w:ascii="仿宋" w:hAnsi="仿宋" w:eastAsia="仿宋" w:cs="Times New Roman"/>
          <w:sz w:val="28"/>
          <w:szCs w:val="28"/>
        </w:rPr>
      </w:pPr>
    </w:p>
    <w:p>
      <w:pPr>
        <w:jc w:val="left"/>
        <w:rPr>
          <w:rFonts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合同编号：</w:t>
      </w:r>
    </w:p>
    <w:p>
      <w:pPr>
        <w:jc w:val="center"/>
        <w:rPr>
          <w:rFonts w:hint="eastAsia" w:ascii="黑体" w:hAnsi="黑体" w:eastAsia="黑体"/>
          <w:b/>
          <w:bCs/>
          <w:color w:val="000000" w:themeColor="text1"/>
          <w:w w:val="90"/>
          <w:sz w:val="52"/>
          <w:szCs w:val="52"/>
          <w14:textFill>
            <w14:solidFill>
              <w14:schemeClr w14:val="tx1"/>
            </w14:solidFill>
          </w14:textFill>
        </w:rPr>
      </w:pPr>
      <w:r>
        <w:rPr>
          <w:rFonts w:hint="eastAsia" w:eastAsia="黑体"/>
          <w:b/>
          <w:bCs/>
          <w:color w:val="000000" w:themeColor="text1"/>
          <w:w w:val="90"/>
          <w:sz w:val="52"/>
          <w:szCs w:val="52"/>
          <w14:textFill>
            <w14:solidFill>
              <w14:schemeClr w14:val="tx1"/>
            </w14:solidFill>
          </w14:textFill>
        </w:rPr>
        <w:t>深圳市宝安中学（集团）第二实验学校</w:t>
      </w:r>
      <w:r>
        <w:rPr>
          <w:rFonts w:hint="eastAsia" w:ascii="黑体" w:hAnsi="黑体" w:eastAsia="黑体"/>
          <w:b/>
          <w:bCs/>
          <w:color w:val="000000" w:themeColor="text1"/>
          <w:w w:val="90"/>
          <w:sz w:val="52"/>
          <w:szCs w:val="52"/>
          <w14:textFill>
            <w14:solidFill>
              <w14:schemeClr w14:val="tx1"/>
            </w14:solidFill>
          </w14:textFill>
        </w:rPr>
        <w:t>教工</w:t>
      </w:r>
      <w:r>
        <w:rPr>
          <w:rFonts w:ascii="黑体" w:hAnsi="黑体" w:eastAsia="黑体"/>
          <w:b/>
          <w:bCs/>
          <w:color w:val="000000" w:themeColor="text1"/>
          <w:w w:val="90"/>
          <w:sz w:val="52"/>
          <w:szCs w:val="52"/>
          <w14:textFill>
            <w14:solidFill>
              <w14:schemeClr w14:val="tx1"/>
            </w14:solidFill>
          </w14:textFill>
        </w:rPr>
        <w:t>食堂</w:t>
      </w:r>
      <w:r>
        <w:rPr>
          <w:rFonts w:hint="eastAsia" w:ascii="黑体" w:hAnsi="黑体" w:eastAsia="黑体"/>
          <w:b/>
          <w:bCs/>
          <w:color w:val="000000" w:themeColor="text1"/>
          <w:w w:val="90"/>
          <w:sz w:val="52"/>
          <w:szCs w:val="52"/>
          <w14:textFill>
            <w14:solidFill>
              <w14:schemeClr w14:val="tx1"/>
            </w14:solidFill>
          </w14:textFill>
        </w:rPr>
        <w:t>自营管理人员托管</w:t>
      </w:r>
      <w:r>
        <w:rPr>
          <w:rFonts w:ascii="黑体" w:hAnsi="黑体" w:eastAsia="黑体"/>
          <w:b/>
          <w:bCs/>
          <w:color w:val="000000" w:themeColor="text1"/>
          <w:w w:val="90"/>
          <w:sz w:val="52"/>
          <w:szCs w:val="52"/>
          <w14:textFill>
            <w14:solidFill>
              <w14:schemeClr w14:val="tx1"/>
            </w14:solidFill>
          </w14:textFill>
        </w:rPr>
        <w:t>服务</w:t>
      </w:r>
    </w:p>
    <w:p>
      <w:pPr>
        <w:jc w:val="center"/>
        <w:rPr>
          <w:rFonts w:hint="eastAsia" w:ascii="黑体" w:hAnsi="黑体" w:eastAsia="黑体"/>
          <w:color w:val="000000" w:themeColor="text1"/>
          <w:sz w:val="44"/>
          <w:szCs w:val="44"/>
          <w14:textFill>
            <w14:solidFill>
              <w14:schemeClr w14:val="tx1"/>
            </w14:solidFill>
          </w14:textFill>
        </w:rPr>
      </w:pPr>
    </w:p>
    <w:p>
      <w:pPr>
        <w:jc w:val="center"/>
        <w:rPr>
          <w:rFonts w:hint="eastAsia" w:ascii="黑体" w:hAnsi="黑体" w:eastAsia="黑体"/>
          <w:color w:val="000000" w:themeColor="text1"/>
          <w:sz w:val="44"/>
          <w:szCs w:val="44"/>
          <w14:textFill>
            <w14:solidFill>
              <w14:schemeClr w14:val="tx1"/>
            </w14:solidFill>
          </w14:textFill>
        </w:rPr>
      </w:pPr>
    </w:p>
    <w:p>
      <w:pPr>
        <w:jc w:val="center"/>
        <w:rPr>
          <w:rFonts w:eastAsia="黑体"/>
          <w:b/>
          <w:bCs/>
          <w:color w:val="000000" w:themeColor="text1"/>
          <w:sz w:val="84"/>
          <w:szCs w:val="84"/>
          <w14:textFill>
            <w14:solidFill>
              <w14:schemeClr w14:val="tx1"/>
            </w14:solidFill>
          </w14:textFill>
        </w:rPr>
      </w:pPr>
      <w:r>
        <w:rPr>
          <w:rFonts w:hint="eastAsia" w:eastAsia="黑体"/>
          <w:b/>
          <w:bCs/>
          <w:color w:val="000000" w:themeColor="text1"/>
          <w:sz w:val="84"/>
          <w:szCs w:val="84"/>
          <w14:textFill>
            <w14:solidFill>
              <w14:schemeClr w14:val="tx1"/>
            </w14:solidFill>
          </w14:textFill>
        </w:rPr>
        <w:t>合</w:t>
      </w:r>
    </w:p>
    <w:p>
      <w:pPr>
        <w:jc w:val="center"/>
        <w:rPr>
          <w:rFonts w:eastAsia="黑体"/>
          <w:b/>
          <w:bCs/>
          <w:color w:val="000000" w:themeColor="text1"/>
          <w:sz w:val="84"/>
          <w:szCs w:val="84"/>
          <w14:textFill>
            <w14:solidFill>
              <w14:schemeClr w14:val="tx1"/>
            </w14:solidFill>
          </w14:textFill>
        </w:rPr>
      </w:pPr>
      <w:r>
        <w:rPr>
          <w:rFonts w:hint="eastAsia" w:eastAsia="黑体"/>
          <w:b/>
          <w:bCs/>
          <w:color w:val="000000" w:themeColor="text1"/>
          <w:sz w:val="84"/>
          <w:szCs w:val="84"/>
          <w14:textFill>
            <w14:solidFill>
              <w14:schemeClr w14:val="tx1"/>
            </w14:solidFill>
          </w14:textFill>
        </w:rPr>
        <w:t>同</w:t>
      </w:r>
    </w:p>
    <w:p>
      <w:pPr>
        <w:jc w:val="center"/>
        <w:rPr>
          <w:rFonts w:eastAsia="黑体"/>
          <w:b/>
          <w:bCs/>
          <w:color w:val="000000" w:themeColor="text1"/>
          <w:sz w:val="84"/>
          <w:szCs w:val="84"/>
          <w14:textFill>
            <w14:solidFill>
              <w14:schemeClr w14:val="tx1"/>
            </w14:solidFill>
          </w14:textFill>
        </w:rPr>
      </w:pPr>
      <w:r>
        <w:rPr>
          <w:rFonts w:hint="eastAsia" w:eastAsia="黑体"/>
          <w:b/>
          <w:bCs/>
          <w:color w:val="000000" w:themeColor="text1"/>
          <w:sz w:val="84"/>
          <w:szCs w:val="84"/>
          <w14:textFill>
            <w14:solidFill>
              <w14:schemeClr w14:val="tx1"/>
            </w14:solidFill>
          </w14:textFill>
        </w:rPr>
        <w:t>书</w:t>
      </w:r>
    </w:p>
    <w:p>
      <w:pPr>
        <w:rPr>
          <w:color w:val="000000" w:themeColor="text1"/>
          <w14:textFill>
            <w14:solidFill>
              <w14:schemeClr w14:val="tx1"/>
            </w14:solidFill>
          </w14:textFill>
        </w:rPr>
      </w:pPr>
    </w:p>
    <w:p>
      <w:pPr>
        <w:rPr>
          <w:rFonts w:hint="eastAsia" w:ascii="黑体" w:hAnsi="黑体" w:eastAsia="黑体"/>
          <w:color w:val="000000" w:themeColor="text1"/>
          <w:sz w:val="28"/>
          <w:szCs w:val="28"/>
          <w14:textFill>
            <w14:solidFill>
              <w14:schemeClr w14:val="tx1"/>
            </w14:solidFill>
          </w14:textFill>
        </w:rPr>
      </w:pPr>
    </w:p>
    <w:p>
      <w:pPr>
        <w:rPr>
          <w:rFonts w:hint="eastAsia" w:ascii="黑体" w:hAnsi="黑体" w:eastAsia="黑体"/>
          <w:color w:val="000000" w:themeColor="text1"/>
          <w:sz w:val="28"/>
          <w:szCs w:val="28"/>
          <w14:textFill>
            <w14:solidFill>
              <w14:schemeClr w14:val="tx1"/>
            </w14:solidFill>
          </w14:textFill>
        </w:rPr>
      </w:pPr>
    </w:p>
    <w:p>
      <w:pPr>
        <w:rPr>
          <w:rFonts w:hint="eastAsia"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项目名称：</w:t>
      </w:r>
      <w:r>
        <w:rPr>
          <w:rFonts w:ascii="黑体" w:hAnsi="黑体" w:eastAsia="黑体"/>
          <w:color w:val="000000" w:themeColor="text1"/>
          <w:sz w:val="28"/>
          <w:szCs w:val="28"/>
          <w:u w:val="single"/>
          <w14:textFill>
            <w14:solidFill>
              <w14:schemeClr w14:val="tx1"/>
            </w14:solidFill>
          </w14:textFill>
        </w:rPr>
        <w:t xml:space="preserve"> </w:t>
      </w:r>
      <w:r>
        <w:rPr>
          <w:rFonts w:hint="eastAsia" w:ascii="黑体" w:hAnsi="黑体" w:eastAsia="黑体"/>
          <w:color w:val="000000" w:themeColor="text1"/>
          <w:sz w:val="28"/>
          <w:szCs w:val="28"/>
          <w:u w:val="single"/>
          <w14:textFill>
            <w14:solidFill>
              <w14:schemeClr w14:val="tx1"/>
            </w14:solidFill>
          </w14:textFill>
        </w:rPr>
        <w:t>深圳市宝安中学（集团）第二实验学校教工食堂自营管理人员托管服务</w:t>
      </w:r>
      <w:r>
        <w:rPr>
          <w:rFonts w:ascii="黑体" w:hAnsi="黑体" w:eastAsia="黑体"/>
          <w:color w:val="000000" w:themeColor="text1"/>
          <w:sz w:val="28"/>
          <w:szCs w:val="28"/>
          <w:u w:val="single"/>
          <w14:textFill>
            <w14:solidFill>
              <w14:schemeClr w14:val="tx1"/>
            </w14:solidFill>
          </w14:textFill>
        </w:rPr>
        <w:t xml:space="preserve"> </w:t>
      </w:r>
    </w:p>
    <w:p>
      <w:pPr>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项目地点：</w:t>
      </w:r>
      <w:r>
        <w:rPr>
          <w:rFonts w:hint="eastAsia" w:ascii="黑体" w:hAnsi="黑体" w:eastAsia="黑体"/>
          <w:color w:val="000000" w:themeColor="text1"/>
          <w:sz w:val="28"/>
          <w:szCs w:val="28"/>
          <w:u w:val="single"/>
          <w14:textFill>
            <w14:solidFill>
              <w14:schemeClr w14:val="tx1"/>
            </w14:solidFill>
          </w14:textFill>
        </w:rPr>
        <w:t xml:space="preserve"> 深圳市宝安中学（集团）第二实验学校</w:t>
      </w:r>
      <w:r>
        <w:rPr>
          <w:rFonts w:ascii="黑体" w:hAnsi="黑体" w:eastAsia="黑体"/>
          <w:color w:val="000000" w:themeColor="text1"/>
          <w:sz w:val="28"/>
          <w:szCs w:val="28"/>
          <w:u w:val="single"/>
          <w14:textFill>
            <w14:solidFill>
              <w14:schemeClr w14:val="tx1"/>
            </w14:solidFill>
          </w14:textFill>
        </w:rPr>
        <w:t xml:space="preserve"> </w:t>
      </w:r>
    </w:p>
    <w:p>
      <w:pPr>
        <w:rPr>
          <w:rFonts w:hint="eastAsia" w:ascii="CESI仿宋-GB2312" w:hAnsi="CESI仿宋-GB2312" w:eastAsia="CESI仿宋-GB2312" w:cs="CESI仿宋-GB2312"/>
          <w:color w:val="000000" w:themeColor="text1"/>
          <w:kern w:val="0"/>
          <w:sz w:val="28"/>
          <w:szCs w:val="28"/>
          <w14:textFill>
            <w14:solidFill>
              <w14:schemeClr w14:val="tx1"/>
            </w14:solidFill>
          </w14:textFill>
        </w:rPr>
      </w:pPr>
      <w:r>
        <w:rPr>
          <w:rFonts w:hint="eastAsia" w:ascii="CESI仿宋-GB2312" w:hAnsi="CESI仿宋-GB2312" w:eastAsia="CESI仿宋-GB2312" w:cs="CESI仿宋-GB2312"/>
          <w:color w:val="000000" w:themeColor="text1"/>
          <w:kern w:val="0"/>
          <w:sz w:val="28"/>
          <w:szCs w:val="28"/>
          <w14:textFill>
            <w14:solidFill>
              <w14:schemeClr w14:val="tx1"/>
            </w14:solidFill>
          </w14:textFill>
        </w:rPr>
        <w:br w:type="page"/>
      </w:r>
    </w:p>
    <w:p>
      <w:pPr>
        <w:spacing w:line="560" w:lineRule="exac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甲    方：</w:t>
      </w:r>
      <w:r>
        <w:rPr>
          <w:rFonts w:hint="eastAsia" w:ascii="CESI仿宋-GB2312" w:hAnsi="CESI仿宋-GB2312" w:eastAsia="CESI仿宋-GB2312" w:cs="CESI仿宋-GB2312"/>
          <w:color w:val="000000" w:themeColor="text1"/>
          <w:sz w:val="28"/>
          <w:szCs w:val="28"/>
          <w:u w:val="single"/>
          <w14:textFill>
            <w14:solidFill>
              <w14:schemeClr w14:val="tx1"/>
            </w14:solidFill>
          </w14:textFill>
        </w:rPr>
        <w:t xml:space="preserve"> 深圳市宝安中学（集团） </w:t>
      </w:r>
    </w:p>
    <w:p>
      <w:pPr>
        <w:spacing w:line="560" w:lineRule="exact"/>
        <w:rPr>
          <w:rFonts w:hint="eastAsia" w:ascii="CESI仿宋-GB2312" w:hAnsi="CESI仿宋-GB2312" w:eastAsia="CESI仿宋-GB2312" w:cs="CESI仿宋-GB2312"/>
          <w:color w:val="000000" w:themeColor="text1"/>
          <w:sz w:val="28"/>
          <w:szCs w:val="28"/>
          <w:u w:val="single"/>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乙    方：</w:t>
      </w:r>
      <w:r>
        <w:rPr>
          <w:rFonts w:hint="eastAsia" w:ascii="CESI仿宋-GB2312" w:hAnsi="CESI仿宋-GB2312" w:eastAsia="CESI仿宋-GB2312" w:cs="CESI仿宋-GB2312"/>
          <w:color w:val="000000" w:themeColor="text1"/>
          <w:sz w:val="28"/>
          <w:szCs w:val="28"/>
          <w:u w:val="single"/>
          <w14:textFill>
            <w14:solidFill>
              <w14:schemeClr w14:val="tx1"/>
            </w14:solidFill>
          </w14:textFill>
        </w:rPr>
        <w:t xml:space="preserve">            </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autoSpaceDN w:val="0"/>
        <w:spacing w:line="560" w:lineRule="exact"/>
        <w:ind w:firstLine="640" w:firstLineChars="200"/>
        <w:rPr>
          <w:rFonts w:hint="eastAsia" w:ascii="CESI仿宋-GB2312" w:hAnsi="CESI仿宋-GB2312" w:eastAsia="CESI仿宋-GB2312" w:cs="CESI仿宋-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甲方委托乙方对甲方教工食堂自营管理进行人员托管服务，为了明确甲、乙双方的权利义务，根据《中华人民共和国民法典》及有关法律、法规，在自愿、平等、协商一致，经双方友好协商，达成如下协议：</w:t>
      </w:r>
    </w:p>
    <w:p>
      <w:pPr>
        <w:numPr>
          <w:ilvl w:val="0"/>
          <w:numId w:val="7"/>
        </w:num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服务事项</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甲方向乙方提供厨房和餐厅的全套设备以及水、电和煤气等食堂必备的设备设施。乙方进场时与甲方交接设备设施，正常运转后双方签字确认。服务过程中如出现设备设施丢失的，由乙方原价赔偿；设备自然故障由学校负责维修；但如果由于操作不当、使用不合理造成的故障，由乙方负责维修。服务期间食堂运作需要增加厨具和设备等，由学校采购并由乙方签字接收。</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甲方委托乙方按照甲方教工伙食标准为甲方</w:t>
      </w:r>
      <w:r>
        <w:rPr>
          <w:rFonts w:ascii="仿宋_GB2312" w:hAnsi="仿宋_GB2312" w:eastAsia="仿宋_GB2312" w:cs="仿宋_GB2312"/>
          <w:color w:val="000000" w:themeColor="text1"/>
          <w:kern w:val="0"/>
          <w:sz w:val="32"/>
          <w:szCs w:val="32"/>
          <w14:textFill>
            <w14:solidFill>
              <w14:schemeClr w14:val="tx1"/>
            </w14:solidFill>
          </w14:textFill>
        </w:rPr>
        <w:t>下单</w:t>
      </w:r>
      <w:r>
        <w:rPr>
          <w:rFonts w:hint="eastAsia" w:ascii="仿宋_GB2312" w:hAnsi="仿宋_GB2312" w:eastAsia="仿宋_GB2312" w:cs="仿宋_GB2312"/>
          <w:color w:val="000000" w:themeColor="text1"/>
          <w:kern w:val="0"/>
          <w:sz w:val="32"/>
          <w:szCs w:val="32"/>
          <w14:textFill>
            <w14:solidFill>
              <w14:schemeClr w14:val="tx1"/>
            </w14:solidFill>
          </w14:textFill>
        </w:rPr>
        <w:t>食材并负责加工。</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甲方</w:t>
      </w:r>
      <w:r>
        <w:rPr>
          <w:rFonts w:ascii="仿宋_GB2312" w:hAnsi="仿宋_GB2312" w:eastAsia="仿宋_GB2312" w:cs="仿宋_GB2312"/>
          <w:color w:val="000000" w:themeColor="text1"/>
          <w:kern w:val="0"/>
          <w:sz w:val="32"/>
          <w:szCs w:val="32"/>
          <w14:textFill>
            <w14:solidFill>
              <w14:schemeClr w14:val="tx1"/>
            </w14:solidFill>
          </w14:textFill>
        </w:rPr>
        <w:t>就餐人数教师</w:t>
      </w:r>
      <w:r>
        <w:rPr>
          <w:rFonts w:hint="eastAsia" w:ascii="仿宋_GB2312" w:hAnsi="仿宋_GB2312" w:eastAsia="仿宋_GB2312" w:cs="仿宋_GB2312"/>
          <w:color w:val="000000" w:themeColor="text1"/>
          <w:kern w:val="0"/>
          <w:sz w:val="32"/>
          <w:szCs w:val="32"/>
          <w14:textFill>
            <w14:solidFill>
              <w14:schemeClr w14:val="tx1"/>
            </w14:solidFill>
          </w14:textFill>
        </w:rPr>
        <w:t>约</w:t>
      </w:r>
      <w:r>
        <w:rPr>
          <w:rFonts w:ascii="仿宋_GB2312" w:hAnsi="仿宋_GB2312" w:eastAsia="仿宋_GB2312" w:cs="仿宋_GB2312"/>
          <w:color w:val="000000" w:themeColor="text1"/>
          <w:kern w:val="0"/>
          <w:sz w:val="32"/>
          <w:szCs w:val="32"/>
          <w14:textFill>
            <w14:solidFill>
              <w14:schemeClr w14:val="tx1"/>
            </w14:solidFill>
          </w14:textFill>
        </w:rPr>
        <w:t xml:space="preserve"> </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ascii="仿宋_GB2312" w:hAnsi="仿宋_GB2312" w:eastAsia="仿宋_GB2312" w:cs="仿宋_GB2312"/>
          <w:color w:val="000000" w:themeColor="text1"/>
          <w:kern w:val="0"/>
          <w:sz w:val="32"/>
          <w:szCs w:val="32"/>
          <w14:textFill>
            <w14:solidFill>
              <w14:schemeClr w14:val="tx1"/>
            </w14:solidFill>
          </w14:textFill>
        </w:rPr>
        <w:t>。</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乙方</w:t>
      </w:r>
      <w:r>
        <w:rPr>
          <w:rFonts w:ascii="仿宋_GB2312" w:hAnsi="仿宋_GB2312" w:eastAsia="仿宋_GB2312" w:cs="仿宋_GB2312"/>
          <w:color w:val="000000" w:themeColor="text1"/>
          <w:kern w:val="0"/>
          <w:sz w:val="32"/>
          <w:szCs w:val="32"/>
          <w14:textFill>
            <w14:solidFill>
              <w14:schemeClr w14:val="tx1"/>
            </w14:solidFill>
          </w14:textFill>
        </w:rPr>
        <w:t>应配备</w:t>
      </w:r>
      <w:r>
        <w:rPr>
          <w:rFonts w:hint="eastAsia" w:ascii="仿宋_GB2312" w:hAnsi="仿宋_GB2312" w:eastAsia="仿宋_GB2312" w:cs="仿宋_GB2312"/>
          <w:color w:val="000000" w:themeColor="text1"/>
          <w:kern w:val="0"/>
          <w:sz w:val="32"/>
          <w:szCs w:val="32"/>
          <w14:textFill>
            <w14:solidFill>
              <w14:schemeClr w14:val="tx1"/>
            </w14:solidFill>
          </w14:textFill>
        </w:rPr>
        <w:t>服务人员</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人进驻</w:t>
      </w:r>
      <w:r>
        <w:rPr>
          <w:rFonts w:ascii="仿宋_GB2312" w:hAnsi="仿宋_GB2312" w:eastAsia="仿宋_GB2312" w:cs="仿宋_GB2312"/>
          <w:color w:val="000000" w:themeColor="text1"/>
          <w:kern w:val="0"/>
          <w:sz w:val="32"/>
          <w:szCs w:val="32"/>
          <w14:textFill>
            <w14:solidFill>
              <w14:schemeClr w14:val="tx1"/>
            </w14:solidFill>
          </w14:textFill>
        </w:rPr>
        <w:t>教工食堂提供服务</w:t>
      </w:r>
      <w:r>
        <w:rPr>
          <w:rFonts w:hint="eastAsia" w:ascii="仿宋_GB2312" w:hAnsi="仿宋_GB2312" w:eastAsia="仿宋_GB2312" w:cs="仿宋_GB2312"/>
          <w:color w:val="000000" w:themeColor="text1"/>
          <w:kern w:val="0"/>
          <w:sz w:val="32"/>
          <w:szCs w:val="32"/>
          <w14:textFill>
            <w14:solidFill>
              <w14:schemeClr w14:val="tx1"/>
            </w14:solidFill>
          </w14:textFill>
        </w:rPr>
        <w:t>，其中</w:t>
      </w:r>
      <w:r>
        <w:rPr>
          <w:rFonts w:hint="eastAsia" w:ascii="仿宋_GB2312" w:hAnsi="仿宋_GB2312" w:eastAsia="仿宋_GB2312" w:cs="仿宋_GB2312"/>
          <w:b/>
          <w:bCs/>
          <w:color w:val="000000" w:themeColor="text1"/>
          <w:kern w:val="0"/>
          <w:sz w:val="32"/>
          <w:szCs w:val="32"/>
          <w14:textFill>
            <w14:solidFill>
              <w14:schemeClr w14:val="tx1"/>
            </w14:solidFill>
          </w14:textFill>
        </w:rPr>
        <w:t>教师食堂</w:t>
      </w:r>
      <w:r>
        <w:rPr>
          <w:rFonts w:hint="eastAsia" w:ascii="仿宋_GB2312" w:hAnsi="仿宋_GB2312" w:eastAsia="仿宋_GB2312" w:cs="仿宋_GB2312"/>
          <w:color w:val="000000" w:themeColor="text1"/>
          <w:kern w:val="0"/>
          <w:sz w:val="32"/>
          <w:szCs w:val="32"/>
          <w14:textFill>
            <w14:solidFill>
              <w14:schemeClr w14:val="tx1"/>
            </w14:solidFill>
          </w14:textFill>
        </w:rPr>
        <w:t>包括</w:t>
      </w:r>
      <w:r>
        <w:rPr>
          <w:rFonts w:ascii="仿宋_GB2312" w:hAnsi="仿宋_GB2312" w:eastAsia="仿宋_GB2312" w:cs="仿宋_GB2312"/>
          <w:color w:val="000000" w:themeColor="text1"/>
          <w:kern w:val="0"/>
          <w:sz w:val="32"/>
          <w:szCs w:val="32"/>
          <w14:textFill>
            <w14:solidFill>
              <w14:schemeClr w14:val="tx1"/>
            </w14:solidFill>
          </w14:textFill>
        </w:rPr>
        <w:t>厨师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ascii="仿宋_GB2312" w:hAnsi="仿宋_GB2312" w:eastAsia="仿宋_GB2312" w:cs="仿宋_GB2312"/>
          <w:color w:val="000000" w:themeColor="text1"/>
          <w:kern w:val="0"/>
          <w:sz w:val="32"/>
          <w:szCs w:val="32"/>
          <w14:textFill>
            <w14:solidFill>
              <w14:schemeClr w14:val="tx1"/>
            </w14:solidFill>
          </w14:textFill>
        </w:rPr>
        <w:t>厨工</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人、服务员</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ascii="仿宋_GB2312" w:hAnsi="仿宋_GB2312" w:eastAsia="仿宋_GB2312" w:cs="仿宋_GB2312"/>
          <w:color w:val="000000" w:themeColor="text1"/>
          <w:kern w:val="0"/>
          <w:sz w:val="32"/>
          <w:szCs w:val="32"/>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服务人员的正常工资福利（包括人员工资、社保、高温补贴、培训费、经济补偿金、住房公积金、管理费、税费</w:t>
      </w:r>
      <w:r>
        <w:rPr>
          <w:rFonts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）由乙方按国家有关规定发放。</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（六）</w:t>
      </w:r>
      <w:r>
        <w:rPr>
          <w:rFonts w:hint="eastAsia" w:ascii="仿宋_GB2312" w:hAnsi="仿宋_GB2312" w:eastAsia="仿宋_GB2312" w:cs="仿宋_GB2312"/>
          <w:color w:val="000000" w:themeColor="text1"/>
          <w:kern w:val="0"/>
          <w:sz w:val="32"/>
          <w:szCs w:val="32"/>
          <w14:textFill>
            <w14:solidFill>
              <w14:schemeClr w14:val="tx1"/>
            </w14:solidFill>
          </w14:textFill>
        </w:rPr>
        <w:t>服务人员住宿问题原则上由</w:t>
      </w:r>
      <w:r>
        <w:rPr>
          <w:rFonts w:ascii="仿宋_GB2312" w:hAnsi="仿宋_GB2312" w:eastAsia="仿宋_GB2312" w:cs="仿宋_GB2312"/>
          <w:color w:val="000000" w:themeColor="text1"/>
          <w:kern w:val="0"/>
          <w:sz w:val="32"/>
          <w:szCs w:val="32"/>
          <w:lang w:val="en"/>
          <w14:textFill>
            <w14:solidFill>
              <w14:schemeClr w14:val="tx1"/>
            </w14:solidFill>
          </w14:textFill>
        </w:rPr>
        <w:t>中标单位</w:t>
      </w:r>
      <w:r>
        <w:rPr>
          <w:rFonts w:hint="eastAsia" w:ascii="仿宋_GB2312" w:hAnsi="仿宋_GB2312" w:eastAsia="仿宋_GB2312" w:cs="仿宋_GB2312"/>
          <w:color w:val="000000" w:themeColor="text1"/>
          <w:kern w:val="0"/>
          <w:sz w:val="32"/>
          <w:szCs w:val="32"/>
          <w14:textFill>
            <w14:solidFill>
              <w14:schemeClr w14:val="tx1"/>
            </w14:solidFill>
          </w14:textFill>
        </w:rPr>
        <w:t>自行解决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特殊情况</w:t>
      </w:r>
      <w:r>
        <w:rPr>
          <w:rFonts w:ascii="仿宋_GB2312" w:hAnsi="仿宋_GB2312" w:eastAsia="仿宋_GB2312" w:cs="仿宋_GB2312"/>
          <w:color w:val="000000" w:themeColor="text1"/>
          <w:kern w:val="0"/>
          <w:sz w:val="32"/>
          <w:szCs w:val="32"/>
          <w14:textFill>
            <w14:solidFill>
              <w14:schemeClr w14:val="tx1"/>
            </w14:solidFill>
          </w14:textFill>
        </w:rPr>
        <w:t>双方</w:t>
      </w:r>
      <w:r>
        <w:rPr>
          <w:rFonts w:hint="eastAsia" w:ascii="仿宋_GB2312" w:hAnsi="仿宋_GB2312" w:eastAsia="仿宋_GB2312" w:cs="仿宋_GB2312"/>
          <w:color w:val="000000" w:themeColor="text1"/>
          <w:kern w:val="0"/>
          <w:sz w:val="32"/>
          <w:szCs w:val="32"/>
          <w14:textFill>
            <w14:solidFill>
              <w14:schemeClr w14:val="tx1"/>
            </w14:solidFill>
          </w14:textFill>
        </w:rPr>
        <w:t>商讨</w:t>
      </w:r>
      <w:r>
        <w:rPr>
          <w:rFonts w:ascii="仿宋_GB2312" w:hAnsi="仿宋_GB2312" w:eastAsia="仿宋_GB2312" w:cs="仿宋_GB2312"/>
          <w:color w:val="000000" w:themeColor="text1"/>
          <w:kern w:val="0"/>
          <w:sz w:val="32"/>
          <w:szCs w:val="32"/>
          <w14:textFill>
            <w14:solidFill>
              <w14:schemeClr w14:val="tx1"/>
            </w14:solidFill>
          </w14:textFill>
        </w:rPr>
        <w:t>约定）</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二</w:t>
      </w:r>
      <w:r>
        <w:rPr>
          <w:rStyle w:val="39"/>
          <w:rFonts w:hint="eastAsia" w:ascii="黑体" w:hAnsi="黑体" w:eastAsia="黑体" w:cs="黑体"/>
          <w:color w:val="000000" w:themeColor="text1"/>
          <w:kern w:val="0"/>
          <w:sz w:val="32"/>
          <w:szCs w:val="32"/>
          <w14:textFill>
            <w14:solidFill>
              <w14:schemeClr w14:val="tx1"/>
            </w14:solidFill>
          </w14:textFill>
        </w:rPr>
        <w:t>、</w:t>
      </w:r>
      <w:r>
        <w:rPr>
          <w:rStyle w:val="39"/>
          <w:rFonts w:ascii="黑体" w:hAnsi="黑体" w:eastAsia="黑体" w:cs="黑体"/>
          <w:color w:val="000000" w:themeColor="text1"/>
          <w:kern w:val="0"/>
          <w:sz w:val="32"/>
          <w:szCs w:val="32"/>
          <w14:textFill>
            <w14:solidFill>
              <w14:schemeClr w14:val="tx1"/>
            </w14:solidFill>
          </w14:textFill>
        </w:rPr>
        <w:t>服务时间</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本项目为长期服务类项目，</w:t>
      </w:r>
      <w:r>
        <w:rPr>
          <w:rFonts w:ascii="仿宋_GB2312" w:hAnsi="仿宋_GB2312" w:eastAsia="仿宋_GB2312" w:cs="仿宋_GB2312"/>
          <w:color w:val="000000" w:themeColor="text1"/>
          <w:kern w:val="0"/>
          <w:sz w:val="32"/>
          <w:szCs w:val="32"/>
          <w14:textFill>
            <w14:solidFill>
              <w14:schemeClr w14:val="tx1"/>
            </w14:solidFill>
          </w14:textFill>
        </w:rPr>
        <w:t>合</w:t>
      </w:r>
      <w:r>
        <w:rPr>
          <w:rFonts w:hint="eastAsia" w:ascii="仿宋_GB2312" w:hAnsi="仿宋_GB2312" w:eastAsia="仿宋_GB2312" w:cs="仿宋_GB2312"/>
          <w:color w:val="000000" w:themeColor="text1"/>
          <w:kern w:val="0"/>
          <w:sz w:val="32"/>
          <w:szCs w:val="32"/>
          <w14:textFill>
            <w14:solidFill>
              <w14:schemeClr w14:val="tx1"/>
            </w14:solidFill>
          </w14:textFill>
        </w:rPr>
        <w:t>同一年一签。本次招标服务期限从</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月 </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ascii="仿宋_GB2312" w:hAnsi="仿宋_GB2312" w:eastAsia="仿宋_GB2312" w:cs="仿宋_GB2312"/>
          <w:color w:val="000000" w:themeColor="text1"/>
          <w:kern w:val="0"/>
          <w:sz w:val="32"/>
          <w:szCs w:val="32"/>
          <w14:textFill>
            <w14:solidFill>
              <w14:schemeClr w14:val="tx1"/>
            </w14:solidFill>
          </w14:textFill>
        </w:rPr>
        <w:t>起</w:t>
      </w:r>
      <w:r>
        <w:rPr>
          <w:rFonts w:hint="eastAsia" w:ascii="仿宋_GB2312" w:hAnsi="仿宋_GB2312" w:eastAsia="仿宋_GB2312" w:cs="仿宋_GB2312"/>
          <w:color w:val="000000" w:themeColor="text1"/>
          <w:kern w:val="0"/>
          <w:sz w:val="32"/>
          <w:szCs w:val="32"/>
          <w14:textFill>
            <w14:solidFill>
              <w14:schemeClr w14:val="tx1"/>
            </w14:solidFill>
          </w14:textFill>
        </w:rPr>
        <w:t>至</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日止</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一年合同期满后，如果运营服务获得学校</w:t>
      </w:r>
      <w:r>
        <w:rPr>
          <w:rFonts w:ascii="仿宋_GB2312" w:hAnsi="仿宋_GB2312" w:eastAsia="仿宋_GB2312" w:cs="仿宋_GB2312"/>
          <w:color w:val="000000" w:themeColor="text1"/>
          <w:kern w:val="0"/>
          <w:sz w:val="32"/>
          <w:szCs w:val="32"/>
          <w14:textFill>
            <w14:solidFill>
              <w14:schemeClr w14:val="tx1"/>
            </w14:solidFill>
          </w14:textFill>
        </w:rPr>
        <w:t>教职工</w:t>
      </w:r>
      <w:r>
        <w:rPr>
          <w:rFonts w:hint="eastAsia" w:ascii="仿宋_GB2312" w:hAnsi="仿宋_GB2312" w:eastAsia="仿宋_GB2312" w:cs="仿宋_GB2312"/>
          <w:color w:val="000000" w:themeColor="text1"/>
          <w:kern w:val="0"/>
          <w:sz w:val="32"/>
          <w:szCs w:val="32"/>
          <w14:textFill>
            <w14:solidFill>
              <w14:schemeClr w14:val="tx1"/>
            </w14:solidFill>
          </w14:textFill>
        </w:rPr>
        <w:t>好评，</w:t>
      </w:r>
      <w:r>
        <w:rPr>
          <w:rStyle w:val="39"/>
          <w:rFonts w:hint="eastAsia" w:ascii="仿宋" w:hAnsi="仿宋" w:eastAsia="仿宋" w:cs="仿宋"/>
          <w:color w:val="000000" w:themeColor="text1"/>
          <w:kern w:val="0"/>
          <w:sz w:val="32"/>
          <w:szCs w:val="32"/>
          <w14:textFill>
            <w14:solidFill>
              <w14:schemeClr w14:val="tx1"/>
            </w14:solidFill>
          </w14:textFill>
        </w:rPr>
        <w:t>满意率应达到</w:t>
      </w:r>
      <w:r>
        <w:rPr>
          <w:rStyle w:val="39"/>
          <w:rFonts w:ascii="仿宋" w:hAnsi="仿宋" w:eastAsia="仿宋" w:cs="仿宋"/>
          <w:color w:val="000000" w:themeColor="text1"/>
          <w:kern w:val="0"/>
          <w:sz w:val="32"/>
          <w:szCs w:val="32"/>
          <w:u w:val="single"/>
          <w14:textFill>
            <w14:solidFill>
              <w14:schemeClr w14:val="tx1"/>
            </w14:solidFill>
          </w14:textFill>
        </w:rPr>
        <w:t xml:space="preserve">  </w:t>
      </w:r>
      <w:r>
        <w:rPr>
          <w:rStyle w:val="39"/>
          <w:rFonts w:hint="eastAsia" w:ascii="仿宋" w:hAnsi="仿宋" w:eastAsia="仿宋" w:cs="仿宋"/>
          <w:color w:val="000000" w:themeColor="text1"/>
          <w:kern w:val="0"/>
          <w:sz w:val="32"/>
          <w:szCs w:val="32"/>
          <w:u w:val="single"/>
          <w14:textFill>
            <w14:solidFill>
              <w14:schemeClr w14:val="tx1"/>
            </w14:solidFill>
          </w14:textFill>
        </w:rPr>
        <w:t>80%</w:t>
      </w:r>
      <w:r>
        <w:rPr>
          <w:rStyle w:val="39"/>
          <w:rFonts w:hint="eastAsia" w:ascii="仿宋" w:hAnsi="仿宋" w:eastAsia="仿宋" w:cs="仿宋"/>
          <w:color w:val="000000" w:themeColor="text1"/>
          <w:kern w:val="0"/>
          <w:sz w:val="32"/>
          <w:szCs w:val="32"/>
          <w14:textFill>
            <w14:solidFill>
              <w14:schemeClr w14:val="tx1"/>
            </w14:solidFill>
          </w14:textFill>
        </w:rPr>
        <w:t>（含）以上</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按学校议事规则规定</w:t>
      </w:r>
      <w:r>
        <w:rPr>
          <w:rFonts w:hint="eastAsia" w:ascii="仿宋_GB2312" w:hAnsi="仿宋_GB2312" w:eastAsia="仿宋_GB2312" w:cs="仿宋_GB2312"/>
          <w:color w:val="000000" w:themeColor="text1"/>
          <w:kern w:val="0"/>
          <w:sz w:val="32"/>
          <w:szCs w:val="32"/>
          <w14:textFill>
            <w14:solidFill>
              <w14:schemeClr w14:val="tx1"/>
            </w14:solidFill>
          </w14:textFill>
        </w:rPr>
        <w:t>讨论通过后可续签，续签不</w:t>
      </w:r>
      <w:r>
        <w:rPr>
          <w:rFonts w:ascii="仿宋_GB2312" w:hAnsi="仿宋_GB2312" w:eastAsia="仿宋_GB2312" w:cs="仿宋_GB2312"/>
          <w:color w:val="000000" w:themeColor="text1"/>
          <w:kern w:val="0"/>
          <w:sz w:val="32"/>
          <w:szCs w:val="32"/>
          <w14:textFill>
            <w14:solidFill>
              <w14:schemeClr w14:val="tx1"/>
            </w14:solidFill>
          </w14:textFill>
        </w:rPr>
        <w:t>得</w:t>
      </w:r>
      <w:r>
        <w:rPr>
          <w:rFonts w:hint="eastAsia" w:ascii="仿宋_GB2312" w:hAnsi="仿宋_GB2312" w:eastAsia="仿宋_GB2312" w:cs="仿宋_GB2312"/>
          <w:color w:val="000000" w:themeColor="text1"/>
          <w:kern w:val="0"/>
          <w:sz w:val="32"/>
          <w:szCs w:val="32"/>
          <w14:textFill>
            <w14:solidFill>
              <w14:schemeClr w14:val="tx1"/>
            </w14:solidFill>
          </w14:textFill>
        </w:rPr>
        <w:t>超过两次，即总服务时间不超过36个月。</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三</w:t>
      </w:r>
      <w:r>
        <w:rPr>
          <w:rStyle w:val="39"/>
          <w:rFonts w:hint="eastAsia" w:ascii="黑体" w:hAnsi="黑体" w:eastAsia="黑体" w:cs="黑体"/>
          <w:color w:val="000000" w:themeColor="text1"/>
          <w:kern w:val="0"/>
          <w:sz w:val="32"/>
          <w:szCs w:val="32"/>
          <w14:textFill>
            <w14:solidFill>
              <w14:schemeClr w14:val="tx1"/>
            </w14:solidFill>
          </w14:textFill>
        </w:rPr>
        <w:t>、合同价款</w:t>
      </w:r>
      <w:r>
        <w:rPr>
          <w:rStyle w:val="39"/>
          <w:rFonts w:ascii="黑体" w:hAnsi="黑体" w:eastAsia="黑体" w:cs="黑体"/>
          <w:color w:val="000000" w:themeColor="text1"/>
          <w:kern w:val="0"/>
          <w:sz w:val="32"/>
          <w:szCs w:val="32"/>
          <w14:textFill>
            <w14:solidFill>
              <w14:schemeClr w14:val="tx1"/>
            </w14:solidFill>
          </w14:textFill>
        </w:rPr>
        <w:t>及结算</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教职工食堂自营管理人员托管服务项目年运营服务费</w:t>
      </w:r>
      <w:r>
        <w:rPr>
          <w:rFonts w:ascii="仿宋_GB2312" w:hAnsi="仿宋_GB2312" w:eastAsia="仿宋_GB2312" w:cs="仿宋_GB2312"/>
          <w:color w:val="000000" w:themeColor="text1"/>
          <w:kern w:val="0"/>
          <w:sz w:val="32"/>
          <w:szCs w:val="32"/>
          <w14:textFill>
            <w14:solidFill>
              <w14:schemeClr w14:val="tx1"/>
            </w14:solidFill>
          </w14:textFill>
        </w:rPr>
        <w:t>合同采用包干制，应包括用人成本、服务成本、法定税费和企业利润</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合计</w:t>
      </w:r>
      <w:r>
        <w:rPr>
          <w:rFonts w:ascii="仿宋_GB2312" w:hAnsi="仿宋_GB2312" w:eastAsia="仿宋_GB2312" w:cs="仿宋_GB2312"/>
          <w:color w:val="000000" w:themeColor="text1"/>
          <w:kern w:val="0"/>
          <w:sz w:val="32"/>
          <w:szCs w:val="32"/>
          <w14:textFill>
            <w14:solidFill>
              <w14:schemeClr w14:val="tx1"/>
            </w14:solidFill>
          </w14:textFill>
        </w:rPr>
        <w:t>人民币</w:t>
      </w:r>
      <w:r>
        <w:rPr>
          <w:rFonts w:ascii="Arial" w:hAnsi="Arial" w:eastAsia="仿宋_GB2312" w:cs="Arial"/>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元/年（大写：</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），即乙方每月</w:t>
      </w:r>
      <w:r>
        <w:rPr>
          <w:rFonts w:ascii="仿宋_GB2312" w:hAnsi="仿宋_GB2312" w:eastAsia="仿宋_GB2312" w:cs="仿宋_GB2312"/>
          <w:color w:val="000000" w:themeColor="text1"/>
          <w:kern w:val="0"/>
          <w:sz w:val="32"/>
          <w:szCs w:val="32"/>
          <w14:textFill>
            <w14:solidFill>
              <w14:schemeClr w14:val="tx1"/>
            </w14:solidFill>
          </w14:textFill>
        </w:rPr>
        <w:t>收取甲方</w:t>
      </w:r>
      <w:r>
        <w:rPr>
          <w:rFonts w:hint="eastAsia" w:ascii="仿宋_GB2312" w:hAnsi="仿宋_GB2312" w:eastAsia="仿宋_GB2312" w:cs="仿宋_GB2312"/>
          <w:color w:val="000000" w:themeColor="text1"/>
          <w:kern w:val="0"/>
          <w:sz w:val="32"/>
          <w:szCs w:val="32"/>
          <w14:textFill>
            <w14:solidFill>
              <w14:schemeClr w14:val="tx1"/>
            </w14:solidFill>
          </w14:textFill>
        </w:rPr>
        <w:t>教职工食堂自营管理人员托管服务费为人民币</w:t>
      </w:r>
      <w:r>
        <w:rPr>
          <w:rFonts w:ascii="Arial" w:hAnsi="Arial" w:eastAsia="仿宋_GB2312" w:cs="Arial"/>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元/月（大写：</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。合同金额在履约期间不作调整。</w:t>
      </w:r>
    </w:p>
    <w:p>
      <w:pPr>
        <w:pStyle w:val="13"/>
        <w:ind w:firstLine="960" w:firstLineChars="300"/>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教职工食堂人员托管服务费</w:t>
      </w:r>
      <w:r>
        <w:rPr>
          <w:rFonts w:ascii="仿宋_GB2312" w:hAnsi="仿宋_GB2312" w:eastAsia="仿宋_GB2312" w:cs="仿宋_GB2312"/>
          <w:color w:val="000000" w:themeColor="text1"/>
          <w:kern w:val="0"/>
          <w:sz w:val="32"/>
          <w:szCs w:val="32"/>
          <w14:textFill>
            <w14:solidFill>
              <w14:schemeClr w14:val="tx1"/>
            </w14:solidFill>
          </w14:textFill>
        </w:rPr>
        <w:t>采用包干制，应包括用人成本、服务成本、法定税费和企业利润</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服务费合计</w:t>
      </w:r>
      <w:r>
        <w:rPr>
          <w:rFonts w:ascii="仿宋_GB2312" w:hAnsi="仿宋_GB2312" w:eastAsia="仿宋_GB2312" w:cs="仿宋_GB2312"/>
          <w:color w:val="000000" w:themeColor="text1"/>
          <w:kern w:val="0"/>
          <w:sz w:val="32"/>
          <w:szCs w:val="32"/>
          <w14:textFill>
            <w14:solidFill>
              <w14:schemeClr w14:val="tx1"/>
            </w14:solidFill>
          </w14:textFill>
        </w:rPr>
        <w:t>人民币</w:t>
      </w:r>
      <w:r>
        <w:rPr>
          <w:rFonts w:ascii="Arial" w:hAnsi="Arial" w:eastAsia="仿宋_GB2312" w:cs="Arial"/>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元/年（大写：</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），即乙方每月</w:t>
      </w:r>
      <w:r>
        <w:rPr>
          <w:rFonts w:ascii="仿宋_GB2312" w:hAnsi="仿宋_GB2312" w:eastAsia="仿宋_GB2312" w:cs="仿宋_GB2312"/>
          <w:color w:val="000000" w:themeColor="text1"/>
          <w:kern w:val="0"/>
          <w:sz w:val="32"/>
          <w:szCs w:val="32"/>
          <w14:textFill>
            <w14:solidFill>
              <w14:schemeClr w14:val="tx1"/>
            </w14:solidFill>
          </w14:textFill>
        </w:rPr>
        <w:t>收取甲方</w:t>
      </w:r>
      <w:r>
        <w:rPr>
          <w:rFonts w:hint="eastAsia" w:ascii="仿宋_GB2312" w:hAnsi="仿宋_GB2312" w:eastAsia="仿宋_GB2312" w:cs="仿宋_GB2312"/>
          <w:color w:val="000000" w:themeColor="text1"/>
          <w:kern w:val="0"/>
          <w:sz w:val="32"/>
          <w:szCs w:val="32"/>
          <w14:textFill>
            <w14:solidFill>
              <w14:schemeClr w14:val="tx1"/>
            </w14:solidFill>
          </w14:textFill>
        </w:rPr>
        <w:t>教职工食堂运营服务费为人民币</w:t>
      </w:r>
      <w:r>
        <w:rPr>
          <w:rFonts w:ascii="Arial" w:hAnsi="Arial" w:eastAsia="仿宋_GB2312" w:cs="Arial"/>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元/月（大写：</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教职工食堂人员托管服务费</w:t>
      </w:r>
      <w:r>
        <w:rPr>
          <w:rFonts w:ascii="仿宋_GB2312" w:hAnsi="仿宋_GB2312" w:eastAsia="仿宋_GB2312" w:cs="仿宋_GB2312"/>
          <w:color w:val="000000" w:themeColor="text1"/>
          <w:kern w:val="0"/>
          <w:sz w:val="32"/>
          <w:szCs w:val="32"/>
          <w14:textFill>
            <w14:solidFill>
              <w14:schemeClr w14:val="tx1"/>
            </w14:solidFill>
          </w14:textFill>
        </w:rPr>
        <w:t>在履约期间</w:t>
      </w:r>
      <w:r>
        <w:rPr>
          <w:rFonts w:hint="eastAsia" w:ascii="仿宋_GB2312" w:hAnsi="仿宋_GB2312" w:eastAsia="仿宋_GB2312" w:cs="仿宋_GB2312"/>
          <w:color w:val="000000" w:themeColor="text1"/>
          <w:kern w:val="0"/>
          <w:sz w:val="32"/>
          <w:szCs w:val="32"/>
          <w14:textFill>
            <w14:solidFill>
              <w14:schemeClr w14:val="tx1"/>
            </w14:solidFill>
          </w14:textFill>
        </w:rPr>
        <w:t>应就餐人数规模进行调整用人配置，按照实际情况核算进行</w:t>
      </w:r>
      <w:r>
        <w:rPr>
          <w:rFonts w:ascii="仿宋_GB2312" w:hAnsi="仿宋_GB2312" w:eastAsia="仿宋_GB2312" w:cs="仿宋_GB2312"/>
          <w:color w:val="000000" w:themeColor="text1"/>
          <w:kern w:val="0"/>
          <w:sz w:val="32"/>
          <w:szCs w:val="32"/>
          <w14:textFill>
            <w14:solidFill>
              <w14:schemeClr w14:val="tx1"/>
            </w14:solidFill>
          </w14:textFill>
        </w:rPr>
        <w:t>调整。</w:t>
      </w:r>
    </w:p>
    <w:p>
      <w:pPr>
        <w:autoSpaceDN w:val="0"/>
        <w:spacing w:line="560" w:lineRule="exact"/>
        <w:ind w:firstLine="320" w:firstLineChars="100"/>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ascii="仿宋_GB2312" w:hAnsi="仿宋_GB2312" w:eastAsia="仿宋_GB2312" w:cs="仿宋_GB2312"/>
          <w:color w:val="000000" w:themeColor="text1"/>
          <w:kern w:val="0"/>
          <w:sz w:val="32"/>
          <w:szCs w:val="32"/>
          <w14:textFill>
            <w14:solidFill>
              <w14:schemeClr w14:val="tx1"/>
            </w14:solidFill>
          </w14:textFill>
        </w:rPr>
        <w:t>教工食堂</w:t>
      </w:r>
      <w:r>
        <w:rPr>
          <w:rFonts w:hint="eastAsia" w:ascii="仿宋_GB2312" w:hAnsi="仿宋_GB2312" w:eastAsia="仿宋_GB2312" w:cs="仿宋_GB2312"/>
          <w:color w:val="000000" w:themeColor="text1"/>
          <w:kern w:val="0"/>
          <w:sz w:val="32"/>
          <w:szCs w:val="32"/>
          <w14:textFill>
            <w14:solidFill>
              <w14:schemeClr w14:val="tx1"/>
            </w14:solidFill>
          </w14:textFill>
        </w:rPr>
        <w:t>自营管理人员托管服务</w:t>
      </w:r>
      <w:r>
        <w:rPr>
          <w:rFonts w:ascii="仿宋_GB2312" w:hAnsi="仿宋_GB2312" w:eastAsia="仿宋_GB2312" w:cs="仿宋_GB2312"/>
          <w:color w:val="000000" w:themeColor="text1"/>
          <w:kern w:val="0"/>
          <w:sz w:val="32"/>
          <w:szCs w:val="32"/>
          <w14:textFill>
            <w14:solidFill>
              <w14:schemeClr w14:val="tx1"/>
            </w14:solidFill>
          </w14:textFill>
        </w:rPr>
        <w:t>费</w:t>
      </w:r>
      <w:r>
        <w:rPr>
          <w:rFonts w:hint="eastAsia" w:ascii="仿宋_GB2312" w:hAnsi="仿宋_GB2312" w:eastAsia="仿宋_GB2312" w:cs="仿宋_GB2312"/>
          <w:color w:val="000000" w:themeColor="text1"/>
          <w:kern w:val="0"/>
          <w:sz w:val="32"/>
          <w:szCs w:val="32"/>
          <w14:textFill>
            <w14:solidFill>
              <w14:schemeClr w14:val="tx1"/>
            </w14:solidFill>
          </w14:textFill>
        </w:rPr>
        <w:t>及</w:t>
      </w:r>
      <w:r>
        <w:rPr>
          <w:rStyle w:val="39"/>
          <w:rFonts w:hint="eastAsia" w:ascii="仿宋" w:hAnsi="仿宋" w:eastAsia="仿宋" w:cs="仿宋"/>
          <w:color w:val="000000" w:themeColor="text1"/>
          <w:kern w:val="0"/>
          <w:sz w:val="32"/>
          <w:szCs w:val="32"/>
          <w14:textFill>
            <w14:solidFill>
              <w14:schemeClr w14:val="tx1"/>
            </w14:solidFill>
          </w14:textFill>
        </w:rPr>
        <w:t>运营服务费</w:t>
      </w:r>
      <w:r>
        <w:rPr>
          <w:rFonts w:ascii="仿宋_GB2312" w:hAnsi="仿宋_GB2312" w:eastAsia="仿宋_GB2312" w:cs="仿宋_GB2312"/>
          <w:color w:val="000000" w:themeColor="text1"/>
          <w:kern w:val="0"/>
          <w:sz w:val="32"/>
          <w:szCs w:val="32"/>
          <w14:textFill>
            <w14:solidFill>
              <w14:schemeClr w14:val="tx1"/>
            </w14:solidFill>
          </w14:textFill>
        </w:rPr>
        <w:t>按月支付。（</w:t>
      </w:r>
      <w:r>
        <w:rPr>
          <w:rFonts w:hint="eastAsia" w:ascii="仿宋_GB2312" w:hAnsi="仿宋_GB2312" w:eastAsia="仿宋_GB2312" w:cs="仿宋_GB2312"/>
          <w:color w:val="000000" w:themeColor="text1"/>
          <w:kern w:val="0"/>
          <w:sz w:val="32"/>
          <w:szCs w:val="32"/>
          <w14:textFill>
            <w14:solidFill>
              <w14:schemeClr w14:val="tx1"/>
            </w14:solidFill>
          </w14:textFill>
        </w:rPr>
        <w:t>采购单位</w:t>
      </w:r>
      <w:r>
        <w:rPr>
          <w:rFonts w:ascii="仿宋_GB2312" w:hAnsi="仿宋_GB2312" w:eastAsia="仿宋_GB2312" w:cs="仿宋_GB2312"/>
          <w:color w:val="000000" w:themeColor="text1"/>
          <w:kern w:val="0"/>
          <w:sz w:val="32"/>
          <w:szCs w:val="32"/>
          <w14:textFill>
            <w14:solidFill>
              <w14:schemeClr w14:val="tx1"/>
            </w14:solidFill>
          </w14:textFill>
        </w:rPr>
        <w:t>在当月20日前，凭</w:t>
      </w:r>
      <w:r>
        <w:rPr>
          <w:rFonts w:hint="eastAsia" w:ascii="仿宋_GB2312" w:hAnsi="仿宋_GB2312" w:eastAsia="仿宋_GB2312" w:cs="仿宋_GB2312"/>
          <w:color w:val="000000" w:themeColor="text1"/>
          <w:kern w:val="0"/>
          <w:sz w:val="32"/>
          <w:szCs w:val="32"/>
          <w14:textFill>
            <w14:solidFill>
              <w14:schemeClr w14:val="tx1"/>
            </w14:solidFill>
          </w14:textFill>
        </w:rPr>
        <w:t>中标单位</w:t>
      </w:r>
      <w:r>
        <w:rPr>
          <w:rFonts w:ascii="仿宋_GB2312" w:hAnsi="仿宋_GB2312" w:eastAsia="仿宋_GB2312" w:cs="仿宋_GB2312"/>
          <w:color w:val="000000" w:themeColor="text1"/>
          <w:kern w:val="0"/>
          <w:sz w:val="32"/>
          <w:szCs w:val="32"/>
          <w14:textFill>
            <w14:solidFill>
              <w14:schemeClr w14:val="tx1"/>
            </w14:solidFill>
          </w14:textFill>
        </w:rPr>
        <w:t>完税发票</w:t>
      </w:r>
      <w:r>
        <w:rPr>
          <w:rFonts w:hint="eastAsia" w:ascii="仿宋_GB2312" w:hAnsi="仿宋_GB2312" w:eastAsia="仿宋_GB2312" w:cs="仿宋_GB2312"/>
          <w:color w:val="000000" w:themeColor="text1"/>
          <w:kern w:val="0"/>
          <w:sz w:val="32"/>
          <w:szCs w:val="32"/>
          <w14:textFill>
            <w14:solidFill>
              <w14:schemeClr w14:val="tx1"/>
            </w14:solidFill>
          </w14:textFill>
        </w:rPr>
        <w:t>、履约考核资料，</w:t>
      </w:r>
      <w:r>
        <w:rPr>
          <w:rFonts w:ascii="仿宋_GB2312" w:hAnsi="仿宋_GB2312" w:eastAsia="仿宋_GB2312" w:cs="仿宋_GB2312"/>
          <w:color w:val="000000" w:themeColor="text1"/>
          <w:kern w:val="0"/>
          <w:sz w:val="32"/>
          <w:szCs w:val="32"/>
          <w14:textFill>
            <w14:solidFill>
              <w14:schemeClr w14:val="tx1"/>
            </w14:solidFill>
          </w14:textFill>
        </w:rPr>
        <w:t>由</w:t>
      </w:r>
      <w:r>
        <w:rPr>
          <w:rFonts w:hint="eastAsia" w:ascii="仿宋_GB2312" w:hAnsi="仿宋_GB2312" w:eastAsia="仿宋_GB2312" w:cs="仿宋_GB2312"/>
          <w:color w:val="000000" w:themeColor="text1"/>
          <w:kern w:val="0"/>
          <w:sz w:val="32"/>
          <w:szCs w:val="32"/>
          <w14:textFill>
            <w14:solidFill>
              <w14:schemeClr w14:val="tx1"/>
            </w14:solidFill>
          </w14:textFill>
        </w:rPr>
        <w:t>采购单位</w:t>
      </w:r>
      <w:r>
        <w:rPr>
          <w:rFonts w:ascii="仿宋_GB2312" w:hAnsi="仿宋_GB2312" w:eastAsia="仿宋_GB2312" w:cs="仿宋_GB2312"/>
          <w:color w:val="000000" w:themeColor="text1"/>
          <w:kern w:val="0"/>
          <w:sz w:val="32"/>
          <w:szCs w:val="32"/>
          <w14:textFill>
            <w14:solidFill>
              <w14:schemeClr w14:val="tx1"/>
            </w14:solidFill>
          </w14:textFill>
        </w:rPr>
        <w:t>签署付款凭证</w:t>
      </w:r>
      <w:r>
        <w:rPr>
          <w:rFonts w:hint="eastAsia" w:ascii="仿宋_GB2312" w:hAnsi="仿宋_GB2312" w:eastAsia="仿宋_GB2312" w:cs="仿宋_GB2312"/>
          <w:color w:val="000000" w:themeColor="text1"/>
          <w:kern w:val="0"/>
          <w:sz w:val="32"/>
          <w:szCs w:val="32"/>
          <w14:textFill>
            <w14:solidFill>
              <w14:schemeClr w14:val="tx1"/>
            </w14:solidFill>
          </w14:textFill>
        </w:rPr>
        <w:t>资料</w:t>
      </w:r>
      <w:r>
        <w:rPr>
          <w:rFonts w:ascii="仿宋_GB2312" w:hAnsi="仿宋_GB2312" w:eastAsia="仿宋_GB2312" w:cs="仿宋_GB2312"/>
          <w:color w:val="000000" w:themeColor="text1"/>
          <w:kern w:val="0"/>
          <w:sz w:val="32"/>
          <w:szCs w:val="32"/>
          <w14:textFill>
            <w14:solidFill>
              <w14:schemeClr w14:val="tx1"/>
            </w14:solidFill>
          </w14:textFill>
        </w:rPr>
        <w:t>，办理付款手续，向</w:t>
      </w:r>
      <w:r>
        <w:rPr>
          <w:rFonts w:hint="eastAsia" w:ascii="仿宋_GB2312" w:hAnsi="仿宋_GB2312" w:eastAsia="仿宋_GB2312" w:cs="仿宋_GB2312"/>
          <w:color w:val="000000" w:themeColor="text1"/>
          <w:kern w:val="0"/>
          <w:sz w:val="32"/>
          <w:szCs w:val="32"/>
          <w14:textFill>
            <w14:solidFill>
              <w14:schemeClr w14:val="tx1"/>
            </w14:solidFill>
          </w14:textFill>
        </w:rPr>
        <w:t>中标单位</w:t>
      </w:r>
      <w:r>
        <w:rPr>
          <w:rFonts w:ascii="仿宋_GB2312" w:hAnsi="仿宋_GB2312" w:eastAsia="仿宋_GB2312" w:cs="仿宋_GB2312"/>
          <w:color w:val="000000" w:themeColor="text1"/>
          <w:kern w:val="0"/>
          <w:sz w:val="32"/>
          <w:szCs w:val="32"/>
          <w14:textFill>
            <w14:solidFill>
              <w14:schemeClr w14:val="tx1"/>
            </w14:solidFill>
          </w14:textFill>
        </w:rPr>
        <w:t>支付当月的托管服务费。</w:t>
      </w:r>
      <w:r>
        <w:rPr>
          <w:rFonts w:hint="eastAsia" w:ascii="仿宋_GB2312" w:hAnsi="仿宋_GB2312" w:eastAsia="仿宋_GB2312" w:cs="仿宋_GB2312"/>
          <w:color w:val="000000" w:themeColor="text1"/>
          <w:kern w:val="0"/>
          <w:sz w:val="32"/>
          <w:szCs w:val="32"/>
          <w14:textFill>
            <w14:solidFill>
              <w14:schemeClr w14:val="tx1"/>
            </w14:solidFill>
          </w14:textFill>
        </w:rPr>
        <w:t>中标单位</w:t>
      </w:r>
      <w:r>
        <w:rPr>
          <w:rFonts w:ascii="仿宋_GB2312" w:hAnsi="仿宋_GB2312" w:eastAsia="仿宋_GB2312" w:cs="仿宋_GB2312"/>
          <w:color w:val="000000" w:themeColor="text1"/>
          <w:kern w:val="0"/>
          <w:sz w:val="32"/>
          <w:szCs w:val="32"/>
          <w14:textFill>
            <w14:solidFill>
              <w14:schemeClr w14:val="tx1"/>
            </w14:solidFill>
          </w14:textFill>
        </w:rPr>
        <w:t>次</w:t>
      </w:r>
      <w:r>
        <w:rPr>
          <w:rFonts w:hint="eastAsia" w:ascii="仿宋_GB2312" w:hAnsi="仿宋_GB2312" w:eastAsia="仿宋_GB2312" w:cs="仿宋_GB2312"/>
          <w:color w:val="000000" w:themeColor="text1"/>
          <w:kern w:val="0"/>
          <w:sz w:val="32"/>
          <w:szCs w:val="32"/>
          <w14:textFill>
            <w14:solidFill>
              <w14:schemeClr w14:val="tx1"/>
            </w14:solidFill>
          </w14:textFill>
        </w:rPr>
        <w:t>月10日前，将发放给员工的工资及其他费用等凭证</w:t>
      </w:r>
      <w:r>
        <w:rPr>
          <w:rFonts w:ascii="仿宋_GB2312" w:hAnsi="仿宋_GB2312" w:eastAsia="仿宋_GB2312" w:cs="仿宋_GB2312"/>
          <w:color w:val="000000" w:themeColor="text1"/>
          <w:kern w:val="0"/>
          <w:sz w:val="32"/>
          <w:szCs w:val="32"/>
          <w14:textFill>
            <w14:solidFill>
              <w14:schemeClr w14:val="tx1"/>
            </w14:solidFill>
          </w14:textFill>
        </w:rPr>
        <w:t>复印</w:t>
      </w:r>
      <w:r>
        <w:rPr>
          <w:rFonts w:hint="eastAsia" w:ascii="仿宋_GB2312" w:hAnsi="仿宋_GB2312" w:eastAsia="仿宋_GB2312" w:cs="仿宋_GB2312"/>
          <w:color w:val="000000" w:themeColor="text1"/>
          <w:kern w:val="0"/>
          <w:sz w:val="32"/>
          <w:szCs w:val="32"/>
          <w14:textFill>
            <w14:solidFill>
              <w14:schemeClr w14:val="tx1"/>
            </w14:solidFill>
          </w14:textFill>
        </w:rPr>
        <w:t>给甲方。</w:t>
      </w:r>
      <w:r>
        <w:rPr>
          <w:rFonts w:ascii="仿宋_GB2312" w:hAnsi="仿宋_GB2312" w:eastAsia="仿宋_GB2312" w:cs="仿宋_GB2312"/>
          <w:color w:val="000000" w:themeColor="text1"/>
          <w:kern w:val="0"/>
          <w:sz w:val="32"/>
          <w:szCs w:val="32"/>
          <w14:textFill>
            <w14:solidFill>
              <w14:schemeClr w14:val="tx1"/>
            </w14:solidFill>
          </w14:textFill>
        </w:rPr>
        <w:t>）</w:t>
      </w:r>
    </w:p>
    <w:p>
      <w:pPr>
        <w:autoSpaceDN w:val="0"/>
        <w:spacing w:line="560" w:lineRule="exact"/>
        <w:ind w:firstLine="320" w:firstLineChars="100"/>
        <w:rPr>
          <w:rStyle w:val="39"/>
          <w:rFonts w:hint="eastAsia" w:ascii="仿宋_GB2312" w:hAnsi="仿宋_GB2312" w:eastAsia="仿宋_GB2312" w:cs="仿宋_GB2312"/>
          <w:color w:val="000000" w:themeColor="text1"/>
          <w:kern w:val="0"/>
          <w:sz w:val="32"/>
          <w:szCs w:val="32"/>
          <w14:textFill>
            <w14:solidFill>
              <w14:schemeClr w14:val="tx1"/>
            </w14:solidFill>
          </w14:textFill>
        </w:rPr>
      </w:pPr>
      <w:r>
        <w:rPr>
          <w:rStyle w:val="39"/>
          <w:rFonts w:hint="eastAsia" w:ascii="仿宋_GB2312" w:hAnsi="仿宋_GB2312" w:eastAsia="仿宋_GB2312" w:cs="仿宋_GB2312"/>
          <w:color w:val="000000" w:themeColor="text1"/>
          <w:kern w:val="0"/>
          <w:sz w:val="32"/>
          <w:szCs w:val="32"/>
          <w14:textFill>
            <w14:solidFill>
              <w14:schemeClr w14:val="tx1"/>
            </w14:solidFill>
          </w14:textFill>
        </w:rPr>
        <w:t>（三）食堂财务管理</w:t>
      </w:r>
    </w:p>
    <w:p>
      <w:pPr>
        <w:pStyle w:val="13"/>
        <w:ind w:firstLine="640" w:firstLineChars="200"/>
        <w:rPr>
          <w:color w:val="000000" w:themeColor="text1"/>
          <w14:textFill>
            <w14:solidFill>
              <w14:schemeClr w14:val="tx1"/>
            </w14:solidFill>
          </w14:textFill>
        </w:rPr>
      </w:pPr>
      <w:r>
        <w:rPr>
          <w:rStyle w:val="39"/>
          <w:rFonts w:hint="eastAsia" w:ascii="仿宋_GB2312" w:hAnsi="仿宋_GB2312" w:eastAsia="仿宋_GB2312" w:cs="仿宋_GB2312"/>
          <w:color w:val="000000" w:themeColor="text1"/>
          <w:kern w:val="0"/>
          <w:sz w:val="32"/>
          <w:szCs w:val="32"/>
          <w14:textFill>
            <w14:solidFill>
              <w14:schemeClr w14:val="tx1"/>
            </w14:solidFill>
          </w14:textFill>
        </w:rPr>
        <w:t>1、食堂自营财务管理要求：</w:t>
      </w:r>
    </w:p>
    <w:p>
      <w:pPr>
        <w:pStyle w:val="13"/>
        <w:ind w:firstLine="640" w:firstLineChars="200"/>
        <w:rPr>
          <w:rStyle w:val="39"/>
          <w:rFonts w:hint="eastAsia" w:ascii="仿宋_GB2312" w:hAnsi="仿宋_GB2312" w:eastAsia="仿宋_GB2312" w:cs="仿宋_GB2312"/>
          <w:color w:val="000000" w:themeColor="text1"/>
          <w:kern w:val="0"/>
          <w:sz w:val="32"/>
          <w:szCs w:val="32"/>
          <w14:textFill>
            <w14:solidFill>
              <w14:schemeClr w14:val="tx1"/>
            </w14:solidFill>
          </w14:textFill>
        </w:rPr>
      </w:pPr>
      <w:r>
        <w:rPr>
          <w:rStyle w:val="39"/>
          <w:rFonts w:hint="eastAsia" w:ascii="仿宋_GB2312" w:hAnsi="仿宋_GB2312" w:eastAsia="仿宋_GB2312" w:cs="仿宋_GB2312"/>
          <w:color w:val="000000" w:themeColor="text1"/>
          <w:kern w:val="0"/>
          <w:sz w:val="32"/>
          <w:szCs w:val="32"/>
          <w14:textFill>
            <w14:solidFill>
              <w14:schemeClr w14:val="tx1"/>
            </w14:solidFill>
          </w14:textFill>
        </w:rPr>
        <w:t>学校食堂财务纳入学校财务统一管理，建立健全食堂财务管理制度，食堂财务公开，接受上级部门、教职工、家长的监督，每月公开收支情况，每年进行财务审计。学校食堂费用收支独立核算，不得挪作它用。</w:t>
      </w:r>
    </w:p>
    <w:p>
      <w:pPr>
        <w:pStyle w:val="13"/>
        <w:ind w:firstLine="640" w:firstLineChars="200"/>
        <w:rPr>
          <w:rStyle w:val="39"/>
          <w:rFonts w:hint="eastAsia" w:ascii="仿宋_GB2312" w:hAnsi="仿宋_GB2312" w:eastAsia="仿宋_GB2312" w:cs="仿宋_GB2312"/>
          <w:color w:val="000000" w:themeColor="text1"/>
          <w:kern w:val="0"/>
          <w:sz w:val="32"/>
          <w:szCs w:val="32"/>
          <w14:textFill>
            <w14:solidFill>
              <w14:schemeClr w14:val="tx1"/>
            </w14:solidFill>
          </w14:textFill>
        </w:rPr>
      </w:pPr>
      <w:r>
        <w:rPr>
          <w:rStyle w:val="39"/>
          <w:rFonts w:hint="eastAsia" w:ascii="仿宋_GB2312" w:hAnsi="仿宋_GB2312" w:eastAsia="仿宋_GB2312" w:cs="仿宋_GB2312"/>
          <w:color w:val="000000" w:themeColor="text1"/>
          <w:kern w:val="0"/>
          <w:sz w:val="32"/>
          <w:szCs w:val="32"/>
          <w14:textFill>
            <w14:solidFill>
              <w14:schemeClr w14:val="tx1"/>
            </w14:solidFill>
          </w14:textFill>
        </w:rPr>
        <w:t>2、收入范围：教职工个人缴纳伙食费。</w:t>
      </w:r>
    </w:p>
    <w:p>
      <w:pPr>
        <w:pStyle w:val="13"/>
        <w:ind w:firstLine="640" w:firstLineChars="200"/>
        <w:rPr>
          <w:rStyle w:val="39"/>
          <w:rFonts w:hint="eastAsia" w:ascii="仿宋_GB2312" w:hAnsi="仿宋_GB2312" w:eastAsia="仿宋_GB2312" w:cs="仿宋_GB2312"/>
          <w:color w:val="000000" w:themeColor="text1"/>
          <w:kern w:val="0"/>
          <w:sz w:val="32"/>
          <w:szCs w:val="32"/>
          <w14:textFill>
            <w14:solidFill>
              <w14:schemeClr w14:val="tx1"/>
            </w14:solidFill>
          </w14:textFill>
        </w:rPr>
      </w:pPr>
      <w:r>
        <w:rPr>
          <w:rStyle w:val="39"/>
          <w:rFonts w:hint="eastAsia" w:ascii="仿宋_GB2312" w:hAnsi="仿宋_GB2312" w:eastAsia="仿宋_GB2312" w:cs="仿宋_GB2312"/>
          <w:color w:val="000000" w:themeColor="text1"/>
          <w:kern w:val="0"/>
          <w:sz w:val="32"/>
          <w:szCs w:val="32"/>
          <w14:textFill>
            <w14:solidFill>
              <w14:schemeClr w14:val="tx1"/>
            </w14:solidFill>
          </w14:textFill>
        </w:rPr>
        <w:t>3、开支范围：</w:t>
      </w:r>
    </w:p>
    <w:p>
      <w:pPr>
        <w:pStyle w:val="13"/>
        <w:ind w:firstLine="640" w:firstLineChars="200"/>
        <w:rPr>
          <w:rFonts w:hint="eastAsia" w:ascii="仿宋_GB2312" w:hAnsi="仿宋_GB2312" w:eastAsia="仿宋_GB2312" w:cs="仿宋_GB2312"/>
          <w:color w:val="000000" w:themeColor="text1"/>
          <w:sz w:val="32"/>
          <w:szCs w:val="32"/>
          <w:lang w:bidi="zh-TW"/>
          <w14:textFill>
            <w14:solidFill>
              <w14:schemeClr w14:val="tx1"/>
            </w14:solidFill>
          </w14:textFill>
        </w:rPr>
      </w:pPr>
      <w:r>
        <w:rPr>
          <w:rStyle w:val="39"/>
          <w:rFonts w:hint="eastAsia" w:ascii="仿宋_GB2312" w:hAnsi="仿宋_GB2312" w:eastAsia="仿宋_GB2312" w:cs="仿宋_GB2312"/>
          <w:color w:val="000000" w:themeColor="text1"/>
          <w:kern w:val="0"/>
          <w:sz w:val="32"/>
          <w:szCs w:val="32"/>
          <w14:textFill>
            <w14:solidFill>
              <w14:schemeClr w14:val="tx1"/>
            </w14:solidFill>
          </w14:textFill>
        </w:rPr>
        <w:t>（1）教职工个人缴纳伙食费开支范围适用于食堂食材采购、食堂用人工费、</w:t>
      </w:r>
      <w:r>
        <w:rPr>
          <w:rFonts w:hint="eastAsia" w:ascii="仿宋_GB2312" w:hAnsi="仿宋_GB2312" w:eastAsia="仿宋_GB2312" w:cs="仿宋_GB2312"/>
          <w:color w:val="000000" w:themeColor="text1"/>
          <w:sz w:val="32"/>
          <w:szCs w:val="32"/>
          <w:lang w:bidi="zh-TW"/>
          <w14:textFill>
            <w14:solidFill>
              <w14:schemeClr w14:val="tx1"/>
            </w14:solidFill>
          </w14:textFill>
        </w:rPr>
        <w:t>煤气费、水电费。</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四</w:t>
      </w:r>
      <w:r>
        <w:rPr>
          <w:rStyle w:val="39"/>
          <w:rFonts w:hint="eastAsia" w:ascii="黑体" w:hAnsi="黑体" w:eastAsia="黑体" w:cs="黑体"/>
          <w:color w:val="000000" w:themeColor="text1"/>
          <w:kern w:val="0"/>
          <w:sz w:val="32"/>
          <w:szCs w:val="32"/>
          <w14:textFill>
            <w14:solidFill>
              <w14:schemeClr w14:val="tx1"/>
            </w14:solidFill>
          </w14:textFill>
        </w:rPr>
        <w:t>、 双方权利及义务</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（一）甲方权利与义务</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甲方负责为乙方提供厨房和餐厅的全套设备以及水、电和煤气等食堂必备的设备设施，产权归甲方所有。</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2.甲方</w:t>
      </w:r>
      <w:r>
        <w:rPr>
          <w:rFonts w:hint="eastAsia" w:ascii="仿宋_GB2312" w:hAnsi="仿宋_GB2312" w:eastAsia="仿宋_GB2312" w:cs="仿宋_GB2312"/>
          <w:color w:val="000000" w:themeColor="text1"/>
          <w:kern w:val="0"/>
          <w:sz w:val="32"/>
          <w:szCs w:val="32"/>
          <w14:textFill>
            <w14:solidFill>
              <w14:schemeClr w14:val="tx1"/>
            </w14:solidFill>
          </w14:textFill>
        </w:rPr>
        <w:t>不收取</w:t>
      </w:r>
      <w:r>
        <w:rPr>
          <w:rFonts w:ascii="仿宋_GB2312" w:hAnsi="仿宋_GB2312" w:eastAsia="仿宋_GB2312" w:cs="仿宋_GB2312"/>
          <w:color w:val="000000" w:themeColor="text1"/>
          <w:kern w:val="0"/>
          <w:sz w:val="32"/>
          <w:szCs w:val="32"/>
          <w:lang w:val="en"/>
          <w14:textFill>
            <w14:solidFill>
              <w14:schemeClr w14:val="tx1"/>
            </w14:solidFill>
          </w14:textFill>
        </w:rPr>
        <w:t>中标单位</w:t>
      </w:r>
      <w:r>
        <w:rPr>
          <w:rFonts w:hint="eastAsia" w:ascii="仿宋_GB2312" w:hAnsi="仿宋_GB2312" w:eastAsia="仿宋_GB2312" w:cs="仿宋_GB2312"/>
          <w:color w:val="000000" w:themeColor="text1"/>
          <w:kern w:val="0"/>
          <w:sz w:val="32"/>
          <w:szCs w:val="32"/>
          <w14:textFill>
            <w14:solidFill>
              <w14:schemeClr w14:val="tx1"/>
            </w14:solidFill>
          </w14:textFill>
        </w:rPr>
        <w:t>服务场地的使用费用以及厨房设备设施的折旧费。</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甲方按本合同规定监督乙方依法服务、履行合同，做好协调工作。</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甲方对乙方菜谱、配菜、营养搭配、食品安全、用餐环境、服务水平及卫生状况进行监督管理，并有权要求乙方及时整改。</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甲方应协助乙方维持食堂治安秩序，并加强对员工的教育。</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甲方为乙方所聘人员免费提供膳食（食堂停膳时，乙方聘用人员的膳食自行解决）。</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甲方如因非工作日用餐或社会考试等原因需要集体用餐的，甲方应提前通知乙方。</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甲方每月底召开一次教工膳食服务质量评议考核会，进行量化打分评价。凡教</w:t>
      </w:r>
      <w:r>
        <w:rPr>
          <w:rFonts w:ascii="仿宋_GB2312" w:hAnsi="仿宋_GB2312" w:eastAsia="仿宋_GB2312" w:cs="仿宋_GB2312"/>
          <w:color w:val="000000" w:themeColor="text1"/>
          <w:kern w:val="0"/>
          <w:sz w:val="32"/>
          <w:szCs w:val="32"/>
          <w14:textFill>
            <w14:solidFill>
              <w14:schemeClr w14:val="tx1"/>
            </w14:solidFill>
          </w14:textFill>
        </w:rPr>
        <w:t>职工</w:t>
      </w:r>
      <w:r>
        <w:rPr>
          <w:rFonts w:hint="eastAsia" w:ascii="仿宋_GB2312" w:hAnsi="仿宋_GB2312" w:eastAsia="仿宋_GB2312" w:cs="仿宋_GB2312"/>
          <w:color w:val="000000" w:themeColor="text1"/>
          <w:kern w:val="0"/>
          <w:sz w:val="32"/>
          <w:szCs w:val="32"/>
          <w14:textFill>
            <w14:solidFill>
              <w14:schemeClr w14:val="tx1"/>
            </w14:solidFill>
          </w14:textFill>
        </w:rPr>
        <w:t>基本满意率低于80%</w:t>
      </w:r>
      <w:r>
        <w:rPr>
          <w:rFonts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的，甲方将对乙方主管进行口头警告、诫勉谈话，并督促乙方及时整改，情况严重的甲方将单方</w:t>
      </w:r>
      <w:r>
        <w:rPr>
          <w:rFonts w:ascii="仿宋_GB2312" w:hAnsi="仿宋_GB2312" w:eastAsia="仿宋_GB2312" w:cs="仿宋_GB2312"/>
          <w:color w:val="000000" w:themeColor="text1"/>
          <w:kern w:val="0"/>
          <w:sz w:val="32"/>
          <w:szCs w:val="32"/>
          <w14:textFill>
            <w14:solidFill>
              <w14:schemeClr w14:val="tx1"/>
            </w14:solidFill>
          </w14:textFill>
        </w:rPr>
        <w:t>面</w:t>
      </w:r>
      <w:r>
        <w:rPr>
          <w:rFonts w:hint="eastAsia" w:ascii="仿宋_GB2312" w:hAnsi="仿宋_GB2312" w:eastAsia="仿宋_GB2312" w:cs="仿宋_GB2312"/>
          <w:color w:val="000000" w:themeColor="text1"/>
          <w:kern w:val="0"/>
          <w:sz w:val="32"/>
          <w:szCs w:val="32"/>
          <w14:textFill>
            <w14:solidFill>
              <w14:schemeClr w14:val="tx1"/>
            </w14:solidFill>
          </w14:textFill>
        </w:rPr>
        <w:t>终止合同。</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 乙方的权利与义务</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1.乙方应具备餐饮管理服务资质，持有国家规定从事餐饮行业的各种资质，如企业《营业执照》、《食品卫生许可证》等有效资质证件以及全体服务人员健康证。</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2.自合同生效之日起，甲乙双方对食堂设备、餐具等物品办理领用交接登记手续，由甲乙双方主管签名确认。合同期满后，乙方应将清单所列物品完好无损的交</w:t>
      </w:r>
      <w:r>
        <w:rPr>
          <w:rFonts w:ascii="仿宋_GB2312" w:hAnsi="仿宋_GB2312" w:eastAsia="仿宋_GB2312" w:cs="仿宋_GB2312"/>
          <w:color w:val="000000" w:themeColor="text1"/>
          <w:kern w:val="0"/>
          <w:sz w:val="32"/>
          <w:szCs w:val="32"/>
          <w14:textFill>
            <w14:solidFill>
              <w14:schemeClr w14:val="tx1"/>
            </w14:solidFill>
          </w14:textFill>
        </w:rPr>
        <w:t>还</w:t>
      </w:r>
      <w:r>
        <w:rPr>
          <w:rFonts w:hint="eastAsia" w:ascii="仿宋_GB2312" w:hAnsi="仿宋_GB2312" w:eastAsia="仿宋_GB2312" w:cs="仿宋_GB2312"/>
          <w:color w:val="000000" w:themeColor="text1"/>
          <w:kern w:val="0"/>
          <w:sz w:val="32"/>
          <w:szCs w:val="32"/>
          <w14:textFill>
            <w14:solidFill>
              <w14:schemeClr w14:val="tx1"/>
            </w14:solidFill>
          </w14:textFill>
        </w:rPr>
        <w:t>给甲方。</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.乙方应在本项目界定的服务场地开展服务活动，如需自行添置</w:t>
      </w:r>
      <w:r>
        <w:rPr>
          <w:rFonts w:ascii="仿宋_GB2312" w:hAnsi="仿宋_GB2312" w:eastAsia="仿宋_GB2312" w:cs="仿宋_GB2312"/>
          <w:color w:val="000000" w:themeColor="text1"/>
          <w:kern w:val="0"/>
          <w:sz w:val="32"/>
          <w:szCs w:val="32"/>
          <w14:textFill>
            <w14:solidFill>
              <w14:schemeClr w14:val="tx1"/>
            </w14:solidFill>
          </w14:textFill>
        </w:rPr>
        <w:t>设备或</w:t>
      </w:r>
      <w:r>
        <w:rPr>
          <w:rFonts w:hint="eastAsia" w:ascii="仿宋_GB2312" w:hAnsi="仿宋_GB2312" w:eastAsia="仿宋_GB2312" w:cs="仿宋_GB2312"/>
          <w:color w:val="000000" w:themeColor="text1"/>
          <w:kern w:val="0"/>
          <w:sz w:val="32"/>
          <w:szCs w:val="32"/>
          <w14:textFill>
            <w14:solidFill>
              <w14:schemeClr w14:val="tx1"/>
            </w14:solidFill>
          </w14:textFill>
        </w:rPr>
        <w:t>对服务场地进行特殊装修、改造，乙方须向</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申请实施。</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.乙方应独立运营服务。乙方不得将食堂转让或委托其他单位（人）服务，不</w:t>
      </w:r>
      <w:r>
        <w:rPr>
          <w:rFonts w:ascii="仿宋_GB2312" w:hAnsi="仿宋_GB2312" w:eastAsia="仿宋_GB2312" w:cs="仿宋_GB2312"/>
          <w:color w:val="000000" w:themeColor="text1"/>
          <w:kern w:val="0"/>
          <w:sz w:val="32"/>
          <w:szCs w:val="32"/>
          <w14:textFill>
            <w14:solidFill>
              <w14:schemeClr w14:val="tx1"/>
            </w14:solidFill>
          </w14:textFill>
        </w:rPr>
        <w:t>得</w:t>
      </w:r>
      <w:r>
        <w:rPr>
          <w:rFonts w:hint="eastAsia" w:ascii="仿宋_GB2312" w:hAnsi="仿宋_GB2312" w:eastAsia="仿宋_GB2312" w:cs="仿宋_GB2312"/>
          <w:color w:val="000000" w:themeColor="text1"/>
          <w:kern w:val="0"/>
          <w:sz w:val="32"/>
          <w:szCs w:val="32"/>
          <w14:textFill>
            <w14:solidFill>
              <w14:schemeClr w14:val="tx1"/>
            </w14:solidFill>
          </w14:textFill>
        </w:rPr>
        <w:t>在校内从事非法服务活动。否则，学校有权单方终止合同，由此引起的一切责任和损失由乙方单独承担。</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.乙方应接受学校及有关职能部门的监管和指导。</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有权对乙方服务状况进行监督和提出改善意见，乙方应采纳</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的合理意见并及时进行整改。乙方要严格服从食品卫生监管部门和市场监管部门的监督和指导，要严格遵守国家及各级管理部门关于食品卫生安全方面的相关法律、法规，保证</w:t>
      </w:r>
      <w:r>
        <w:rPr>
          <w:rFonts w:ascii="仿宋_GB2312" w:hAnsi="仿宋_GB2312" w:eastAsia="仿宋_GB2312" w:cs="仿宋_GB2312"/>
          <w:color w:val="000000" w:themeColor="text1"/>
          <w:kern w:val="0"/>
          <w:sz w:val="32"/>
          <w:szCs w:val="32"/>
          <w14:textFill>
            <w14:solidFill>
              <w14:schemeClr w14:val="tx1"/>
            </w14:solidFill>
          </w14:textFill>
        </w:rPr>
        <w:t>食材加工</w:t>
      </w:r>
      <w:r>
        <w:rPr>
          <w:rFonts w:hint="eastAsia" w:ascii="仿宋_GB2312" w:hAnsi="仿宋_GB2312" w:eastAsia="仿宋_GB2312" w:cs="仿宋_GB2312"/>
          <w:color w:val="000000" w:themeColor="text1"/>
          <w:kern w:val="0"/>
          <w:sz w:val="32"/>
          <w:szCs w:val="32"/>
          <w14:textFill>
            <w14:solidFill>
              <w14:schemeClr w14:val="tx1"/>
            </w14:solidFill>
          </w14:textFill>
        </w:rPr>
        <w:t>所有工作环节的安全、卫生、合规、合法。因乙方管理不善而造成食品安全事故等安全事故的，由乙方承担全部责任；要严格落实服务场所的消防与电气安全管理工作，服从</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安全职能部门的统一管理，确保消防与电气安全不发生事故。</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乙方应建立健全食堂管理规章制度并进行公告。乙方要以为教职工提供优质服务为理念，建立健全食堂管理的各项规章制度，包括厨房纪律、厨房出品制度、清洁卫生制度、员工考勤休假制度、食堂设施设备使用维护制度、技术业务考核制度、厨房会议制度、厨房日常工作检查制度等制度，并将有关制度、从业人员健康证等在服务场所进行公告。</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.乙方应公开有关</w:t>
      </w:r>
      <w:r>
        <w:rPr>
          <w:rFonts w:ascii="仿宋_GB2312" w:hAnsi="仿宋_GB2312" w:eastAsia="仿宋_GB2312" w:cs="仿宋_GB2312"/>
          <w:color w:val="000000" w:themeColor="text1"/>
          <w:kern w:val="0"/>
          <w:sz w:val="32"/>
          <w:szCs w:val="32"/>
          <w14:textFill>
            <w14:solidFill>
              <w14:schemeClr w14:val="tx1"/>
            </w14:solidFill>
          </w14:textFill>
        </w:rPr>
        <w:t>规定</w:t>
      </w:r>
      <w:r>
        <w:rPr>
          <w:rFonts w:hint="eastAsia" w:ascii="仿宋_GB2312" w:hAnsi="仿宋_GB2312" w:eastAsia="仿宋_GB2312" w:cs="仿宋_GB2312"/>
          <w:color w:val="000000" w:themeColor="text1"/>
          <w:kern w:val="0"/>
          <w:sz w:val="32"/>
          <w:szCs w:val="32"/>
          <w14:textFill>
            <w14:solidFill>
              <w14:schemeClr w14:val="tx1"/>
            </w14:solidFill>
          </w14:textFill>
        </w:rPr>
        <w:t>事项以及加强食堂文化建设等工作。乙方应制作与学校食堂装修风格相协调的各种公示公告栏、宣传栏，样式和材质应得到</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的许可。</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乙方应</w:t>
      </w:r>
      <w:r>
        <w:rPr>
          <w:rFonts w:hint="eastAsia" w:ascii="仿宋_GB2312" w:hAnsi="仿宋_GB2312" w:eastAsia="仿宋_GB2312" w:cs="仿宋_GB2312"/>
          <w:color w:val="000000" w:themeColor="text1"/>
          <w:kern w:val="0"/>
          <w:sz w:val="32"/>
          <w:szCs w:val="32"/>
          <w14:textFill>
            <w14:solidFill>
              <w14:schemeClr w14:val="tx1"/>
            </w14:solidFill>
          </w14:textFill>
        </w:rPr>
        <w:t>按核定岗位配足配齐人员，所派驻的服务人员</w:t>
      </w:r>
      <w:r>
        <w:rPr>
          <w:rFonts w:ascii="仿宋_GB2312" w:hAnsi="仿宋_GB2312" w:eastAsia="仿宋_GB2312" w:cs="仿宋_GB2312"/>
          <w:color w:val="000000" w:themeColor="text1"/>
          <w:kern w:val="0"/>
          <w:sz w:val="32"/>
          <w:szCs w:val="32"/>
          <w14:textFill>
            <w14:solidFill>
              <w14:schemeClr w14:val="tx1"/>
            </w14:solidFill>
          </w14:textFill>
        </w:rPr>
        <w:t>应当相对固定，</w:t>
      </w:r>
      <w:r>
        <w:rPr>
          <w:rFonts w:hint="eastAsia" w:ascii="仿宋_GB2312" w:hAnsi="仿宋_GB2312" w:eastAsia="仿宋_GB2312" w:cs="仿宋_GB2312"/>
          <w:color w:val="000000" w:themeColor="text1"/>
          <w:kern w:val="0"/>
          <w:sz w:val="32"/>
          <w:szCs w:val="32"/>
          <w14:textFill>
            <w14:solidFill>
              <w14:schemeClr w14:val="tx1"/>
            </w14:solidFill>
          </w14:textFill>
        </w:rPr>
        <w:t>服从</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的指挥和管理，按</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要求提供服务</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对服务人员不满意提出更换要求的，</w:t>
      </w:r>
      <w:r>
        <w:rPr>
          <w:rFonts w:ascii="仿宋_GB2312" w:hAnsi="仿宋_GB2312" w:eastAsia="仿宋_GB2312" w:cs="仿宋_GB2312"/>
          <w:color w:val="000000" w:themeColor="text1"/>
          <w:kern w:val="0"/>
          <w:sz w:val="32"/>
          <w:szCs w:val="32"/>
          <w14:textFill>
            <w14:solidFill>
              <w14:schemeClr w14:val="tx1"/>
            </w14:solidFill>
          </w14:textFill>
        </w:rPr>
        <w:t>乙方</w:t>
      </w:r>
      <w:r>
        <w:rPr>
          <w:rFonts w:hint="eastAsia" w:ascii="仿宋_GB2312" w:hAnsi="仿宋_GB2312" w:eastAsia="仿宋_GB2312" w:cs="仿宋_GB2312"/>
          <w:color w:val="000000" w:themeColor="text1"/>
          <w:kern w:val="0"/>
          <w:sz w:val="32"/>
          <w:szCs w:val="32"/>
          <w14:textFill>
            <w14:solidFill>
              <w14:schemeClr w14:val="tx1"/>
            </w14:solidFill>
          </w14:textFill>
        </w:rPr>
        <w:t>必须无条件更换相同或更高级别的服务人员。</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乙方应按照《劳动合同法》依法用工并加强员工的管理。食堂员工上岗前，应进行岗前培训，每年应进行至少一次体检，持有效的《健康证》上岗，体检费用由乙方负责。食堂员工应遵守食堂的各项管理制度，为师生提供热情、周到的服务，不得与教职工发生争吵或冲突，如发现违规者，学校有权视其情节轻重，提出处理意见。如发生用工纠纷，由乙方自行处理，并单独承担有关责任。</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乙方应遵守国家和地方有关卫生标准</w:t>
      </w:r>
      <w:r>
        <w:rPr>
          <w:rFonts w:ascii="仿宋_GB2312" w:hAnsi="仿宋_GB2312" w:eastAsia="仿宋_GB2312" w:cs="仿宋_GB2312"/>
          <w:color w:val="000000" w:themeColor="text1"/>
          <w:kern w:val="0"/>
          <w:sz w:val="32"/>
          <w:szCs w:val="32"/>
          <w14:textFill>
            <w14:solidFill>
              <w14:schemeClr w14:val="tx1"/>
            </w14:solidFill>
          </w14:textFill>
        </w:rPr>
        <w:t>，切实做好人员、</w:t>
      </w:r>
      <w:r>
        <w:rPr>
          <w:rFonts w:hint="eastAsia" w:ascii="仿宋_GB2312" w:hAnsi="仿宋_GB2312" w:eastAsia="仿宋_GB2312" w:cs="仿宋_GB2312"/>
          <w:color w:val="000000" w:themeColor="text1"/>
          <w:kern w:val="0"/>
          <w:sz w:val="32"/>
          <w:szCs w:val="32"/>
          <w14:textFill>
            <w14:solidFill>
              <w14:schemeClr w14:val="tx1"/>
            </w14:solidFill>
          </w14:textFill>
        </w:rPr>
        <w:t>食品</w:t>
      </w:r>
      <w:r>
        <w:rPr>
          <w:rFonts w:ascii="仿宋_GB2312" w:hAnsi="仿宋_GB2312" w:eastAsia="仿宋_GB2312" w:cs="仿宋_GB2312"/>
          <w:color w:val="000000" w:themeColor="text1"/>
          <w:kern w:val="0"/>
          <w:sz w:val="32"/>
          <w:szCs w:val="32"/>
          <w14:textFill>
            <w14:solidFill>
              <w14:schemeClr w14:val="tx1"/>
            </w14:solidFill>
          </w14:textFill>
        </w:rPr>
        <w:t>和</w:t>
      </w:r>
      <w:r>
        <w:rPr>
          <w:rFonts w:hint="eastAsia" w:ascii="仿宋_GB2312" w:hAnsi="仿宋_GB2312" w:eastAsia="仿宋_GB2312" w:cs="仿宋_GB2312"/>
          <w:color w:val="000000" w:themeColor="text1"/>
          <w:kern w:val="0"/>
          <w:sz w:val="32"/>
          <w:szCs w:val="32"/>
          <w14:textFill>
            <w14:solidFill>
              <w14:schemeClr w14:val="tx1"/>
            </w14:solidFill>
          </w14:textFill>
        </w:rPr>
        <w:t>环境</w:t>
      </w:r>
      <w:r>
        <w:rPr>
          <w:rFonts w:ascii="仿宋_GB2312" w:hAnsi="仿宋_GB2312" w:eastAsia="仿宋_GB2312" w:cs="仿宋_GB2312"/>
          <w:color w:val="000000" w:themeColor="text1"/>
          <w:kern w:val="0"/>
          <w:sz w:val="32"/>
          <w:szCs w:val="32"/>
          <w14:textFill>
            <w14:solidFill>
              <w14:schemeClr w14:val="tx1"/>
            </w14:solidFill>
          </w14:textFill>
        </w:rPr>
        <w:t>卫生，并派专人</w:t>
      </w:r>
      <w:r>
        <w:rPr>
          <w:rFonts w:hint="eastAsia" w:ascii="仿宋_GB2312" w:hAnsi="仿宋_GB2312" w:eastAsia="仿宋_GB2312" w:cs="仿宋_GB2312"/>
          <w:color w:val="000000" w:themeColor="text1"/>
          <w:kern w:val="0"/>
          <w:sz w:val="32"/>
          <w:szCs w:val="32"/>
          <w14:textFill>
            <w14:solidFill>
              <w14:schemeClr w14:val="tx1"/>
            </w14:solidFill>
          </w14:textFill>
        </w:rPr>
        <w:t>坚持落实食品每日留样制度，随时接受</w:t>
      </w:r>
      <w:r>
        <w:rPr>
          <w:rFonts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14:textFill>
            <w14:solidFill>
              <w14:schemeClr w14:val="tx1"/>
            </w14:solidFill>
          </w14:textFill>
        </w:rPr>
        <w:t>定期或不定期的检查</w:t>
      </w:r>
      <w:r>
        <w:rPr>
          <w:rFonts w:ascii="仿宋_GB2312" w:hAnsi="仿宋_GB2312" w:eastAsia="仿宋_GB2312" w:cs="仿宋_GB2312"/>
          <w:color w:val="000000" w:themeColor="text1"/>
          <w:kern w:val="0"/>
          <w:sz w:val="32"/>
          <w:szCs w:val="32"/>
          <w14:textFill>
            <w14:solidFill>
              <w14:schemeClr w14:val="tx1"/>
            </w14:solidFill>
          </w14:textFill>
        </w:rPr>
        <w:t>。</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11</w:t>
      </w:r>
      <w:r>
        <w:rPr>
          <w:rFonts w:hint="eastAsia" w:ascii="仿宋_GB2312" w:hAnsi="仿宋_GB2312" w:eastAsia="仿宋_GB2312" w:cs="仿宋_GB2312"/>
          <w:color w:val="000000" w:themeColor="text1"/>
          <w:kern w:val="0"/>
          <w:sz w:val="32"/>
          <w:szCs w:val="32"/>
          <w14:textFill>
            <w14:solidFill>
              <w14:schemeClr w14:val="tx1"/>
            </w14:solidFill>
          </w14:textFill>
        </w:rPr>
        <w:t>.乙方应厉行节约进行服务。乙方应</w:t>
      </w:r>
      <w:r>
        <w:rPr>
          <w:rFonts w:ascii="仿宋_GB2312" w:hAnsi="仿宋_GB2312" w:eastAsia="仿宋_GB2312" w:cs="仿宋_GB2312"/>
          <w:color w:val="000000" w:themeColor="text1"/>
          <w:kern w:val="0"/>
          <w:sz w:val="32"/>
          <w:szCs w:val="32"/>
          <w14:textFill>
            <w14:solidFill>
              <w14:schemeClr w14:val="tx1"/>
            </w14:solidFill>
          </w14:textFill>
        </w:rPr>
        <w:t>合理提供菜肴，</w:t>
      </w:r>
      <w:r>
        <w:rPr>
          <w:rFonts w:hint="eastAsia" w:ascii="仿宋_GB2312" w:hAnsi="仿宋_GB2312" w:eastAsia="仿宋_GB2312" w:cs="仿宋_GB2312"/>
          <w:color w:val="000000" w:themeColor="text1"/>
          <w:kern w:val="0"/>
          <w:sz w:val="32"/>
          <w:szCs w:val="32"/>
          <w14:textFill>
            <w14:solidFill>
              <w14:schemeClr w14:val="tx1"/>
            </w14:solidFill>
          </w14:textFill>
        </w:rPr>
        <w:t>制定科学的饮食菜谱，保障食堂供餐的质量和选择需求</w:t>
      </w:r>
      <w:r>
        <w:rPr>
          <w:rFonts w:ascii="仿宋_GB2312" w:hAnsi="仿宋_GB2312" w:eastAsia="仿宋_GB2312" w:cs="仿宋_GB2312"/>
          <w:color w:val="000000" w:themeColor="text1"/>
          <w:kern w:val="0"/>
          <w:sz w:val="32"/>
          <w:szCs w:val="32"/>
          <w14:textFill>
            <w14:solidFill>
              <w14:schemeClr w14:val="tx1"/>
            </w14:solidFill>
          </w14:textFill>
        </w:rPr>
        <w:t>，并</w:t>
      </w:r>
      <w:r>
        <w:rPr>
          <w:rFonts w:hint="eastAsia" w:ascii="仿宋_GB2312" w:hAnsi="仿宋_GB2312" w:eastAsia="仿宋_GB2312" w:cs="仿宋_GB2312"/>
          <w:color w:val="000000" w:themeColor="text1"/>
          <w:kern w:val="0"/>
          <w:sz w:val="32"/>
          <w:szCs w:val="32"/>
          <w14:textFill>
            <w14:solidFill>
              <w14:schemeClr w14:val="tx1"/>
            </w14:solidFill>
          </w14:textFill>
        </w:rPr>
        <w:t>采取积极措施预测每天教工用餐人数，确定每天采购食材的</w:t>
      </w:r>
      <w:r>
        <w:rPr>
          <w:rFonts w:ascii="仿宋_GB2312" w:hAnsi="仿宋_GB2312" w:eastAsia="仿宋_GB2312" w:cs="仿宋_GB2312"/>
          <w:color w:val="000000" w:themeColor="text1"/>
          <w:kern w:val="0"/>
          <w:sz w:val="32"/>
          <w:szCs w:val="32"/>
          <w14:textFill>
            <w14:solidFill>
              <w14:schemeClr w14:val="tx1"/>
            </w14:solidFill>
          </w14:textFill>
        </w:rPr>
        <w:t>品类和数量，协助学校下单</w:t>
      </w:r>
      <w:r>
        <w:rPr>
          <w:rFonts w:hint="eastAsia" w:ascii="仿宋_GB2312" w:hAnsi="仿宋_GB2312" w:eastAsia="仿宋_GB2312" w:cs="仿宋_GB2312"/>
          <w:color w:val="000000" w:themeColor="text1"/>
          <w:kern w:val="0"/>
          <w:sz w:val="32"/>
          <w:szCs w:val="32"/>
          <w14:textFill>
            <w14:solidFill>
              <w14:schemeClr w14:val="tx1"/>
            </w14:solidFill>
          </w14:textFill>
        </w:rPr>
        <w:t>适量的食材，</w:t>
      </w:r>
      <w:r>
        <w:rPr>
          <w:rFonts w:ascii="仿宋_GB2312" w:hAnsi="仿宋_GB2312" w:eastAsia="仿宋_GB2312" w:cs="仿宋_GB2312"/>
          <w:color w:val="000000" w:themeColor="text1"/>
          <w:kern w:val="0"/>
          <w:sz w:val="32"/>
          <w:szCs w:val="32"/>
          <w14:textFill>
            <w14:solidFill>
              <w14:schemeClr w14:val="tx1"/>
            </w14:solidFill>
          </w14:textFill>
        </w:rPr>
        <w:t>杜绝浪费</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12.乙方应</w:t>
      </w:r>
      <w:r>
        <w:rPr>
          <w:rFonts w:ascii="仿宋_GB2312" w:hAnsi="仿宋_GB2312" w:eastAsia="仿宋_GB2312" w:cs="仿宋_GB2312"/>
          <w:color w:val="000000" w:themeColor="text1"/>
          <w:kern w:val="0"/>
          <w:sz w:val="32"/>
          <w:szCs w:val="32"/>
          <w14:textFill>
            <w14:solidFill>
              <w14:schemeClr w14:val="tx1"/>
            </w14:solidFill>
          </w14:textFill>
        </w:rPr>
        <w:t>配合甲方验收</w:t>
      </w:r>
      <w:r>
        <w:rPr>
          <w:rFonts w:hint="eastAsia" w:ascii="仿宋_GB2312" w:hAnsi="仿宋_GB2312" w:eastAsia="仿宋_GB2312" w:cs="仿宋_GB2312"/>
          <w:color w:val="000000" w:themeColor="text1"/>
          <w:kern w:val="0"/>
          <w:sz w:val="32"/>
          <w:szCs w:val="32"/>
          <w14:textFill>
            <w14:solidFill>
              <w14:schemeClr w14:val="tx1"/>
            </w14:solidFill>
          </w14:textFill>
        </w:rPr>
        <w:t>食材，验货后</w:t>
      </w:r>
      <w:r>
        <w:rPr>
          <w:rFonts w:ascii="仿宋_GB2312" w:hAnsi="仿宋_GB2312" w:eastAsia="仿宋_GB2312" w:cs="仿宋_GB2312"/>
          <w:color w:val="000000" w:themeColor="text1"/>
          <w:kern w:val="0"/>
          <w:sz w:val="32"/>
          <w:szCs w:val="32"/>
          <w14:textFill>
            <w14:solidFill>
              <w14:schemeClr w14:val="tx1"/>
            </w14:solidFill>
          </w14:textFill>
        </w:rPr>
        <w:t>在</w:t>
      </w:r>
      <w:r>
        <w:rPr>
          <w:rFonts w:hint="eastAsia" w:ascii="仿宋_GB2312" w:hAnsi="仿宋_GB2312" w:eastAsia="仿宋_GB2312" w:cs="仿宋_GB2312"/>
          <w:color w:val="000000" w:themeColor="text1"/>
          <w:kern w:val="0"/>
          <w:sz w:val="32"/>
          <w:szCs w:val="32"/>
          <w14:textFill>
            <w14:solidFill>
              <w14:schemeClr w14:val="tx1"/>
            </w14:solidFill>
          </w14:textFill>
        </w:rPr>
        <w:t>送货清单</w:t>
      </w:r>
      <w:r>
        <w:rPr>
          <w:rFonts w:ascii="仿宋_GB2312" w:hAnsi="仿宋_GB2312" w:eastAsia="仿宋_GB2312" w:cs="仿宋_GB2312"/>
          <w:color w:val="000000" w:themeColor="text1"/>
          <w:kern w:val="0"/>
          <w:sz w:val="32"/>
          <w:szCs w:val="32"/>
          <w14:textFill>
            <w14:solidFill>
              <w14:schemeClr w14:val="tx1"/>
            </w14:solidFill>
          </w14:textFill>
        </w:rPr>
        <w:t>上</w:t>
      </w:r>
      <w:r>
        <w:rPr>
          <w:rFonts w:hint="eastAsia" w:ascii="仿宋_GB2312" w:hAnsi="仿宋_GB2312" w:eastAsia="仿宋_GB2312" w:cs="仿宋_GB2312"/>
          <w:color w:val="000000" w:themeColor="text1"/>
          <w:kern w:val="0"/>
          <w:sz w:val="32"/>
          <w:szCs w:val="32"/>
          <w14:textFill>
            <w14:solidFill>
              <w14:schemeClr w14:val="tx1"/>
            </w14:solidFill>
          </w14:textFill>
        </w:rPr>
        <w:t>签字确认，作为</w:t>
      </w:r>
      <w:r>
        <w:rPr>
          <w:rFonts w:ascii="仿宋_GB2312" w:hAnsi="仿宋_GB2312" w:eastAsia="仿宋_GB2312" w:cs="仿宋_GB2312"/>
          <w:color w:val="000000" w:themeColor="text1"/>
          <w:kern w:val="0"/>
          <w:sz w:val="32"/>
          <w:szCs w:val="32"/>
          <w14:textFill>
            <w14:solidFill>
              <w14:schemeClr w14:val="tx1"/>
            </w14:solidFill>
          </w14:textFill>
        </w:rPr>
        <w:t>食材入库</w:t>
      </w:r>
      <w:r>
        <w:rPr>
          <w:rFonts w:hint="eastAsia" w:ascii="仿宋_GB2312" w:hAnsi="仿宋_GB2312" w:eastAsia="仿宋_GB2312" w:cs="仿宋_GB2312"/>
          <w:color w:val="000000" w:themeColor="text1"/>
          <w:kern w:val="0"/>
          <w:sz w:val="32"/>
          <w:szCs w:val="32"/>
          <w14:textFill>
            <w14:solidFill>
              <w14:schemeClr w14:val="tx1"/>
            </w14:solidFill>
          </w14:textFill>
        </w:rPr>
        <w:t>凭证。甲方安排人员随时检查配送</w:t>
      </w:r>
      <w:r>
        <w:rPr>
          <w:rFonts w:ascii="仿宋_GB2312" w:hAnsi="仿宋_GB2312" w:eastAsia="仿宋_GB2312" w:cs="仿宋_GB2312"/>
          <w:color w:val="000000" w:themeColor="text1"/>
          <w:kern w:val="0"/>
          <w:sz w:val="32"/>
          <w:szCs w:val="32"/>
          <w14:textFill>
            <w14:solidFill>
              <w14:schemeClr w14:val="tx1"/>
            </w14:solidFill>
          </w14:textFill>
        </w:rPr>
        <w:t>和库存</w:t>
      </w:r>
      <w:r>
        <w:rPr>
          <w:rFonts w:hint="eastAsia" w:ascii="仿宋_GB2312" w:hAnsi="仿宋_GB2312" w:eastAsia="仿宋_GB2312" w:cs="仿宋_GB2312"/>
          <w:color w:val="000000" w:themeColor="text1"/>
          <w:kern w:val="0"/>
          <w:sz w:val="32"/>
          <w:szCs w:val="32"/>
          <w14:textFill>
            <w14:solidFill>
              <w14:schemeClr w14:val="tx1"/>
            </w14:solidFill>
          </w14:textFill>
        </w:rPr>
        <w:t>食材的数量和质量。</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13.乙方应</w:t>
      </w:r>
      <w:r>
        <w:rPr>
          <w:rFonts w:ascii="仿宋_GB2312" w:hAnsi="仿宋_GB2312" w:eastAsia="仿宋_GB2312" w:cs="仿宋_GB2312"/>
          <w:color w:val="000000" w:themeColor="text1"/>
          <w:kern w:val="0"/>
          <w:sz w:val="32"/>
          <w:szCs w:val="32"/>
          <w14:textFill>
            <w14:solidFill>
              <w14:schemeClr w14:val="tx1"/>
            </w14:solidFill>
          </w14:textFill>
        </w:rPr>
        <w:t>协助甲方</w:t>
      </w:r>
      <w:r>
        <w:rPr>
          <w:rFonts w:hint="eastAsia" w:ascii="仿宋_GB2312" w:hAnsi="仿宋_GB2312" w:eastAsia="仿宋_GB2312" w:cs="仿宋_GB2312"/>
          <w:color w:val="000000" w:themeColor="text1"/>
          <w:kern w:val="0"/>
          <w:sz w:val="32"/>
          <w:szCs w:val="32"/>
          <w14:textFill>
            <w14:solidFill>
              <w14:schemeClr w14:val="tx1"/>
            </w14:solidFill>
          </w14:textFill>
        </w:rPr>
        <w:t>做好食材进货台帐。包括有《营业执照》、《生产许可证》和《食品服务许可证》，国家认可的食品检测部门出具的产品《检验报告》。所提供的肉类、蔬菜瓜果、粮油等食品均符合《食品安全法》、《动物检疫法》、《国家食品卫生标准》和ISO9001质量体系认证等相关规定，保证卫生安全。</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乙方应完成甲方交办的各种临时用餐</w:t>
      </w:r>
      <w:r>
        <w:rPr>
          <w:rFonts w:ascii="仿宋_GB2312" w:hAnsi="仿宋_GB2312" w:eastAsia="仿宋_GB2312" w:cs="仿宋_GB2312"/>
          <w:color w:val="000000" w:themeColor="text1"/>
          <w:kern w:val="0"/>
          <w:sz w:val="32"/>
          <w:szCs w:val="32"/>
          <w14:textFill>
            <w14:solidFill>
              <w14:schemeClr w14:val="tx1"/>
            </w14:solidFill>
          </w14:textFill>
        </w:rPr>
        <w:t>及非工作日开餐任务。</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.教工食堂如遇停水、停电等突发情况,乙方应积极配合学校解决就餐问题。</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.乙方应配合甲方每月底召开一次教工膳食服务质量评议考核会，凡</w:t>
      </w:r>
      <w:r>
        <w:rPr>
          <w:rFonts w:ascii="仿宋_GB2312" w:hAnsi="仿宋_GB2312" w:eastAsia="仿宋_GB2312" w:cs="仿宋_GB2312"/>
          <w:color w:val="000000" w:themeColor="text1"/>
          <w:kern w:val="0"/>
          <w:sz w:val="32"/>
          <w:szCs w:val="32"/>
          <w14:textFill>
            <w14:solidFill>
              <w14:schemeClr w14:val="tx1"/>
            </w14:solidFill>
          </w14:textFill>
        </w:rPr>
        <w:t>教工</w:t>
      </w:r>
      <w:r>
        <w:rPr>
          <w:rFonts w:hint="eastAsia" w:ascii="仿宋_GB2312" w:hAnsi="仿宋_GB2312" w:eastAsia="仿宋_GB2312" w:cs="仿宋_GB2312"/>
          <w:color w:val="000000" w:themeColor="text1"/>
          <w:kern w:val="0"/>
          <w:sz w:val="32"/>
          <w:szCs w:val="32"/>
          <w14:textFill>
            <w14:solidFill>
              <w14:schemeClr w14:val="tx1"/>
            </w14:solidFill>
          </w14:textFill>
        </w:rPr>
        <w:t>基本满意率低于，乙方必须接受甲方的口头警告、诫勉谈话，并及时整改。</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五</w:t>
      </w:r>
      <w:r>
        <w:rPr>
          <w:rStyle w:val="39"/>
          <w:rFonts w:hint="eastAsia" w:ascii="黑体" w:hAnsi="黑体" w:eastAsia="黑体" w:cs="黑体"/>
          <w:color w:val="000000" w:themeColor="text1"/>
          <w:kern w:val="0"/>
          <w:sz w:val="32"/>
          <w:szCs w:val="32"/>
          <w14:textFill>
            <w14:solidFill>
              <w14:schemeClr w14:val="tx1"/>
            </w14:solidFill>
          </w14:textFill>
        </w:rPr>
        <w:t>、伙食标准与主要食品</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由甲乙双方协商</w:t>
      </w:r>
      <w:r>
        <w:rPr>
          <w:rFonts w:ascii="仿宋_GB2312" w:hAnsi="仿宋_GB2312" w:eastAsia="仿宋_GB2312" w:cs="仿宋_GB2312"/>
          <w:color w:val="000000" w:themeColor="text1"/>
          <w:kern w:val="0"/>
          <w:sz w:val="32"/>
          <w:szCs w:val="32"/>
          <w14:textFill>
            <w14:solidFill>
              <w14:schemeClr w14:val="tx1"/>
            </w14:solidFill>
          </w14:textFill>
        </w:rPr>
        <w:t>确定）</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六</w:t>
      </w:r>
      <w:r>
        <w:rPr>
          <w:rStyle w:val="39"/>
          <w:rFonts w:hint="eastAsia" w:ascii="黑体" w:hAnsi="黑体" w:eastAsia="黑体" w:cs="黑体"/>
          <w:color w:val="000000" w:themeColor="text1"/>
          <w:kern w:val="0"/>
          <w:sz w:val="32"/>
          <w:szCs w:val="32"/>
          <w14:textFill>
            <w14:solidFill>
              <w14:schemeClr w14:val="tx1"/>
            </w14:solidFill>
          </w14:textFill>
        </w:rPr>
        <w:t>、用餐时间</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甲方教工、乙方员工以及物业管理员实行错峰用餐，用餐时间按照甲方规定执行。</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七</w:t>
      </w:r>
      <w:r>
        <w:rPr>
          <w:rStyle w:val="39"/>
          <w:rFonts w:hint="eastAsia" w:ascii="黑体" w:hAnsi="黑体" w:eastAsia="黑体" w:cs="黑体"/>
          <w:color w:val="000000" w:themeColor="text1"/>
          <w:kern w:val="0"/>
          <w:sz w:val="32"/>
          <w:szCs w:val="32"/>
          <w14:textFill>
            <w14:solidFill>
              <w14:schemeClr w14:val="tx1"/>
            </w14:solidFill>
          </w14:textFill>
        </w:rPr>
        <w:t>、违约责任</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1.本合同签订后，由甲方制作关于乙方工作质量的考核标准，乙方签收确认。乙方应严格按照甲方的考核标准执行，否则，甲方有权单方终止合同。</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合同期内非法定事由或本合同条款约定</w:t>
      </w:r>
      <w:r>
        <w:rPr>
          <w:rFonts w:ascii="仿宋_GB2312" w:hAnsi="仿宋_GB2312" w:eastAsia="仿宋_GB2312" w:cs="仿宋_GB2312"/>
          <w:color w:val="000000" w:themeColor="text1"/>
          <w:kern w:val="0"/>
          <w:sz w:val="32"/>
          <w:szCs w:val="32"/>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，甲乙双方不得提前终止合同</w:t>
      </w:r>
      <w:r>
        <w:rPr>
          <w:rFonts w:ascii="仿宋_GB2312" w:hAnsi="仿宋_GB2312" w:eastAsia="仿宋_GB2312" w:cs="仿宋_GB2312"/>
          <w:color w:val="000000" w:themeColor="text1"/>
          <w:kern w:val="0"/>
          <w:sz w:val="32"/>
          <w:szCs w:val="32"/>
          <w14:textFill>
            <w14:solidFill>
              <w14:schemeClr w14:val="tx1"/>
            </w14:solidFill>
          </w14:textFill>
        </w:rPr>
        <w:t>。</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合同期内</w:t>
      </w:r>
      <w:r>
        <w:rPr>
          <w:rFonts w:ascii="仿宋_GB2312" w:hAnsi="仿宋_GB2312" w:eastAsia="仿宋_GB2312" w:cs="仿宋_GB2312"/>
          <w:color w:val="000000" w:themeColor="text1"/>
          <w:kern w:val="0"/>
          <w:sz w:val="32"/>
          <w:szCs w:val="32"/>
          <w14:textFill>
            <w14:solidFill>
              <w14:schemeClr w14:val="tx1"/>
            </w14:solidFill>
          </w14:textFill>
        </w:rPr>
        <w:t>非</w:t>
      </w:r>
      <w:r>
        <w:rPr>
          <w:rFonts w:hint="eastAsia" w:ascii="仿宋_GB2312" w:hAnsi="仿宋_GB2312" w:eastAsia="仿宋_GB2312" w:cs="仿宋_GB2312"/>
          <w:color w:val="000000" w:themeColor="text1"/>
          <w:kern w:val="0"/>
          <w:sz w:val="32"/>
          <w:szCs w:val="32"/>
          <w14:textFill>
            <w14:solidFill>
              <w14:schemeClr w14:val="tx1"/>
            </w14:solidFill>
          </w14:textFill>
        </w:rPr>
        <w:t>法定事由或本合同条款约定</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单方有意</w:t>
      </w:r>
      <w:r>
        <w:rPr>
          <w:rFonts w:ascii="仿宋_GB2312" w:hAnsi="仿宋_GB2312" w:eastAsia="仿宋_GB2312" w:cs="仿宋_GB2312"/>
          <w:color w:val="000000" w:themeColor="text1"/>
          <w:kern w:val="0"/>
          <w:sz w:val="32"/>
          <w:szCs w:val="32"/>
          <w14:textFill>
            <w14:solidFill>
              <w14:schemeClr w14:val="tx1"/>
            </w14:solidFill>
          </w14:textFill>
        </w:rPr>
        <w:t>提前</w:t>
      </w:r>
      <w:r>
        <w:rPr>
          <w:rFonts w:hint="eastAsia" w:ascii="仿宋_GB2312" w:hAnsi="仿宋_GB2312" w:eastAsia="仿宋_GB2312" w:cs="仿宋_GB2312"/>
          <w:color w:val="000000" w:themeColor="text1"/>
          <w:kern w:val="0"/>
          <w:sz w:val="32"/>
          <w:szCs w:val="32"/>
          <w14:textFill>
            <w14:solidFill>
              <w14:schemeClr w14:val="tx1"/>
            </w14:solidFill>
          </w14:textFill>
        </w:rPr>
        <w:t>终止</w:t>
      </w:r>
      <w:r>
        <w:rPr>
          <w:rFonts w:ascii="仿宋_GB2312" w:hAnsi="仿宋_GB2312" w:eastAsia="仿宋_GB2312" w:cs="仿宋_GB2312"/>
          <w:color w:val="000000" w:themeColor="text1"/>
          <w:kern w:val="0"/>
          <w:sz w:val="32"/>
          <w:szCs w:val="32"/>
          <w14:textFill>
            <w14:solidFill>
              <w14:schemeClr w14:val="tx1"/>
            </w14:solidFill>
          </w14:textFill>
        </w:rPr>
        <w:t>合同的，</w:t>
      </w:r>
      <w:r>
        <w:rPr>
          <w:rFonts w:hint="eastAsia" w:ascii="仿宋_GB2312" w:hAnsi="仿宋_GB2312" w:eastAsia="仿宋_GB2312" w:cs="仿宋_GB2312"/>
          <w:color w:val="000000" w:themeColor="text1"/>
          <w:kern w:val="0"/>
          <w:sz w:val="32"/>
          <w:szCs w:val="32"/>
          <w14:textFill>
            <w14:solidFill>
              <w14:schemeClr w14:val="tx1"/>
            </w14:solidFill>
          </w14:textFill>
        </w:rPr>
        <w:t>需提前</w:t>
      </w:r>
      <w:r>
        <w:rPr>
          <w:rFonts w:ascii="仿宋_GB2312" w:hAnsi="仿宋_GB2312" w:eastAsia="仿宋_GB2312" w:cs="仿宋_GB2312"/>
          <w:color w:val="000000" w:themeColor="text1"/>
          <w:kern w:val="0"/>
          <w:sz w:val="32"/>
          <w:szCs w:val="32"/>
          <w14:textFill>
            <w14:solidFill>
              <w14:schemeClr w14:val="tx1"/>
            </w14:solidFill>
          </w14:textFill>
        </w:rPr>
        <w:t>30</w:t>
      </w:r>
      <w:r>
        <w:rPr>
          <w:rFonts w:hint="eastAsia" w:ascii="仿宋_GB2312" w:hAnsi="仿宋_GB2312" w:eastAsia="仿宋_GB2312" w:cs="仿宋_GB2312"/>
          <w:color w:val="000000" w:themeColor="text1"/>
          <w:kern w:val="0"/>
          <w:sz w:val="32"/>
          <w:szCs w:val="32"/>
          <w14:textFill>
            <w14:solidFill>
              <w14:schemeClr w14:val="tx1"/>
            </w14:solidFill>
          </w14:textFill>
        </w:rPr>
        <w:t>天通知对方</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没有提前通知对方</w:t>
      </w:r>
      <w:r>
        <w:rPr>
          <w:rFonts w:ascii="仿宋_GB2312" w:hAnsi="仿宋_GB2312" w:eastAsia="仿宋_GB2312" w:cs="仿宋_GB2312"/>
          <w:color w:val="000000" w:themeColor="text1"/>
          <w:kern w:val="0"/>
          <w:sz w:val="32"/>
          <w:szCs w:val="32"/>
          <w14:textFill>
            <w14:solidFill>
              <w14:schemeClr w14:val="tx1"/>
            </w14:solidFill>
          </w14:textFill>
        </w:rPr>
        <w:t>并取得同意的</w:t>
      </w:r>
      <w:r>
        <w:rPr>
          <w:rFonts w:hint="eastAsia" w:ascii="仿宋_GB2312" w:hAnsi="仿宋_GB2312" w:eastAsia="仿宋_GB2312" w:cs="仿宋_GB2312"/>
          <w:color w:val="000000" w:themeColor="text1"/>
          <w:kern w:val="0"/>
          <w:sz w:val="32"/>
          <w:szCs w:val="32"/>
          <w14:textFill>
            <w14:solidFill>
              <w14:schemeClr w14:val="tx1"/>
            </w14:solidFill>
          </w14:textFill>
        </w:rPr>
        <w:t>，违约方应向守约方支付</w:t>
      </w: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个月的运营服务的管理费作为违约金。</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因乙方提供不合格食物造成甲方人员食品卫生安全事故的，由乙方负责赔偿并承担相应的法律后果。</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甲、乙双方无故未按时结清乙方账款超过15日（以结算单确认日起算）的，应每天承担应付款的0.3%作为违约金。</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5.若甲方因财政审批程序或国库集中支付程序的缘故未能按合同约定及时向乙方支付上述费用的，乙方不得因此要求甲方承担责任，应当继续履行完成任务。</w:t>
      </w:r>
    </w:p>
    <w:p>
      <w:pPr>
        <w:spacing w:before="156" w:beforeLines="50" w:after="156" w:afterLines="50" w:line="560" w:lineRule="exact"/>
        <w:ind w:firstLine="640" w:firstLineChars="200"/>
        <w:jc w:val="left"/>
        <w:rPr>
          <w:rStyle w:val="39"/>
          <w:rFonts w:hint="eastAsia" w:ascii="黑体" w:hAnsi="黑体" w:eastAsia="黑体" w:cs="黑体"/>
          <w:color w:val="000000" w:themeColor="text1"/>
          <w:kern w:val="0"/>
          <w:sz w:val="32"/>
          <w:szCs w:val="32"/>
          <w14:textFill>
            <w14:solidFill>
              <w14:schemeClr w14:val="tx1"/>
            </w14:solidFill>
          </w14:textFill>
        </w:rPr>
      </w:pPr>
      <w:r>
        <w:rPr>
          <w:rStyle w:val="39"/>
          <w:rFonts w:ascii="黑体" w:hAnsi="黑体" w:eastAsia="黑体" w:cs="黑体"/>
          <w:color w:val="000000" w:themeColor="text1"/>
          <w:kern w:val="0"/>
          <w:sz w:val="32"/>
          <w:szCs w:val="32"/>
          <w14:textFill>
            <w14:solidFill>
              <w14:schemeClr w14:val="tx1"/>
            </w14:solidFill>
          </w14:textFill>
        </w:rPr>
        <w:t>八</w:t>
      </w:r>
      <w:r>
        <w:rPr>
          <w:rStyle w:val="39"/>
          <w:rFonts w:hint="eastAsia" w:ascii="黑体" w:hAnsi="黑体" w:eastAsia="黑体" w:cs="黑体"/>
          <w:color w:val="000000" w:themeColor="text1"/>
          <w:kern w:val="0"/>
          <w:sz w:val="32"/>
          <w:szCs w:val="32"/>
          <w14:textFill>
            <w14:solidFill>
              <w14:schemeClr w14:val="tx1"/>
            </w14:solidFill>
          </w14:textFill>
        </w:rPr>
        <w:t>、其</w:t>
      </w:r>
      <w:r>
        <w:rPr>
          <w:rStyle w:val="39"/>
          <w:rFonts w:ascii="黑体" w:hAnsi="黑体" w:eastAsia="黑体" w:cs="黑体"/>
          <w:color w:val="000000" w:themeColor="text1"/>
          <w:kern w:val="0"/>
          <w:sz w:val="32"/>
          <w:szCs w:val="32"/>
          <w14:textFill>
            <w14:solidFill>
              <w14:schemeClr w14:val="tx1"/>
            </w14:solidFill>
          </w14:textFill>
        </w:rPr>
        <w:t>他</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1.本合同壹式</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份，甲乙双方各执</w:t>
      </w:r>
      <w:r>
        <w:rPr>
          <w:rFonts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份，双方签章后生效。未尽事宜，双方协商解决，签署补充协议。</w:t>
      </w:r>
    </w:p>
    <w:p>
      <w:pPr>
        <w:autoSpaceDN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2.合同期满后本合同自行终止</w:t>
      </w:r>
      <w:r>
        <w:rPr>
          <w:rFonts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rPr>
          <w:rFonts w:hint="eastAsia" w:ascii="CESI仿宋-GB2312" w:hAnsi="CESI仿宋-GB2312" w:eastAsia="CESI仿宋-GB2312" w:cs="CESI仿宋-GB2312"/>
          <w:b/>
          <w:color w:val="000000" w:themeColor="text1"/>
          <w:sz w:val="28"/>
          <w:szCs w:val="28"/>
          <w14:textFill>
            <w14:solidFill>
              <w14:schemeClr w14:val="tx1"/>
            </w14:solidFill>
          </w14:textFill>
        </w:rPr>
      </w:pPr>
    </w:p>
    <w:p>
      <w:pPr>
        <w:spacing w:line="560" w:lineRule="exact"/>
        <w:rPr>
          <w:rFonts w:hint="eastAsia" w:ascii="CESI仿宋-GB2312" w:hAnsi="CESI仿宋-GB2312" w:eastAsia="CESI仿宋-GB2312" w:cs="CESI仿宋-GB2312"/>
          <w:b/>
          <w:color w:val="000000" w:themeColor="text1"/>
          <w:sz w:val="28"/>
          <w:szCs w:val="28"/>
          <w:u w:val="single"/>
          <w14:textFill>
            <w14:solidFill>
              <w14:schemeClr w14:val="tx1"/>
            </w14:solidFill>
          </w14:textFill>
        </w:rPr>
      </w:pPr>
      <w:r>
        <w:rPr>
          <w:rFonts w:hint="eastAsia" w:ascii="CESI仿宋-GB2312" w:hAnsi="CESI仿宋-GB2312" w:eastAsia="CESI仿宋-GB2312" w:cs="CESI仿宋-GB2312"/>
          <w:b/>
          <w:color w:val="000000" w:themeColor="text1"/>
          <w:sz w:val="28"/>
          <w:szCs w:val="28"/>
          <w14:textFill>
            <w14:solidFill>
              <w14:schemeClr w14:val="tx1"/>
            </w14:solidFill>
          </w14:textFill>
        </w:rPr>
        <w:t>甲方（公章）：</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乙方（公章）：</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p>
    <w:p>
      <w:pPr>
        <w:spacing w:line="480" w:lineRule="auto"/>
        <w:rPr>
          <w:rFonts w:hint="eastAsia" w:ascii="CESI仿宋-GB2312" w:hAnsi="CESI仿宋-GB2312" w:eastAsia="CESI仿宋-GB2312" w:cs="CESI仿宋-GB2312"/>
          <w:b/>
          <w:color w:val="000000" w:themeColor="text1"/>
          <w:sz w:val="28"/>
          <w:szCs w:val="28"/>
          <w:u w:val="single"/>
          <w14:textFill>
            <w14:solidFill>
              <w14:schemeClr w14:val="tx1"/>
            </w14:solidFill>
          </w14:textFill>
        </w:rPr>
      </w:pPr>
      <w:r>
        <w:rPr>
          <w:rFonts w:hint="eastAsia" w:ascii="CESI仿宋-GB2312" w:hAnsi="CESI仿宋-GB2312" w:eastAsia="CESI仿宋-GB2312" w:cs="CESI仿宋-GB2312"/>
          <w:b/>
          <w:color w:val="000000" w:themeColor="text1"/>
          <w:sz w:val="28"/>
          <w:szCs w:val="28"/>
          <w14:textFill>
            <w14:solidFill>
              <w14:schemeClr w14:val="tx1"/>
            </w14:solidFill>
          </w14:textFill>
        </w:rPr>
        <w:t>代表人（签字）：</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代表人（签字）：</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p>
    <w:p>
      <w:pPr>
        <w:spacing w:line="360" w:lineRule="auto"/>
        <w:rPr>
          <w:rFonts w:hint="eastAsia" w:ascii="CESI仿宋-GB2312" w:hAnsi="CESI仿宋-GB2312" w:eastAsia="CESI仿宋-GB2312" w:cs="CESI仿宋-GB2312"/>
          <w:b/>
          <w:color w:val="000000" w:themeColor="text1"/>
          <w:sz w:val="28"/>
          <w:szCs w:val="28"/>
          <w14:textFill>
            <w14:solidFill>
              <w14:schemeClr w14:val="tx1"/>
            </w14:solidFill>
          </w14:textFill>
        </w:rPr>
      </w:pPr>
      <w:r>
        <w:rPr>
          <w:rFonts w:hint="eastAsia" w:ascii="CESI仿宋-GB2312" w:hAnsi="CESI仿宋-GB2312" w:eastAsia="CESI仿宋-GB2312" w:cs="CESI仿宋-GB2312"/>
          <w:b/>
          <w:color w:val="000000" w:themeColor="text1"/>
          <w:sz w:val="28"/>
          <w:szCs w:val="28"/>
          <w14:textFill>
            <w14:solidFill>
              <w14:schemeClr w14:val="tx1"/>
            </w14:solidFill>
          </w14:textFill>
        </w:rPr>
        <w:t>电</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话：</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电</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话：</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p>
    <w:p>
      <w:pPr>
        <w:spacing w:line="360" w:lineRule="auto"/>
        <w:rPr>
          <w:rFonts w:hint="eastAsia" w:ascii="CESI仿宋-GB2312" w:hAnsi="CESI仿宋-GB2312" w:eastAsia="CESI仿宋-GB2312" w:cs="CESI仿宋-GB2312"/>
          <w:b/>
          <w:color w:val="000000" w:themeColor="text1"/>
          <w:sz w:val="28"/>
          <w:szCs w:val="28"/>
          <w:u w:val="single"/>
          <w14:textFill>
            <w14:solidFill>
              <w14:schemeClr w14:val="tx1"/>
            </w14:solidFill>
          </w14:textFill>
        </w:rPr>
      </w:pPr>
      <w:r>
        <w:rPr>
          <w:rFonts w:hint="eastAsia" w:ascii="CESI仿宋-GB2312" w:hAnsi="CESI仿宋-GB2312" w:eastAsia="CESI仿宋-GB2312" w:cs="CESI仿宋-GB2312"/>
          <w:b/>
          <w:color w:val="000000" w:themeColor="text1"/>
          <w:sz w:val="28"/>
          <w:szCs w:val="28"/>
          <w14:textFill>
            <w14:solidFill>
              <w14:schemeClr w14:val="tx1"/>
            </w14:solidFill>
          </w14:textFill>
        </w:rPr>
        <w:t>开户银行：</w:t>
      </w:r>
      <w:r>
        <w:rPr>
          <w:rFonts w:hint="eastAsia" w:ascii="CESI仿宋-GB2312" w:hAnsi="CESI仿宋-GB2312" w:eastAsia="CESI仿宋-GB2312" w:cs="CESI仿宋-GB2312"/>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开户银行：</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p>
    <w:p>
      <w:pPr>
        <w:spacing w:line="360" w:lineRule="auto"/>
        <w:rPr>
          <w:rFonts w:hint="eastAsia" w:ascii="CESI仿宋-GB2312" w:hAnsi="CESI仿宋-GB2312" w:eastAsia="CESI仿宋-GB2312" w:cs="CESI仿宋-GB2312"/>
          <w:b/>
          <w:color w:val="000000" w:themeColor="text1"/>
          <w:sz w:val="28"/>
          <w:szCs w:val="28"/>
          <w:u w:val="single"/>
          <w14:textFill>
            <w14:solidFill>
              <w14:schemeClr w14:val="tx1"/>
            </w14:solidFill>
          </w14:textFill>
        </w:rPr>
      </w:pPr>
      <w:r>
        <w:rPr>
          <w:rFonts w:hint="eastAsia" w:ascii="CESI仿宋-GB2312" w:hAnsi="CESI仿宋-GB2312" w:eastAsia="CESI仿宋-GB2312" w:cs="CESI仿宋-GB2312"/>
          <w:b/>
          <w:color w:val="000000" w:themeColor="text1"/>
          <w:sz w:val="28"/>
          <w:szCs w:val="28"/>
          <w14:textFill>
            <w14:solidFill>
              <w14:schemeClr w14:val="tx1"/>
            </w14:solidFill>
          </w14:textFill>
        </w:rPr>
        <w:t>纳税识别号：</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 xml:space="preserve">    </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帐</w:t>
      </w:r>
      <w:r>
        <w:rPr>
          <w:rFonts w:ascii="CESI仿宋-GB2312" w:hAnsi="CESI仿宋-GB2312" w:eastAsia="CESI仿宋-GB2312" w:cs="CESI仿宋-GB2312"/>
          <w:b/>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color w:val="000000" w:themeColor="text1"/>
          <w:sz w:val="28"/>
          <w:szCs w:val="28"/>
          <w14:textFill>
            <w14:solidFill>
              <w14:schemeClr w14:val="tx1"/>
            </w14:solidFill>
          </w14:textFill>
        </w:rPr>
        <w:t>号：</w:t>
      </w:r>
      <w:r>
        <w:rPr>
          <w:rFonts w:hint="eastAsia" w:ascii="CESI仿宋-GB2312" w:hAnsi="CESI仿宋-GB2312" w:eastAsia="CESI仿宋-GB2312" w:cs="CESI仿宋-GB2312"/>
          <w:b/>
          <w:color w:val="000000" w:themeColor="text1"/>
          <w:sz w:val="28"/>
          <w:szCs w:val="28"/>
          <w:u w:val="single"/>
          <w14:textFill>
            <w14:solidFill>
              <w14:schemeClr w14:val="tx1"/>
            </w14:solidFill>
          </w14:textFill>
        </w:rPr>
        <w:t xml:space="preserve">                            </w:t>
      </w:r>
    </w:p>
    <w:p>
      <w:pPr>
        <w:spacing w:line="500" w:lineRule="exac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CESI仿宋-GB2312" w:hAnsi="CESI仿宋-GB2312" w:eastAsia="CESI仿宋-GB2312" w:cs="CESI仿宋-GB2312"/>
          <w:b/>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14:textFill>
            <w14:solidFill>
              <w14:schemeClr w14:val="tx1"/>
            </w14:solidFill>
          </w14:textFill>
        </w:rPr>
        <w:t>年</w:t>
      </w:r>
      <w:r>
        <w:rPr>
          <w:rFonts w:hint="eastAsia" w:ascii="CESI仿宋-GB2312" w:hAnsi="CESI仿宋-GB2312" w:eastAsia="CESI仿宋-GB2312" w:cs="CESI仿宋-GB2312"/>
          <w:b/>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14:textFill>
            <w14:solidFill>
              <w14:schemeClr w14:val="tx1"/>
            </w14:solidFill>
          </w14:textFill>
        </w:rPr>
        <w:t>月</w:t>
      </w:r>
      <w:r>
        <w:rPr>
          <w:rFonts w:hint="eastAsia" w:ascii="CESI仿宋-GB2312" w:hAnsi="CESI仿宋-GB2312" w:eastAsia="CESI仿宋-GB2312" w:cs="CESI仿宋-GB2312"/>
          <w:b/>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14:textFill>
            <w14:solidFill>
              <w14:schemeClr w14:val="tx1"/>
            </w14:solidFill>
          </w14:textFill>
        </w:rPr>
        <w:t>日</w:t>
      </w:r>
      <w:r>
        <w:rPr>
          <w:rFonts w:ascii="CESI仿宋-GB2312" w:hAnsi="CESI仿宋-GB2312" w:eastAsia="CESI仿宋-GB2312" w:cs="CESI仿宋-GB2312"/>
          <w:b/>
          <w:bCs/>
          <w:color w:val="000000" w:themeColor="text1"/>
          <w:sz w:val="28"/>
          <w:szCs w:val="28"/>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14:textFill>
            <w14:solidFill>
              <w14:schemeClr w14:val="tx1"/>
            </w14:solidFill>
          </w14:textFill>
        </w:rPr>
        <w:t>年</w:t>
      </w:r>
      <w:r>
        <w:rPr>
          <w:rFonts w:hint="eastAsia" w:ascii="CESI仿宋-GB2312" w:hAnsi="CESI仿宋-GB2312" w:eastAsia="CESI仿宋-GB2312" w:cs="CESI仿宋-GB2312"/>
          <w:b/>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14:textFill>
            <w14:solidFill>
              <w14:schemeClr w14:val="tx1"/>
            </w14:solidFill>
          </w14:textFill>
        </w:rPr>
        <w:t>月</w:t>
      </w:r>
      <w:r>
        <w:rPr>
          <w:rFonts w:hint="eastAsia" w:ascii="CESI仿宋-GB2312" w:hAnsi="CESI仿宋-GB2312" w:eastAsia="CESI仿宋-GB2312" w:cs="CESI仿宋-GB2312"/>
          <w:b/>
          <w:bCs/>
          <w:color w:val="000000" w:themeColor="text1"/>
          <w:sz w:val="28"/>
          <w:szCs w:val="28"/>
          <w:u w:val="single"/>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14:textFill>
            <w14:solidFill>
              <w14:schemeClr w14:val="tx1"/>
            </w14:solidFill>
          </w14:textFill>
        </w:rPr>
        <w:t>日</w:t>
      </w:r>
    </w:p>
    <w:p>
      <w:pPr>
        <w:spacing w:line="500" w:lineRule="exact"/>
        <w:rPr>
          <w:rFonts w:hint="eastAsia" w:ascii="仿宋" w:hAnsi="仿宋" w:eastAsia="仿宋" w:cs="仿宋"/>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340" w:after="78" w:afterLines="25" w:line="578" w:lineRule="auto"/>
        <w:jc w:val="center"/>
        <w:outlineLvl w:val="0"/>
        <w:rPr>
          <w:rFonts w:ascii="Arial" w:hAnsi="Arial" w:eastAsia="宋体" w:cs="Times New Roman"/>
          <w:b/>
          <w:bCs/>
          <w:kern w:val="44"/>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pP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keepNext/>
        <w:keepLines/>
        <w:numPr>
          <w:ilvl w:val="0"/>
          <w:numId w:val="8"/>
        </w:numPr>
        <w:adjustRightInd w:val="0"/>
        <w:spacing w:before="156" w:beforeLines="50" w:after="156" w:afterLines="50"/>
        <w:ind w:left="562" w:hanging="562"/>
        <w:jc w:val="center"/>
        <w:textAlignment w:val="baseline"/>
        <w:outlineLvl w:val="1"/>
        <w:rPr>
          <w:rFonts w:asciiTheme="majorHAnsi" w:hAnsiTheme="majorHAnsi" w:eastAsiaTheme="majorEastAsia" w:cstheme="majorBidi"/>
          <w:b/>
          <w:bCs/>
          <w:sz w:val="28"/>
          <w:szCs w:val="28"/>
        </w:rPr>
      </w:pPr>
      <w:bookmarkStart w:id="25" w:name="_Hlk72399513"/>
      <w:r>
        <w:rPr>
          <w:rFonts w:hint="eastAsia" w:asciiTheme="majorHAnsi" w:hAnsiTheme="majorHAnsi" w:eastAsiaTheme="majorEastAsia" w:cstheme="majorBidi"/>
          <w:b/>
          <w:bCs/>
          <w:sz w:val="28"/>
          <w:szCs w:val="28"/>
        </w:rPr>
        <w:t>总则</w:t>
      </w:r>
    </w:p>
    <w:bookmarkEnd w:id="25"/>
    <w:p>
      <w:pPr>
        <w:rPr>
          <w:rFonts w:hint="eastAsia" w:ascii="黑体" w:hAnsi="宋体" w:eastAsia="黑体"/>
          <w:sz w:val="24"/>
        </w:rPr>
      </w:pPr>
      <w:bookmarkStart w:id="26" w:name="_Hlk72439706"/>
      <w:r>
        <w:rPr>
          <w:rFonts w:hint="eastAsia" w:ascii="黑体" w:hAnsi="宋体" w:eastAsia="黑体"/>
          <w:sz w:val="24"/>
        </w:rPr>
        <w:t>1. 通用条款说明</w:t>
      </w:r>
    </w:p>
    <w:p>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27" w:name="_Hlk72399729"/>
      <w:r>
        <w:rPr>
          <w:rFonts w:hint="eastAsia" w:ascii="宋体" w:hAnsi="宋体"/>
          <w:szCs w:val="21"/>
        </w:rPr>
        <w:t>如有需要，政府集中采购机构可以对通用条款的内容进行补充。</w:t>
      </w:r>
      <w:bookmarkEnd w:id="27"/>
    </w:p>
    <w:p>
      <w:pPr>
        <w:ind w:firstLine="411" w:firstLineChars="196"/>
        <w:rPr>
          <w:rFonts w:hint="eastAsia" w:ascii="宋体" w:hAnsi="宋体"/>
          <w:szCs w:val="21"/>
        </w:rPr>
      </w:pPr>
      <w:r>
        <w:rPr>
          <w:rFonts w:hint="eastAsia" w:ascii="宋体" w:hAnsi="宋体"/>
          <w:szCs w:val="21"/>
        </w:rPr>
        <w:t>1.2招标文件分为第一册“专用条款”和第二册“通用条款”。</w:t>
      </w:r>
    </w:p>
    <w:p>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hint="eastAsia" w:ascii="黑体" w:hAnsi="宋体" w:eastAsia="黑体"/>
          <w:sz w:val="24"/>
        </w:rPr>
      </w:pPr>
      <w:r>
        <w:rPr>
          <w:rFonts w:hint="eastAsia" w:ascii="黑体" w:hAnsi="宋体" w:eastAsia="黑体"/>
          <w:sz w:val="24"/>
        </w:rPr>
        <w:t>3．定义</w:t>
      </w:r>
    </w:p>
    <w:p>
      <w:pPr>
        <w:ind w:firstLine="420" w:firstLineChars="200"/>
        <w:rPr>
          <w:rFonts w:hint="eastAsia" w:ascii="宋体" w:hAnsi="宋体"/>
          <w:szCs w:val="21"/>
        </w:rPr>
      </w:pPr>
      <w:r>
        <w:rPr>
          <w:rFonts w:ascii="宋体" w:hAnsi="宋体"/>
          <w:szCs w:val="21"/>
        </w:rPr>
        <w:t>招标文件中下列术语应解释为：</w:t>
      </w:r>
    </w:p>
    <w:p>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hint="eastAsia" w:ascii="宋体" w:hAnsi="宋体"/>
          <w:szCs w:val="21"/>
        </w:rPr>
      </w:pPr>
      <w:r>
        <w:rPr>
          <w:rFonts w:hint="eastAsia" w:ascii="宋体" w:hAnsi="宋体"/>
          <w:szCs w:val="21"/>
        </w:rPr>
        <w:t>3.6“合同”指由本次招标所产生的合同或合约文件；</w:t>
      </w:r>
    </w:p>
    <w:p>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深圳交易集团官网</w:t>
      </w:r>
      <w:r>
        <w:rPr>
          <w:rFonts w:hint="eastAsia" w:ascii="宋体" w:hAnsi="宋体"/>
          <w:szCs w:val="21"/>
        </w:rPr>
        <w:t>网站提供的深圳自行采购系统投标文件制作专用软件（以下简称：投标文件制作软件）制作并加密的投标文件,适用于网上投标；（投标文件制作软件可从“下载地址：https://trade.szggzy.com/）</w:t>
      </w:r>
    </w:p>
    <w:p>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深圳交易集团官网</w:t>
      </w:r>
      <w:r>
        <w:rPr>
          <w:rFonts w:hint="eastAsia" w:ascii="宋体" w:hAnsi="宋体"/>
          <w:szCs w:val="21"/>
        </w:rPr>
        <w:t>网站上传电子投标文件；</w:t>
      </w:r>
    </w:p>
    <w:p>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pPr>
        <w:rPr>
          <w:rFonts w:hint="eastAsia" w:ascii="黑体" w:hAnsi="宋体" w:eastAsia="黑体"/>
          <w:sz w:val="24"/>
        </w:rPr>
      </w:pPr>
      <w:r>
        <w:rPr>
          <w:rFonts w:hint="eastAsia" w:ascii="黑体" w:hAnsi="宋体" w:eastAsia="黑体"/>
          <w:sz w:val="24"/>
        </w:rPr>
        <w:t xml:space="preserve">4. </w:t>
      </w:r>
      <w:bookmarkStart w:id="28" w:name="_Hlk72398643"/>
      <w:r>
        <w:rPr>
          <w:rFonts w:hint="eastAsia" w:ascii="黑体" w:hAnsi="宋体" w:eastAsia="黑体"/>
          <w:sz w:val="24"/>
        </w:rPr>
        <w:t>政府采购供应商责任</w:t>
      </w:r>
    </w:p>
    <w:p>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hint="eastAsia" w:ascii="黑体" w:hAnsi="宋体" w:eastAsia="黑体"/>
          <w:sz w:val="24"/>
        </w:rPr>
      </w:pPr>
      <w:r>
        <w:rPr>
          <w:rFonts w:hint="eastAsia" w:ascii="黑体" w:hAnsi="宋体" w:eastAsia="黑体"/>
          <w:sz w:val="24"/>
        </w:rPr>
        <w:t>5．投标人参加政府采购的条件</w:t>
      </w:r>
    </w:p>
    <w:p>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hint="eastAsia" w:ascii="宋体" w:hAnsi="宋体"/>
          <w:szCs w:val="21"/>
        </w:rPr>
      </w:pPr>
      <w:r>
        <w:rPr>
          <w:rFonts w:hint="eastAsia" w:ascii="宋体" w:hAnsi="宋体"/>
          <w:szCs w:val="21"/>
        </w:rPr>
        <w:t>5.2投标人资格要求</w:t>
      </w:r>
    </w:p>
    <w:p>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hint="eastAsia" w:ascii="宋体" w:hAnsi="宋体"/>
          <w:szCs w:val="21"/>
        </w:rPr>
      </w:pPr>
      <w:r>
        <w:rPr>
          <w:rFonts w:hint="eastAsia" w:ascii="宋体" w:hAnsi="宋体"/>
          <w:szCs w:val="21"/>
        </w:rPr>
        <w:t>5.3联合体投标</w:t>
      </w:r>
    </w:p>
    <w:p>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hint="eastAsia" w:ascii="宋体" w:hAnsi="宋体"/>
        </w:rPr>
      </w:pPr>
      <w:r>
        <w:rPr>
          <w:rFonts w:hint="eastAsia" w:ascii="宋体" w:hAnsi="宋体"/>
        </w:rPr>
        <w:t>（2）在投标截止前，投标联合体各方均应注册成政府集中采购机构供应商；</w:t>
      </w:r>
    </w:p>
    <w:p>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pPr>
        <w:rPr>
          <w:rFonts w:hint="eastAsia" w:ascii="黑体" w:hAnsi="宋体" w:eastAsia="黑体"/>
          <w:sz w:val="24"/>
        </w:rPr>
      </w:pPr>
      <w:r>
        <w:rPr>
          <w:rFonts w:hint="eastAsia" w:ascii="黑体" w:hAnsi="宋体" w:eastAsia="黑体"/>
          <w:sz w:val="24"/>
        </w:rPr>
        <w:t>6．政策导向</w:t>
      </w:r>
    </w:p>
    <w:p>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eastAsia="宋体"/>
        </w:rPr>
      </w:pPr>
      <w:r>
        <w:rPr>
          <w:rFonts w:hint="eastAsia" w:ascii="宋体" w:hAnsi="宋体"/>
        </w:rPr>
        <w:t>6.3  本项目支持投标人性别平等的相关政策。</w:t>
      </w:r>
    </w:p>
    <w:p>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2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pPr>
        <w:rPr>
          <w:rFonts w:hint="eastAsia" w:ascii="黑体" w:hAnsi="宋体" w:eastAsia="黑体"/>
          <w:sz w:val="24"/>
        </w:rPr>
      </w:pPr>
      <w:r>
        <w:rPr>
          <w:rFonts w:hint="eastAsia" w:ascii="黑体" w:hAnsi="宋体" w:eastAsia="黑体"/>
          <w:sz w:val="24"/>
        </w:rPr>
        <w:t>8．投标费用</w:t>
      </w:r>
    </w:p>
    <w:p>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pPr>
        <w:rPr>
          <w:rFonts w:hint="eastAsia" w:ascii="黑体" w:hAnsi="宋体" w:eastAsia="黑体"/>
          <w:sz w:val="24"/>
        </w:rPr>
      </w:pPr>
      <w:r>
        <w:rPr>
          <w:rFonts w:hint="eastAsia" w:ascii="黑体" w:hAnsi="宋体" w:eastAsia="黑体"/>
          <w:sz w:val="24"/>
        </w:rPr>
        <w:t>9．踏勘现场</w:t>
      </w:r>
    </w:p>
    <w:p>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28"/>
    <w:p>
      <w:pPr>
        <w:ind w:firstLine="411" w:firstLineChars="196"/>
        <w:rPr>
          <w:rFonts w:hint="eastAsia" w:ascii="宋体" w:hAnsi="宋体"/>
        </w:rPr>
      </w:pPr>
    </w:p>
    <w:p>
      <w:pPr>
        <w:pStyle w:val="4"/>
        <w:numPr>
          <w:ilvl w:val="0"/>
          <w:numId w:val="8"/>
        </w:numPr>
        <w:spacing w:before="156" w:beforeLines="50" w:after="156" w:afterLines="50"/>
        <w:ind w:left="562" w:hanging="562"/>
        <w:rPr>
          <w:sz w:val="28"/>
          <w:szCs w:val="28"/>
        </w:rPr>
      </w:pPr>
      <w:r>
        <w:rPr>
          <w:rFonts w:hint="eastAsia"/>
          <w:sz w:val="28"/>
          <w:szCs w:val="28"/>
        </w:rPr>
        <w:t>招标文件</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0" w:name="_Hlk72399819"/>
      <w:r>
        <w:rPr>
          <w:rFonts w:hint="eastAsia" w:ascii="黑体" w:hAnsi="宋体" w:eastAsia="黑体"/>
          <w:sz w:val="24"/>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hint="eastAsia" w:ascii="宋体" w:hAnsi="宋体"/>
          <w:szCs w:val="21"/>
        </w:rPr>
      </w:pPr>
      <w:r>
        <w:rPr>
          <w:rFonts w:hint="eastAsia" w:ascii="宋体" w:hAnsi="宋体"/>
          <w:szCs w:val="21"/>
        </w:rPr>
        <w:t>招标文件包括下列内容：</w:t>
      </w:r>
    </w:p>
    <w:p>
      <w:pPr>
        <w:ind w:left="420" w:leftChars="200" w:firstLine="413" w:firstLineChars="196"/>
        <w:rPr>
          <w:rFonts w:hint="eastAsia" w:ascii="宋体" w:hAnsi="宋体"/>
          <w:b/>
          <w:szCs w:val="21"/>
        </w:rPr>
      </w:pPr>
      <w:r>
        <w:rPr>
          <w:rFonts w:hint="eastAsia" w:ascii="宋体" w:hAnsi="宋体"/>
          <w:b/>
          <w:szCs w:val="21"/>
        </w:rPr>
        <w:t>第一册  专用条款</w:t>
      </w:r>
    </w:p>
    <w:p>
      <w:pPr>
        <w:ind w:left="1079" w:leftChars="514"/>
        <w:rPr>
          <w:rFonts w:hint="eastAsia" w:ascii="宋体" w:hAnsi="宋体"/>
          <w:b/>
          <w:szCs w:val="21"/>
        </w:rPr>
      </w:pPr>
      <w:r>
        <w:rPr>
          <w:rFonts w:hint="eastAsia" w:ascii="宋体" w:hAnsi="宋体"/>
          <w:b/>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第三章  用户需求书</w:t>
      </w:r>
    </w:p>
    <w:p>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hint="eastAsia" w:ascii="宋体" w:hAnsi="宋体"/>
          <w:szCs w:val="21"/>
        </w:rPr>
      </w:pPr>
      <w:r>
        <w:rPr>
          <w:rFonts w:hint="eastAsia" w:ascii="宋体" w:hAnsi="宋体"/>
          <w:szCs w:val="21"/>
        </w:rPr>
        <w:t>第五章  合同条款及格式</w:t>
      </w:r>
    </w:p>
    <w:p>
      <w:pPr>
        <w:ind w:left="420" w:leftChars="200" w:firstLine="413" w:firstLineChars="196"/>
        <w:rPr>
          <w:rFonts w:hint="eastAsia" w:ascii="宋体" w:hAnsi="宋体"/>
          <w:b/>
          <w:szCs w:val="21"/>
        </w:rPr>
      </w:pPr>
      <w:r>
        <w:rPr>
          <w:rFonts w:hint="eastAsia" w:ascii="宋体" w:hAnsi="宋体"/>
          <w:b/>
          <w:szCs w:val="21"/>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pPr>
        <w:ind w:left="630" w:leftChars="300" w:firstLine="411" w:firstLineChars="196"/>
        <w:rPr>
          <w:rFonts w:hint="eastAsia" w:ascii="宋体" w:hAnsi="宋体"/>
          <w:szCs w:val="21"/>
        </w:rPr>
      </w:pPr>
      <w:r>
        <w:rPr>
          <w:rFonts w:hint="eastAsia" w:ascii="宋体" w:hAnsi="宋体"/>
          <w:szCs w:val="21"/>
        </w:rPr>
        <w:t>第十一章  质疑处理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0"/>
    </w:p>
    <w:p>
      <w:pPr>
        <w:rPr>
          <w:rFonts w:hint="eastAsia" w:ascii="宋体" w:hAnsi="宋体"/>
          <w:szCs w:val="21"/>
        </w:rPr>
      </w:pPr>
    </w:p>
    <w:p>
      <w:pPr>
        <w:pStyle w:val="4"/>
        <w:numPr>
          <w:ilvl w:val="0"/>
          <w:numId w:val="8"/>
        </w:numPr>
        <w:spacing w:before="156" w:beforeLines="50" w:after="156" w:afterLines="50"/>
        <w:ind w:left="562" w:hanging="562"/>
        <w:rPr>
          <w:sz w:val="28"/>
          <w:szCs w:val="28"/>
        </w:rPr>
      </w:pPr>
      <w:r>
        <w:rPr>
          <w:rFonts w:hint="eastAsia"/>
          <w:sz w:val="28"/>
          <w:szCs w:val="28"/>
        </w:rPr>
        <w:t>投标文件的编制</w:t>
      </w:r>
    </w:p>
    <w:p>
      <w:pPr>
        <w:rPr>
          <w:rFonts w:hint="eastAsia" w:ascii="黑体" w:hAnsi="宋体" w:eastAsia="黑体"/>
          <w:sz w:val="24"/>
        </w:rPr>
      </w:pPr>
      <w:r>
        <w:rPr>
          <w:rFonts w:hint="eastAsia" w:ascii="黑体" w:hAnsi="宋体" w:eastAsia="黑体"/>
          <w:sz w:val="24"/>
        </w:rPr>
        <w:t>14．</w:t>
      </w:r>
      <w:bookmarkStart w:id="31" w:name="_Hlk72400236"/>
      <w:r>
        <w:rPr>
          <w:rFonts w:hint="eastAsia" w:ascii="黑体" w:hAnsi="宋体" w:eastAsia="黑体"/>
          <w:sz w:val="24"/>
        </w:rPr>
        <w:t>投标文件的语言及度量单位</w:t>
      </w:r>
    </w:p>
    <w:p>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31"/>
    <w:p>
      <w:pPr>
        <w:rPr>
          <w:rFonts w:hint="eastAsia" w:ascii="黑体" w:hAnsi="宋体" w:eastAsia="黑体"/>
          <w:sz w:val="24"/>
        </w:rPr>
      </w:pPr>
      <w:r>
        <w:rPr>
          <w:rFonts w:hint="eastAsia" w:ascii="黑体" w:hAnsi="宋体" w:eastAsia="黑体"/>
          <w:sz w:val="24"/>
        </w:rPr>
        <w:t>15．</w:t>
      </w:r>
      <w:bookmarkStart w:id="32" w:name="_Hlk72401567"/>
      <w:r>
        <w:rPr>
          <w:rFonts w:hint="eastAsia" w:ascii="黑体" w:hAnsi="宋体" w:eastAsia="黑体"/>
          <w:sz w:val="24"/>
        </w:rPr>
        <w:t>投标文件的组成</w:t>
      </w:r>
    </w:p>
    <w:p>
      <w:pPr>
        <w:ind w:firstLine="411" w:firstLineChars="196"/>
        <w:rPr>
          <w:rFonts w:hint="eastAsia" w:ascii="宋体" w:hAnsi="宋体"/>
          <w:szCs w:val="21"/>
        </w:rPr>
      </w:pPr>
      <w:r>
        <w:rPr>
          <w:rFonts w:hint="eastAsia" w:ascii="宋体" w:hAnsi="宋体"/>
          <w:szCs w:val="21"/>
        </w:rPr>
        <w:t>具体内容在招标文件专用条款中进行规定。</w:t>
      </w:r>
    </w:p>
    <w:p>
      <w:pPr>
        <w:rPr>
          <w:rFonts w:hint="eastAsia" w:ascii="黑体" w:hAnsi="宋体" w:eastAsia="黑体"/>
          <w:sz w:val="24"/>
        </w:rPr>
      </w:pPr>
      <w:r>
        <w:rPr>
          <w:rFonts w:ascii="黑体" w:hAnsi="宋体" w:eastAsia="黑体"/>
          <w:sz w:val="24"/>
        </w:rPr>
        <w:t>16．投标文件格式</w:t>
      </w:r>
    </w:p>
    <w:p>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hint="eastAsia" w:ascii="黑体" w:hAnsi="宋体" w:eastAsia="黑体"/>
          <w:sz w:val="24"/>
        </w:rPr>
      </w:pPr>
      <w:r>
        <w:rPr>
          <w:rFonts w:hint="eastAsia" w:ascii="黑体" w:hAnsi="宋体" w:eastAsia="黑体"/>
          <w:sz w:val="24"/>
        </w:rPr>
        <w:t>17．投标货币</w:t>
      </w:r>
    </w:p>
    <w:p>
      <w:pPr>
        <w:ind w:firstLine="411" w:firstLineChars="196"/>
        <w:rPr>
          <w:rFonts w:hint="eastAsia" w:ascii="宋体" w:hAnsi="宋体"/>
          <w:szCs w:val="21"/>
        </w:rPr>
      </w:pPr>
      <w:r>
        <w:rPr>
          <w:rFonts w:hint="eastAsia" w:ascii="宋体" w:hAnsi="宋体"/>
          <w:szCs w:val="21"/>
        </w:rPr>
        <w:t>本项目的投标报价应以人民币计。</w:t>
      </w:r>
    </w:p>
    <w:bookmarkEnd w:id="32"/>
    <w:p>
      <w:pPr>
        <w:rPr>
          <w:rFonts w:hint="eastAsia" w:ascii="黑体" w:hAnsi="宋体" w:eastAsia="黑体"/>
          <w:sz w:val="24"/>
        </w:rPr>
      </w:pPr>
      <w:r>
        <w:rPr>
          <w:rFonts w:hint="eastAsia" w:ascii="黑体" w:hAnsi="宋体" w:eastAsia="黑体"/>
          <w:sz w:val="24"/>
        </w:rPr>
        <w:t>18．</w:t>
      </w:r>
      <w:bookmarkStart w:id="33" w:name="_Hlk72401735"/>
      <w:r>
        <w:rPr>
          <w:rFonts w:hint="eastAsia" w:ascii="黑体" w:hAnsi="宋体" w:eastAsia="黑体"/>
          <w:sz w:val="24"/>
        </w:rPr>
        <w:t>证明投标文件投标技术方案的合格性和符合招标文件规定的文件要求</w:t>
      </w:r>
    </w:p>
    <w:p>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hint="eastAsia" w:ascii="宋体" w:hAnsi="宋体"/>
          <w:szCs w:val="21"/>
        </w:rPr>
      </w:pPr>
      <w:r>
        <w:rPr>
          <w:rFonts w:hint="eastAsia" w:ascii="宋体" w:hAnsi="宋体"/>
          <w:szCs w:val="21"/>
        </w:rPr>
        <w:t>18.2.1主要技术指标和性能的详细说明。</w:t>
      </w:r>
    </w:p>
    <w:p>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33"/>
    <w:p>
      <w:pPr>
        <w:rPr>
          <w:rFonts w:hint="eastAsia" w:ascii="黑体" w:hAnsi="宋体" w:eastAsia="黑体"/>
          <w:sz w:val="24"/>
        </w:rPr>
      </w:pPr>
      <w:r>
        <w:rPr>
          <w:rFonts w:hint="eastAsia" w:ascii="黑体" w:hAnsi="宋体" w:eastAsia="黑体"/>
          <w:sz w:val="24"/>
        </w:rPr>
        <w:t>19．</w:t>
      </w:r>
      <w:bookmarkStart w:id="34" w:name="_Hlk72402034"/>
      <w:r>
        <w:rPr>
          <w:rFonts w:hint="eastAsia" w:ascii="黑体" w:hAnsi="宋体" w:eastAsia="黑体"/>
          <w:sz w:val="24"/>
        </w:rPr>
        <w:t>投标文件其他证明文件的要求</w:t>
      </w:r>
    </w:p>
    <w:p>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35"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35"/>
    <w:p>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hint="eastAsia" w:ascii="黑体" w:hAnsi="宋体" w:eastAsia="黑体"/>
          <w:sz w:val="24"/>
        </w:rPr>
      </w:pPr>
      <w:r>
        <w:rPr>
          <w:rFonts w:hint="eastAsia" w:ascii="黑体" w:hAnsi="宋体" w:eastAsia="黑体"/>
          <w:sz w:val="24"/>
        </w:rPr>
        <w:t>20．投标有效期</w:t>
      </w:r>
    </w:p>
    <w:bookmarkEnd w:id="34"/>
    <w:p>
      <w:pPr>
        <w:ind w:firstLine="411" w:firstLineChars="196"/>
        <w:rPr>
          <w:rFonts w:hint="eastAsia" w:ascii="宋体" w:hAnsi="宋体"/>
          <w:szCs w:val="21"/>
        </w:rPr>
      </w:pPr>
      <w:bookmarkStart w:id="3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36"/>
    <w:p>
      <w:pPr>
        <w:rPr>
          <w:rFonts w:hint="eastAsia" w:ascii="黑体" w:hAnsi="宋体" w:eastAsia="黑体"/>
          <w:sz w:val="24"/>
        </w:rPr>
      </w:pPr>
      <w:r>
        <w:rPr>
          <w:rFonts w:hint="eastAsia" w:ascii="黑体" w:hAnsi="宋体" w:eastAsia="黑体"/>
          <w:sz w:val="24"/>
        </w:rPr>
        <w:t>21．</w:t>
      </w:r>
      <w:bookmarkStart w:id="37" w:name="_Hlk72402325"/>
      <w:r>
        <w:rPr>
          <w:rFonts w:hint="eastAsia" w:ascii="黑体" w:hAnsi="宋体" w:eastAsia="黑体"/>
          <w:sz w:val="24"/>
        </w:rPr>
        <w:t xml:space="preserve">关于投标保证金 </w:t>
      </w:r>
    </w:p>
    <w:p>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hint="eastAsia" w:ascii="黑体" w:hAnsi="宋体" w:eastAsia="黑体"/>
          <w:sz w:val="24"/>
        </w:rPr>
      </w:pPr>
      <w:r>
        <w:rPr>
          <w:rFonts w:hint="eastAsia" w:ascii="黑体" w:hAnsi="宋体" w:eastAsia="黑体"/>
          <w:sz w:val="24"/>
        </w:rPr>
        <w:t>22．投标人的替代方案</w:t>
      </w:r>
    </w:p>
    <w:p>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pPr>
        <w:rPr>
          <w:rFonts w:hint="eastAsia" w:ascii="黑体" w:hAnsi="宋体" w:eastAsia="黑体"/>
          <w:sz w:val="24"/>
        </w:rPr>
      </w:pPr>
      <w:r>
        <w:rPr>
          <w:rFonts w:hint="eastAsia" w:ascii="黑体" w:hAnsi="宋体" w:eastAsia="黑体"/>
          <w:sz w:val="24"/>
        </w:rPr>
        <w:t>23．</w:t>
      </w:r>
      <w:bookmarkStart w:id="3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hint="eastAsia"/>
        </w:rPr>
        <w:t>TYZB</w:t>
      </w:r>
      <w:r>
        <w:rPr>
          <w:rFonts w:hint="eastAsia" w:ascii="宋体" w:hAnsi="宋体"/>
        </w:rPr>
        <w:t>的电子招标文件，下载并使用相应的深圳自行采购系统投标文件制作专用软件打开招标文件（.TYZB格式）【下载地址：https://trade.szggzy.com/】。</w:t>
      </w:r>
    </w:p>
    <w:p>
      <w:pPr>
        <w:ind w:firstLine="411" w:firstLineChars="196"/>
        <w:rPr>
          <w:rFonts w:hint="eastAsia" w:ascii="宋体" w:hAnsi="宋体"/>
        </w:rPr>
      </w:pPr>
      <w:r>
        <w:rPr>
          <w:rFonts w:hint="eastAsia" w:ascii="宋体" w:hAnsi="宋体"/>
        </w:rPr>
        <w:t>23.2投标人在使用《投标书编制软件》编制投标书时须注意：</w:t>
      </w:r>
    </w:p>
    <w:p>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hint="eastAsia" w:ascii="宋体" w:hAnsi="宋体"/>
        </w:rPr>
      </w:pPr>
      <w:r>
        <w:rPr>
          <w:rFonts w:hint="eastAsia" w:ascii="宋体" w:hAnsi="宋体"/>
        </w:rPr>
        <w:t>23.2.5完整填写“投标关键信息”；</w:t>
      </w:r>
    </w:p>
    <w:p>
      <w:pPr>
        <w:ind w:firstLine="413"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hint="eastAsia" w:ascii="宋体" w:hAnsi="宋体"/>
        </w:rPr>
      </w:pPr>
      <w:r>
        <w:rPr>
          <w:rFonts w:hint="eastAsia" w:ascii="宋体" w:hAnsi="宋体"/>
        </w:rPr>
        <w:t>23.2.7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hint="eastAsia" w:ascii="宋体" w:hAnsi="宋体"/>
        </w:rPr>
      </w:pPr>
      <w:r>
        <w:rPr>
          <w:rFonts w:hint="eastAsia" w:ascii="宋体" w:hAnsi="宋体"/>
        </w:rPr>
        <w:t>23.2.8如果开标时出现网络故障、技术故障，影响了政府采购活动，政府集中采购机构有权采取措施如延期、接受无法从网上上传的投标书等，以保障政府采购活动的公开、公平和公正。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hint="eastAsia" w:ascii="宋体" w:hAnsi="宋体"/>
        </w:rPr>
      </w:pPr>
      <w:r>
        <w:rPr>
          <w:rFonts w:hint="eastAsia" w:ascii="宋体" w:hAnsi="宋体"/>
        </w:rPr>
        <w:t>23.3电报、电话、传真形式的投标概不接受。</w:t>
      </w:r>
    </w:p>
    <w:p>
      <w:pPr>
        <w:ind w:firstLine="413" w:firstLineChars="196"/>
        <w:rPr>
          <w:rFonts w:hint="eastAsia" w:ascii="宋体" w:hAnsi="宋体"/>
          <w:b/>
        </w:rPr>
      </w:pPr>
      <w:r>
        <w:rPr>
          <w:rFonts w:hint="eastAsia" w:ascii="宋体" w:hAnsi="宋体"/>
          <w:b/>
        </w:rPr>
        <w:t>23.4经投标人电子密钥或电子营业执照上传的投标文件无须盖章或签字，</w:t>
      </w:r>
      <w:r>
        <w:rPr>
          <w:rFonts w:hint="eastAsia" w:ascii="宋体" w:hAnsi="宋体"/>
        </w:rPr>
        <w:t>专用条款另有要求的除外。</w:t>
      </w:r>
    </w:p>
    <w:p>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38"/>
    </w:p>
    <w:p>
      <w:pPr>
        <w:ind w:firstLine="411" w:firstLineChars="196"/>
        <w:rPr>
          <w:rFonts w:hint="eastAsia" w:ascii="宋体" w:hAnsi="宋体"/>
          <w:szCs w:val="21"/>
        </w:rPr>
      </w:pPr>
    </w:p>
    <w:p>
      <w:pPr>
        <w:pStyle w:val="4"/>
        <w:numPr>
          <w:ilvl w:val="0"/>
          <w:numId w:val="8"/>
        </w:numPr>
        <w:spacing w:before="156" w:beforeLines="50" w:after="156" w:afterLines="50"/>
        <w:ind w:left="562" w:hanging="562"/>
        <w:rPr>
          <w:sz w:val="28"/>
          <w:szCs w:val="28"/>
        </w:rPr>
      </w:pPr>
      <w:r>
        <w:rPr>
          <w:rFonts w:hint="eastAsia"/>
          <w:sz w:val="28"/>
          <w:szCs w:val="28"/>
        </w:rPr>
        <w:t>投标文件的递交</w:t>
      </w:r>
    </w:p>
    <w:p>
      <w:pPr>
        <w:rPr>
          <w:rFonts w:hint="eastAsia" w:ascii="宋体" w:hAnsi="宋体"/>
        </w:rPr>
      </w:pPr>
      <w:bookmarkStart w:id="39" w:name="_Hlk72405459"/>
    </w:p>
    <w:p>
      <w:pPr>
        <w:rPr>
          <w:rFonts w:hint="eastAsia" w:ascii="宋体" w:hAnsi="宋体"/>
          <w:b/>
        </w:rPr>
      </w:pPr>
      <w:r>
        <w:rPr>
          <w:rFonts w:hint="eastAsia" w:ascii="宋体" w:hAnsi="宋体"/>
          <w:b/>
        </w:rPr>
        <w:t>24.1若采购项目出现延期情况：</w:t>
      </w:r>
    </w:p>
    <w:p>
      <w:pPr>
        <w:ind w:firstLine="422" w:firstLineChars="200"/>
        <w:rPr>
          <w:rFonts w:hint="eastAsia" w:ascii="黑体" w:hAnsi="宋体" w:eastAsia="黑体"/>
          <w:b/>
          <w:sz w:val="24"/>
        </w:rPr>
      </w:pPr>
      <w:r>
        <w:rPr>
          <w:rFonts w:hint="eastAsia" w:ascii="宋体" w:hAnsi="宋体"/>
          <w:b/>
        </w:rPr>
        <w:t>如果供下载的招标文件（后缀名为.</w:t>
      </w:r>
      <w:r>
        <w:t xml:space="preserve"> </w:t>
      </w:r>
      <w:r>
        <w:rPr>
          <w:rFonts w:hint="eastAsia" w:ascii="宋体" w:hAnsi="宋体"/>
          <w:b/>
        </w:rPr>
        <w:t>TYZB）有更新，投标人必须重新下载招标文件、重新制作投标文件、重新加密投标文件、重新上传投标文件；如果供下载的招标文件（后缀名为. TYZB）没有更新，投标人必须重新加密投标文件、重新上传投标文件（是否重新制作投标文件根据项目实际情况定）。否则，投标人自行承担投标文件无法解密导致投标无效的后果。</w:t>
      </w:r>
    </w:p>
    <w:p>
      <w:pPr>
        <w:rPr>
          <w:rFonts w:hint="eastAsia" w:ascii="黑体" w:hAnsi="宋体" w:eastAsia="黑体"/>
          <w:sz w:val="24"/>
        </w:rPr>
      </w:pPr>
      <w:r>
        <w:rPr>
          <w:rFonts w:hint="eastAsia" w:ascii="黑体" w:hAnsi="宋体" w:eastAsia="黑体"/>
          <w:sz w:val="24"/>
        </w:rPr>
        <w:t>25．上传投标文件及投标截止日期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用电子密钥登录“深圳自行采购系统（https://trade.szggzy.com/）”上传投标文件。如上传过程中遇到问题，</w:t>
      </w:r>
      <w:r>
        <w:rPr>
          <w:rFonts w:hint="eastAsia" w:ascii="宋体" w:hAnsi="宋体"/>
          <w:b/>
          <w:bCs/>
        </w:rPr>
        <w:t>可拨打采购公告中的技术支持电话（0755-36568999 1转7）</w:t>
      </w:r>
      <w:r>
        <w:rPr>
          <w:rFonts w:hint="eastAsia" w:ascii="宋体" w:hAnsi="宋体"/>
        </w:rPr>
        <w:t>。如多次上传均告失败，请在投标截止时间之前携带电子投标文件送达至</w:t>
      </w:r>
      <w:r>
        <w:rPr>
          <w:rFonts w:hint="eastAsia" w:ascii="宋体" w:hAnsi="宋体"/>
          <w:b/>
          <w:bCs/>
          <w:szCs w:val="21"/>
        </w:rPr>
        <w:t>深圳公共资源交易中心（深圳交易集团有限公司宝安分公司）</w:t>
      </w:r>
      <w:r>
        <w:rPr>
          <w:rFonts w:hint="eastAsia" w:ascii="宋体" w:hAnsi="宋体"/>
          <w:b/>
          <w:bCs/>
        </w:rPr>
        <w:t>一楼服务大厅（地址：深圳市宝安区湖滨东路40号）</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hint="eastAsia" w:ascii="宋体" w:hAnsi="宋体"/>
        </w:rPr>
      </w:pPr>
    </w:p>
    <w:p>
      <w:pPr>
        <w:ind w:firstLine="411" w:firstLineChars="196"/>
        <w:rPr>
          <w:rFonts w:hint="eastAsia" w:ascii="宋体" w:hAnsi="宋体"/>
        </w:rPr>
      </w:pPr>
    </w:p>
    <w:bookmarkEnd w:id="39"/>
    <w:p>
      <w:pPr>
        <w:rPr>
          <w:rFonts w:hint="eastAsia" w:ascii="黑体" w:hAnsi="宋体" w:eastAsia="黑体"/>
          <w:sz w:val="24"/>
        </w:rPr>
      </w:pPr>
      <w:r>
        <w:rPr>
          <w:rFonts w:hint="eastAsia" w:ascii="黑体" w:hAnsi="宋体" w:eastAsia="黑体"/>
          <w:sz w:val="24"/>
        </w:rPr>
        <w:t>26. 样品、现场演示、方案讲解</w:t>
      </w:r>
    </w:p>
    <w:p>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pPr>
        <w:rPr>
          <w:rFonts w:hint="eastAsia" w:ascii="黑体" w:hAnsi="宋体" w:eastAsia="黑体"/>
          <w:sz w:val="24"/>
        </w:rPr>
      </w:pPr>
      <w:bookmarkStart w:id="4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40"/>
    <w:p>
      <w:pPr>
        <w:pStyle w:val="4"/>
        <w:numPr>
          <w:ilvl w:val="0"/>
          <w:numId w:val="8"/>
        </w:numPr>
        <w:spacing w:before="156" w:beforeLines="50" w:after="156" w:afterLines="50"/>
        <w:ind w:left="562" w:hanging="562"/>
        <w:rPr>
          <w:sz w:val="28"/>
          <w:szCs w:val="28"/>
        </w:rPr>
      </w:pPr>
      <w:r>
        <w:rPr>
          <w:rFonts w:hint="eastAsia"/>
          <w:sz w:val="28"/>
          <w:szCs w:val="28"/>
        </w:rPr>
        <w:t>开标</w:t>
      </w:r>
    </w:p>
    <w:p>
      <w:pPr>
        <w:rPr>
          <w:rFonts w:hint="eastAsia"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自行采购系统（https://trade.szggzy.com/）”，使用本单位制作电子投标文件同一个电子密钥进行在线解密、查询开标情况。</w:t>
      </w:r>
    </w:p>
    <w:p>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4"/>
        <w:numPr>
          <w:ilvl w:val="0"/>
          <w:numId w:val="8"/>
        </w:numPr>
        <w:spacing w:before="156" w:beforeLines="50" w:after="156" w:afterLines="50"/>
        <w:ind w:left="562" w:hanging="562"/>
        <w:rPr>
          <w:sz w:val="28"/>
          <w:szCs w:val="28"/>
        </w:rPr>
      </w:pPr>
      <w:r>
        <w:rPr>
          <w:rFonts w:hint="eastAsia"/>
          <w:sz w:val="28"/>
          <w:szCs w:val="28"/>
        </w:rPr>
        <w:t>评审要求</w:t>
      </w:r>
    </w:p>
    <w:p>
      <w:pPr>
        <w:rPr>
          <w:rFonts w:hint="eastAsia" w:ascii="黑体" w:hAnsi="宋体" w:eastAsia="黑体"/>
          <w:sz w:val="24"/>
        </w:rPr>
      </w:pPr>
      <w:r>
        <w:rPr>
          <w:rFonts w:hint="eastAsia" w:ascii="黑体" w:hAnsi="宋体" w:eastAsia="黑体"/>
          <w:sz w:val="24"/>
        </w:rPr>
        <w:t>29．评审委员会组成</w:t>
      </w:r>
    </w:p>
    <w:p>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hint="eastAsia" w:ascii="宋体" w:hAnsi="宋体"/>
        </w:rPr>
      </w:pPr>
      <w:bookmarkStart w:id="4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4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hint="eastAsia" w:ascii="宋体" w:hAnsi="宋体"/>
        </w:rPr>
      </w:pPr>
      <w:r>
        <w:rPr>
          <w:rFonts w:hint="eastAsia" w:ascii="宋体" w:hAnsi="宋体"/>
        </w:rPr>
        <w:t>29.2评审定标应当遵循公平、公正、科学、择优的原则。</w:t>
      </w:r>
    </w:p>
    <w:p>
      <w:pPr>
        <w:ind w:firstLine="411" w:firstLineChars="196"/>
        <w:rPr>
          <w:rFonts w:hint="eastAsia" w:ascii="宋体" w:hAnsi="宋体"/>
        </w:rPr>
      </w:pPr>
      <w:r>
        <w:rPr>
          <w:rFonts w:hint="eastAsia" w:ascii="宋体" w:hAnsi="宋体"/>
        </w:rPr>
        <w:t>29.3评审活动依法进行，任何单位和个人不得非法干预评标过程和结果。</w:t>
      </w:r>
    </w:p>
    <w:p>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hint="eastAsia" w:ascii="黑体" w:hAnsi="宋体" w:eastAsia="黑体"/>
          <w:sz w:val="24"/>
        </w:rPr>
      </w:pPr>
      <w:r>
        <w:rPr>
          <w:rFonts w:hint="eastAsia" w:ascii="黑体" w:hAnsi="宋体" w:eastAsia="黑体"/>
          <w:sz w:val="24"/>
        </w:rPr>
        <w:t>30．向评审委员会提供的资料</w:t>
      </w:r>
    </w:p>
    <w:p>
      <w:pPr>
        <w:ind w:firstLine="411" w:firstLineChars="196"/>
        <w:rPr>
          <w:rFonts w:hint="eastAsia" w:ascii="宋体" w:hAnsi="宋体"/>
        </w:rPr>
      </w:pPr>
      <w:r>
        <w:rPr>
          <w:rFonts w:hint="eastAsia" w:ascii="宋体" w:hAnsi="宋体"/>
        </w:rPr>
        <w:t>30.1公开发布的招标文件，包括图纸、服务清单、答疑文件等；</w:t>
      </w:r>
    </w:p>
    <w:p>
      <w:pPr>
        <w:ind w:firstLine="411" w:firstLineChars="196"/>
        <w:rPr>
          <w:rFonts w:hint="eastAsia" w:ascii="宋体" w:hAnsi="宋体"/>
        </w:rPr>
      </w:pPr>
      <w:r>
        <w:rPr>
          <w:rFonts w:hint="eastAsia" w:ascii="宋体" w:hAnsi="宋体"/>
        </w:rPr>
        <w:t>30.2其他评标必须的资料。</w:t>
      </w:r>
    </w:p>
    <w:p>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hint="eastAsia" w:ascii="宋体" w:hAnsi="宋体"/>
        </w:rPr>
      </w:pPr>
      <w:r>
        <w:rPr>
          <w:rFonts w:hint="eastAsia" w:ascii="宋体" w:hAnsi="宋体"/>
        </w:rPr>
        <w:t>（1）招标的目的；</w:t>
      </w:r>
    </w:p>
    <w:p>
      <w:pPr>
        <w:ind w:firstLine="411" w:firstLineChars="196"/>
        <w:rPr>
          <w:rFonts w:hint="eastAsia" w:ascii="宋体" w:hAnsi="宋体"/>
        </w:rPr>
      </w:pPr>
      <w:r>
        <w:rPr>
          <w:rFonts w:hint="eastAsia" w:ascii="宋体" w:hAnsi="宋体"/>
        </w:rPr>
        <w:t>（2）招标项目需求的范围和性质；</w:t>
      </w:r>
    </w:p>
    <w:p>
      <w:pPr>
        <w:ind w:firstLine="411" w:firstLineChars="196"/>
        <w:rPr>
          <w:rFonts w:hint="eastAsia" w:ascii="宋体" w:hAnsi="宋体"/>
        </w:rPr>
      </w:pPr>
      <w:r>
        <w:rPr>
          <w:rFonts w:hint="eastAsia" w:ascii="宋体" w:hAnsi="宋体"/>
        </w:rPr>
        <w:t>（3）招标文件规定的投标人的资格、财政预算限额、商务条款；</w:t>
      </w:r>
    </w:p>
    <w:p>
      <w:pPr>
        <w:ind w:firstLine="411" w:firstLineChars="196"/>
        <w:rPr>
          <w:rFonts w:hint="eastAsia" w:ascii="宋体" w:hAnsi="宋体"/>
        </w:rPr>
      </w:pPr>
      <w:r>
        <w:rPr>
          <w:rFonts w:hint="eastAsia" w:ascii="宋体" w:hAnsi="宋体"/>
        </w:rPr>
        <w:t>（4）招标文件规定的评标程序、评标方法和评标因素；</w:t>
      </w:r>
    </w:p>
    <w:p>
      <w:pPr>
        <w:ind w:firstLine="411" w:firstLineChars="196"/>
        <w:rPr>
          <w:rFonts w:hint="eastAsia" w:ascii="宋体" w:hAnsi="宋体"/>
        </w:rPr>
      </w:pPr>
      <w:r>
        <w:rPr>
          <w:rFonts w:hint="eastAsia" w:ascii="宋体" w:hAnsi="宋体"/>
        </w:rPr>
        <w:t>（5）招标文件所列示的资格性审查表及符合性审查表。</w:t>
      </w:r>
    </w:p>
    <w:p>
      <w:pPr>
        <w:rPr>
          <w:rFonts w:hint="eastAsia" w:ascii="黑体" w:hAnsi="宋体" w:eastAsia="黑体"/>
          <w:sz w:val="24"/>
        </w:rPr>
      </w:pPr>
      <w:r>
        <w:rPr>
          <w:rFonts w:hint="eastAsia" w:ascii="黑体" w:hAnsi="宋体" w:eastAsia="黑体"/>
          <w:sz w:val="24"/>
        </w:rPr>
        <w:t>31．独立评审</w:t>
      </w:r>
    </w:p>
    <w:p>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4"/>
        <w:numPr>
          <w:ilvl w:val="0"/>
          <w:numId w:val="8"/>
        </w:numPr>
        <w:spacing w:before="156" w:beforeLines="50" w:after="156" w:afterLines="50"/>
        <w:ind w:left="562" w:hanging="562"/>
        <w:rPr>
          <w:sz w:val="28"/>
          <w:szCs w:val="28"/>
        </w:rPr>
      </w:pPr>
      <w:r>
        <w:rPr>
          <w:rFonts w:hint="eastAsia"/>
          <w:sz w:val="28"/>
          <w:szCs w:val="28"/>
        </w:rPr>
        <w:t>评审程序及评审方法</w:t>
      </w:r>
    </w:p>
    <w:p>
      <w:pPr>
        <w:rPr>
          <w:rFonts w:hint="eastAsia" w:ascii="黑体" w:hAnsi="宋体" w:eastAsia="黑体"/>
          <w:sz w:val="24"/>
        </w:rPr>
      </w:pPr>
      <w:r>
        <w:rPr>
          <w:rFonts w:hint="eastAsia" w:ascii="黑体" w:hAnsi="宋体" w:eastAsia="黑体"/>
          <w:sz w:val="24"/>
        </w:rPr>
        <w:t>32．投标文件初审</w:t>
      </w:r>
    </w:p>
    <w:p>
      <w:pPr>
        <w:ind w:firstLine="411" w:firstLineChars="196"/>
        <w:rPr>
          <w:rFonts w:hint="eastAsia" w:ascii="宋体" w:hAnsi="宋体"/>
        </w:rPr>
      </w:pPr>
      <w:r>
        <w:rPr>
          <w:rFonts w:hint="eastAsia" w:ascii="宋体" w:hAnsi="宋体"/>
        </w:rPr>
        <w:t>32.1投标文件初审包括资格性审查和符合性审查。</w:t>
      </w:r>
    </w:p>
    <w:p>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hint="eastAsia" w:ascii="宋体" w:hAnsi="宋体"/>
          <w:bCs/>
        </w:rPr>
      </w:pPr>
      <w:r>
        <w:rPr>
          <w:rFonts w:hint="eastAsia" w:ascii="宋体" w:hAnsi="宋体"/>
          <w:bCs/>
        </w:rPr>
        <w:t>32.3 投标文件初审中关于供应商家数的计算:</w:t>
      </w:r>
    </w:p>
    <w:p>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hint="eastAsia"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hint="eastAsia" w:ascii="宋体" w:hAnsi="宋体"/>
        </w:rPr>
      </w:pPr>
      <w:r>
        <w:rPr>
          <w:rFonts w:hint="eastAsia" w:ascii="宋体" w:hAnsi="宋体"/>
        </w:rPr>
        <w:t>32.4.3不同投标人的投标文件载明的项目管理成员或者联系人员为同一人；</w:t>
      </w:r>
    </w:p>
    <w:p>
      <w:pPr>
        <w:ind w:firstLine="411" w:firstLineChars="196"/>
        <w:rPr>
          <w:rFonts w:hint="eastAsia" w:ascii="宋体" w:hAnsi="宋体"/>
        </w:rPr>
      </w:pPr>
      <w:r>
        <w:rPr>
          <w:rFonts w:hint="eastAsia" w:ascii="宋体" w:hAnsi="宋体"/>
        </w:rPr>
        <w:t>32.4.4不同投标人的投标文件异常一致或者投标报价呈规律性差异；</w:t>
      </w:r>
    </w:p>
    <w:p>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hint="eastAsia" w:ascii="宋体" w:hAnsi="宋体"/>
        </w:rPr>
      </w:pPr>
      <w:r>
        <w:rPr>
          <w:rFonts w:hint="eastAsia" w:ascii="宋体" w:hAnsi="宋体"/>
        </w:rPr>
        <w:t>32.4.6投标供应商之间相互约定给予未中标的供应商利益补偿；</w:t>
      </w:r>
    </w:p>
    <w:p>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hint="eastAsia" w:ascii="宋体" w:hAnsi="宋体"/>
        </w:rPr>
      </w:pPr>
      <w:r>
        <w:rPr>
          <w:rFonts w:hint="eastAsia" w:ascii="宋体" w:hAnsi="宋体"/>
        </w:rPr>
        <w:t>32.4.8不同投标供应商的投标文件内容存在非正常一致；</w:t>
      </w:r>
    </w:p>
    <w:p>
      <w:pPr>
        <w:ind w:firstLine="411" w:firstLineChars="196"/>
        <w:rPr>
          <w:rFonts w:hint="eastAsia" w:ascii="宋体" w:hAnsi="宋体"/>
        </w:rPr>
      </w:pPr>
      <w:r>
        <w:rPr>
          <w:rFonts w:hint="eastAsia" w:ascii="宋体" w:hAnsi="宋体"/>
        </w:rPr>
        <w:t>32.4.9在同一单位工作人员为两家以上（含两家）供应商进行同一项投标活动；</w:t>
      </w:r>
    </w:p>
    <w:p>
      <w:pPr>
        <w:ind w:firstLine="411" w:firstLineChars="196"/>
        <w:rPr>
          <w:rFonts w:hint="eastAsia"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hint="eastAsia" w:ascii="黑体" w:hAnsi="宋体" w:eastAsia="黑体"/>
          <w:sz w:val="24"/>
        </w:rPr>
      </w:pPr>
      <w:r>
        <w:rPr>
          <w:rFonts w:hint="eastAsia" w:ascii="黑体" w:hAnsi="宋体" w:eastAsia="黑体"/>
          <w:sz w:val="24"/>
        </w:rPr>
        <w:t>33．澄清有关问题</w:t>
      </w:r>
    </w:p>
    <w:p>
      <w:pPr>
        <w:ind w:firstLine="411" w:firstLineChars="196"/>
        <w:rPr>
          <w:rFonts w:hint="eastAsia" w:ascii="宋体" w:hAnsi="宋体"/>
        </w:rPr>
      </w:pPr>
      <w:bookmarkStart w:id="4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42"/>
    </w:p>
    <w:p>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rPr>
          <w:rFonts w:hint="eastAsia" w:ascii="黑体" w:hAnsi="宋体" w:eastAsia="黑体"/>
          <w:sz w:val="24"/>
        </w:rPr>
      </w:pPr>
      <w:bookmarkStart w:id="43" w:name="_Toc73521669"/>
      <w:bookmarkStart w:id="44" w:name="_Toc73518151"/>
      <w:bookmarkStart w:id="45" w:name="_Toc73521581"/>
      <w:bookmarkStart w:id="46" w:name="_Toc100052400"/>
      <w:bookmarkStart w:id="47" w:name="_Toc73517673"/>
      <w:r>
        <w:rPr>
          <w:rFonts w:hint="eastAsia" w:ascii="黑体" w:hAnsi="宋体" w:eastAsia="黑体"/>
          <w:sz w:val="24"/>
        </w:rPr>
        <w:t>34．错误的修正</w:t>
      </w:r>
      <w:bookmarkEnd w:id="43"/>
      <w:bookmarkEnd w:id="44"/>
      <w:bookmarkEnd w:id="45"/>
      <w:bookmarkEnd w:id="46"/>
      <w:bookmarkEnd w:id="47"/>
    </w:p>
    <w:p>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hint="eastAsia" w:ascii="宋体" w:hAnsi="宋体"/>
          <w:szCs w:val="21"/>
        </w:rPr>
      </w:pPr>
      <w:r>
        <w:rPr>
          <w:rFonts w:hint="eastAsia" w:ascii="宋体" w:hAnsi="宋体"/>
          <w:szCs w:val="21"/>
        </w:rPr>
        <w:t>34.2大写金额和小写金额不一致的，以大写金额为准；</w:t>
      </w:r>
    </w:p>
    <w:p>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hint="eastAsia" w:ascii="黑体" w:hAnsi="宋体" w:eastAsia="黑体"/>
          <w:sz w:val="24"/>
        </w:rPr>
      </w:pPr>
      <w:r>
        <w:rPr>
          <w:rFonts w:hint="eastAsia" w:ascii="黑体" w:hAnsi="宋体" w:eastAsia="黑体"/>
          <w:sz w:val="24"/>
        </w:rPr>
        <w:t>35．投标文件的比较与评价</w:t>
      </w:r>
    </w:p>
    <w:p>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hint="eastAsia" w:ascii="黑体" w:hAnsi="宋体" w:eastAsia="黑体"/>
          <w:sz w:val="24"/>
        </w:rPr>
      </w:pPr>
      <w:r>
        <w:rPr>
          <w:rFonts w:hint="eastAsia" w:ascii="黑体" w:hAnsi="宋体" w:eastAsia="黑体"/>
          <w:sz w:val="24"/>
        </w:rPr>
        <w:t>36. 实地考察或资料查验</w:t>
      </w:r>
    </w:p>
    <w:p>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hint="eastAsia" w:ascii="黑体" w:hAnsi="宋体" w:eastAsia="黑体"/>
          <w:sz w:val="24"/>
        </w:rPr>
      </w:pPr>
      <w:r>
        <w:rPr>
          <w:rFonts w:hint="eastAsia" w:ascii="黑体" w:hAnsi="宋体" w:eastAsia="黑体"/>
          <w:sz w:val="24"/>
        </w:rPr>
        <w:t>37．评审方法</w:t>
      </w:r>
    </w:p>
    <w:p>
      <w:pPr>
        <w:ind w:firstLine="413" w:firstLineChars="196"/>
        <w:rPr>
          <w:rFonts w:hint="eastAsia" w:ascii="宋体" w:hAnsi="宋体"/>
          <w:b/>
          <w:bCs/>
          <w:szCs w:val="21"/>
        </w:rPr>
      </w:pPr>
      <w:r>
        <w:rPr>
          <w:rFonts w:hint="eastAsia" w:ascii="宋体" w:hAnsi="宋体"/>
          <w:b/>
          <w:bCs/>
          <w:szCs w:val="21"/>
        </w:rPr>
        <w:t>37.1.1最低价法</w:t>
      </w:r>
    </w:p>
    <w:p>
      <w:pPr>
        <w:ind w:firstLine="411" w:firstLineChars="196"/>
        <w:rPr>
          <w:rFonts w:hint="eastAsia" w:ascii="ˎ̥" w:hAnsi="ˎ̥"/>
        </w:rPr>
      </w:pPr>
      <w:bookmarkStart w:id="4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hint="eastAsia"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48"/>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hint="eastAsia" w:ascii="宋体" w:hAnsi="宋体"/>
          <w:b/>
          <w:bCs/>
          <w:szCs w:val="21"/>
        </w:rPr>
      </w:pPr>
      <w:r>
        <w:rPr>
          <w:rFonts w:hint="eastAsia" w:ascii="宋体" w:hAnsi="宋体"/>
          <w:b/>
          <w:bCs/>
          <w:szCs w:val="21"/>
        </w:rPr>
        <w:t>37.3重新评审的情形</w:t>
      </w:r>
    </w:p>
    <w:p>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4"/>
        <w:numPr>
          <w:ilvl w:val="0"/>
          <w:numId w:val="8"/>
        </w:numPr>
        <w:spacing w:before="156" w:beforeLines="50" w:after="156" w:afterLines="50"/>
        <w:ind w:left="562" w:hanging="562"/>
        <w:rPr>
          <w:sz w:val="28"/>
          <w:szCs w:val="28"/>
        </w:rPr>
      </w:pPr>
      <w:r>
        <w:rPr>
          <w:rFonts w:hint="eastAsia"/>
          <w:sz w:val="28"/>
          <w:szCs w:val="28"/>
        </w:rPr>
        <w:t>定标及公示</w:t>
      </w:r>
    </w:p>
    <w:p>
      <w:pPr>
        <w:rPr>
          <w:rFonts w:hint="eastAsia" w:ascii="黑体" w:hAnsi="宋体" w:eastAsia="黑体"/>
          <w:sz w:val="24"/>
        </w:rPr>
      </w:pPr>
      <w:r>
        <w:rPr>
          <w:rFonts w:hint="eastAsia" w:ascii="黑体" w:hAnsi="宋体" w:eastAsia="黑体"/>
          <w:sz w:val="24"/>
        </w:rPr>
        <w:t>38．定标方法</w:t>
      </w:r>
    </w:p>
    <w:p>
      <w:pPr>
        <w:ind w:firstLine="411" w:firstLineChars="196"/>
        <w:rPr>
          <w:rFonts w:hint="eastAsia" w:ascii="宋体" w:hAnsi="宋体"/>
          <w:szCs w:val="21"/>
        </w:rPr>
      </w:pPr>
      <w:bookmarkStart w:id="49" w:name="_Hlk73782795"/>
      <w:r>
        <w:rPr>
          <w:rFonts w:hint="eastAsia" w:ascii="宋体" w:hAnsi="宋体"/>
          <w:szCs w:val="21"/>
        </w:rPr>
        <w:t>38.1非评定分离项目定标方法</w:t>
      </w:r>
    </w:p>
    <w:p>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50" w:name="_Hlk73821177"/>
      <w:r>
        <w:rPr>
          <w:rFonts w:hint="eastAsia" w:ascii="ˎ̥" w:hAnsi="ˎ̥"/>
        </w:rPr>
        <w:t>唯一候选中标供应商</w:t>
      </w:r>
      <w:bookmarkEnd w:id="50"/>
      <w:r>
        <w:rPr>
          <w:rFonts w:ascii="ˎ̥" w:hAnsi="ˎ̥"/>
        </w:rPr>
        <w:t>。</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为唯一候选中标供应商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11" w:firstLineChars="196"/>
        <w:rPr>
          <w:rFonts w:hint="eastAsia" w:ascii="宋体" w:hAnsi="宋体"/>
          <w:szCs w:val="21"/>
        </w:rPr>
      </w:pPr>
      <w:r>
        <w:rPr>
          <w:rFonts w:hint="eastAsia" w:ascii="宋体" w:hAnsi="宋体"/>
          <w:szCs w:val="21"/>
        </w:rPr>
        <w:t>38.2评定分离项目定标方法</w:t>
      </w:r>
    </w:p>
    <w:p>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5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hint="eastAsia" w:ascii="宋体" w:hAnsi="宋体"/>
          <w:szCs w:val="21"/>
        </w:rPr>
      </w:pPr>
      <w:r>
        <w:rPr>
          <w:rFonts w:hint="eastAsia" w:ascii="宋体" w:hAnsi="宋体"/>
          <w:szCs w:val="21"/>
        </w:rPr>
        <w:t>38.2.3</w:t>
      </w:r>
      <w:bookmarkStart w:id="5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51"/>
      <w:bookmarkEnd w:id="52"/>
    </w:p>
    <w:p>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49"/>
    </w:p>
    <w:p>
      <w:pPr>
        <w:rPr>
          <w:rFonts w:hint="eastAsia" w:ascii="黑体" w:hAnsi="宋体" w:eastAsia="黑体"/>
          <w:sz w:val="24"/>
        </w:rPr>
      </w:pPr>
      <w:r>
        <w:rPr>
          <w:rFonts w:hint="eastAsia" w:ascii="黑体" w:hAnsi="宋体" w:eastAsia="黑体"/>
          <w:sz w:val="24"/>
        </w:rPr>
        <w:t>39．编写评审报告</w:t>
      </w:r>
    </w:p>
    <w:p>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hint="eastAsia" w:ascii="黑体" w:hAnsi="宋体" w:eastAsia="黑体"/>
          <w:sz w:val="24"/>
        </w:rPr>
      </w:pPr>
      <w:r>
        <w:rPr>
          <w:rFonts w:hint="eastAsia" w:ascii="黑体" w:hAnsi="宋体" w:eastAsia="黑体"/>
          <w:sz w:val="24"/>
        </w:rPr>
        <w:t>40．中标公告</w:t>
      </w:r>
    </w:p>
    <w:p>
      <w:pPr>
        <w:ind w:firstLine="411" w:firstLineChars="196"/>
        <w:rPr>
          <w:rFonts w:hint="eastAsia" w:ascii="宋体" w:hAnsi="宋体"/>
          <w:szCs w:val="21"/>
        </w:rPr>
      </w:pPr>
      <w:r>
        <w:rPr>
          <w:rFonts w:hint="eastAsia" w:ascii="宋体" w:hAnsi="宋体"/>
          <w:szCs w:val="21"/>
        </w:rPr>
        <w:t>40.1</w:t>
      </w:r>
      <w:bookmarkStart w:id="5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深圳交易集团官网（http://www.szexgrp.com）</w:t>
      </w:r>
      <w:r>
        <w:rPr>
          <w:rFonts w:hint="eastAsia" w:ascii="宋体" w:hAnsi="宋体"/>
          <w:szCs w:val="21"/>
        </w:rPr>
        <w:t>上发布中标结果公告。</w:t>
      </w:r>
      <w:bookmarkEnd w:id="53"/>
      <w:bookmarkStart w:id="5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54"/>
    <w:p>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pPr>
        <w:rPr>
          <w:rFonts w:hint="eastAsia" w:ascii="黑体" w:hAnsi="宋体" w:eastAsia="黑体"/>
          <w:sz w:val="24"/>
        </w:rPr>
      </w:pPr>
      <w:r>
        <w:rPr>
          <w:rFonts w:hint="eastAsia" w:ascii="黑体" w:hAnsi="宋体" w:eastAsia="黑体"/>
          <w:sz w:val="24"/>
        </w:rPr>
        <w:t>41．中标通知书</w:t>
      </w:r>
    </w:p>
    <w:p>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55" w:name="_Hlk72438863"/>
      <w:r>
        <w:rPr>
          <w:rFonts w:hint="eastAsia" w:ascii="宋体" w:hAnsi="宋体"/>
          <w:szCs w:val="21"/>
        </w:rPr>
        <w:t>中标公告公布以后无异常的情况下,中标供应商和采购人可自行在</w:t>
      </w:r>
      <w:r>
        <w:rPr>
          <w:rFonts w:hint="eastAsia" w:ascii="宋体" w:hAnsi="宋体"/>
          <w:b/>
          <w:bCs/>
          <w:szCs w:val="21"/>
        </w:rPr>
        <w:t>“深圳自行采购系统（http://trade.szggzy.com/）”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55"/>
    </w:p>
    <w:p>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hint="eastAsia" w:ascii="宋体" w:hAnsi="宋体"/>
          <w:szCs w:val="21"/>
        </w:rPr>
      </w:pPr>
      <w:bookmarkStart w:id="56" w:name="_Hlk71407340"/>
      <w:r>
        <w:rPr>
          <w:rFonts w:hint="eastAsia" w:ascii="宋体" w:hAnsi="宋体"/>
          <w:szCs w:val="21"/>
        </w:rPr>
        <w:t>41.3因质疑投诉或其它原因导致项目结果变更或采购终止的，政府集中采购机构有权吊销中标通知书。</w:t>
      </w:r>
    </w:p>
    <w:bookmarkEnd w:id="56"/>
    <w:p>
      <w:pPr>
        <w:ind w:firstLine="411" w:firstLineChars="196"/>
        <w:rPr>
          <w:rFonts w:hint="eastAsia" w:ascii="宋体" w:hAnsi="宋体"/>
          <w:szCs w:val="21"/>
        </w:rPr>
      </w:pPr>
    </w:p>
    <w:p>
      <w:pPr>
        <w:pStyle w:val="4"/>
        <w:numPr>
          <w:ilvl w:val="0"/>
          <w:numId w:val="8"/>
        </w:numPr>
        <w:spacing w:before="156" w:beforeLines="50" w:after="156" w:afterLines="50"/>
        <w:ind w:left="562" w:hanging="562"/>
        <w:rPr>
          <w:sz w:val="28"/>
          <w:szCs w:val="28"/>
        </w:rPr>
      </w:pPr>
      <w:r>
        <w:rPr>
          <w:rFonts w:hint="eastAsia"/>
          <w:sz w:val="28"/>
          <w:szCs w:val="28"/>
        </w:rPr>
        <w:t>公开招标失败的后续处理</w:t>
      </w:r>
    </w:p>
    <w:p>
      <w:pPr>
        <w:rPr>
          <w:rFonts w:hint="eastAsia" w:ascii="黑体" w:hAnsi="宋体" w:eastAsia="黑体"/>
          <w:sz w:val="24"/>
        </w:rPr>
      </w:pPr>
      <w:r>
        <w:rPr>
          <w:rFonts w:hint="eastAsia" w:ascii="黑体" w:hAnsi="宋体" w:eastAsia="黑体"/>
          <w:sz w:val="24"/>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（2）根据实际情况需要向本项目预算主管部门提出非公开招标方式申请，经本项目预算主管部门批准，公开招标失败采购项目可转为竞争性谈判或单一来源谈判方式采购。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42.5公开招标失败的采购项目经本项目预算主管部门批准转为竞争性谈判或单一来源谈判方式采购的，按规定要求组织政府采购工作。</w:t>
      </w:r>
    </w:p>
    <w:p>
      <w:pPr>
        <w:rPr>
          <w:rFonts w:hint="eastAsia" w:ascii="黑体" w:hAnsi="宋体" w:eastAsia="黑体"/>
          <w:sz w:val="24"/>
        </w:rPr>
      </w:pPr>
    </w:p>
    <w:p>
      <w:pPr>
        <w:pStyle w:val="4"/>
        <w:numPr>
          <w:ilvl w:val="0"/>
          <w:numId w:val="8"/>
        </w:numPr>
        <w:spacing w:before="156" w:beforeLines="50" w:after="156" w:afterLines="50"/>
        <w:ind w:left="562" w:hanging="562"/>
        <w:rPr>
          <w:sz w:val="28"/>
          <w:szCs w:val="28"/>
        </w:rPr>
      </w:pPr>
      <w:bookmarkStart w:id="57" w:name="_Hlk72439043"/>
      <w:r>
        <w:rPr>
          <w:rFonts w:hint="eastAsia"/>
          <w:sz w:val="28"/>
          <w:szCs w:val="28"/>
        </w:rPr>
        <w:t>合同的授予与备案</w:t>
      </w:r>
      <w:bookmarkEnd w:id="57"/>
    </w:p>
    <w:p>
      <w:pPr>
        <w:rPr>
          <w:rFonts w:hint="eastAsia" w:ascii="黑体" w:hAnsi="宋体" w:eastAsia="黑体"/>
          <w:sz w:val="24"/>
        </w:rPr>
      </w:pPr>
      <w:bookmarkStart w:id="58" w:name="_Toc73517679"/>
      <w:bookmarkStart w:id="59" w:name="_Toc73521586"/>
      <w:bookmarkStart w:id="60" w:name="_Toc100052408"/>
      <w:bookmarkStart w:id="61" w:name="_Toc73518157"/>
      <w:bookmarkStart w:id="62" w:name="_Toc73521674"/>
      <w:bookmarkStart w:id="63" w:name="_Hlk72439088"/>
      <w:r>
        <w:rPr>
          <w:rFonts w:hint="eastAsia" w:ascii="黑体" w:hAnsi="宋体" w:eastAsia="黑体"/>
          <w:sz w:val="24"/>
        </w:rPr>
        <w:t>43．合同授予标准</w:t>
      </w:r>
      <w:bookmarkEnd w:id="58"/>
      <w:bookmarkEnd w:id="59"/>
      <w:bookmarkEnd w:id="60"/>
      <w:bookmarkEnd w:id="61"/>
      <w:bookmarkEnd w:id="62"/>
    </w:p>
    <w:p>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pPr>
        <w:rPr>
          <w:rFonts w:hint="eastAsia" w:ascii="黑体" w:hAnsi="宋体" w:eastAsia="黑体"/>
          <w:sz w:val="24"/>
        </w:rPr>
      </w:pPr>
      <w:bookmarkStart w:id="64" w:name="_Toc73521587"/>
      <w:bookmarkStart w:id="65" w:name="_Toc73518158"/>
      <w:bookmarkStart w:id="66" w:name="_Toc73517680"/>
      <w:bookmarkStart w:id="67" w:name="_Toc73521675"/>
      <w:bookmarkStart w:id="68" w:name="_Toc100052409"/>
      <w:r>
        <w:rPr>
          <w:rFonts w:hint="eastAsia" w:ascii="黑体" w:hAnsi="宋体" w:eastAsia="黑体"/>
          <w:sz w:val="24"/>
        </w:rPr>
        <w:t>44．</w:t>
      </w:r>
      <w:bookmarkEnd w:id="64"/>
      <w:bookmarkEnd w:id="65"/>
      <w:bookmarkEnd w:id="66"/>
      <w:bookmarkEnd w:id="67"/>
      <w:bookmarkEnd w:id="68"/>
      <w:r>
        <w:rPr>
          <w:rFonts w:hint="eastAsia" w:ascii="黑体" w:hAnsi="宋体" w:eastAsia="黑体"/>
          <w:sz w:val="24"/>
        </w:rPr>
        <w:t>接受和拒绝任何或所有投标的权力</w:t>
      </w:r>
    </w:p>
    <w:p>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hint="eastAsia" w:ascii="黑体" w:hAnsi="宋体" w:eastAsia="黑体"/>
          <w:sz w:val="24"/>
        </w:rPr>
      </w:pPr>
      <w:bookmarkStart w:id="69" w:name="_Toc73517682"/>
      <w:bookmarkStart w:id="70" w:name="_Toc73521677"/>
      <w:bookmarkStart w:id="71" w:name="_Toc73518160"/>
      <w:bookmarkStart w:id="72" w:name="_Toc100052410"/>
      <w:bookmarkStart w:id="73" w:name="_Toc73521589"/>
      <w:r>
        <w:rPr>
          <w:rFonts w:hint="eastAsia" w:ascii="黑体" w:hAnsi="宋体" w:eastAsia="黑体"/>
          <w:sz w:val="24"/>
        </w:rPr>
        <w:t>45．合同的签订</w:t>
      </w:r>
      <w:bookmarkEnd w:id="69"/>
      <w:bookmarkEnd w:id="70"/>
      <w:bookmarkEnd w:id="71"/>
      <w:bookmarkEnd w:id="72"/>
      <w:bookmarkEnd w:id="73"/>
    </w:p>
    <w:p>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pPr>
        <w:rPr>
          <w:rFonts w:hint="eastAsia" w:ascii="黑体" w:hAnsi="宋体" w:eastAsia="黑体"/>
          <w:sz w:val="24"/>
        </w:rPr>
      </w:pPr>
      <w:bookmarkStart w:id="74" w:name="_Toc100052411"/>
      <w:bookmarkStart w:id="75" w:name="_Toc73521678"/>
      <w:bookmarkStart w:id="76" w:name="_Toc73517683"/>
      <w:bookmarkStart w:id="77" w:name="_Toc73518161"/>
      <w:bookmarkStart w:id="78" w:name="_Toc73521590"/>
      <w:r>
        <w:rPr>
          <w:rFonts w:hint="eastAsia" w:ascii="黑体" w:hAnsi="宋体" w:eastAsia="黑体"/>
          <w:sz w:val="24"/>
        </w:rPr>
        <w:t>46．履约担保</w:t>
      </w:r>
      <w:bookmarkEnd w:id="74"/>
      <w:bookmarkEnd w:id="75"/>
      <w:bookmarkEnd w:id="76"/>
      <w:bookmarkEnd w:id="77"/>
      <w:bookmarkEnd w:id="78"/>
    </w:p>
    <w:p>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hint="eastAsia" w:ascii="黑体" w:hAnsi="宋体" w:eastAsia="黑体"/>
          <w:sz w:val="24"/>
        </w:rPr>
      </w:pPr>
      <w:r>
        <w:rPr>
          <w:rFonts w:hint="eastAsia" w:ascii="黑体" w:hAnsi="宋体" w:eastAsia="黑体"/>
          <w:sz w:val="24"/>
        </w:rPr>
        <w:t>47. 合同备案</w:t>
      </w:r>
    </w:p>
    <w:p>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pPr>
        <w:rPr>
          <w:rFonts w:hint="eastAsia" w:ascii="黑体" w:hAnsi="宋体" w:eastAsia="黑体"/>
          <w:sz w:val="24"/>
        </w:rPr>
      </w:pPr>
      <w:r>
        <w:rPr>
          <w:rFonts w:hint="eastAsia" w:ascii="黑体" w:hAnsi="宋体" w:eastAsia="黑体"/>
          <w:sz w:val="24"/>
        </w:rPr>
        <w:t>49. 项目验收</w:t>
      </w:r>
    </w:p>
    <w:p>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hint="eastAsia" w:ascii="黑体" w:hAnsi="宋体" w:eastAsia="黑体"/>
          <w:sz w:val="24"/>
        </w:rPr>
      </w:pPr>
      <w:r>
        <w:rPr>
          <w:rFonts w:hint="eastAsia" w:ascii="黑体" w:hAnsi="宋体" w:eastAsia="黑体"/>
          <w:sz w:val="24"/>
        </w:rPr>
        <w:t>50. 宣传</w:t>
      </w:r>
    </w:p>
    <w:p>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hint="eastAsia" w:ascii="宋体" w:hAnsi="宋体"/>
        </w:rPr>
      </w:pPr>
      <w:r>
        <w:rPr>
          <w:rFonts w:ascii="宋体" w:hAnsi="宋体"/>
        </w:rPr>
        <w:t>a.名片、宣传册、广告标语等；</w:t>
      </w:r>
    </w:p>
    <w:p>
      <w:pPr>
        <w:ind w:left="210" w:leftChars="100" w:firstLine="411" w:firstLineChars="196"/>
        <w:rPr>
          <w:rFonts w:hint="eastAsia" w:ascii="宋体" w:hAnsi="宋体"/>
        </w:rPr>
      </w:pPr>
      <w:r>
        <w:rPr>
          <w:rFonts w:ascii="宋体" w:hAnsi="宋体"/>
        </w:rPr>
        <w:t>b.案例介绍、推广等；</w:t>
      </w:r>
    </w:p>
    <w:p>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pPr>
        <w:rPr>
          <w:rFonts w:hint="eastAsia" w:ascii="黑体" w:hAnsi="宋体" w:eastAsia="黑体"/>
          <w:sz w:val="24"/>
        </w:rPr>
      </w:pPr>
      <w:r>
        <w:rPr>
          <w:rFonts w:hint="eastAsia" w:ascii="黑体" w:hAnsi="宋体" w:eastAsia="黑体"/>
          <w:sz w:val="24"/>
        </w:rPr>
        <w:t>51. 供应商违法责任</w:t>
      </w:r>
    </w:p>
    <w:p>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hint="eastAsia" w:ascii="宋体" w:hAnsi="宋体"/>
          <w:szCs w:val="21"/>
        </w:rPr>
      </w:pPr>
      <w:r>
        <w:rPr>
          <w:rFonts w:hint="eastAsia" w:ascii="宋体" w:hAnsi="宋体"/>
          <w:szCs w:val="21"/>
        </w:rPr>
        <w:t>（1）在采购活动中应当回避而未回避的；</w:t>
      </w:r>
    </w:p>
    <w:p>
      <w:pPr>
        <w:ind w:firstLine="411" w:firstLineChars="196"/>
        <w:rPr>
          <w:rFonts w:hint="eastAsia" w:ascii="宋体" w:hAnsi="宋体"/>
          <w:szCs w:val="21"/>
        </w:rPr>
      </w:pPr>
      <w:r>
        <w:rPr>
          <w:rFonts w:hint="eastAsia" w:ascii="宋体" w:hAnsi="宋体"/>
          <w:szCs w:val="21"/>
        </w:rPr>
        <w:t>（2）未按本条例规定签订、履行采购合同，造成严重后果的；</w:t>
      </w:r>
    </w:p>
    <w:p>
      <w:pPr>
        <w:ind w:firstLine="411" w:firstLineChars="196"/>
        <w:rPr>
          <w:rFonts w:hint="eastAsia" w:ascii="宋体" w:hAnsi="宋体"/>
          <w:szCs w:val="21"/>
        </w:rPr>
      </w:pPr>
      <w:r>
        <w:rPr>
          <w:rFonts w:hint="eastAsia" w:ascii="宋体" w:hAnsi="宋体"/>
          <w:szCs w:val="21"/>
        </w:rPr>
        <w:t>（3）隐瞒真实情况，提供虚假资料的；</w:t>
      </w:r>
    </w:p>
    <w:p>
      <w:pPr>
        <w:ind w:firstLine="411" w:firstLineChars="196"/>
        <w:rPr>
          <w:rFonts w:hint="eastAsia" w:ascii="宋体" w:hAnsi="宋体"/>
          <w:szCs w:val="21"/>
        </w:rPr>
      </w:pPr>
      <w:r>
        <w:rPr>
          <w:rFonts w:hint="eastAsia" w:ascii="宋体" w:hAnsi="宋体"/>
          <w:szCs w:val="21"/>
        </w:rPr>
        <w:t>（4）以非法手段排斥其他供应商参与竞争的；</w:t>
      </w:r>
    </w:p>
    <w:p>
      <w:pPr>
        <w:ind w:firstLine="411" w:firstLineChars="196"/>
        <w:rPr>
          <w:rFonts w:hint="eastAsia" w:ascii="宋体" w:hAnsi="宋体"/>
          <w:szCs w:val="21"/>
        </w:rPr>
      </w:pPr>
      <w:r>
        <w:rPr>
          <w:rFonts w:hint="eastAsia" w:ascii="宋体" w:hAnsi="宋体"/>
          <w:szCs w:val="21"/>
        </w:rPr>
        <w:t>（5）与其他采购参加人串通投标的；</w:t>
      </w:r>
    </w:p>
    <w:p>
      <w:pPr>
        <w:ind w:firstLine="411" w:firstLineChars="196"/>
        <w:rPr>
          <w:rFonts w:hint="eastAsia" w:ascii="宋体" w:hAnsi="宋体"/>
          <w:szCs w:val="21"/>
        </w:rPr>
      </w:pPr>
      <w:r>
        <w:rPr>
          <w:rFonts w:hint="eastAsia" w:ascii="宋体" w:hAnsi="宋体"/>
          <w:szCs w:val="21"/>
        </w:rPr>
        <w:t>（6）恶意投诉的；</w:t>
      </w:r>
    </w:p>
    <w:p>
      <w:pPr>
        <w:ind w:firstLine="411" w:firstLineChars="196"/>
        <w:rPr>
          <w:rFonts w:hint="eastAsia" w:ascii="宋体" w:hAnsi="宋体"/>
          <w:szCs w:val="21"/>
        </w:rPr>
      </w:pPr>
      <w:r>
        <w:rPr>
          <w:rFonts w:hint="eastAsia" w:ascii="宋体" w:hAnsi="宋体"/>
          <w:szCs w:val="21"/>
        </w:rPr>
        <w:t>（7）向采购项目相关人行贿或者提供其他不当利益的；</w:t>
      </w:r>
    </w:p>
    <w:p>
      <w:pPr>
        <w:ind w:firstLine="411" w:firstLineChars="196"/>
        <w:rPr>
          <w:rFonts w:hint="eastAsia" w:ascii="宋体" w:hAnsi="宋体"/>
          <w:szCs w:val="21"/>
        </w:rPr>
      </w:pPr>
      <w:r>
        <w:rPr>
          <w:rFonts w:hint="eastAsia" w:ascii="宋体" w:hAnsi="宋体"/>
          <w:szCs w:val="21"/>
        </w:rPr>
        <w:t>（8）阻碍、抗拒主管部门监督检查的；</w:t>
      </w:r>
    </w:p>
    <w:p>
      <w:pPr>
        <w:ind w:firstLine="411" w:firstLineChars="196"/>
        <w:rPr>
          <w:rFonts w:hint="eastAsia" w:ascii="宋体" w:hAnsi="宋体"/>
          <w:szCs w:val="21"/>
        </w:rPr>
      </w:pPr>
      <w:r>
        <w:rPr>
          <w:rFonts w:hint="eastAsia" w:ascii="宋体" w:hAnsi="宋体"/>
          <w:szCs w:val="21"/>
        </w:rPr>
        <w:t>（9）其他违反本条例规定的行为。</w:t>
      </w:r>
    </w:p>
    <w:p>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79" w:name="_Hlk72440769"/>
      <w:r>
        <w:rPr>
          <w:rFonts w:hint="eastAsia" w:ascii="宋体" w:hAnsi="宋体"/>
          <w:szCs w:val="21"/>
        </w:rPr>
        <w:t>政府集中采购机构或采购人不予退还其交纳的谈判保证金，情节严重的，并由主管部门</w:t>
      </w:r>
      <w:bookmarkEnd w:id="79"/>
      <w:r>
        <w:rPr>
          <w:rFonts w:hint="eastAsia" w:ascii="宋体" w:hAnsi="宋体"/>
          <w:szCs w:val="21"/>
        </w:rPr>
        <w:t>记入供应商诚信档案，予以通报：</w:t>
      </w:r>
    </w:p>
    <w:p>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3"/>
    <w:p>
      <w:pPr>
        <w:pStyle w:val="4"/>
        <w:numPr>
          <w:ilvl w:val="0"/>
          <w:numId w:val="8"/>
        </w:numPr>
        <w:spacing w:before="156" w:beforeLines="50" w:after="156" w:afterLines="50"/>
        <w:ind w:left="562" w:hanging="562"/>
        <w:rPr>
          <w:sz w:val="28"/>
          <w:szCs w:val="28"/>
        </w:rPr>
      </w:pPr>
      <w:r>
        <w:rPr>
          <w:rFonts w:hint="eastAsia"/>
          <w:sz w:val="28"/>
          <w:szCs w:val="28"/>
        </w:rPr>
        <w:t>质疑处理</w:t>
      </w:r>
    </w:p>
    <w:p>
      <w:pPr>
        <w:rPr>
          <w:rFonts w:hint="eastAsia" w:ascii="黑体" w:hAnsi="宋体" w:eastAsia="黑体"/>
          <w:sz w:val="24"/>
        </w:rPr>
      </w:pPr>
      <w:r>
        <w:rPr>
          <w:rFonts w:hint="eastAsia" w:ascii="黑体" w:hAnsi="宋体" w:eastAsia="黑体"/>
          <w:sz w:val="24"/>
        </w:rPr>
        <w:t>52.质疑提出与答复</w:t>
      </w:r>
    </w:p>
    <w:p>
      <w:pPr>
        <w:rPr>
          <w:rFonts w:hint="eastAsia" w:ascii="宋体" w:hAnsi="宋体"/>
          <w:szCs w:val="21"/>
        </w:rPr>
      </w:pPr>
      <w:r>
        <w:rPr>
          <w:rFonts w:hint="eastAsia" w:ascii="宋体" w:hAnsi="宋体"/>
          <w:szCs w:val="21"/>
        </w:rPr>
        <w:t xml:space="preserve">    52.1提出质疑</w:t>
      </w:r>
    </w:p>
    <w:p>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hint="eastAsia" w:ascii="宋体" w:hAnsi="宋体"/>
          <w:szCs w:val="21"/>
        </w:rPr>
      </w:pPr>
      <w:r>
        <w:rPr>
          <w:rFonts w:hint="eastAsia" w:ascii="宋体" w:hAnsi="宋体"/>
          <w:szCs w:val="21"/>
        </w:rPr>
        <w:t xml:space="preserve">    52.2</w:t>
      </w:r>
      <w:r>
        <w:rPr>
          <w:rFonts w:ascii="宋体" w:hAnsi="宋体"/>
          <w:szCs w:val="21"/>
        </w:rPr>
        <w:t>法律依据</w:t>
      </w:r>
    </w:p>
    <w:p>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80" w:name="_Hlk75374941"/>
      <w:r>
        <w:rPr>
          <w:rFonts w:hint="eastAsia" w:ascii="宋体" w:hAnsi="宋体"/>
          <w:szCs w:val="21"/>
        </w:rPr>
        <w:t>以联合体形式参与的，质疑应当由组成联合体的所有成员共同提出</w:t>
      </w:r>
      <w:bookmarkEnd w:id="80"/>
      <w:r>
        <w:rPr>
          <w:rFonts w:hint="eastAsia" w:ascii="宋体" w:hAnsi="宋体"/>
          <w:szCs w:val="21"/>
        </w:rPr>
        <w:t>；</w:t>
      </w:r>
    </w:p>
    <w:p>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地址：深圳公共资源交易中心（深圳交易集团有限公司宝安分公司）一楼服务大厅，质疑咨询电话：0755-27758331。</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hint="eastAsia" w:ascii="宋体" w:hAnsi="宋体"/>
          <w:szCs w:val="21"/>
        </w:rPr>
      </w:pPr>
      <w:r>
        <w:rPr>
          <w:rFonts w:hint="eastAsia" w:ascii="宋体" w:hAnsi="宋体"/>
          <w:szCs w:val="21"/>
        </w:rPr>
        <w:t xml:space="preserve">    自收文之日起七个工作日内。</w:t>
      </w:r>
    </w:p>
    <w:p>
      <w:pPr>
        <w:rPr>
          <w:rFonts w:hint="eastAsia" w:ascii="宋体" w:hAnsi="宋体"/>
          <w:szCs w:val="21"/>
        </w:rPr>
      </w:pPr>
      <w:r>
        <w:rPr>
          <w:rFonts w:hint="eastAsia" w:ascii="宋体" w:hAnsi="宋体"/>
          <w:szCs w:val="21"/>
        </w:rPr>
        <w:t xml:space="preserve">    52.8投诉</w:t>
      </w:r>
    </w:p>
    <w:p>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hint="eastAsia" w:ascii="黑体" w:hAnsi="宋体" w:eastAsia="黑体"/>
          <w:sz w:val="24"/>
        </w:rPr>
      </w:pPr>
      <w:r>
        <w:rPr>
          <w:rFonts w:hint="eastAsia" w:ascii="黑体" w:hAnsi="宋体" w:eastAsia="黑体"/>
          <w:sz w:val="24"/>
        </w:rPr>
        <w:t>53. 质疑后续处理</w:t>
      </w:r>
    </w:p>
    <w:p>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hint="eastAsia"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26"/>
    </w:p>
    <w:p>
      <w:pPr>
        <w:rPr>
          <w:b/>
          <w:color w:val="FF0000"/>
          <w:sz w:val="52"/>
          <w:szCs w:val="52"/>
        </w:rPr>
      </w:pPr>
    </w:p>
    <w:p>
      <w:pPr>
        <w:rPr>
          <w:b/>
          <w:color w:val="FF0000"/>
          <w:sz w:val="52"/>
          <w:szCs w:val="52"/>
        </w:rPr>
      </w:pPr>
    </w:p>
    <w:p/>
    <w:sectPr>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pPr>
          <w:pStyle w:val="15"/>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5"/>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sdtPr>
    <w:sdtContent>
      <w:p>
        <w:pPr>
          <w:pStyle w:val="15"/>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5"/>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DFEB317F"/>
    <w:multiLevelType w:val="singleLevel"/>
    <w:tmpl w:val="DFEB317F"/>
    <w:lvl w:ilvl="0" w:tentative="0">
      <w:start w:val="1"/>
      <w:numFmt w:val="chineseCounting"/>
      <w:suff w:val="nothing"/>
      <w:lvlText w:val="%1、"/>
      <w:lvlJc w:val="left"/>
      <w:rPr>
        <w:rFonts w:hint="eastAsia"/>
      </w:rPr>
    </w:lvl>
  </w:abstractNum>
  <w:abstractNum w:abstractNumId="3">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DFA2C91"/>
    <w:multiLevelType w:val="singleLevel"/>
    <w:tmpl w:val="3DFA2C91"/>
    <w:lvl w:ilvl="0" w:tentative="0">
      <w:start w:val="1"/>
      <w:numFmt w:val="decimal"/>
      <w:lvlText w:val="%1."/>
      <w:lvlJc w:val="left"/>
      <w:pPr>
        <w:tabs>
          <w:tab w:val="left" w:pos="312"/>
        </w:tabs>
      </w:pPr>
    </w:lvl>
  </w:abstractNum>
  <w:abstractNum w:abstractNumId="6">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414DB6A"/>
    <w:multiLevelType w:val="singleLevel"/>
    <w:tmpl w:val="7414DB6A"/>
    <w:lvl w:ilvl="0" w:tentative="0">
      <w:start w:val="1"/>
      <w:numFmt w:val="decimal"/>
      <w:lvlText w:val="%1."/>
      <w:lvlJc w:val="left"/>
      <w:pPr>
        <w:tabs>
          <w:tab w:val="left" w:pos="312"/>
        </w:tabs>
      </w:pPr>
    </w:lvl>
  </w:abstractNum>
  <w:num w:numId="1">
    <w:abstractNumId w:val="7"/>
  </w:num>
  <w:num w:numId="2">
    <w:abstractNumId w:val="0"/>
  </w:num>
  <w:num w:numId="3">
    <w:abstractNumId w:val="5"/>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ODY5MmI0Y2I5NDllNmNhYTk0OGQ1M2FiYjhlZmQifQ=="/>
    <w:docVar w:name="KSO_WPS_MARK_KEY" w:val="2f9ed4fd-8025-4770-8d27-b1f50e703a93"/>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29FF"/>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74E64"/>
    <w:rsid w:val="008801A3"/>
    <w:rsid w:val="00880599"/>
    <w:rsid w:val="00882212"/>
    <w:rsid w:val="00883AA8"/>
    <w:rsid w:val="008853B1"/>
    <w:rsid w:val="008864F5"/>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84648"/>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4B90"/>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5739FF"/>
    <w:rsid w:val="02581525"/>
    <w:rsid w:val="02971D9B"/>
    <w:rsid w:val="02B15283"/>
    <w:rsid w:val="040F20B8"/>
    <w:rsid w:val="044C592F"/>
    <w:rsid w:val="045D2D19"/>
    <w:rsid w:val="04A120E1"/>
    <w:rsid w:val="05CF5FA2"/>
    <w:rsid w:val="060C467C"/>
    <w:rsid w:val="062A31D9"/>
    <w:rsid w:val="062F259D"/>
    <w:rsid w:val="06654211"/>
    <w:rsid w:val="068C25DB"/>
    <w:rsid w:val="06AE79A3"/>
    <w:rsid w:val="06B47C7B"/>
    <w:rsid w:val="06E5385A"/>
    <w:rsid w:val="06EB2968"/>
    <w:rsid w:val="06ED4932"/>
    <w:rsid w:val="06F36ADC"/>
    <w:rsid w:val="07106873"/>
    <w:rsid w:val="071C0D73"/>
    <w:rsid w:val="07504EC1"/>
    <w:rsid w:val="07EE41F1"/>
    <w:rsid w:val="080324F7"/>
    <w:rsid w:val="082F13F4"/>
    <w:rsid w:val="08381BDD"/>
    <w:rsid w:val="083D1CD8"/>
    <w:rsid w:val="087516B5"/>
    <w:rsid w:val="08DD77D0"/>
    <w:rsid w:val="09A10A0F"/>
    <w:rsid w:val="0A1C72DC"/>
    <w:rsid w:val="0A9C103F"/>
    <w:rsid w:val="0AC37758"/>
    <w:rsid w:val="0AF25588"/>
    <w:rsid w:val="0B154457"/>
    <w:rsid w:val="0B212DFC"/>
    <w:rsid w:val="0B3E2722"/>
    <w:rsid w:val="0B91507D"/>
    <w:rsid w:val="0BBA6DAD"/>
    <w:rsid w:val="0C2543D3"/>
    <w:rsid w:val="0C27455C"/>
    <w:rsid w:val="0C610D37"/>
    <w:rsid w:val="0D0F2768"/>
    <w:rsid w:val="0D8458C4"/>
    <w:rsid w:val="0E1704E7"/>
    <w:rsid w:val="0FDD1D3C"/>
    <w:rsid w:val="102B5847"/>
    <w:rsid w:val="10B169D0"/>
    <w:rsid w:val="10B72ECD"/>
    <w:rsid w:val="10F90F82"/>
    <w:rsid w:val="111019FE"/>
    <w:rsid w:val="11627CCB"/>
    <w:rsid w:val="1283393D"/>
    <w:rsid w:val="130D3C66"/>
    <w:rsid w:val="134358DA"/>
    <w:rsid w:val="134C478E"/>
    <w:rsid w:val="13533D6F"/>
    <w:rsid w:val="13A9398F"/>
    <w:rsid w:val="13BF03CA"/>
    <w:rsid w:val="140B464A"/>
    <w:rsid w:val="143851FF"/>
    <w:rsid w:val="148B578A"/>
    <w:rsid w:val="1510485B"/>
    <w:rsid w:val="151E215B"/>
    <w:rsid w:val="15853F88"/>
    <w:rsid w:val="16157E2D"/>
    <w:rsid w:val="16393F65"/>
    <w:rsid w:val="168313B6"/>
    <w:rsid w:val="16866209"/>
    <w:rsid w:val="174727ED"/>
    <w:rsid w:val="17D66D1D"/>
    <w:rsid w:val="18F25DD8"/>
    <w:rsid w:val="1945415A"/>
    <w:rsid w:val="196C5B8A"/>
    <w:rsid w:val="199F50F2"/>
    <w:rsid w:val="19AC5F87"/>
    <w:rsid w:val="19B328DA"/>
    <w:rsid w:val="19CF7EC7"/>
    <w:rsid w:val="1A134258"/>
    <w:rsid w:val="1A27385F"/>
    <w:rsid w:val="1A396A26"/>
    <w:rsid w:val="1A3D3083"/>
    <w:rsid w:val="1AB75623"/>
    <w:rsid w:val="1B297ECA"/>
    <w:rsid w:val="1BA91321"/>
    <w:rsid w:val="1C422BD3"/>
    <w:rsid w:val="1C4C57FF"/>
    <w:rsid w:val="1C56667E"/>
    <w:rsid w:val="1C607754"/>
    <w:rsid w:val="1CA266AD"/>
    <w:rsid w:val="1CE27F12"/>
    <w:rsid w:val="1CF75746"/>
    <w:rsid w:val="1D686669"/>
    <w:rsid w:val="1DD82FFB"/>
    <w:rsid w:val="1E4F15D7"/>
    <w:rsid w:val="1E571888"/>
    <w:rsid w:val="1ECC7CDD"/>
    <w:rsid w:val="1EFA59E6"/>
    <w:rsid w:val="1FFB5111"/>
    <w:rsid w:val="20DB53A4"/>
    <w:rsid w:val="20E650B5"/>
    <w:rsid w:val="21241FDC"/>
    <w:rsid w:val="21AB2FC8"/>
    <w:rsid w:val="21F104B3"/>
    <w:rsid w:val="22552F34"/>
    <w:rsid w:val="22843E91"/>
    <w:rsid w:val="23256E5B"/>
    <w:rsid w:val="23A943F2"/>
    <w:rsid w:val="23BF77F9"/>
    <w:rsid w:val="242F7EE0"/>
    <w:rsid w:val="24A02B8C"/>
    <w:rsid w:val="253756B8"/>
    <w:rsid w:val="25BF7042"/>
    <w:rsid w:val="25C26B32"/>
    <w:rsid w:val="25E8116C"/>
    <w:rsid w:val="262B0B7B"/>
    <w:rsid w:val="26322DB0"/>
    <w:rsid w:val="263E1924"/>
    <w:rsid w:val="270D0281"/>
    <w:rsid w:val="27677991"/>
    <w:rsid w:val="27EC23B7"/>
    <w:rsid w:val="282447EB"/>
    <w:rsid w:val="28CD68E9"/>
    <w:rsid w:val="292D1901"/>
    <w:rsid w:val="2A7B2E88"/>
    <w:rsid w:val="2AAC55EE"/>
    <w:rsid w:val="2B1241D5"/>
    <w:rsid w:val="2B1E480B"/>
    <w:rsid w:val="2B3D1DC1"/>
    <w:rsid w:val="2B886128"/>
    <w:rsid w:val="2C023A0C"/>
    <w:rsid w:val="2C475F3C"/>
    <w:rsid w:val="2CEB4BC0"/>
    <w:rsid w:val="2D170DFB"/>
    <w:rsid w:val="2D6B72D5"/>
    <w:rsid w:val="2D88240F"/>
    <w:rsid w:val="2DA51213"/>
    <w:rsid w:val="2E150147"/>
    <w:rsid w:val="2E4F4001"/>
    <w:rsid w:val="2EF36F14"/>
    <w:rsid w:val="2FA17BFB"/>
    <w:rsid w:val="2FC841E5"/>
    <w:rsid w:val="2FFA56D7"/>
    <w:rsid w:val="300852DE"/>
    <w:rsid w:val="301B3177"/>
    <w:rsid w:val="303F76FD"/>
    <w:rsid w:val="31992E3D"/>
    <w:rsid w:val="31E06CBE"/>
    <w:rsid w:val="32160E27"/>
    <w:rsid w:val="32236BAB"/>
    <w:rsid w:val="3244289A"/>
    <w:rsid w:val="32B97377"/>
    <w:rsid w:val="33941B0E"/>
    <w:rsid w:val="33C91D38"/>
    <w:rsid w:val="34291934"/>
    <w:rsid w:val="348D06FD"/>
    <w:rsid w:val="34CC177B"/>
    <w:rsid w:val="34DF325D"/>
    <w:rsid w:val="362E697F"/>
    <w:rsid w:val="362F1FC2"/>
    <w:rsid w:val="37144761"/>
    <w:rsid w:val="375A6BCB"/>
    <w:rsid w:val="37AB5678"/>
    <w:rsid w:val="37C24F6B"/>
    <w:rsid w:val="37D7173E"/>
    <w:rsid w:val="37F17D73"/>
    <w:rsid w:val="382F48C6"/>
    <w:rsid w:val="38312021"/>
    <w:rsid w:val="38B817B4"/>
    <w:rsid w:val="38C05153"/>
    <w:rsid w:val="38EA7B66"/>
    <w:rsid w:val="393B4A71"/>
    <w:rsid w:val="398E34A3"/>
    <w:rsid w:val="3A1D59F5"/>
    <w:rsid w:val="3A7E52C6"/>
    <w:rsid w:val="3A8F1281"/>
    <w:rsid w:val="3A9B5E78"/>
    <w:rsid w:val="3AAC1E33"/>
    <w:rsid w:val="3AB17F7A"/>
    <w:rsid w:val="3ACA22B9"/>
    <w:rsid w:val="3B0E58C7"/>
    <w:rsid w:val="3B304812"/>
    <w:rsid w:val="3BCE7B87"/>
    <w:rsid w:val="3C033730"/>
    <w:rsid w:val="3C746980"/>
    <w:rsid w:val="3D406863"/>
    <w:rsid w:val="3DDF607B"/>
    <w:rsid w:val="3E260CC7"/>
    <w:rsid w:val="3EB968CD"/>
    <w:rsid w:val="3EF8229A"/>
    <w:rsid w:val="3F2B6962"/>
    <w:rsid w:val="3F446ADE"/>
    <w:rsid w:val="3F4563B2"/>
    <w:rsid w:val="40356427"/>
    <w:rsid w:val="40A35A86"/>
    <w:rsid w:val="40D93256"/>
    <w:rsid w:val="41540906"/>
    <w:rsid w:val="418961FE"/>
    <w:rsid w:val="41C2018E"/>
    <w:rsid w:val="42103A4A"/>
    <w:rsid w:val="42764E69"/>
    <w:rsid w:val="427D5E63"/>
    <w:rsid w:val="42D55C9F"/>
    <w:rsid w:val="434370AD"/>
    <w:rsid w:val="4416031D"/>
    <w:rsid w:val="44315157"/>
    <w:rsid w:val="44B10046"/>
    <w:rsid w:val="450811BF"/>
    <w:rsid w:val="452614AD"/>
    <w:rsid w:val="45823E47"/>
    <w:rsid w:val="45A911B8"/>
    <w:rsid w:val="46B17C96"/>
    <w:rsid w:val="46B300A5"/>
    <w:rsid w:val="46B8390E"/>
    <w:rsid w:val="471E5E67"/>
    <w:rsid w:val="47721D0E"/>
    <w:rsid w:val="47C754C6"/>
    <w:rsid w:val="47D71C0C"/>
    <w:rsid w:val="486E0FF2"/>
    <w:rsid w:val="486F44A0"/>
    <w:rsid w:val="492E6FFA"/>
    <w:rsid w:val="49636959"/>
    <w:rsid w:val="49680B13"/>
    <w:rsid w:val="49D7054F"/>
    <w:rsid w:val="49F40DE7"/>
    <w:rsid w:val="4B7B3A94"/>
    <w:rsid w:val="4BA12BC2"/>
    <w:rsid w:val="4BF93AFD"/>
    <w:rsid w:val="4C15710C"/>
    <w:rsid w:val="4C6C1422"/>
    <w:rsid w:val="4C7812B7"/>
    <w:rsid w:val="4CE2651F"/>
    <w:rsid w:val="4D0553D3"/>
    <w:rsid w:val="4D346757"/>
    <w:rsid w:val="4D3B1D7F"/>
    <w:rsid w:val="4E896D6E"/>
    <w:rsid w:val="4EDD03B5"/>
    <w:rsid w:val="50487D45"/>
    <w:rsid w:val="50F639B0"/>
    <w:rsid w:val="51121E6C"/>
    <w:rsid w:val="51202FE6"/>
    <w:rsid w:val="514C35D0"/>
    <w:rsid w:val="5176064D"/>
    <w:rsid w:val="51EB5797"/>
    <w:rsid w:val="52533F75"/>
    <w:rsid w:val="52C84ED8"/>
    <w:rsid w:val="52CA126A"/>
    <w:rsid w:val="52DB2E5E"/>
    <w:rsid w:val="530103EA"/>
    <w:rsid w:val="531445C2"/>
    <w:rsid w:val="53650979"/>
    <w:rsid w:val="53A07C03"/>
    <w:rsid w:val="54006EBD"/>
    <w:rsid w:val="540208BE"/>
    <w:rsid w:val="542425E2"/>
    <w:rsid w:val="54AC4E0D"/>
    <w:rsid w:val="54D9688C"/>
    <w:rsid w:val="550E3F9A"/>
    <w:rsid w:val="55766E6E"/>
    <w:rsid w:val="559B2D78"/>
    <w:rsid w:val="559B53B0"/>
    <w:rsid w:val="55B81234"/>
    <w:rsid w:val="55BF07EB"/>
    <w:rsid w:val="55FE01DE"/>
    <w:rsid w:val="565F3711"/>
    <w:rsid w:val="567F7FA4"/>
    <w:rsid w:val="56951575"/>
    <w:rsid w:val="56B17AF5"/>
    <w:rsid w:val="56D7393C"/>
    <w:rsid w:val="57672F12"/>
    <w:rsid w:val="57F16C7F"/>
    <w:rsid w:val="57F95B34"/>
    <w:rsid w:val="5874039B"/>
    <w:rsid w:val="58756F84"/>
    <w:rsid w:val="58E10F36"/>
    <w:rsid w:val="591075D9"/>
    <w:rsid w:val="59BA5EBD"/>
    <w:rsid w:val="59CA6C37"/>
    <w:rsid w:val="59DD51A2"/>
    <w:rsid w:val="5A241C82"/>
    <w:rsid w:val="5A2663F4"/>
    <w:rsid w:val="5A48337E"/>
    <w:rsid w:val="5A655703"/>
    <w:rsid w:val="5AC8016B"/>
    <w:rsid w:val="5ACD1DFE"/>
    <w:rsid w:val="5AE605F2"/>
    <w:rsid w:val="5B2D7FCE"/>
    <w:rsid w:val="5D0631CD"/>
    <w:rsid w:val="5D3445F3"/>
    <w:rsid w:val="5E1A49DB"/>
    <w:rsid w:val="5E4717A2"/>
    <w:rsid w:val="5E487850"/>
    <w:rsid w:val="5E4A70E9"/>
    <w:rsid w:val="5E6A778C"/>
    <w:rsid w:val="5EDB41E5"/>
    <w:rsid w:val="5F2B2A77"/>
    <w:rsid w:val="5F992080"/>
    <w:rsid w:val="5FD35B6B"/>
    <w:rsid w:val="5FDE3F8D"/>
    <w:rsid w:val="609A4358"/>
    <w:rsid w:val="61665FE8"/>
    <w:rsid w:val="61BC56D7"/>
    <w:rsid w:val="62A3501A"/>
    <w:rsid w:val="62C25F1E"/>
    <w:rsid w:val="6445282D"/>
    <w:rsid w:val="64DA7491"/>
    <w:rsid w:val="652D4363"/>
    <w:rsid w:val="65BE5407"/>
    <w:rsid w:val="65CB6AD7"/>
    <w:rsid w:val="661D2E13"/>
    <w:rsid w:val="67065B78"/>
    <w:rsid w:val="67310E46"/>
    <w:rsid w:val="674F751F"/>
    <w:rsid w:val="675D6C23"/>
    <w:rsid w:val="67D77C40"/>
    <w:rsid w:val="67DA328C"/>
    <w:rsid w:val="6881130A"/>
    <w:rsid w:val="68C06BF6"/>
    <w:rsid w:val="696B1E57"/>
    <w:rsid w:val="69E0280F"/>
    <w:rsid w:val="6A99742E"/>
    <w:rsid w:val="6AF405C0"/>
    <w:rsid w:val="6B555802"/>
    <w:rsid w:val="6CE013DA"/>
    <w:rsid w:val="6CF5724A"/>
    <w:rsid w:val="6E14501E"/>
    <w:rsid w:val="6E971ED7"/>
    <w:rsid w:val="6EB15DD3"/>
    <w:rsid w:val="6EC91D52"/>
    <w:rsid w:val="6ED07E1A"/>
    <w:rsid w:val="6EE85353"/>
    <w:rsid w:val="6EF32E85"/>
    <w:rsid w:val="6F7A7850"/>
    <w:rsid w:val="703658F5"/>
    <w:rsid w:val="703D7D6C"/>
    <w:rsid w:val="70CE05A3"/>
    <w:rsid w:val="71107D1F"/>
    <w:rsid w:val="71213CDA"/>
    <w:rsid w:val="71A50ADE"/>
    <w:rsid w:val="72927B6E"/>
    <w:rsid w:val="73DD5247"/>
    <w:rsid w:val="73EF2A80"/>
    <w:rsid w:val="742064CB"/>
    <w:rsid w:val="7476258E"/>
    <w:rsid w:val="748F01F5"/>
    <w:rsid w:val="749B7FA3"/>
    <w:rsid w:val="75357D54"/>
    <w:rsid w:val="755A5A0C"/>
    <w:rsid w:val="75C80BC8"/>
    <w:rsid w:val="762A72B5"/>
    <w:rsid w:val="762B1157"/>
    <w:rsid w:val="768F16E6"/>
    <w:rsid w:val="76AB7405"/>
    <w:rsid w:val="76AD7DBE"/>
    <w:rsid w:val="76EE4427"/>
    <w:rsid w:val="77183DD1"/>
    <w:rsid w:val="77F71C38"/>
    <w:rsid w:val="78AA314A"/>
    <w:rsid w:val="78C25DA2"/>
    <w:rsid w:val="78CD0CE6"/>
    <w:rsid w:val="792A3948"/>
    <w:rsid w:val="79D07A75"/>
    <w:rsid w:val="79FB4704"/>
    <w:rsid w:val="7A1F0A71"/>
    <w:rsid w:val="7A3A5E0C"/>
    <w:rsid w:val="7A71379F"/>
    <w:rsid w:val="7BC566B5"/>
    <w:rsid w:val="7DCB394B"/>
    <w:rsid w:val="7DCC1471"/>
    <w:rsid w:val="7E70572F"/>
    <w:rsid w:val="7E7A031E"/>
    <w:rsid w:val="7F041331"/>
    <w:rsid w:val="7F482D79"/>
    <w:rsid w:val="7F820039"/>
    <w:rsid w:val="7FDD384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00" w:lineRule="exact"/>
      <w:ind w:left="397" w:firstLine="539"/>
    </w:pPr>
    <w:rPr>
      <w:rFonts w:ascii="宋体" w:hAnsi="华文中宋"/>
      <w:sz w:val="26"/>
      <w:szCs w:val="20"/>
    </w:rPr>
  </w:style>
  <w:style w:type="paragraph" w:styleId="7">
    <w:name w:val="Normal Indent"/>
    <w:basedOn w:val="1"/>
    <w:qFormat/>
    <w:uiPriority w:val="0"/>
    <w:pPr>
      <w:ind w:firstLine="420"/>
    </w:pPr>
    <w:rPr>
      <w:szCs w:val="20"/>
    </w:rPr>
  </w:style>
  <w:style w:type="paragraph" w:styleId="8">
    <w:name w:val="Document Map"/>
    <w:basedOn w:val="1"/>
    <w:link w:val="32"/>
    <w:semiHidden/>
    <w:unhideWhenUsed/>
    <w:qFormat/>
    <w:uiPriority w:val="99"/>
    <w:rPr>
      <w:rFonts w:ascii="宋体" w:eastAsia="宋体"/>
      <w:sz w:val="18"/>
      <w:szCs w:val="18"/>
    </w:rPr>
  </w:style>
  <w:style w:type="paragraph" w:styleId="9">
    <w:name w:val="annotation text"/>
    <w:basedOn w:val="1"/>
    <w:link w:val="34"/>
    <w:semiHidden/>
    <w:unhideWhenUsed/>
    <w:qFormat/>
    <w:uiPriority w:val="99"/>
    <w:pPr>
      <w:jc w:val="left"/>
    </w:pPr>
  </w:style>
  <w:style w:type="paragraph" w:styleId="10">
    <w:name w:val="Body Text"/>
    <w:basedOn w:val="1"/>
    <w:next w:val="11"/>
    <w:qFormat/>
    <w:uiPriority w:val="0"/>
    <w:pPr>
      <w:spacing w:line="360" w:lineRule="auto"/>
    </w:pPr>
    <w:rPr>
      <w:b/>
      <w:bCs/>
      <w:sz w:val="24"/>
    </w:rPr>
  </w:style>
  <w:style w:type="paragraph" w:styleId="11">
    <w:name w:val="Body Text 2"/>
    <w:basedOn w:val="1"/>
    <w:qFormat/>
    <w:uiPriority w:val="0"/>
    <w:pPr>
      <w:spacing w:line="360" w:lineRule="auto"/>
    </w:pPr>
    <w:rPr>
      <w:sz w:val="24"/>
    </w:rPr>
  </w:style>
  <w:style w:type="paragraph" w:styleId="12">
    <w:name w:val="Body Text Indent"/>
    <w:basedOn w:val="1"/>
    <w:qFormat/>
    <w:uiPriority w:val="0"/>
    <w:pPr>
      <w:spacing w:after="120"/>
      <w:ind w:left="420" w:leftChars="200"/>
    </w:pPr>
  </w:style>
  <w:style w:type="paragraph" w:styleId="13">
    <w:name w:val="Plain Text"/>
    <w:basedOn w:val="1"/>
    <w:next w:val="1"/>
    <w:qFormat/>
    <w:uiPriority w:val="0"/>
    <w:rPr>
      <w:rFonts w:ascii="宋体" w:hAnsi="Courier New"/>
    </w:rPr>
  </w:style>
  <w:style w:type="paragraph" w:styleId="14">
    <w:name w:val="Balloon Text"/>
    <w:basedOn w:val="1"/>
    <w:link w:val="28"/>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link w:val="29"/>
    <w:qFormat/>
    <w:uiPriority w:val="99"/>
    <w:pPr>
      <w:widowControl/>
      <w:spacing w:before="100" w:beforeAutospacing="1" w:afterAutospacing="1"/>
      <w:jc w:val="left"/>
    </w:pPr>
    <w:rPr>
      <w:rFonts w:ascii="宋体" w:hAnsi="宋体"/>
      <w:sz w:val="24"/>
      <w:szCs w:val="24"/>
    </w:rPr>
  </w:style>
  <w:style w:type="paragraph" w:styleId="18">
    <w:name w:val="annotation subject"/>
    <w:basedOn w:val="9"/>
    <w:next w:val="9"/>
    <w:link w:val="36"/>
    <w:semiHidden/>
    <w:unhideWhenUsed/>
    <w:qFormat/>
    <w:uiPriority w:val="99"/>
    <w:rPr>
      <w:b/>
      <w:bCs/>
    </w:rPr>
  </w:style>
  <w:style w:type="paragraph" w:styleId="19">
    <w:name w:val="Body Text First Indent 2"/>
    <w:basedOn w:val="12"/>
    <w:qFormat/>
    <w:uiPriority w:val="0"/>
    <w:pPr>
      <w:ind w:firstLine="420" w:firstLineChars="200"/>
    </w:pPr>
    <w:rPr>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页眉 字符"/>
    <w:basedOn w:val="22"/>
    <w:link w:val="16"/>
    <w:qFormat/>
    <w:uiPriority w:val="99"/>
    <w:rPr>
      <w:sz w:val="18"/>
      <w:szCs w:val="18"/>
    </w:rPr>
  </w:style>
  <w:style w:type="character" w:customStyle="1" w:styleId="27">
    <w:name w:val="页脚 字符"/>
    <w:basedOn w:val="22"/>
    <w:link w:val="15"/>
    <w:qFormat/>
    <w:uiPriority w:val="99"/>
    <w:rPr>
      <w:sz w:val="18"/>
      <w:szCs w:val="18"/>
    </w:rPr>
  </w:style>
  <w:style w:type="character" w:customStyle="1" w:styleId="28">
    <w:name w:val="批注框文本 字符"/>
    <w:basedOn w:val="22"/>
    <w:link w:val="14"/>
    <w:semiHidden/>
    <w:qFormat/>
    <w:uiPriority w:val="99"/>
    <w:rPr>
      <w:sz w:val="18"/>
      <w:szCs w:val="18"/>
    </w:rPr>
  </w:style>
  <w:style w:type="character" w:customStyle="1" w:styleId="29">
    <w:name w:val="普通(网站) 字符"/>
    <w:link w:val="17"/>
    <w:qFormat/>
    <w:uiPriority w:val="99"/>
    <w:rPr>
      <w:rFonts w:ascii="宋体" w:hAnsi="宋体"/>
      <w:sz w:val="24"/>
      <w:szCs w:val="24"/>
    </w:rPr>
  </w:style>
  <w:style w:type="character" w:customStyle="1" w:styleId="30">
    <w:name w:val="标题 1 字符"/>
    <w:basedOn w:val="22"/>
    <w:link w:val="3"/>
    <w:qFormat/>
    <w:uiPriority w:val="0"/>
    <w:rPr>
      <w:rFonts w:ascii="Arial" w:hAnsi="Arial" w:eastAsia="宋体" w:cs="Times New Roman"/>
      <w:b/>
      <w:bCs/>
      <w:kern w:val="44"/>
      <w:sz w:val="44"/>
      <w:szCs w:val="44"/>
    </w:rPr>
  </w:style>
  <w:style w:type="paragraph" w:styleId="31">
    <w:name w:val="List Paragraph"/>
    <w:basedOn w:val="1"/>
    <w:qFormat/>
    <w:uiPriority w:val="34"/>
    <w:pPr>
      <w:ind w:firstLine="420" w:firstLineChars="200"/>
    </w:pPr>
  </w:style>
  <w:style w:type="character" w:customStyle="1" w:styleId="32">
    <w:name w:val="文档结构图 字符"/>
    <w:basedOn w:val="22"/>
    <w:link w:val="8"/>
    <w:semiHidden/>
    <w:qFormat/>
    <w:uiPriority w:val="99"/>
    <w:rPr>
      <w:rFonts w:ascii="宋体" w:eastAsia="宋体"/>
      <w:sz w:val="18"/>
      <w:szCs w:val="18"/>
    </w:rPr>
  </w:style>
  <w:style w:type="character" w:customStyle="1" w:styleId="33">
    <w:name w:val="标题 2 字符"/>
    <w:basedOn w:val="22"/>
    <w:link w:val="4"/>
    <w:semiHidden/>
    <w:qFormat/>
    <w:uiPriority w:val="9"/>
    <w:rPr>
      <w:rFonts w:asciiTheme="majorHAnsi" w:hAnsiTheme="majorHAnsi" w:eastAsiaTheme="majorEastAsia" w:cstheme="majorBidi"/>
      <w:b/>
      <w:bCs/>
      <w:sz w:val="32"/>
      <w:szCs w:val="32"/>
    </w:rPr>
  </w:style>
  <w:style w:type="character" w:customStyle="1" w:styleId="34">
    <w:name w:val="批注文字 字符"/>
    <w:basedOn w:val="22"/>
    <w:link w:val="9"/>
    <w:semiHidden/>
    <w:qFormat/>
    <w:uiPriority w:val="99"/>
  </w:style>
  <w:style w:type="character" w:customStyle="1" w:styleId="35">
    <w:name w:val="标题 3 Char"/>
    <w:qFormat/>
    <w:uiPriority w:val="0"/>
    <w:rPr>
      <w:rFonts w:ascii="黑体" w:eastAsia="黑体"/>
      <w:bCs/>
      <w:sz w:val="30"/>
    </w:rPr>
  </w:style>
  <w:style w:type="character" w:customStyle="1" w:styleId="36">
    <w:name w:val="批注主题 字符"/>
    <w:basedOn w:val="34"/>
    <w:link w:val="18"/>
    <w:semiHidden/>
    <w:qFormat/>
    <w:uiPriority w:val="99"/>
    <w:rPr>
      <w:b/>
      <w:bCs/>
      <w:kern w:val="2"/>
      <w:sz w:val="21"/>
      <w:szCs w:val="22"/>
    </w:rPr>
  </w:style>
  <w:style w:type="table" w:customStyle="1" w:styleId="37">
    <w:name w:val="网格型1"/>
    <w:basedOn w:val="20"/>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三级"/>
    <w:basedOn w:val="1"/>
    <w:qFormat/>
    <w:uiPriority w:val="0"/>
    <w:rPr>
      <w:rFonts w:ascii="宋体" w:hAnsi="宋体"/>
      <w:szCs w:val="21"/>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1785</Words>
  <Characters>1864</Characters>
  <Lines>408</Lines>
  <Paragraphs>115</Paragraphs>
  <TotalTime>32</TotalTime>
  <ScaleCrop>false</ScaleCrop>
  <LinksUpToDate>false</LinksUpToDate>
  <CharactersWithSpaces>1881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2024-11-08T04:17:00Z</dcterms:created>
  <dc:creator>win7-1</dc:creator>
  <cp:lastModifiedBy>覃普</cp:lastModifiedBy>
  <cp:lastPrinted>2021-01-15T01:17:00Z</cp:lastPrinted>
  <dcterms:modified xsi:type="dcterms:W3CDTF">2024-11-08T09:19:07Z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CFE91CA4ECE649769A50C56CCE24D2C7</vt:lpwstr>
  </property>
</Properties>
</file>