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供应商负责人或</w:t>
      </w:r>
      <w:r>
        <w:rPr>
          <w:rFonts w:hint="eastAsia"/>
          <w:b/>
          <w:color w:val="FF0000"/>
          <w:lang w:eastAsia="zh-CN"/>
        </w:rPr>
        <w:t>投标</w:t>
      </w:r>
      <w:r>
        <w:rPr>
          <w:rFonts w:hint="eastAsia"/>
          <w:b/>
          <w:color w:val="FF0000"/>
        </w:rPr>
        <w:t>授权代表签字并加盖单位公章后，扫描上传至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rFonts w:hint="default" w:eastAsiaTheme="minorEastAsia"/>
                <w:sz w:val="30"/>
                <w:szCs w:val="30"/>
                <w:lang w:val="en-US" w:eastAsia="zh-CN"/>
              </w:rPr>
            </w:pPr>
            <w:bookmarkStart w:id="136" w:name="_GoBack"/>
            <w:r>
              <w:rPr>
                <w:rFonts w:hint="eastAsia" w:ascii="宋体" w:hAnsi="宋体"/>
                <w:sz w:val="30"/>
                <w:szCs w:val="30"/>
              </w:rPr>
              <w:t>BAZXCG-2025-000</w:t>
            </w:r>
            <w:r>
              <w:rPr>
                <w:rFonts w:hint="eastAsia" w:ascii="宋体" w:hAnsi="宋体"/>
                <w:sz w:val="30"/>
                <w:szCs w:val="30"/>
                <w:lang w:val="en-US" w:eastAsia="zh-CN"/>
              </w:rPr>
              <w:t>17</w:t>
            </w:r>
            <w:bookmarkEnd w:id="136"/>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rFonts w:hint="eastAsia" w:eastAsiaTheme="minorEastAsia"/>
                <w:sz w:val="30"/>
                <w:szCs w:val="30"/>
                <w:lang w:eastAsia="zh-CN"/>
              </w:rPr>
            </w:pPr>
            <w:r>
              <w:rPr>
                <w:rFonts w:hint="eastAsia"/>
                <w:sz w:val="30"/>
                <w:szCs w:val="30"/>
                <w:lang w:eastAsia="zh-CN"/>
              </w:rPr>
              <w:t>深圳市宝安区公共卫生服务中心可吸入颗粒物切割器采购项目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F6B2346">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C7353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9662647">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2A64429">
            <w:pPr>
              <w:widowControl/>
              <w:jc w:val="center"/>
              <w:rPr>
                <w:sz w:val="28"/>
                <w:szCs w:val="28"/>
              </w:rPr>
            </w:pPr>
            <w:r>
              <w:rPr>
                <w:rFonts w:ascii="宋体" w:hAnsi="宋体" w:cs="宋体"/>
                <w:kern w:val="0"/>
                <w:sz w:val="28"/>
                <w:szCs w:val="28"/>
                <w:lang w:bidi="ar"/>
              </w:rPr>
              <w:t>内容</w:t>
            </w:r>
          </w:p>
        </w:tc>
      </w:tr>
      <w:tr w14:paraId="75AA32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1D1F70">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1557F4A">
            <w:pPr>
              <w:widowControl/>
              <w:jc w:val="left"/>
              <w:textAlignment w:val="top"/>
              <w:rPr>
                <w:szCs w:val="21"/>
              </w:rPr>
            </w:pPr>
            <w:r>
              <w:rPr>
                <w:rFonts w:hint="eastAsia"/>
                <w:lang w:val="en-US" w:eastAsia="zh-CN"/>
              </w:rPr>
              <w:t>不得</w:t>
            </w:r>
            <w:r>
              <w:rPr>
                <w:rFonts w:hint="eastAsia"/>
              </w:rPr>
              <w:t>将一个包的内容拆开投标；</w:t>
            </w:r>
          </w:p>
        </w:tc>
      </w:tr>
      <w:tr w14:paraId="3F3969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AFCA7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E6ABFCD">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55AA97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682797">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CE3D882">
            <w:pPr>
              <w:widowControl/>
              <w:jc w:val="left"/>
              <w:textAlignment w:val="top"/>
              <w:rPr>
                <w:szCs w:val="21"/>
              </w:rPr>
            </w:pPr>
            <w:r>
              <w:rPr>
                <w:rFonts w:hint="eastAsia"/>
              </w:rPr>
              <w:t>分项报价或投标总价</w:t>
            </w:r>
            <w:r>
              <w:rPr>
                <w:rFonts w:hint="eastAsia"/>
                <w:lang w:val="en-US" w:eastAsia="zh-CN"/>
              </w:rPr>
              <w:t>不得</w:t>
            </w:r>
            <w:r>
              <w:rPr>
                <w:rFonts w:hint="eastAsia"/>
              </w:rPr>
              <w:t>高于相应预算金额（或设定的预算金额下的最高限价）；</w:t>
            </w:r>
          </w:p>
        </w:tc>
      </w:tr>
      <w:tr w14:paraId="4B490C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DA8081">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C87A845">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2CA60D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0EDED7">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511E1C0">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0ED47F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1D866F">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B7444DB">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084B65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89C884">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21C29BA">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656053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D9DEF3">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F0F5576">
            <w:pPr>
              <w:widowControl/>
              <w:jc w:val="left"/>
              <w:textAlignment w:val="top"/>
              <w:rPr>
                <w:szCs w:val="21"/>
              </w:rPr>
            </w:pPr>
            <w:r>
              <w:rPr>
                <w:rFonts w:hint="eastAsia"/>
              </w:rPr>
              <w:t>投标文件存在列放位置错误，导致属于信息公开情形的没有被公开；</w:t>
            </w:r>
          </w:p>
        </w:tc>
      </w:tr>
      <w:tr w14:paraId="6319B4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5C793E">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6879C16">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79C71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277240">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A29F091">
            <w:pPr>
              <w:widowControl/>
              <w:jc w:val="left"/>
              <w:textAlignment w:val="top"/>
              <w:rPr>
                <w:szCs w:val="21"/>
              </w:rPr>
            </w:pPr>
            <w:r>
              <w:rPr>
                <w:rFonts w:hint="eastAsia"/>
              </w:rPr>
              <w:t>投标文件用不属于本公司的电子密钥或电子营业执照进行加密的；</w:t>
            </w:r>
          </w:p>
        </w:tc>
      </w:tr>
      <w:tr w14:paraId="79ED85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8C6D60">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B043CF6">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16466D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B9A90F">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BA82C54">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2B418F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867279">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4A3E15E">
            <w:pPr>
              <w:widowControl/>
              <w:jc w:val="left"/>
              <w:textAlignment w:val="top"/>
              <w:rPr>
                <w:szCs w:val="21"/>
              </w:rPr>
            </w:pPr>
            <w:r>
              <w:rPr>
                <w:rFonts w:hint="eastAsia"/>
              </w:rPr>
              <w:t>法律、法规、规章、规范性文件规定的其他情形。</w:t>
            </w:r>
          </w:p>
        </w:tc>
      </w:tr>
    </w:tbl>
    <w:p w14:paraId="38C12715">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20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26"/>
        <w:gridCol w:w="382"/>
        <w:gridCol w:w="495"/>
        <w:gridCol w:w="1185"/>
        <w:gridCol w:w="839"/>
        <w:gridCol w:w="6045"/>
        <w:gridCol w:w="132"/>
      </w:tblGrid>
      <w:tr w14:paraId="27BAB0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26" w:type="dxa"/>
          <w:tblCellSpacing w:w="0" w:type="dxa"/>
          <w:jc w:val="center"/>
        </w:trPr>
        <w:tc>
          <w:tcPr>
            <w:tcW w:w="9078" w:type="dxa"/>
            <w:gridSpan w:val="6"/>
            <w:shd w:val="clear" w:color="auto" w:fill="auto"/>
            <w:vAlign w:val="center"/>
          </w:tcPr>
          <w:p w14:paraId="562A1698">
            <w:pPr>
              <w:jc w:val="left"/>
              <w:rPr>
                <w:rFonts w:ascii="宋体"/>
                <w:b/>
                <w:bCs/>
                <w:sz w:val="24"/>
              </w:rPr>
            </w:pPr>
            <w:r>
              <w:rPr>
                <w:b/>
                <w:bCs/>
              </w:rPr>
              <w:t>评标方法：综合评分法</w:t>
            </w:r>
          </w:p>
        </w:tc>
      </w:tr>
      <w:tr w14:paraId="68E741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26" w:type="dxa"/>
          <w:tblCellSpacing w:w="0" w:type="dxa"/>
          <w:jc w:val="center"/>
        </w:trPr>
        <w:tc>
          <w:tcPr>
            <w:tcW w:w="9078" w:type="dxa"/>
            <w:gridSpan w:val="6"/>
            <w:shd w:val="clear" w:color="auto" w:fill="auto"/>
            <w:vAlign w:val="center"/>
          </w:tcPr>
          <w:p w14:paraId="2498E8E1">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69E0B6F0">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宋体" w:hAnsi="宋体"/>
              </w:rPr>
            </w:pPr>
          </w:p>
          <w:p w14:paraId="653EE458">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firstLine="420" w:firstLineChars="200"/>
              <w:jc w:val="left"/>
              <w:textAlignment w:val="auto"/>
              <w:rPr>
                <w:rFonts w:ascii="Times New Roman" w:hAnsi="Times New Roman" w:eastAsia="宋体" w:cs="Times New Roman"/>
                <w:kern w:val="2"/>
                <w:sz w:val="21"/>
                <w:szCs w:val="21"/>
                <w:lang w:val="en-US" w:eastAsia="zh-CN" w:bidi="ar-SA"/>
              </w:rPr>
            </w:pPr>
            <w:r>
              <w:rPr>
                <w:rFonts w:ascii="宋体" w:hAnsi="宋体"/>
              </w:rPr>
              <w:t>价格分计算方法：</w:t>
            </w:r>
          </w:p>
          <w:p w14:paraId="400A7048">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both"/>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04F07ACC">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both"/>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42B736F1">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both"/>
              <w:textAlignment w:val="auto"/>
              <w:rPr>
                <w:rFonts w:hint="eastAsia"/>
                <w:b/>
                <w:bCs/>
                <w:color w:val="FF0000"/>
                <w:sz w:val="21"/>
                <w:szCs w:val="21"/>
              </w:rPr>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p w14:paraId="14678568">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both"/>
              <w:textAlignment w:val="auto"/>
              <w:rPr>
                <w:rFonts w:hint="eastAsia"/>
                <w:b/>
                <w:bCs/>
                <w:color w:val="FF0000"/>
                <w:sz w:val="21"/>
                <w:szCs w:val="21"/>
              </w:rPr>
            </w:pPr>
          </w:p>
        </w:tc>
      </w:tr>
      <w:tr w14:paraId="65E545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blCellSpacing w:w="0" w:type="dxa"/>
          <w:jc w:val="center"/>
        </w:trPr>
        <w:tc>
          <w:tcPr>
            <w:tcW w:w="50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49A4E5D0">
            <w:pPr>
              <w:snapToGrid w:val="0"/>
              <w:jc w:val="center"/>
              <w:rPr>
                <w:rFonts w:hint="eastAsia" w:ascii="宋体" w:hAnsi="宋体" w:eastAsia="宋体" w:cs="宋体"/>
                <w:b/>
                <w:bCs/>
                <w:szCs w:val="21"/>
              </w:rPr>
            </w:pPr>
            <w:r>
              <w:rPr>
                <w:rFonts w:hint="eastAsia" w:ascii="宋体" w:hAnsi="宋体" w:eastAsia="宋体" w:cs="宋体"/>
                <w:b/>
                <w:bCs/>
                <w:szCs w:val="21"/>
              </w:rPr>
              <w:t>序号</w:t>
            </w:r>
          </w:p>
        </w:tc>
        <w:tc>
          <w:tcPr>
            <w:tcW w:w="251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1B0E9530">
            <w:pPr>
              <w:snapToGrid w:val="0"/>
              <w:jc w:val="center"/>
              <w:rPr>
                <w:rFonts w:hint="eastAsia" w:ascii="宋体" w:hAnsi="宋体" w:eastAsia="宋体" w:cs="宋体"/>
                <w:b/>
                <w:bCs/>
                <w:szCs w:val="21"/>
              </w:rPr>
            </w:pPr>
            <w:r>
              <w:rPr>
                <w:rFonts w:hint="eastAsia" w:ascii="宋体" w:hAnsi="宋体" w:eastAsia="宋体" w:cs="宋体"/>
                <w:b/>
                <w:bCs/>
                <w:szCs w:val="21"/>
              </w:rPr>
              <w:t>评分项</w:t>
            </w:r>
          </w:p>
        </w:tc>
        <w:tc>
          <w:tcPr>
            <w:tcW w:w="604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1E65FAD">
            <w:pPr>
              <w:snapToGrid w:val="0"/>
              <w:jc w:val="center"/>
              <w:rPr>
                <w:rFonts w:hint="eastAsia" w:ascii="宋体" w:hAnsi="宋体" w:eastAsia="宋体" w:cs="宋体"/>
                <w:b/>
                <w:bCs/>
                <w:szCs w:val="21"/>
              </w:rPr>
            </w:pPr>
            <w:r>
              <w:rPr>
                <w:rFonts w:hint="eastAsia" w:ascii="宋体" w:hAnsi="宋体" w:eastAsia="宋体" w:cs="宋体"/>
                <w:b/>
                <w:bCs/>
                <w:szCs w:val="21"/>
              </w:rPr>
              <w:t>权重（%）</w:t>
            </w:r>
          </w:p>
        </w:tc>
      </w:tr>
      <w:tr w14:paraId="6DBEB3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blCellSpacing w:w="0" w:type="dxa"/>
          <w:jc w:val="center"/>
        </w:trPr>
        <w:tc>
          <w:tcPr>
            <w:tcW w:w="508" w:type="dxa"/>
            <w:gridSpan w:val="2"/>
            <w:tcBorders>
              <w:top w:val="single" w:color="000000" w:sz="8" w:space="0"/>
              <w:left w:val="single" w:color="000000" w:sz="8" w:space="0"/>
              <w:bottom w:val="single" w:color="000000" w:sz="8" w:space="0"/>
              <w:right w:val="single" w:color="000000" w:sz="8" w:space="0"/>
            </w:tcBorders>
            <w:shd w:val="clear" w:color="auto" w:fill="FFFFFF"/>
          </w:tcPr>
          <w:p w14:paraId="31417AB5">
            <w:pPr>
              <w:snapToGrid w:val="0"/>
              <w:jc w:val="center"/>
              <w:rPr>
                <w:rFonts w:hint="eastAsia" w:ascii="宋体" w:hAnsi="宋体" w:eastAsia="宋体" w:cs="宋体"/>
                <w:b/>
                <w:bCs/>
                <w:szCs w:val="21"/>
              </w:rPr>
            </w:pPr>
            <w:r>
              <w:rPr>
                <w:rFonts w:hint="eastAsia" w:ascii="宋体" w:hAnsi="宋体" w:eastAsia="宋体" w:cs="宋体"/>
                <w:b/>
                <w:bCs/>
                <w:szCs w:val="21"/>
              </w:rPr>
              <w:t>1</w:t>
            </w:r>
          </w:p>
        </w:tc>
        <w:tc>
          <w:tcPr>
            <w:tcW w:w="2519" w:type="dxa"/>
            <w:gridSpan w:val="3"/>
            <w:tcBorders>
              <w:top w:val="single" w:color="000000" w:sz="8" w:space="0"/>
              <w:left w:val="single" w:color="000000" w:sz="8" w:space="0"/>
              <w:bottom w:val="single" w:color="000000" w:sz="8" w:space="0"/>
              <w:right w:val="single" w:color="000000" w:sz="8" w:space="0"/>
            </w:tcBorders>
            <w:shd w:val="clear" w:color="auto" w:fill="FFFFFF"/>
          </w:tcPr>
          <w:p w14:paraId="1B99B5ED">
            <w:pPr>
              <w:snapToGrid w:val="0"/>
              <w:jc w:val="center"/>
              <w:rPr>
                <w:rFonts w:hint="eastAsia" w:ascii="宋体" w:hAnsi="宋体" w:eastAsia="宋体" w:cs="宋体"/>
                <w:b/>
                <w:bCs/>
                <w:szCs w:val="21"/>
              </w:rPr>
            </w:pPr>
            <w:r>
              <w:rPr>
                <w:rFonts w:hint="eastAsia" w:ascii="宋体" w:hAnsi="宋体" w:eastAsia="宋体" w:cs="宋体"/>
                <w:b/>
                <w:bCs/>
                <w:szCs w:val="21"/>
              </w:rPr>
              <w:t>价格</w:t>
            </w:r>
          </w:p>
        </w:tc>
        <w:tc>
          <w:tcPr>
            <w:tcW w:w="6045" w:type="dxa"/>
            <w:tcBorders>
              <w:top w:val="single" w:color="000000" w:sz="8" w:space="0"/>
              <w:left w:val="single" w:color="000000" w:sz="8" w:space="0"/>
              <w:bottom w:val="single" w:color="000000" w:sz="8" w:space="0"/>
              <w:right w:val="single" w:color="000000" w:sz="8" w:space="0"/>
            </w:tcBorders>
            <w:shd w:val="clear" w:color="auto" w:fill="FFFFFF"/>
          </w:tcPr>
          <w:p w14:paraId="4AB95E42">
            <w:pPr>
              <w:snapToGrid w:val="0"/>
              <w:jc w:val="center"/>
              <w:rPr>
                <w:rFonts w:hint="eastAsia" w:ascii="宋体" w:hAnsi="宋体" w:eastAsia="宋体" w:cs="宋体"/>
                <w:b/>
                <w:bCs/>
                <w:szCs w:val="21"/>
              </w:rPr>
            </w:pPr>
            <w:r>
              <w:rPr>
                <w:rFonts w:hint="eastAsia" w:ascii="宋体" w:hAnsi="宋体" w:eastAsia="宋体" w:cs="宋体"/>
                <w:b/>
                <w:bCs/>
                <w:szCs w:val="21"/>
              </w:rPr>
              <w:t>30</w:t>
            </w:r>
          </w:p>
        </w:tc>
      </w:tr>
      <w:tr w14:paraId="6883BE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blCellSpacing w:w="0" w:type="dxa"/>
          <w:jc w:val="center"/>
        </w:trPr>
        <w:tc>
          <w:tcPr>
            <w:tcW w:w="508" w:type="dxa"/>
            <w:gridSpan w:val="2"/>
            <w:vMerge w:val="restart"/>
            <w:tcBorders>
              <w:top w:val="single" w:color="000000" w:sz="8" w:space="0"/>
              <w:left w:val="single" w:color="000000" w:sz="8" w:space="0"/>
              <w:bottom w:val="single" w:color="000000" w:sz="8" w:space="0"/>
              <w:right w:val="single" w:color="000000" w:sz="8" w:space="0"/>
            </w:tcBorders>
            <w:shd w:val="clear" w:color="auto" w:fill="FFFFFF"/>
          </w:tcPr>
          <w:p w14:paraId="7D3D1134">
            <w:pPr>
              <w:snapToGrid w:val="0"/>
              <w:jc w:val="center"/>
              <w:rPr>
                <w:rFonts w:hint="eastAsia" w:ascii="宋体" w:hAnsi="宋体" w:eastAsia="宋体" w:cs="宋体"/>
                <w:b/>
                <w:bCs/>
                <w:szCs w:val="21"/>
              </w:rPr>
            </w:pPr>
            <w:r>
              <w:rPr>
                <w:rFonts w:hint="eastAsia" w:ascii="宋体" w:hAnsi="宋体" w:eastAsia="宋体" w:cs="宋体"/>
                <w:b/>
                <w:bCs/>
                <w:szCs w:val="21"/>
              </w:rPr>
              <w:t>2</w:t>
            </w:r>
          </w:p>
        </w:tc>
        <w:tc>
          <w:tcPr>
            <w:tcW w:w="2519" w:type="dxa"/>
            <w:gridSpan w:val="3"/>
            <w:tcBorders>
              <w:top w:val="single" w:color="000000" w:sz="8" w:space="0"/>
              <w:left w:val="single" w:color="000000" w:sz="8" w:space="0"/>
              <w:bottom w:val="single" w:color="000000" w:sz="8" w:space="0"/>
              <w:right w:val="single" w:color="000000" w:sz="8" w:space="0"/>
            </w:tcBorders>
            <w:shd w:val="clear" w:color="auto" w:fill="FFFFFF"/>
          </w:tcPr>
          <w:p w14:paraId="02FC933D">
            <w:pPr>
              <w:snapToGrid w:val="0"/>
              <w:jc w:val="center"/>
              <w:rPr>
                <w:rFonts w:hint="eastAsia" w:ascii="宋体" w:hAnsi="宋体" w:eastAsia="宋体" w:cs="宋体"/>
                <w:b/>
                <w:bCs/>
                <w:szCs w:val="21"/>
              </w:rPr>
            </w:pPr>
            <w:r>
              <w:rPr>
                <w:rFonts w:hint="eastAsia" w:ascii="宋体" w:hAnsi="宋体" w:eastAsia="宋体" w:cs="宋体"/>
                <w:b/>
                <w:bCs/>
                <w:szCs w:val="21"/>
              </w:rPr>
              <w:t>技术部分</w:t>
            </w:r>
          </w:p>
        </w:tc>
        <w:tc>
          <w:tcPr>
            <w:tcW w:w="6045" w:type="dxa"/>
            <w:tcBorders>
              <w:top w:val="single" w:color="000000" w:sz="8" w:space="0"/>
              <w:left w:val="single" w:color="000000" w:sz="8" w:space="0"/>
              <w:bottom w:val="single" w:color="000000" w:sz="8" w:space="0"/>
              <w:right w:val="single" w:color="000000" w:sz="8" w:space="0"/>
            </w:tcBorders>
            <w:shd w:val="clear" w:color="auto" w:fill="FFFFFF"/>
          </w:tcPr>
          <w:p w14:paraId="42139479">
            <w:pPr>
              <w:snapToGrid w:val="0"/>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60</w:t>
            </w:r>
          </w:p>
        </w:tc>
      </w:tr>
      <w:tr w14:paraId="31EFB9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blCellSpacing w:w="0" w:type="dxa"/>
          <w:jc w:val="center"/>
        </w:trPr>
        <w:tc>
          <w:tcPr>
            <w:tcW w:w="508"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379819E">
            <w:pPr>
              <w:snapToGrid w:val="0"/>
              <w:rPr>
                <w:rFonts w:hint="eastAsia" w:ascii="宋体" w:hAnsi="宋体" w:eastAsia="宋体" w:cs="宋体"/>
                <w:b/>
                <w:bCs/>
                <w:szCs w:val="21"/>
              </w:rPr>
            </w:pPr>
          </w:p>
        </w:tc>
        <w:tc>
          <w:tcPr>
            <w:tcW w:w="495"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3D375AD8">
            <w:pPr>
              <w:snapToGrid w:val="0"/>
              <w:jc w:val="center"/>
              <w:rPr>
                <w:rFonts w:hint="eastAsia" w:ascii="宋体" w:hAnsi="宋体" w:eastAsia="宋体" w:cs="宋体"/>
                <w:szCs w:val="21"/>
              </w:rPr>
            </w:pPr>
            <w:r>
              <w:rPr>
                <w:rFonts w:hint="eastAsia" w:ascii="宋体" w:hAnsi="宋体" w:eastAsia="宋体" w:cs="宋体"/>
                <w:szCs w:val="21"/>
              </w:rPr>
              <w:t>序号</w:t>
            </w:r>
          </w:p>
        </w:tc>
        <w:tc>
          <w:tcPr>
            <w:tcW w:w="1185"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120B01A4">
            <w:pPr>
              <w:snapToGrid w:val="0"/>
              <w:jc w:val="center"/>
              <w:rPr>
                <w:rFonts w:hint="eastAsia" w:ascii="宋体" w:hAnsi="宋体" w:eastAsia="宋体" w:cs="宋体"/>
                <w:szCs w:val="21"/>
              </w:rPr>
            </w:pPr>
            <w:r>
              <w:rPr>
                <w:rFonts w:hint="eastAsia" w:ascii="宋体" w:hAnsi="宋体" w:eastAsia="宋体" w:cs="宋体"/>
                <w:szCs w:val="21"/>
              </w:rPr>
              <w:t>评分因素</w:t>
            </w:r>
          </w:p>
        </w:tc>
        <w:tc>
          <w:tcPr>
            <w:tcW w:w="839"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4796F2BC">
            <w:pPr>
              <w:snapToGrid w:val="0"/>
              <w:jc w:val="center"/>
              <w:rPr>
                <w:rFonts w:hint="eastAsia" w:ascii="宋体" w:hAnsi="宋体" w:eastAsia="宋体" w:cs="宋体"/>
                <w:szCs w:val="21"/>
              </w:rPr>
            </w:pPr>
            <w:r>
              <w:rPr>
                <w:rFonts w:hint="eastAsia" w:ascii="宋体" w:hAnsi="宋体" w:eastAsia="宋体" w:cs="宋体"/>
                <w:szCs w:val="21"/>
              </w:rPr>
              <w:t>权重</w:t>
            </w:r>
            <w:r>
              <w:rPr>
                <w:rFonts w:hint="eastAsia" w:ascii="宋体" w:hAnsi="宋体" w:eastAsia="宋体" w:cs="宋体"/>
                <w:bCs/>
                <w:szCs w:val="21"/>
              </w:rPr>
              <w:t>（%）</w:t>
            </w:r>
          </w:p>
        </w:tc>
        <w:tc>
          <w:tcPr>
            <w:tcW w:w="6045"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177B0CC8">
            <w:pPr>
              <w:snapToGrid w:val="0"/>
              <w:jc w:val="center"/>
              <w:rPr>
                <w:rFonts w:hint="eastAsia" w:ascii="宋体" w:hAnsi="宋体" w:eastAsia="宋体" w:cs="宋体"/>
                <w:szCs w:val="21"/>
              </w:rPr>
            </w:pPr>
            <w:r>
              <w:rPr>
                <w:rFonts w:hint="eastAsia" w:ascii="宋体" w:hAnsi="宋体" w:eastAsia="宋体" w:cs="宋体"/>
                <w:szCs w:val="21"/>
              </w:rPr>
              <w:t>评分准则</w:t>
            </w:r>
          </w:p>
        </w:tc>
      </w:tr>
      <w:tr w14:paraId="1855E8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blCellSpacing w:w="0" w:type="dxa"/>
          <w:jc w:val="center"/>
        </w:trPr>
        <w:tc>
          <w:tcPr>
            <w:tcW w:w="508"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6352C95">
            <w:pPr>
              <w:snapToGrid w:val="0"/>
              <w:rPr>
                <w:rFonts w:hint="eastAsia" w:ascii="宋体" w:hAnsi="宋体" w:eastAsia="宋体" w:cs="宋体"/>
                <w:b/>
                <w:bCs/>
                <w:szCs w:val="21"/>
              </w:rPr>
            </w:pPr>
          </w:p>
        </w:tc>
        <w:tc>
          <w:tcPr>
            <w:tcW w:w="49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B7EE0E5">
            <w:pPr>
              <w:snapToGrid w:val="0"/>
              <w:jc w:val="center"/>
              <w:rPr>
                <w:rFonts w:hint="eastAsia" w:ascii="宋体" w:hAnsi="宋体" w:eastAsia="宋体" w:cs="宋体"/>
                <w:szCs w:val="21"/>
              </w:rPr>
            </w:pPr>
            <w:r>
              <w:rPr>
                <w:rFonts w:hint="eastAsia" w:ascii="宋体" w:hAnsi="宋体" w:eastAsia="宋体" w:cs="宋体"/>
                <w:szCs w:val="21"/>
              </w:rPr>
              <w:t>1</w:t>
            </w:r>
          </w:p>
        </w:tc>
        <w:tc>
          <w:tcPr>
            <w:tcW w:w="118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5CA856">
            <w:pPr>
              <w:snapToGrid w:val="0"/>
              <w:jc w:val="center"/>
              <w:rPr>
                <w:rFonts w:hint="eastAsia" w:ascii="宋体" w:hAnsi="宋体" w:eastAsia="宋体" w:cs="宋体"/>
                <w:b/>
                <w:szCs w:val="21"/>
              </w:rPr>
            </w:pPr>
            <w:r>
              <w:rPr>
                <w:rFonts w:hint="eastAsia" w:ascii="宋体" w:hAnsi="宋体" w:eastAsia="宋体" w:cs="宋体"/>
                <w:bCs/>
                <w:szCs w:val="21"/>
              </w:rPr>
              <w:t>“▲”参数响应情况评价</w:t>
            </w:r>
          </w:p>
        </w:tc>
        <w:tc>
          <w:tcPr>
            <w:tcW w:w="83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4FA6DAD">
            <w:pPr>
              <w:widowControl/>
              <w:wordWrap w:val="0"/>
              <w:jc w:val="center"/>
              <w:textAlignment w:val="top"/>
              <w:rPr>
                <w:rFonts w:hint="eastAsia" w:ascii="宋体" w:hAnsi="宋体" w:eastAsia="宋体" w:cs="宋体"/>
                <w:szCs w:val="21"/>
              </w:rPr>
            </w:pPr>
            <w:r>
              <w:rPr>
                <w:rFonts w:hint="eastAsia" w:ascii="宋体" w:hAnsi="宋体" w:eastAsia="宋体" w:cs="宋体"/>
                <w:szCs w:val="21"/>
              </w:rPr>
              <w:t>20</w:t>
            </w:r>
          </w:p>
        </w:tc>
        <w:tc>
          <w:tcPr>
            <w:tcW w:w="6045" w:type="dxa"/>
            <w:tcBorders>
              <w:top w:val="single" w:color="000000" w:sz="8" w:space="0"/>
              <w:left w:val="single" w:color="000000" w:sz="8" w:space="0"/>
              <w:bottom w:val="single" w:color="000000" w:sz="8" w:space="0"/>
              <w:right w:val="single" w:color="000000" w:sz="8" w:space="0"/>
            </w:tcBorders>
            <w:shd w:val="clear" w:color="auto" w:fill="FFFFFF"/>
          </w:tcPr>
          <w:p w14:paraId="76DD46DC">
            <w:pPr>
              <w:widowControl/>
              <w:jc w:val="left"/>
              <w:rPr>
                <w:rFonts w:hint="eastAsia" w:ascii="宋体" w:hAnsi="宋体" w:eastAsia="宋体" w:cs="宋体"/>
                <w:kern w:val="0"/>
                <w:szCs w:val="21"/>
              </w:rPr>
            </w:pPr>
            <w:r>
              <w:rPr>
                <w:rFonts w:hint="eastAsia" w:ascii="宋体" w:hAnsi="宋体" w:eastAsia="宋体" w:cs="宋体"/>
                <w:kern w:val="0"/>
                <w:szCs w:val="21"/>
              </w:rPr>
              <w:t>（一）评审内容：</w:t>
            </w:r>
          </w:p>
          <w:p w14:paraId="69102E16">
            <w:pPr>
              <w:widowControl/>
              <w:jc w:val="left"/>
              <w:rPr>
                <w:rFonts w:hint="eastAsia"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eastAsia="宋体" w:cs="宋体"/>
                <w:b/>
                <w:bCs/>
                <w:kern w:val="0"/>
                <w:szCs w:val="21"/>
                <w:lang w:val="en-US" w:eastAsia="zh-CN"/>
              </w:rPr>
              <w:t>五</w:t>
            </w:r>
            <w:r>
              <w:rPr>
                <w:rFonts w:hint="eastAsia" w:ascii="宋体" w:hAnsi="宋体" w:eastAsia="宋体" w:cs="宋体"/>
                <w:b/>
                <w:bCs/>
                <w:kern w:val="0"/>
                <w:szCs w:val="21"/>
              </w:rPr>
              <w:t>、技术要求</w:t>
            </w:r>
            <w:r>
              <w:rPr>
                <w:rFonts w:hint="eastAsia" w:ascii="宋体" w:hAnsi="宋体" w:eastAsia="宋体" w:cs="宋体"/>
                <w:b/>
                <w:bCs/>
                <w:kern w:val="0"/>
                <w:szCs w:val="21"/>
                <w:lang w:val="en-US" w:eastAsia="zh-CN"/>
              </w:rPr>
              <w:t>部分</w:t>
            </w:r>
            <w:r>
              <w:rPr>
                <w:rFonts w:hint="eastAsia" w:ascii="宋体" w:hAnsi="宋体" w:eastAsia="宋体" w:cs="宋体"/>
                <w:b/>
                <w:bCs/>
                <w:kern w:val="0"/>
                <w:szCs w:val="21"/>
              </w:rPr>
              <w:t>》</w:t>
            </w:r>
            <w:r>
              <w:rPr>
                <w:rFonts w:hint="eastAsia" w:ascii="宋体" w:hAnsi="宋体" w:eastAsia="宋体" w:cs="宋体"/>
                <w:kern w:val="0"/>
                <w:szCs w:val="21"/>
              </w:rPr>
              <w:t>内容中的</w:t>
            </w:r>
            <w:r>
              <w:rPr>
                <w:rFonts w:hint="eastAsia" w:ascii="宋体" w:hAnsi="宋体" w:eastAsia="宋体" w:cs="宋体"/>
                <w:b/>
                <w:kern w:val="0"/>
                <w:szCs w:val="21"/>
              </w:rPr>
              <w:t>“▲”参数响应</w:t>
            </w:r>
            <w:r>
              <w:rPr>
                <w:rFonts w:hint="eastAsia" w:ascii="宋体" w:hAnsi="宋体" w:eastAsia="宋体" w:cs="宋体"/>
                <w:kern w:val="0"/>
                <w:szCs w:val="21"/>
              </w:rPr>
              <w:t>情况。</w:t>
            </w:r>
          </w:p>
          <w:p w14:paraId="2FD8F096">
            <w:pPr>
              <w:rPr>
                <w:rFonts w:hint="eastAsia" w:ascii="宋体" w:hAnsi="宋体" w:eastAsia="宋体" w:cs="宋体"/>
                <w:color w:val="0000FF"/>
                <w:szCs w:val="21"/>
              </w:rPr>
            </w:pPr>
            <w:r>
              <w:rPr>
                <w:rFonts w:hint="eastAsia" w:ascii="宋体" w:hAnsi="宋体" w:eastAsia="宋体" w:cs="宋体"/>
                <w:color w:val="0000FF"/>
                <w:szCs w:val="21"/>
              </w:rPr>
              <w:t>（二）评审依据：</w:t>
            </w:r>
          </w:p>
          <w:p w14:paraId="30E29539">
            <w:pPr>
              <w:snapToGrid w:val="0"/>
              <w:rPr>
                <w:rFonts w:hint="eastAsia"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以投标文件《技术要求偏离表》为评审依据，完全符合招标要求的，得100分。每1项“▲”参数不符合招标要求（或缺漏）的扣</w:t>
            </w:r>
            <w:r>
              <w:rPr>
                <w:rFonts w:hint="eastAsia" w:ascii="宋体" w:hAnsi="宋体" w:eastAsia="宋体" w:cs="宋体"/>
                <w:color w:val="0000FF"/>
                <w:kern w:val="0"/>
                <w:szCs w:val="21"/>
                <w:highlight w:val="yellow"/>
                <w:lang w:val="en-US" w:eastAsia="zh-CN"/>
              </w:rPr>
              <w:t>6</w:t>
            </w:r>
            <w:r>
              <w:rPr>
                <w:rFonts w:hint="eastAsia" w:ascii="宋体" w:hAnsi="宋体" w:eastAsia="宋体" w:cs="宋体"/>
                <w:color w:val="0000FF"/>
                <w:kern w:val="0"/>
                <w:szCs w:val="21"/>
                <w:highlight w:val="yellow"/>
              </w:rPr>
              <w:t>.</w:t>
            </w:r>
            <w:r>
              <w:rPr>
                <w:rFonts w:hint="eastAsia" w:ascii="宋体" w:hAnsi="宋体" w:eastAsia="宋体" w:cs="宋体"/>
                <w:color w:val="0000FF"/>
                <w:kern w:val="0"/>
                <w:szCs w:val="21"/>
                <w:highlight w:val="yellow"/>
                <w:lang w:val="en-US" w:eastAsia="zh-CN"/>
              </w:rPr>
              <w:t>2</w:t>
            </w:r>
            <w:r>
              <w:rPr>
                <w:rFonts w:hint="eastAsia" w:ascii="宋体" w:hAnsi="宋体" w:eastAsia="宋体" w:cs="宋体"/>
                <w:color w:val="0000FF"/>
                <w:kern w:val="0"/>
                <w:szCs w:val="21"/>
                <w:highlight w:val="yellow"/>
              </w:rPr>
              <w:t>5</w:t>
            </w:r>
            <w:r>
              <w:rPr>
                <w:rFonts w:hint="eastAsia" w:ascii="宋体" w:hAnsi="宋体" w:eastAsia="宋体" w:cs="宋体"/>
                <w:color w:val="0000FF"/>
                <w:kern w:val="0"/>
                <w:szCs w:val="21"/>
              </w:rPr>
              <w:t>分，最低得0分。</w:t>
            </w:r>
          </w:p>
        </w:tc>
      </w:tr>
      <w:tr w14:paraId="2877AA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blCellSpacing w:w="0" w:type="dxa"/>
          <w:jc w:val="center"/>
        </w:trPr>
        <w:tc>
          <w:tcPr>
            <w:tcW w:w="508"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846498E">
            <w:pPr>
              <w:snapToGrid w:val="0"/>
              <w:rPr>
                <w:rFonts w:hint="eastAsia" w:ascii="宋体" w:hAnsi="宋体" w:eastAsia="宋体" w:cs="宋体"/>
                <w:b/>
                <w:bCs/>
                <w:szCs w:val="21"/>
              </w:rPr>
            </w:pPr>
          </w:p>
        </w:tc>
        <w:tc>
          <w:tcPr>
            <w:tcW w:w="49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AFC92E0">
            <w:pPr>
              <w:snapToGrid w:val="0"/>
              <w:jc w:val="center"/>
              <w:rPr>
                <w:rFonts w:hint="eastAsia" w:ascii="宋体" w:hAnsi="宋体" w:eastAsia="宋体" w:cs="宋体"/>
                <w:szCs w:val="21"/>
              </w:rPr>
            </w:pPr>
            <w:r>
              <w:rPr>
                <w:rFonts w:hint="eastAsia" w:ascii="宋体" w:hAnsi="宋体" w:eastAsia="宋体" w:cs="宋体"/>
                <w:szCs w:val="21"/>
              </w:rPr>
              <w:t>2</w:t>
            </w:r>
          </w:p>
        </w:tc>
        <w:tc>
          <w:tcPr>
            <w:tcW w:w="118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A0CE5D2">
            <w:pPr>
              <w:snapToGrid w:val="0"/>
              <w:jc w:val="center"/>
              <w:rPr>
                <w:rFonts w:hint="eastAsia" w:ascii="宋体" w:hAnsi="宋体" w:eastAsia="宋体" w:cs="宋体"/>
                <w:szCs w:val="21"/>
              </w:rPr>
            </w:pPr>
            <w:r>
              <w:rPr>
                <w:rFonts w:hint="eastAsia" w:ascii="宋体" w:hAnsi="宋体" w:eastAsia="宋体" w:cs="宋体"/>
                <w:szCs w:val="21"/>
              </w:rPr>
              <w:t>非“</w:t>
            </w:r>
            <w:r>
              <w:rPr>
                <w:rFonts w:hint="eastAsia" w:ascii="宋体" w:hAnsi="宋体" w:eastAsia="宋体" w:cs="宋体"/>
                <w:bCs/>
                <w:szCs w:val="21"/>
              </w:rPr>
              <w:t>▲”参数</w:t>
            </w:r>
            <w:r>
              <w:rPr>
                <w:rFonts w:hint="eastAsia" w:ascii="宋体" w:hAnsi="宋体" w:eastAsia="宋体" w:cs="宋体"/>
                <w:szCs w:val="21"/>
              </w:rPr>
              <w:t>响应情况评价</w:t>
            </w:r>
          </w:p>
        </w:tc>
        <w:tc>
          <w:tcPr>
            <w:tcW w:w="83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6A87D6D">
            <w:pPr>
              <w:widowControl/>
              <w:wordWrap w:val="0"/>
              <w:jc w:val="center"/>
              <w:textAlignment w:val="top"/>
              <w:rPr>
                <w:rFonts w:hint="eastAsia" w:ascii="宋体" w:hAnsi="宋体" w:eastAsia="宋体" w:cs="宋体"/>
                <w:b/>
                <w:szCs w:val="21"/>
                <w:lang w:eastAsia="zh-CN"/>
              </w:rPr>
            </w:pPr>
            <w:r>
              <w:rPr>
                <w:rFonts w:hint="eastAsia" w:ascii="宋体" w:hAnsi="宋体" w:eastAsia="宋体" w:cs="宋体"/>
                <w:szCs w:val="21"/>
              </w:rPr>
              <w:t>1</w:t>
            </w:r>
            <w:r>
              <w:rPr>
                <w:rFonts w:hint="eastAsia" w:ascii="宋体" w:hAnsi="宋体" w:eastAsia="宋体" w:cs="宋体"/>
                <w:szCs w:val="21"/>
                <w:lang w:val="en-US" w:eastAsia="zh-CN"/>
              </w:rPr>
              <w:t>0</w:t>
            </w:r>
          </w:p>
        </w:tc>
        <w:tc>
          <w:tcPr>
            <w:tcW w:w="6045" w:type="dxa"/>
            <w:tcBorders>
              <w:top w:val="single" w:color="000000" w:sz="8" w:space="0"/>
              <w:left w:val="single" w:color="000000" w:sz="8" w:space="0"/>
              <w:bottom w:val="single" w:color="000000" w:sz="8" w:space="0"/>
              <w:right w:val="single" w:color="000000" w:sz="8" w:space="0"/>
            </w:tcBorders>
            <w:shd w:val="clear" w:color="auto" w:fill="FFFFFF"/>
          </w:tcPr>
          <w:p w14:paraId="3695FB69">
            <w:pPr>
              <w:widowControl/>
              <w:jc w:val="left"/>
              <w:rPr>
                <w:rFonts w:hint="eastAsia" w:ascii="宋体" w:hAnsi="宋体" w:eastAsia="宋体" w:cs="宋体"/>
                <w:kern w:val="0"/>
                <w:szCs w:val="21"/>
              </w:rPr>
            </w:pPr>
            <w:r>
              <w:rPr>
                <w:rFonts w:hint="eastAsia" w:ascii="宋体" w:hAnsi="宋体" w:eastAsia="宋体" w:cs="宋体"/>
                <w:kern w:val="0"/>
                <w:szCs w:val="21"/>
              </w:rPr>
              <w:t>（一）评审内容：</w:t>
            </w:r>
          </w:p>
          <w:p w14:paraId="2F4C87BE">
            <w:pPr>
              <w:widowControl/>
              <w:jc w:val="left"/>
              <w:rPr>
                <w:rFonts w:hint="eastAsia"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eastAsia="宋体" w:cs="宋体"/>
                <w:b/>
                <w:bCs/>
                <w:kern w:val="0"/>
                <w:szCs w:val="21"/>
                <w:lang w:val="en-US" w:eastAsia="zh-CN"/>
              </w:rPr>
              <w:t>五</w:t>
            </w:r>
            <w:r>
              <w:rPr>
                <w:rFonts w:hint="eastAsia" w:ascii="宋体" w:hAnsi="宋体" w:eastAsia="宋体" w:cs="宋体"/>
                <w:b/>
                <w:bCs/>
                <w:kern w:val="0"/>
                <w:szCs w:val="21"/>
              </w:rPr>
              <w:t>、技术要求</w:t>
            </w:r>
            <w:r>
              <w:rPr>
                <w:rFonts w:hint="eastAsia" w:ascii="宋体" w:hAnsi="宋体" w:eastAsia="宋体" w:cs="宋体"/>
                <w:b/>
                <w:bCs/>
                <w:kern w:val="0"/>
                <w:szCs w:val="21"/>
                <w:lang w:val="en-US" w:eastAsia="zh-CN"/>
              </w:rPr>
              <w:t>部分</w:t>
            </w:r>
            <w:r>
              <w:rPr>
                <w:rFonts w:hint="eastAsia" w:ascii="宋体" w:hAnsi="宋体" w:eastAsia="宋体" w:cs="宋体"/>
                <w:b/>
                <w:bCs/>
                <w:kern w:val="0"/>
                <w:szCs w:val="21"/>
              </w:rPr>
              <w:t>》</w:t>
            </w:r>
            <w:r>
              <w:rPr>
                <w:rFonts w:hint="eastAsia" w:ascii="宋体" w:hAnsi="宋体" w:eastAsia="宋体" w:cs="宋体"/>
                <w:kern w:val="0"/>
                <w:szCs w:val="21"/>
              </w:rPr>
              <w:t>内容中的</w:t>
            </w:r>
            <w:r>
              <w:rPr>
                <w:rFonts w:hint="eastAsia" w:ascii="宋体" w:hAnsi="宋体" w:eastAsia="宋体" w:cs="宋体"/>
                <w:b/>
                <w:kern w:val="0"/>
                <w:szCs w:val="21"/>
              </w:rPr>
              <w:t>非“▲”参数响应</w:t>
            </w:r>
            <w:r>
              <w:rPr>
                <w:rFonts w:hint="eastAsia" w:ascii="宋体" w:hAnsi="宋体" w:eastAsia="宋体" w:cs="宋体"/>
                <w:kern w:val="0"/>
                <w:szCs w:val="21"/>
              </w:rPr>
              <w:t>情况。</w:t>
            </w:r>
          </w:p>
          <w:p w14:paraId="097305F1">
            <w:pPr>
              <w:rPr>
                <w:rFonts w:hint="eastAsia" w:ascii="宋体" w:hAnsi="宋体" w:eastAsia="宋体" w:cs="宋体"/>
                <w:color w:val="0000FF"/>
                <w:szCs w:val="21"/>
              </w:rPr>
            </w:pPr>
            <w:r>
              <w:rPr>
                <w:rFonts w:hint="eastAsia" w:ascii="宋体" w:hAnsi="宋体" w:eastAsia="宋体" w:cs="宋体"/>
                <w:color w:val="0000FF"/>
                <w:szCs w:val="21"/>
              </w:rPr>
              <w:t>（二）评审依据：</w:t>
            </w:r>
          </w:p>
          <w:p w14:paraId="0D3D7FEB">
            <w:pPr>
              <w:autoSpaceDE w:val="0"/>
              <w:autoSpaceDN w:val="0"/>
              <w:adjustRightInd w:val="0"/>
              <w:jc w:val="left"/>
              <w:rPr>
                <w:rFonts w:hint="eastAsia"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以投标文件《技术要求偏离表》为评审依据，完全符合招标要求的，得100分。每1项非“▲”参数不符合招标要求（或缺漏）的扣</w:t>
            </w:r>
            <w:r>
              <w:rPr>
                <w:rFonts w:hint="eastAsia" w:ascii="宋体" w:hAnsi="宋体" w:eastAsia="宋体" w:cs="宋体"/>
                <w:color w:val="0000FF"/>
                <w:kern w:val="0"/>
                <w:szCs w:val="21"/>
                <w:highlight w:val="yellow"/>
                <w:lang w:val="en-US" w:eastAsia="zh-CN"/>
              </w:rPr>
              <w:t>2.33</w:t>
            </w:r>
            <w:r>
              <w:rPr>
                <w:rFonts w:hint="eastAsia" w:ascii="宋体" w:hAnsi="宋体" w:eastAsia="宋体" w:cs="宋体"/>
                <w:color w:val="0000FF"/>
                <w:kern w:val="0"/>
                <w:szCs w:val="21"/>
              </w:rPr>
              <w:t>分，最低得0分。</w:t>
            </w:r>
          </w:p>
        </w:tc>
      </w:tr>
      <w:tr w14:paraId="7078DA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rHeight w:val="1537" w:hRule="atLeast"/>
          <w:tblCellSpacing w:w="0" w:type="dxa"/>
          <w:jc w:val="center"/>
        </w:trPr>
        <w:tc>
          <w:tcPr>
            <w:tcW w:w="508"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940DB12">
            <w:pPr>
              <w:snapToGrid w:val="0"/>
              <w:rPr>
                <w:rFonts w:hint="eastAsia" w:ascii="宋体" w:hAnsi="宋体" w:eastAsia="宋体" w:cs="宋体"/>
                <w:b/>
                <w:bCs/>
                <w:szCs w:val="21"/>
              </w:rPr>
            </w:pPr>
          </w:p>
        </w:tc>
        <w:tc>
          <w:tcPr>
            <w:tcW w:w="49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787157A">
            <w:pPr>
              <w:snapToGrid w:val="0"/>
              <w:jc w:val="center"/>
              <w:rPr>
                <w:rFonts w:hint="eastAsia" w:ascii="宋体" w:hAnsi="宋体" w:eastAsia="宋体" w:cs="宋体"/>
                <w:szCs w:val="21"/>
              </w:rPr>
            </w:pPr>
            <w:r>
              <w:rPr>
                <w:rFonts w:hint="eastAsia" w:ascii="宋体" w:hAnsi="宋体" w:eastAsia="宋体" w:cs="宋体"/>
                <w:szCs w:val="21"/>
              </w:rPr>
              <w:t>3</w:t>
            </w:r>
          </w:p>
        </w:tc>
        <w:tc>
          <w:tcPr>
            <w:tcW w:w="118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BFA2A03">
            <w:pPr>
              <w:spacing w:line="360" w:lineRule="exact"/>
              <w:jc w:val="center"/>
              <w:rPr>
                <w:rFonts w:hint="eastAsia" w:ascii="宋体" w:hAnsi="宋体" w:eastAsia="宋体" w:cs="宋体"/>
                <w:szCs w:val="21"/>
              </w:rPr>
            </w:pPr>
            <w:r>
              <w:rPr>
                <w:rFonts w:hint="eastAsia" w:ascii="Arial" w:hAnsi="Arial"/>
                <w:szCs w:val="21"/>
              </w:rPr>
              <w:t>项目实施方案及保障措施</w:t>
            </w:r>
          </w:p>
        </w:tc>
        <w:tc>
          <w:tcPr>
            <w:tcW w:w="83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CDAFA28">
            <w:pPr>
              <w:spacing w:line="360" w:lineRule="exact"/>
              <w:jc w:val="center"/>
              <w:rPr>
                <w:rFonts w:hint="default" w:ascii="宋体" w:hAnsi="宋体" w:eastAsia="宋体" w:cs="宋体"/>
                <w:b/>
                <w:szCs w:val="21"/>
                <w:lang w:val="en-US" w:eastAsia="zh-CN"/>
              </w:rPr>
            </w:pPr>
            <w:r>
              <w:rPr>
                <w:rFonts w:hint="eastAsia" w:ascii="宋体" w:hAnsi="宋体" w:eastAsia="宋体" w:cs="宋体"/>
                <w:szCs w:val="21"/>
                <w:lang w:val="en-US" w:eastAsia="zh-CN"/>
              </w:rPr>
              <w:t>20</w:t>
            </w:r>
          </w:p>
        </w:tc>
        <w:tc>
          <w:tcPr>
            <w:tcW w:w="6045" w:type="dxa"/>
            <w:tcBorders>
              <w:top w:val="single" w:color="000000" w:sz="8" w:space="0"/>
              <w:left w:val="single" w:color="000000" w:sz="8" w:space="0"/>
              <w:bottom w:val="single" w:color="000000" w:sz="8" w:space="0"/>
              <w:right w:val="single" w:color="000000" w:sz="8" w:space="0"/>
            </w:tcBorders>
            <w:shd w:val="clear" w:color="auto" w:fill="FFFFFF"/>
          </w:tcPr>
          <w:p w14:paraId="45AF430C">
            <w:pPr>
              <w:rPr>
                <w:rFonts w:hint="eastAsia" w:ascii="宋体" w:hAnsi="宋体" w:eastAsia="宋体" w:cs="宋体"/>
                <w:szCs w:val="21"/>
                <w:highlight w:val="none"/>
              </w:rPr>
            </w:pPr>
            <w:r>
              <w:rPr>
                <w:rFonts w:hint="eastAsia" w:ascii="宋体" w:hAnsi="宋体" w:eastAsia="宋体" w:cs="宋体"/>
                <w:szCs w:val="21"/>
                <w:highlight w:val="none"/>
              </w:rPr>
              <w:t>（一）评审内容：</w:t>
            </w:r>
          </w:p>
          <w:p w14:paraId="473BBE85">
            <w:pPr>
              <w:rPr>
                <w:rFonts w:hint="eastAsia" w:ascii="宋体" w:hAnsi="宋体" w:eastAsia="宋体" w:cs="宋体"/>
                <w:bCs/>
                <w:szCs w:val="21"/>
                <w:highlight w:val="none"/>
              </w:rPr>
            </w:pPr>
            <w:r>
              <w:rPr>
                <w:rFonts w:hint="eastAsia" w:ascii="宋体" w:hAnsi="宋体" w:eastAsia="宋体" w:cs="宋体"/>
                <w:bCs/>
                <w:szCs w:val="21"/>
                <w:highlight w:val="none"/>
              </w:rPr>
              <w:t>针对投标人的方案中的以下内容进行综合评价：</w:t>
            </w:r>
          </w:p>
          <w:p w14:paraId="7925A133">
            <w:pPr>
              <w:rPr>
                <w:rFonts w:hint="eastAsia" w:ascii="宋体" w:hAnsi="宋体" w:eastAsia="宋体" w:cs="宋体"/>
                <w:b/>
                <w:bCs/>
                <w:szCs w:val="21"/>
                <w:highlight w:val="none"/>
              </w:rPr>
            </w:pPr>
            <w:r>
              <w:rPr>
                <w:rFonts w:hint="eastAsia" w:ascii="宋体" w:hAnsi="宋体" w:eastAsia="宋体" w:cs="宋体"/>
                <w:b/>
                <w:bCs/>
                <w:szCs w:val="21"/>
                <w:highlight w:val="none"/>
              </w:rPr>
              <w:t>1</w:t>
            </w: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rPr>
              <w:t>人员安排情况；</w:t>
            </w:r>
          </w:p>
          <w:p w14:paraId="4EE2A24C">
            <w:pPr>
              <w:rPr>
                <w:rFonts w:hint="eastAsia" w:ascii="宋体" w:hAnsi="宋体" w:eastAsia="宋体" w:cs="宋体"/>
                <w:b/>
                <w:bCs/>
                <w:szCs w:val="21"/>
                <w:highlight w:val="none"/>
              </w:rPr>
            </w:pPr>
            <w:r>
              <w:rPr>
                <w:rFonts w:hint="eastAsia" w:ascii="宋体" w:hAnsi="宋体" w:eastAsia="宋体" w:cs="宋体"/>
                <w:b/>
                <w:bCs/>
                <w:szCs w:val="21"/>
                <w:highlight w:val="none"/>
              </w:rPr>
              <w:t>2</w:t>
            </w: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rPr>
              <w:t xml:space="preserve">供货进度规划； </w:t>
            </w:r>
          </w:p>
          <w:p w14:paraId="6B85FE61">
            <w:pPr>
              <w:rPr>
                <w:rFonts w:hint="eastAsia" w:ascii="宋体" w:hAnsi="宋体" w:eastAsia="宋体" w:cs="宋体"/>
                <w:b/>
                <w:bCs/>
                <w:szCs w:val="21"/>
                <w:highlight w:val="none"/>
              </w:rPr>
            </w:pPr>
            <w:r>
              <w:rPr>
                <w:rFonts w:hint="eastAsia" w:ascii="宋体" w:hAnsi="宋体" w:eastAsia="宋体" w:cs="宋体"/>
                <w:b/>
                <w:bCs/>
                <w:szCs w:val="21"/>
                <w:highlight w:val="none"/>
              </w:rPr>
              <w:t>3</w:t>
            </w: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rPr>
              <w:t>设备调试进度安排；</w:t>
            </w:r>
          </w:p>
          <w:p w14:paraId="59786622">
            <w:pPr>
              <w:rPr>
                <w:rFonts w:hint="eastAsia" w:ascii="宋体" w:hAnsi="宋体" w:eastAsia="宋体" w:cs="宋体"/>
                <w:b/>
                <w:bCs/>
                <w:szCs w:val="21"/>
                <w:highlight w:val="none"/>
              </w:rPr>
            </w:pPr>
            <w:r>
              <w:rPr>
                <w:rFonts w:hint="eastAsia" w:ascii="宋体" w:hAnsi="宋体" w:eastAsia="宋体" w:cs="宋体"/>
                <w:b/>
                <w:bCs/>
                <w:szCs w:val="21"/>
                <w:highlight w:val="none"/>
              </w:rPr>
              <w:t>4</w:t>
            </w: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rPr>
              <w:t xml:space="preserve">供货安装调试中遇到问题的解决方案； </w:t>
            </w:r>
          </w:p>
          <w:p w14:paraId="7CB3FB1A">
            <w:pPr>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14:paraId="3070B1E1">
            <w:pPr>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方案满足任意一项得15分，</w:t>
            </w:r>
            <w:r>
              <w:rPr>
                <w:rFonts w:hint="eastAsia" w:ascii="宋体" w:hAnsi="宋体" w:eastAsia="宋体" w:cs="宋体"/>
                <w:b/>
                <w:bCs/>
                <w:color w:val="0000FF"/>
                <w:szCs w:val="21"/>
                <w:highlight w:val="none"/>
              </w:rPr>
              <w:t>最高得60分</w:t>
            </w:r>
            <w:r>
              <w:rPr>
                <w:rFonts w:hint="eastAsia" w:ascii="宋体" w:hAnsi="宋体" w:eastAsia="宋体" w:cs="宋体"/>
                <w:color w:val="0000FF"/>
                <w:szCs w:val="21"/>
                <w:highlight w:val="none"/>
              </w:rPr>
              <w:t>。</w:t>
            </w:r>
          </w:p>
          <w:p w14:paraId="32ABC6A1">
            <w:pPr>
              <w:rPr>
                <w:rFonts w:hint="eastAsia" w:ascii="宋体" w:hAnsi="宋体" w:eastAsia="宋体" w:cs="宋体"/>
                <w:b/>
                <w:bCs/>
                <w:color w:val="0000FF"/>
                <w:szCs w:val="21"/>
                <w:highlight w:val="none"/>
              </w:rPr>
            </w:pPr>
            <w:r>
              <w:rPr>
                <w:rFonts w:hint="eastAsia" w:ascii="宋体" w:hAnsi="宋体" w:eastAsia="宋体" w:cs="宋体"/>
                <w:b/>
                <w:bCs/>
                <w:color w:val="0000FF"/>
                <w:szCs w:val="21"/>
                <w:highlight w:val="none"/>
              </w:rPr>
              <w:t xml:space="preserve">在此基础上，对方案的合理性、可行性进行打分。 </w:t>
            </w:r>
          </w:p>
          <w:p w14:paraId="6BAADE21">
            <w:pPr>
              <w:snapToGrid w:val="0"/>
              <w:spacing w:line="260" w:lineRule="exact"/>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①方案合理、条理清晰、可操作性强的得</w:t>
            </w:r>
            <w:r>
              <w:rPr>
                <w:rFonts w:hint="eastAsia" w:ascii="宋体" w:hAnsi="宋体" w:eastAsia="宋体" w:cs="宋体"/>
                <w:color w:val="0000FF"/>
                <w:kern w:val="0"/>
                <w:szCs w:val="21"/>
                <w:highlight w:val="none"/>
                <w:lang w:val="en-US" w:eastAsia="zh-CN"/>
              </w:rPr>
              <w:t>4</w:t>
            </w:r>
            <w:r>
              <w:rPr>
                <w:rFonts w:hint="eastAsia" w:ascii="宋体" w:hAnsi="宋体" w:eastAsia="宋体" w:cs="宋体"/>
                <w:color w:val="0000FF"/>
                <w:kern w:val="0"/>
                <w:szCs w:val="21"/>
                <w:highlight w:val="none"/>
              </w:rPr>
              <w:t>0</w:t>
            </w:r>
            <w:r>
              <w:rPr>
                <w:rFonts w:hint="eastAsia" w:ascii="宋体" w:hAnsi="宋体" w:eastAsia="宋体" w:cs="宋体"/>
                <w:color w:val="0000FF"/>
                <w:kern w:val="0"/>
                <w:szCs w:val="21"/>
                <w:highlight w:val="none"/>
                <w:lang w:val="en-US" w:eastAsia="zh-CN"/>
              </w:rPr>
              <w:t>分</w:t>
            </w:r>
            <w:r>
              <w:rPr>
                <w:rFonts w:hint="eastAsia" w:ascii="宋体" w:hAnsi="宋体" w:eastAsia="宋体" w:cs="宋体"/>
                <w:color w:val="0000FF"/>
                <w:kern w:val="0"/>
                <w:szCs w:val="21"/>
                <w:highlight w:val="none"/>
              </w:rPr>
              <w:t>；</w:t>
            </w:r>
          </w:p>
          <w:p w14:paraId="55FA2CFA">
            <w:pPr>
              <w:snapToGrid w:val="0"/>
              <w:spacing w:line="260" w:lineRule="exact"/>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②方案较合理、条理较清晰、可操作性较强的得</w:t>
            </w:r>
            <w:r>
              <w:rPr>
                <w:rFonts w:hint="eastAsia" w:ascii="宋体" w:hAnsi="宋体" w:eastAsia="宋体" w:cs="宋体"/>
                <w:color w:val="0000FF"/>
                <w:kern w:val="0"/>
                <w:szCs w:val="21"/>
                <w:highlight w:val="none"/>
                <w:lang w:val="en-US" w:eastAsia="zh-CN"/>
              </w:rPr>
              <w:t>2</w:t>
            </w:r>
            <w:r>
              <w:rPr>
                <w:rFonts w:hint="eastAsia" w:ascii="宋体" w:hAnsi="宋体" w:eastAsia="宋体" w:cs="宋体"/>
                <w:color w:val="0000FF"/>
                <w:kern w:val="0"/>
                <w:szCs w:val="21"/>
                <w:highlight w:val="none"/>
              </w:rPr>
              <w:t>0</w:t>
            </w:r>
            <w:r>
              <w:rPr>
                <w:rFonts w:hint="eastAsia" w:ascii="宋体" w:hAnsi="宋体" w:eastAsia="宋体" w:cs="宋体"/>
                <w:color w:val="0000FF"/>
                <w:kern w:val="0"/>
                <w:szCs w:val="21"/>
                <w:highlight w:val="none"/>
                <w:lang w:val="en-US" w:eastAsia="zh-CN"/>
              </w:rPr>
              <w:t>分</w:t>
            </w:r>
            <w:r>
              <w:rPr>
                <w:rFonts w:hint="eastAsia" w:ascii="宋体" w:hAnsi="宋体" w:eastAsia="宋体" w:cs="宋体"/>
                <w:color w:val="0000FF"/>
                <w:kern w:val="0"/>
                <w:szCs w:val="21"/>
                <w:highlight w:val="none"/>
              </w:rPr>
              <w:t>；</w:t>
            </w:r>
          </w:p>
          <w:p w14:paraId="58C07CF8">
            <w:pPr>
              <w:snapToGrid w:val="0"/>
              <w:spacing w:line="260" w:lineRule="exact"/>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③方案一般合理、条理一般、可操作性一般的得</w:t>
            </w:r>
            <w:r>
              <w:rPr>
                <w:rFonts w:hint="eastAsia" w:ascii="宋体" w:hAnsi="宋体" w:eastAsia="宋体" w:cs="宋体"/>
                <w:color w:val="0000FF"/>
                <w:kern w:val="0"/>
                <w:szCs w:val="21"/>
                <w:highlight w:val="none"/>
                <w:lang w:val="en-US" w:eastAsia="zh-CN"/>
              </w:rPr>
              <w:t>10分</w:t>
            </w:r>
            <w:r>
              <w:rPr>
                <w:rFonts w:hint="eastAsia" w:ascii="宋体" w:hAnsi="宋体" w:eastAsia="宋体" w:cs="宋体"/>
                <w:color w:val="0000FF"/>
                <w:kern w:val="0"/>
                <w:szCs w:val="21"/>
                <w:highlight w:val="none"/>
              </w:rPr>
              <w:t>；</w:t>
            </w:r>
          </w:p>
          <w:p w14:paraId="3E8F11AD">
            <w:pPr>
              <w:snapToGrid w:val="0"/>
              <w:rPr>
                <w:rFonts w:hint="eastAsia" w:ascii="宋体" w:hAnsi="宋体" w:eastAsia="宋体" w:cs="宋体"/>
                <w:szCs w:val="21"/>
                <w:highlight w:val="none"/>
              </w:rPr>
            </w:pPr>
            <w:r>
              <w:rPr>
                <w:rFonts w:hint="eastAsia" w:ascii="宋体" w:hAnsi="宋体" w:eastAsia="宋体" w:cs="宋体"/>
                <w:color w:val="0000FF"/>
                <w:kern w:val="0"/>
                <w:szCs w:val="21"/>
                <w:highlight w:val="none"/>
              </w:rPr>
              <w:t>④方案不合理、条理不清晰、可操作性差的不得分。</w:t>
            </w:r>
          </w:p>
        </w:tc>
      </w:tr>
      <w:tr w14:paraId="2E75F1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rHeight w:val="90" w:hRule="atLeast"/>
          <w:tblCellSpacing w:w="0" w:type="dxa"/>
          <w:jc w:val="center"/>
        </w:trPr>
        <w:tc>
          <w:tcPr>
            <w:tcW w:w="508"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18AEF02">
            <w:pPr>
              <w:snapToGrid w:val="0"/>
              <w:rPr>
                <w:rFonts w:hint="eastAsia" w:ascii="宋体" w:hAnsi="宋体" w:eastAsia="宋体" w:cs="宋体"/>
                <w:b/>
                <w:bCs/>
                <w:szCs w:val="21"/>
              </w:rPr>
            </w:pPr>
          </w:p>
        </w:tc>
        <w:tc>
          <w:tcPr>
            <w:tcW w:w="49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0F8CBE0">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4</w:t>
            </w:r>
          </w:p>
        </w:tc>
        <w:tc>
          <w:tcPr>
            <w:tcW w:w="118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22D7C87">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 xml:space="preserve">售后服务方案评价 </w:t>
            </w:r>
          </w:p>
        </w:tc>
        <w:tc>
          <w:tcPr>
            <w:tcW w:w="83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0AC8717">
            <w:pPr>
              <w:snapToGrid w:val="0"/>
              <w:jc w:val="center"/>
              <w:rPr>
                <w:rFonts w:hint="default" w:ascii="宋体" w:hAnsi="宋体" w:eastAsia="宋体" w:cs="宋体"/>
                <w:b/>
                <w:szCs w:val="21"/>
                <w:highlight w:val="none"/>
                <w:lang w:val="en-US" w:eastAsia="zh-CN"/>
              </w:rPr>
            </w:pPr>
            <w:r>
              <w:rPr>
                <w:rFonts w:hint="eastAsia" w:ascii="宋体" w:hAnsi="宋体" w:eastAsia="宋体" w:cs="宋体"/>
                <w:szCs w:val="21"/>
                <w:highlight w:val="none"/>
                <w:lang w:val="en-US" w:eastAsia="zh-CN"/>
              </w:rPr>
              <w:t>10</w:t>
            </w:r>
          </w:p>
        </w:tc>
        <w:tc>
          <w:tcPr>
            <w:tcW w:w="6045" w:type="dxa"/>
            <w:tcBorders>
              <w:top w:val="single" w:color="000000" w:sz="8" w:space="0"/>
              <w:left w:val="single" w:color="000000" w:sz="8" w:space="0"/>
              <w:bottom w:val="single" w:color="000000" w:sz="8" w:space="0"/>
              <w:right w:val="single" w:color="000000" w:sz="8" w:space="0"/>
            </w:tcBorders>
            <w:shd w:val="clear" w:color="auto" w:fill="FFFFFF"/>
          </w:tcPr>
          <w:p w14:paraId="03F109ED">
            <w:pPr>
              <w:widowControl/>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（一）评审内容：</w:t>
            </w:r>
          </w:p>
          <w:p w14:paraId="3BEA6FE9">
            <w:pPr>
              <w:rPr>
                <w:rFonts w:hint="eastAsia" w:ascii="宋体" w:hAnsi="宋体" w:eastAsia="宋体" w:cs="宋体"/>
                <w:bCs/>
                <w:szCs w:val="21"/>
                <w:highlight w:val="none"/>
              </w:rPr>
            </w:pPr>
            <w:r>
              <w:rPr>
                <w:rFonts w:hint="eastAsia" w:ascii="宋体" w:hAnsi="宋体" w:eastAsia="宋体" w:cs="宋体"/>
                <w:bCs/>
                <w:szCs w:val="21"/>
                <w:highlight w:val="none"/>
              </w:rPr>
              <w:t>针对投标人的方案中的以下内容进行综合评价：</w:t>
            </w:r>
          </w:p>
          <w:p w14:paraId="519D2BA0">
            <w:pPr>
              <w:rPr>
                <w:rFonts w:hint="eastAsia" w:ascii="宋体" w:hAnsi="宋体" w:eastAsia="宋体" w:cs="宋体"/>
                <w:b/>
                <w:bCs w:val="0"/>
                <w:szCs w:val="21"/>
                <w:highlight w:val="none"/>
              </w:rPr>
            </w:pPr>
            <w:r>
              <w:rPr>
                <w:rFonts w:hint="eastAsia" w:ascii="宋体" w:hAnsi="宋体" w:eastAsia="宋体" w:cs="宋体"/>
                <w:b/>
                <w:bCs w:val="0"/>
                <w:szCs w:val="21"/>
                <w:highlight w:val="none"/>
                <w:lang w:val="en-US" w:eastAsia="zh-CN"/>
              </w:rPr>
              <w:t>1.</w:t>
            </w:r>
            <w:r>
              <w:rPr>
                <w:rFonts w:hint="eastAsia" w:ascii="宋体" w:hAnsi="宋体" w:eastAsia="宋体" w:cs="宋体"/>
                <w:b/>
                <w:bCs w:val="0"/>
                <w:szCs w:val="21"/>
                <w:highlight w:val="none"/>
              </w:rPr>
              <w:t>售后人员配备情况；</w:t>
            </w:r>
          </w:p>
          <w:p w14:paraId="18405A7C">
            <w:pPr>
              <w:rPr>
                <w:rFonts w:hint="eastAsia" w:ascii="宋体" w:hAnsi="宋体" w:eastAsia="宋体" w:cs="宋体"/>
                <w:b/>
                <w:bCs w:val="0"/>
                <w:szCs w:val="21"/>
                <w:highlight w:val="none"/>
              </w:rPr>
            </w:pPr>
            <w:r>
              <w:rPr>
                <w:rFonts w:hint="eastAsia" w:ascii="宋体" w:hAnsi="宋体" w:eastAsia="宋体" w:cs="宋体"/>
                <w:b/>
                <w:bCs w:val="0"/>
                <w:szCs w:val="21"/>
                <w:highlight w:val="none"/>
                <w:lang w:val="en-US" w:eastAsia="zh-CN"/>
              </w:rPr>
              <w:t>2.产品维护服务范围、售后响应及处理</w:t>
            </w:r>
            <w:r>
              <w:rPr>
                <w:rFonts w:hint="eastAsia" w:ascii="宋体" w:hAnsi="宋体" w:eastAsia="宋体" w:cs="宋体"/>
                <w:b/>
                <w:bCs w:val="0"/>
                <w:szCs w:val="21"/>
                <w:highlight w:val="none"/>
              </w:rPr>
              <w:t>；</w:t>
            </w:r>
          </w:p>
          <w:p w14:paraId="52018436">
            <w:pPr>
              <w:rPr>
                <w:rFonts w:hint="eastAsia" w:ascii="宋体" w:hAnsi="宋体" w:eastAsia="宋体" w:cs="宋体"/>
                <w:b/>
                <w:bCs w:val="0"/>
                <w:szCs w:val="21"/>
                <w:highlight w:val="none"/>
              </w:rPr>
            </w:pPr>
            <w:r>
              <w:rPr>
                <w:rFonts w:hint="eastAsia" w:ascii="宋体" w:hAnsi="宋体" w:eastAsia="宋体" w:cs="宋体"/>
                <w:b/>
                <w:bCs w:val="0"/>
                <w:szCs w:val="21"/>
                <w:highlight w:val="none"/>
                <w:lang w:val="en-US" w:eastAsia="zh-CN"/>
              </w:rPr>
              <w:t>3.</w:t>
            </w:r>
            <w:r>
              <w:rPr>
                <w:rFonts w:hint="eastAsia" w:ascii="宋体" w:hAnsi="宋体" w:eastAsia="宋体" w:cs="宋体"/>
                <w:b/>
                <w:bCs w:val="0"/>
                <w:szCs w:val="21"/>
                <w:highlight w:val="none"/>
              </w:rPr>
              <w:t>产品培训方案；</w:t>
            </w:r>
          </w:p>
          <w:p w14:paraId="3396AF28">
            <w:pPr>
              <w:rPr>
                <w:rFonts w:hint="eastAsia" w:ascii="宋体" w:hAnsi="宋体" w:eastAsia="宋体" w:cs="宋体"/>
                <w:szCs w:val="21"/>
                <w:highlight w:val="none"/>
              </w:rPr>
            </w:pPr>
            <w:r>
              <w:rPr>
                <w:rFonts w:hint="eastAsia" w:ascii="宋体" w:hAnsi="宋体" w:eastAsia="宋体" w:cs="宋体"/>
                <w:color w:val="0000FF"/>
                <w:szCs w:val="21"/>
                <w:highlight w:val="none"/>
              </w:rPr>
              <w:t>（二）评审依据：</w:t>
            </w:r>
          </w:p>
          <w:p w14:paraId="234120E4">
            <w:pPr>
              <w:snapToGrid w:val="0"/>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满足任意一项得20</w:t>
            </w:r>
            <w:r>
              <w:rPr>
                <w:rFonts w:hint="eastAsia" w:ascii="宋体" w:hAnsi="宋体" w:eastAsia="宋体" w:cs="宋体"/>
                <w:color w:val="0000FF"/>
                <w:szCs w:val="21"/>
                <w:highlight w:val="none"/>
                <w:lang w:val="en-US" w:eastAsia="zh-CN"/>
              </w:rPr>
              <w:t>分</w:t>
            </w:r>
            <w:r>
              <w:rPr>
                <w:rFonts w:hint="eastAsia" w:ascii="宋体" w:hAnsi="宋体" w:eastAsia="宋体" w:cs="宋体"/>
                <w:color w:val="0000FF"/>
                <w:szCs w:val="21"/>
                <w:highlight w:val="none"/>
              </w:rPr>
              <w:t>，满足任意两项得40</w:t>
            </w:r>
            <w:r>
              <w:rPr>
                <w:rFonts w:hint="eastAsia" w:ascii="宋体" w:hAnsi="宋体" w:eastAsia="宋体" w:cs="宋体"/>
                <w:color w:val="0000FF"/>
                <w:szCs w:val="21"/>
                <w:highlight w:val="none"/>
                <w:lang w:val="en-US" w:eastAsia="zh-CN"/>
              </w:rPr>
              <w:t>分</w:t>
            </w:r>
            <w:r>
              <w:rPr>
                <w:rFonts w:hint="eastAsia" w:ascii="宋体" w:hAnsi="宋体" w:eastAsia="宋体" w:cs="宋体"/>
                <w:color w:val="0000FF"/>
                <w:szCs w:val="21"/>
                <w:highlight w:val="none"/>
              </w:rPr>
              <w:t>，满足三项得60</w:t>
            </w:r>
            <w:r>
              <w:rPr>
                <w:rFonts w:hint="eastAsia" w:ascii="宋体" w:hAnsi="宋体" w:eastAsia="宋体" w:cs="宋体"/>
                <w:color w:val="0000FF"/>
                <w:szCs w:val="21"/>
                <w:highlight w:val="none"/>
                <w:lang w:val="en-US" w:eastAsia="zh-CN"/>
              </w:rPr>
              <w:t>分</w:t>
            </w:r>
            <w:r>
              <w:rPr>
                <w:rFonts w:hint="eastAsia" w:ascii="宋体" w:hAnsi="宋体" w:eastAsia="宋体" w:cs="宋体"/>
                <w:color w:val="0000FF"/>
                <w:szCs w:val="21"/>
                <w:highlight w:val="none"/>
              </w:rPr>
              <w:t>，其他情况不得分。</w:t>
            </w:r>
          </w:p>
          <w:p w14:paraId="6B119B2B">
            <w:pPr>
              <w:snapToGrid w:val="0"/>
              <w:rPr>
                <w:rFonts w:hint="eastAsia" w:ascii="宋体" w:hAnsi="宋体" w:eastAsia="宋体" w:cs="宋体"/>
                <w:b/>
                <w:bCs/>
                <w:color w:val="0000FF"/>
                <w:szCs w:val="21"/>
                <w:highlight w:val="none"/>
              </w:rPr>
            </w:pPr>
            <w:r>
              <w:rPr>
                <w:rFonts w:hint="eastAsia" w:ascii="宋体" w:hAnsi="宋体" w:eastAsia="宋体" w:cs="宋体"/>
                <w:b/>
                <w:bCs/>
                <w:color w:val="0000FF"/>
                <w:szCs w:val="21"/>
                <w:highlight w:val="none"/>
              </w:rPr>
              <w:t>在此基础上，对方案的合理性、可行性进行打分。</w:t>
            </w:r>
          </w:p>
          <w:p w14:paraId="3E260EE8">
            <w:pPr>
              <w:snapToGrid w:val="0"/>
              <w:spacing w:line="260" w:lineRule="exact"/>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①方案合理、条理清晰、可操作性强的得</w:t>
            </w:r>
            <w:r>
              <w:rPr>
                <w:rFonts w:hint="eastAsia" w:ascii="宋体" w:hAnsi="宋体" w:eastAsia="宋体" w:cs="宋体"/>
                <w:color w:val="0000FF"/>
                <w:kern w:val="0"/>
                <w:szCs w:val="21"/>
                <w:highlight w:val="none"/>
                <w:lang w:val="en-US" w:eastAsia="zh-CN"/>
              </w:rPr>
              <w:t>4</w:t>
            </w:r>
            <w:r>
              <w:rPr>
                <w:rFonts w:hint="eastAsia" w:ascii="宋体" w:hAnsi="宋体" w:eastAsia="宋体" w:cs="宋体"/>
                <w:color w:val="0000FF"/>
                <w:kern w:val="0"/>
                <w:szCs w:val="21"/>
                <w:highlight w:val="none"/>
              </w:rPr>
              <w:t>0</w:t>
            </w:r>
            <w:r>
              <w:rPr>
                <w:rFonts w:hint="eastAsia" w:ascii="宋体" w:hAnsi="宋体" w:eastAsia="宋体" w:cs="宋体"/>
                <w:color w:val="0000FF"/>
                <w:kern w:val="0"/>
                <w:szCs w:val="21"/>
                <w:highlight w:val="none"/>
                <w:lang w:val="en-US" w:eastAsia="zh-CN"/>
              </w:rPr>
              <w:t>分</w:t>
            </w:r>
            <w:r>
              <w:rPr>
                <w:rFonts w:hint="eastAsia" w:ascii="宋体" w:hAnsi="宋体" w:eastAsia="宋体" w:cs="宋体"/>
                <w:color w:val="0000FF"/>
                <w:kern w:val="0"/>
                <w:szCs w:val="21"/>
                <w:highlight w:val="none"/>
              </w:rPr>
              <w:t>；</w:t>
            </w:r>
          </w:p>
          <w:p w14:paraId="464B2A43">
            <w:pPr>
              <w:snapToGrid w:val="0"/>
              <w:spacing w:line="260" w:lineRule="exact"/>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②方案较合理、条理较清晰、可操作性较强的得</w:t>
            </w:r>
            <w:r>
              <w:rPr>
                <w:rFonts w:hint="eastAsia" w:ascii="宋体" w:hAnsi="宋体" w:eastAsia="宋体" w:cs="宋体"/>
                <w:color w:val="0000FF"/>
                <w:kern w:val="0"/>
                <w:szCs w:val="21"/>
                <w:highlight w:val="none"/>
                <w:lang w:val="en-US" w:eastAsia="zh-CN"/>
              </w:rPr>
              <w:t>2</w:t>
            </w:r>
            <w:r>
              <w:rPr>
                <w:rFonts w:hint="eastAsia" w:ascii="宋体" w:hAnsi="宋体" w:eastAsia="宋体" w:cs="宋体"/>
                <w:color w:val="0000FF"/>
                <w:kern w:val="0"/>
                <w:szCs w:val="21"/>
                <w:highlight w:val="none"/>
              </w:rPr>
              <w:t>0</w:t>
            </w:r>
            <w:r>
              <w:rPr>
                <w:rFonts w:hint="eastAsia" w:ascii="宋体" w:hAnsi="宋体" w:eastAsia="宋体" w:cs="宋体"/>
                <w:color w:val="0000FF"/>
                <w:kern w:val="0"/>
                <w:szCs w:val="21"/>
                <w:highlight w:val="none"/>
                <w:lang w:val="en-US" w:eastAsia="zh-CN"/>
              </w:rPr>
              <w:t>分</w:t>
            </w:r>
            <w:r>
              <w:rPr>
                <w:rFonts w:hint="eastAsia" w:ascii="宋体" w:hAnsi="宋体" w:eastAsia="宋体" w:cs="宋体"/>
                <w:color w:val="0000FF"/>
                <w:kern w:val="0"/>
                <w:szCs w:val="21"/>
                <w:highlight w:val="none"/>
              </w:rPr>
              <w:t>；</w:t>
            </w:r>
          </w:p>
          <w:p w14:paraId="4767147C">
            <w:pPr>
              <w:snapToGrid w:val="0"/>
              <w:spacing w:line="260" w:lineRule="exact"/>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③方案一般合理、条理一般、可操作性一般的得</w:t>
            </w:r>
            <w:r>
              <w:rPr>
                <w:rFonts w:hint="eastAsia" w:ascii="宋体" w:hAnsi="宋体" w:eastAsia="宋体" w:cs="宋体"/>
                <w:color w:val="0000FF"/>
                <w:kern w:val="0"/>
                <w:szCs w:val="21"/>
                <w:highlight w:val="none"/>
                <w:lang w:val="en-US" w:eastAsia="zh-CN"/>
              </w:rPr>
              <w:t>10分</w:t>
            </w:r>
            <w:r>
              <w:rPr>
                <w:rFonts w:hint="eastAsia" w:ascii="宋体" w:hAnsi="宋体" w:eastAsia="宋体" w:cs="宋体"/>
                <w:color w:val="0000FF"/>
                <w:kern w:val="0"/>
                <w:szCs w:val="21"/>
                <w:highlight w:val="none"/>
              </w:rPr>
              <w:t>；</w:t>
            </w:r>
          </w:p>
          <w:p w14:paraId="4954C324">
            <w:pPr>
              <w:snapToGrid w:val="0"/>
              <w:rPr>
                <w:rFonts w:hint="eastAsia" w:ascii="宋体" w:hAnsi="宋体" w:eastAsia="宋体" w:cs="宋体"/>
                <w:b/>
                <w:bCs/>
                <w:color w:val="0000FF"/>
                <w:szCs w:val="21"/>
                <w:highlight w:val="none"/>
              </w:rPr>
            </w:pPr>
            <w:r>
              <w:rPr>
                <w:rFonts w:hint="eastAsia" w:ascii="宋体" w:hAnsi="宋体" w:eastAsia="宋体" w:cs="宋体"/>
                <w:color w:val="0000FF"/>
                <w:kern w:val="0"/>
                <w:szCs w:val="21"/>
                <w:highlight w:val="none"/>
              </w:rPr>
              <w:t>④方案不合理、条理不清晰、可操作性差的不得分。</w:t>
            </w:r>
          </w:p>
        </w:tc>
      </w:tr>
      <w:tr w14:paraId="3F2589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rHeight w:val="155" w:hRule="atLeast"/>
          <w:tblCellSpacing w:w="0" w:type="dxa"/>
          <w:jc w:val="center"/>
        </w:trPr>
        <w:tc>
          <w:tcPr>
            <w:tcW w:w="508" w:type="dxa"/>
            <w:gridSpan w:val="2"/>
            <w:vMerge w:val="restart"/>
            <w:tcBorders>
              <w:top w:val="single" w:color="000000" w:sz="8" w:space="0"/>
              <w:left w:val="single" w:color="000000" w:sz="8" w:space="0"/>
              <w:right w:val="single" w:color="000000" w:sz="8" w:space="0"/>
            </w:tcBorders>
            <w:shd w:val="clear" w:color="auto" w:fill="FFFFFF"/>
          </w:tcPr>
          <w:p w14:paraId="5C3549A0">
            <w:pPr>
              <w:snapToGrid w:val="0"/>
              <w:jc w:val="center"/>
              <w:rPr>
                <w:rFonts w:hint="eastAsia" w:ascii="宋体" w:hAnsi="宋体" w:eastAsia="宋体" w:cs="宋体"/>
                <w:b/>
                <w:bCs/>
                <w:szCs w:val="21"/>
              </w:rPr>
            </w:pPr>
            <w:r>
              <w:rPr>
                <w:rFonts w:hint="eastAsia" w:ascii="宋体" w:hAnsi="宋体" w:eastAsia="宋体" w:cs="宋体"/>
                <w:b/>
                <w:bCs/>
                <w:szCs w:val="21"/>
              </w:rPr>
              <w:t>3</w:t>
            </w:r>
          </w:p>
        </w:tc>
        <w:tc>
          <w:tcPr>
            <w:tcW w:w="251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44EB3292">
            <w:pPr>
              <w:snapToGrid w:val="0"/>
              <w:jc w:val="center"/>
              <w:rPr>
                <w:rFonts w:hint="eastAsia" w:ascii="宋体" w:hAnsi="宋体" w:eastAsia="宋体" w:cs="宋体"/>
                <w:szCs w:val="21"/>
              </w:rPr>
            </w:pPr>
            <w:r>
              <w:rPr>
                <w:rFonts w:hint="eastAsia" w:ascii="宋体" w:hAnsi="宋体" w:eastAsia="宋体" w:cs="宋体"/>
                <w:b/>
                <w:bCs/>
                <w:szCs w:val="21"/>
              </w:rPr>
              <w:t>商务部分</w:t>
            </w:r>
          </w:p>
        </w:tc>
        <w:tc>
          <w:tcPr>
            <w:tcW w:w="6045" w:type="dxa"/>
            <w:tcBorders>
              <w:top w:val="single" w:color="000000" w:sz="8" w:space="0"/>
              <w:left w:val="single" w:color="000000" w:sz="8" w:space="0"/>
              <w:bottom w:val="single" w:color="000000" w:sz="8" w:space="0"/>
              <w:right w:val="single" w:color="000000" w:sz="8" w:space="0"/>
            </w:tcBorders>
            <w:shd w:val="clear" w:color="auto" w:fill="FFFFFF"/>
          </w:tcPr>
          <w:p w14:paraId="2C7A9A42">
            <w:pPr>
              <w:snapToGrid w:val="0"/>
              <w:jc w:val="center"/>
              <w:rPr>
                <w:rFonts w:hint="default" w:ascii="宋体" w:hAnsi="宋体" w:eastAsia="宋体" w:cs="宋体"/>
                <w:szCs w:val="21"/>
                <w:lang w:val="en-US" w:eastAsia="zh-CN"/>
              </w:rPr>
            </w:pPr>
            <w:r>
              <w:rPr>
                <w:rFonts w:hint="eastAsia" w:ascii="宋体" w:hAnsi="宋体" w:eastAsia="宋体" w:cs="宋体"/>
                <w:b/>
                <w:bCs/>
                <w:szCs w:val="21"/>
                <w:lang w:val="en-US" w:eastAsia="zh-CN"/>
              </w:rPr>
              <w:t>5</w:t>
            </w:r>
          </w:p>
        </w:tc>
      </w:tr>
      <w:tr w14:paraId="236F3E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blCellSpacing w:w="0" w:type="dxa"/>
          <w:jc w:val="center"/>
        </w:trPr>
        <w:tc>
          <w:tcPr>
            <w:tcW w:w="508" w:type="dxa"/>
            <w:gridSpan w:val="2"/>
            <w:vMerge w:val="continue"/>
            <w:tcBorders>
              <w:left w:val="single" w:color="000000" w:sz="8" w:space="0"/>
              <w:right w:val="single" w:color="000000" w:sz="8" w:space="0"/>
            </w:tcBorders>
            <w:shd w:val="clear" w:color="auto" w:fill="FFFFFF"/>
            <w:vAlign w:val="center"/>
          </w:tcPr>
          <w:p w14:paraId="03CCC512">
            <w:pPr>
              <w:snapToGrid w:val="0"/>
              <w:rPr>
                <w:rFonts w:hint="eastAsia" w:ascii="宋体" w:hAnsi="宋体" w:eastAsia="宋体" w:cs="宋体"/>
                <w:b/>
                <w:bCs/>
                <w:szCs w:val="21"/>
              </w:rPr>
            </w:pPr>
          </w:p>
        </w:tc>
        <w:tc>
          <w:tcPr>
            <w:tcW w:w="49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5137790">
            <w:pPr>
              <w:snapToGrid w:val="0"/>
              <w:jc w:val="center"/>
              <w:rPr>
                <w:rFonts w:hint="eastAsia" w:ascii="宋体" w:hAnsi="宋体" w:eastAsia="宋体" w:cs="宋体"/>
                <w:szCs w:val="21"/>
              </w:rPr>
            </w:pPr>
            <w:r>
              <w:rPr>
                <w:rFonts w:hint="eastAsia" w:ascii="宋体" w:hAnsi="宋体" w:eastAsia="宋体" w:cs="宋体"/>
                <w:szCs w:val="21"/>
              </w:rPr>
              <w:t>序号</w:t>
            </w:r>
          </w:p>
        </w:tc>
        <w:tc>
          <w:tcPr>
            <w:tcW w:w="118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6004897">
            <w:pPr>
              <w:snapToGrid w:val="0"/>
              <w:jc w:val="center"/>
              <w:rPr>
                <w:rFonts w:hint="eastAsia" w:ascii="宋体" w:hAnsi="宋体" w:eastAsia="宋体" w:cs="宋体"/>
                <w:szCs w:val="21"/>
              </w:rPr>
            </w:pPr>
            <w:r>
              <w:rPr>
                <w:rFonts w:hint="eastAsia" w:ascii="宋体" w:hAnsi="宋体" w:eastAsia="宋体" w:cs="宋体"/>
                <w:szCs w:val="21"/>
              </w:rPr>
              <w:t>评分因素</w:t>
            </w:r>
          </w:p>
        </w:tc>
        <w:tc>
          <w:tcPr>
            <w:tcW w:w="83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7DD11A5">
            <w:pPr>
              <w:snapToGrid w:val="0"/>
              <w:jc w:val="center"/>
              <w:rPr>
                <w:rFonts w:hint="eastAsia" w:ascii="宋体" w:hAnsi="宋体" w:eastAsia="宋体" w:cs="宋体"/>
                <w:szCs w:val="21"/>
              </w:rPr>
            </w:pPr>
            <w:r>
              <w:rPr>
                <w:rFonts w:hint="eastAsia" w:ascii="宋体" w:hAnsi="宋体" w:eastAsia="宋体" w:cs="宋体"/>
                <w:szCs w:val="21"/>
              </w:rPr>
              <w:t>权重</w:t>
            </w:r>
            <w:r>
              <w:rPr>
                <w:rFonts w:hint="eastAsia" w:ascii="宋体" w:hAnsi="宋体" w:eastAsia="宋体" w:cs="宋体"/>
                <w:bCs/>
                <w:szCs w:val="21"/>
              </w:rPr>
              <w:t>（%）</w:t>
            </w:r>
          </w:p>
        </w:tc>
        <w:tc>
          <w:tcPr>
            <w:tcW w:w="604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9DA1EC0">
            <w:pPr>
              <w:snapToGrid w:val="0"/>
              <w:jc w:val="center"/>
              <w:rPr>
                <w:rFonts w:hint="eastAsia" w:ascii="宋体" w:hAnsi="宋体" w:eastAsia="宋体" w:cs="宋体"/>
                <w:szCs w:val="21"/>
              </w:rPr>
            </w:pPr>
            <w:r>
              <w:rPr>
                <w:rFonts w:hint="eastAsia" w:ascii="宋体" w:hAnsi="宋体" w:eastAsia="宋体" w:cs="宋体"/>
                <w:szCs w:val="21"/>
              </w:rPr>
              <w:t>评分准则</w:t>
            </w:r>
          </w:p>
        </w:tc>
      </w:tr>
      <w:tr w14:paraId="062023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blCellSpacing w:w="0" w:type="dxa"/>
          <w:jc w:val="center"/>
        </w:trPr>
        <w:tc>
          <w:tcPr>
            <w:tcW w:w="508" w:type="dxa"/>
            <w:gridSpan w:val="2"/>
            <w:vMerge w:val="continue"/>
            <w:tcBorders>
              <w:left w:val="single" w:color="000000" w:sz="8" w:space="0"/>
              <w:bottom w:val="single" w:color="000000" w:sz="8" w:space="0"/>
              <w:right w:val="single" w:color="000000" w:sz="8" w:space="0"/>
            </w:tcBorders>
            <w:shd w:val="clear" w:color="auto" w:fill="FFFFFF"/>
            <w:vAlign w:val="center"/>
          </w:tcPr>
          <w:p w14:paraId="23B7C746">
            <w:pPr>
              <w:snapToGrid w:val="0"/>
              <w:rPr>
                <w:rFonts w:hint="eastAsia" w:ascii="宋体" w:hAnsi="宋体" w:eastAsia="宋体" w:cs="宋体"/>
                <w:b/>
                <w:bCs/>
                <w:szCs w:val="21"/>
              </w:rPr>
            </w:pPr>
          </w:p>
        </w:tc>
        <w:tc>
          <w:tcPr>
            <w:tcW w:w="49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35935B3">
            <w:pPr>
              <w:snapToGrid w:val="0"/>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118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06501FC">
            <w:pPr>
              <w:snapToGrid w:val="0"/>
              <w:spacing w:after="60" w:line="260" w:lineRule="exact"/>
              <w:jc w:val="center"/>
              <w:rPr>
                <w:rFonts w:hint="default" w:ascii="宋体" w:hAnsi="宋体" w:cs="宋体" w:eastAsiaTheme="minorEastAsia"/>
                <w:szCs w:val="21"/>
                <w:highlight w:val="none"/>
                <w:lang w:val="en-US" w:eastAsia="zh-CN"/>
              </w:rPr>
            </w:pPr>
            <w:r>
              <w:rPr>
                <w:rFonts w:hint="eastAsia" w:ascii="宋体" w:hAnsi="宋体" w:cs="宋体"/>
                <w:kern w:val="0"/>
                <w:szCs w:val="21"/>
              </w:rPr>
              <w:t>同类</w:t>
            </w:r>
            <w:r>
              <w:rPr>
                <w:rFonts w:hint="eastAsia" w:ascii="宋体" w:hAnsi="宋体" w:cs="宋体"/>
                <w:kern w:val="0"/>
                <w:szCs w:val="21"/>
                <w:lang w:val="en-US" w:eastAsia="zh-CN"/>
              </w:rPr>
              <w:t>项目</w:t>
            </w:r>
            <w:r>
              <w:rPr>
                <w:rFonts w:hint="eastAsia" w:ascii="宋体" w:hAnsi="宋体" w:cs="宋体"/>
                <w:kern w:val="0"/>
                <w:szCs w:val="21"/>
              </w:rPr>
              <w:t>业绩</w:t>
            </w:r>
            <w:r>
              <w:rPr>
                <w:rFonts w:hint="eastAsia" w:ascii="宋体" w:hAnsi="宋体" w:cs="宋体"/>
                <w:kern w:val="0"/>
                <w:szCs w:val="21"/>
                <w:lang w:val="en-US" w:eastAsia="zh-CN"/>
              </w:rPr>
              <w:t>评价</w:t>
            </w:r>
          </w:p>
        </w:tc>
        <w:tc>
          <w:tcPr>
            <w:tcW w:w="83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44E6298">
            <w:pPr>
              <w:snapToGrid w:val="0"/>
              <w:spacing w:line="32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6045" w:type="dxa"/>
            <w:tcBorders>
              <w:top w:val="single" w:color="000000" w:sz="8" w:space="0"/>
              <w:left w:val="single" w:color="000000" w:sz="8" w:space="0"/>
              <w:bottom w:val="single" w:color="000000" w:sz="8" w:space="0"/>
              <w:right w:val="single" w:color="000000" w:sz="8" w:space="0"/>
            </w:tcBorders>
            <w:shd w:val="clear" w:color="auto" w:fill="FFFFFF"/>
            <w:vAlign w:val="top"/>
          </w:tcPr>
          <w:p w14:paraId="2F2B7F4F">
            <w:pPr>
              <w:spacing w:line="260" w:lineRule="exact"/>
              <w:rPr>
                <w:rStyle w:val="38"/>
                <w:rFonts w:hint="default"/>
                <w:b/>
                <w:bCs/>
                <w:color w:val="auto"/>
                <w:sz w:val="21"/>
                <w:szCs w:val="21"/>
              </w:rPr>
            </w:pPr>
            <w:r>
              <w:rPr>
                <w:rStyle w:val="38"/>
                <w:rFonts w:hint="default"/>
                <w:b/>
                <w:bCs/>
                <w:color w:val="auto"/>
                <w:sz w:val="21"/>
                <w:szCs w:val="21"/>
              </w:rPr>
              <w:t>一、评审内容：</w:t>
            </w:r>
          </w:p>
          <w:p w14:paraId="0D73CEDD">
            <w:pPr>
              <w:snapToGrid w:val="0"/>
              <w:spacing w:line="260" w:lineRule="exact"/>
              <w:rPr>
                <w:rFonts w:ascii="宋体" w:hAnsi="宋体" w:cs="宋体"/>
                <w:szCs w:val="21"/>
              </w:rPr>
            </w:pPr>
            <w:r>
              <w:rPr>
                <w:rFonts w:hint="eastAsia" w:ascii="宋体" w:hAnsi="宋体" w:cs="宋体"/>
                <w:szCs w:val="21"/>
              </w:rPr>
              <w:t>自2021年9月1日以来（</w:t>
            </w:r>
            <w:r>
              <w:rPr>
                <w:rStyle w:val="38"/>
                <w:rFonts w:hint="default"/>
                <w:color w:val="auto"/>
                <w:sz w:val="21"/>
                <w:szCs w:val="21"/>
              </w:rPr>
              <w:t>以合同签署日期为准</w:t>
            </w:r>
            <w:r>
              <w:rPr>
                <w:rFonts w:hint="eastAsia" w:ascii="宋体" w:hAnsi="宋体" w:cs="宋体"/>
                <w:szCs w:val="21"/>
              </w:rPr>
              <w:t>），</w:t>
            </w:r>
            <w:r>
              <w:rPr>
                <w:rFonts w:hint="eastAsia" w:ascii="宋体" w:hAnsi="宋体" w:cs="宋体"/>
                <w:szCs w:val="21"/>
                <w:lang w:val="en-US" w:eastAsia="zh-CN"/>
              </w:rPr>
              <w:t>投标人</w:t>
            </w:r>
            <w:r>
              <w:rPr>
                <w:rFonts w:hint="eastAsia" w:ascii="宋体" w:hAnsi="宋体" w:cs="宋体"/>
                <w:szCs w:val="21"/>
              </w:rPr>
              <w:t>具有</w:t>
            </w:r>
            <w:r>
              <w:rPr>
                <w:rFonts w:hint="eastAsia"/>
              </w:rPr>
              <w:t>空气采样切割器</w:t>
            </w:r>
            <w:r>
              <w:rPr>
                <w:rFonts w:hint="eastAsia"/>
                <w:lang w:val="en-US" w:eastAsia="zh-CN"/>
              </w:rPr>
              <w:t>设备供货或销售</w:t>
            </w:r>
            <w:r>
              <w:rPr>
                <w:rStyle w:val="38"/>
                <w:rFonts w:hint="default"/>
                <w:color w:val="auto"/>
                <w:sz w:val="21"/>
                <w:szCs w:val="21"/>
              </w:rPr>
              <w:t>业绩</w:t>
            </w:r>
            <w:r>
              <w:rPr>
                <w:rFonts w:ascii="宋体" w:hAnsi="宋体" w:cs="宋体"/>
                <w:szCs w:val="21"/>
              </w:rPr>
              <w:t>的，每提供</w:t>
            </w:r>
            <w:r>
              <w:rPr>
                <w:rStyle w:val="38"/>
                <w:rFonts w:hint="default"/>
                <w:color w:val="auto"/>
                <w:sz w:val="21"/>
                <w:szCs w:val="21"/>
              </w:rPr>
              <w:t>一项得20</w:t>
            </w:r>
            <w:r>
              <w:rPr>
                <w:rStyle w:val="38"/>
                <w:rFonts w:hint="eastAsia" w:eastAsia="宋体"/>
                <w:color w:val="auto"/>
                <w:sz w:val="21"/>
                <w:szCs w:val="21"/>
                <w:lang w:val="en-US" w:eastAsia="zh-CN"/>
              </w:rPr>
              <w:t>分</w:t>
            </w:r>
            <w:r>
              <w:rPr>
                <w:rStyle w:val="38"/>
                <w:rFonts w:hint="default"/>
                <w:color w:val="auto"/>
                <w:sz w:val="21"/>
                <w:szCs w:val="21"/>
              </w:rPr>
              <w:t>，本项最高得100</w:t>
            </w:r>
            <w:r>
              <w:rPr>
                <w:rStyle w:val="38"/>
                <w:rFonts w:hint="eastAsia" w:eastAsia="宋体"/>
                <w:color w:val="auto"/>
                <w:sz w:val="21"/>
                <w:szCs w:val="21"/>
                <w:lang w:val="en-US" w:eastAsia="zh-CN"/>
              </w:rPr>
              <w:t>分</w:t>
            </w:r>
            <w:r>
              <w:rPr>
                <w:rFonts w:hint="eastAsia" w:ascii="宋体" w:hAnsi="宋体" w:cs="宋体"/>
                <w:szCs w:val="21"/>
              </w:rPr>
              <w:t>。</w:t>
            </w:r>
          </w:p>
          <w:p w14:paraId="4CC344D4">
            <w:pPr>
              <w:snapToGrid w:val="0"/>
              <w:rPr>
                <w:rFonts w:hint="default" w:ascii="宋体" w:hAnsi="宋体" w:eastAsia="宋体" w:cs="宋体"/>
                <w:color w:val="0000FF"/>
                <w:szCs w:val="21"/>
                <w:highlight w:val="none"/>
              </w:rPr>
            </w:pPr>
            <w:r>
              <w:rPr>
                <w:rFonts w:hint="default" w:ascii="宋体" w:hAnsi="宋体" w:eastAsia="宋体" w:cs="宋体"/>
                <w:color w:val="0000FF"/>
                <w:szCs w:val="21"/>
                <w:highlight w:val="none"/>
              </w:rPr>
              <w:t>二、评审依据：</w:t>
            </w:r>
          </w:p>
          <w:p w14:paraId="62224A2F">
            <w:pPr>
              <w:snapToGrid w:val="0"/>
              <w:rPr>
                <w:rFonts w:hint="eastAsia" w:ascii="宋体" w:hAnsi="宋体" w:cs="宋体"/>
                <w:color w:val="0000FF"/>
                <w:szCs w:val="21"/>
                <w:highlight w:val="none"/>
              </w:rPr>
            </w:pPr>
            <w:r>
              <w:rPr>
                <w:rFonts w:hint="eastAsia" w:ascii="宋体" w:hAnsi="宋体" w:cs="宋体"/>
                <w:color w:val="0000FF"/>
                <w:szCs w:val="21"/>
                <w:highlight w:val="none"/>
              </w:rPr>
              <w:t>1、同时提供经验项目合同关键页（含签订合同双方的单位名称、合同项目名称、项目金额与含签订合同双方的落款盖章、签订日期等）扫描件；</w:t>
            </w:r>
          </w:p>
          <w:p w14:paraId="1FE08044">
            <w:pPr>
              <w:snapToGrid w:val="0"/>
              <w:rPr>
                <w:rFonts w:hint="eastAsia" w:ascii="宋体" w:hAnsi="宋体" w:eastAsia="宋体" w:cs="宋体"/>
                <w:color w:val="0000FF"/>
                <w:kern w:val="0"/>
                <w:szCs w:val="21"/>
                <w:lang w:bidi="ar"/>
              </w:rPr>
            </w:pPr>
            <w:r>
              <w:rPr>
                <w:rFonts w:hint="eastAsia" w:ascii="宋体" w:hAnsi="宋体" w:eastAsia="宋体" w:cs="宋体"/>
                <w:color w:val="0000FF"/>
                <w:szCs w:val="21"/>
                <w:highlight w:val="none"/>
              </w:rPr>
              <w:t>2.</w:t>
            </w:r>
            <w:r>
              <w:rPr>
                <w:rFonts w:hint="eastAsia" w:ascii="宋体" w:hAnsi="宋体" w:cs="宋体"/>
                <w:color w:val="0000FF"/>
                <w:szCs w:val="21"/>
                <w:highlight w:val="none"/>
              </w:rPr>
              <w:t>未按要求提供证明材料（或证明材料无法判断是否符合评分要求）的不得分，原件备查</w:t>
            </w:r>
            <w:r>
              <w:rPr>
                <w:rFonts w:hint="eastAsia" w:ascii="宋体" w:hAnsi="宋体" w:cs="宋体"/>
                <w:color w:val="0000FF"/>
                <w:szCs w:val="21"/>
                <w:highlight w:val="none"/>
                <w:lang w:val="zh-CN"/>
              </w:rPr>
              <w:t>。</w:t>
            </w:r>
          </w:p>
        </w:tc>
      </w:tr>
      <w:tr w14:paraId="4A1EF8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blCellSpacing w:w="0" w:type="dxa"/>
          <w:jc w:val="center"/>
        </w:trPr>
        <w:tc>
          <w:tcPr>
            <w:tcW w:w="508" w:type="dxa"/>
            <w:gridSpan w:val="2"/>
            <w:vMerge w:val="restart"/>
            <w:tcBorders>
              <w:top w:val="single" w:color="000000" w:sz="8" w:space="0"/>
              <w:left w:val="single" w:color="000000" w:sz="8" w:space="0"/>
              <w:bottom w:val="single" w:color="000000" w:sz="8" w:space="0"/>
              <w:right w:val="single" w:color="000000" w:sz="8" w:space="0"/>
            </w:tcBorders>
            <w:shd w:val="clear" w:color="auto" w:fill="FFFFFF"/>
          </w:tcPr>
          <w:p w14:paraId="554CC3F9">
            <w:pPr>
              <w:snapToGrid w:val="0"/>
              <w:jc w:val="center"/>
              <w:rPr>
                <w:rFonts w:hint="eastAsia" w:ascii="宋体" w:hAnsi="宋体" w:eastAsia="宋体" w:cs="宋体"/>
                <w:b/>
                <w:bCs/>
                <w:szCs w:val="21"/>
              </w:rPr>
            </w:pPr>
            <w:r>
              <w:rPr>
                <w:rFonts w:hint="eastAsia" w:ascii="宋体" w:hAnsi="宋体" w:eastAsia="宋体" w:cs="宋体"/>
                <w:b/>
                <w:bCs/>
                <w:szCs w:val="21"/>
              </w:rPr>
              <w:t>4</w:t>
            </w:r>
          </w:p>
        </w:tc>
        <w:tc>
          <w:tcPr>
            <w:tcW w:w="2519" w:type="dxa"/>
            <w:gridSpan w:val="3"/>
            <w:tcBorders>
              <w:top w:val="single" w:color="000000" w:sz="8" w:space="0"/>
              <w:left w:val="single" w:color="000000" w:sz="8" w:space="0"/>
              <w:bottom w:val="single" w:color="000000" w:sz="8" w:space="0"/>
              <w:right w:val="single" w:color="000000" w:sz="8" w:space="0"/>
            </w:tcBorders>
            <w:shd w:val="clear" w:color="auto" w:fill="FFFFFF"/>
          </w:tcPr>
          <w:p w14:paraId="34B8C5FC">
            <w:pPr>
              <w:snapToGrid w:val="0"/>
              <w:jc w:val="center"/>
              <w:rPr>
                <w:rFonts w:hint="eastAsia" w:ascii="宋体" w:hAnsi="宋体" w:eastAsia="宋体" w:cs="宋体"/>
                <w:b/>
                <w:bCs/>
                <w:szCs w:val="21"/>
              </w:rPr>
            </w:pPr>
            <w:r>
              <w:rPr>
                <w:rFonts w:hint="eastAsia" w:ascii="宋体" w:hAnsi="宋体" w:eastAsia="宋体" w:cs="宋体"/>
                <w:b/>
                <w:bCs/>
                <w:szCs w:val="21"/>
              </w:rPr>
              <w:t>其他部分</w:t>
            </w:r>
          </w:p>
        </w:tc>
        <w:tc>
          <w:tcPr>
            <w:tcW w:w="6045" w:type="dxa"/>
            <w:tcBorders>
              <w:top w:val="single" w:color="000000" w:sz="8" w:space="0"/>
              <w:left w:val="single" w:color="000000" w:sz="8" w:space="0"/>
              <w:bottom w:val="single" w:color="000000" w:sz="8" w:space="0"/>
              <w:right w:val="single" w:color="000000" w:sz="8" w:space="0"/>
            </w:tcBorders>
            <w:shd w:val="clear" w:color="auto" w:fill="FFFFFF"/>
          </w:tcPr>
          <w:p w14:paraId="074CD0A7">
            <w:pPr>
              <w:snapToGrid w:val="0"/>
              <w:jc w:val="center"/>
              <w:rPr>
                <w:rFonts w:hint="eastAsia" w:ascii="宋体" w:hAnsi="宋体" w:eastAsia="宋体" w:cs="宋体"/>
                <w:b/>
                <w:bCs/>
                <w:szCs w:val="21"/>
              </w:rPr>
            </w:pPr>
            <w:r>
              <w:rPr>
                <w:rFonts w:hint="eastAsia" w:ascii="宋体" w:hAnsi="宋体" w:eastAsia="宋体" w:cs="宋体"/>
                <w:b/>
                <w:bCs/>
                <w:szCs w:val="21"/>
              </w:rPr>
              <w:t>5</w:t>
            </w:r>
          </w:p>
        </w:tc>
      </w:tr>
      <w:tr w14:paraId="034B88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blCellSpacing w:w="0" w:type="dxa"/>
          <w:jc w:val="center"/>
        </w:trPr>
        <w:tc>
          <w:tcPr>
            <w:tcW w:w="508"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0650588">
            <w:pPr>
              <w:snapToGrid w:val="0"/>
              <w:rPr>
                <w:rFonts w:hint="eastAsia" w:ascii="宋体" w:hAnsi="宋体" w:eastAsia="宋体" w:cs="宋体"/>
                <w:b/>
                <w:bCs/>
                <w:szCs w:val="21"/>
              </w:rPr>
            </w:pPr>
          </w:p>
        </w:tc>
        <w:tc>
          <w:tcPr>
            <w:tcW w:w="495"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477FBDD9">
            <w:pPr>
              <w:snapToGrid w:val="0"/>
              <w:jc w:val="center"/>
              <w:rPr>
                <w:rFonts w:hint="eastAsia" w:ascii="宋体" w:hAnsi="宋体" w:eastAsia="宋体" w:cs="宋体"/>
                <w:szCs w:val="21"/>
              </w:rPr>
            </w:pPr>
            <w:r>
              <w:rPr>
                <w:rFonts w:hint="eastAsia" w:ascii="宋体" w:hAnsi="宋体" w:eastAsia="宋体" w:cs="宋体"/>
                <w:szCs w:val="21"/>
              </w:rPr>
              <w:t>序号</w:t>
            </w:r>
          </w:p>
        </w:tc>
        <w:tc>
          <w:tcPr>
            <w:tcW w:w="1185"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5D7EA164">
            <w:pPr>
              <w:snapToGrid w:val="0"/>
              <w:jc w:val="center"/>
              <w:rPr>
                <w:rFonts w:hint="eastAsia" w:ascii="宋体" w:hAnsi="宋体" w:eastAsia="宋体" w:cs="宋体"/>
                <w:szCs w:val="21"/>
              </w:rPr>
            </w:pPr>
            <w:r>
              <w:rPr>
                <w:rFonts w:hint="eastAsia" w:ascii="宋体" w:hAnsi="宋体" w:eastAsia="宋体" w:cs="宋体"/>
                <w:szCs w:val="21"/>
              </w:rPr>
              <w:t>评分因素</w:t>
            </w:r>
          </w:p>
        </w:tc>
        <w:tc>
          <w:tcPr>
            <w:tcW w:w="839"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4D0162B5">
            <w:pPr>
              <w:snapToGrid w:val="0"/>
              <w:jc w:val="center"/>
              <w:rPr>
                <w:rFonts w:hint="eastAsia" w:ascii="宋体" w:hAnsi="宋体" w:eastAsia="宋体" w:cs="宋体"/>
                <w:szCs w:val="21"/>
              </w:rPr>
            </w:pPr>
            <w:r>
              <w:rPr>
                <w:rFonts w:hint="eastAsia" w:ascii="宋体" w:hAnsi="宋体" w:eastAsia="宋体" w:cs="宋体"/>
                <w:szCs w:val="21"/>
              </w:rPr>
              <w:t>权重</w:t>
            </w:r>
            <w:r>
              <w:rPr>
                <w:rFonts w:hint="eastAsia" w:ascii="宋体" w:hAnsi="宋体" w:eastAsia="宋体" w:cs="宋体"/>
                <w:bCs/>
                <w:szCs w:val="21"/>
              </w:rPr>
              <w:t>（%）</w:t>
            </w:r>
          </w:p>
        </w:tc>
        <w:tc>
          <w:tcPr>
            <w:tcW w:w="6045"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6D4580A6">
            <w:pPr>
              <w:snapToGrid w:val="0"/>
              <w:jc w:val="center"/>
              <w:rPr>
                <w:rFonts w:hint="eastAsia" w:ascii="宋体" w:hAnsi="宋体" w:eastAsia="宋体" w:cs="宋体"/>
                <w:szCs w:val="21"/>
              </w:rPr>
            </w:pPr>
            <w:r>
              <w:rPr>
                <w:rFonts w:hint="eastAsia" w:ascii="宋体" w:hAnsi="宋体" w:eastAsia="宋体" w:cs="宋体"/>
                <w:szCs w:val="21"/>
              </w:rPr>
              <w:t>评分准则</w:t>
            </w:r>
          </w:p>
        </w:tc>
      </w:tr>
      <w:tr w14:paraId="66792D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gridAfter w:val="1"/>
          <w:wAfter w:w="132" w:type="dxa"/>
          <w:tblCellSpacing w:w="0" w:type="dxa"/>
          <w:jc w:val="center"/>
        </w:trPr>
        <w:tc>
          <w:tcPr>
            <w:tcW w:w="508"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51F145A">
            <w:pPr>
              <w:snapToGrid w:val="0"/>
              <w:rPr>
                <w:rFonts w:hint="eastAsia" w:ascii="宋体" w:hAnsi="宋体" w:eastAsia="宋体" w:cs="宋体"/>
                <w:b/>
                <w:bCs/>
                <w:szCs w:val="21"/>
              </w:rPr>
            </w:pPr>
          </w:p>
        </w:tc>
        <w:tc>
          <w:tcPr>
            <w:tcW w:w="49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21A302C">
            <w:pPr>
              <w:snapToGrid w:val="0"/>
              <w:jc w:val="center"/>
              <w:rPr>
                <w:rFonts w:hint="eastAsia" w:ascii="宋体" w:hAnsi="宋体" w:eastAsia="宋体" w:cs="宋体"/>
                <w:szCs w:val="21"/>
              </w:rPr>
            </w:pPr>
            <w:r>
              <w:rPr>
                <w:rFonts w:hint="eastAsia" w:ascii="宋体" w:hAnsi="宋体" w:eastAsia="宋体" w:cs="宋体"/>
                <w:szCs w:val="21"/>
              </w:rPr>
              <w:t>1</w:t>
            </w:r>
          </w:p>
        </w:tc>
        <w:tc>
          <w:tcPr>
            <w:tcW w:w="118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1534CA3">
            <w:pPr>
              <w:snapToGrid w:val="0"/>
              <w:jc w:val="center"/>
              <w:rPr>
                <w:rFonts w:hint="eastAsia" w:ascii="宋体" w:hAnsi="宋体" w:eastAsia="宋体" w:cs="宋体"/>
                <w:szCs w:val="21"/>
              </w:rPr>
            </w:pPr>
            <w:r>
              <w:rPr>
                <w:rFonts w:hint="eastAsia" w:ascii="宋体" w:hAnsi="宋体" w:eastAsia="宋体" w:cs="宋体"/>
                <w:szCs w:val="21"/>
              </w:rPr>
              <w:t>诚信情况</w:t>
            </w:r>
          </w:p>
        </w:tc>
        <w:tc>
          <w:tcPr>
            <w:tcW w:w="83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450BF1C">
            <w:pPr>
              <w:snapToGrid w:val="0"/>
              <w:jc w:val="center"/>
              <w:rPr>
                <w:rFonts w:hint="eastAsia" w:ascii="宋体" w:hAnsi="宋体" w:eastAsia="宋体" w:cs="宋体"/>
                <w:szCs w:val="21"/>
              </w:rPr>
            </w:pPr>
            <w:r>
              <w:rPr>
                <w:rFonts w:hint="eastAsia" w:ascii="宋体" w:hAnsi="宋体" w:eastAsia="宋体" w:cs="宋体"/>
                <w:szCs w:val="21"/>
              </w:rPr>
              <w:t>5</w:t>
            </w:r>
          </w:p>
        </w:tc>
        <w:tc>
          <w:tcPr>
            <w:tcW w:w="6045" w:type="dxa"/>
            <w:tcBorders>
              <w:top w:val="single" w:color="000000" w:sz="8" w:space="0"/>
              <w:left w:val="single" w:color="000000" w:sz="8" w:space="0"/>
              <w:bottom w:val="single" w:color="000000" w:sz="8" w:space="0"/>
              <w:right w:val="single" w:color="000000" w:sz="8" w:space="0"/>
            </w:tcBorders>
            <w:shd w:val="clear" w:color="auto" w:fill="FFFFFF"/>
          </w:tcPr>
          <w:p w14:paraId="59F149B6">
            <w:pPr>
              <w:snapToGrid w:val="0"/>
              <w:ind w:firstLine="420" w:firstLineChars="200"/>
              <w:jc w:val="left"/>
              <w:rPr>
                <w:rFonts w:hint="eastAsia" w:ascii="宋体" w:hAnsi="宋体" w:eastAsia="宋体" w:cs="宋体"/>
                <w:szCs w:val="21"/>
              </w:rPr>
            </w:pPr>
            <w:r>
              <w:rPr>
                <w:rFonts w:hint="eastAsia" w:ascii="宋体" w:hAnsi="宋体" w:eastAsia="宋体" w:cs="宋体"/>
                <w:szCs w:val="21"/>
              </w:rPr>
              <w:t>投标人存在</w:t>
            </w:r>
            <w:r>
              <w:rPr>
                <w:rFonts w:hint="eastAsia" w:ascii="宋体" w:hAnsi="宋体" w:eastAsia="宋体" w:cs="宋体"/>
                <w:b/>
                <w:bCs/>
                <w:szCs w:val="21"/>
              </w:rPr>
              <w:t>《深圳市财政局政府采购供应商信用信息管理办法》</w:t>
            </w:r>
            <w:r>
              <w:rPr>
                <w:rFonts w:hint="eastAsia" w:ascii="宋体" w:hAnsi="宋体" w:eastAsia="宋体" w:cs="宋体"/>
                <w:szCs w:val="21"/>
              </w:rPr>
              <w:t>（深财规〔2023〕3号）列明的</w:t>
            </w:r>
            <w:r>
              <w:rPr>
                <w:rFonts w:hint="eastAsia" w:ascii="宋体" w:hAnsi="宋体" w:eastAsia="宋体" w:cs="宋体"/>
                <w:b/>
                <w:bCs/>
                <w:szCs w:val="21"/>
              </w:rPr>
              <w:t>一般行政处罚信息</w:t>
            </w:r>
            <w:r>
              <w:rPr>
                <w:rFonts w:hint="eastAsia" w:ascii="宋体" w:hAnsi="宋体" w:eastAsia="宋体" w:cs="宋体"/>
                <w:szCs w:val="21"/>
              </w:rPr>
              <w:t>、</w:t>
            </w:r>
            <w:r>
              <w:rPr>
                <w:rFonts w:hint="eastAsia" w:ascii="宋体" w:hAnsi="宋体" w:eastAsia="宋体" w:cs="宋体"/>
                <w:b/>
                <w:bCs/>
                <w:szCs w:val="21"/>
              </w:rPr>
              <w:t>一般违法失信行为记录信息</w:t>
            </w:r>
            <w:r>
              <w:rPr>
                <w:rFonts w:hint="eastAsia" w:ascii="宋体" w:hAnsi="宋体" w:eastAsia="宋体" w:cs="宋体"/>
                <w:szCs w:val="21"/>
              </w:rPr>
              <w:t>的，本项不得分，不存在上述情形的本项得100分。投标人无需提供任何证明材料，评标过程中由工作人员向评审委员会提供有关供应商诚信查询结果。</w:t>
            </w:r>
          </w:p>
          <w:p w14:paraId="17F0A644">
            <w:pPr>
              <w:pStyle w:val="8"/>
              <w:snapToGrid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tbl>
    <w:p w14:paraId="74A68A14">
      <w:pPr>
        <w:sectPr>
          <w:pgSz w:w="11907" w:h="16840"/>
          <w:pgMar w:top="1440" w:right="1418" w:bottom="1440" w:left="1418" w:header="851" w:footer="992" w:gutter="0"/>
          <w:cols w:space="425" w:num="1"/>
          <w:titlePg/>
          <w:docGrid w:linePitch="462" w:charSpace="0"/>
        </w:sectPr>
      </w:pPr>
    </w:p>
    <w:p w14:paraId="3965FDDD">
      <w:pPr>
        <w:jc w:val="center"/>
        <w:rPr>
          <w:b/>
          <w:sz w:val="84"/>
          <w:szCs w:val="84"/>
        </w:rPr>
      </w:pPr>
    </w:p>
    <w:p w14:paraId="72CCE48E">
      <w:pPr>
        <w:jc w:val="center"/>
        <w:rPr>
          <w:b/>
          <w:sz w:val="84"/>
          <w:szCs w:val="84"/>
        </w:rPr>
      </w:pPr>
    </w:p>
    <w:p w14:paraId="2E7EE2AC">
      <w:pPr>
        <w:jc w:val="center"/>
        <w:rPr>
          <w:b/>
          <w:sz w:val="84"/>
          <w:szCs w:val="84"/>
        </w:rPr>
      </w:pPr>
    </w:p>
    <w:p w14:paraId="42D8B182">
      <w:pPr>
        <w:jc w:val="center"/>
        <w:rPr>
          <w:rFonts w:hint="eastAsia" w:eastAsiaTheme="minorEastAsia"/>
          <w:b/>
          <w:sz w:val="120"/>
          <w:szCs w:val="120"/>
          <w:lang w:eastAsia="zh-CN"/>
        </w:rPr>
      </w:pPr>
      <w:r>
        <w:rPr>
          <w:rFonts w:hint="eastAsia"/>
          <w:b/>
          <w:sz w:val="120"/>
          <w:szCs w:val="120"/>
          <w:lang w:eastAsia="zh-CN"/>
        </w:rPr>
        <w:t>自行采购</w:t>
      </w:r>
    </w:p>
    <w:p w14:paraId="0AC2848F">
      <w:pPr>
        <w:jc w:val="center"/>
        <w:rPr>
          <w:b/>
          <w:sz w:val="120"/>
          <w:szCs w:val="120"/>
        </w:rPr>
      </w:pPr>
      <w:r>
        <w:rPr>
          <w:rFonts w:hint="eastAsia"/>
          <w:b/>
          <w:sz w:val="120"/>
          <w:szCs w:val="120"/>
        </w:rPr>
        <w:t>招标文件</w:t>
      </w:r>
    </w:p>
    <w:p w14:paraId="5BD3E090">
      <w:pPr>
        <w:jc w:val="center"/>
        <w:rPr>
          <w:b/>
          <w:sz w:val="52"/>
          <w:szCs w:val="52"/>
        </w:rPr>
      </w:pPr>
      <w:r>
        <w:rPr>
          <w:rFonts w:hint="eastAsia"/>
          <w:b/>
          <w:sz w:val="52"/>
          <w:szCs w:val="52"/>
        </w:rPr>
        <w:t>（货物类）</w:t>
      </w:r>
    </w:p>
    <w:p w14:paraId="33F3AE67"/>
    <w:p w14:paraId="3F33D62C"/>
    <w:p w14:paraId="71EAA3F2"/>
    <w:p w14:paraId="2F707AE3"/>
    <w:p w14:paraId="56B2DDEA"/>
    <w:p w14:paraId="2FC249BE"/>
    <w:p w14:paraId="079B5C15"/>
    <w:p w14:paraId="35A1C580"/>
    <w:p w14:paraId="2DEDD0CB"/>
    <w:p w14:paraId="0368250D"/>
    <w:p w14:paraId="0C3CD18E"/>
    <w:p w14:paraId="2E3B4BB6"/>
    <w:p w14:paraId="01E1098E"/>
    <w:p w14:paraId="77F014BA"/>
    <w:p w14:paraId="0DF32E1F"/>
    <w:p w14:paraId="25A86BCA"/>
    <w:p w14:paraId="0AD88DFA"/>
    <w:p w14:paraId="3C2B0DB6"/>
    <w:p w14:paraId="6CA3745D"/>
    <w:p w14:paraId="2EEDC5D7">
      <w:pPr>
        <w:jc w:val="center"/>
        <w:rPr>
          <w:b/>
          <w:sz w:val="44"/>
          <w:szCs w:val="44"/>
        </w:rPr>
      </w:pPr>
      <w:bookmarkStart w:id="1" w:name="_Hlk71465316"/>
      <w:r>
        <w:rPr>
          <w:rFonts w:hint="eastAsia"/>
          <w:b/>
          <w:sz w:val="44"/>
          <w:szCs w:val="44"/>
        </w:rPr>
        <w:t>深圳公共资源交易中心</w:t>
      </w:r>
    </w:p>
    <w:p w14:paraId="23E9460D">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1"/>
    <w:p w14:paraId="43B624EB">
      <w:pPr>
        <w:widowControl/>
        <w:jc w:val="center"/>
      </w:pPr>
    </w:p>
    <w:p w14:paraId="599D72AF">
      <w:pPr>
        <w:widowControl/>
        <w:jc w:val="center"/>
      </w:pPr>
      <w:r>
        <w:br w:type="page"/>
      </w:r>
    </w:p>
    <w:p w14:paraId="618EE37E">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r>
        <w:rPr>
          <w:rFonts w:hint="eastAsia" w:ascii="黑体" w:hAnsi="黑体" w:eastAsia="黑体" w:cs="黑体"/>
          <w:b/>
          <w:bCs/>
          <w:sz w:val="28"/>
          <w:szCs w:val="36"/>
        </w:rPr>
        <w:t>目   录</w:t>
      </w:r>
    </w:p>
    <w:p w14:paraId="3522C9DE">
      <w:pPr>
        <w:outlineLvl w:val="0"/>
        <w:rPr>
          <w:b/>
          <w:sz w:val="24"/>
        </w:rPr>
      </w:pPr>
      <w:bookmarkStart w:id="2" w:name="_Hlk72218009"/>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3" w:name="_Hlk71994379"/>
      <w:r>
        <w:rPr>
          <w:rFonts w:hint="eastAsia" w:ascii="宋体" w:hAnsi="宋体"/>
          <w:szCs w:val="21"/>
        </w:rPr>
        <w:t>对通用条款的补充内容及其他关键信息</w:t>
      </w:r>
      <w:bookmarkEnd w:id="3"/>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8"/>
        <w:rPr>
          <w:rFonts w:hint="eastAsia"/>
        </w:rPr>
      </w:pPr>
    </w:p>
    <w:p w14:paraId="0FB6C1D8">
      <w:pPr>
        <w:pStyle w:val="15"/>
        <w:rPr>
          <w:rFonts w:hint="eastAsia"/>
        </w:rPr>
      </w:pPr>
    </w:p>
    <w:p w14:paraId="4F472A70">
      <w:pPr>
        <w:pStyle w:val="15"/>
        <w:rPr>
          <w:rFonts w:hint="eastAsia"/>
        </w:rPr>
      </w:pPr>
    </w:p>
    <w:p w14:paraId="63EF1281">
      <w:pPr>
        <w:pStyle w:val="8"/>
        <w:rPr>
          <w:rFonts w:hint="eastAsia"/>
        </w:rPr>
        <w:sectPr>
          <w:pgSz w:w="11907" w:h="16840"/>
          <w:pgMar w:top="1440" w:right="1797" w:bottom="1440" w:left="1797" w:header="851" w:footer="992" w:gutter="0"/>
          <w:cols w:space="425" w:num="1"/>
          <w:titlePg/>
          <w:docGrid w:linePitch="462" w:charSpace="0"/>
        </w:sectPr>
      </w:pPr>
    </w:p>
    <w:bookmarkEnd w:id="2"/>
    <w:p w14:paraId="22FB7A31">
      <w:pPr>
        <w:pStyle w:val="3"/>
        <w:jc w:val="center"/>
        <w:rPr>
          <w:color w:val="FF0000"/>
          <w:sz w:val="24"/>
        </w:rPr>
      </w:pPr>
      <w:bookmarkStart w:id="4" w:name="bt技术标投标文件格式"/>
      <w:bookmarkEnd w:id="4"/>
      <w:bookmarkStart w:id="5" w:name="合同格式"/>
      <w:bookmarkEnd w:id="5"/>
      <w:bookmarkStart w:id="6" w:name="bt其他资料由投标人自定"/>
      <w:bookmarkEnd w:id="6"/>
      <w:bookmarkStart w:id="7" w:name="bt项目管理班子配备情况"/>
      <w:bookmarkEnd w:id="7"/>
      <w:bookmarkStart w:id="8" w:name="bt本工程承诺书"/>
      <w:bookmarkEnd w:id="8"/>
      <w:bookmarkStart w:id="9" w:name="bt开标一览表"/>
      <w:bookmarkEnd w:id="9"/>
      <w:bookmarkStart w:id="10" w:name="bt合同条款"/>
      <w:bookmarkEnd w:id="10"/>
      <w:bookmarkStart w:id="11" w:name="bt投标报价汇总表"/>
      <w:bookmarkEnd w:id="11"/>
      <w:bookmarkStart w:id="12" w:name="bt投标人情况介绍"/>
      <w:bookmarkEnd w:id="12"/>
      <w:bookmarkStart w:id="13" w:name="bt商务标投标文件格式"/>
      <w:bookmarkEnd w:id="13"/>
      <w:bookmarkStart w:id="14" w:name="bt其他资料2"/>
      <w:bookmarkEnd w:id="14"/>
      <w:bookmarkStart w:id="15" w:name="bt投标人须知"/>
      <w:bookmarkEnd w:id="15"/>
      <w:bookmarkStart w:id="16" w:name="bt投标函"/>
      <w:bookmarkEnd w:id="16"/>
      <w:bookmarkStart w:id="17" w:name="bt投标文件签署授权委托书"/>
      <w:bookmarkEnd w:id="17"/>
      <w:bookmarkStart w:id="18" w:name="bt合同条款及格式"/>
      <w:bookmarkEnd w:id="18"/>
      <w:bookmarkStart w:id="19" w:name="bt说明"/>
      <w:bookmarkEnd w:id="19"/>
      <w:bookmarkStart w:id="20" w:name="bt合同格式"/>
      <w:bookmarkEnd w:id="20"/>
      <w:r>
        <w:rPr>
          <w:rFonts w:hint="eastAsia"/>
        </w:rPr>
        <w:t>第一册  专用条款</w:t>
      </w:r>
    </w:p>
    <w:p w14:paraId="4BE9088D">
      <w:pPr>
        <w:pStyle w:val="6"/>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6"/>
        <w:jc w:val="center"/>
        <w:rPr>
          <w:sz w:val="28"/>
          <w:szCs w:val="28"/>
        </w:rPr>
      </w:pPr>
      <w:r>
        <w:rPr>
          <w:rFonts w:hint="eastAsia"/>
          <w:sz w:val="28"/>
          <w:szCs w:val="28"/>
        </w:rPr>
        <w:t xml:space="preserve">第二章 </w:t>
      </w:r>
      <w:bookmarkStart w:id="21" w:name="_Hlk71926094"/>
      <w:r>
        <w:rPr>
          <w:rFonts w:hint="eastAsia"/>
          <w:sz w:val="28"/>
          <w:szCs w:val="28"/>
        </w:rPr>
        <w:t>对通用条款的补充内容及其他关键信息</w:t>
      </w:r>
      <w:bookmarkEnd w:id="21"/>
    </w:p>
    <w:p w14:paraId="7580ACFD">
      <w:pPr>
        <w:pStyle w:val="6"/>
        <w:spacing w:before="120" w:beforeLines="50" w:after="120" w:afterLines="50"/>
        <w:jc w:val="center"/>
        <w:rPr>
          <w:szCs w:val="24"/>
        </w:rPr>
      </w:pPr>
      <w:bookmarkStart w:id="22" w:name="_Toc73518117"/>
      <w:bookmarkStart w:id="23" w:name="_Toc100052364"/>
      <w:bookmarkStart w:id="24" w:name="_Toc60631620"/>
      <w:bookmarkStart w:id="25" w:name="_Toc73521635"/>
      <w:bookmarkStart w:id="26" w:name="_Toc60560625"/>
      <w:bookmarkStart w:id="27" w:name="_Toc73517639"/>
      <w:bookmarkStart w:id="28" w:name="_Toc101074876"/>
      <w:bookmarkStart w:id="29" w:name="_Toc73521547"/>
      <w:r>
        <w:rPr>
          <w:rFonts w:hint="eastAsia"/>
          <w:szCs w:val="24"/>
        </w:rPr>
        <w:t>一、对通用条款的补充内容</w:t>
      </w:r>
    </w:p>
    <w:bookmarkEnd w:id="22"/>
    <w:bookmarkEnd w:id="23"/>
    <w:bookmarkEnd w:id="24"/>
    <w:bookmarkEnd w:id="25"/>
    <w:bookmarkEnd w:id="26"/>
    <w:bookmarkEnd w:id="27"/>
    <w:bookmarkEnd w:id="28"/>
    <w:bookmarkEnd w:id="29"/>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0"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cs="宋体"/>
                <w:b/>
                <w:bCs/>
                <w:kern w:val="0"/>
                <w:sz w:val="24"/>
              </w:rPr>
              <w:t>深圳市宝安区公共卫生服务中心</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7BAA7C08">
            <w:pPr>
              <w:jc w:val="center"/>
              <w:rPr>
                <w:rFonts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1" w:name="_Hlk71664860"/>
            <w:r>
              <w:rPr>
                <w:rFonts w:hint="eastAsia" w:ascii="宋体" w:hAnsi="宋体"/>
              </w:rPr>
              <w:t>样品、现场演示、方案讲解</w:t>
            </w:r>
            <w:bookmarkEnd w:id="31"/>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0F2BC5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D3025D9">
            <w:pPr>
              <w:widowControl w:val="0"/>
              <w:jc w:val="center"/>
              <w:rPr>
                <w:rFonts w:hint="eastAsia" w:ascii="宋体" w:hAnsi="宋体"/>
              </w:rPr>
            </w:pPr>
            <w:r>
              <w:rPr>
                <w:rFonts w:hint="eastAsia" w:ascii="宋体" w:hAnsi="宋体" w:eastAsia="宋体" w:cstheme="minorBidi"/>
                <w:kern w:val="2"/>
                <w:sz w:val="21"/>
                <w:szCs w:val="22"/>
                <w:lang w:eastAsia="zh-CN"/>
              </w:rPr>
              <w:t>52.8</w:t>
            </w:r>
          </w:p>
        </w:tc>
        <w:tc>
          <w:tcPr>
            <w:tcW w:w="2409" w:type="dxa"/>
            <w:noWrap w:val="0"/>
            <w:vAlign w:val="center"/>
          </w:tcPr>
          <w:p w14:paraId="73BEE1B2">
            <w:pPr>
              <w:widowControl w:val="0"/>
              <w:jc w:val="center"/>
              <w:rPr>
                <w:rFonts w:hint="eastAsia" w:ascii="宋体" w:hAnsi="宋体"/>
              </w:rPr>
            </w:pPr>
            <w:r>
              <w:rPr>
                <w:rFonts w:hint="eastAsia" w:ascii="宋体" w:hAnsi="宋体" w:eastAsia="宋体" w:cstheme="minorBidi"/>
                <w:kern w:val="2"/>
                <w:sz w:val="21"/>
                <w:szCs w:val="22"/>
                <w:lang w:eastAsia="zh-CN"/>
              </w:rPr>
              <w:t>投诉</w:t>
            </w:r>
          </w:p>
        </w:tc>
        <w:tc>
          <w:tcPr>
            <w:tcW w:w="4980" w:type="dxa"/>
            <w:noWrap w:val="0"/>
            <w:vAlign w:val="center"/>
          </w:tcPr>
          <w:p w14:paraId="39DECF71">
            <w:pPr>
              <w:widowControl w:val="0"/>
              <w:jc w:val="left"/>
              <w:rPr>
                <w:rFonts w:hint="eastAsia"/>
              </w:rPr>
            </w:pPr>
            <w:r>
              <w:rPr>
                <w:rFonts w:hint="eastAsia" w:ascii="宋体" w:hAnsi="宋体" w:eastAsia="宋体" w:cstheme="minorBidi"/>
                <w:kern w:val="2"/>
                <w:sz w:val="21"/>
                <w:szCs w:val="22"/>
                <w:lang w:eastAsia="zh-CN"/>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0"/>
    <w:p w14:paraId="3E0042D4">
      <w:pPr>
        <w:pStyle w:val="6"/>
        <w:spacing w:before="120" w:beforeLines="50" w:after="120" w:afterLines="50"/>
        <w:jc w:val="center"/>
        <w:rPr>
          <w:szCs w:val="24"/>
        </w:rPr>
      </w:pPr>
      <w:bookmarkStart w:id="32" w:name="_Hlk72218117"/>
      <w:r>
        <w:rPr>
          <w:rFonts w:hint="eastAsia"/>
          <w:szCs w:val="24"/>
        </w:rPr>
        <w:t>二、其他关键信息</w:t>
      </w:r>
    </w:p>
    <w:p w14:paraId="76FF46B8">
      <w:pPr>
        <w:ind w:firstLine="422" w:firstLineChars="200"/>
        <w:rPr>
          <w:b/>
          <w:bCs/>
        </w:rPr>
      </w:pPr>
      <w:bookmarkStart w:id="33"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58DFD9BD">
      <w:pPr>
        <w:ind w:firstLine="480" w:firstLineChars="200"/>
        <w:rPr>
          <w:rFonts w:hint="eastAsia" w:ascii="Arial" w:hAnsi="Arial" w:eastAsia="宋体" w:cs="Arial"/>
          <w:color w:val="000000"/>
          <w:sz w:val="24"/>
          <w:szCs w:val="24"/>
          <w:highlight w:val="yellow"/>
        </w:rPr>
      </w:pPr>
    </w:p>
    <w:p w14:paraId="7DD56796">
      <w:pPr>
        <w:ind w:firstLine="422" w:firstLineChars="200"/>
        <w:rPr>
          <w:rFonts w:hint="eastAsia"/>
          <w:b/>
        </w:rPr>
      </w:pPr>
    </w:p>
    <w:p w14:paraId="42BC8533">
      <w:pPr>
        <w:ind w:firstLine="422" w:firstLineChars="200"/>
        <w:rPr>
          <w:b/>
        </w:rPr>
      </w:pPr>
      <w:r>
        <w:rPr>
          <w:rFonts w:hint="eastAsia"/>
          <w:b/>
        </w:rPr>
        <w:t>（二）其他事项</w:t>
      </w:r>
      <w:bookmarkEnd w:id="33"/>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4"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4"/>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8"/>
        <w:rPr>
          <w:b/>
        </w:rPr>
      </w:pPr>
    </w:p>
    <w:p w14:paraId="7ECC2851">
      <w:pPr>
        <w:pStyle w:val="15"/>
        <w:rPr>
          <w:b/>
        </w:rPr>
      </w:pPr>
    </w:p>
    <w:p w14:paraId="646EADFC">
      <w:pPr>
        <w:pStyle w:val="15"/>
        <w:rPr>
          <w:b/>
        </w:rPr>
      </w:pPr>
    </w:p>
    <w:p w14:paraId="1F704D2D">
      <w:pPr>
        <w:pStyle w:val="15"/>
        <w:rPr>
          <w:b/>
        </w:rPr>
        <w:sectPr>
          <w:pgSz w:w="11907" w:h="16840"/>
          <w:pgMar w:top="1440" w:right="1797" w:bottom="1440" w:left="1797" w:header="851" w:footer="992" w:gutter="0"/>
          <w:cols w:space="425" w:num="1"/>
          <w:titlePg/>
          <w:docGrid w:linePitch="462" w:charSpace="0"/>
        </w:sectPr>
      </w:pPr>
    </w:p>
    <w:bookmarkEnd w:id="32"/>
    <w:p w14:paraId="0188490A">
      <w:pPr>
        <w:pStyle w:val="6"/>
        <w:jc w:val="center"/>
        <w:rPr>
          <w:sz w:val="28"/>
          <w:szCs w:val="28"/>
        </w:rPr>
      </w:pPr>
      <w:r>
        <w:rPr>
          <w:rFonts w:hint="eastAsia"/>
          <w:sz w:val="28"/>
          <w:szCs w:val="28"/>
        </w:rPr>
        <w:t>第三章 用户需求书</w:t>
      </w:r>
    </w:p>
    <w:p w14:paraId="3DCD4887">
      <w:pPr>
        <w:keepNext/>
        <w:keepLines/>
        <w:tabs>
          <w:tab w:val="left" w:pos="1680"/>
        </w:tabs>
        <w:spacing w:before="260" w:after="78" w:afterLines="25"/>
        <w:jc w:val="center"/>
        <w:outlineLvl w:val="2"/>
        <w:rPr>
          <w:rFonts w:ascii="Arial" w:hAnsi="Arial" w:eastAsia="宋体" w:cs="Times New Roman"/>
          <w:b/>
          <w:sz w:val="32"/>
          <w:szCs w:val="32"/>
        </w:rPr>
      </w:pPr>
      <w:bookmarkStart w:id="35" w:name="_Hlk72258617"/>
      <w:r>
        <w:rPr>
          <w:rFonts w:hint="eastAsia" w:ascii="Arial" w:hAnsi="Arial" w:eastAsia="宋体" w:cs="Times New Roman"/>
          <w:b/>
          <w:sz w:val="32"/>
          <w:szCs w:val="32"/>
        </w:rPr>
        <w:t>一、项目基本信息</w:t>
      </w:r>
    </w:p>
    <w:tbl>
      <w:tblPr>
        <w:tblStyle w:val="18"/>
        <w:tblW w:w="8007" w:type="dxa"/>
        <w:jc w:val="center"/>
        <w:tblLayout w:type="fixed"/>
        <w:tblCellMar>
          <w:top w:w="15" w:type="dxa"/>
          <w:left w:w="15" w:type="dxa"/>
          <w:bottom w:w="15" w:type="dxa"/>
          <w:right w:w="15" w:type="dxa"/>
        </w:tblCellMar>
      </w:tblPr>
      <w:tblGrid>
        <w:gridCol w:w="827"/>
        <w:gridCol w:w="5231"/>
        <w:gridCol w:w="1949"/>
      </w:tblGrid>
      <w:tr w14:paraId="5E7F3330">
        <w:tblPrEx>
          <w:tblCellMar>
            <w:top w:w="15" w:type="dxa"/>
            <w:left w:w="15" w:type="dxa"/>
            <w:bottom w:w="15" w:type="dxa"/>
            <w:right w:w="15" w:type="dxa"/>
          </w:tblCellMar>
        </w:tblPrEx>
        <w:trPr>
          <w:trHeight w:val="552" w:hRule="atLeast"/>
          <w:jc w:val="center"/>
        </w:trPr>
        <w:tc>
          <w:tcPr>
            <w:tcW w:w="827"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0663596C">
            <w:pPr>
              <w:jc w:val="center"/>
            </w:pPr>
            <w:r>
              <w:rPr>
                <w:rFonts w:hint="eastAsia"/>
              </w:rPr>
              <w:t>序号</w:t>
            </w:r>
          </w:p>
        </w:tc>
        <w:tc>
          <w:tcPr>
            <w:tcW w:w="5231"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46195C3F">
            <w:pPr>
              <w:jc w:val="center"/>
            </w:pPr>
            <w:r>
              <w:rPr>
                <w:rFonts w:hint="eastAsia"/>
              </w:rPr>
              <w:t>采购项目名称</w:t>
            </w:r>
          </w:p>
        </w:tc>
        <w:tc>
          <w:tcPr>
            <w:tcW w:w="1949"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2E0CC7D2">
            <w:pPr>
              <w:jc w:val="center"/>
            </w:pPr>
            <w:r>
              <w:rPr>
                <w:rFonts w:hint="eastAsia"/>
              </w:rPr>
              <w:t>预算金额（元）</w:t>
            </w:r>
          </w:p>
        </w:tc>
      </w:tr>
      <w:tr w14:paraId="2A9BA67A">
        <w:tblPrEx>
          <w:tblCellMar>
            <w:top w:w="15" w:type="dxa"/>
            <w:left w:w="15" w:type="dxa"/>
            <w:bottom w:w="15" w:type="dxa"/>
            <w:right w:w="15" w:type="dxa"/>
          </w:tblCellMar>
        </w:tblPrEx>
        <w:trPr>
          <w:trHeight w:val="742" w:hRule="atLeast"/>
          <w:jc w:val="center"/>
        </w:trPr>
        <w:tc>
          <w:tcPr>
            <w:tcW w:w="827" w:type="dxa"/>
            <w:tcBorders>
              <w:top w:val="single" w:color="000000" w:sz="4" w:space="0"/>
              <w:left w:val="single" w:color="000000" w:sz="4" w:space="0"/>
              <w:bottom w:val="single" w:color="000000" w:sz="4" w:space="0"/>
              <w:right w:val="single" w:color="auto" w:sz="4" w:space="0"/>
            </w:tcBorders>
            <w:vAlign w:val="center"/>
          </w:tcPr>
          <w:p w14:paraId="7A9BB2B4">
            <w:pPr>
              <w:jc w:val="center"/>
              <w:rPr>
                <w:rFonts w:hint="eastAsia" w:asciiTheme="minorEastAsia" w:hAnsiTheme="minorEastAsia"/>
                <w:sz w:val="24"/>
                <w:szCs w:val="24"/>
              </w:rPr>
            </w:pPr>
            <w:r>
              <w:rPr>
                <w:rFonts w:hint="eastAsia" w:asciiTheme="minorEastAsia" w:hAnsiTheme="minorEastAsia"/>
                <w:sz w:val="24"/>
                <w:szCs w:val="24"/>
              </w:rPr>
              <w:t>1</w:t>
            </w:r>
          </w:p>
        </w:tc>
        <w:tc>
          <w:tcPr>
            <w:tcW w:w="5231" w:type="dxa"/>
            <w:tcBorders>
              <w:top w:val="single" w:color="000000" w:sz="4" w:space="0"/>
              <w:left w:val="single" w:color="000000" w:sz="4" w:space="0"/>
              <w:right w:val="single" w:color="000000" w:sz="4" w:space="0"/>
            </w:tcBorders>
            <w:vAlign w:val="center"/>
          </w:tcPr>
          <w:p w14:paraId="4D089124">
            <w:pPr>
              <w:jc w:val="center"/>
              <w:rPr>
                <w:rFonts w:hint="eastAsia" w:eastAsiaTheme="minorEastAsia"/>
                <w:lang w:eastAsia="zh-CN"/>
              </w:rPr>
            </w:pPr>
            <w:r>
              <w:rPr>
                <w:rFonts w:hint="eastAsia"/>
                <w:lang w:eastAsia="zh-CN"/>
              </w:rPr>
              <w:t>深圳市宝安区公共卫生服务中心可吸入颗粒物切割器采购项目</w:t>
            </w:r>
          </w:p>
        </w:tc>
        <w:tc>
          <w:tcPr>
            <w:tcW w:w="1949" w:type="dxa"/>
            <w:tcBorders>
              <w:top w:val="single" w:color="000000" w:sz="4" w:space="0"/>
              <w:left w:val="single" w:color="000000" w:sz="4" w:space="0"/>
              <w:bottom w:val="single" w:color="000000" w:sz="4" w:space="0"/>
              <w:right w:val="single" w:color="000000" w:sz="4" w:space="0"/>
            </w:tcBorders>
            <w:vAlign w:val="center"/>
          </w:tcPr>
          <w:p w14:paraId="70CC6099">
            <w:pPr>
              <w:jc w:val="center"/>
              <w:rPr>
                <w:rFonts w:hint="eastAsia" w:asciiTheme="minorEastAsia" w:hAnsiTheme="minorEastAsia"/>
                <w:sz w:val="24"/>
                <w:szCs w:val="24"/>
              </w:rPr>
            </w:pPr>
            <w:r>
              <w:rPr>
                <w:rFonts w:hint="eastAsia" w:asciiTheme="minorEastAsia" w:hAnsiTheme="minorEastAsia"/>
                <w:sz w:val="24"/>
                <w:szCs w:val="24"/>
                <w:lang w:val="en-US" w:eastAsia="zh-CN"/>
              </w:rPr>
              <w:t>198</w:t>
            </w:r>
            <w:r>
              <w:rPr>
                <w:rFonts w:hint="eastAsia" w:asciiTheme="minorEastAsia" w:hAnsiTheme="minorEastAsia"/>
                <w:sz w:val="24"/>
                <w:szCs w:val="24"/>
              </w:rPr>
              <w:t>,000.00</w:t>
            </w:r>
          </w:p>
        </w:tc>
      </w:tr>
      <w:tr w14:paraId="3117BD15">
        <w:tblPrEx>
          <w:tblCellMar>
            <w:top w:w="15" w:type="dxa"/>
            <w:left w:w="15" w:type="dxa"/>
            <w:bottom w:w="15" w:type="dxa"/>
            <w:right w:w="15" w:type="dxa"/>
          </w:tblCellMar>
        </w:tblPrEx>
        <w:trPr>
          <w:trHeight w:val="742" w:hRule="atLeast"/>
          <w:jc w:val="center"/>
        </w:trPr>
        <w:tc>
          <w:tcPr>
            <w:tcW w:w="6058" w:type="dxa"/>
            <w:gridSpan w:val="2"/>
            <w:tcBorders>
              <w:top w:val="single" w:color="000000" w:sz="4" w:space="0"/>
              <w:left w:val="single" w:color="000000" w:sz="4" w:space="0"/>
              <w:bottom w:val="single" w:color="000000" w:sz="4" w:space="0"/>
              <w:right w:val="single" w:color="000000" w:sz="4" w:space="0"/>
            </w:tcBorders>
            <w:vAlign w:val="center"/>
          </w:tcPr>
          <w:p w14:paraId="2FD7A81C">
            <w:pPr>
              <w:jc w:val="center"/>
              <w:rPr>
                <w:rFonts w:hint="eastAsia" w:eastAsiaTheme="minorEastAsia"/>
                <w:lang w:val="en-US" w:eastAsia="zh-CN"/>
              </w:rPr>
            </w:pPr>
            <w:r>
              <w:rPr>
                <w:rFonts w:hint="eastAsia"/>
                <w:lang w:val="en-US" w:eastAsia="zh-CN"/>
              </w:rPr>
              <w:t>合计</w:t>
            </w:r>
          </w:p>
        </w:tc>
        <w:tc>
          <w:tcPr>
            <w:tcW w:w="1949" w:type="dxa"/>
            <w:tcBorders>
              <w:top w:val="single" w:color="000000" w:sz="4" w:space="0"/>
              <w:left w:val="single" w:color="000000" w:sz="4" w:space="0"/>
              <w:bottom w:val="single" w:color="000000" w:sz="4" w:space="0"/>
              <w:right w:val="single" w:color="000000" w:sz="4" w:space="0"/>
            </w:tcBorders>
            <w:vAlign w:val="center"/>
          </w:tcPr>
          <w:p w14:paraId="006B0797">
            <w:pPr>
              <w:jc w:val="cente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198</w:t>
            </w:r>
            <w:r>
              <w:rPr>
                <w:rFonts w:hint="eastAsia" w:asciiTheme="minorEastAsia" w:hAnsiTheme="minorEastAsia"/>
                <w:sz w:val="24"/>
                <w:szCs w:val="24"/>
              </w:rPr>
              <w:t>,000.00</w:t>
            </w:r>
          </w:p>
        </w:tc>
      </w:tr>
    </w:tbl>
    <w:p w14:paraId="376D96E7">
      <w:pPr>
        <w:keepNext/>
        <w:keepLines/>
        <w:numPr>
          <w:ilvl w:val="0"/>
          <w:numId w:val="1"/>
        </w:numPr>
        <w:tabs>
          <w:tab w:val="left" w:pos="1680"/>
        </w:tabs>
        <w:spacing w:before="260" w:after="78" w:afterLines="25"/>
        <w:jc w:val="center"/>
        <w:outlineLvl w:val="2"/>
        <w:rPr>
          <w:rFonts w:ascii="Arial" w:hAnsi="Arial" w:eastAsia="宋体" w:cs="Times New Roman"/>
          <w:b/>
          <w:sz w:val="32"/>
          <w:szCs w:val="32"/>
        </w:rPr>
      </w:pPr>
      <w:r>
        <w:rPr>
          <w:rFonts w:hint="eastAsia" w:ascii="Arial" w:hAnsi="Arial" w:eastAsia="宋体" w:cs="Times New Roman"/>
          <w:b/>
          <w:sz w:val="32"/>
          <w:szCs w:val="32"/>
        </w:rPr>
        <w:t>货物需求明细</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2090"/>
        <w:gridCol w:w="548"/>
        <w:gridCol w:w="542"/>
        <w:gridCol w:w="1325"/>
        <w:gridCol w:w="1136"/>
        <w:gridCol w:w="1303"/>
        <w:gridCol w:w="1130"/>
      </w:tblGrid>
      <w:tr w14:paraId="036A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264" w:type="pct"/>
            <w:vAlign w:val="center"/>
          </w:tcPr>
          <w:p w14:paraId="376D0D63">
            <w:pPr>
              <w:jc w:val="center"/>
              <w:rPr>
                <w:bCs/>
                <w:szCs w:val="21"/>
              </w:rPr>
            </w:pPr>
            <w:r>
              <w:rPr>
                <w:rFonts w:hint="eastAsia"/>
                <w:bCs/>
                <w:szCs w:val="21"/>
              </w:rPr>
              <w:t>序号</w:t>
            </w:r>
          </w:p>
        </w:tc>
        <w:tc>
          <w:tcPr>
            <w:tcW w:w="1225" w:type="pct"/>
            <w:vAlign w:val="center"/>
          </w:tcPr>
          <w:p w14:paraId="064A1FC3">
            <w:pPr>
              <w:jc w:val="center"/>
              <w:rPr>
                <w:rFonts w:hint="eastAsia"/>
                <w:bCs/>
                <w:szCs w:val="21"/>
              </w:rPr>
            </w:pPr>
            <w:r>
              <w:rPr>
                <w:rFonts w:hint="eastAsia"/>
                <w:bCs/>
                <w:szCs w:val="21"/>
              </w:rPr>
              <w:t>货物名称</w:t>
            </w:r>
          </w:p>
          <w:p w14:paraId="670CA62A">
            <w:pPr>
              <w:jc w:val="center"/>
              <w:rPr>
                <w:bCs/>
                <w:szCs w:val="21"/>
              </w:rPr>
            </w:pPr>
            <w:r>
              <w:rPr>
                <w:rFonts w:hint="eastAsia"/>
                <w:bCs/>
                <w:szCs w:val="21"/>
              </w:rPr>
              <w:t>（标的名称）</w:t>
            </w:r>
          </w:p>
        </w:tc>
        <w:tc>
          <w:tcPr>
            <w:tcW w:w="321" w:type="pct"/>
            <w:vAlign w:val="center"/>
          </w:tcPr>
          <w:p w14:paraId="1326A952">
            <w:pPr>
              <w:jc w:val="center"/>
              <w:rPr>
                <w:bCs/>
                <w:szCs w:val="21"/>
              </w:rPr>
            </w:pPr>
            <w:r>
              <w:rPr>
                <w:rFonts w:hint="eastAsia"/>
                <w:bCs/>
                <w:szCs w:val="21"/>
              </w:rPr>
              <w:t>数量</w:t>
            </w:r>
          </w:p>
        </w:tc>
        <w:tc>
          <w:tcPr>
            <w:tcW w:w="318" w:type="pct"/>
            <w:vAlign w:val="center"/>
          </w:tcPr>
          <w:p w14:paraId="7BB13B08">
            <w:pPr>
              <w:jc w:val="center"/>
              <w:rPr>
                <w:bCs/>
                <w:szCs w:val="21"/>
              </w:rPr>
            </w:pPr>
            <w:r>
              <w:rPr>
                <w:rFonts w:hint="eastAsia"/>
                <w:bCs/>
                <w:szCs w:val="21"/>
              </w:rPr>
              <w:t>单位</w:t>
            </w:r>
          </w:p>
        </w:tc>
        <w:tc>
          <w:tcPr>
            <w:tcW w:w="777" w:type="pct"/>
            <w:vAlign w:val="center"/>
          </w:tcPr>
          <w:p w14:paraId="59DAC769">
            <w:pPr>
              <w:jc w:val="center"/>
              <w:rPr>
                <w:rFonts w:hint="eastAsia"/>
                <w:b/>
                <w:bCs/>
                <w:color w:val="FF0000"/>
                <w:szCs w:val="21"/>
              </w:rPr>
            </w:pPr>
            <w:r>
              <w:rPr>
                <w:rFonts w:hint="eastAsia" w:ascii="宋体" w:hAnsi="宋体"/>
                <w:b/>
                <w:bCs/>
                <w:szCs w:val="21"/>
              </w:rPr>
              <w:t>★</w:t>
            </w:r>
            <w:r>
              <w:rPr>
                <w:rFonts w:hint="eastAsia"/>
                <w:b/>
                <w:bCs/>
              </w:rPr>
              <w:t>单台控制金额（万元）</w:t>
            </w:r>
          </w:p>
        </w:tc>
        <w:tc>
          <w:tcPr>
            <w:tcW w:w="666" w:type="pct"/>
            <w:vAlign w:val="center"/>
          </w:tcPr>
          <w:p w14:paraId="6EEBF77D">
            <w:pPr>
              <w:jc w:val="center"/>
              <w:rPr>
                <w:rFonts w:eastAsia="宋体"/>
                <w:b/>
                <w:bCs/>
                <w:color w:val="FF0000"/>
                <w:szCs w:val="21"/>
              </w:rPr>
            </w:pPr>
            <w:r>
              <w:rPr>
                <w:rFonts w:hint="eastAsia"/>
                <w:b/>
                <w:bCs/>
                <w:color w:val="FF0000"/>
                <w:szCs w:val="21"/>
              </w:rPr>
              <w:t>是否接受进口</w:t>
            </w:r>
          </w:p>
        </w:tc>
        <w:tc>
          <w:tcPr>
            <w:tcW w:w="764" w:type="pct"/>
            <w:vAlign w:val="center"/>
          </w:tcPr>
          <w:p w14:paraId="5C21DE0C">
            <w:pPr>
              <w:jc w:val="center"/>
              <w:rPr>
                <w:b/>
                <w:bCs/>
                <w:color w:val="FF0000"/>
                <w:szCs w:val="21"/>
              </w:rPr>
            </w:pPr>
            <w:r>
              <w:rPr>
                <w:rFonts w:hint="eastAsia"/>
                <w:b/>
                <w:bCs/>
                <w:color w:val="FF0000"/>
                <w:szCs w:val="21"/>
              </w:rPr>
              <w:t>是否专门面向中小企业</w:t>
            </w:r>
          </w:p>
        </w:tc>
        <w:tc>
          <w:tcPr>
            <w:tcW w:w="662" w:type="pct"/>
            <w:vAlign w:val="center"/>
          </w:tcPr>
          <w:p w14:paraId="58C3E89A">
            <w:pPr>
              <w:jc w:val="center"/>
              <w:rPr>
                <w:b/>
                <w:bCs/>
                <w:color w:val="FF0000"/>
                <w:szCs w:val="21"/>
              </w:rPr>
            </w:pPr>
            <w:r>
              <w:rPr>
                <w:rFonts w:hint="eastAsia"/>
                <w:b/>
                <w:bCs/>
                <w:color w:val="FF0000"/>
                <w:szCs w:val="21"/>
              </w:rPr>
              <w:t>标的所属行业</w:t>
            </w:r>
          </w:p>
        </w:tc>
      </w:tr>
      <w:tr w14:paraId="2039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264" w:type="pct"/>
            <w:vAlign w:val="center"/>
          </w:tcPr>
          <w:p w14:paraId="5C648A61">
            <w:pPr>
              <w:jc w:val="center"/>
              <w:rPr>
                <w:bCs/>
                <w:szCs w:val="21"/>
              </w:rPr>
            </w:pPr>
            <w:r>
              <w:rPr>
                <w:rFonts w:hint="eastAsia"/>
                <w:bCs/>
                <w:szCs w:val="21"/>
              </w:rPr>
              <w:t>1</w:t>
            </w:r>
          </w:p>
        </w:tc>
        <w:tc>
          <w:tcPr>
            <w:tcW w:w="1225" w:type="pct"/>
            <w:vAlign w:val="center"/>
          </w:tcPr>
          <w:p w14:paraId="26F2D893">
            <w:pPr>
              <w:widowControl/>
              <w:jc w:val="center"/>
              <w:textAlignment w:val="center"/>
              <w:rPr>
                <w:bCs/>
                <w:szCs w:val="21"/>
              </w:rPr>
            </w:pPr>
            <w:r>
              <w:rPr>
                <w:rFonts w:hint="eastAsia" w:ascii="宋体" w:hAnsi="宋体"/>
                <w:szCs w:val="21"/>
              </w:rPr>
              <w:t>空气采样器</w:t>
            </w:r>
            <w:r>
              <w:rPr>
                <w:rFonts w:hint="eastAsia" w:ascii="宋体" w:hAnsi="宋体"/>
                <w:szCs w:val="21"/>
                <w:lang w:val="en-US" w:eastAsia="zh-CN"/>
              </w:rPr>
              <w:t>专用金属PM10可吸入颗粒物切割器（大流量）</w:t>
            </w:r>
          </w:p>
        </w:tc>
        <w:tc>
          <w:tcPr>
            <w:tcW w:w="321" w:type="pct"/>
            <w:vAlign w:val="center"/>
          </w:tcPr>
          <w:p w14:paraId="640EE470">
            <w:pPr>
              <w:widowControl/>
              <w:jc w:val="center"/>
              <w:textAlignment w:val="center"/>
              <w:rPr>
                <w:rFonts w:hint="eastAsia" w:eastAsiaTheme="minorEastAsia"/>
                <w:bCs/>
                <w:szCs w:val="21"/>
                <w:lang w:eastAsia="zh-CN"/>
              </w:rPr>
            </w:pPr>
            <w:r>
              <w:rPr>
                <w:rFonts w:hint="eastAsia" w:ascii="宋体" w:hAnsi="宋体"/>
                <w:bCs/>
                <w:szCs w:val="21"/>
                <w:lang w:val="en-US" w:eastAsia="zh-CN"/>
              </w:rPr>
              <w:t>6</w:t>
            </w:r>
          </w:p>
        </w:tc>
        <w:tc>
          <w:tcPr>
            <w:tcW w:w="318" w:type="pct"/>
            <w:vAlign w:val="center"/>
          </w:tcPr>
          <w:p w14:paraId="705B0C0A">
            <w:pPr>
              <w:widowControl/>
              <w:jc w:val="center"/>
              <w:textAlignment w:val="center"/>
              <w:rPr>
                <w:rFonts w:hint="eastAsia" w:eastAsiaTheme="minorEastAsia"/>
                <w:bCs/>
                <w:szCs w:val="21"/>
                <w:lang w:eastAsia="zh-CN"/>
              </w:rPr>
            </w:pPr>
            <w:r>
              <w:rPr>
                <w:rFonts w:hint="eastAsia" w:ascii="宋体" w:hAnsi="宋体"/>
                <w:szCs w:val="21"/>
                <w:lang w:val="en-US" w:eastAsia="zh-CN"/>
              </w:rPr>
              <w:t>台</w:t>
            </w:r>
          </w:p>
        </w:tc>
        <w:tc>
          <w:tcPr>
            <w:tcW w:w="777" w:type="pct"/>
            <w:vAlign w:val="center"/>
          </w:tcPr>
          <w:p w14:paraId="644F490B">
            <w:pPr>
              <w:jc w:val="center"/>
              <w:rPr>
                <w:rFonts w:hint="eastAsia"/>
                <w:b/>
                <w:bCs/>
                <w:szCs w:val="21"/>
              </w:rPr>
            </w:pPr>
            <w:r>
              <w:rPr>
                <w:rFonts w:hint="eastAsia" w:ascii="宋体" w:hAnsi="宋体"/>
                <w:bCs/>
                <w:szCs w:val="21"/>
                <w:lang w:val="en-US" w:eastAsia="zh-CN"/>
              </w:rPr>
              <w:t>1</w:t>
            </w:r>
          </w:p>
        </w:tc>
        <w:tc>
          <w:tcPr>
            <w:tcW w:w="666" w:type="pct"/>
            <w:vAlign w:val="center"/>
          </w:tcPr>
          <w:p w14:paraId="0A28ACD0">
            <w:pPr>
              <w:jc w:val="center"/>
              <w:rPr>
                <w:b/>
                <w:bCs/>
                <w:color w:val="FF0000"/>
                <w:szCs w:val="21"/>
              </w:rPr>
            </w:pPr>
            <w:r>
              <w:rPr>
                <w:rFonts w:hint="eastAsia"/>
                <w:b/>
                <w:bCs/>
                <w:szCs w:val="21"/>
              </w:rPr>
              <w:t>拒绝进口</w:t>
            </w:r>
          </w:p>
        </w:tc>
        <w:tc>
          <w:tcPr>
            <w:tcW w:w="764" w:type="pct"/>
            <w:vAlign w:val="center"/>
          </w:tcPr>
          <w:p w14:paraId="10785D18">
            <w:pPr>
              <w:jc w:val="center"/>
              <w:rPr>
                <w:rFonts w:eastAsia="宋体"/>
                <w:b/>
                <w:bCs/>
                <w:color w:val="FF0000"/>
                <w:szCs w:val="21"/>
              </w:rPr>
            </w:pPr>
            <w:r>
              <w:rPr>
                <w:rFonts w:hint="eastAsia"/>
                <w:b/>
                <w:bCs/>
                <w:color w:val="FF0000"/>
                <w:szCs w:val="21"/>
              </w:rPr>
              <w:t>否</w:t>
            </w:r>
          </w:p>
        </w:tc>
        <w:tc>
          <w:tcPr>
            <w:tcW w:w="662" w:type="pct"/>
            <w:vAlign w:val="center"/>
          </w:tcPr>
          <w:p w14:paraId="47998668">
            <w:pPr>
              <w:jc w:val="center"/>
              <w:rPr>
                <w:rFonts w:eastAsia="宋体"/>
                <w:b/>
                <w:bCs/>
                <w:color w:val="FF0000"/>
                <w:szCs w:val="21"/>
              </w:rPr>
            </w:pPr>
            <w:r>
              <w:rPr>
                <w:rFonts w:hint="eastAsia"/>
                <w:b/>
                <w:bCs/>
                <w:color w:val="FF0000"/>
                <w:szCs w:val="21"/>
              </w:rPr>
              <w:t>工业</w:t>
            </w:r>
          </w:p>
        </w:tc>
      </w:tr>
      <w:tr w14:paraId="596D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264" w:type="pct"/>
            <w:vAlign w:val="center"/>
          </w:tcPr>
          <w:p w14:paraId="2052ED78">
            <w:pPr>
              <w:jc w:val="center"/>
              <w:rPr>
                <w:rFonts w:hint="eastAsia" w:eastAsiaTheme="minorEastAsia"/>
                <w:bCs/>
                <w:szCs w:val="21"/>
                <w:lang w:val="en-US" w:eastAsia="zh-CN"/>
              </w:rPr>
            </w:pPr>
            <w:r>
              <w:rPr>
                <w:rFonts w:hint="eastAsia"/>
                <w:bCs/>
                <w:szCs w:val="21"/>
                <w:lang w:val="en-US" w:eastAsia="zh-CN"/>
              </w:rPr>
              <w:t>2</w:t>
            </w:r>
          </w:p>
        </w:tc>
        <w:tc>
          <w:tcPr>
            <w:tcW w:w="1225" w:type="pct"/>
            <w:vAlign w:val="center"/>
          </w:tcPr>
          <w:p w14:paraId="4E969D07">
            <w:pPr>
              <w:widowControl/>
              <w:jc w:val="center"/>
              <w:textAlignment w:val="center"/>
              <w:rPr>
                <w:rFonts w:hint="eastAsia"/>
                <w:bCs/>
                <w:szCs w:val="21"/>
                <w:highlight w:val="yellow"/>
              </w:rPr>
            </w:pPr>
            <w:r>
              <w:rPr>
                <w:rFonts w:hint="eastAsia" w:ascii="宋体" w:hAnsi="宋体"/>
                <w:szCs w:val="21"/>
              </w:rPr>
              <w:t>空气采样器</w:t>
            </w:r>
            <w:r>
              <w:rPr>
                <w:rFonts w:hint="eastAsia" w:ascii="宋体" w:hAnsi="宋体"/>
                <w:szCs w:val="21"/>
                <w:lang w:val="en-US" w:eastAsia="zh-CN"/>
              </w:rPr>
              <w:t>专用金属PM10可吸入颗粒物切割器（中流量 ）</w:t>
            </w:r>
          </w:p>
        </w:tc>
        <w:tc>
          <w:tcPr>
            <w:tcW w:w="547" w:type="dxa"/>
            <w:vAlign w:val="center"/>
          </w:tcPr>
          <w:p w14:paraId="531BB637">
            <w:pPr>
              <w:widowControl/>
              <w:jc w:val="center"/>
              <w:textAlignment w:val="center"/>
              <w:rPr>
                <w:rFonts w:hint="eastAsia"/>
                <w:bCs/>
                <w:szCs w:val="21"/>
              </w:rPr>
            </w:pPr>
            <w:r>
              <w:rPr>
                <w:rFonts w:hint="eastAsia" w:ascii="宋体" w:hAnsi="宋体"/>
                <w:bCs/>
                <w:szCs w:val="21"/>
                <w:lang w:val="en-US" w:eastAsia="zh-CN"/>
              </w:rPr>
              <w:t>6</w:t>
            </w:r>
          </w:p>
        </w:tc>
        <w:tc>
          <w:tcPr>
            <w:tcW w:w="542" w:type="dxa"/>
            <w:vAlign w:val="center"/>
          </w:tcPr>
          <w:p w14:paraId="5DC287C1">
            <w:pPr>
              <w:widowControl/>
              <w:jc w:val="center"/>
              <w:textAlignment w:val="center"/>
              <w:rPr>
                <w:rFonts w:hint="eastAsia"/>
                <w:bCs/>
                <w:szCs w:val="21"/>
              </w:rPr>
            </w:pPr>
            <w:r>
              <w:rPr>
                <w:rFonts w:hint="eastAsia" w:ascii="宋体" w:hAnsi="宋体"/>
                <w:szCs w:val="21"/>
                <w:lang w:val="en-US" w:eastAsia="zh-CN"/>
              </w:rPr>
              <w:t>台</w:t>
            </w:r>
          </w:p>
        </w:tc>
        <w:tc>
          <w:tcPr>
            <w:tcW w:w="777" w:type="pct"/>
            <w:vAlign w:val="center"/>
          </w:tcPr>
          <w:p w14:paraId="2778CD3B">
            <w:pPr>
              <w:jc w:val="center"/>
              <w:rPr>
                <w:rFonts w:hint="eastAsia"/>
                <w:b/>
                <w:bCs/>
                <w:szCs w:val="21"/>
              </w:rPr>
            </w:pPr>
            <w:r>
              <w:rPr>
                <w:rFonts w:hint="eastAsia" w:ascii="宋体" w:hAnsi="宋体"/>
                <w:bCs/>
                <w:szCs w:val="21"/>
                <w:lang w:val="en-US" w:eastAsia="zh-CN"/>
              </w:rPr>
              <w:t>1</w:t>
            </w:r>
          </w:p>
        </w:tc>
        <w:tc>
          <w:tcPr>
            <w:tcW w:w="666" w:type="pct"/>
            <w:vAlign w:val="center"/>
          </w:tcPr>
          <w:p w14:paraId="2015ED36">
            <w:pPr>
              <w:jc w:val="center"/>
              <w:rPr>
                <w:rFonts w:hint="eastAsia"/>
                <w:b/>
                <w:bCs/>
                <w:szCs w:val="21"/>
              </w:rPr>
            </w:pPr>
            <w:r>
              <w:rPr>
                <w:rFonts w:hint="eastAsia"/>
                <w:b/>
                <w:bCs/>
                <w:szCs w:val="21"/>
              </w:rPr>
              <w:t>拒绝进口</w:t>
            </w:r>
          </w:p>
        </w:tc>
        <w:tc>
          <w:tcPr>
            <w:tcW w:w="764" w:type="pct"/>
            <w:vAlign w:val="center"/>
          </w:tcPr>
          <w:p w14:paraId="0F7D6EEC">
            <w:pPr>
              <w:jc w:val="center"/>
              <w:rPr>
                <w:rFonts w:hint="eastAsia"/>
                <w:b/>
                <w:bCs/>
                <w:color w:val="FF0000"/>
                <w:szCs w:val="21"/>
              </w:rPr>
            </w:pPr>
            <w:r>
              <w:rPr>
                <w:rFonts w:hint="eastAsia"/>
                <w:b/>
                <w:bCs/>
                <w:color w:val="FF0000"/>
                <w:szCs w:val="21"/>
              </w:rPr>
              <w:t>否</w:t>
            </w:r>
          </w:p>
        </w:tc>
        <w:tc>
          <w:tcPr>
            <w:tcW w:w="662" w:type="pct"/>
            <w:vAlign w:val="center"/>
          </w:tcPr>
          <w:p w14:paraId="04EF16A2">
            <w:pPr>
              <w:jc w:val="center"/>
              <w:rPr>
                <w:rFonts w:hint="eastAsia"/>
                <w:b/>
                <w:bCs/>
                <w:color w:val="FF0000"/>
                <w:szCs w:val="21"/>
              </w:rPr>
            </w:pPr>
            <w:r>
              <w:rPr>
                <w:rFonts w:hint="eastAsia"/>
                <w:b/>
                <w:bCs/>
                <w:color w:val="FF0000"/>
                <w:szCs w:val="21"/>
              </w:rPr>
              <w:t>工业</w:t>
            </w:r>
          </w:p>
        </w:tc>
      </w:tr>
      <w:tr w14:paraId="5A38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264" w:type="pct"/>
            <w:vAlign w:val="center"/>
          </w:tcPr>
          <w:p w14:paraId="41B10318">
            <w:pPr>
              <w:jc w:val="center"/>
              <w:rPr>
                <w:rFonts w:hint="eastAsia" w:eastAsiaTheme="minorEastAsia"/>
                <w:bCs/>
                <w:szCs w:val="21"/>
                <w:lang w:val="en-US" w:eastAsia="zh-CN"/>
              </w:rPr>
            </w:pPr>
            <w:r>
              <w:rPr>
                <w:rFonts w:hint="eastAsia"/>
                <w:bCs/>
                <w:szCs w:val="21"/>
                <w:lang w:val="en-US" w:eastAsia="zh-CN"/>
              </w:rPr>
              <w:t>3</w:t>
            </w:r>
          </w:p>
        </w:tc>
        <w:tc>
          <w:tcPr>
            <w:tcW w:w="1225" w:type="pct"/>
            <w:vAlign w:val="center"/>
          </w:tcPr>
          <w:p w14:paraId="323AE676">
            <w:pPr>
              <w:widowControl/>
              <w:jc w:val="center"/>
              <w:textAlignment w:val="center"/>
              <w:rPr>
                <w:rFonts w:hint="eastAsia"/>
                <w:bCs/>
                <w:szCs w:val="21"/>
                <w:highlight w:val="yellow"/>
              </w:rPr>
            </w:pPr>
            <w:r>
              <w:rPr>
                <w:rFonts w:hint="eastAsia" w:ascii="宋体" w:hAnsi="宋体"/>
                <w:szCs w:val="21"/>
              </w:rPr>
              <w:t>空气采样器</w:t>
            </w:r>
            <w:r>
              <w:rPr>
                <w:rFonts w:hint="eastAsia" w:ascii="宋体" w:hAnsi="宋体"/>
                <w:szCs w:val="21"/>
                <w:lang w:val="en-US" w:eastAsia="zh-CN"/>
              </w:rPr>
              <w:t>专用金属PM1可吸入颗粒物切割器(中流量）</w:t>
            </w:r>
          </w:p>
        </w:tc>
        <w:tc>
          <w:tcPr>
            <w:tcW w:w="547" w:type="dxa"/>
            <w:vAlign w:val="center"/>
          </w:tcPr>
          <w:p w14:paraId="71370194">
            <w:pPr>
              <w:widowControl/>
              <w:jc w:val="center"/>
              <w:textAlignment w:val="center"/>
              <w:rPr>
                <w:rFonts w:hint="eastAsia"/>
                <w:bCs/>
                <w:szCs w:val="21"/>
              </w:rPr>
            </w:pPr>
            <w:r>
              <w:rPr>
                <w:rFonts w:hint="eastAsia" w:ascii="宋体" w:hAnsi="宋体"/>
                <w:bCs/>
                <w:szCs w:val="21"/>
                <w:lang w:val="en-US" w:eastAsia="zh-CN"/>
              </w:rPr>
              <w:t>6</w:t>
            </w:r>
          </w:p>
        </w:tc>
        <w:tc>
          <w:tcPr>
            <w:tcW w:w="542" w:type="dxa"/>
            <w:vAlign w:val="center"/>
          </w:tcPr>
          <w:p w14:paraId="1D023A8A">
            <w:pPr>
              <w:widowControl/>
              <w:jc w:val="center"/>
              <w:textAlignment w:val="center"/>
              <w:rPr>
                <w:rFonts w:hint="eastAsia"/>
                <w:bCs/>
                <w:szCs w:val="21"/>
              </w:rPr>
            </w:pPr>
            <w:r>
              <w:rPr>
                <w:rFonts w:hint="eastAsia" w:ascii="宋体" w:hAnsi="宋体"/>
                <w:szCs w:val="21"/>
                <w:lang w:val="en-US" w:eastAsia="zh-CN"/>
              </w:rPr>
              <w:t>台</w:t>
            </w:r>
          </w:p>
        </w:tc>
        <w:tc>
          <w:tcPr>
            <w:tcW w:w="777" w:type="pct"/>
            <w:vAlign w:val="center"/>
          </w:tcPr>
          <w:p w14:paraId="7DB98E8B">
            <w:pPr>
              <w:jc w:val="center"/>
              <w:rPr>
                <w:rFonts w:hint="eastAsia"/>
                <w:b/>
                <w:bCs/>
                <w:szCs w:val="21"/>
              </w:rPr>
            </w:pPr>
            <w:r>
              <w:rPr>
                <w:rFonts w:hint="eastAsia" w:ascii="宋体" w:hAnsi="宋体"/>
                <w:bCs/>
                <w:szCs w:val="21"/>
                <w:lang w:val="en-US" w:eastAsia="zh-CN"/>
              </w:rPr>
              <w:t>1.3</w:t>
            </w:r>
          </w:p>
        </w:tc>
        <w:tc>
          <w:tcPr>
            <w:tcW w:w="666" w:type="pct"/>
            <w:vAlign w:val="center"/>
          </w:tcPr>
          <w:p w14:paraId="38E75E78">
            <w:pPr>
              <w:jc w:val="center"/>
              <w:rPr>
                <w:rFonts w:hint="eastAsia"/>
                <w:b/>
                <w:bCs/>
                <w:szCs w:val="21"/>
              </w:rPr>
            </w:pPr>
            <w:r>
              <w:rPr>
                <w:rFonts w:hint="eastAsia"/>
                <w:b/>
                <w:bCs/>
                <w:szCs w:val="21"/>
              </w:rPr>
              <w:t>拒绝进口</w:t>
            </w:r>
          </w:p>
        </w:tc>
        <w:tc>
          <w:tcPr>
            <w:tcW w:w="764" w:type="pct"/>
            <w:vAlign w:val="center"/>
          </w:tcPr>
          <w:p w14:paraId="4F1E836F">
            <w:pPr>
              <w:jc w:val="center"/>
              <w:rPr>
                <w:rFonts w:hint="eastAsia"/>
                <w:b/>
                <w:bCs/>
                <w:color w:val="FF0000"/>
                <w:szCs w:val="21"/>
              </w:rPr>
            </w:pPr>
            <w:r>
              <w:rPr>
                <w:rFonts w:hint="eastAsia"/>
                <w:b/>
                <w:bCs/>
                <w:color w:val="FF0000"/>
                <w:szCs w:val="21"/>
              </w:rPr>
              <w:t>否</w:t>
            </w:r>
          </w:p>
        </w:tc>
        <w:tc>
          <w:tcPr>
            <w:tcW w:w="662" w:type="pct"/>
            <w:vAlign w:val="center"/>
          </w:tcPr>
          <w:p w14:paraId="6850EC72">
            <w:pPr>
              <w:jc w:val="center"/>
              <w:rPr>
                <w:rFonts w:hint="eastAsia"/>
                <w:b/>
                <w:bCs/>
                <w:color w:val="FF0000"/>
                <w:szCs w:val="21"/>
              </w:rPr>
            </w:pPr>
            <w:r>
              <w:rPr>
                <w:rFonts w:hint="eastAsia"/>
                <w:b/>
                <w:bCs/>
                <w:color w:val="FF0000"/>
                <w:szCs w:val="21"/>
              </w:rPr>
              <w:t>工业</w:t>
            </w: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rPr>
        <w:t>空气采样器专用金属PM1可吸入颗粒物切割器(中流量）</w:t>
      </w:r>
      <w:r>
        <w:rPr>
          <w:rFonts w:hint="eastAsia" w:ascii="宋体" w:hAnsi="宋体"/>
          <w:b/>
          <w:color w:val="FF0000"/>
          <w:szCs w:val="21"/>
          <w:u w:val="single"/>
        </w:rPr>
        <w:t xml:space="preserve">   </w:t>
      </w:r>
      <w:r>
        <w:rPr>
          <w:rFonts w:hint="eastAsia" w:ascii="宋体" w:hAnsi="宋体"/>
          <w:b/>
          <w:color w:val="FF0000"/>
          <w:szCs w:val="21"/>
        </w:rPr>
        <w:t>。</w:t>
      </w:r>
    </w:p>
    <w:bookmarkEnd w:id="35"/>
    <w:p w14:paraId="1867A013">
      <w:pPr>
        <w:rPr>
          <w:rFonts w:ascii="宋体" w:hAnsi="宋体"/>
          <w:b/>
          <w:color w:val="FF0000"/>
          <w:szCs w:val="21"/>
        </w:rPr>
      </w:pPr>
    </w:p>
    <w:p w14:paraId="7406D443">
      <w:pPr>
        <w:pStyle w:val="8"/>
      </w:pPr>
    </w:p>
    <w:p w14:paraId="0F6AB735">
      <w:pPr>
        <w:pStyle w:val="6"/>
        <w:spacing w:before="120" w:beforeLines="50" w:after="120" w:afterLines="50"/>
        <w:jc w:val="center"/>
        <w:rPr>
          <w:sz w:val="28"/>
          <w:szCs w:val="28"/>
        </w:rPr>
      </w:pPr>
      <w:bookmarkStart w:id="36"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6"/>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8"/>
      </w:pPr>
    </w:p>
    <w:p w14:paraId="2EF04E75">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37"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8"/>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301"/>
        <w:gridCol w:w="6485"/>
      </w:tblGrid>
      <w:tr w14:paraId="2FC8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74" w:type="dxa"/>
            <w:vAlign w:val="center"/>
          </w:tcPr>
          <w:p w14:paraId="5F4012E4">
            <w:pPr>
              <w:jc w:val="center"/>
              <w:rPr>
                <w:color w:val="000000" w:themeColor="text1"/>
                <w:szCs w:val="21"/>
              </w:rPr>
            </w:pPr>
            <w:bookmarkStart w:id="38" w:name="_Hlk70236148"/>
            <w:r>
              <w:rPr>
                <w:color w:val="000000" w:themeColor="text1"/>
                <w:szCs w:val="21"/>
              </w:rPr>
              <w:t>序号</w:t>
            </w:r>
          </w:p>
        </w:tc>
        <w:tc>
          <w:tcPr>
            <w:tcW w:w="1301" w:type="dxa"/>
            <w:vAlign w:val="center"/>
          </w:tcPr>
          <w:p w14:paraId="772A0169">
            <w:pPr>
              <w:widowControl/>
              <w:jc w:val="center"/>
              <w:rPr>
                <w:color w:val="000000" w:themeColor="text1"/>
                <w:szCs w:val="21"/>
              </w:rPr>
            </w:pPr>
            <w:r>
              <w:rPr>
                <w:color w:val="000000" w:themeColor="text1"/>
                <w:szCs w:val="21"/>
              </w:rPr>
              <w:t>货物名称</w:t>
            </w:r>
          </w:p>
        </w:tc>
        <w:tc>
          <w:tcPr>
            <w:tcW w:w="6485" w:type="dxa"/>
            <w:vAlign w:val="center"/>
          </w:tcPr>
          <w:p w14:paraId="7FE7A5A5">
            <w:pPr>
              <w:jc w:val="center"/>
              <w:rPr>
                <w:color w:val="000000" w:themeColor="text1"/>
                <w:szCs w:val="21"/>
              </w:rPr>
            </w:pPr>
            <w:r>
              <w:rPr>
                <w:rFonts w:hint="eastAsia"/>
                <w:color w:val="000000" w:themeColor="text1"/>
                <w:szCs w:val="21"/>
              </w:rPr>
              <w:t>招标</w:t>
            </w:r>
            <w:r>
              <w:rPr>
                <w:color w:val="000000" w:themeColor="text1"/>
                <w:szCs w:val="21"/>
              </w:rPr>
              <w:t>技术要求</w:t>
            </w:r>
          </w:p>
        </w:tc>
      </w:tr>
      <w:tr w14:paraId="638A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4FD72D39">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w:t>
            </w:r>
          </w:p>
        </w:tc>
        <w:tc>
          <w:tcPr>
            <w:tcW w:w="1301" w:type="dxa"/>
            <w:vMerge w:val="restart"/>
            <w:vAlign w:val="center"/>
          </w:tcPr>
          <w:p w14:paraId="64AEBF1A">
            <w:pPr>
              <w:keepNext w:val="0"/>
              <w:keepLines w:val="0"/>
              <w:widowControl/>
              <w:suppressLineNumbers w:val="0"/>
              <w:jc w:val="center"/>
              <w:textAlignment w:val="center"/>
              <w:rPr>
                <w:rFonts w:eastAsia="宋体"/>
                <w:color w:val="000000" w:themeColor="text1"/>
                <w:szCs w:val="21"/>
              </w:rPr>
            </w:pPr>
            <w:r>
              <w:rPr>
                <w:rFonts w:hint="eastAsia" w:ascii="宋体" w:hAnsi="宋体" w:eastAsia="宋体" w:cs="宋体"/>
                <w:b/>
                <w:bCs/>
                <w:i w:val="0"/>
                <w:iCs w:val="0"/>
                <w:color w:val="000000"/>
                <w:kern w:val="0"/>
                <w:sz w:val="24"/>
                <w:szCs w:val="24"/>
                <w:u w:val="none"/>
                <w:lang w:val="en-US" w:eastAsia="zh-CN" w:bidi="ar"/>
              </w:rPr>
              <w:t>空气采样器专用金属</w:t>
            </w:r>
            <w:r>
              <w:rPr>
                <w:rStyle w:val="39"/>
                <w:rFonts w:eastAsia="宋体"/>
                <w:sz w:val="24"/>
                <w:szCs w:val="24"/>
                <w:lang w:val="en-US" w:eastAsia="zh-CN" w:bidi="ar"/>
              </w:rPr>
              <w:t>PM10</w:t>
            </w:r>
            <w:r>
              <w:rPr>
                <w:rStyle w:val="40"/>
                <w:sz w:val="24"/>
                <w:szCs w:val="24"/>
                <w:lang w:val="en-US" w:eastAsia="zh-CN" w:bidi="ar"/>
              </w:rPr>
              <w:t>可吸入颗粒物切割器（大流量）</w:t>
            </w:r>
          </w:p>
        </w:tc>
        <w:tc>
          <w:tcPr>
            <w:tcW w:w="6485" w:type="dxa"/>
            <w:vAlign w:val="center"/>
          </w:tcPr>
          <w:p w14:paraId="1CCC036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1.实现对大气中可吸入颗粒物的采集，流量为1.05m3/min大流量采样器。</w:t>
            </w:r>
          </w:p>
        </w:tc>
      </w:tr>
      <w:tr w14:paraId="5632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013E38AA">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2</w:t>
            </w:r>
          </w:p>
        </w:tc>
        <w:tc>
          <w:tcPr>
            <w:tcW w:w="1301" w:type="dxa"/>
            <w:vMerge w:val="continue"/>
            <w:vAlign w:val="center"/>
          </w:tcPr>
          <w:p w14:paraId="4B286A36">
            <w:pPr>
              <w:jc w:val="center"/>
              <w:rPr>
                <w:rFonts w:eastAsia="宋体"/>
                <w:color w:val="000000" w:themeColor="text1"/>
                <w:szCs w:val="21"/>
              </w:rPr>
            </w:pPr>
          </w:p>
        </w:tc>
        <w:tc>
          <w:tcPr>
            <w:tcW w:w="6485" w:type="dxa"/>
            <w:vAlign w:val="center"/>
          </w:tcPr>
          <w:p w14:paraId="1EF47CF5">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2.根据冲击式原理设计的 ，均有一个冲击板和捕集板及托座组成</w:t>
            </w:r>
          </w:p>
        </w:tc>
      </w:tr>
      <w:tr w14:paraId="690F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7373FC40">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3</w:t>
            </w:r>
          </w:p>
        </w:tc>
        <w:tc>
          <w:tcPr>
            <w:tcW w:w="1301" w:type="dxa"/>
            <w:vMerge w:val="continue"/>
            <w:vAlign w:val="center"/>
          </w:tcPr>
          <w:p w14:paraId="7C722395">
            <w:pPr>
              <w:jc w:val="center"/>
              <w:rPr>
                <w:rFonts w:eastAsia="宋体"/>
                <w:color w:val="000000" w:themeColor="text1"/>
                <w:szCs w:val="21"/>
              </w:rPr>
            </w:pPr>
          </w:p>
        </w:tc>
        <w:tc>
          <w:tcPr>
            <w:tcW w:w="6485" w:type="dxa"/>
            <w:vAlign w:val="center"/>
          </w:tcPr>
          <w:p w14:paraId="32387B8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3.切割粒径Da50=（10±0.5）µm</w:t>
            </w:r>
          </w:p>
        </w:tc>
      </w:tr>
      <w:tr w14:paraId="1C6C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765DE51B">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4</w:t>
            </w:r>
          </w:p>
        </w:tc>
        <w:tc>
          <w:tcPr>
            <w:tcW w:w="1301" w:type="dxa"/>
            <w:vMerge w:val="continue"/>
            <w:vAlign w:val="center"/>
          </w:tcPr>
          <w:p w14:paraId="3F39E554">
            <w:pPr>
              <w:jc w:val="center"/>
              <w:rPr>
                <w:rFonts w:eastAsia="宋体"/>
                <w:color w:val="000000" w:themeColor="text1"/>
                <w:szCs w:val="21"/>
              </w:rPr>
            </w:pPr>
          </w:p>
        </w:tc>
        <w:tc>
          <w:tcPr>
            <w:tcW w:w="6485" w:type="dxa"/>
            <w:vAlign w:val="center"/>
          </w:tcPr>
          <w:p w14:paraId="38D139D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4.颗粒物捕集效率的几何偏差σg ≤（1.5±0.1）</w:t>
            </w:r>
          </w:p>
        </w:tc>
      </w:tr>
      <w:tr w14:paraId="439D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3804D9B7">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5</w:t>
            </w:r>
          </w:p>
        </w:tc>
        <w:tc>
          <w:tcPr>
            <w:tcW w:w="1301" w:type="dxa"/>
            <w:vMerge w:val="continue"/>
            <w:vAlign w:val="center"/>
          </w:tcPr>
          <w:p w14:paraId="3EC7B32F">
            <w:pPr>
              <w:jc w:val="center"/>
              <w:rPr>
                <w:rFonts w:eastAsia="宋体"/>
                <w:color w:val="000000" w:themeColor="text1"/>
                <w:szCs w:val="21"/>
              </w:rPr>
            </w:pPr>
          </w:p>
        </w:tc>
        <w:tc>
          <w:tcPr>
            <w:tcW w:w="6485" w:type="dxa"/>
            <w:vAlign w:val="center"/>
          </w:tcPr>
          <w:p w14:paraId="4BBFA70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5.入口流速0.3m/s</w:t>
            </w:r>
          </w:p>
        </w:tc>
      </w:tr>
      <w:tr w14:paraId="2CF7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7D05849F">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6</w:t>
            </w:r>
          </w:p>
        </w:tc>
        <w:tc>
          <w:tcPr>
            <w:tcW w:w="1301" w:type="dxa"/>
            <w:vMerge w:val="continue"/>
            <w:vAlign w:val="center"/>
          </w:tcPr>
          <w:p w14:paraId="1E4060A3">
            <w:pPr>
              <w:jc w:val="center"/>
              <w:rPr>
                <w:rFonts w:eastAsia="宋体"/>
                <w:color w:val="000000" w:themeColor="text1"/>
                <w:szCs w:val="21"/>
              </w:rPr>
            </w:pPr>
          </w:p>
        </w:tc>
        <w:tc>
          <w:tcPr>
            <w:tcW w:w="6485" w:type="dxa"/>
            <w:vAlign w:val="center"/>
          </w:tcPr>
          <w:p w14:paraId="60272C5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6.滤膜尺寸≥200mm×250mm，有效滤膜尺寸≥180mm×230mm</w:t>
            </w:r>
          </w:p>
        </w:tc>
      </w:tr>
      <w:tr w14:paraId="71FC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57435F93">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7</w:t>
            </w:r>
          </w:p>
        </w:tc>
        <w:tc>
          <w:tcPr>
            <w:tcW w:w="1301" w:type="dxa"/>
            <w:vMerge w:val="continue"/>
            <w:vAlign w:val="center"/>
          </w:tcPr>
          <w:p w14:paraId="1A2B0156">
            <w:pPr>
              <w:jc w:val="center"/>
              <w:rPr>
                <w:rFonts w:eastAsia="宋体"/>
                <w:color w:val="000000" w:themeColor="text1"/>
                <w:szCs w:val="21"/>
              </w:rPr>
            </w:pPr>
          </w:p>
        </w:tc>
        <w:tc>
          <w:tcPr>
            <w:tcW w:w="6485" w:type="dxa"/>
            <w:vAlign w:val="center"/>
          </w:tcPr>
          <w:p w14:paraId="7C3558F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7.安装尺寸（孔距）(190×240)mm</w:t>
            </w:r>
          </w:p>
        </w:tc>
      </w:tr>
      <w:tr w14:paraId="31E3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09B77061">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8</w:t>
            </w:r>
          </w:p>
        </w:tc>
        <w:tc>
          <w:tcPr>
            <w:tcW w:w="1301" w:type="dxa"/>
            <w:vMerge w:val="continue"/>
            <w:vAlign w:val="center"/>
          </w:tcPr>
          <w:p w14:paraId="5CC33BD5">
            <w:pPr>
              <w:jc w:val="center"/>
              <w:rPr>
                <w:rFonts w:eastAsia="宋体"/>
                <w:color w:val="000000" w:themeColor="text1"/>
                <w:szCs w:val="21"/>
              </w:rPr>
            </w:pPr>
          </w:p>
        </w:tc>
        <w:tc>
          <w:tcPr>
            <w:tcW w:w="6485" w:type="dxa"/>
            <w:vAlign w:val="center"/>
          </w:tcPr>
          <w:p w14:paraId="34547E08">
            <w:pPr>
              <w:keepNext w:val="0"/>
              <w:keepLines w:val="0"/>
              <w:widowControl/>
              <w:suppressLineNumbers w:val="0"/>
              <w:jc w:val="left"/>
              <w:textAlignment w:val="center"/>
              <w:rPr>
                <w:color w:val="000000" w:themeColor="text1"/>
                <w:szCs w:val="21"/>
              </w:rPr>
            </w:pPr>
            <w:r>
              <w:rPr>
                <w:rFonts w:hint="eastAsia" w:ascii="宋体" w:hAnsi="宋体" w:eastAsia="宋体" w:cs="宋体"/>
                <w:b/>
                <w:bCs/>
                <w:i w:val="0"/>
                <w:iCs w:val="0"/>
                <w:color w:val="000000"/>
                <w:kern w:val="0"/>
                <w:sz w:val="24"/>
                <w:szCs w:val="24"/>
                <w:u w:val="none"/>
                <w:lang w:val="en-US" w:eastAsia="zh-CN" w:bidi="ar"/>
              </w:rPr>
              <w:t>8.需配置仪器的性能</w:t>
            </w:r>
          </w:p>
        </w:tc>
      </w:tr>
      <w:tr w14:paraId="34BE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1F9D722B">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9</w:t>
            </w:r>
          </w:p>
        </w:tc>
        <w:tc>
          <w:tcPr>
            <w:tcW w:w="1301" w:type="dxa"/>
            <w:vMerge w:val="continue"/>
            <w:vAlign w:val="center"/>
          </w:tcPr>
          <w:p w14:paraId="5944FA12">
            <w:pPr>
              <w:jc w:val="center"/>
              <w:rPr>
                <w:rFonts w:eastAsia="宋体"/>
                <w:color w:val="000000" w:themeColor="text1"/>
                <w:szCs w:val="21"/>
              </w:rPr>
            </w:pPr>
          </w:p>
        </w:tc>
        <w:tc>
          <w:tcPr>
            <w:tcW w:w="6485" w:type="dxa"/>
            <w:vAlign w:val="center"/>
          </w:tcPr>
          <w:p w14:paraId="10DA90D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8.1▲采样流量范围：0.8～1.2m3/min</w:t>
            </w:r>
          </w:p>
        </w:tc>
      </w:tr>
      <w:tr w14:paraId="3DAF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397A94EA">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w:t>
            </w:r>
          </w:p>
        </w:tc>
        <w:tc>
          <w:tcPr>
            <w:tcW w:w="1301" w:type="dxa"/>
            <w:vMerge w:val="continue"/>
            <w:vAlign w:val="center"/>
          </w:tcPr>
          <w:p w14:paraId="11E62E66">
            <w:pPr>
              <w:jc w:val="center"/>
              <w:rPr>
                <w:rFonts w:eastAsia="宋体"/>
                <w:color w:val="000000" w:themeColor="text1"/>
                <w:szCs w:val="21"/>
              </w:rPr>
            </w:pPr>
          </w:p>
        </w:tc>
        <w:tc>
          <w:tcPr>
            <w:tcW w:w="6485" w:type="dxa"/>
            <w:vAlign w:val="center"/>
          </w:tcPr>
          <w:p w14:paraId="65AB809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8.2流量控制稳定性≤3%（电压在198～242V波动，阻力在3～6kPa变化）</w:t>
            </w:r>
          </w:p>
        </w:tc>
      </w:tr>
      <w:tr w14:paraId="4A5C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1ADB2F73">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11</w:t>
            </w:r>
          </w:p>
        </w:tc>
        <w:tc>
          <w:tcPr>
            <w:tcW w:w="1301" w:type="dxa"/>
            <w:vMerge w:val="continue"/>
            <w:vAlign w:val="center"/>
          </w:tcPr>
          <w:p w14:paraId="65289727">
            <w:pPr>
              <w:jc w:val="center"/>
              <w:rPr>
                <w:rFonts w:eastAsia="宋体"/>
                <w:color w:val="000000" w:themeColor="text1"/>
                <w:szCs w:val="21"/>
              </w:rPr>
            </w:pPr>
          </w:p>
        </w:tc>
        <w:tc>
          <w:tcPr>
            <w:tcW w:w="6485" w:type="dxa"/>
            <w:vAlign w:val="center"/>
          </w:tcPr>
          <w:p w14:paraId="35E6DD1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8.3流量准确度</w:t>
            </w:r>
            <w:r>
              <w:rPr>
                <w:rStyle w:val="41"/>
                <w:lang w:val="en-US" w:eastAsia="zh-CN" w:bidi="ar"/>
              </w:rPr>
              <w:t xml:space="preserve"> ≤±2.5%</w:t>
            </w:r>
          </w:p>
        </w:tc>
      </w:tr>
      <w:tr w14:paraId="1224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4E10A970">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12</w:t>
            </w:r>
          </w:p>
        </w:tc>
        <w:tc>
          <w:tcPr>
            <w:tcW w:w="1301" w:type="dxa"/>
            <w:vMerge w:val="continue"/>
            <w:vAlign w:val="center"/>
          </w:tcPr>
          <w:p w14:paraId="0BF41426">
            <w:pPr>
              <w:jc w:val="center"/>
              <w:rPr>
                <w:rFonts w:eastAsia="宋体"/>
                <w:color w:val="000000" w:themeColor="text1"/>
                <w:szCs w:val="21"/>
              </w:rPr>
            </w:pPr>
          </w:p>
        </w:tc>
        <w:tc>
          <w:tcPr>
            <w:tcW w:w="6485" w:type="dxa"/>
            <w:vAlign w:val="center"/>
          </w:tcPr>
          <w:p w14:paraId="75C1D9D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8.4预置间隔≤99小时，准确度：≤0.1%</w:t>
            </w:r>
          </w:p>
        </w:tc>
      </w:tr>
      <w:tr w14:paraId="12A7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306014D3">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13</w:t>
            </w:r>
          </w:p>
        </w:tc>
        <w:tc>
          <w:tcPr>
            <w:tcW w:w="1301" w:type="dxa"/>
            <w:vMerge w:val="continue"/>
            <w:vAlign w:val="center"/>
          </w:tcPr>
          <w:p w14:paraId="1A625359">
            <w:pPr>
              <w:jc w:val="center"/>
              <w:rPr>
                <w:rFonts w:eastAsia="宋体"/>
                <w:color w:val="000000" w:themeColor="text1"/>
                <w:szCs w:val="21"/>
              </w:rPr>
            </w:pPr>
          </w:p>
        </w:tc>
        <w:tc>
          <w:tcPr>
            <w:tcW w:w="6485" w:type="dxa"/>
            <w:vAlign w:val="center"/>
          </w:tcPr>
          <w:p w14:paraId="5EAFF70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8.5极限负压40kPa</w:t>
            </w:r>
          </w:p>
        </w:tc>
      </w:tr>
      <w:tr w14:paraId="37FD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5E6CFD03">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14</w:t>
            </w:r>
          </w:p>
        </w:tc>
        <w:tc>
          <w:tcPr>
            <w:tcW w:w="1301" w:type="dxa"/>
            <w:vMerge w:val="continue"/>
            <w:vAlign w:val="center"/>
          </w:tcPr>
          <w:p w14:paraId="7CBB96BD">
            <w:pPr>
              <w:jc w:val="center"/>
              <w:rPr>
                <w:rFonts w:eastAsia="宋体"/>
                <w:color w:val="000000" w:themeColor="text1"/>
                <w:szCs w:val="21"/>
              </w:rPr>
            </w:pPr>
          </w:p>
        </w:tc>
        <w:tc>
          <w:tcPr>
            <w:tcW w:w="6485" w:type="dxa"/>
            <w:vAlign w:val="center"/>
          </w:tcPr>
          <w:p w14:paraId="08F674D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8.6计时精度≤±1‰/24h</w:t>
            </w:r>
          </w:p>
        </w:tc>
      </w:tr>
      <w:tr w14:paraId="5E9D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562845B0">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15</w:t>
            </w:r>
          </w:p>
        </w:tc>
        <w:tc>
          <w:tcPr>
            <w:tcW w:w="1301" w:type="dxa"/>
            <w:vMerge w:val="continue"/>
            <w:vAlign w:val="center"/>
          </w:tcPr>
          <w:p w14:paraId="47D76152">
            <w:pPr>
              <w:jc w:val="center"/>
              <w:rPr>
                <w:rFonts w:eastAsia="宋体"/>
                <w:color w:val="000000" w:themeColor="text1"/>
                <w:szCs w:val="21"/>
              </w:rPr>
            </w:pPr>
          </w:p>
        </w:tc>
        <w:tc>
          <w:tcPr>
            <w:tcW w:w="6485" w:type="dxa"/>
            <w:vAlign w:val="center"/>
          </w:tcPr>
          <w:p w14:paraId="6F33448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8.7恒流响应速度≤3%</w:t>
            </w:r>
            <w:r>
              <w:rPr>
                <w:rStyle w:val="41"/>
                <w:lang w:val="en-US" w:eastAsia="zh-CN" w:bidi="ar"/>
              </w:rPr>
              <w:t xml:space="preserve"> </w:t>
            </w:r>
          </w:p>
        </w:tc>
      </w:tr>
      <w:tr w14:paraId="6CB0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220BE7C3">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16</w:t>
            </w:r>
          </w:p>
        </w:tc>
        <w:tc>
          <w:tcPr>
            <w:tcW w:w="1301" w:type="dxa"/>
            <w:vMerge w:val="continue"/>
            <w:vAlign w:val="center"/>
          </w:tcPr>
          <w:p w14:paraId="69D1E3AA">
            <w:pPr>
              <w:jc w:val="center"/>
              <w:rPr>
                <w:rFonts w:eastAsia="宋体"/>
                <w:color w:val="000000" w:themeColor="text1"/>
                <w:szCs w:val="21"/>
              </w:rPr>
            </w:pPr>
          </w:p>
        </w:tc>
        <w:tc>
          <w:tcPr>
            <w:tcW w:w="6485" w:type="dxa"/>
            <w:vAlign w:val="center"/>
          </w:tcPr>
          <w:p w14:paraId="53BFD2F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8.8预置采时≤99小时，准确度：≤0.1%</w:t>
            </w:r>
          </w:p>
        </w:tc>
      </w:tr>
      <w:tr w14:paraId="5894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1A0A4B9D">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17</w:t>
            </w:r>
          </w:p>
        </w:tc>
        <w:tc>
          <w:tcPr>
            <w:tcW w:w="1301" w:type="dxa"/>
            <w:vMerge w:val="restart"/>
            <w:vAlign w:val="center"/>
          </w:tcPr>
          <w:p w14:paraId="5C1CA79C">
            <w:pPr>
              <w:keepNext w:val="0"/>
              <w:keepLines w:val="0"/>
              <w:widowControl/>
              <w:suppressLineNumbers w:val="0"/>
              <w:jc w:val="center"/>
              <w:textAlignment w:val="center"/>
              <w:rPr>
                <w:rFonts w:eastAsia="宋体"/>
                <w:color w:val="000000" w:themeColor="text1"/>
                <w:szCs w:val="21"/>
              </w:rPr>
            </w:pPr>
            <w:r>
              <w:rPr>
                <w:rFonts w:hint="eastAsia" w:ascii="宋体" w:hAnsi="宋体" w:eastAsia="宋体" w:cs="宋体"/>
                <w:b/>
                <w:bCs/>
                <w:i w:val="0"/>
                <w:iCs w:val="0"/>
                <w:color w:val="000000"/>
                <w:kern w:val="0"/>
                <w:sz w:val="24"/>
                <w:szCs w:val="24"/>
                <w:u w:val="none"/>
                <w:lang w:val="en-US" w:eastAsia="zh-CN" w:bidi="ar"/>
              </w:rPr>
              <w:t>空气采样器专用金属</w:t>
            </w:r>
            <w:r>
              <w:rPr>
                <w:rStyle w:val="39"/>
                <w:rFonts w:eastAsia="宋体"/>
                <w:sz w:val="24"/>
                <w:szCs w:val="24"/>
                <w:lang w:val="en-US" w:eastAsia="zh-CN" w:bidi="ar"/>
              </w:rPr>
              <w:t>PM10</w:t>
            </w:r>
            <w:r>
              <w:rPr>
                <w:rStyle w:val="40"/>
                <w:sz w:val="24"/>
                <w:szCs w:val="24"/>
                <w:lang w:val="en-US" w:eastAsia="zh-CN" w:bidi="ar"/>
              </w:rPr>
              <w:t>可吸入颗粒物切割器（中流量）</w:t>
            </w:r>
          </w:p>
        </w:tc>
        <w:tc>
          <w:tcPr>
            <w:tcW w:w="6485" w:type="dxa"/>
            <w:vAlign w:val="center"/>
          </w:tcPr>
          <w:p w14:paraId="371AF4D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1.可根据需要任意组合，实现对大气中可吸入颗粒物的采集，适用于流量为100L/min中流量采样器。</w:t>
            </w:r>
          </w:p>
        </w:tc>
      </w:tr>
      <w:tr w14:paraId="1F0A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15EA7AC7">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18</w:t>
            </w:r>
          </w:p>
        </w:tc>
        <w:tc>
          <w:tcPr>
            <w:tcW w:w="1301" w:type="dxa"/>
            <w:vMerge w:val="continue"/>
            <w:vAlign w:val="center"/>
          </w:tcPr>
          <w:p w14:paraId="3633CD3A">
            <w:pPr>
              <w:jc w:val="center"/>
              <w:rPr>
                <w:rFonts w:eastAsia="宋体"/>
                <w:color w:val="000000" w:themeColor="text1"/>
                <w:szCs w:val="21"/>
              </w:rPr>
            </w:pPr>
          </w:p>
        </w:tc>
        <w:tc>
          <w:tcPr>
            <w:tcW w:w="6485" w:type="dxa"/>
            <w:vAlign w:val="center"/>
          </w:tcPr>
          <w:p w14:paraId="0DEFBFD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2.根据冲击式原理设计的 ，均有一个冲击板和捕集板及托座组成</w:t>
            </w:r>
          </w:p>
        </w:tc>
      </w:tr>
      <w:tr w14:paraId="1EA9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373D97A8">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19</w:t>
            </w:r>
          </w:p>
        </w:tc>
        <w:tc>
          <w:tcPr>
            <w:tcW w:w="1301" w:type="dxa"/>
            <w:vMerge w:val="continue"/>
            <w:vAlign w:val="center"/>
          </w:tcPr>
          <w:p w14:paraId="4157DAF6">
            <w:pPr>
              <w:jc w:val="center"/>
              <w:rPr>
                <w:rFonts w:eastAsia="宋体"/>
                <w:color w:val="000000" w:themeColor="text1"/>
                <w:szCs w:val="21"/>
              </w:rPr>
            </w:pPr>
          </w:p>
        </w:tc>
        <w:tc>
          <w:tcPr>
            <w:tcW w:w="6485" w:type="dxa"/>
            <w:vAlign w:val="center"/>
          </w:tcPr>
          <w:p w14:paraId="7492377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3.▲PM10冲击孔板的孔数为 38 个,孔径为φ5.1毫米；</w:t>
            </w:r>
          </w:p>
        </w:tc>
      </w:tr>
      <w:tr w14:paraId="4E41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4FEB6B1D">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20</w:t>
            </w:r>
          </w:p>
        </w:tc>
        <w:tc>
          <w:tcPr>
            <w:tcW w:w="1301" w:type="dxa"/>
            <w:vMerge w:val="continue"/>
            <w:vAlign w:val="center"/>
          </w:tcPr>
          <w:p w14:paraId="3A3B611F">
            <w:pPr>
              <w:jc w:val="center"/>
              <w:rPr>
                <w:rFonts w:eastAsia="宋体"/>
                <w:color w:val="000000" w:themeColor="text1"/>
                <w:szCs w:val="21"/>
              </w:rPr>
            </w:pPr>
          </w:p>
        </w:tc>
        <w:tc>
          <w:tcPr>
            <w:tcW w:w="6485" w:type="dxa"/>
            <w:vAlign w:val="center"/>
          </w:tcPr>
          <w:p w14:paraId="04B3AC1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4.▲采样流量100L/min</w:t>
            </w:r>
          </w:p>
        </w:tc>
      </w:tr>
      <w:tr w14:paraId="3BA8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Align w:val="center"/>
          </w:tcPr>
          <w:p w14:paraId="520167CB">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21</w:t>
            </w:r>
          </w:p>
        </w:tc>
        <w:tc>
          <w:tcPr>
            <w:tcW w:w="1301" w:type="dxa"/>
            <w:vMerge w:val="continue"/>
            <w:vAlign w:val="center"/>
          </w:tcPr>
          <w:p w14:paraId="14B564D5">
            <w:pPr>
              <w:jc w:val="center"/>
              <w:rPr>
                <w:rFonts w:eastAsia="宋体"/>
                <w:color w:val="000000" w:themeColor="text1"/>
                <w:szCs w:val="21"/>
              </w:rPr>
            </w:pPr>
          </w:p>
        </w:tc>
        <w:tc>
          <w:tcPr>
            <w:tcW w:w="6485" w:type="dxa"/>
            <w:vAlign w:val="center"/>
          </w:tcPr>
          <w:p w14:paraId="461C9B25">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5.切割粒径Da50=（10±0.5）µm</w:t>
            </w:r>
          </w:p>
        </w:tc>
      </w:tr>
      <w:tr w14:paraId="2A3A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0945C860">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1301" w:type="dxa"/>
            <w:vMerge w:val="continue"/>
            <w:vAlign w:val="center"/>
          </w:tcPr>
          <w:p w14:paraId="28CA50B5">
            <w:pPr>
              <w:jc w:val="center"/>
              <w:rPr>
                <w:rFonts w:eastAsia="宋体"/>
                <w:color w:val="000000" w:themeColor="text1"/>
                <w:szCs w:val="21"/>
              </w:rPr>
            </w:pPr>
          </w:p>
        </w:tc>
        <w:tc>
          <w:tcPr>
            <w:tcW w:w="6485" w:type="dxa"/>
            <w:vAlign w:val="center"/>
          </w:tcPr>
          <w:p w14:paraId="7EA0DFF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6.▲颗粒物捕集效率的几何偏差σg ≤（1.5±0.1）</w:t>
            </w:r>
          </w:p>
        </w:tc>
      </w:tr>
      <w:tr w14:paraId="3BDF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30219A2B">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1301" w:type="dxa"/>
            <w:vMerge w:val="continue"/>
            <w:vAlign w:val="center"/>
          </w:tcPr>
          <w:p w14:paraId="60ADEA7D">
            <w:pPr>
              <w:jc w:val="center"/>
              <w:rPr>
                <w:rFonts w:eastAsia="宋体"/>
                <w:color w:val="000000" w:themeColor="text1"/>
                <w:szCs w:val="21"/>
              </w:rPr>
            </w:pPr>
          </w:p>
        </w:tc>
        <w:tc>
          <w:tcPr>
            <w:tcW w:w="6485" w:type="dxa"/>
            <w:vAlign w:val="center"/>
          </w:tcPr>
          <w:p w14:paraId="73A058A4">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7.入口流速0.3m/s</w:t>
            </w:r>
          </w:p>
        </w:tc>
      </w:tr>
      <w:tr w14:paraId="4879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3ED9CE43">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24</w:t>
            </w:r>
          </w:p>
        </w:tc>
        <w:tc>
          <w:tcPr>
            <w:tcW w:w="1301" w:type="dxa"/>
            <w:vMerge w:val="continue"/>
            <w:vAlign w:val="center"/>
          </w:tcPr>
          <w:p w14:paraId="470DD52A">
            <w:pPr>
              <w:jc w:val="center"/>
              <w:rPr>
                <w:rFonts w:eastAsia="宋体"/>
                <w:color w:val="000000" w:themeColor="text1"/>
                <w:szCs w:val="21"/>
              </w:rPr>
            </w:pPr>
          </w:p>
        </w:tc>
        <w:tc>
          <w:tcPr>
            <w:tcW w:w="6485" w:type="dxa"/>
            <w:vAlign w:val="center"/>
          </w:tcPr>
          <w:p w14:paraId="236CCC9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8.滤膜尺寸：Ф90mm，有效滤膜尺寸：Ф80mm</w:t>
            </w:r>
          </w:p>
        </w:tc>
      </w:tr>
      <w:tr w14:paraId="00D3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584EF8C4">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1301" w:type="dxa"/>
            <w:vMerge w:val="continue"/>
            <w:vAlign w:val="center"/>
          </w:tcPr>
          <w:p w14:paraId="66C296A9">
            <w:pPr>
              <w:jc w:val="center"/>
              <w:rPr>
                <w:rFonts w:eastAsia="宋体"/>
                <w:color w:val="000000" w:themeColor="text1"/>
                <w:szCs w:val="21"/>
              </w:rPr>
            </w:pPr>
          </w:p>
        </w:tc>
        <w:tc>
          <w:tcPr>
            <w:tcW w:w="6485" w:type="dxa"/>
            <w:vAlign w:val="center"/>
          </w:tcPr>
          <w:p w14:paraId="102177A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9.▲接头尺寸M18×2mm</w:t>
            </w:r>
          </w:p>
        </w:tc>
      </w:tr>
      <w:tr w14:paraId="5791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5A79266A">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26</w:t>
            </w:r>
          </w:p>
        </w:tc>
        <w:tc>
          <w:tcPr>
            <w:tcW w:w="1301" w:type="dxa"/>
            <w:vMerge w:val="continue"/>
            <w:vAlign w:val="center"/>
          </w:tcPr>
          <w:p w14:paraId="41F5C6C9">
            <w:pPr>
              <w:jc w:val="center"/>
              <w:rPr>
                <w:rFonts w:eastAsia="宋体"/>
                <w:color w:val="000000" w:themeColor="text1"/>
                <w:szCs w:val="21"/>
              </w:rPr>
            </w:pPr>
          </w:p>
        </w:tc>
        <w:tc>
          <w:tcPr>
            <w:tcW w:w="6485" w:type="dxa"/>
            <w:vAlign w:val="center"/>
          </w:tcPr>
          <w:p w14:paraId="0995E50A">
            <w:pPr>
              <w:keepNext w:val="0"/>
              <w:keepLines w:val="0"/>
              <w:widowControl/>
              <w:suppressLineNumbers w:val="0"/>
              <w:jc w:val="left"/>
              <w:textAlignment w:val="center"/>
              <w:rPr>
                <w:color w:val="000000" w:themeColor="text1"/>
                <w:szCs w:val="21"/>
              </w:rPr>
            </w:pPr>
            <w:r>
              <w:rPr>
                <w:rFonts w:hint="eastAsia" w:ascii="宋体" w:hAnsi="宋体" w:eastAsia="宋体" w:cs="宋体"/>
                <w:b/>
                <w:bCs/>
                <w:i w:val="0"/>
                <w:iCs w:val="0"/>
                <w:color w:val="000000"/>
                <w:kern w:val="0"/>
                <w:sz w:val="24"/>
                <w:szCs w:val="24"/>
                <w:u w:val="none"/>
                <w:lang w:val="en-US" w:eastAsia="zh-CN" w:bidi="ar"/>
              </w:rPr>
              <w:t>10.需配置仪器的性能。</w:t>
            </w:r>
          </w:p>
        </w:tc>
      </w:tr>
      <w:tr w14:paraId="2B6E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3974EB72">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27</w:t>
            </w:r>
          </w:p>
        </w:tc>
        <w:tc>
          <w:tcPr>
            <w:tcW w:w="1301" w:type="dxa"/>
            <w:vMerge w:val="continue"/>
            <w:vAlign w:val="center"/>
          </w:tcPr>
          <w:p w14:paraId="1E1E782A">
            <w:pPr>
              <w:jc w:val="center"/>
              <w:rPr>
                <w:rFonts w:eastAsia="宋体"/>
                <w:color w:val="000000" w:themeColor="text1"/>
                <w:szCs w:val="21"/>
              </w:rPr>
            </w:pPr>
          </w:p>
        </w:tc>
        <w:tc>
          <w:tcPr>
            <w:tcW w:w="6485" w:type="dxa"/>
            <w:vAlign w:val="center"/>
          </w:tcPr>
          <w:p w14:paraId="7AE062D5">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10.1▲</w:t>
            </w:r>
            <w:r>
              <w:rPr>
                <w:rStyle w:val="41"/>
                <w:lang w:val="en-US" w:eastAsia="zh-CN" w:bidi="ar"/>
              </w:rPr>
              <w:t>采样流量范围80～130L/min，准确度：≤±2.5%</w:t>
            </w:r>
          </w:p>
        </w:tc>
      </w:tr>
      <w:tr w14:paraId="62CA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35D40B1E">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28</w:t>
            </w:r>
          </w:p>
        </w:tc>
        <w:tc>
          <w:tcPr>
            <w:tcW w:w="1301" w:type="dxa"/>
            <w:vMerge w:val="continue"/>
            <w:vAlign w:val="center"/>
          </w:tcPr>
          <w:p w14:paraId="0A35FF50">
            <w:pPr>
              <w:jc w:val="center"/>
              <w:rPr>
                <w:rFonts w:eastAsia="宋体"/>
                <w:color w:val="000000" w:themeColor="text1"/>
                <w:szCs w:val="21"/>
              </w:rPr>
            </w:pPr>
          </w:p>
        </w:tc>
        <w:tc>
          <w:tcPr>
            <w:tcW w:w="6485" w:type="dxa"/>
            <w:vAlign w:val="center"/>
          </w:tcPr>
          <w:p w14:paraId="5711365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10.2滤膜有效直径≥φ90mm±1mm。</w:t>
            </w:r>
          </w:p>
        </w:tc>
      </w:tr>
      <w:tr w14:paraId="1199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5B8B7CD6">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29</w:t>
            </w:r>
          </w:p>
        </w:tc>
        <w:tc>
          <w:tcPr>
            <w:tcW w:w="1301" w:type="dxa"/>
            <w:vMerge w:val="continue"/>
            <w:vAlign w:val="center"/>
          </w:tcPr>
          <w:p w14:paraId="298A8324">
            <w:pPr>
              <w:jc w:val="center"/>
              <w:rPr>
                <w:rFonts w:eastAsia="宋体"/>
                <w:color w:val="000000" w:themeColor="text1"/>
                <w:szCs w:val="21"/>
              </w:rPr>
            </w:pPr>
          </w:p>
        </w:tc>
        <w:tc>
          <w:tcPr>
            <w:tcW w:w="6485" w:type="dxa"/>
            <w:vAlign w:val="center"/>
          </w:tcPr>
          <w:p w14:paraId="653E09A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10.3气体流量范围0.1~1L/min，准确度：≤±2.5%。</w:t>
            </w:r>
          </w:p>
        </w:tc>
      </w:tr>
      <w:tr w14:paraId="3D88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4CEF4D75">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1301" w:type="dxa"/>
            <w:vMerge w:val="continue"/>
            <w:vAlign w:val="center"/>
          </w:tcPr>
          <w:p w14:paraId="6E29F416">
            <w:pPr>
              <w:jc w:val="center"/>
              <w:rPr>
                <w:rFonts w:eastAsia="宋体"/>
                <w:color w:val="000000" w:themeColor="text1"/>
                <w:szCs w:val="21"/>
              </w:rPr>
            </w:pPr>
          </w:p>
        </w:tc>
        <w:tc>
          <w:tcPr>
            <w:tcW w:w="6485" w:type="dxa"/>
            <w:vAlign w:val="center"/>
          </w:tcPr>
          <w:p w14:paraId="088020A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10.4气体稳定性100L/min时，当电压在198V～242V波动，阻力在3～8kPa，流量小于3%。</w:t>
            </w:r>
          </w:p>
        </w:tc>
      </w:tr>
      <w:tr w14:paraId="01AD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4" w:type="dxa"/>
            <w:shd w:val="clear" w:color="auto" w:fill="auto"/>
            <w:vAlign w:val="center"/>
          </w:tcPr>
          <w:p w14:paraId="0A75CE23">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31</w:t>
            </w:r>
          </w:p>
        </w:tc>
        <w:tc>
          <w:tcPr>
            <w:tcW w:w="1301" w:type="dxa"/>
            <w:vMerge w:val="continue"/>
            <w:vAlign w:val="center"/>
          </w:tcPr>
          <w:p w14:paraId="4D859279">
            <w:pPr>
              <w:jc w:val="center"/>
              <w:rPr>
                <w:rFonts w:eastAsia="宋体"/>
                <w:color w:val="000000" w:themeColor="text1"/>
                <w:szCs w:val="21"/>
              </w:rPr>
            </w:pPr>
          </w:p>
        </w:tc>
        <w:tc>
          <w:tcPr>
            <w:tcW w:w="6485" w:type="dxa"/>
            <w:vAlign w:val="center"/>
          </w:tcPr>
          <w:p w14:paraId="4F4A7CD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10.5预置采时≤99小时，准确度：≤0.1%。</w:t>
            </w:r>
          </w:p>
        </w:tc>
      </w:tr>
      <w:tr w14:paraId="63B9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63B5D9FD">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32</w:t>
            </w:r>
          </w:p>
        </w:tc>
        <w:tc>
          <w:tcPr>
            <w:tcW w:w="1301" w:type="dxa"/>
            <w:vMerge w:val="continue"/>
            <w:vAlign w:val="center"/>
          </w:tcPr>
          <w:p w14:paraId="01A533F4">
            <w:pPr>
              <w:jc w:val="center"/>
              <w:rPr>
                <w:rFonts w:eastAsia="宋体"/>
                <w:color w:val="000000" w:themeColor="text1"/>
                <w:szCs w:val="21"/>
              </w:rPr>
            </w:pPr>
          </w:p>
        </w:tc>
        <w:tc>
          <w:tcPr>
            <w:tcW w:w="6485" w:type="dxa"/>
            <w:vAlign w:val="center"/>
          </w:tcPr>
          <w:p w14:paraId="60818EF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10.6▲采样定时：0-99小时可调。</w:t>
            </w:r>
          </w:p>
        </w:tc>
      </w:tr>
      <w:tr w14:paraId="6573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237A6FF4">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33</w:t>
            </w:r>
          </w:p>
        </w:tc>
        <w:tc>
          <w:tcPr>
            <w:tcW w:w="1301" w:type="dxa"/>
            <w:vMerge w:val="continue"/>
            <w:vAlign w:val="center"/>
          </w:tcPr>
          <w:p w14:paraId="3E04B7D7">
            <w:pPr>
              <w:jc w:val="center"/>
              <w:rPr>
                <w:rFonts w:eastAsia="宋体"/>
                <w:color w:val="000000" w:themeColor="text1"/>
                <w:szCs w:val="21"/>
              </w:rPr>
            </w:pPr>
          </w:p>
        </w:tc>
        <w:tc>
          <w:tcPr>
            <w:tcW w:w="6485" w:type="dxa"/>
            <w:vAlign w:val="center"/>
          </w:tcPr>
          <w:p w14:paraId="615B1EED">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10.7仪器可预置开机时间、采样时间、间隔时间、采样流量。</w:t>
            </w:r>
          </w:p>
        </w:tc>
      </w:tr>
      <w:tr w14:paraId="4E22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318458CB">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34</w:t>
            </w:r>
          </w:p>
        </w:tc>
        <w:tc>
          <w:tcPr>
            <w:tcW w:w="1301" w:type="dxa"/>
            <w:vMerge w:val="continue"/>
            <w:vAlign w:val="center"/>
          </w:tcPr>
          <w:p w14:paraId="506D15C0">
            <w:pPr>
              <w:jc w:val="center"/>
              <w:rPr>
                <w:rFonts w:eastAsia="宋体"/>
                <w:color w:val="000000" w:themeColor="text1"/>
                <w:szCs w:val="21"/>
              </w:rPr>
            </w:pPr>
          </w:p>
        </w:tc>
        <w:tc>
          <w:tcPr>
            <w:tcW w:w="6485" w:type="dxa"/>
            <w:vAlign w:val="center"/>
          </w:tcPr>
          <w:p w14:paraId="3FE14F8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10.8▲数据安全可靠：掉电自动保护采样数据，来电恢复采样。</w:t>
            </w:r>
          </w:p>
        </w:tc>
      </w:tr>
      <w:tr w14:paraId="0EF1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38D9B55D">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35</w:t>
            </w:r>
          </w:p>
        </w:tc>
        <w:tc>
          <w:tcPr>
            <w:tcW w:w="1301" w:type="dxa"/>
            <w:vMerge w:val="continue"/>
            <w:vAlign w:val="center"/>
          </w:tcPr>
          <w:p w14:paraId="3ED54B9A">
            <w:pPr>
              <w:jc w:val="center"/>
              <w:rPr>
                <w:rFonts w:eastAsia="宋体"/>
                <w:color w:val="000000" w:themeColor="text1"/>
                <w:szCs w:val="21"/>
              </w:rPr>
            </w:pPr>
          </w:p>
        </w:tc>
        <w:tc>
          <w:tcPr>
            <w:tcW w:w="6485" w:type="dxa"/>
            <w:vAlign w:val="center"/>
          </w:tcPr>
          <w:p w14:paraId="67B73D7C">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10.9▲可进行空气TSP采样，也可配上专用切割头对空气中的PM10-PM2.5微粒采样。</w:t>
            </w:r>
          </w:p>
        </w:tc>
      </w:tr>
      <w:tr w14:paraId="231C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300CC1E9">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36</w:t>
            </w:r>
          </w:p>
        </w:tc>
        <w:tc>
          <w:tcPr>
            <w:tcW w:w="1301" w:type="dxa"/>
            <w:vMerge w:val="continue"/>
            <w:vAlign w:val="center"/>
          </w:tcPr>
          <w:p w14:paraId="28492A69">
            <w:pPr>
              <w:jc w:val="center"/>
              <w:rPr>
                <w:rFonts w:eastAsia="宋体"/>
                <w:color w:val="000000" w:themeColor="text1"/>
                <w:szCs w:val="21"/>
              </w:rPr>
            </w:pPr>
          </w:p>
        </w:tc>
        <w:tc>
          <w:tcPr>
            <w:tcW w:w="6485" w:type="dxa"/>
            <w:vAlign w:val="center"/>
          </w:tcPr>
          <w:p w14:paraId="11D7DB0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10.10温度测量范围：-30～50℃，准确度：≤±1℃</w:t>
            </w:r>
          </w:p>
        </w:tc>
      </w:tr>
      <w:tr w14:paraId="0EBA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54DE9B6F">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37</w:t>
            </w:r>
          </w:p>
        </w:tc>
        <w:tc>
          <w:tcPr>
            <w:tcW w:w="1301" w:type="dxa"/>
            <w:vMerge w:val="restart"/>
            <w:vAlign w:val="center"/>
          </w:tcPr>
          <w:p w14:paraId="45151081">
            <w:pPr>
              <w:keepNext w:val="0"/>
              <w:keepLines w:val="0"/>
              <w:widowControl/>
              <w:suppressLineNumbers w:val="0"/>
              <w:jc w:val="center"/>
              <w:textAlignment w:val="center"/>
              <w:rPr>
                <w:rFonts w:eastAsia="宋体"/>
                <w:color w:val="000000" w:themeColor="text1"/>
                <w:sz w:val="24"/>
                <w:szCs w:val="24"/>
              </w:rPr>
            </w:pPr>
            <w:r>
              <w:rPr>
                <w:rFonts w:hint="eastAsia" w:ascii="宋体" w:hAnsi="宋体" w:eastAsia="宋体" w:cs="宋体"/>
                <w:b/>
                <w:bCs/>
                <w:i w:val="0"/>
                <w:iCs w:val="0"/>
                <w:color w:val="000000"/>
                <w:kern w:val="0"/>
                <w:sz w:val="24"/>
                <w:szCs w:val="24"/>
                <w:u w:val="none"/>
                <w:lang w:val="en-US" w:eastAsia="zh-CN" w:bidi="ar"/>
              </w:rPr>
              <w:t>空气采样器专用金属</w:t>
            </w:r>
            <w:r>
              <w:rPr>
                <w:rStyle w:val="39"/>
                <w:rFonts w:eastAsia="宋体"/>
                <w:sz w:val="24"/>
                <w:szCs w:val="24"/>
                <w:lang w:val="en-US" w:eastAsia="zh-CN" w:bidi="ar"/>
              </w:rPr>
              <w:t>PM1</w:t>
            </w:r>
            <w:r>
              <w:rPr>
                <w:rStyle w:val="40"/>
                <w:sz w:val="24"/>
                <w:szCs w:val="24"/>
                <w:lang w:val="en-US" w:eastAsia="zh-CN" w:bidi="ar"/>
              </w:rPr>
              <w:t>可吸入颗粒物切割器</w:t>
            </w:r>
            <w:r>
              <w:rPr>
                <w:rStyle w:val="39"/>
                <w:rFonts w:eastAsia="宋体"/>
                <w:sz w:val="24"/>
                <w:szCs w:val="24"/>
                <w:lang w:val="en-US" w:eastAsia="zh-CN" w:bidi="ar"/>
              </w:rPr>
              <w:t>(</w:t>
            </w:r>
            <w:r>
              <w:rPr>
                <w:rStyle w:val="40"/>
                <w:sz w:val="24"/>
                <w:szCs w:val="24"/>
                <w:lang w:val="en-US" w:eastAsia="zh-CN" w:bidi="ar"/>
              </w:rPr>
              <w:t>中流量）</w:t>
            </w:r>
          </w:p>
        </w:tc>
        <w:tc>
          <w:tcPr>
            <w:tcW w:w="6485" w:type="dxa"/>
            <w:vAlign w:val="center"/>
          </w:tcPr>
          <w:p w14:paraId="3613A43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1.可根据需要任意组合，实现对大气中可吸入颗粒物的采集，适用于流量为100L/min中流量采样器。</w:t>
            </w:r>
          </w:p>
        </w:tc>
      </w:tr>
      <w:tr w14:paraId="2C39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4A6EBD50">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38</w:t>
            </w:r>
          </w:p>
        </w:tc>
        <w:tc>
          <w:tcPr>
            <w:tcW w:w="1301" w:type="dxa"/>
            <w:vMerge w:val="continue"/>
            <w:vAlign w:val="center"/>
          </w:tcPr>
          <w:p w14:paraId="38DCA844">
            <w:pPr>
              <w:jc w:val="center"/>
              <w:rPr>
                <w:rFonts w:eastAsia="宋体"/>
                <w:color w:val="000000" w:themeColor="text1"/>
                <w:sz w:val="24"/>
                <w:szCs w:val="24"/>
              </w:rPr>
            </w:pPr>
          </w:p>
        </w:tc>
        <w:tc>
          <w:tcPr>
            <w:tcW w:w="6485" w:type="dxa"/>
            <w:vAlign w:val="center"/>
          </w:tcPr>
          <w:p w14:paraId="779CD4BE">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2.根据冲击式原理设计的 ，均有一个冲击板和捕集板及托座组成</w:t>
            </w:r>
          </w:p>
        </w:tc>
      </w:tr>
      <w:tr w14:paraId="2004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6536F971">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39</w:t>
            </w:r>
          </w:p>
        </w:tc>
        <w:tc>
          <w:tcPr>
            <w:tcW w:w="1301" w:type="dxa"/>
            <w:vMerge w:val="continue"/>
            <w:vAlign w:val="center"/>
          </w:tcPr>
          <w:p w14:paraId="1B666D25">
            <w:pPr>
              <w:jc w:val="center"/>
              <w:rPr>
                <w:rFonts w:eastAsia="宋体"/>
                <w:color w:val="000000" w:themeColor="text1"/>
                <w:sz w:val="24"/>
                <w:szCs w:val="24"/>
              </w:rPr>
            </w:pPr>
          </w:p>
        </w:tc>
        <w:tc>
          <w:tcPr>
            <w:tcW w:w="6485" w:type="dxa"/>
            <w:vAlign w:val="center"/>
          </w:tcPr>
          <w:p w14:paraId="08C73F4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3.▲PM1.0冲击板的孔数为 6 个,孔径为φ2.5 毫米</w:t>
            </w:r>
          </w:p>
        </w:tc>
      </w:tr>
      <w:tr w14:paraId="79C0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51AB6ECC">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40</w:t>
            </w:r>
          </w:p>
        </w:tc>
        <w:tc>
          <w:tcPr>
            <w:tcW w:w="1301" w:type="dxa"/>
            <w:vMerge w:val="continue"/>
            <w:vAlign w:val="center"/>
          </w:tcPr>
          <w:p w14:paraId="44B32C98">
            <w:pPr>
              <w:jc w:val="center"/>
              <w:rPr>
                <w:rFonts w:eastAsia="宋体"/>
                <w:color w:val="000000" w:themeColor="text1"/>
                <w:sz w:val="24"/>
                <w:szCs w:val="24"/>
              </w:rPr>
            </w:pPr>
          </w:p>
        </w:tc>
        <w:tc>
          <w:tcPr>
            <w:tcW w:w="6485" w:type="dxa"/>
            <w:vAlign w:val="center"/>
          </w:tcPr>
          <w:p w14:paraId="161DF01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4.▲采样流量100L/min</w:t>
            </w:r>
          </w:p>
        </w:tc>
      </w:tr>
      <w:tr w14:paraId="5456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13EE417D">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41</w:t>
            </w:r>
          </w:p>
        </w:tc>
        <w:tc>
          <w:tcPr>
            <w:tcW w:w="1301" w:type="dxa"/>
            <w:vMerge w:val="continue"/>
            <w:vAlign w:val="center"/>
          </w:tcPr>
          <w:p w14:paraId="724DBB4C">
            <w:pPr>
              <w:jc w:val="center"/>
              <w:rPr>
                <w:rFonts w:eastAsia="宋体"/>
                <w:color w:val="000000" w:themeColor="text1"/>
                <w:sz w:val="24"/>
                <w:szCs w:val="24"/>
              </w:rPr>
            </w:pPr>
          </w:p>
        </w:tc>
        <w:tc>
          <w:tcPr>
            <w:tcW w:w="6485" w:type="dxa"/>
            <w:vAlign w:val="center"/>
          </w:tcPr>
          <w:p w14:paraId="56916E6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5.切割粒径Da50=（1±0.2）µm</w:t>
            </w:r>
          </w:p>
        </w:tc>
      </w:tr>
      <w:tr w14:paraId="4C91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1B2ECF66">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42</w:t>
            </w:r>
          </w:p>
        </w:tc>
        <w:tc>
          <w:tcPr>
            <w:tcW w:w="1301" w:type="dxa"/>
            <w:vMerge w:val="continue"/>
            <w:vAlign w:val="center"/>
          </w:tcPr>
          <w:p w14:paraId="5DD2BC93">
            <w:pPr>
              <w:jc w:val="center"/>
              <w:rPr>
                <w:rFonts w:eastAsia="宋体"/>
                <w:color w:val="000000" w:themeColor="text1"/>
                <w:sz w:val="24"/>
                <w:szCs w:val="24"/>
              </w:rPr>
            </w:pPr>
          </w:p>
        </w:tc>
        <w:tc>
          <w:tcPr>
            <w:tcW w:w="6485" w:type="dxa"/>
            <w:vAlign w:val="center"/>
          </w:tcPr>
          <w:p w14:paraId="374F0F8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6.颗粒物捕集效率的几何偏差σg ≤（1.2±0.1）</w:t>
            </w:r>
          </w:p>
        </w:tc>
      </w:tr>
      <w:tr w14:paraId="0AF5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4E35F2B2">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43</w:t>
            </w:r>
          </w:p>
        </w:tc>
        <w:tc>
          <w:tcPr>
            <w:tcW w:w="1301" w:type="dxa"/>
            <w:vMerge w:val="continue"/>
            <w:vAlign w:val="center"/>
          </w:tcPr>
          <w:p w14:paraId="08BB772B">
            <w:pPr>
              <w:jc w:val="center"/>
              <w:rPr>
                <w:rFonts w:eastAsia="宋体"/>
                <w:color w:val="000000" w:themeColor="text1"/>
                <w:sz w:val="24"/>
                <w:szCs w:val="24"/>
              </w:rPr>
            </w:pPr>
          </w:p>
        </w:tc>
        <w:tc>
          <w:tcPr>
            <w:tcW w:w="6485" w:type="dxa"/>
            <w:vAlign w:val="center"/>
          </w:tcPr>
          <w:p w14:paraId="1D0DC16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7.入口流速0.3m/s</w:t>
            </w:r>
          </w:p>
        </w:tc>
      </w:tr>
      <w:tr w14:paraId="2997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7BE66511">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44</w:t>
            </w:r>
          </w:p>
        </w:tc>
        <w:tc>
          <w:tcPr>
            <w:tcW w:w="1301" w:type="dxa"/>
            <w:vMerge w:val="continue"/>
            <w:vAlign w:val="center"/>
          </w:tcPr>
          <w:p w14:paraId="260B1B1A">
            <w:pPr>
              <w:jc w:val="center"/>
              <w:rPr>
                <w:rFonts w:eastAsia="宋体"/>
                <w:color w:val="000000" w:themeColor="text1"/>
                <w:sz w:val="24"/>
                <w:szCs w:val="24"/>
              </w:rPr>
            </w:pPr>
          </w:p>
        </w:tc>
        <w:tc>
          <w:tcPr>
            <w:tcW w:w="6485" w:type="dxa"/>
            <w:vAlign w:val="center"/>
          </w:tcPr>
          <w:p w14:paraId="1E9956EA">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8.滤膜尺寸：Ф90mm，有效滤膜尺寸：Ф80mm。</w:t>
            </w:r>
          </w:p>
        </w:tc>
      </w:tr>
      <w:tr w14:paraId="05CF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767B9415">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45</w:t>
            </w:r>
          </w:p>
        </w:tc>
        <w:tc>
          <w:tcPr>
            <w:tcW w:w="1301" w:type="dxa"/>
            <w:vMerge w:val="continue"/>
            <w:vAlign w:val="center"/>
          </w:tcPr>
          <w:p w14:paraId="7981116D">
            <w:pPr>
              <w:jc w:val="center"/>
              <w:rPr>
                <w:rFonts w:eastAsia="宋体"/>
                <w:color w:val="000000" w:themeColor="text1"/>
                <w:sz w:val="24"/>
                <w:szCs w:val="24"/>
              </w:rPr>
            </w:pPr>
          </w:p>
        </w:tc>
        <w:tc>
          <w:tcPr>
            <w:tcW w:w="6485" w:type="dxa"/>
            <w:vAlign w:val="center"/>
          </w:tcPr>
          <w:p w14:paraId="74762ECE">
            <w:pPr>
              <w:keepNext w:val="0"/>
              <w:keepLines w:val="0"/>
              <w:widowControl/>
              <w:suppressLineNumbers w:val="0"/>
              <w:jc w:val="left"/>
              <w:textAlignment w:val="center"/>
              <w:rPr>
                <w:rFonts w:hint="eastAsia" w:eastAsiaTheme="minorEastAsia"/>
                <w:color w:val="000000" w:themeColor="text1"/>
                <w:szCs w:val="21"/>
                <w:lang w:val="en-US" w:eastAsia="zh-CN"/>
              </w:rPr>
            </w:pPr>
            <w:r>
              <w:rPr>
                <w:rFonts w:hint="eastAsia" w:ascii="宋体" w:hAnsi="宋体" w:eastAsia="宋体" w:cs="宋体"/>
                <w:i w:val="0"/>
                <w:iCs w:val="0"/>
                <w:color w:val="000000"/>
                <w:kern w:val="0"/>
                <w:sz w:val="24"/>
                <w:szCs w:val="24"/>
                <w:u w:val="none"/>
                <w:lang w:val="en-US" w:eastAsia="zh-CN" w:bidi="ar"/>
              </w:rPr>
              <w:t>9.▲接头尺寸M18×2</w:t>
            </w:r>
            <w:r>
              <w:rPr>
                <w:rFonts w:hint="eastAsia"/>
                <w:lang w:val="en-US" w:eastAsia="zh-CN"/>
              </w:rPr>
              <w:t>mm</w:t>
            </w:r>
          </w:p>
        </w:tc>
      </w:tr>
      <w:tr w14:paraId="6F32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5A8745A7">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46</w:t>
            </w:r>
          </w:p>
        </w:tc>
        <w:tc>
          <w:tcPr>
            <w:tcW w:w="1301" w:type="dxa"/>
            <w:vMerge w:val="continue"/>
            <w:vAlign w:val="center"/>
          </w:tcPr>
          <w:p w14:paraId="3E9F7F37">
            <w:pPr>
              <w:jc w:val="center"/>
              <w:rPr>
                <w:rFonts w:eastAsia="宋体"/>
                <w:color w:val="000000" w:themeColor="text1"/>
                <w:sz w:val="24"/>
                <w:szCs w:val="24"/>
              </w:rPr>
            </w:pPr>
          </w:p>
        </w:tc>
        <w:tc>
          <w:tcPr>
            <w:tcW w:w="6485" w:type="dxa"/>
            <w:vAlign w:val="center"/>
          </w:tcPr>
          <w:p w14:paraId="7378855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10.需配置仪器的性能。</w:t>
            </w:r>
          </w:p>
        </w:tc>
      </w:tr>
      <w:tr w14:paraId="5512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03913818">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47</w:t>
            </w:r>
          </w:p>
        </w:tc>
        <w:tc>
          <w:tcPr>
            <w:tcW w:w="1301" w:type="dxa"/>
            <w:vMerge w:val="continue"/>
            <w:vAlign w:val="center"/>
          </w:tcPr>
          <w:p w14:paraId="2F90195B">
            <w:pPr>
              <w:jc w:val="center"/>
              <w:rPr>
                <w:rFonts w:eastAsia="宋体"/>
                <w:color w:val="000000" w:themeColor="text1"/>
                <w:sz w:val="24"/>
                <w:szCs w:val="24"/>
              </w:rPr>
            </w:pPr>
          </w:p>
        </w:tc>
        <w:tc>
          <w:tcPr>
            <w:tcW w:w="6485" w:type="dxa"/>
            <w:vAlign w:val="center"/>
          </w:tcPr>
          <w:p w14:paraId="4E76EC73">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10.1▲采样流量范围80～130L/min，准确度：≤±2.5%。</w:t>
            </w:r>
          </w:p>
        </w:tc>
      </w:tr>
      <w:tr w14:paraId="16C5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50071731">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48</w:t>
            </w:r>
          </w:p>
        </w:tc>
        <w:tc>
          <w:tcPr>
            <w:tcW w:w="1301" w:type="dxa"/>
            <w:vMerge w:val="continue"/>
            <w:vAlign w:val="center"/>
          </w:tcPr>
          <w:p w14:paraId="51A98F0A">
            <w:pPr>
              <w:jc w:val="center"/>
              <w:rPr>
                <w:rFonts w:eastAsia="宋体"/>
                <w:color w:val="000000" w:themeColor="text1"/>
                <w:sz w:val="24"/>
                <w:szCs w:val="24"/>
              </w:rPr>
            </w:pPr>
          </w:p>
        </w:tc>
        <w:tc>
          <w:tcPr>
            <w:tcW w:w="6485" w:type="dxa"/>
            <w:vAlign w:val="center"/>
          </w:tcPr>
          <w:p w14:paraId="0A8BC86B">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10.2滤膜有效直径φ90mm±1mm。</w:t>
            </w:r>
          </w:p>
        </w:tc>
      </w:tr>
      <w:tr w14:paraId="7449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3CEF287B">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49</w:t>
            </w:r>
          </w:p>
        </w:tc>
        <w:tc>
          <w:tcPr>
            <w:tcW w:w="1301" w:type="dxa"/>
            <w:vMerge w:val="continue"/>
            <w:vAlign w:val="center"/>
          </w:tcPr>
          <w:p w14:paraId="2C4CF2F0">
            <w:pPr>
              <w:jc w:val="center"/>
              <w:rPr>
                <w:rFonts w:eastAsia="宋体"/>
                <w:color w:val="000000" w:themeColor="text1"/>
                <w:sz w:val="24"/>
                <w:szCs w:val="24"/>
              </w:rPr>
            </w:pPr>
          </w:p>
        </w:tc>
        <w:tc>
          <w:tcPr>
            <w:tcW w:w="6485" w:type="dxa"/>
            <w:vAlign w:val="center"/>
          </w:tcPr>
          <w:p w14:paraId="430B8E76">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10.3气体流量范围0.1~1L/min，准确度：≤±2.5%。</w:t>
            </w:r>
          </w:p>
        </w:tc>
      </w:tr>
      <w:tr w14:paraId="6FCB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422EF553">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50</w:t>
            </w:r>
          </w:p>
        </w:tc>
        <w:tc>
          <w:tcPr>
            <w:tcW w:w="1301" w:type="dxa"/>
            <w:vMerge w:val="continue"/>
            <w:vAlign w:val="center"/>
          </w:tcPr>
          <w:p w14:paraId="7BEF013E">
            <w:pPr>
              <w:jc w:val="center"/>
              <w:rPr>
                <w:rFonts w:eastAsia="宋体"/>
                <w:color w:val="000000" w:themeColor="text1"/>
                <w:sz w:val="24"/>
                <w:szCs w:val="24"/>
              </w:rPr>
            </w:pPr>
          </w:p>
        </w:tc>
        <w:tc>
          <w:tcPr>
            <w:tcW w:w="6485" w:type="dxa"/>
            <w:vAlign w:val="center"/>
          </w:tcPr>
          <w:p w14:paraId="36E39657">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10.4气体稳定性100L/min时，当电压在198V～242V波动，阻力在3～8kPa，流量小于3%。</w:t>
            </w:r>
          </w:p>
        </w:tc>
      </w:tr>
      <w:tr w14:paraId="6376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67F32758">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51</w:t>
            </w:r>
          </w:p>
        </w:tc>
        <w:tc>
          <w:tcPr>
            <w:tcW w:w="1301" w:type="dxa"/>
            <w:vMerge w:val="continue"/>
            <w:vAlign w:val="center"/>
          </w:tcPr>
          <w:p w14:paraId="0EB88D73">
            <w:pPr>
              <w:jc w:val="center"/>
              <w:rPr>
                <w:rFonts w:eastAsia="宋体"/>
                <w:color w:val="000000" w:themeColor="text1"/>
                <w:sz w:val="24"/>
                <w:szCs w:val="24"/>
              </w:rPr>
            </w:pPr>
          </w:p>
        </w:tc>
        <w:tc>
          <w:tcPr>
            <w:tcW w:w="6485" w:type="dxa"/>
            <w:vAlign w:val="center"/>
          </w:tcPr>
          <w:p w14:paraId="6B8EE4D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10.5预置采时≤99小时，准确度：≤0.1%。</w:t>
            </w:r>
          </w:p>
        </w:tc>
      </w:tr>
      <w:tr w14:paraId="13C0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3262C147">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52</w:t>
            </w:r>
          </w:p>
        </w:tc>
        <w:tc>
          <w:tcPr>
            <w:tcW w:w="1301" w:type="dxa"/>
            <w:vMerge w:val="continue"/>
            <w:vAlign w:val="center"/>
          </w:tcPr>
          <w:p w14:paraId="3670C2F4">
            <w:pPr>
              <w:jc w:val="center"/>
              <w:rPr>
                <w:rFonts w:eastAsia="宋体"/>
                <w:color w:val="000000" w:themeColor="text1"/>
                <w:sz w:val="24"/>
                <w:szCs w:val="24"/>
              </w:rPr>
            </w:pPr>
          </w:p>
        </w:tc>
        <w:tc>
          <w:tcPr>
            <w:tcW w:w="6485" w:type="dxa"/>
            <w:vAlign w:val="center"/>
          </w:tcPr>
          <w:p w14:paraId="1519AF5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10.6计时精度≤±1‰/24h。</w:t>
            </w:r>
          </w:p>
        </w:tc>
      </w:tr>
      <w:tr w14:paraId="7DB5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79660CDF">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53</w:t>
            </w:r>
          </w:p>
        </w:tc>
        <w:tc>
          <w:tcPr>
            <w:tcW w:w="1301" w:type="dxa"/>
            <w:vMerge w:val="continue"/>
            <w:vAlign w:val="center"/>
          </w:tcPr>
          <w:p w14:paraId="316A6B74">
            <w:pPr>
              <w:jc w:val="center"/>
              <w:rPr>
                <w:rFonts w:eastAsia="宋体"/>
                <w:color w:val="000000" w:themeColor="text1"/>
                <w:sz w:val="24"/>
                <w:szCs w:val="24"/>
              </w:rPr>
            </w:pPr>
          </w:p>
        </w:tc>
        <w:tc>
          <w:tcPr>
            <w:tcW w:w="6485" w:type="dxa"/>
            <w:vAlign w:val="center"/>
          </w:tcPr>
          <w:p w14:paraId="331ACC99">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10.7恒流响应速度≤3%。</w:t>
            </w:r>
          </w:p>
        </w:tc>
      </w:tr>
      <w:tr w14:paraId="6500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1B4D39B1">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54</w:t>
            </w:r>
          </w:p>
        </w:tc>
        <w:tc>
          <w:tcPr>
            <w:tcW w:w="1301" w:type="dxa"/>
            <w:vMerge w:val="continue"/>
            <w:vAlign w:val="center"/>
          </w:tcPr>
          <w:p w14:paraId="56264EB2">
            <w:pPr>
              <w:jc w:val="center"/>
              <w:rPr>
                <w:rFonts w:eastAsia="宋体"/>
                <w:color w:val="000000" w:themeColor="text1"/>
                <w:sz w:val="24"/>
                <w:szCs w:val="24"/>
              </w:rPr>
            </w:pPr>
          </w:p>
        </w:tc>
        <w:tc>
          <w:tcPr>
            <w:tcW w:w="6485" w:type="dxa"/>
            <w:vAlign w:val="center"/>
          </w:tcPr>
          <w:p w14:paraId="5D9A74AF">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10.8预置采时≤99小时，准确度：≤0.1%。</w:t>
            </w:r>
          </w:p>
        </w:tc>
      </w:tr>
      <w:tr w14:paraId="1E8D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55BE03D5">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55</w:t>
            </w:r>
          </w:p>
        </w:tc>
        <w:tc>
          <w:tcPr>
            <w:tcW w:w="1301" w:type="dxa"/>
            <w:vMerge w:val="continue"/>
            <w:vAlign w:val="center"/>
          </w:tcPr>
          <w:p w14:paraId="308FAB26">
            <w:pPr>
              <w:jc w:val="center"/>
              <w:rPr>
                <w:rFonts w:eastAsia="宋体"/>
                <w:color w:val="000000" w:themeColor="text1"/>
                <w:sz w:val="24"/>
                <w:szCs w:val="24"/>
              </w:rPr>
            </w:pPr>
          </w:p>
        </w:tc>
        <w:tc>
          <w:tcPr>
            <w:tcW w:w="6485" w:type="dxa"/>
            <w:vAlign w:val="center"/>
          </w:tcPr>
          <w:p w14:paraId="046C354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10.9▲采样定时：0-99小时可调。</w:t>
            </w:r>
          </w:p>
        </w:tc>
      </w:tr>
      <w:tr w14:paraId="3609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5DF22AB3">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56</w:t>
            </w:r>
          </w:p>
        </w:tc>
        <w:tc>
          <w:tcPr>
            <w:tcW w:w="1301" w:type="dxa"/>
            <w:vMerge w:val="continue"/>
            <w:vAlign w:val="center"/>
          </w:tcPr>
          <w:p w14:paraId="6108C439">
            <w:pPr>
              <w:jc w:val="center"/>
              <w:rPr>
                <w:rFonts w:eastAsia="宋体"/>
                <w:color w:val="000000" w:themeColor="text1"/>
                <w:sz w:val="24"/>
                <w:szCs w:val="24"/>
              </w:rPr>
            </w:pPr>
          </w:p>
        </w:tc>
        <w:tc>
          <w:tcPr>
            <w:tcW w:w="6485" w:type="dxa"/>
            <w:vAlign w:val="center"/>
          </w:tcPr>
          <w:p w14:paraId="5CD08500">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10.10仪器可预置开机时间、采样时间、间隔时间、采样流量。</w:t>
            </w:r>
          </w:p>
        </w:tc>
      </w:tr>
      <w:tr w14:paraId="6D00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79BBA857">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57</w:t>
            </w:r>
          </w:p>
        </w:tc>
        <w:tc>
          <w:tcPr>
            <w:tcW w:w="1301" w:type="dxa"/>
            <w:vMerge w:val="continue"/>
            <w:vAlign w:val="center"/>
          </w:tcPr>
          <w:p w14:paraId="05B76234">
            <w:pPr>
              <w:jc w:val="center"/>
              <w:rPr>
                <w:rFonts w:eastAsia="宋体"/>
                <w:color w:val="000000" w:themeColor="text1"/>
                <w:sz w:val="24"/>
                <w:szCs w:val="24"/>
              </w:rPr>
            </w:pPr>
          </w:p>
        </w:tc>
        <w:tc>
          <w:tcPr>
            <w:tcW w:w="6485" w:type="dxa"/>
            <w:vAlign w:val="center"/>
          </w:tcPr>
          <w:p w14:paraId="2A9E1E91">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10.11▲数据安全可靠：掉电自动保护采样数据，来电恢复采样。</w:t>
            </w:r>
          </w:p>
        </w:tc>
      </w:tr>
      <w:tr w14:paraId="1E49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4425F1BC">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58</w:t>
            </w:r>
          </w:p>
        </w:tc>
        <w:tc>
          <w:tcPr>
            <w:tcW w:w="1301" w:type="dxa"/>
            <w:vMerge w:val="continue"/>
            <w:vAlign w:val="center"/>
          </w:tcPr>
          <w:p w14:paraId="3BA75E88">
            <w:pPr>
              <w:jc w:val="center"/>
              <w:rPr>
                <w:rFonts w:eastAsia="宋体"/>
                <w:color w:val="000000" w:themeColor="text1"/>
                <w:sz w:val="24"/>
                <w:szCs w:val="24"/>
              </w:rPr>
            </w:pPr>
          </w:p>
        </w:tc>
        <w:tc>
          <w:tcPr>
            <w:tcW w:w="6485" w:type="dxa"/>
            <w:vAlign w:val="center"/>
          </w:tcPr>
          <w:p w14:paraId="09AC1BD8">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10.12▲可进行空气TSP采样，也可配上专用切割头对空气中的PM10-PM2.5微粒采样。</w:t>
            </w:r>
          </w:p>
        </w:tc>
      </w:tr>
      <w:tr w14:paraId="693D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shd w:val="clear" w:color="auto" w:fill="auto"/>
            <w:vAlign w:val="center"/>
          </w:tcPr>
          <w:p w14:paraId="53AE40E2">
            <w:pPr>
              <w:keepNext w:val="0"/>
              <w:keepLines w:val="0"/>
              <w:widowControl/>
              <w:suppressLineNumbers w:val="0"/>
              <w:jc w:val="center"/>
              <w:textAlignment w:val="center"/>
              <w:rPr>
                <w:rFonts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59</w:t>
            </w:r>
          </w:p>
        </w:tc>
        <w:tc>
          <w:tcPr>
            <w:tcW w:w="1301" w:type="dxa"/>
            <w:vMerge w:val="continue"/>
            <w:vAlign w:val="center"/>
          </w:tcPr>
          <w:p w14:paraId="7979AA15">
            <w:pPr>
              <w:jc w:val="center"/>
              <w:rPr>
                <w:rFonts w:eastAsia="宋体"/>
                <w:color w:val="000000" w:themeColor="text1"/>
                <w:sz w:val="24"/>
                <w:szCs w:val="24"/>
              </w:rPr>
            </w:pPr>
          </w:p>
        </w:tc>
        <w:tc>
          <w:tcPr>
            <w:tcW w:w="6485" w:type="dxa"/>
            <w:vAlign w:val="center"/>
          </w:tcPr>
          <w:p w14:paraId="66730A62">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10.13温度测量范围：-30～50℃，准确度：≤±1℃。</w:t>
            </w:r>
          </w:p>
        </w:tc>
      </w:tr>
      <w:bookmarkEnd w:id="38"/>
    </w:tbl>
    <w:p w14:paraId="7213B63B">
      <w:pPr>
        <w:ind w:firstLine="422" w:firstLineChars="200"/>
        <w:rPr>
          <w:rFonts w:hint="eastAsia"/>
          <w:b/>
          <w:szCs w:val="21"/>
        </w:rPr>
      </w:pPr>
    </w:p>
    <w:bookmarkEnd w:id="37"/>
    <w:p w14:paraId="0B4DA8D7">
      <w:pPr>
        <w:rPr>
          <w:b/>
          <w:szCs w:val="21"/>
        </w:rPr>
      </w:pPr>
    </w:p>
    <w:p w14:paraId="233F97A9">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51F6535F">
      <w:pPr>
        <w:ind w:firstLine="422" w:firstLineChars="200"/>
        <w:rPr>
          <w:b/>
          <w:color w:val="FF0000"/>
          <w:szCs w:val="21"/>
        </w:rPr>
      </w:pP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w:t>
      </w:r>
      <w:r>
        <w:rPr>
          <w:rFonts w:hint="eastAsia"/>
          <w:b/>
          <w:color w:val="FF0000"/>
          <w:szCs w:val="21"/>
          <w:lang w:eastAsia="zh-CN"/>
        </w:rPr>
        <w:t>投标（响应）</w:t>
      </w:r>
      <w:r>
        <w:rPr>
          <w:rFonts w:hint="eastAsia"/>
          <w:b/>
          <w:color w:val="FF0000"/>
          <w:szCs w:val="21"/>
        </w:rPr>
        <w:t>无效处理；</w:t>
      </w:r>
    </w:p>
    <w:tbl>
      <w:tblPr>
        <w:tblStyle w:val="18"/>
        <w:tblW w:w="8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7452"/>
      </w:tblGrid>
      <w:tr w14:paraId="501C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312" w:type="dxa"/>
            <w:tcBorders>
              <w:top w:val="single" w:color="auto" w:sz="4" w:space="0"/>
              <w:left w:val="single" w:color="auto" w:sz="4" w:space="0"/>
              <w:bottom w:val="single" w:color="auto" w:sz="4" w:space="0"/>
              <w:right w:val="single" w:color="auto" w:sz="4" w:space="0"/>
            </w:tcBorders>
            <w:noWrap w:val="0"/>
            <w:vAlign w:val="center"/>
          </w:tcPr>
          <w:p w14:paraId="62BC1762">
            <w:pPr>
              <w:jc w:val="center"/>
              <w:rPr>
                <w:rFonts w:hint="eastAsia" w:ascii="宋体" w:hAnsi="宋体" w:eastAsia="宋体" w:cs="宋体"/>
                <w:b/>
                <w:color w:val="FF0000"/>
                <w:szCs w:val="21"/>
              </w:rPr>
            </w:pPr>
            <w:r>
              <w:rPr>
                <w:rFonts w:hint="eastAsia"/>
                <w:b/>
                <w:color w:val="FF0000"/>
              </w:rPr>
              <w:t>商务需求项</w:t>
            </w:r>
          </w:p>
        </w:tc>
        <w:tc>
          <w:tcPr>
            <w:tcW w:w="7452" w:type="dxa"/>
            <w:tcBorders>
              <w:top w:val="single" w:color="auto" w:sz="4" w:space="0"/>
              <w:left w:val="single" w:color="auto" w:sz="4" w:space="0"/>
              <w:bottom w:val="single" w:color="auto" w:sz="4" w:space="0"/>
              <w:right w:val="single" w:color="auto" w:sz="4" w:space="0"/>
            </w:tcBorders>
            <w:noWrap w:val="0"/>
            <w:vAlign w:val="center"/>
          </w:tcPr>
          <w:p w14:paraId="4694B868">
            <w:pPr>
              <w:jc w:val="center"/>
              <w:rPr>
                <w:rFonts w:hint="eastAsia" w:ascii="宋体" w:hAnsi="宋体" w:eastAsia="宋体" w:cs="宋体"/>
                <w:color w:val="FF0000"/>
                <w:szCs w:val="21"/>
              </w:rPr>
            </w:pPr>
            <w:r>
              <w:rPr>
                <w:rFonts w:hint="eastAsia"/>
                <w:b/>
                <w:color w:val="FF0000"/>
              </w:rPr>
              <w:t>招标商务要求</w:t>
            </w:r>
          </w:p>
        </w:tc>
      </w:tr>
      <w:tr w14:paraId="73BB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312" w:type="dxa"/>
            <w:tcBorders>
              <w:top w:val="single" w:color="auto" w:sz="4" w:space="0"/>
              <w:left w:val="single" w:color="auto" w:sz="4" w:space="0"/>
              <w:bottom w:val="single" w:color="auto" w:sz="4" w:space="0"/>
              <w:right w:val="single" w:color="auto" w:sz="4" w:space="0"/>
            </w:tcBorders>
            <w:noWrap w:val="0"/>
            <w:vAlign w:val="center"/>
          </w:tcPr>
          <w:p w14:paraId="0228FDE6">
            <w:pPr>
              <w:spacing w:line="320" w:lineRule="exact"/>
              <w:jc w:val="center"/>
              <w:rPr>
                <w:rFonts w:ascii="宋体" w:hAnsi="宋体" w:eastAsia="宋体" w:cs="宋体"/>
                <w:b/>
                <w:color w:val="FF0000"/>
                <w:szCs w:val="21"/>
              </w:rPr>
            </w:pPr>
            <w:r>
              <w:rPr>
                <w:rFonts w:hint="eastAsia" w:ascii="宋体" w:hAnsi="宋体" w:eastAsia="宋体" w:cs="宋体"/>
                <w:b/>
                <w:color w:val="FF0000"/>
                <w:szCs w:val="21"/>
              </w:rPr>
              <w:t>报价要求</w:t>
            </w:r>
          </w:p>
        </w:tc>
        <w:tc>
          <w:tcPr>
            <w:tcW w:w="7452" w:type="dxa"/>
            <w:tcBorders>
              <w:top w:val="single" w:color="auto" w:sz="4" w:space="0"/>
              <w:left w:val="single" w:color="auto" w:sz="4" w:space="0"/>
              <w:bottom w:val="single" w:color="auto" w:sz="4" w:space="0"/>
              <w:right w:val="single" w:color="auto" w:sz="4" w:space="0"/>
            </w:tcBorders>
            <w:noWrap w:val="0"/>
            <w:vAlign w:val="top"/>
          </w:tcPr>
          <w:p w14:paraId="6D88EE9D">
            <w:pPr>
              <w:snapToGrid w:val="0"/>
              <w:spacing w:line="320" w:lineRule="exact"/>
              <w:ind w:firstLine="0"/>
              <w:rPr>
                <w:rFonts w:hint="eastAsia" w:ascii="宋体" w:hAnsi="宋体" w:eastAsia="宋体" w:cs="宋体"/>
                <w:color w:val="FF0000"/>
                <w:szCs w:val="21"/>
              </w:rPr>
            </w:pPr>
            <w:r>
              <w:rPr>
                <w:rFonts w:hint="eastAsia" w:ascii="宋体" w:hAnsi="宋体" w:eastAsia="宋体" w:cs="宋体"/>
                <w:color w:val="FF0000"/>
                <w:szCs w:val="21"/>
                <w:lang w:val="en-US" w:eastAsia="zh-CN"/>
              </w:rPr>
              <w:t>本项目以投标总价报价，</w:t>
            </w:r>
            <w:r>
              <w:rPr>
                <w:rFonts w:hint="eastAsia" w:ascii="宋体" w:hAnsi="宋体" w:eastAsia="宋体" w:cs="宋体"/>
                <w:color w:val="FF0000"/>
                <w:szCs w:val="21"/>
              </w:rPr>
              <w:t>投标报价以人民币报价，为工地交货价。货物总价内包含但不限于的相关的费用有：原材料和配件费、深化设计、生产加工、安装、调试，通过有关主管部门的验收，运至合同指定地点的包装、运输、装卸、安装，技术培训，检查、检验，及保修、利润、风险金、国家规定的各项税费。除合同约定明确由采购人承担的费用外，采购人不再向中标人支付其他任何名目的费用。</w:t>
            </w:r>
          </w:p>
        </w:tc>
      </w:tr>
      <w:tr w14:paraId="26E9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12" w:type="dxa"/>
            <w:tcBorders>
              <w:top w:val="single" w:color="auto" w:sz="4" w:space="0"/>
              <w:left w:val="single" w:color="auto" w:sz="4" w:space="0"/>
              <w:bottom w:val="single" w:color="auto" w:sz="4" w:space="0"/>
              <w:right w:val="single" w:color="auto" w:sz="4" w:space="0"/>
            </w:tcBorders>
            <w:noWrap w:val="0"/>
            <w:vAlign w:val="center"/>
          </w:tcPr>
          <w:p w14:paraId="27A7F12C">
            <w:pPr>
              <w:spacing w:line="320" w:lineRule="exact"/>
              <w:jc w:val="center"/>
              <w:rPr>
                <w:rFonts w:ascii="宋体" w:hAnsi="宋体" w:eastAsia="宋体" w:cs="宋体"/>
                <w:b/>
                <w:color w:val="FF0000"/>
                <w:szCs w:val="21"/>
              </w:rPr>
            </w:pPr>
            <w:r>
              <w:rPr>
                <w:rFonts w:hint="eastAsia" w:ascii="宋体" w:hAnsi="宋体" w:eastAsia="宋体" w:cs="宋体"/>
                <w:b/>
                <w:color w:val="FF0000"/>
                <w:szCs w:val="21"/>
              </w:rPr>
              <w:t>交货地点</w:t>
            </w:r>
          </w:p>
        </w:tc>
        <w:tc>
          <w:tcPr>
            <w:tcW w:w="7452" w:type="dxa"/>
            <w:tcBorders>
              <w:top w:val="single" w:color="auto" w:sz="4" w:space="0"/>
              <w:left w:val="single" w:color="auto" w:sz="4" w:space="0"/>
              <w:bottom w:val="single" w:color="auto" w:sz="4" w:space="0"/>
              <w:right w:val="single" w:color="auto" w:sz="4" w:space="0"/>
            </w:tcBorders>
            <w:noWrap w:val="0"/>
            <w:vAlign w:val="top"/>
          </w:tcPr>
          <w:p w14:paraId="4071969B">
            <w:pPr>
              <w:spacing w:line="320" w:lineRule="exact"/>
              <w:rPr>
                <w:rFonts w:hint="default" w:ascii="宋体" w:hAnsi="宋体" w:eastAsia="宋体" w:cs="宋体"/>
                <w:color w:val="FF0000"/>
                <w:szCs w:val="21"/>
                <w:lang w:val="en-US" w:eastAsia="zh-CN"/>
              </w:rPr>
            </w:pPr>
            <w:r>
              <w:rPr>
                <w:rFonts w:hint="eastAsia" w:ascii="宋体" w:hAnsi="宋体" w:eastAsia="宋体" w:cs="宋体"/>
                <w:b w:val="0"/>
                <w:bCs w:val="0"/>
                <w:color w:val="FF0000"/>
                <w:kern w:val="2"/>
                <w:sz w:val="21"/>
                <w:szCs w:val="21"/>
                <w:lang w:val="en-US" w:eastAsia="zh-CN" w:bidi="ar-SA"/>
              </w:rPr>
              <w:t>采购人指定具体交货地点。</w:t>
            </w:r>
          </w:p>
        </w:tc>
      </w:tr>
      <w:tr w14:paraId="246B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312" w:type="dxa"/>
            <w:tcBorders>
              <w:top w:val="single" w:color="auto" w:sz="4" w:space="0"/>
              <w:left w:val="single" w:color="auto" w:sz="4" w:space="0"/>
              <w:bottom w:val="single" w:color="auto" w:sz="4" w:space="0"/>
              <w:right w:val="single" w:color="auto" w:sz="4" w:space="0"/>
            </w:tcBorders>
            <w:noWrap w:val="0"/>
            <w:vAlign w:val="center"/>
          </w:tcPr>
          <w:p w14:paraId="3A913BF7">
            <w:pPr>
              <w:spacing w:line="320" w:lineRule="exact"/>
              <w:jc w:val="center"/>
              <w:rPr>
                <w:rFonts w:ascii="宋体" w:hAnsi="宋体" w:eastAsia="宋体" w:cs="宋体"/>
                <w:b/>
                <w:bCs/>
                <w:color w:val="FF0000"/>
                <w:szCs w:val="21"/>
              </w:rPr>
            </w:pPr>
            <w:r>
              <w:rPr>
                <w:rFonts w:hint="eastAsia" w:ascii="宋体" w:hAnsi="宋体" w:eastAsia="宋体" w:cs="宋体"/>
                <w:b/>
                <w:bCs/>
                <w:color w:val="FF0000"/>
                <w:szCs w:val="21"/>
              </w:rPr>
              <w:t>交货期或完工期</w:t>
            </w:r>
          </w:p>
        </w:tc>
        <w:tc>
          <w:tcPr>
            <w:tcW w:w="7452" w:type="dxa"/>
            <w:tcBorders>
              <w:top w:val="single" w:color="auto" w:sz="4" w:space="0"/>
              <w:left w:val="single" w:color="auto" w:sz="4" w:space="0"/>
              <w:bottom w:val="single" w:color="auto" w:sz="4" w:space="0"/>
              <w:right w:val="single" w:color="auto" w:sz="4" w:space="0"/>
            </w:tcBorders>
            <w:noWrap w:val="0"/>
            <w:vAlign w:val="top"/>
          </w:tcPr>
          <w:p w14:paraId="5A99E75E">
            <w:pPr>
              <w:snapToGrid w:val="0"/>
              <w:spacing w:line="320" w:lineRule="exact"/>
              <w:ind w:firstLine="0"/>
              <w:rPr>
                <w:rFonts w:ascii="宋体" w:hAnsi="宋体" w:eastAsia="宋体" w:cs="宋体"/>
                <w:bCs/>
                <w:color w:val="FF0000"/>
                <w:szCs w:val="21"/>
              </w:rPr>
            </w:pPr>
            <w:r>
              <w:rPr>
                <w:rFonts w:hint="eastAsia" w:ascii="宋体" w:hAnsi="宋体" w:eastAsia="宋体" w:cs="宋体"/>
                <w:bCs w:val="0"/>
                <w:color w:val="FF0000"/>
                <w:kern w:val="2"/>
                <w:szCs w:val="21"/>
              </w:rPr>
              <w:t>本项目要求在</w:t>
            </w:r>
            <w:r>
              <w:rPr>
                <w:rFonts w:hint="eastAsia" w:ascii="宋体" w:hAnsi="宋体" w:eastAsia="宋体" w:cs="宋体"/>
                <w:color w:val="FF0000"/>
                <w:sz w:val="21"/>
                <w:szCs w:val="21"/>
              </w:rPr>
              <w:t>签订合同后60个日历日内完成设备安装调试</w:t>
            </w:r>
          </w:p>
        </w:tc>
      </w:tr>
      <w:tr w14:paraId="54A3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12" w:type="dxa"/>
            <w:tcBorders>
              <w:top w:val="single" w:color="auto" w:sz="4" w:space="0"/>
              <w:left w:val="single" w:color="auto" w:sz="4" w:space="0"/>
              <w:bottom w:val="single" w:color="auto" w:sz="4" w:space="0"/>
              <w:right w:val="single" w:color="auto" w:sz="4" w:space="0"/>
            </w:tcBorders>
            <w:noWrap w:val="0"/>
            <w:vAlign w:val="center"/>
          </w:tcPr>
          <w:p w14:paraId="0F2D7968">
            <w:pPr>
              <w:spacing w:line="320" w:lineRule="exact"/>
              <w:jc w:val="center"/>
              <w:rPr>
                <w:rFonts w:ascii="宋体" w:hAnsi="宋体" w:eastAsia="宋体" w:cs="宋体"/>
                <w:b/>
                <w:bCs/>
                <w:color w:val="FF0000"/>
                <w:szCs w:val="21"/>
              </w:rPr>
            </w:pPr>
            <w:r>
              <w:rPr>
                <w:rFonts w:hint="eastAsia" w:ascii="宋体" w:hAnsi="宋体" w:eastAsia="宋体" w:cs="宋体"/>
                <w:b/>
                <w:color w:val="FF0000"/>
                <w:szCs w:val="21"/>
              </w:rPr>
              <w:t>付款方式</w:t>
            </w:r>
          </w:p>
        </w:tc>
        <w:tc>
          <w:tcPr>
            <w:tcW w:w="7452" w:type="dxa"/>
            <w:tcBorders>
              <w:top w:val="single" w:color="auto" w:sz="4" w:space="0"/>
              <w:left w:val="single" w:color="auto" w:sz="4" w:space="0"/>
              <w:bottom w:val="single" w:color="auto" w:sz="4" w:space="0"/>
              <w:right w:val="single" w:color="auto" w:sz="4" w:space="0"/>
            </w:tcBorders>
            <w:noWrap w:val="0"/>
            <w:vAlign w:val="top"/>
          </w:tcPr>
          <w:p w14:paraId="3007D0B9">
            <w:pPr>
              <w:spacing w:line="320" w:lineRule="exact"/>
              <w:jc w:val="left"/>
              <w:rPr>
                <w:rFonts w:ascii="宋体" w:hAnsi="宋体" w:eastAsia="宋体" w:cs="宋体"/>
                <w:color w:val="FF0000"/>
                <w:kern w:val="0"/>
                <w:szCs w:val="21"/>
              </w:rPr>
            </w:pPr>
            <w:r>
              <w:rPr>
                <w:rFonts w:hint="eastAsia" w:ascii="宋体" w:hAnsi="宋体" w:eastAsia="宋体" w:cs="宋体"/>
                <w:color w:val="FF0000"/>
                <w:kern w:val="0"/>
                <w:szCs w:val="21"/>
              </w:rPr>
              <w:t>本项目完成并经验收合格后，对于满足合同约定支付条件的，采购人应当自收到发票后</w:t>
            </w:r>
            <w:r>
              <w:rPr>
                <w:rFonts w:hint="eastAsia" w:ascii="宋体" w:hAnsi="宋体" w:eastAsia="宋体" w:cs="宋体"/>
                <w:color w:val="FF0000"/>
                <w:kern w:val="0"/>
                <w:szCs w:val="21"/>
                <w:highlight w:val="yellow"/>
                <w:u w:val="single"/>
              </w:rPr>
              <w:t>10</w:t>
            </w:r>
            <w:r>
              <w:rPr>
                <w:rFonts w:hint="eastAsia" w:ascii="宋体" w:hAnsi="宋体" w:eastAsia="宋体" w:cs="宋体"/>
                <w:color w:val="FF0000"/>
                <w:kern w:val="0"/>
                <w:szCs w:val="21"/>
                <w:highlight w:val="yellow"/>
              </w:rPr>
              <w:t>日</w:t>
            </w:r>
            <w:r>
              <w:rPr>
                <w:rFonts w:hint="eastAsia" w:ascii="宋体" w:hAnsi="宋体" w:eastAsia="宋体" w:cs="宋体"/>
                <w:color w:val="FF0000"/>
                <w:kern w:val="0"/>
                <w:szCs w:val="21"/>
              </w:rPr>
              <w:t>内将资金支付到合同约定的中标供应商账户。</w:t>
            </w:r>
          </w:p>
        </w:tc>
      </w:tr>
      <w:tr w14:paraId="3122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12" w:type="dxa"/>
            <w:tcBorders>
              <w:top w:val="single" w:color="auto" w:sz="4" w:space="0"/>
              <w:left w:val="single" w:color="auto" w:sz="4" w:space="0"/>
              <w:right w:val="single" w:color="auto" w:sz="4" w:space="0"/>
            </w:tcBorders>
            <w:noWrap w:val="0"/>
            <w:vAlign w:val="center"/>
          </w:tcPr>
          <w:p w14:paraId="0BF5F13F">
            <w:pPr>
              <w:spacing w:line="320" w:lineRule="exact"/>
              <w:jc w:val="center"/>
              <w:rPr>
                <w:rFonts w:ascii="宋体" w:hAnsi="宋体" w:eastAsia="宋体" w:cs="宋体"/>
                <w:b/>
                <w:bCs/>
                <w:color w:val="FF0000"/>
                <w:szCs w:val="21"/>
              </w:rPr>
            </w:pPr>
            <w:r>
              <w:rPr>
                <w:rFonts w:hint="eastAsia" w:ascii="宋体" w:hAnsi="宋体" w:eastAsia="宋体" w:cs="宋体"/>
                <w:b/>
                <w:color w:val="FF0000"/>
                <w:szCs w:val="21"/>
              </w:rPr>
              <w:t>验收方式</w:t>
            </w:r>
          </w:p>
        </w:tc>
        <w:tc>
          <w:tcPr>
            <w:tcW w:w="7452" w:type="dxa"/>
            <w:tcBorders>
              <w:top w:val="single" w:color="auto" w:sz="4" w:space="0"/>
              <w:left w:val="single" w:color="auto" w:sz="4" w:space="0"/>
              <w:right w:val="single" w:color="auto" w:sz="4" w:space="0"/>
            </w:tcBorders>
            <w:noWrap w:val="0"/>
            <w:vAlign w:val="top"/>
          </w:tcPr>
          <w:p w14:paraId="54C38597">
            <w:pPr>
              <w:spacing w:line="320" w:lineRule="exact"/>
              <w:ind w:firstLine="0" w:firstLineChars="0"/>
              <w:jc w:val="left"/>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（1）设备送达指定地点安装。中标人应派有经验的技术人员到现场进行安装、调试，直到设备正常使用。</w:t>
            </w:r>
          </w:p>
          <w:p w14:paraId="1AC142C3">
            <w:pPr>
              <w:spacing w:line="320" w:lineRule="exact"/>
              <w:ind w:firstLine="0" w:firstLineChars="0"/>
              <w:jc w:val="left"/>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（2）设备安装调试正常使用后，采购人30个日历日内进行验收。</w:t>
            </w:r>
          </w:p>
          <w:p w14:paraId="40E50696">
            <w:pPr>
              <w:spacing w:line="320" w:lineRule="exact"/>
              <w:jc w:val="left"/>
              <w:rPr>
                <w:rFonts w:ascii="宋体" w:hAnsi="宋体" w:eastAsia="宋体" w:cs="宋体"/>
                <w:bCs/>
                <w:color w:val="FF0000"/>
                <w:szCs w:val="21"/>
              </w:rPr>
            </w:pPr>
            <w:r>
              <w:rPr>
                <w:rFonts w:hint="eastAsia" w:ascii="宋体" w:hAnsi="宋体" w:eastAsia="宋体" w:cs="宋体"/>
                <w:color w:val="FF0000"/>
                <w:kern w:val="0"/>
                <w:sz w:val="21"/>
                <w:szCs w:val="21"/>
              </w:rPr>
              <w:t>（3）产品质量和安装调试检验标准遵照国家相关规定和最新标准执行。验收中如发现有质量不合格或型号规格、数量等与合同不符情况，中标人应免费更换或补齐，并承担因此发生的违约责任。</w:t>
            </w:r>
          </w:p>
        </w:tc>
      </w:tr>
      <w:tr w14:paraId="0950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312" w:type="dxa"/>
            <w:tcBorders>
              <w:top w:val="single" w:color="auto" w:sz="4" w:space="0"/>
              <w:left w:val="single" w:color="auto" w:sz="4" w:space="0"/>
              <w:right w:val="single" w:color="auto" w:sz="4" w:space="0"/>
            </w:tcBorders>
            <w:noWrap w:val="0"/>
            <w:vAlign w:val="center"/>
          </w:tcPr>
          <w:p w14:paraId="6D093E7C">
            <w:pPr>
              <w:spacing w:line="320" w:lineRule="exact"/>
              <w:jc w:val="center"/>
              <w:rPr>
                <w:rFonts w:ascii="宋体" w:hAnsi="宋体" w:eastAsia="宋体" w:cs="宋体"/>
                <w:b/>
                <w:color w:val="FF0000"/>
                <w:szCs w:val="21"/>
              </w:rPr>
            </w:pPr>
            <w:r>
              <w:rPr>
                <w:rFonts w:hint="eastAsia" w:ascii="宋体" w:hAnsi="宋体" w:eastAsia="宋体" w:cs="宋体"/>
                <w:b/>
                <w:bCs/>
                <w:color w:val="FF0000"/>
                <w:szCs w:val="21"/>
              </w:rPr>
              <w:t>包装及运输要求</w:t>
            </w:r>
          </w:p>
        </w:tc>
        <w:tc>
          <w:tcPr>
            <w:tcW w:w="7452" w:type="dxa"/>
            <w:tcBorders>
              <w:top w:val="single" w:color="auto" w:sz="4" w:space="0"/>
              <w:left w:val="single" w:color="auto" w:sz="4" w:space="0"/>
              <w:right w:val="single" w:color="auto" w:sz="4" w:space="0"/>
            </w:tcBorders>
            <w:noWrap w:val="0"/>
            <w:vAlign w:val="top"/>
          </w:tcPr>
          <w:p w14:paraId="67DC256C">
            <w:pPr>
              <w:spacing w:line="320" w:lineRule="exact"/>
              <w:rPr>
                <w:rFonts w:ascii="宋体" w:hAnsi="宋体" w:eastAsia="宋体" w:cs="宋体"/>
                <w:bCs/>
                <w:color w:val="FF0000"/>
                <w:szCs w:val="21"/>
              </w:rPr>
            </w:pPr>
            <w:r>
              <w:rPr>
                <w:rFonts w:hint="eastAsia" w:ascii="宋体" w:hAnsi="宋体" w:eastAsia="宋体" w:cs="宋体"/>
                <w:bCs/>
                <w:color w:val="FF0000"/>
                <w:szCs w:val="21"/>
              </w:rPr>
              <w:t>本次采购的设备和材料必须是全新的，所有设备运输到达施工场地时的包装必须是原厂完整的。</w:t>
            </w:r>
          </w:p>
        </w:tc>
      </w:tr>
      <w:tr w14:paraId="103A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312" w:type="dxa"/>
            <w:tcBorders>
              <w:top w:val="single" w:color="auto" w:sz="4" w:space="0"/>
              <w:left w:val="single" w:color="auto" w:sz="4" w:space="0"/>
              <w:bottom w:val="single" w:color="auto" w:sz="4" w:space="0"/>
              <w:right w:val="single" w:color="auto" w:sz="4" w:space="0"/>
            </w:tcBorders>
            <w:noWrap w:val="0"/>
            <w:vAlign w:val="center"/>
          </w:tcPr>
          <w:p w14:paraId="74E04B36">
            <w:pPr>
              <w:widowControl/>
              <w:spacing w:line="320" w:lineRule="exact"/>
              <w:jc w:val="center"/>
              <w:rPr>
                <w:rFonts w:ascii="宋体" w:hAnsi="宋体" w:eastAsia="宋体" w:cs="宋体"/>
                <w:bCs/>
                <w:color w:val="FF0000"/>
                <w:szCs w:val="21"/>
              </w:rPr>
            </w:pPr>
            <w:r>
              <w:rPr>
                <w:rFonts w:hint="eastAsia" w:ascii="宋体" w:hAnsi="宋体" w:eastAsia="宋体" w:cs="宋体"/>
                <w:b/>
                <w:bCs/>
                <w:color w:val="FF0000"/>
                <w:szCs w:val="21"/>
              </w:rPr>
              <w:t>售后服务要求</w:t>
            </w:r>
          </w:p>
        </w:tc>
        <w:tc>
          <w:tcPr>
            <w:tcW w:w="7452" w:type="dxa"/>
            <w:tcBorders>
              <w:top w:val="single" w:color="auto" w:sz="4" w:space="0"/>
              <w:left w:val="single" w:color="auto" w:sz="4" w:space="0"/>
              <w:bottom w:val="single" w:color="auto" w:sz="4" w:space="0"/>
              <w:right w:val="single" w:color="auto" w:sz="4" w:space="0"/>
            </w:tcBorders>
            <w:noWrap w:val="0"/>
            <w:vAlign w:val="top"/>
          </w:tcPr>
          <w:p w14:paraId="107A7883">
            <w:pPr>
              <w:widowControl/>
              <w:spacing w:line="320" w:lineRule="exact"/>
              <w:jc w:val="left"/>
              <w:rPr>
                <w:rFonts w:hint="eastAsia" w:ascii="宋体" w:hAnsi="宋体" w:eastAsia="宋体" w:cs="宋体"/>
                <w:color w:val="FF0000"/>
                <w:szCs w:val="21"/>
              </w:rPr>
            </w:pPr>
            <w:r>
              <w:rPr>
                <w:rFonts w:hint="eastAsia" w:ascii="宋体" w:hAnsi="宋体" w:eastAsia="宋体" w:cs="宋体"/>
                <w:color w:val="FF0000"/>
                <w:szCs w:val="21"/>
              </w:rPr>
              <w:t>（1）所投产品原厂免费保修期1 年,时间自最终验收合格并交付使用之日起计算；软件终身免费升级；</w:t>
            </w:r>
          </w:p>
          <w:p w14:paraId="5B70B226">
            <w:pPr>
              <w:widowControl/>
              <w:spacing w:line="320" w:lineRule="exact"/>
              <w:jc w:val="left"/>
              <w:rPr>
                <w:rFonts w:hint="eastAsia" w:ascii="宋体" w:hAnsi="宋体" w:eastAsia="宋体" w:cs="宋体"/>
                <w:color w:val="FF0000"/>
                <w:szCs w:val="21"/>
              </w:rPr>
            </w:pPr>
            <w:r>
              <w:rPr>
                <w:rFonts w:hint="eastAsia" w:ascii="宋体" w:hAnsi="宋体" w:eastAsia="宋体" w:cs="宋体"/>
                <w:color w:val="FF0000"/>
                <w:szCs w:val="21"/>
              </w:rPr>
              <w:t>（2）质保期内，接到采购人的报修通知，应在4小时内响应24小时内修复，中标人提供原装零配件及维修，特殊情况下可提供备用机；</w:t>
            </w:r>
          </w:p>
          <w:p w14:paraId="1AF58675">
            <w:pPr>
              <w:widowControl/>
              <w:spacing w:line="320" w:lineRule="exact"/>
              <w:jc w:val="left"/>
              <w:rPr>
                <w:rFonts w:hint="eastAsia" w:ascii="宋体" w:hAnsi="宋体" w:eastAsia="宋体" w:cs="宋体"/>
                <w:color w:val="FF0000"/>
                <w:szCs w:val="21"/>
              </w:rPr>
            </w:pPr>
            <w:r>
              <w:rPr>
                <w:rFonts w:hint="eastAsia" w:ascii="宋体" w:hAnsi="宋体" w:eastAsia="宋体" w:cs="宋体"/>
                <w:color w:val="FF0000"/>
                <w:szCs w:val="21"/>
              </w:rPr>
              <w:t>（3）在免费保修期内, 投标人应确保年开机率在95%以上, 若不能达到此开机率，将作以下处理：</w:t>
            </w:r>
          </w:p>
          <w:p w14:paraId="25DE13DF">
            <w:pPr>
              <w:widowControl/>
              <w:spacing w:line="320" w:lineRule="exact"/>
              <w:jc w:val="left"/>
              <w:rPr>
                <w:rFonts w:hint="eastAsia" w:ascii="宋体" w:hAnsi="宋体" w:eastAsia="宋体" w:cs="宋体"/>
                <w:color w:val="FF0000"/>
                <w:szCs w:val="21"/>
              </w:rPr>
            </w:pPr>
            <w:r>
              <w:rPr>
                <w:rFonts w:hint="eastAsia" w:ascii="宋体" w:hAnsi="宋体" w:eastAsia="宋体" w:cs="宋体"/>
                <w:color w:val="FF0000"/>
                <w:szCs w:val="21"/>
              </w:rPr>
              <w:t>a.年开机率在90-95%之间按一赔二延长保修期；</w:t>
            </w:r>
          </w:p>
          <w:p w14:paraId="4C5FB489">
            <w:pPr>
              <w:widowControl/>
              <w:spacing w:line="320" w:lineRule="exact"/>
              <w:jc w:val="left"/>
              <w:rPr>
                <w:rFonts w:hint="eastAsia" w:ascii="宋体" w:hAnsi="宋体" w:eastAsia="宋体" w:cs="宋体"/>
                <w:color w:val="FF0000"/>
                <w:szCs w:val="21"/>
              </w:rPr>
            </w:pPr>
            <w:r>
              <w:rPr>
                <w:rFonts w:hint="eastAsia" w:ascii="宋体" w:hAnsi="宋体" w:eastAsia="宋体" w:cs="宋体"/>
                <w:color w:val="FF0000"/>
                <w:szCs w:val="21"/>
              </w:rPr>
              <w:t>b.年开机率在85-90%之间按一赔五延长保修期；</w:t>
            </w:r>
          </w:p>
          <w:p w14:paraId="55A48CEE">
            <w:pPr>
              <w:widowControl/>
              <w:spacing w:line="320" w:lineRule="exact"/>
              <w:jc w:val="left"/>
              <w:rPr>
                <w:rFonts w:hint="eastAsia" w:ascii="宋体" w:hAnsi="宋体" w:eastAsia="宋体" w:cs="宋体"/>
                <w:color w:val="FF0000"/>
                <w:szCs w:val="21"/>
              </w:rPr>
            </w:pPr>
            <w:r>
              <w:rPr>
                <w:rFonts w:hint="eastAsia" w:ascii="宋体" w:hAnsi="宋体" w:eastAsia="宋体" w:cs="宋体"/>
                <w:color w:val="FF0000"/>
                <w:szCs w:val="21"/>
              </w:rPr>
              <w:t>c.年开机率低于85%，投标人必须无条件更换新机，并重新计算保修期，以及赔偿用户的直接经济损失和间接经济损失。</w:t>
            </w:r>
          </w:p>
          <w:p w14:paraId="3213AE61">
            <w:pPr>
              <w:widowControl/>
              <w:spacing w:line="320" w:lineRule="exact"/>
              <w:jc w:val="left"/>
              <w:rPr>
                <w:rFonts w:hint="eastAsia" w:ascii="宋体" w:hAnsi="宋体" w:eastAsia="宋体" w:cs="宋体"/>
                <w:color w:val="FF0000"/>
                <w:szCs w:val="21"/>
              </w:rPr>
            </w:pPr>
            <w:r>
              <w:rPr>
                <w:rFonts w:hint="eastAsia" w:ascii="宋体" w:hAnsi="宋体" w:eastAsia="宋体" w:cs="宋体"/>
                <w:color w:val="FF0000"/>
                <w:szCs w:val="21"/>
              </w:rPr>
              <w:t>注：年开机率=（365-停机天数）/365；</w:t>
            </w:r>
          </w:p>
          <w:p w14:paraId="0B91E6EE">
            <w:pPr>
              <w:widowControl/>
              <w:spacing w:line="320" w:lineRule="exact"/>
              <w:jc w:val="left"/>
              <w:rPr>
                <w:rFonts w:hint="eastAsia" w:ascii="宋体" w:hAnsi="宋体" w:eastAsia="宋体" w:cs="宋体"/>
                <w:color w:val="FF0000"/>
                <w:szCs w:val="21"/>
              </w:rPr>
            </w:pPr>
            <w:r>
              <w:rPr>
                <w:rFonts w:hint="eastAsia" w:ascii="宋体" w:hAnsi="宋体" w:eastAsia="宋体" w:cs="宋体"/>
                <w:color w:val="FF0000"/>
                <w:szCs w:val="21"/>
              </w:rPr>
              <w:t xml:space="preserve">（4）提供三个月做一次或多次上门回访服务，开通有24小时免费服务电话，有专业团队负责随时提供技术咨询服务； </w:t>
            </w:r>
          </w:p>
          <w:p w14:paraId="58AF16BA">
            <w:pPr>
              <w:widowControl/>
              <w:spacing w:line="320" w:lineRule="exact"/>
              <w:jc w:val="left"/>
              <w:rPr>
                <w:rFonts w:hint="eastAsia" w:ascii="宋体" w:hAnsi="宋体" w:eastAsia="宋体" w:cs="宋体"/>
                <w:color w:val="FF0000"/>
                <w:szCs w:val="21"/>
              </w:rPr>
            </w:pPr>
            <w:r>
              <w:rPr>
                <w:rFonts w:hint="eastAsia" w:ascii="宋体" w:hAnsi="宋体" w:eastAsia="宋体" w:cs="宋体"/>
                <w:color w:val="FF0000"/>
                <w:szCs w:val="21"/>
              </w:rPr>
              <w:t>（5）中标人负责安装、调试、免费提供技术咨询、软件升级；</w:t>
            </w:r>
          </w:p>
          <w:p w14:paraId="0A0F3EEC">
            <w:pPr>
              <w:widowControl/>
              <w:spacing w:line="320" w:lineRule="exact"/>
              <w:jc w:val="left"/>
              <w:rPr>
                <w:rFonts w:ascii="宋体" w:hAnsi="宋体" w:eastAsia="宋体" w:cs="宋体"/>
                <w:color w:val="FF0000"/>
                <w:szCs w:val="21"/>
              </w:rPr>
            </w:pPr>
            <w:r>
              <w:rPr>
                <w:rFonts w:hint="eastAsia" w:ascii="宋体" w:hAnsi="宋体" w:eastAsia="宋体" w:cs="宋体"/>
                <w:color w:val="FF0000"/>
                <w:szCs w:val="21"/>
              </w:rPr>
              <w:t>（6）保证设备维修和配件的供应。</w:t>
            </w:r>
          </w:p>
        </w:tc>
      </w:tr>
      <w:tr w14:paraId="232E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312" w:type="dxa"/>
            <w:tcBorders>
              <w:top w:val="single" w:color="auto" w:sz="4" w:space="0"/>
              <w:left w:val="single" w:color="auto" w:sz="4" w:space="0"/>
              <w:bottom w:val="single" w:color="auto" w:sz="4" w:space="0"/>
              <w:right w:val="single" w:color="auto" w:sz="4" w:space="0"/>
            </w:tcBorders>
            <w:noWrap w:val="0"/>
            <w:vAlign w:val="center"/>
          </w:tcPr>
          <w:p w14:paraId="6B0BC9DD">
            <w:pPr>
              <w:widowControl/>
              <w:spacing w:line="320" w:lineRule="exact"/>
              <w:jc w:val="center"/>
              <w:rPr>
                <w:rFonts w:hint="default" w:ascii="宋体" w:hAnsi="宋体" w:eastAsia="宋体" w:cs="宋体"/>
                <w:b/>
                <w:bCs/>
                <w:color w:val="FF0000"/>
                <w:szCs w:val="21"/>
                <w:lang w:val="en-US" w:eastAsia="zh-CN"/>
              </w:rPr>
            </w:pPr>
            <w:r>
              <w:rPr>
                <w:rFonts w:hint="eastAsia" w:ascii="宋体" w:hAnsi="宋体" w:eastAsia="宋体" w:cs="宋体"/>
                <w:b/>
                <w:bCs/>
                <w:color w:val="FF0000"/>
                <w:szCs w:val="21"/>
                <w:lang w:val="en-US" w:eastAsia="zh-CN"/>
              </w:rPr>
              <w:t>违约责任</w:t>
            </w:r>
          </w:p>
        </w:tc>
        <w:tc>
          <w:tcPr>
            <w:tcW w:w="7452" w:type="dxa"/>
            <w:tcBorders>
              <w:top w:val="single" w:color="auto" w:sz="4" w:space="0"/>
              <w:left w:val="single" w:color="auto" w:sz="4" w:space="0"/>
              <w:bottom w:val="single" w:color="auto" w:sz="4" w:space="0"/>
              <w:right w:val="single" w:color="auto" w:sz="4" w:space="0"/>
            </w:tcBorders>
            <w:noWrap w:val="0"/>
            <w:vAlign w:val="top"/>
          </w:tcPr>
          <w:p w14:paraId="7D133552">
            <w:pPr>
              <w:spacing w:line="320" w:lineRule="exact"/>
              <w:rPr>
                <w:rFonts w:hint="eastAsia" w:ascii="宋体" w:hAnsi="宋体" w:eastAsia="宋体" w:cs="宋体"/>
                <w:color w:val="FF0000"/>
                <w:szCs w:val="21"/>
              </w:rPr>
            </w:pPr>
            <w:r>
              <w:rPr>
                <w:rFonts w:hint="eastAsia" w:ascii="宋体" w:hAnsi="宋体" w:eastAsia="宋体" w:cs="宋体"/>
                <w:color w:val="FF0000"/>
                <w:szCs w:val="21"/>
              </w:rPr>
              <w:t>由于中标人的原因未能按时交货的，每迟一天罚款合同总额的</w:t>
            </w:r>
            <w:r>
              <w:rPr>
                <w:rFonts w:hint="eastAsia" w:ascii="宋体" w:hAnsi="宋体" w:eastAsia="宋体" w:cs="宋体"/>
                <w:color w:val="FF0000"/>
                <w:szCs w:val="21"/>
                <w:highlight w:val="yellow"/>
              </w:rPr>
              <w:t>0.5%</w:t>
            </w:r>
            <w:r>
              <w:rPr>
                <w:rFonts w:hint="eastAsia" w:ascii="宋体" w:hAnsi="宋体" w:eastAsia="宋体" w:cs="宋体"/>
                <w:color w:val="FF0000"/>
                <w:szCs w:val="21"/>
              </w:rPr>
              <w:t>；如超过交货期</w:t>
            </w:r>
            <w:r>
              <w:rPr>
                <w:rFonts w:hint="eastAsia" w:ascii="宋体" w:hAnsi="宋体" w:eastAsia="宋体" w:cs="宋体"/>
                <w:color w:val="FF0000"/>
                <w:szCs w:val="21"/>
                <w:highlight w:val="yellow"/>
              </w:rPr>
              <w:t>60个日历日</w:t>
            </w:r>
            <w:r>
              <w:rPr>
                <w:rFonts w:hint="eastAsia" w:ascii="宋体" w:hAnsi="宋体" w:eastAsia="宋体" w:cs="宋体"/>
                <w:color w:val="FF0000"/>
                <w:szCs w:val="21"/>
              </w:rPr>
              <w:t>，采购人将有权终止合同并通过法律程序对中标人进行索赔。</w:t>
            </w:r>
          </w:p>
        </w:tc>
      </w:tr>
      <w:tr w14:paraId="0CDC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312" w:type="dxa"/>
            <w:tcBorders>
              <w:top w:val="single" w:color="auto" w:sz="4" w:space="0"/>
              <w:left w:val="single" w:color="auto" w:sz="4" w:space="0"/>
              <w:bottom w:val="single" w:color="auto" w:sz="4" w:space="0"/>
              <w:right w:val="single" w:color="auto" w:sz="4" w:space="0"/>
            </w:tcBorders>
            <w:noWrap w:val="0"/>
            <w:vAlign w:val="center"/>
          </w:tcPr>
          <w:p w14:paraId="4E03D9EF">
            <w:pPr>
              <w:widowControl/>
              <w:spacing w:line="320" w:lineRule="exact"/>
              <w:jc w:val="left"/>
              <w:rPr>
                <w:rFonts w:hint="eastAsia" w:ascii="宋体" w:hAnsi="宋体" w:eastAsia="宋体" w:cs="宋体"/>
                <w:b w:val="0"/>
                <w:bCs w:val="0"/>
                <w:color w:val="FF0000"/>
                <w:szCs w:val="21"/>
                <w:lang w:val="en-US" w:eastAsia="zh-CN"/>
              </w:rPr>
            </w:pPr>
            <w:r>
              <w:rPr>
                <w:rFonts w:hint="eastAsia" w:ascii="宋体" w:hAnsi="宋体" w:eastAsia="宋体" w:cs="宋体"/>
                <w:b/>
                <w:bCs/>
                <w:color w:val="FF0000"/>
                <w:sz w:val="21"/>
                <w:szCs w:val="21"/>
              </w:rPr>
              <w:t>运输、安装条件</w:t>
            </w:r>
          </w:p>
        </w:tc>
        <w:tc>
          <w:tcPr>
            <w:tcW w:w="7452" w:type="dxa"/>
            <w:tcBorders>
              <w:top w:val="single" w:color="auto" w:sz="4" w:space="0"/>
              <w:left w:val="single" w:color="auto" w:sz="4" w:space="0"/>
              <w:bottom w:val="single" w:color="auto" w:sz="4" w:space="0"/>
              <w:right w:val="single" w:color="auto" w:sz="4" w:space="0"/>
            </w:tcBorders>
            <w:noWrap w:val="0"/>
            <w:vAlign w:val="center"/>
          </w:tcPr>
          <w:p w14:paraId="079B8C24">
            <w:pPr>
              <w:widowControl/>
              <w:spacing w:line="320" w:lineRule="exact"/>
              <w:jc w:val="left"/>
              <w:rPr>
                <w:rFonts w:hint="eastAsia" w:ascii="宋体" w:hAnsi="宋体" w:eastAsia="宋体" w:cs="宋体"/>
                <w:color w:val="FF0000"/>
                <w:szCs w:val="21"/>
                <w:lang w:eastAsia="zh-CN"/>
              </w:rPr>
            </w:pPr>
            <w:r>
              <w:rPr>
                <w:rFonts w:hint="eastAsia" w:ascii="宋体" w:hAnsi="宋体" w:eastAsia="宋体" w:cs="宋体"/>
                <w:bCs w:val="0"/>
                <w:color w:val="FF0000"/>
                <w:szCs w:val="21"/>
                <w:highlight w:val="none"/>
                <w:lang w:val="en-US" w:eastAsia="zh-CN"/>
              </w:rPr>
              <w:t>中标人</w:t>
            </w:r>
            <w:r>
              <w:rPr>
                <w:rFonts w:hint="eastAsia" w:ascii="宋体" w:hAnsi="宋体" w:eastAsia="宋体" w:cs="宋体"/>
                <w:bCs w:val="0"/>
                <w:color w:val="FF0000"/>
                <w:szCs w:val="21"/>
                <w:highlight w:val="none"/>
              </w:rPr>
              <w:t>提供的货物必须为全新经检验合格的产品</w:t>
            </w:r>
            <w:r>
              <w:rPr>
                <w:rFonts w:hint="eastAsia" w:ascii="宋体" w:hAnsi="宋体" w:eastAsia="宋体" w:cs="宋体"/>
                <w:bCs w:val="0"/>
                <w:color w:val="FF0000"/>
                <w:szCs w:val="21"/>
                <w:highlight w:val="none"/>
                <w:lang w:val="en-US" w:eastAsia="zh-CN"/>
              </w:rPr>
              <w:t>，</w:t>
            </w:r>
            <w:r>
              <w:rPr>
                <w:rFonts w:hint="eastAsia" w:ascii="宋体" w:hAnsi="宋体" w:eastAsia="宋体" w:cs="宋体"/>
                <w:bCs w:val="0"/>
                <w:color w:val="FF0000"/>
                <w:szCs w:val="21"/>
                <w:lang w:val="en-US" w:eastAsia="zh-CN"/>
              </w:rPr>
              <w:t>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1039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312" w:type="dxa"/>
            <w:tcBorders>
              <w:top w:val="single" w:color="auto" w:sz="4" w:space="0"/>
              <w:left w:val="single" w:color="auto" w:sz="4" w:space="0"/>
              <w:bottom w:val="single" w:color="auto" w:sz="4" w:space="0"/>
              <w:right w:val="single" w:color="auto" w:sz="4" w:space="0"/>
            </w:tcBorders>
            <w:noWrap w:val="0"/>
            <w:vAlign w:val="center"/>
          </w:tcPr>
          <w:p w14:paraId="64D994E8">
            <w:pPr>
              <w:widowControl/>
              <w:spacing w:line="320" w:lineRule="exact"/>
              <w:jc w:val="center"/>
              <w:rPr>
                <w:rFonts w:hint="default" w:ascii="宋体" w:hAnsi="宋体" w:eastAsia="宋体" w:cs="宋体"/>
                <w:b/>
                <w:bCs/>
                <w:color w:val="FF0000"/>
                <w:szCs w:val="21"/>
                <w:lang w:val="en-US" w:eastAsia="zh-CN"/>
              </w:rPr>
            </w:pPr>
            <w:r>
              <w:rPr>
                <w:rFonts w:hint="eastAsia" w:ascii="宋体" w:hAnsi="宋体" w:eastAsia="宋体" w:cs="宋体"/>
                <w:b/>
                <w:bCs/>
                <w:color w:val="FF0000"/>
                <w:szCs w:val="21"/>
                <w:lang w:val="en-US" w:eastAsia="zh-CN"/>
              </w:rPr>
              <w:t>培训</w:t>
            </w:r>
          </w:p>
        </w:tc>
        <w:tc>
          <w:tcPr>
            <w:tcW w:w="7452" w:type="dxa"/>
            <w:tcBorders>
              <w:top w:val="single" w:color="auto" w:sz="4" w:space="0"/>
              <w:left w:val="single" w:color="auto" w:sz="4" w:space="0"/>
              <w:bottom w:val="single" w:color="auto" w:sz="4" w:space="0"/>
              <w:right w:val="single" w:color="auto" w:sz="4" w:space="0"/>
            </w:tcBorders>
            <w:noWrap w:val="0"/>
            <w:vAlign w:val="top"/>
          </w:tcPr>
          <w:p w14:paraId="1F27E988">
            <w:pPr>
              <w:widowControl/>
              <w:numPr>
                <w:ilvl w:val="0"/>
                <w:numId w:val="0"/>
              </w:numPr>
              <w:spacing w:line="320" w:lineRule="exact"/>
              <w:jc w:val="left"/>
              <w:rPr>
                <w:rFonts w:hint="eastAsia" w:ascii="宋体" w:hAnsi="宋体" w:eastAsia="宋体" w:cs="宋体"/>
                <w:color w:val="FF0000"/>
                <w:szCs w:val="21"/>
              </w:rPr>
            </w:pPr>
            <w:r>
              <w:rPr>
                <w:rFonts w:hint="eastAsia" w:ascii="宋体" w:hAnsi="宋体" w:eastAsia="宋体" w:cs="宋体"/>
                <w:b w:val="0"/>
                <w:bCs w:val="0"/>
                <w:color w:val="FF0000"/>
                <w:kern w:val="2"/>
                <w:sz w:val="21"/>
                <w:szCs w:val="21"/>
                <w:lang w:val="en-US" w:eastAsia="zh-CN" w:bidi="ar-SA"/>
              </w:rPr>
              <w:t>（1）投标供应商应派专业技术人员免费对采购单位指定人员进行定期培训及指导，直至其完全掌握设备的基本故障处理技术。</w:t>
            </w:r>
          </w:p>
          <w:p w14:paraId="353E2B27">
            <w:pPr>
              <w:widowControl/>
              <w:numPr>
                <w:ilvl w:val="0"/>
                <w:numId w:val="0"/>
              </w:numPr>
              <w:spacing w:line="320" w:lineRule="exact"/>
              <w:jc w:val="left"/>
              <w:rPr>
                <w:rFonts w:hint="eastAsia" w:ascii="宋体" w:hAnsi="宋体" w:eastAsia="宋体" w:cs="宋体"/>
                <w:color w:val="FF0000"/>
                <w:szCs w:val="21"/>
              </w:rPr>
            </w:pPr>
            <w:r>
              <w:rPr>
                <w:rFonts w:hint="eastAsia" w:ascii="宋体" w:hAnsi="宋体" w:eastAsia="宋体" w:cs="宋体"/>
                <w:b w:val="0"/>
                <w:bCs w:val="0"/>
                <w:color w:val="FF0000"/>
                <w:kern w:val="2"/>
                <w:sz w:val="21"/>
                <w:szCs w:val="21"/>
                <w:lang w:val="en-US" w:eastAsia="zh-CN" w:bidi="ar-SA"/>
              </w:rPr>
              <w:t>（2）现场培训：投标供应商应提供现场技术培训，保证使用人员正常操作设备的各种功能。</w:t>
            </w:r>
          </w:p>
        </w:tc>
      </w:tr>
      <w:tr w14:paraId="5E3C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312" w:type="dxa"/>
            <w:tcBorders>
              <w:top w:val="single" w:color="auto" w:sz="4" w:space="0"/>
              <w:left w:val="single" w:color="auto" w:sz="4" w:space="0"/>
              <w:bottom w:val="single" w:color="auto" w:sz="4" w:space="0"/>
              <w:right w:val="single" w:color="auto" w:sz="4" w:space="0"/>
            </w:tcBorders>
            <w:noWrap w:val="0"/>
            <w:vAlign w:val="center"/>
          </w:tcPr>
          <w:p w14:paraId="77F79A37">
            <w:pPr>
              <w:widowControl/>
              <w:spacing w:line="320" w:lineRule="exact"/>
              <w:jc w:val="center"/>
              <w:rPr>
                <w:rFonts w:hint="default" w:ascii="宋体" w:hAnsi="宋体" w:eastAsia="宋体" w:cs="宋体"/>
                <w:b/>
                <w:bCs/>
                <w:color w:val="FF0000"/>
                <w:szCs w:val="21"/>
                <w:lang w:val="en-US" w:eastAsia="zh-CN"/>
              </w:rPr>
            </w:pPr>
            <w:r>
              <w:rPr>
                <w:rFonts w:hint="eastAsia" w:ascii="宋体" w:hAnsi="宋体" w:eastAsia="宋体" w:cs="宋体"/>
                <w:b/>
                <w:bCs/>
                <w:color w:val="FF0000"/>
                <w:szCs w:val="21"/>
                <w:lang w:val="en-US" w:eastAsia="zh-CN"/>
              </w:rPr>
              <w:t>知识产权</w:t>
            </w:r>
          </w:p>
        </w:tc>
        <w:tc>
          <w:tcPr>
            <w:tcW w:w="7452" w:type="dxa"/>
            <w:tcBorders>
              <w:top w:val="single" w:color="auto" w:sz="4" w:space="0"/>
              <w:left w:val="single" w:color="auto" w:sz="4" w:space="0"/>
              <w:bottom w:val="single" w:color="auto" w:sz="4" w:space="0"/>
              <w:right w:val="single" w:color="auto" w:sz="4" w:space="0"/>
            </w:tcBorders>
            <w:noWrap w:val="0"/>
            <w:vAlign w:val="top"/>
          </w:tcPr>
          <w:p w14:paraId="63DCF1CC">
            <w:pPr>
              <w:numPr>
                <w:ilvl w:val="0"/>
                <w:numId w:val="3"/>
              </w:numPr>
              <w:spacing w:line="320" w:lineRule="exact"/>
              <w:rPr>
                <w:rFonts w:hint="eastAsia" w:ascii="宋体" w:hAnsi="宋体" w:eastAsia="宋体" w:cs="宋体"/>
                <w:color w:val="FF0000"/>
                <w:szCs w:val="21"/>
              </w:rPr>
            </w:pPr>
            <w:r>
              <w:rPr>
                <w:rFonts w:hint="eastAsia" w:ascii="宋体" w:hAnsi="宋体" w:eastAsia="宋体" w:cs="宋体"/>
                <w:color w:val="FF0000"/>
                <w:szCs w:val="21"/>
              </w:rPr>
              <w:t>中标人应保证采购人在使用设备或其任何一部分时，免受第三方提出的侵犯其专利权、商标权、著作权或其它知识产权的起诉或司法干预。</w:t>
            </w:r>
          </w:p>
          <w:p w14:paraId="1799A1C2">
            <w:pPr>
              <w:numPr>
                <w:ilvl w:val="0"/>
                <w:numId w:val="3"/>
              </w:numPr>
              <w:spacing w:line="320" w:lineRule="exact"/>
              <w:rPr>
                <w:rFonts w:hint="eastAsia" w:ascii="宋体" w:hAnsi="宋体" w:eastAsia="宋体" w:cs="宋体"/>
                <w:color w:val="FF0000"/>
                <w:szCs w:val="21"/>
              </w:rPr>
            </w:pPr>
            <w:r>
              <w:rPr>
                <w:rFonts w:hint="eastAsia" w:ascii="宋体" w:hAnsi="宋体" w:eastAsia="宋体" w:cs="宋体"/>
                <w:color w:val="FF0000"/>
                <w:szCs w:val="21"/>
              </w:rPr>
              <w:t>中标人保证所提供软件的合法性，所发生的任何知识产权纠纷与采购人无关。若因为知识产权纠纷造成的一切损害赔偿及损失由中标人承担，包括但不限于实际损失、预期损失和对方要求赔偿损失及支出的律师费、交通费和差旅费等。</w:t>
            </w:r>
          </w:p>
        </w:tc>
      </w:tr>
      <w:tr w14:paraId="60D6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312" w:type="dxa"/>
            <w:tcBorders>
              <w:top w:val="single" w:color="auto" w:sz="4" w:space="0"/>
              <w:left w:val="single" w:color="auto" w:sz="4" w:space="0"/>
              <w:bottom w:val="single" w:color="auto" w:sz="4" w:space="0"/>
              <w:right w:val="single" w:color="auto" w:sz="4" w:space="0"/>
            </w:tcBorders>
            <w:noWrap w:val="0"/>
            <w:vAlign w:val="center"/>
          </w:tcPr>
          <w:p w14:paraId="78FA43E6">
            <w:pPr>
              <w:widowControl/>
              <w:spacing w:line="320" w:lineRule="exact"/>
              <w:jc w:val="center"/>
              <w:rPr>
                <w:rFonts w:ascii="宋体" w:hAnsi="宋体" w:eastAsia="宋体" w:cs="宋体"/>
                <w:b/>
                <w:bCs/>
                <w:color w:val="FF0000"/>
                <w:szCs w:val="21"/>
              </w:rPr>
            </w:pPr>
            <w:r>
              <w:rPr>
                <w:rFonts w:hint="eastAsia" w:ascii="宋体" w:hAnsi="宋体" w:eastAsia="宋体" w:cs="宋体"/>
                <w:b/>
                <w:bCs/>
                <w:color w:val="FF0000"/>
                <w:szCs w:val="21"/>
              </w:rPr>
              <w:t>其他要求</w:t>
            </w:r>
          </w:p>
        </w:tc>
        <w:tc>
          <w:tcPr>
            <w:tcW w:w="7452" w:type="dxa"/>
            <w:tcBorders>
              <w:top w:val="single" w:color="auto" w:sz="4" w:space="0"/>
              <w:left w:val="single" w:color="auto" w:sz="4" w:space="0"/>
              <w:bottom w:val="single" w:color="auto" w:sz="4" w:space="0"/>
              <w:right w:val="single" w:color="auto" w:sz="4" w:space="0"/>
            </w:tcBorders>
            <w:noWrap w:val="0"/>
            <w:vAlign w:val="top"/>
          </w:tcPr>
          <w:p w14:paraId="4F5F9E62">
            <w:pPr>
              <w:widowControl/>
              <w:spacing w:line="320" w:lineRule="exact"/>
              <w:jc w:val="left"/>
              <w:rPr>
                <w:rFonts w:ascii="宋体" w:hAnsi="宋体" w:eastAsia="宋体" w:cs="宋体"/>
                <w:color w:val="FF0000"/>
                <w:kern w:val="0"/>
                <w:szCs w:val="21"/>
              </w:rPr>
            </w:pPr>
            <w:r>
              <w:rPr>
                <w:rFonts w:hint="eastAsia" w:ascii="宋体" w:hAnsi="宋体" w:eastAsia="宋体" w:cs="宋体"/>
                <w:bCs/>
                <w:color w:val="FF0000"/>
                <w:kern w:val="0"/>
                <w:szCs w:val="21"/>
              </w:rPr>
              <w:t>（1）</w:t>
            </w:r>
            <w:r>
              <w:rPr>
                <w:rFonts w:hint="eastAsia" w:ascii="宋体" w:hAnsi="宋体" w:eastAsia="宋体" w:cs="宋体"/>
                <w:color w:val="FF0000"/>
                <w:kern w:val="0"/>
                <w:szCs w:val="21"/>
              </w:rPr>
              <w:t>中标供应商在签订合同时应提供投标文件打印稿贰份，并加盖公章，同时提供投标文件的OFFICE文档。</w:t>
            </w:r>
          </w:p>
          <w:p w14:paraId="0E28687D">
            <w:pPr>
              <w:spacing w:line="320" w:lineRule="exact"/>
              <w:rPr>
                <w:rFonts w:ascii="宋体" w:hAnsi="宋体" w:eastAsia="宋体" w:cs="宋体"/>
                <w:color w:val="FF0000"/>
                <w:szCs w:val="21"/>
              </w:rPr>
            </w:pPr>
            <w:r>
              <w:rPr>
                <w:rFonts w:hint="eastAsia" w:ascii="宋体" w:hAnsi="宋体" w:eastAsia="宋体" w:cs="宋体"/>
                <w:color w:val="FF0000"/>
                <w:szCs w:val="21"/>
              </w:rPr>
              <w:t>（2）上报验收报告时，除了表格中写明的材料外，还需要提交验收记录表、产品三证（产品合格证、供货凭证（含生产厂家或代理商证明））、合同及附件。</w:t>
            </w:r>
          </w:p>
          <w:p w14:paraId="1BA70975">
            <w:pPr>
              <w:spacing w:line="320" w:lineRule="exact"/>
              <w:rPr>
                <w:rFonts w:ascii="宋体" w:hAnsi="宋体" w:eastAsia="宋体" w:cs="宋体"/>
                <w:bCs/>
                <w:color w:val="FF0000"/>
                <w:szCs w:val="21"/>
              </w:rPr>
            </w:pPr>
            <w:r>
              <w:rPr>
                <w:rFonts w:hint="eastAsia" w:ascii="宋体" w:hAnsi="宋体" w:eastAsia="宋体" w:cs="宋体"/>
                <w:color w:val="FF0000"/>
                <w:szCs w:val="21"/>
              </w:rPr>
              <w:t>（3）投标商必须确保中标后提供的货物为正规渠道供货，不存在违反国家法律、法规的情况。</w:t>
            </w:r>
          </w:p>
        </w:tc>
      </w:tr>
    </w:tbl>
    <w:p w14:paraId="103E26F5">
      <w:pPr>
        <w:rPr>
          <w:b/>
        </w:rPr>
      </w:pPr>
    </w:p>
    <w:p w14:paraId="43C7C1DF">
      <w:pPr>
        <w:pStyle w:val="7"/>
        <w:spacing w:before="60" w:beforeLines="25" w:after="60" w:afterLines="25"/>
        <w:ind w:firstLine="0" w:firstLineChars="0"/>
        <w:rPr>
          <w:rFonts w:ascii="宋体" w:hAnsi="宋体"/>
          <w:szCs w:val="21"/>
        </w:rPr>
      </w:pPr>
    </w:p>
    <w:p w14:paraId="6C1B5105">
      <w:pPr>
        <w:pStyle w:val="7"/>
        <w:spacing w:before="60" w:beforeLines="25" w:after="60" w:afterLines="25"/>
        <w:ind w:firstLine="0" w:firstLineChars="0"/>
        <w:rPr>
          <w:rFonts w:ascii="宋体" w:hAnsi="宋体"/>
          <w:szCs w:val="21"/>
        </w:rPr>
      </w:pPr>
    </w:p>
    <w:p w14:paraId="0049F071">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8"/>
        <w:rPr>
          <w:rFonts w:ascii="宋体" w:hAnsi="宋体"/>
        </w:rPr>
      </w:pPr>
    </w:p>
    <w:p w14:paraId="0D698FFD">
      <w:pPr>
        <w:pStyle w:val="15"/>
      </w:pPr>
    </w:p>
    <w:p w14:paraId="5C6C34FF">
      <w:pPr>
        <w:pStyle w:val="8"/>
        <w:rPr>
          <w:rFonts w:ascii="宋体" w:hAnsi="宋体"/>
        </w:rPr>
        <w:sectPr>
          <w:pgSz w:w="11907" w:h="16840"/>
          <w:pgMar w:top="1440" w:right="1797" w:bottom="1440" w:left="1797" w:header="851" w:footer="992" w:gutter="0"/>
          <w:cols w:space="425" w:num="1"/>
          <w:titlePg/>
          <w:docGrid w:linePitch="462" w:charSpace="0"/>
        </w:sectPr>
      </w:pPr>
    </w:p>
    <w:p w14:paraId="2CAC7D65">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39"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39"/>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32479B8">
      <w:pPr>
        <w:rPr>
          <w:rFonts w:ascii="宋体" w:hAnsi="宋体"/>
          <w:sz w:val="24"/>
        </w:rPr>
      </w:pPr>
      <w:bookmarkStart w:id="40" w:name="_Hlk72263559"/>
      <w:bookmarkStart w:id="41" w:name="_Hlk72257771"/>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2" w:name="_Hlk72070784"/>
      <w:r>
        <w:rPr>
          <w:rFonts w:hint="eastAsia"/>
          <w:szCs w:val="21"/>
        </w:rPr>
        <w:t>投标函</w:t>
      </w:r>
      <w:bookmarkEnd w:id="42"/>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3538B92F">
      <w:pPr>
        <w:ind w:left="718" w:leftChars="342" w:firstLine="1417" w:firstLineChars="675"/>
        <w:rPr>
          <w:rFonts w:hint="eastAsia"/>
          <w:szCs w:val="21"/>
          <w:lang w:eastAsia="zh-CN"/>
        </w:rPr>
      </w:pPr>
      <w:bookmarkStart w:id="43" w:name="_Hlk72257201"/>
      <w:r>
        <w:rPr>
          <w:rFonts w:hint="eastAsia"/>
          <w:szCs w:val="21"/>
        </w:rPr>
        <w:t>（</w:t>
      </w:r>
      <w:r>
        <w:rPr>
          <w:szCs w:val="21"/>
        </w:rPr>
        <w:t>4</w:t>
      </w:r>
      <w:r>
        <w:rPr>
          <w:rFonts w:hint="eastAsia"/>
          <w:szCs w:val="21"/>
        </w:rPr>
        <w:t>）</w:t>
      </w:r>
      <w:bookmarkEnd w:id="43"/>
      <w:r>
        <w:rPr>
          <w:rFonts w:hint="eastAsia"/>
          <w:szCs w:val="21"/>
        </w:rPr>
        <w:t>项目详细报价</w:t>
      </w:r>
      <w:r>
        <w:rPr>
          <w:rFonts w:hint="eastAsia"/>
          <w:szCs w:val="21"/>
          <w:lang w:eastAsia="zh-CN"/>
        </w:rPr>
        <w:t>；</w:t>
      </w:r>
    </w:p>
    <w:p w14:paraId="0541CD54">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）同类项目业绩评价</w:t>
      </w:r>
      <w:r>
        <w:rPr>
          <w:rFonts w:hint="eastAsia"/>
          <w:szCs w:val="21"/>
          <w:lang w:eastAsia="zh-CN"/>
        </w:rPr>
        <w:t>；</w:t>
      </w:r>
    </w:p>
    <w:p w14:paraId="2716AF6A">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）产品授权</w:t>
      </w:r>
      <w:r>
        <w:rPr>
          <w:rFonts w:hint="eastAsia"/>
          <w:szCs w:val="21"/>
          <w:lang w:eastAsia="zh-CN"/>
        </w:rPr>
        <w:t>。</w:t>
      </w:r>
    </w:p>
    <w:p w14:paraId="78A69470">
      <w:pPr>
        <w:ind w:left="718" w:leftChars="342" w:firstLine="1627" w:firstLineChars="775"/>
        <w:rPr>
          <w:szCs w:val="21"/>
        </w:rPr>
      </w:pP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1E57F91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）项目实施方案及保障措施</w:t>
      </w:r>
      <w:r>
        <w:rPr>
          <w:rFonts w:hint="eastAsia"/>
          <w:szCs w:val="21"/>
          <w:lang w:eastAsia="zh-CN"/>
        </w:rPr>
        <w:t>；</w:t>
      </w:r>
    </w:p>
    <w:p w14:paraId="181E13DA">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）售后服务方案评价；</w:t>
      </w:r>
    </w:p>
    <w:p w14:paraId="736A9B1F">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8</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14:paraId="3501590C">
      <w:pPr>
        <w:pStyle w:val="8"/>
      </w:pPr>
    </w:p>
    <w:p w14:paraId="476B6EED">
      <w:pPr>
        <w:pStyle w:val="7"/>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0"/>
      <w:bookmarkEnd w:id="41"/>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4"/>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4"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5"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BAZXCG-2025-00017    </w:t>
      </w:r>
      <w:r>
        <w:rPr>
          <w:rFonts w:hint="eastAsia"/>
          <w:szCs w:val="21"/>
          <w:u w:val="thick"/>
        </w:rPr>
        <w:t xml:space="preserve">  </w:t>
      </w:r>
      <w:r>
        <w:rPr>
          <w:rFonts w:hint="eastAsia"/>
          <w:szCs w:val="21"/>
        </w:rPr>
        <w:t>的</w:t>
      </w:r>
      <w:r>
        <w:rPr>
          <w:rFonts w:hint="eastAsia"/>
          <w:szCs w:val="21"/>
          <w:u w:val="thick"/>
        </w:rPr>
        <w:t xml:space="preserve">     </w:t>
      </w:r>
      <w:r>
        <w:rPr>
          <w:rFonts w:hint="eastAsia"/>
          <w:sz w:val="21"/>
          <w:szCs w:val="21"/>
          <w:u w:val="thick"/>
          <w:lang w:eastAsia="zh-CN"/>
        </w:rPr>
        <w:t>深圳市宝安区公共卫生服务中心可吸入颗粒物切割器采购项目</w:t>
      </w:r>
      <w:r>
        <w:rPr>
          <w:rFonts w:hint="eastAsia"/>
          <w:szCs w:val="21"/>
          <w:u w:val="thick"/>
        </w:rPr>
        <w:t xml:space="preserve">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6" w:name="_Hlk72263588"/>
      <w:r>
        <w:rPr>
          <w:rFonts w:hint="eastAsia"/>
          <w:szCs w:val="21"/>
        </w:rPr>
        <w:t>愿意按照招标文件要求承包上述项目并修补其任何缺陷。</w:t>
      </w:r>
      <w:bookmarkEnd w:id="46"/>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7" w:name="_Hlk73819847"/>
      <w:r>
        <w:rPr>
          <w:rFonts w:hint="eastAsia" w:ascii="宋体" w:hAnsi="宋体"/>
          <w:szCs w:val="21"/>
        </w:rPr>
        <w:t>投标价格见</w:t>
      </w:r>
      <w:r>
        <w:rPr>
          <w:rFonts w:hint="eastAsia"/>
          <w:szCs w:val="21"/>
        </w:rPr>
        <w:t>投标书编制软件中《开标一览表》中填写的投标总价。</w:t>
      </w:r>
      <w:bookmarkEnd w:id="47"/>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5"/>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4"/>
    <w:p w14:paraId="6810F58E">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8"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49" w:name="_Hlk72587269"/>
      <w:bookmarkStart w:id="50"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49"/>
      <w:r>
        <w:rPr>
          <w:rFonts w:hint="eastAsia" w:ascii="宋体" w:hAnsi="宋体"/>
          <w:szCs w:val="21"/>
        </w:rPr>
        <w:t>。</w:t>
      </w:r>
    </w:p>
    <w:bookmarkEnd w:id="50"/>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8"/>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4"/>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1"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2" w:name="_Hlk72257908"/>
      <w:r>
        <w:rPr>
          <w:rFonts w:hint="eastAsia" w:ascii="黑体" w:hAnsi="宋体" w:eastAsia="黑体"/>
          <w:bCs/>
          <w:kern w:val="0"/>
          <w:sz w:val="24"/>
          <w:szCs w:val="32"/>
        </w:rPr>
        <w:t>（二）中小企业声明函、残疾人福利性单位声明函及监狱企业声明函</w:t>
      </w:r>
    </w:p>
    <w:bookmarkEnd w:id="51"/>
    <w:p w14:paraId="0F515721">
      <w:pPr>
        <w:jc w:val="left"/>
        <w:outlineLvl w:val="9"/>
        <w:rPr>
          <w:rFonts w:ascii="黑体" w:hAnsi="宋体" w:eastAsia="黑体"/>
          <w:bCs/>
          <w:kern w:val="0"/>
          <w:sz w:val="24"/>
          <w:szCs w:val="32"/>
        </w:rPr>
      </w:pPr>
    </w:p>
    <w:p w14:paraId="6F0C67D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4"/>
        </w:numPr>
        <w:jc w:val="center"/>
        <w:outlineLvl w:val="9"/>
        <w:rPr>
          <w:b/>
          <w:sz w:val="24"/>
        </w:rPr>
      </w:pPr>
      <w:r>
        <w:rPr>
          <w:b/>
          <w:sz w:val="24"/>
        </w:rPr>
        <w:t>中小企业声明函（货物）</w:t>
      </w:r>
    </w:p>
    <w:p w14:paraId="3A398622">
      <w:pPr>
        <w:pStyle w:val="8"/>
        <w:widowControl w:val="0"/>
        <w:numPr>
          <w:ilvl w:val="0"/>
          <w:numId w:val="0"/>
        </w:numPr>
        <w:spacing w:line="360" w:lineRule="auto"/>
        <w:jc w:val="both"/>
      </w:pPr>
    </w:p>
    <w:p w14:paraId="14DE190F">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5"/>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3"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3"/>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331"/>
      <w:bookmarkStart w:id="55"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4"/>
    </w:p>
    <w:bookmarkEnd w:id="55"/>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2"/>
    </w:p>
    <w:p w14:paraId="7A602B57">
      <w:pPr>
        <w:pStyle w:val="4"/>
        <w:jc w:val="center"/>
        <w:rPr>
          <w:rFonts w:ascii="黑体" w:eastAsia="黑体"/>
          <w:b w:val="0"/>
          <w:sz w:val="24"/>
          <w:szCs w:val="24"/>
        </w:rPr>
      </w:pPr>
      <w:bookmarkStart w:id="56" w:name="_Hlk72259976"/>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8"/>
        <w:tblW w:w="7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824"/>
        <w:gridCol w:w="507"/>
        <w:gridCol w:w="703"/>
        <w:gridCol w:w="612"/>
        <w:gridCol w:w="726"/>
        <w:gridCol w:w="462"/>
        <w:gridCol w:w="427"/>
        <w:gridCol w:w="571"/>
        <w:gridCol w:w="563"/>
        <w:gridCol w:w="703"/>
      </w:tblGrid>
      <w:tr w14:paraId="708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Align w:val="center"/>
          </w:tcPr>
          <w:p w14:paraId="31831541">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824" w:type="dxa"/>
            <w:vAlign w:val="center"/>
          </w:tcPr>
          <w:p w14:paraId="5C8FD8A3">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507" w:type="dxa"/>
            <w:vAlign w:val="center"/>
          </w:tcPr>
          <w:p w14:paraId="6455BBA7">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14:paraId="37A99751">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14:paraId="10633235">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14:paraId="63BFD17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14:paraId="2C25F969">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14:paraId="76D1A782">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14:paraId="5F7F7CFA">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4AF61FDB">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14:paraId="0039DF18">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2F95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Align w:val="center"/>
          </w:tcPr>
          <w:p w14:paraId="025F3627">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824" w:type="dxa"/>
            <w:vAlign w:val="center"/>
          </w:tcPr>
          <w:p w14:paraId="4E08350D">
            <w:pPr>
              <w:widowControl/>
              <w:jc w:val="center"/>
              <w:textAlignment w:val="center"/>
              <w:rPr>
                <w:rFonts w:ascii="Times New Roman" w:hAnsi="Times New Roman" w:eastAsia="宋体" w:cs="Times New Roman"/>
                <w:bCs/>
                <w:szCs w:val="21"/>
              </w:rPr>
            </w:pPr>
            <w:r>
              <w:rPr>
                <w:rFonts w:hint="eastAsia" w:ascii="宋体" w:hAnsi="宋体"/>
                <w:szCs w:val="21"/>
              </w:rPr>
              <w:t>空气采样器</w:t>
            </w:r>
            <w:r>
              <w:rPr>
                <w:rFonts w:hint="eastAsia" w:ascii="宋体" w:hAnsi="宋体"/>
                <w:szCs w:val="21"/>
                <w:lang w:val="en-US" w:eastAsia="zh-CN"/>
              </w:rPr>
              <w:t>专用金属PM10可吸入颗粒物切割器（大流量）</w:t>
            </w:r>
          </w:p>
        </w:tc>
        <w:tc>
          <w:tcPr>
            <w:tcW w:w="507" w:type="dxa"/>
            <w:vAlign w:val="center"/>
          </w:tcPr>
          <w:p w14:paraId="13695C0C">
            <w:pPr>
              <w:jc w:val="center"/>
              <w:rPr>
                <w:rFonts w:hint="eastAsia" w:ascii="Times New Roman" w:hAnsi="Times New Roman" w:eastAsia="宋体" w:cs="Times New Roman"/>
                <w:bCs/>
                <w:szCs w:val="21"/>
              </w:rPr>
            </w:pPr>
          </w:p>
        </w:tc>
        <w:tc>
          <w:tcPr>
            <w:tcW w:w="703" w:type="dxa"/>
            <w:vAlign w:val="center"/>
          </w:tcPr>
          <w:p w14:paraId="2887837E">
            <w:pPr>
              <w:jc w:val="center"/>
              <w:rPr>
                <w:rFonts w:ascii="Times New Roman" w:hAnsi="Times New Roman" w:eastAsia="宋体" w:cs="Times New Roman"/>
                <w:bCs/>
                <w:szCs w:val="21"/>
              </w:rPr>
            </w:pPr>
          </w:p>
        </w:tc>
        <w:tc>
          <w:tcPr>
            <w:tcW w:w="612" w:type="dxa"/>
            <w:vAlign w:val="center"/>
          </w:tcPr>
          <w:p w14:paraId="4C754A60">
            <w:pPr>
              <w:jc w:val="center"/>
              <w:rPr>
                <w:rFonts w:ascii="Times New Roman" w:hAnsi="Times New Roman" w:eastAsia="宋体" w:cs="Times New Roman"/>
                <w:bCs/>
                <w:szCs w:val="21"/>
              </w:rPr>
            </w:pPr>
          </w:p>
        </w:tc>
        <w:tc>
          <w:tcPr>
            <w:tcW w:w="726" w:type="dxa"/>
            <w:vAlign w:val="center"/>
          </w:tcPr>
          <w:p w14:paraId="528122F9">
            <w:pPr>
              <w:jc w:val="center"/>
              <w:rPr>
                <w:rFonts w:ascii="Times New Roman" w:hAnsi="Times New Roman" w:eastAsia="宋体" w:cs="Times New Roman"/>
                <w:bCs/>
                <w:szCs w:val="21"/>
              </w:rPr>
            </w:pPr>
          </w:p>
        </w:tc>
        <w:tc>
          <w:tcPr>
            <w:tcW w:w="462" w:type="dxa"/>
            <w:vAlign w:val="center"/>
          </w:tcPr>
          <w:p w14:paraId="1BF527C3">
            <w:pPr>
              <w:jc w:val="center"/>
              <w:rPr>
                <w:rFonts w:ascii="Times New Roman" w:hAnsi="Times New Roman" w:eastAsia="宋体" w:cs="Times New Roman"/>
                <w:bCs/>
                <w:szCs w:val="21"/>
              </w:rPr>
            </w:pPr>
            <w:r>
              <w:rPr>
                <w:rFonts w:hint="eastAsia" w:ascii="Times New Roman" w:hAnsi="Times New Roman" w:eastAsia="宋体" w:cs="Times New Roman"/>
                <w:bCs/>
                <w:szCs w:val="21"/>
                <w:lang w:val="en-US" w:eastAsia="zh-CN"/>
              </w:rPr>
              <w:t>6</w:t>
            </w:r>
          </w:p>
        </w:tc>
        <w:tc>
          <w:tcPr>
            <w:tcW w:w="427" w:type="dxa"/>
            <w:vAlign w:val="center"/>
          </w:tcPr>
          <w:p w14:paraId="2DCE25C2">
            <w:pPr>
              <w:jc w:val="center"/>
              <w:rPr>
                <w:rFonts w:ascii="Times New Roman" w:hAnsi="Times New Roman" w:eastAsia="宋体" w:cs="Times New Roman"/>
                <w:bCs/>
                <w:szCs w:val="21"/>
              </w:rPr>
            </w:pPr>
            <w:r>
              <w:rPr>
                <w:rFonts w:hint="eastAsia" w:ascii="Times New Roman" w:hAnsi="Times New Roman" w:eastAsia="宋体" w:cs="Times New Roman"/>
                <w:bCs/>
                <w:szCs w:val="21"/>
              </w:rPr>
              <w:t>台</w:t>
            </w:r>
          </w:p>
        </w:tc>
        <w:tc>
          <w:tcPr>
            <w:tcW w:w="571" w:type="dxa"/>
            <w:vAlign w:val="center"/>
          </w:tcPr>
          <w:p w14:paraId="2D602E22">
            <w:pPr>
              <w:jc w:val="center"/>
              <w:rPr>
                <w:rFonts w:ascii="Times New Roman" w:hAnsi="Times New Roman" w:eastAsia="宋体" w:cs="Times New Roman"/>
                <w:bCs/>
                <w:szCs w:val="21"/>
              </w:rPr>
            </w:pPr>
          </w:p>
        </w:tc>
        <w:tc>
          <w:tcPr>
            <w:tcW w:w="563" w:type="dxa"/>
            <w:vAlign w:val="center"/>
          </w:tcPr>
          <w:p w14:paraId="7891D272">
            <w:pPr>
              <w:jc w:val="center"/>
              <w:rPr>
                <w:rFonts w:ascii="Times New Roman" w:hAnsi="Times New Roman" w:eastAsia="宋体" w:cs="Times New Roman"/>
                <w:bCs/>
                <w:szCs w:val="21"/>
              </w:rPr>
            </w:pPr>
          </w:p>
        </w:tc>
        <w:tc>
          <w:tcPr>
            <w:tcW w:w="703" w:type="dxa"/>
            <w:vMerge w:val="restart"/>
            <w:vAlign w:val="center"/>
          </w:tcPr>
          <w:p w14:paraId="2A47B96D">
            <w:pPr>
              <w:jc w:val="center"/>
              <w:rPr>
                <w:rFonts w:ascii="Times New Roman" w:hAnsi="Times New Roman" w:eastAsia="宋体" w:cs="Times New Roman"/>
                <w:b/>
                <w:bCs/>
                <w:szCs w:val="21"/>
              </w:rPr>
            </w:pPr>
            <w:r>
              <w:rPr>
                <w:rFonts w:hint="eastAsia" w:ascii="Times New Roman" w:hAnsi="Times New Roman" w:eastAsia="宋体" w:cs="Times New Roman"/>
                <w:b/>
                <w:bCs/>
                <w:szCs w:val="21"/>
                <w:lang w:val="en-US" w:eastAsia="zh-CN"/>
              </w:rPr>
              <w:t>198000</w:t>
            </w:r>
          </w:p>
        </w:tc>
      </w:tr>
      <w:tr w14:paraId="66AF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Align w:val="center"/>
          </w:tcPr>
          <w:p w14:paraId="459B6071">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824" w:type="dxa"/>
            <w:vAlign w:val="center"/>
          </w:tcPr>
          <w:p w14:paraId="0AB54819">
            <w:pPr>
              <w:widowControl/>
              <w:jc w:val="center"/>
              <w:textAlignment w:val="center"/>
              <w:rPr>
                <w:rFonts w:ascii="Times New Roman" w:hAnsi="Times New Roman" w:eastAsia="宋体" w:cs="Times New Roman"/>
                <w:bCs/>
                <w:szCs w:val="21"/>
              </w:rPr>
            </w:pPr>
            <w:r>
              <w:rPr>
                <w:rFonts w:hint="eastAsia" w:ascii="宋体" w:hAnsi="宋体"/>
                <w:szCs w:val="21"/>
              </w:rPr>
              <w:t>空气采样器</w:t>
            </w:r>
            <w:r>
              <w:rPr>
                <w:rFonts w:hint="eastAsia" w:ascii="宋体" w:hAnsi="宋体"/>
                <w:szCs w:val="21"/>
                <w:lang w:val="en-US" w:eastAsia="zh-CN"/>
              </w:rPr>
              <w:t>专用金属PM10可吸入颗粒物切割器（中流量 ）</w:t>
            </w:r>
          </w:p>
        </w:tc>
        <w:tc>
          <w:tcPr>
            <w:tcW w:w="507" w:type="dxa"/>
            <w:vAlign w:val="center"/>
          </w:tcPr>
          <w:p w14:paraId="1071D59E">
            <w:pPr>
              <w:jc w:val="center"/>
              <w:rPr>
                <w:rFonts w:hint="eastAsia" w:ascii="Times New Roman" w:hAnsi="Times New Roman" w:eastAsia="宋体" w:cs="Times New Roman"/>
                <w:bCs/>
                <w:szCs w:val="21"/>
              </w:rPr>
            </w:pPr>
          </w:p>
        </w:tc>
        <w:tc>
          <w:tcPr>
            <w:tcW w:w="703" w:type="dxa"/>
            <w:vAlign w:val="center"/>
          </w:tcPr>
          <w:p w14:paraId="10329F31">
            <w:pPr>
              <w:jc w:val="center"/>
              <w:rPr>
                <w:rFonts w:ascii="Times New Roman" w:hAnsi="Times New Roman" w:eastAsia="宋体" w:cs="Times New Roman"/>
                <w:bCs/>
                <w:szCs w:val="21"/>
              </w:rPr>
            </w:pPr>
          </w:p>
        </w:tc>
        <w:tc>
          <w:tcPr>
            <w:tcW w:w="612" w:type="dxa"/>
            <w:vAlign w:val="center"/>
          </w:tcPr>
          <w:p w14:paraId="0C6AABF2">
            <w:pPr>
              <w:jc w:val="center"/>
              <w:rPr>
                <w:rFonts w:ascii="Times New Roman" w:hAnsi="Times New Roman" w:eastAsia="宋体" w:cs="Times New Roman"/>
                <w:bCs/>
                <w:szCs w:val="21"/>
              </w:rPr>
            </w:pPr>
          </w:p>
        </w:tc>
        <w:tc>
          <w:tcPr>
            <w:tcW w:w="726" w:type="dxa"/>
            <w:vAlign w:val="center"/>
          </w:tcPr>
          <w:p w14:paraId="12472BF9">
            <w:pPr>
              <w:jc w:val="center"/>
              <w:rPr>
                <w:rFonts w:ascii="Times New Roman" w:hAnsi="Times New Roman" w:eastAsia="宋体" w:cs="Times New Roman"/>
                <w:bCs/>
                <w:szCs w:val="21"/>
              </w:rPr>
            </w:pPr>
          </w:p>
        </w:tc>
        <w:tc>
          <w:tcPr>
            <w:tcW w:w="462" w:type="dxa"/>
            <w:vAlign w:val="center"/>
          </w:tcPr>
          <w:p w14:paraId="3090C283">
            <w:pPr>
              <w:jc w:val="center"/>
              <w:rPr>
                <w:rFonts w:ascii="Times New Roman" w:hAnsi="Times New Roman" w:eastAsia="宋体" w:cs="Times New Roman"/>
                <w:bCs/>
                <w:szCs w:val="21"/>
              </w:rPr>
            </w:pPr>
            <w:r>
              <w:rPr>
                <w:rFonts w:hint="eastAsia" w:ascii="Times New Roman" w:hAnsi="Times New Roman" w:eastAsia="宋体" w:cs="Times New Roman"/>
                <w:bCs/>
                <w:szCs w:val="21"/>
                <w:lang w:val="en-US" w:eastAsia="zh-CN"/>
              </w:rPr>
              <w:t>6</w:t>
            </w:r>
          </w:p>
        </w:tc>
        <w:tc>
          <w:tcPr>
            <w:tcW w:w="427" w:type="dxa"/>
            <w:vAlign w:val="center"/>
          </w:tcPr>
          <w:p w14:paraId="32E14B8E">
            <w:pPr>
              <w:jc w:val="center"/>
              <w:rPr>
                <w:rFonts w:ascii="Times New Roman" w:hAnsi="Times New Roman" w:eastAsia="宋体" w:cs="Times New Roman"/>
                <w:bCs/>
                <w:szCs w:val="21"/>
              </w:rPr>
            </w:pPr>
            <w:r>
              <w:rPr>
                <w:rFonts w:hint="eastAsia" w:ascii="Times New Roman" w:hAnsi="Times New Roman" w:eastAsia="宋体" w:cs="Times New Roman"/>
                <w:bCs/>
                <w:szCs w:val="21"/>
              </w:rPr>
              <w:t>台</w:t>
            </w:r>
          </w:p>
        </w:tc>
        <w:tc>
          <w:tcPr>
            <w:tcW w:w="571" w:type="dxa"/>
            <w:vAlign w:val="center"/>
          </w:tcPr>
          <w:p w14:paraId="422DCA3A">
            <w:pPr>
              <w:jc w:val="center"/>
              <w:rPr>
                <w:rFonts w:ascii="Times New Roman" w:hAnsi="Times New Roman" w:eastAsia="宋体" w:cs="Times New Roman"/>
                <w:bCs/>
                <w:szCs w:val="21"/>
              </w:rPr>
            </w:pPr>
          </w:p>
        </w:tc>
        <w:tc>
          <w:tcPr>
            <w:tcW w:w="563" w:type="dxa"/>
            <w:vAlign w:val="center"/>
          </w:tcPr>
          <w:p w14:paraId="498E5FED">
            <w:pPr>
              <w:jc w:val="center"/>
              <w:rPr>
                <w:rFonts w:ascii="Times New Roman" w:hAnsi="Times New Roman" w:eastAsia="宋体" w:cs="Times New Roman"/>
                <w:bCs/>
                <w:szCs w:val="21"/>
              </w:rPr>
            </w:pPr>
          </w:p>
        </w:tc>
        <w:tc>
          <w:tcPr>
            <w:tcW w:w="703" w:type="dxa"/>
            <w:vMerge w:val="continue"/>
            <w:vAlign w:val="center"/>
          </w:tcPr>
          <w:p w14:paraId="086A77A9">
            <w:pPr>
              <w:jc w:val="center"/>
              <w:rPr>
                <w:rFonts w:ascii="Times New Roman" w:hAnsi="Times New Roman" w:eastAsia="宋体" w:cs="Times New Roman"/>
                <w:b/>
                <w:bCs/>
                <w:color w:val="FF0000"/>
                <w:szCs w:val="21"/>
              </w:rPr>
            </w:pPr>
          </w:p>
        </w:tc>
      </w:tr>
      <w:tr w14:paraId="1595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8" w:type="dxa"/>
            <w:vAlign w:val="center"/>
          </w:tcPr>
          <w:p w14:paraId="4B58D4E3">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824" w:type="dxa"/>
            <w:vAlign w:val="center"/>
          </w:tcPr>
          <w:p w14:paraId="70B8657F">
            <w:pPr>
              <w:widowControl/>
              <w:jc w:val="center"/>
              <w:textAlignment w:val="center"/>
              <w:rPr>
                <w:rFonts w:ascii="Times New Roman" w:hAnsi="Times New Roman" w:eastAsia="宋体" w:cs="Times New Roman"/>
                <w:bCs/>
                <w:szCs w:val="21"/>
              </w:rPr>
            </w:pPr>
            <w:r>
              <w:rPr>
                <w:rFonts w:hint="eastAsia" w:ascii="宋体" w:hAnsi="宋体"/>
                <w:szCs w:val="21"/>
              </w:rPr>
              <w:t>空气采样器</w:t>
            </w:r>
            <w:r>
              <w:rPr>
                <w:rFonts w:hint="eastAsia" w:ascii="宋体" w:hAnsi="宋体"/>
                <w:szCs w:val="21"/>
                <w:lang w:val="en-US" w:eastAsia="zh-CN"/>
              </w:rPr>
              <w:t>专用金属PM1可吸入颗粒物切割器(中流量）</w:t>
            </w:r>
          </w:p>
        </w:tc>
        <w:tc>
          <w:tcPr>
            <w:tcW w:w="507" w:type="dxa"/>
            <w:vAlign w:val="center"/>
          </w:tcPr>
          <w:p w14:paraId="42435EBE">
            <w:pPr>
              <w:jc w:val="center"/>
              <w:rPr>
                <w:rFonts w:hint="eastAsia" w:ascii="Times New Roman" w:hAnsi="Times New Roman" w:eastAsia="宋体" w:cs="Times New Roman"/>
                <w:bCs/>
                <w:szCs w:val="21"/>
              </w:rPr>
            </w:pPr>
          </w:p>
        </w:tc>
        <w:tc>
          <w:tcPr>
            <w:tcW w:w="703" w:type="dxa"/>
            <w:vAlign w:val="center"/>
          </w:tcPr>
          <w:p w14:paraId="34F9ACA4">
            <w:pPr>
              <w:jc w:val="center"/>
              <w:rPr>
                <w:rFonts w:ascii="Times New Roman" w:hAnsi="Times New Roman" w:eastAsia="宋体" w:cs="Times New Roman"/>
                <w:bCs/>
                <w:szCs w:val="21"/>
              </w:rPr>
            </w:pPr>
          </w:p>
        </w:tc>
        <w:tc>
          <w:tcPr>
            <w:tcW w:w="612" w:type="dxa"/>
            <w:vAlign w:val="center"/>
          </w:tcPr>
          <w:p w14:paraId="6C8B0014">
            <w:pPr>
              <w:jc w:val="center"/>
              <w:rPr>
                <w:rFonts w:ascii="Times New Roman" w:hAnsi="Times New Roman" w:eastAsia="宋体" w:cs="Times New Roman"/>
                <w:bCs/>
                <w:szCs w:val="21"/>
              </w:rPr>
            </w:pPr>
          </w:p>
        </w:tc>
        <w:tc>
          <w:tcPr>
            <w:tcW w:w="726" w:type="dxa"/>
            <w:vAlign w:val="center"/>
          </w:tcPr>
          <w:p w14:paraId="6D4A37B3">
            <w:pPr>
              <w:jc w:val="center"/>
              <w:rPr>
                <w:rFonts w:ascii="Times New Roman" w:hAnsi="Times New Roman" w:eastAsia="宋体" w:cs="Times New Roman"/>
                <w:bCs/>
                <w:szCs w:val="21"/>
              </w:rPr>
            </w:pPr>
          </w:p>
        </w:tc>
        <w:tc>
          <w:tcPr>
            <w:tcW w:w="462" w:type="dxa"/>
            <w:vAlign w:val="center"/>
          </w:tcPr>
          <w:p w14:paraId="0F88B490">
            <w:pPr>
              <w:jc w:val="center"/>
              <w:rPr>
                <w:rFonts w:ascii="Times New Roman" w:hAnsi="Times New Roman" w:eastAsia="宋体" w:cs="Times New Roman"/>
                <w:bCs/>
                <w:szCs w:val="21"/>
              </w:rPr>
            </w:pPr>
            <w:r>
              <w:rPr>
                <w:rFonts w:hint="eastAsia" w:ascii="Times New Roman" w:hAnsi="Times New Roman" w:eastAsia="宋体" w:cs="Times New Roman"/>
                <w:bCs/>
                <w:szCs w:val="21"/>
                <w:lang w:val="en-US" w:eastAsia="zh-CN"/>
              </w:rPr>
              <w:t>6</w:t>
            </w:r>
          </w:p>
        </w:tc>
        <w:tc>
          <w:tcPr>
            <w:tcW w:w="427" w:type="dxa"/>
            <w:vAlign w:val="center"/>
          </w:tcPr>
          <w:p w14:paraId="56BB6732">
            <w:pPr>
              <w:jc w:val="center"/>
              <w:rPr>
                <w:rFonts w:ascii="Times New Roman" w:hAnsi="Times New Roman" w:eastAsia="宋体" w:cs="Times New Roman"/>
                <w:bCs/>
                <w:szCs w:val="21"/>
              </w:rPr>
            </w:pPr>
            <w:r>
              <w:rPr>
                <w:rFonts w:hint="eastAsia" w:ascii="Times New Roman" w:hAnsi="Times New Roman" w:eastAsia="宋体" w:cs="Times New Roman"/>
                <w:bCs/>
                <w:szCs w:val="21"/>
              </w:rPr>
              <w:t>台</w:t>
            </w:r>
          </w:p>
        </w:tc>
        <w:tc>
          <w:tcPr>
            <w:tcW w:w="571" w:type="dxa"/>
            <w:vAlign w:val="center"/>
          </w:tcPr>
          <w:p w14:paraId="2747F608">
            <w:pPr>
              <w:jc w:val="center"/>
              <w:rPr>
                <w:rFonts w:ascii="Times New Roman" w:hAnsi="Times New Roman" w:eastAsia="宋体" w:cs="Times New Roman"/>
                <w:bCs/>
                <w:szCs w:val="21"/>
              </w:rPr>
            </w:pPr>
          </w:p>
        </w:tc>
        <w:tc>
          <w:tcPr>
            <w:tcW w:w="563" w:type="dxa"/>
            <w:vAlign w:val="center"/>
          </w:tcPr>
          <w:p w14:paraId="1CA48584">
            <w:pPr>
              <w:jc w:val="center"/>
              <w:rPr>
                <w:rFonts w:ascii="Times New Roman" w:hAnsi="Times New Roman" w:eastAsia="宋体" w:cs="Times New Roman"/>
                <w:bCs/>
                <w:szCs w:val="21"/>
              </w:rPr>
            </w:pPr>
          </w:p>
        </w:tc>
        <w:tc>
          <w:tcPr>
            <w:tcW w:w="703" w:type="dxa"/>
            <w:vMerge w:val="continue"/>
            <w:vAlign w:val="center"/>
          </w:tcPr>
          <w:p w14:paraId="77089297">
            <w:pPr>
              <w:jc w:val="center"/>
              <w:rPr>
                <w:rFonts w:ascii="Times New Roman" w:hAnsi="Times New Roman" w:eastAsia="宋体" w:cs="Times New Roman"/>
                <w:b/>
                <w:bCs/>
                <w:szCs w:val="21"/>
              </w:rPr>
            </w:pPr>
          </w:p>
        </w:tc>
      </w:tr>
    </w:tbl>
    <w:p w14:paraId="10B7D8BF">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7"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7"/>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8" w:name="_Hlk72073235"/>
      <w:r>
        <w:rPr>
          <w:rFonts w:hint="eastAsia"/>
          <w:b/>
          <w:sz w:val="24"/>
        </w:rPr>
        <w:t>投标人认为需要涉及的其他内容报价清单</w:t>
      </w:r>
      <w:bookmarkEnd w:id="58"/>
    </w:p>
    <w:p w14:paraId="77CC0BCE">
      <w:pPr>
        <w:rPr>
          <w:b/>
          <w:bCs/>
        </w:rPr>
      </w:pPr>
    </w:p>
    <w:p w14:paraId="35DDC2A3"/>
    <w:p w14:paraId="3EBE44C3">
      <w:pPr>
        <w:keepNext/>
        <w:keepLines/>
        <w:pageBreakBefore/>
        <w:adjustRightInd w:val="0"/>
        <w:snapToGrid w:val="0"/>
        <w:spacing w:line="360" w:lineRule="auto"/>
        <w:jc w:val="center"/>
        <w:textAlignment w:val="baseline"/>
        <w:outlineLvl w:val="3"/>
        <w:rPr>
          <w:rFonts w:hint="eastAsia" w:ascii="黑体" w:hAnsi="宋体" w:eastAsia="黑体" w:cstheme="minorBidi"/>
          <w:b w:val="0"/>
          <w:bCs/>
          <w:kern w:val="2"/>
          <w:sz w:val="24"/>
          <w:szCs w:val="24"/>
          <w:lang w:val="en-US" w:eastAsia="zh-CN" w:bidi="ar-SA"/>
        </w:rPr>
      </w:pPr>
      <w:r>
        <w:rPr>
          <w:rFonts w:hint="eastAsia" w:ascii="黑体" w:hAnsi="宋体" w:eastAsia="黑体" w:cs="Times New Roman"/>
          <w:b w:val="0"/>
          <w:bCs/>
          <w:kern w:val="0"/>
          <w:sz w:val="24"/>
          <w:szCs w:val="24"/>
          <w:lang w:val="en-US" w:eastAsia="zh-CN" w:bidi="ar-SA"/>
        </w:rPr>
        <w:t>五.同类项目业绩评价</w:t>
      </w:r>
    </w:p>
    <w:tbl>
      <w:tblPr>
        <w:tblStyle w:val="18"/>
        <w:tblW w:w="4906" w:type="pct"/>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5"/>
        <w:gridCol w:w="1702"/>
        <w:gridCol w:w="2102"/>
        <w:gridCol w:w="1228"/>
        <w:gridCol w:w="1280"/>
        <w:gridCol w:w="1322"/>
      </w:tblGrid>
      <w:tr w14:paraId="085414F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439" w:type="pct"/>
            <w:vAlign w:val="center"/>
          </w:tcPr>
          <w:p w14:paraId="4EBD6F0E">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6" w:type="pct"/>
            <w:vAlign w:val="center"/>
          </w:tcPr>
          <w:p w14:paraId="7E9CFED6">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74D0B699">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0E8E6C56">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4242289D">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14:paraId="35C66B41">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7BFE3FE2">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14:paraId="3CB3AA4B">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14:paraId="334EBF6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jc w:val="center"/>
        </w:trPr>
        <w:tc>
          <w:tcPr>
            <w:tcW w:w="439" w:type="pct"/>
          </w:tcPr>
          <w:p w14:paraId="03CA54C1">
            <w:pPr>
              <w:spacing w:afterLines="25" w:line="300" w:lineRule="auto"/>
              <w:rPr>
                <w:rFonts w:ascii="宋体" w:hAnsi="宋体" w:eastAsia="宋体" w:cs="Arial"/>
                <w:sz w:val="24"/>
                <w:szCs w:val="24"/>
              </w:rPr>
            </w:pPr>
          </w:p>
        </w:tc>
        <w:tc>
          <w:tcPr>
            <w:tcW w:w="1016" w:type="pct"/>
          </w:tcPr>
          <w:p w14:paraId="2788FF47">
            <w:pPr>
              <w:spacing w:afterLines="25" w:line="300" w:lineRule="auto"/>
              <w:rPr>
                <w:rFonts w:ascii="宋体" w:hAnsi="宋体" w:eastAsia="宋体" w:cs="Arial"/>
                <w:sz w:val="24"/>
                <w:szCs w:val="24"/>
              </w:rPr>
            </w:pPr>
          </w:p>
        </w:tc>
        <w:tc>
          <w:tcPr>
            <w:tcW w:w="1255" w:type="pct"/>
          </w:tcPr>
          <w:p w14:paraId="1126CE31">
            <w:pPr>
              <w:spacing w:afterLines="25" w:line="300" w:lineRule="auto"/>
              <w:rPr>
                <w:rFonts w:ascii="宋体" w:hAnsi="宋体" w:eastAsia="宋体" w:cs="Arial"/>
                <w:sz w:val="24"/>
                <w:szCs w:val="24"/>
              </w:rPr>
            </w:pPr>
          </w:p>
        </w:tc>
        <w:tc>
          <w:tcPr>
            <w:tcW w:w="733" w:type="pct"/>
          </w:tcPr>
          <w:p w14:paraId="630CED3C">
            <w:pPr>
              <w:spacing w:afterLines="25" w:line="300" w:lineRule="auto"/>
              <w:rPr>
                <w:rFonts w:ascii="宋体" w:hAnsi="宋体" w:eastAsia="宋体" w:cs="Arial"/>
                <w:sz w:val="24"/>
                <w:szCs w:val="24"/>
              </w:rPr>
            </w:pPr>
          </w:p>
        </w:tc>
        <w:tc>
          <w:tcPr>
            <w:tcW w:w="764" w:type="pct"/>
          </w:tcPr>
          <w:p w14:paraId="3196DABF">
            <w:pPr>
              <w:spacing w:afterLines="25" w:line="300" w:lineRule="auto"/>
              <w:rPr>
                <w:rFonts w:ascii="宋体" w:hAnsi="宋体" w:eastAsia="宋体" w:cs="Arial"/>
                <w:sz w:val="24"/>
                <w:szCs w:val="24"/>
              </w:rPr>
            </w:pPr>
          </w:p>
        </w:tc>
        <w:tc>
          <w:tcPr>
            <w:tcW w:w="789" w:type="pct"/>
          </w:tcPr>
          <w:p w14:paraId="000945B3">
            <w:pPr>
              <w:spacing w:afterLines="25" w:line="300" w:lineRule="auto"/>
              <w:rPr>
                <w:rFonts w:ascii="宋体" w:hAnsi="宋体" w:eastAsia="宋体" w:cs="Arial"/>
                <w:sz w:val="24"/>
                <w:szCs w:val="24"/>
              </w:rPr>
            </w:pPr>
          </w:p>
        </w:tc>
      </w:tr>
      <w:tr w14:paraId="170A5F2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jc w:val="center"/>
        </w:trPr>
        <w:tc>
          <w:tcPr>
            <w:tcW w:w="439" w:type="pct"/>
          </w:tcPr>
          <w:p w14:paraId="455F40FF">
            <w:pPr>
              <w:spacing w:afterLines="25" w:line="300" w:lineRule="auto"/>
              <w:rPr>
                <w:rFonts w:ascii="宋体" w:hAnsi="宋体" w:eastAsia="宋体" w:cs="Arial"/>
                <w:sz w:val="24"/>
                <w:szCs w:val="24"/>
              </w:rPr>
            </w:pPr>
          </w:p>
        </w:tc>
        <w:tc>
          <w:tcPr>
            <w:tcW w:w="1016" w:type="pct"/>
          </w:tcPr>
          <w:p w14:paraId="2B34205C">
            <w:pPr>
              <w:spacing w:afterLines="25" w:line="300" w:lineRule="auto"/>
              <w:rPr>
                <w:rFonts w:ascii="宋体" w:hAnsi="宋体" w:eastAsia="宋体" w:cs="Arial"/>
                <w:sz w:val="24"/>
                <w:szCs w:val="24"/>
              </w:rPr>
            </w:pPr>
          </w:p>
        </w:tc>
        <w:tc>
          <w:tcPr>
            <w:tcW w:w="1255" w:type="pct"/>
          </w:tcPr>
          <w:p w14:paraId="2A9BDC38">
            <w:pPr>
              <w:spacing w:afterLines="25" w:line="300" w:lineRule="auto"/>
              <w:rPr>
                <w:rFonts w:ascii="宋体" w:hAnsi="宋体" w:eastAsia="宋体" w:cs="Arial"/>
                <w:sz w:val="24"/>
                <w:szCs w:val="24"/>
              </w:rPr>
            </w:pPr>
          </w:p>
        </w:tc>
        <w:tc>
          <w:tcPr>
            <w:tcW w:w="733" w:type="pct"/>
          </w:tcPr>
          <w:p w14:paraId="57AAAE8E">
            <w:pPr>
              <w:spacing w:afterLines="25" w:line="300" w:lineRule="auto"/>
              <w:rPr>
                <w:rFonts w:ascii="宋体" w:hAnsi="宋体" w:eastAsia="宋体" w:cs="Arial"/>
                <w:sz w:val="24"/>
                <w:szCs w:val="24"/>
              </w:rPr>
            </w:pPr>
          </w:p>
        </w:tc>
        <w:tc>
          <w:tcPr>
            <w:tcW w:w="764" w:type="pct"/>
          </w:tcPr>
          <w:p w14:paraId="726C268A">
            <w:pPr>
              <w:spacing w:afterLines="25" w:line="300" w:lineRule="auto"/>
              <w:rPr>
                <w:rFonts w:ascii="宋体" w:hAnsi="宋体" w:eastAsia="宋体" w:cs="Arial"/>
                <w:sz w:val="24"/>
                <w:szCs w:val="24"/>
              </w:rPr>
            </w:pPr>
          </w:p>
        </w:tc>
        <w:tc>
          <w:tcPr>
            <w:tcW w:w="789" w:type="pct"/>
          </w:tcPr>
          <w:p w14:paraId="7980838F">
            <w:pPr>
              <w:spacing w:afterLines="25" w:line="300" w:lineRule="auto"/>
              <w:rPr>
                <w:rFonts w:ascii="宋体" w:hAnsi="宋体" w:eastAsia="宋体" w:cs="Arial"/>
                <w:sz w:val="24"/>
                <w:szCs w:val="24"/>
              </w:rPr>
            </w:pPr>
          </w:p>
        </w:tc>
      </w:tr>
      <w:tr w14:paraId="1E8A0D3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jc w:val="center"/>
        </w:trPr>
        <w:tc>
          <w:tcPr>
            <w:tcW w:w="439" w:type="pct"/>
          </w:tcPr>
          <w:p w14:paraId="04355EA2">
            <w:pPr>
              <w:spacing w:afterLines="25" w:line="300" w:lineRule="auto"/>
              <w:rPr>
                <w:rFonts w:ascii="宋体" w:hAnsi="宋体" w:eastAsia="宋体" w:cs="Arial"/>
                <w:sz w:val="24"/>
                <w:szCs w:val="24"/>
              </w:rPr>
            </w:pPr>
          </w:p>
        </w:tc>
        <w:tc>
          <w:tcPr>
            <w:tcW w:w="1016" w:type="pct"/>
          </w:tcPr>
          <w:p w14:paraId="6716AEB5">
            <w:pPr>
              <w:spacing w:afterLines="25" w:line="300" w:lineRule="auto"/>
              <w:rPr>
                <w:rFonts w:ascii="宋体" w:hAnsi="宋体" w:eastAsia="宋体" w:cs="Arial"/>
                <w:sz w:val="24"/>
                <w:szCs w:val="24"/>
              </w:rPr>
            </w:pPr>
          </w:p>
        </w:tc>
        <w:tc>
          <w:tcPr>
            <w:tcW w:w="1255" w:type="pct"/>
          </w:tcPr>
          <w:p w14:paraId="13AFFC5A">
            <w:pPr>
              <w:spacing w:afterLines="25" w:line="300" w:lineRule="auto"/>
              <w:rPr>
                <w:rFonts w:ascii="宋体" w:hAnsi="宋体" w:eastAsia="宋体" w:cs="Arial"/>
                <w:sz w:val="24"/>
                <w:szCs w:val="24"/>
              </w:rPr>
            </w:pPr>
          </w:p>
        </w:tc>
        <w:tc>
          <w:tcPr>
            <w:tcW w:w="733" w:type="pct"/>
          </w:tcPr>
          <w:p w14:paraId="0153102E">
            <w:pPr>
              <w:spacing w:afterLines="25" w:line="300" w:lineRule="auto"/>
              <w:rPr>
                <w:rFonts w:ascii="宋体" w:hAnsi="宋体" w:eastAsia="宋体" w:cs="Arial"/>
                <w:sz w:val="24"/>
                <w:szCs w:val="24"/>
              </w:rPr>
            </w:pPr>
          </w:p>
        </w:tc>
        <w:tc>
          <w:tcPr>
            <w:tcW w:w="764" w:type="pct"/>
          </w:tcPr>
          <w:p w14:paraId="4CE0B332">
            <w:pPr>
              <w:spacing w:afterLines="25" w:line="300" w:lineRule="auto"/>
              <w:rPr>
                <w:rFonts w:ascii="宋体" w:hAnsi="宋体" w:eastAsia="宋体" w:cs="Arial"/>
                <w:sz w:val="24"/>
                <w:szCs w:val="24"/>
              </w:rPr>
            </w:pPr>
          </w:p>
        </w:tc>
        <w:tc>
          <w:tcPr>
            <w:tcW w:w="789" w:type="pct"/>
          </w:tcPr>
          <w:p w14:paraId="6F6C385F">
            <w:pPr>
              <w:spacing w:afterLines="25" w:line="300" w:lineRule="auto"/>
              <w:rPr>
                <w:rFonts w:ascii="宋体" w:hAnsi="宋体" w:eastAsia="宋体" w:cs="Arial"/>
                <w:sz w:val="24"/>
                <w:szCs w:val="24"/>
              </w:rPr>
            </w:pPr>
          </w:p>
        </w:tc>
      </w:tr>
    </w:tbl>
    <w:p w14:paraId="29E33952">
      <w:pPr>
        <w:spacing w:line="300" w:lineRule="auto"/>
        <w:rPr>
          <w:rFonts w:ascii="Arial" w:hAnsi="Arial" w:eastAsia="宋体" w:cs="Times New Roman"/>
          <w:szCs w:val="24"/>
        </w:rPr>
      </w:pPr>
      <w:r>
        <w:rPr>
          <w:rFonts w:hint="eastAsia" w:ascii="Arial" w:hAnsi="Arial" w:eastAsia="宋体" w:cs="Times New Roman"/>
          <w:sz w:val="24"/>
          <w:szCs w:val="24"/>
        </w:rPr>
        <w:t>此表格式可根据评分准则要求进行调整，并将要求提供的证明材料扫描件附后。</w:t>
      </w:r>
    </w:p>
    <w:p w14:paraId="7EE154E9">
      <w:pPr>
        <w:spacing w:afterLines="25" w:line="300" w:lineRule="auto"/>
        <w:rPr>
          <w:rFonts w:ascii="Arial" w:hAnsi="Arial" w:eastAsia="宋体" w:cs="Times New Roman"/>
          <w:sz w:val="24"/>
          <w:szCs w:val="24"/>
        </w:rPr>
      </w:pPr>
    </w:p>
    <w:p w14:paraId="743461E5">
      <w:pPr>
        <w:pStyle w:val="4"/>
        <w:jc w:val="center"/>
        <w:rPr>
          <w:rFonts w:hint="eastAsia" w:ascii="黑体" w:hAnsi="宋体" w:eastAsia="黑体" w:cs="Times New Roman"/>
          <w:b w:val="0"/>
          <w:kern w:val="0"/>
          <w:sz w:val="24"/>
          <w:szCs w:val="24"/>
          <w:lang w:val="en-US" w:eastAsia="zh-CN"/>
        </w:rPr>
      </w:pPr>
      <w:r>
        <w:rPr>
          <w:rFonts w:hint="eastAsia" w:ascii="黑体" w:eastAsia="黑体" w:cs="Times New Roman"/>
          <w:b w:val="0"/>
          <w:kern w:val="0"/>
          <w:sz w:val="24"/>
          <w:szCs w:val="24"/>
          <w:lang w:val="en-US" w:eastAsia="zh-CN"/>
        </w:rPr>
        <w:t>六</w:t>
      </w:r>
      <w:r>
        <w:rPr>
          <w:rFonts w:hint="eastAsia" w:ascii="黑体" w:hAnsi="宋体" w:eastAsia="黑体" w:cs="Times New Roman"/>
          <w:b w:val="0"/>
          <w:kern w:val="0"/>
          <w:sz w:val="24"/>
          <w:szCs w:val="24"/>
          <w:lang w:val="en-US" w:eastAsia="zh-CN"/>
        </w:rPr>
        <w:t>.产品授权</w:t>
      </w:r>
    </w:p>
    <w:p w14:paraId="2CA2F804">
      <w:pPr>
        <w:pStyle w:val="4"/>
        <w:jc w:val="center"/>
        <w:rPr>
          <w:rFonts w:hint="eastAsia" w:asciiTheme="minorEastAsia" w:hAnsiTheme="minorEastAsia" w:eastAsiaTheme="minorEastAsia" w:cstheme="minorEastAsia"/>
          <w:color w:val="FF0000"/>
          <w:sz w:val="24"/>
          <w:szCs w:val="20"/>
        </w:rPr>
      </w:pPr>
      <w:r>
        <w:rPr>
          <w:rFonts w:hint="eastAsia" w:asciiTheme="minorEastAsia" w:hAnsiTheme="minorEastAsia" w:eastAsiaTheme="minorEastAsia" w:cstheme="minorEastAsia"/>
          <w:color w:val="FF0000"/>
          <w:sz w:val="24"/>
          <w:szCs w:val="20"/>
        </w:rPr>
        <w:t>（特别提示：投标人须按本招标文件评标信息中这一评审因素要求，提供证明资料）</w:t>
      </w:r>
    </w:p>
    <w:p w14:paraId="2FC2CEBF"/>
    <w:p w14:paraId="13DEA003">
      <w:pPr>
        <w:pStyle w:val="2"/>
      </w:pPr>
    </w:p>
    <w:p w14:paraId="5540CEDD">
      <w:pPr>
        <w:pStyle w:val="2"/>
      </w:pPr>
    </w:p>
    <w:p w14:paraId="3B5899DA">
      <w:pPr>
        <w:ind w:firstLine="723" w:firstLineChars="300"/>
        <w:rPr>
          <w:b/>
          <w:color w:val="FF0000"/>
          <w:sz w:val="24"/>
        </w:rPr>
      </w:pPr>
      <w:r>
        <w:rPr>
          <w:rFonts w:hint="eastAsia"/>
          <w:b/>
          <w:color w:val="FF0000"/>
          <w:sz w:val="24"/>
        </w:rPr>
        <w:t>（信息公开部分的内容到此为止！以下为信息不公开部分。）</w:t>
      </w:r>
    </w:p>
    <w:bookmarkEnd w:id="56"/>
    <w:p w14:paraId="00F0B4CB">
      <w:r>
        <w:br w:type="page"/>
      </w:r>
    </w:p>
    <w:p w14:paraId="55F154C2">
      <w:pPr>
        <w:outlineLvl w:val="1"/>
        <w:rPr>
          <w:rFonts w:ascii="宋体" w:hAnsi="宋体"/>
          <w:b/>
          <w:color w:val="FF0000"/>
          <w:sz w:val="28"/>
          <w:szCs w:val="28"/>
        </w:rPr>
      </w:pPr>
      <w:bookmarkStart w:id="59" w:name="_Hlk72260530"/>
      <w:r>
        <w:rPr>
          <w:rFonts w:hint="eastAsia" w:ascii="宋体" w:hAnsi="宋体"/>
          <w:b/>
          <w:color w:val="FF0000"/>
          <w:sz w:val="28"/>
          <w:szCs w:val="28"/>
        </w:rPr>
        <w:t>投标文件附件（信息不公开部分）</w:t>
      </w:r>
    </w:p>
    <w:p w14:paraId="0F918F8D">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4"/>
        <w:spacing w:before="120" w:after="120"/>
        <w:jc w:val="center"/>
        <w:rPr>
          <w:rFonts w:ascii="黑体" w:eastAsia="黑体"/>
          <w:b w:val="0"/>
          <w:sz w:val="24"/>
        </w:rPr>
      </w:pPr>
      <w:r>
        <w:rPr>
          <w:rFonts w:hint="eastAsia" w:ascii="黑体" w:eastAsia="黑体"/>
          <w:b w:val="0"/>
          <w:sz w:val="24"/>
        </w:rPr>
        <w:t>二、</w:t>
      </w:r>
      <w:bookmarkStart w:id="60" w:name="_Hlk72092499"/>
      <w:r>
        <w:rPr>
          <w:rFonts w:hint="eastAsia" w:ascii="黑体" w:eastAsia="黑体"/>
          <w:b w:val="0"/>
          <w:sz w:val="24"/>
        </w:rPr>
        <w:t>法定代表人（负责人）证明书</w:t>
      </w:r>
      <w:bookmarkEnd w:id="60"/>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5"/>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5"/>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5"/>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8"/>
              <w:jc w:val="center"/>
              <w:rPr>
                <w:rFonts w:hint="eastAsia"/>
                <w:lang w:val="en-US" w:eastAsia="zh-CN"/>
              </w:rPr>
            </w:pPr>
          </w:p>
          <w:p w14:paraId="1ABF9A11">
            <w:pPr>
              <w:pStyle w:val="15"/>
              <w:jc w:val="center"/>
              <w:rPr>
                <w:rFonts w:hint="default"/>
                <w:lang w:val="en-US" w:eastAsia="zh-CN"/>
              </w:rPr>
            </w:pPr>
          </w:p>
          <w:p w14:paraId="0AC45D52">
            <w:pPr>
              <w:pStyle w:val="15"/>
              <w:jc w:val="center"/>
              <w:rPr>
                <w:rFonts w:hint="default"/>
                <w:lang w:val="en-US" w:eastAsia="zh-CN"/>
              </w:rPr>
            </w:pPr>
          </w:p>
          <w:p w14:paraId="054A6F8D">
            <w:pPr>
              <w:pStyle w:val="15"/>
              <w:jc w:val="center"/>
              <w:rPr>
                <w:rFonts w:hint="default"/>
                <w:lang w:val="en-US" w:eastAsia="zh-CN"/>
              </w:rPr>
            </w:pPr>
          </w:p>
          <w:p w14:paraId="669058A6">
            <w:pPr>
              <w:pStyle w:val="15"/>
              <w:jc w:val="center"/>
              <w:rPr>
                <w:rFonts w:hint="default"/>
                <w:lang w:val="en-US" w:eastAsia="zh-CN"/>
              </w:rPr>
            </w:pPr>
          </w:p>
          <w:p w14:paraId="2AE9B887">
            <w:pPr>
              <w:pStyle w:val="15"/>
              <w:jc w:val="center"/>
              <w:rPr>
                <w:rFonts w:hint="default"/>
                <w:lang w:val="en-US" w:eastAsia="zh-CN"/>
              </w:rPr>
            </w:pPr>
          </w:p>
          <w:p w14:paraId="3CA4CF04">
            <w:pPr>
              <w:pStyle w:val="15"/>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8"/>
              <w:jc w:val="center"/>
              <w:rPr>
                <w:rFonts w:hint="eastAsia"/>
                <w:lang w:val="en-US" w:eastAsia="zh-CN"/>
              </w:rPr>
            </w:pPr>
          </w:p>
          <w:p w14:paraId="0243F9B2">
            <w:pPr>
              <w:pStyle w:val="15"/>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59"/>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8"/>
              <w:jc w:val="center"/>
              <w:rPr>
                <w:rFonts w:hint="eastAsia"/>
                <w:lang w:val="en-US" w:eastAsia="zh-CN"/>
              </w:rPr>
            </w:pPr>
          </w:p>
          <w:p w14:paraId="55F9D637">
            <w:pPr>
              <w:pStyle w:val="15"/>
              <w:jc w:val="center"/>
              <w:rPr>
                <w:rFonts w:hint="default"/>
                <w:lang w:val="en-US" w:eastAsia="zh-CN"/>
              </w:rPr>
            </w:pPr>
          </w:p>
          <w:p w14:paraId="2E1CBD99">
            <w:pPr>
              <w:pStyle w:val="15"/>
              <w:jc w:val="center"/>
              <w:rPr>
                <w:rFonts w:hint="default"/>
                <w:lang w:val="en-US" w:eastAsia="zh-CN"/>
              </w:rPr>
            </w:pPr>
          </w:p>
          <w:p w14:paraId="77724F5B">
            <w:pPr>
              <w:pStyle w:val="15"/>
              <w:jc w:val="center"/>
              <w:rPr>
                <w:rFonts w:hint="default"/>
                <w:lang w:val="en-US" w:eastAsia="zh-CN"/>
              </w:rPr>
            </w:pPr>
          </w:p>
          <w:p w14:paraId="79E84714">
            <w:pPr>
              <w:pStyle w:val="15"/>
              <w:jc w:val="center"/>
              <w:rPr>
                <w:rFonts w:hint="default"/>
                <w:lang w:val="en-US" w:eastAsia="zh-CN"/>
              </w:rPr>
            </w:pPr>
          </w:p>
          <w:p w14:paraId="74E2C056">
            <w:pPr>
              <w:pStyle w:val="15"/>
              <w:jc w:val="center"/>
              <w:rPr>
                <w:rFonts w:hint="default"/>
                <w:lang w:val="en-US" w:eastAsia="zh-CN"/>
              </w:rPr>
            </w:pPr>
          </w:p>
          <w:p w14:paraId="479B8A42">
            <w:pPr>
              <w:pStyle w:val="15"/>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8"/>
              <w:jc w:val="center"/>
              <w:rPr>
                <w:rFonts w:hint="eastAsia"/>
                <w:lang w:val="en-US" w:eastAsia="zh-CN"/>
              </w:rPr>
            </w:pPr>
          </w:p>
          <w:p w14:paraId="2029252A">
            <w:pPr>
              <w:pStyle w:val="15"/>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9"/>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1"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1"/>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pPr w:leftFromText="180" w:rightFromText="180" w:vertAnchor="text" w:horzAnchor="page" w:tblpX="1578" w:tblpY="802"/>
        <w:tblOverlap w:val="never"/>
        <w:tblW w:w="8336" w:type="dxa"/>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587"/>
        <w:gridCol w:w="910"/>
        <w:gridCol w:w="3987"/>
        <w:gridCol w:w="969"/>
        <w:gridCol w:w="885"/>
        <w:gridCol w:w="998"/>
      </w:tblGrid>
      <w:tr w14:paraId="081B86C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110" w:hRule="atLeast"/>
        </w:trPr>
        <w:tc>
          <w:tcPr>
            <w:tcW w:w="587" w:type="dxa"/>
            <w:vAlign w:val="center"/>
          </w:tcPr>
          <w:p w14:paraId="1A7121BD">
            <w:pPr>
              <w:jc w:val="center"/>
              <w:rPr>
                <w:rFonts w:hint="eastAsia" w:ascii="宋体" w:hAnsi="宋体" w:eastAsia="宋体" w:cs="Arial"/>
                <w:b/>
                <w:szCs w:val="21"/>
              </w:rPr>
            </w:pPr>
            <w:r>
              <w:rPr>
                <w:rFonts w:hint="eastAsia" w:ascii="宋体" w:hAnsi="宋体" w:eastAsia="宋体" w:cs="Arial"/>
                <w:b/>
                <w:szCs w:val="21"/>
              </w:rPr>
              <w:t>序号</w:t>
            </w:r>
          </w:p>
        </w:tc>
        <w:tc>
          <w:tcPr>
            <w:tcW w:w="910" w:type="dxa"/>
            <w:vAlign w:val="center"/>
          </w:tcPr>
          <w:p w14:paraId="6FC434EC">
            <w:pPr>
              <w:jc w:val="center"/>
              <w:rPr>
                <w:rFonts w:hint="eastAsia" w:ascii="宋体" w:hAnsi="宋体" w:eastAsia="宋体" w:cs="Arial"/>
                <w:b/>
                <w:szCs w:val="21"/>
              </w:rPr>
            </w:pPr>
            <w:r>
              <w:rPr>
                <w:rFonts w:hint="eastAsia"/>
                <w:sz w:val="24"/>
              </w:rPr>
              <w:t>货物名称</w:t>
            </w:r>
          </w:p>
        </w:tc>
        <w:tc>
          <w:tcPr>
            <w:tcW w:w="3987" w:type="dxa"/>
            <w:vAlign w:val="center"/>
          </w:tcPr>
          <w:p w14:paraId="18CD3A7B">
            <w:pPr>
              <w:jc w:val="center"/>
              <w:rPr>
                <w:rFonts w:hint="eastAsia" w:ascii="宋体" w:hAnsi="宋体" w:eastAsia="宋体" w:cs="Arial"/>
                <w:b/>
                <w:szCs w:val="21"/>
              </w:rPr>
            </w:pPr>
            <w:r>
              <w:rPr>
                <w:rFonts w:hint="eastAsia"/>
                <w:sz w:val="24"/>
              </w:rPr>
              <w:t>招标技术要求</w:t>
            </w:r>
          </w:p>
        </w:tc>
        <w:tc>
          <w:tcPr>
            <w:tcW w:w="969" w:type="dxa"/>
            <w:vAlign w:val="center"/>
          </w:tcPr>
          <w:p w14:paraId="4CF35B43">
            <w:pPr>
              <w:jc w:val="center"/>
              <w:rPr>
                <w:rFonts w:hint="eastAsia" w:ascii="宋体" w:hAnsi="宋体" w:eastAsia="宋体" w:cs="Arial"/>
                <w:b/>
                <w:szCs w:val="21"/>
              </w:rPr>
            </w:pPr>
            <w:r>
              <w:rPr>
                <w:rFonts w:hint="eastAsia"/>
                <w:sz w:val="24"/>
              </w:rPr>
              <w:t>投标技术响应</w:t>
            </w:r>
          </w:p>
        </w:tc>
        <w:tc>
          <w:tcPr>
            <w:tcW w:w="885" w:type="dxa"/>
            <w:vAlign w:val="center"/>
          </w:tcPr>
          <w:p w14:paraId="7BECDCB8">
            <w:pPr>
              <w:jc w:val="center"/>
              <w:rPr>
                <w:rFonts w:hint="eastAsia" w:ascii="宋体" w:hAnsi="宋体" w:eastAsia="宋体" w:cs="Arial"/>
                <w:b/>
                <w:szCs w:val="21"/>
              </w:rPr>
            </w:pPr>
            <w:r>
              <w:rPr>
                <w:rFonts w:hint="eastAsia"/>
                <w:sz w:val="24"/>
              </w:rPr>
              <w:t>偏离情况</w:t>
            </w:r>
          </w:p>
        </w:tc>
        <w:tc>
          <w:tcPr>
            <w:tcW w:w="998" w:type="dxa"/>
            <w:vAlign w:val="center"/>
          </w:tcPr>
          <w:p w14:paraId="52DD2C74">
            <w:pPr>
              <w:jc w:val="center"/>
              <w:rPr>
                <w:rFonts w:hint="eastAsia" w:ascii="宋体" w:hAnsi="宋体" w:eastAsia="宋体" w:cs="Arial"/>
                <w:b/>
                <w:szCs w:val="21"/>
              </w:rPr>
            </w:pPr>
            <w:r>
              <w:rPr>
                <w:rFonts w:hint="eastAsia"/>
                <w:sz w:val="24"/>
              </w:rPr>
              <w:t>说明</w:t>
            </w:r>
          </w:p>
        </w:tc>
      </w:tr>
      <w:tr w14:paraId="34BF829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115" w:hRule="atLeast"/>
        </w:trPr>
        <w:tc>
          <w:tcPr>
            <w:tcW w:w="587" w:type="dxa"/>
            <w:vMerge w:val="restart"/>
            <w:vAlign w:val="center"/>
          </w:tcPr>
          <w:p w14:paraId="6D41A52D">
            <w:pPr>
              <w:jc w:val="both"/>
              <w:rPr>
                <w:rFonts w:hint="eastAsia" w:ascii="宋体" w:hAnsi="宋体" w:eastAsia="宋体" w:cs="Times New Roman"/>
                <w:b/>
                <w:color w:val="FF0000"/>
                <w:kern w:val="0"/>
                <w:szCs w:val="21"/>
                <w:lang w:val="en-US" w:eastAsia="zh-CN"/>
              </w:rPr>
            </w:pPr>
            <w:r>
              <w:rPr>
                <w:rFonts w:hint="eastAsia" w:ascii="宋体" w:hAnsi="宋体" w:eastAsia="宋体" w:cs="Times New Roman"/>
                <w:b/>
                <w:color w:val="FF0000"/>
                <w:kern w:val="0"/>
                <w:szCs w:val="21"/>
                <w:lang w:val="en-US" w:eastAsia="zh-CN"/>
              </w:rPr>
              <w:t>1</w:t>
            </w:r>
          </w:p>
        </w:tc>
        <w:tc>
          <w:tcPr>
            <w:tcW w:w="910" w:type="dxa"/>
            <w:vMerge w:val="restart"/>
            <w:vAlign w:val="center"/>
          </w:tcPr>
          <w:p w14:paraId="2C0E73BA">
            <w:pPr>
              <w:jc w:val="center"/>
            </w:pPr>
            <w:r>
              <w:rPr>
                <w:rFonts w:hint="eastAsia"/>
                <w:color w:val="000000" w:themeColor="text1"/>
                <w:szCs w:val="21"/>
              </w:rPr>
              <w:t>空气采样器专用金属PM10可吸入颗粒物切割器（大流量）</w:t>
            </w:r>
          </w:p>
        </w:tc>
        <w:tc>
          <w:tcPr>
            <w:tcW w:w="3987" w:type="dxa"/>
            <w:shd w:val="clear" w:color="auto" w:fill="auto"/>
            <w:vAlign w:val="center"/>
          </w:tcPr>
          <w:p w14:paraId="0BD833E8">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1.实现对大气中可吸入颗粒物的采集，流量为1.05m3/min大流量采样器。</w:t>
            </w:r>
          </w:p>
        </w:tc>
        <w:tc>
          <w:tcPr>
            <w:tcW w:w="969" w:type="dxa"/>
            <w:vAlign w:val="center"/>
          </w:tcPr>
          <w:p w14:paraId="2D006D1C">
            <w:pPr>
              <w:spacing w:line="300" w:lineRule="auto"/>
              <w:jc w:val="center"/>
              <w:rPr>
                <w:rFonts w:hint="eastAsia" w:ascii="宋体" w:hAnsi="宋体" w:eastAsia="宋体" w:cs="Times New Roman"/>
                <w:b/>
                <w:kern w:val="0"/>
                <w:szCs w:val="21"/>
              </w:rPr>
            </w:pPr>
          </w:p>
        </w:tc>
        <w:tc>
          <w:tcPr>
            <w:tcW w:w="885" w:type="dxa"/>
            <w:vAlign w:val="center"/>
          </w:tcPr>
          <w:p w14:paraId="54B26A77">
            <w:pPr>
              <w:spacing w:line="300" w:lineRule="auto"/>
              <w:jc w:val="center"/>
              <w:rPr>
                <w:rFonts w:hint="eastAsia" w:ascii="宋体" w:hAnsi="宋体" w:eastAsia="宋体" w:cs="Times New Roman"/>
                <w:b/>
                <w:kern w:val="0"/>
                <w:szCs w:val="21"/>
              </w:rPr>
            </w:pPr>
          </w:p>
        </w:tc>
        <w:tc>
          <w:tcPr>
            <w:tcW w:w="998" w:type="dxa"/>
            <w:vAlign w:val="center"/>
          </w:tcPr>
          <w:p w14:paraId="4996536D">
            <w:pPr>
              <w:spacing w:line="300" w:lineRule="auto"/>
              <w:jc w:val="center"/>
              <w:rPr>
                <w:rFonts w:hint="eastAsia" w:ascii="宋体" w:hAnsi="宋体" w:eastAsia="宋体" w:cs="Times New Roman"/>
                <w:b/>
                <w:color w:val="FF0000"/>
                <w:kern w:val="0"/>
                <w:szCs w:val="21"/>
              </w:rPr>
            </w:pPr>
          </w:p>
        </w:tc>
      </w:tr>
      <w:tr w14:paraId="27CC3B9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301ECF5E">
            <w:pPr>
              <w:jc w:val="center"/>
              <w:rPr>
                <w:rFonts w:hint="eastAsia" w:ascii="宋体" w:hAnsi="宋体" w:eastAsia="宋体" w:cs="Times New Roman"/>
                <w:b/>
                <w:color w:val="FF0000"/>
                <w:kern w:val="0"/>
                <w:szCs w:val="21"/>
              </w:rPr>
            </w:pPr>
          </w:p>
        </w:tc>
        <w:tc>
          <w:tcPr>
            <w:tcW w:w="910" w:type="dxa"/>
            <w:vMerge w:val="continue"/>
            <w:vAlign w:val="center"/>
          </w:tcPr>
          <w:p w14:paraId="49BFB3D6">
            <w:pPr>
              <w:jc w:val="center"/>
            </w:pPr>
          </w:p>
        </w:tc>
        <w:tc>
          <w:tcPr>
            <w:tcW w:w="3987" w:type="dxa"/>
            <w:shd w:val="clear" w:color="auto" w:fill="auto"/>
            <w:vAlign w:val="center"/>
          </w:tcPr>
          <w:p w14:paraId="35B593E2">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2.根据冲击式原理设计的 ，均有一个冲击板和捕集板及托座组成</w:t>
            </w:r>
          </w:p>
        </w:tc>
        <w:tc>
          <w:tcPr>
            <w:tcW w:w="969" w:type="dxa"/>
            <w:vAlign w:val="center"/>
          </w:tcPr>
          <w:p w14:paraId="1622B1BB">
            <w:pPr>
              <w:spacing w:line="300" w:lineRule="auto"/>
              <w:jc w:val="center"/>
              <w:rPr>
                <w:rFonts w:hint="eastAsia" w:ascii="宋体" w:hAnsi="宋体" w:eastAsia="宋体" w:cs="Times New Roman"/>
                <w:b/>
                <w:kern w:val="0"/>
                <w:szCs w:val="21"/>
              </w:rPr>
            </w:pPr>
          </w:p>
        </w:tc>
        <w:tc>
          <w:tcPr>
            <w:tcW w:w="885" w:type="dxa"/>
            <w:vAlign w:val="center"/>
          </w:tcPr>
          <w:p w14:paraId="31705011">
            <w:pPr>
              <w:spacing w:line="300" w:lineRule="auto"/>
              <w:jc w:val="center"/>
              <w:rPr>
                <w:rFonts w:hint="eastAsia" w:ascii="宋体" w:hAnsi="宋体" w:eastAsia="宋体" w:cs="Times New Roman"/>
                <w:b/>
                <w:kern w:val="0"/>
                <w:szCs w:val="21"/>
              </w:rPr>
            </w:pPr>
          </w:p>
        </w:tc>
        <w:tc>
          <w:tcPr>
            <w:tcW w:w="998" w:type="dxa"/>
            <w:vAlign w:val="center"/>
          </w:tcPr>
          <w:p w14:paraId="5A21D127">
            <w:pPr>
              <w:spacing w:line="300" w:lineRule="auto"/>
              <w:jc w:val="center"/>
              <w:rPr>
                <w:rFonts w:hint="eastAsia" w:ascii="宋体" w:hAnsi="宋体" w:eastAsia="宋体" w:cs="Times New Roman"/>
                <w:b/>
                <w:color w:val="FF0000"/>
                <w:kern w:val="0"/>
                <w:szCs w:val="21"/>
              </w:rPr>
            </w:pPr>
          </w:p>
        </w:tc>
      </w:tr>
      <w:tr w14:paraId="1B6A7AD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033FBABE">
            <w:pPr>
              <w:jc w:val="center"/>
              <w:rPr>
                <w:rFonts w:hint="eastAsia" w:ascii="宋体" w:hAnsi="宋体" w:eastAsia="宋体" w:cs="Times New Roman"/>
                <w:b/>
                <w:color w:val="FF0000"/>
                <w:kern w:val="0"/>
                <w:szCs w:val="21"/>
              </w:rPr>
            </w:pPr>
          </w:p>
        </w:tc>
        <w:tc>
          <w:tcPr>
            <w:tcW w:w="910" w:type="dxa"/>
            <w:vMerge w:val="continue"/>
            <w:vAlign w:val="center"/>
          </w:tcPr>
          <w:p w14:paraId="085E8035">
            <w:pPr>
              <w:jc w:val="center"/>
            </w:pPr>
          </w:p>
        </w:tc>
        <w:tc>
          <w:tcPr>
            <w:tcW w:w="3987" w:type="dxa"/>
            <w:shd w:val="clear" w:color="auto" w:fill="auto"/>
            <w:vAlign w:val="center"/>
          </w:tcPr>
          <w:p w14:paraId="5FC6E97E">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3.切割粒径Da50=（10±0.5）µm</w:t>
            </w:r>
          </w:p>
        </w:tc>
        <w:tc>
          <w:tcPr>
            <w:tcW w:w="969" w:type="dxa"/>
            <w:vAlign w:val="center"/>
          </w:tcPr>
          <w:p w14:paraId="662CC2ED">
            <w:pPr>
              <w:spacing w:line="300" w:lineRule="auto"/>
              <w:jc w:val="center"/>
              <w:rPr>
                <w:rFonts w:hint="eastAsia" w:ascii="宋体" w:hAnsi="宋体" w:eastAsia="宋体" w:cs="Times New Roman"/>
                <w:b/>
                <w:kern w:val="0"/>
                <w:szCs w:val="21"/>
              </w:rPr>
            </w:pPr>
          </w:p>
        </w:tc>
        <w:tc>
          <w:tcPr>
            <w:tcW w:w="885" w:type="dxa"/>
            <w:vAlign w:val="center"/>
          </w:tcPr>
          <w:p w14:paraId="3307B9CF">
            <w:pPr>
              <w:spacing w:line="300" w:lineRule="auto"/>
              <w:jc w:val="center"/>
              <w:rPr>
                <w:rFonts w:hint="eastAsia" w:ascii="宋体" w:hAnsi="宋体" w:eastAsia="宋体" w:cs="Times New Roman"/>
                <w:b/>
                <w:kern w:val="0"/>
                <w:szCs w:val="21"/>
              </w:rPr>
            </w:pPr>
          </w:p>
        </w:tc>
        <w:tc>
          <w:tcPr>
            <w:tcW w:w="998" w:type="dxa"/>
            <w:vAlign w:val="center"/>
          </w:tcPr>
          <w:p w14:paraId="771E3191">
            <w:pPr>
              <w:spacing w:line="300" w:lineRule="auto"/>
              <w:jc w:val="center"/>
              <w:rPr>
                <w:rFonts w:hint="eastAsia" w:ascii="宋体" w:hAnsi="宋体" w:eastAsia="宋体" w:cs="Times New Roman"/>
                <w:b/>
                <w:color w:val="FF0000"/>
                <w:kern w:val="0"/>
                <w:szCs w:val="21"/>
              </w:rPr>
            </w:pPr>
          </w:p>
        </w:tc>
      </w:tr>
      <w:tr w14:paraId="072E3AC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1AC7E8DA">
            <w:pPr>
              <w:jc w:val="center"/>
              <w:rPr>
                <w:rFonts w:hint="eastAsia" w:ascii="宋体" w:hAnsi="宋体" w:eastAsia="宋体" w:cs="Times New Roman"/>
                <w:b/>
                <w:color w:val="FF0000"/>
                <w:kern w:val="0"/>
                <w:szCs w:val="21"/>
              </w:rPr>
            </w:pPr>
          </w:p>
        </w:tc>
        <w:tc>
          <w:tcPr>
            <w:tcW w:w="910" w:type="dxa"/>
            <w:vMerge w:val="continue"/>
            <w:vAlign w:val="center"/>
          </w:tcPr>
          <w:p w14:paraId="7E757A4C">
            <w:pPr>
              <w:jc w:val="center"/>
            </w:pPr>
          </w:p>
        </w:tc>
        <w:tc>
          <w:tcPr>
            <w:tcW w:w="3987" w:type="dxa"/>
            <w:shd w:val="clear" w:color="auto" w:fill="auto"/>
            <w:vAlign w:val="center"/>
          </w:tcPr>
          <w:p w14:paraId="72300EBA">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4.颗粒物捕集效率的几何偏差σg ≤（1.5±0.1）</w:t>
            </w:r>
          </w:p>
        </w:tc>
        <w:tc>
          <w:tcPr>
            <w:tcW w:w="969" w:type="dxa"/>
            <w:vAlign w:val="center"/>
          </w:tcPr>
          <w:p w14:paraId="26C76294">
            <w:pPr>
              <w:spacing w:line="300" w:lineRule="auto"/>
              <w:jc w:val="center"/>
              <w:rPr>
                <w:rFonts w:hint="eastAsia" w:ascii="宋体" w:hAnsi="宋体" w:eastAsia="宋体" w:cs="Times New Roman"/>
                <w:b/>
                <w:kern w:val="0"/>
                <w:szCs w:val="21"/>
              </w:rPr>
            </w:pPr>
          </w:p>
        </w:tc>
        <w:tc>
          <w:tcPr>
            <w:tcW w:w="885" w:type="dxa"/>
            <w:vAlign w:val="center"/>
          </w:tcPr>
          <w:p w14:paraId="63B9467C">
            <w:pPr>
              <w:spacing w:line="300" w:lineRule="auto"/>
              <w:jc w:val="center"/>
              <w:rPr>
                <w:rFonts w:hint="eastAsia" w:ascii="宋体" w:hAnsi="宋体" w:eastAsia="宋体" w:cs="Times New Roman"/>
                <w:b/>
                <w:kern w:val="0"/>
                <w:szCs w:val="21"/>
              </w:rPr>
            </w:pPr>
          </w:p>
        </w:tc>
        <w:tc>
          <w:tcPr>
            <w:tcW w:w="998" w:type="dxa"/>
            <w:vAlign w:val="center"/>
          </w:tcPr>
          <w:p w14:paraId="64A8436B">
            <w:pPr>
              <w:spacing w:line="300" w:lineRule="auto"/>
              <w:jc w:val="center"/>
              <w:rPr>
                <w:rFonts w:hint="eastAsia" w:ascii="宋体" w:hAnsi="宋体" w:eastAsia="宋体" w:cs="Times New Roman"/>
                <w:b/>
                <w:color w:val="FF0000"/>
                <w:kern w:val="0"/>
                <w:szCs w:val="21"/>
              </w:rPr>
            </w:pPr>
          </w:p>
        </w:tc>
      </w:tr>
      <w:tr w14:paraId="42754F5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7626811A">
            <w:pPr>
              <w:jc w:val="center"/>
              <w:rPr>
                <w:rFonts w:hint="eastAsia" w:ascii="宋体" w:hAnsi="宋体" w:eastAsia="宋体" w:cs="Times New Roman"/>
                <w:b/>
                <w:color w:val="FF0000"/>
                <w:kern w:val="0"/>
                <w:szCs w:val="21"/>
              </w:rPr>
            </w:pPr>
          </w:p>
        </w:tc>
        <w:tc>
          <w:tcPr>
            <w:tcW w:w="910" w:type="dxa"/>
            <w:vMerge w:val="continue"/>
            <w:vAlign w:val="center"/>
          </w:tcPr>
          <w:p w14:paraId="2CD72A58">
            <w:pPr>
              <w:jc w:val="center"/>
            </w:pPr>
          </w:p>
        </w:tc>
        <w:tc>
          <w:tcPr>
            <w:tcW w:w="3987" w:type="dxa"/>
            <w:shd w:val="clear" w:color="auto" w:fill="auto"/>
            <w:vAlign w:val="center"/>
          </w:tcPr>
          <w:p w14:paraId="1C707905">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5.入口流速0.3m/s</w:t>
            </w:r>
          </w:p>
        </w:tc>
        <w:tc>
          <w:tcPr>
            <w:tcW w:w="969" w:type="dxa"/>
            <w:vAlign w:val="center"/>
          </w:tcPr>
          <w:p w14:paraId="7D10CB97">
            <w:pPr>
              <w:spacing w:line="300" w:lineRule="auto"/>
              <w:jc w:val="center"/>
              <w:rPr>
                <w:rFonts w:hint="eastAsia" w:ascii="宋体" w:hAnsi="宋体" w:eastAsia="宋体" w:cs="Times New Roman"/>
                <w:b/>
                <w:kern w:val="0"/>
                <w:szCs w:val="21"/>
              </w:rPr>
            </w:pPr>
          </w:p>
        </w:tc>
        <w:tc>
          <w:tcPr>
            <w:tcW w:w="885" w:type="dxa"/>
            <w:vAlign w:val="center"/>
          </w:tcPr>
          <w:p w14:paraId="54F74D24">
            <w:pPr>
              <w:spacing w:line="300" w:lineRule="auto"/>
              <w:jc w:val="center"/>
              <w:rPr>
                <w:rFonts w:hint="eastAsia" w:ascii="宋体" w:hAnsi="宋体" w:eastAsia="宋体" w:cs="Times New Roman"/>
                <w:b/>
                <w:kern w:val="0"/>
                <w:szCs w:val="21"/>
              </w:rPr>
            </w:pPr>
          </w:p>
        </w:tc>
        <w:tc>
          <w:tcPr>
            <w:tcW w:w="998" w:type="dxa"/>
            <w:vAlign w:val="center"/>
          </w:tcPr>
          <w:p w14:paraId="1E95DC4A">
            <w:pPr>
              <w:spacing w:line="300" w:lineRule="auto"/>
              <w:jc w:val="center"/>
              <w:rPr>
                <w:rFonts w:hint="eastAsia" w:ascii="宋体" w:hAnsi="宋体" w:eastAsia="宋体" w:cs="Times New Roman"/>
                <w:b/>
                <w:color w:val="FF0000"/>
                <w:kern w:val="0"/>
                <w:szCs w:val="21"/>
              </w:rPr>
            </w:pPr>
          </w:p>
        </w:tc>
      </w:tr>
      <w:tr w14:paraId="4474615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724906F2">
            <w:pPr>
              <w:jc w:val="center"/>
              <w:rPr>
                <w:rFonts w:hint="eastAsia" w:ascii="宋体" w:hAnsi="宋体" w:eastAsia="宋体" w:cs="Times New Roman"/>
                <w:b/>
                <w:color w:val="FF0000"/>
                <w:kern w:val="0"/>
                <w:szCs w:val="21"/>
              </w:rPr>
            </w:pPr>
          </w:p>
        </w:tc>
        <w:tc>
          <w:tcPr>
            <w:tcW w:w="910" w:type="dxa"/>
            <w:vMerge w:val="continue"/>
            <w:vAlign w:val="center"/>
          </w:tcPr>
          <w:p w14:paraId="0C07A478">
            <w:pPr>
              <w:jc w:val="center"/>
            </w:pPr>
          </w:p>
        </w:tc>
        <w:tc>
          <w:tcPr>
            <w:tcW w:w="3987" w:type="dxa"/>
            <w:shd w:val="clear" w:color="auto" w:fill="auto"/>
            <w:vAlign w:val="center"/>
          </w:tcPr>
          <w:p w14:paraId="2F526080">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6.滤膜尺寸≥200mm×250mm，有效滤膜尺寸≥180mm×230mm</w:t>
            </w:r>
          </w:p>
        </w:tc>
        <w:tc>
          <w:tcPr>
            <w:tcW w:w="969" w:type="dxa"/>
            <w:vAlign w:val="center"/>
          </w:tcPr>
          <w:p w14:paraId="3310351E">
            <w:pPr>
              <w:spacing w:line="300" w:lineRule="auto"/>
              <w:jc w:val="center"/>
              <w:rPr>
                <w:rFonts w:hint="eastAsia" w:ascii="宋体" w:hAnsi="宋体" w:eastAsia="宋体" w:cs="Times New Roman"/>
                <w:b/>
                <w:kern w:val="0"/>
                <w:szCs w:val="21"/>
              </w:rPr>
            </w:pPr>
          </w:p>
        </w:tc>
        <w:tc>
          <w:tcPr>
            <w:tcW w:w="885" w:type="dxa"/>
            <w:vAlign w:val="center"/>
          </w:tcPr>
          <w:p w14:paraId="5A21923E">
            <w:pPr>
              <w:spacing w:line="300" w:lineRule="auto"/>
              <w:jc w:val="center"/>
              <w:rPr>
                <w:rFonts w:hint="eastAsia" w:ascii="宋体" w:hAnsi="宋体" w:eastAsia="宋体" w:cs="Times New Roman"/>
                <w:b/>
                <w:kern w:val="0"/>
                <w:szCs w:val="21"/>
              </w:rPr>
            </w:pPr>
          </w:p>
        </w:tc>
        <w:tc>
          <w:tcPr>
            <w:tcW w:w="998" w:type="dxa"/>
            <w:vAlign w:val="center"/>
          </w:tcPr>
          <w:p w14:paraId="430D0052">
            <w:pPr>
              <w:spacing w:line="300" w:lineRule="auto"/>
              <w:jc w:val="center"/>
              <w:rPr>
                <w:rFonts w:hint="eastAsia" w:ascii="宋体" w:hAnsi="宋体" w:eastAsia="宋体" w:cs="Times New Roman"/>
                <w:b/>
                <w:color w:val="FF0000"/>
                <w:kern w:val="0"/>
                <w:szCs w:val="21"/>
              </w:rPr>
            </w:pPr>
          </w:p>
        </w:tc>
      </w:tr>
      <w:tr w14:paraId="18B34CE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394B2206">
            <w:pPr>
              <w:jc w:val="center"/>
              <w:rPr>
                <w:rFonts w:hint="eastAsia" w:ascii="宋体" w:hAnsi="宋体" w:eastAsia="宋体" w:cs="Times New Roman"/>
                <w:b/>
                <w:color w:val="FF0000"/>
                <w:kern w:val="0"/>
                <w:szCs w:val="21"/>
              </w:rPr>
            </w:pPr>
          </w:p>
        </w:tc>
        <w:tc>
          <w:tcPr>
            <w:tcW w:w="910" w:type="dxa"/>
            <w:vMerge w:val="continue"/>
            <w:vAlign w:val="center"/>
          </w:tcPr>
          <w:p w14:paraId="65FFAFCF">
            <w:pPr>
              <w:jc w:val="center"/>
            </w:pPr>
          </w:p>
        </w:tc>
        <w:tc>
          <w:tcPr>
            <w:tcW w:w="3987" w:type="dxa"/>
            <w:shd w:val="clear" w:color="auto" w:fill="auto"/>
            <w:vAlign w:val="center"/>
          </w:tcPr>
          <w:p w14:paraId="76C2F20D">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7.安装尺寸（孔距）(190×240)mm</w:t>
            </w:r>
          </w:p>
        </w:tc>
        <w:tc>
          <w:tcPr>
            <w:tcW w:w="969" w:type="dxa"/>
            <w:vAlign w:val="center"/>
          </w:tcPr>
          <w:p w14:paraId="51ADD2B6">
            <w:pPr>
              <w:spacing w:line="300" w:lineRule="auto"/>
              <w:jc w:val="center"/>
              <w:rPr>
                <w:rFonts w:hint="eastAsia" w:ascii="宋体" w:hAnsi="宋体" w:eastAsia="宋体" w:cs="Times New Roman"/>
                <w:b/>
                <w:kern w:val="0"/>
                <w:szCs w:val="21"/>
              </w:rPr>
            </w:pPr>
          </w:p>
        </w:tc>
        <w:tc>
          <w:tcPr>
            <w:tcW w:w="885" w:type="dxa"/>
            <w:vAlign w:val="center"/>
          </w:tcPr>
          <w:p w14:paraId="4CC8803D">
            <w:pPr>
              <w:spacing w:line="300" w:lineRule="auto"/>
              <w:jc w:val="center"/>
              <w:rPr>
                <w:rFonts w:hint="eastAsia" w:ascii="宋体" w:hAnsi="宋体" w:eastAsia="宋体" w:cs="Times New Roman"/>
                <w:b/>
                <w:kern w:val="0"/>
                <w:szCs w:val="21"/>
              </w:rPr>
            </w:pPr>
          </w:p>
        </w:tc>
        <w:tc>
          <w:tcPr>
            <w:tcW w:w="998" w:type="dxa"/>
            <w:vAlign w:val="center"/>
          </w:tcPr>
          <w:p w14:paraId="7EC89FC3">
            <w:pPr>
              <w:spacing w:line="300" w:lineRule="auto"/>
              <w:jc w:val="center"/>
              <w:rPr>
                <w:rFonts w:hint="eastAsia" w:ascii="宋体" w:hAnsi="宋体" w:eastAsia="宋体" w:cs="Times New Roman"/>
                <w:b/>
                <w:color w:val="FF0000"/>
                <w:kern w:val="0"/>
                <w:szCs w:val="21"/>
              </w:rPr>
            </w:pPr>
          </w:p>
        </w:tc>
      </w:tr>
      <w:tr w14:paraId="2784E35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191D31F2">
            <w:pPr>
              <w:jc w:val="center"/>
              <w:rPr>
                <w:rFonts w:hint="eastAsia" w:ascii="宋体" w:hAnsi="宋体" w:eastAsia="宋体" w:cs="Times New Roman"/>
                <w:b/>
                <w:color w:val="FF0000"/>
                <w:kern w:val="0"/>
                <w:szCs w:val="21"/>
              </w:rPr>
            </w:pPr>
          </w:p>
        </w:tc>
        <w:tc>
          <w:tcPr>
            <w:tcW w:w="910" w:type="dxa"/>
            <w:vMerge w:val="continue"/>
            <w:vAlign w:val="center"/>
          </w:tcPr>
          <w:p w14:paraId="57F8DBFF">
            <w:pPr>
              <w:jc w:val="center"/>
            </w:pPr>
          </w:p>
        </w:tc>
        <w:tc>
          <w:tcPr>
            <w:tcW w:w="3987" w:type="dxa"/>
            <w:shd w:val="clear" w:color="auto" w:fill="auto"/>
            <w:vAlign w:val="center"/>
          </w:tcPr>
          <w:p w14:paraId="165D1129">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b/>
                <w:bCs/>
                <w:i w:val="0"/>
                <w:iCs w:val="0"/>
                <w:color w:val="000000"/>
                <w:kern w:val="0"/>
                <w:sz w:val="24"/>
                <w:szCs w:val="24"/>
                <w:u w:val="none"/>
                <w:lang w:val="en-US" w:eastAsia="zh-CN" w:bidi="ar"/>
              </w:rPr>
              <w:t>8.需配置仪器的性能</w:t>
            </w:r>
          </w:p>
        </w:tc>
        <w:tc>
          <w:tcPr>
            <w:tcW w:w="969" w:type="dxa"/>
            <w:vAlign w:val="center"/>
          </w:tcPr>
          <w:p w14:paraId="05FF16D5">
            <w:pPr>
              <w:spacing w:line="300" w:lineRule="auto"/>
              <w:jc w:val="center"/>
              <w:rPr>
                <w:rFonts w:hint="eastAsia" w:ascii="宋体" w:hAnsi="宋体" w:eastAsia="宋体" w:cs="Times New Roman"/>
                <w:b/>
                <w:kern w:val="0"/>
                <w:szCs w:val="21"/>
              </w:rPr>
            </w:pPr>
          </w:p>
        </w:tc>
        <w:tc>
          <w:tcPr>
            <w:tcW w:w="885" w:type="dxa"/>
            <w:vAlign w:val="center"/>
          </w:tcPr>
          <w:p w14:paraId="630CAA2B">
            <w:pPr>
              <w:spacing w:line="300" w:lineRule="auto"/>
              <w:jc w:val="center"/>
              <w:rPr>
                <w:rFonts w:hint="eastAsia" w:ascii="宋体" w:hAnsi="宋体" w:eastAsia="宋体" w:cs="Times New Roman"/>
                <w:b/>
                <w:kern w:val="0"/>
                <w:szCs w:val="21"/>
              </w:rPr>
            </w:pPr>
          </w:p>
        </w:tc>
        <w:tc>
          <w:tcPr>
            <w:tcW w:w="998" w:type="dxa"/>
            <w:vAlign w:val="center"/>
          </w:tcPr>
          <w:p w14:paraId="51150FDF">
            <w:pPr>
              <w:spacing w:line="300" w:lineRule="auto"/>
              <w:jc w:val="center"/>
              <w:rPr>
                <w:rFonts w:hint="eastAsia" w:ascii="宋体" w:hAnsi="宋体" w:eastAsia="宋体" w:cs="Times New Roman"/>
                <w:b/>
                <w:color w:val="FF0000"/>
                <w:kern w:val="0"/>
                <w:szCs w:val="21"/>
              </w:rPr>
            </w:pPr>
          </w:p>
        </w:tc>
      </w:tr>
      <w:tr w14:paraId="7936701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08EED0ED">
            <w:pPr>
              <w:jc w:val="center"/>
              <w:rPr>
                <w:rFonts w:hint="eastAsia" w:ascii="宋体" w:hAnsi="宋体" w:eastAsia="宋体" w:cs="Times New Roman"/>
                <w:b/>
                <w:color w:val="FF0000"/>
                <w:kern w:val="0"/>
                <w:szCs w:val="21"/>
              </w:rPr>
            </w:pPr>
          </w:p>
        </w:tc>
        <w:tc>
          <w:tcPr>
            <w:tcW w:w="910" w:type="dxa"/>
            <w:vMerge w:val="continue"/>
            <w:vAlign w:val="center"/>
          </w:tcPr>
          <w:p w14:paraId="46815F7E">
            <w:pPr>
              <w:jc w:val="center"/>
            </w:pPr>
          </w:p>
        </w:tc>
        <w:tc>
          <w:tcPr>
            <w:tcW w:w="3987" w:type="dxa"/>
            <w:shd w:val="clear" w:color="auto" w:fill="auto"/>
            <w:vAlign w:val="center"/>
          </w:tcPr>
          <w:p w14:paraId="79DBF3B5">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8.1▲采样流量范围：0.8～1.2m3/min</w:t>
            </w:r>
          </w:p>
        </w:tc>
        <w:tc>
          <w:tcPr>
            <w:tcW w:w="969" w:type="dxa"/>
            <w:vAlign w:val="center"/>
          </w:tcPr>
          <w:p w14:paraId="705DB1E5">
            <w:pPr>
              <w:spacing w:line="300" w:lineRule="auto"/>
              <w:jc w:val="center"/>
              <w:rPr>
                <w:rFonts w:hint="eastAsia" w:ascii="宋体" w:hAnsi="宋体" w:eastAsia="宋体" w:cs="Times New Roman"/>
                <w:b/>
                <w:kern w:val="0"/>
                <w:szCs w:val="21"/>
              </w:rPr>
            </w:pPr>
          </w:p>
        </w:tc>
        <w:tc>
          <w:tcPr>
            <w:tcW w:w="885" w:type="dxa"/>
            <w:vAlign w:val="center"/>
          </w:tcPr>
          <w:p w14:paraId="64343F39">
            <w:pPr>
              <w:spacing w:line="300" w:lineRule="auto"/>
              <w:jc w:val="center"/>
              <w:rPr>
                <w:rFonts w:hint="eastAsia" w:ascii="宋体" w:hAnsi="宋体" w:eastAsia="宋体" w:cs="Times New Roman"/>
                <w:b/>
                <w:kern w:val="0"/>
                <w:szCs w:val="21"/>
              </w:rPr>
            </w:pPr>
          </w:p>
        </w:tc>
        <w:tc>
          <w:tcPr>
            <w:tcW w:w="998" w:type="dxa"/>
            <w:vAlign w:val="center"/>
          </w:tcPr>
          <w:p w14:paraId="6633F41E">
            <w:pPr>
              <w:spacing w:line="300" w:lineRule="auto"/>
              <w:jc w:val="center"/>
              <w:rPr>
                <w:rFonts w:hint="eastAsia" w:ascii="宋体" w:hAnsi="宋体" w:eastAsia="宋体" w:cs="Times New Roman"/>
                <w:b/>
                <w:color w:val="FF0000"/>
                <w:kern w:val="0"/>
                <w:szCs w:val="21"/>
              </w:rPr>
            </w:pPr>
          </w:p>
        </w:tc>
      </w:tr>
      <w:tr w14:paraId="65E7B00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817" w:hRule="atLeast"/>
        </w:trPr>
        <w:tc>
          <w:tcPr>
            <w:tcW w:w="587" w:type="dxa"/>
            <w:vMerge w:val="continue"/>
            <w:vAlign w:val="center"/>
          </w:tcPr>
          <w:p w14:paraId="6CEB958D">
            <w:pPr>
              <w:jc w:val="center"/>
              <w:rPr>
                <w:rFonts w:hint="eastAsia" w:ascii="宋体" w:hAnsi="宋体" w:eastAsia="宋体" w:cs="Times New Roman"/>
                <w:b/>
                <w:color w:val="FF0000"/>
                <w:kern w:val="0"/>
                <w:szCs w:val="21"/>
              </w:rPr>
            </w:pPr>
          </w:p>
        </w:tc>
        <w:tc>
          <w:tcPr>
            <w:tcW w:w="910" w:type="dxa"/>
            <w:vMerge w:val="continue"/>
            <w:vAlign w:val="center"/>
          </w:tcPr>
          <w:p w14:paraId="04FE90E8">
            <w:pPr>
              <w:jc w:val="center"/>
            </w:pPr>
          </w:p>
        </w:tc>
        <w:tc>
          <w:tcPr>
            <w:tcW w:w="3987" w:type="dxa"/>
            <w:shd w:val="clear" w:color="auto" w:fill="auto"/>
            <w:vAlign w:val="center"/>
          </w:tcPr>
          <w:p w14:paraId="20BEC1F0">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8.2流量控制稳定性≤3%（电压在198～242V波动，阻力在3～6kPa变化）</w:t>
            </w:r>
          </w:p>
        </w:tc>
        <w:tc>
          <w:tcPr>
            <w:tcW w:w="969" w:type="dxa"/>
            <w:vAlign w:val="center"/>
          </w:tcPr>
          <w:p w14:paraId="1A109366">
            <w:pPr>
              <w:spacing w:line="300" w:lineRule="auto"/>
              <w:jc w:val="center"/>
              <w:rPr>
                <w:rFonts w:hint="eastAsia" w:ascii="宋体" w:hAnsi="宋体" w:eastAsia="宋体" w:cs="Times New Roman"/>
                <w:b/>
                <w:kern w:val="0"/>
                <w:szCs w:val="21"/>
              </w:rPr>
            </w:pPr>
          </w:p>
        </w:tc>
        <w:tc>
          <w:tcPr>
            <w:tcW w:w="885" w:type="dxa"/>
            <w:vAlign w:val="center"/>
          </w:tcPr>
          <w:p w14:paraId="11F85C12">
            <w:pPr>
              <w:spacing w:line="300" w:lineRule="auto"/>
              <w:jc w:val="center"/>
              <w:rPr>
                <w:rFonts w:hint="eastAsia" w:ascii="宋体" w:hAnsi="宋体" w:eastAsia="宋体" w:cs="Times New Roman"/>
                <w:b/>
                <w:kern w:val="0"/>
                <w:szCs w:val="21"/>
              </w:rPr>
            </w:pPr>
          </w:p>
        </w:tc>
        <w:tc>
          <w:tcPr>
            <w:tcW w:w="998" w:type="dxa"/>
            <w:vAlign w:val="center"/>
          </w:tcPr>
          <w:p w14:paraId="24448E52">
            <w:pPr>
              <w:spacing w:line="300" w:lineRule="auto"/>
              <w:jc w:val="center"/>
              <w:rPr>
                <w:rFonts w:hint="eastAsia" w:ascii="宋体" w:hAnsi="宋体" w:eastAsia="宋体" w:cs="Times New Roman"/>
                <w:b/>
                <w:color w:val="FF0000"/>
                <w:kern w:val="0"/>
                <w:szCs w:val="21"/>
              </w:rPr>
            </w:pPr>
          </w:p>
        </w:tc>
      </w:tr>
      <w:tr w14:paraId="43850E4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2C5CFF75">
            <w:pPr>
              <w:jc w:val="center"/>
              <w:rPr>
                <w:rFonts w:hint="eastAsia" w:ascii="宋体" w:hAnsi="宋体" w:eastAsia="宋体" w:cs="Times New Roman"/>
                <w:b/>
                <w:color w:val="FF0000"/>
                <w:kern w:val="0"/>
                <w:szCs w:val="21"/>
              </w:rPr>
            </w:pPr>
          </w:p>
        </w:tc>
        <w:tc>
          <w:tcPr>
            <w:tcW w:w="910" w:type="dxa"/>
            <w:vMerge w:val="continue"/>
            <w:vAlign w:val="center"/>
          </w:tcPr>
          <w:p w14:paraId="6FE545F0">
            <w:pPr>
              <w:jc w:val="center"/>
            </w:pPr>
          </w:p>
        </w:tc>
        <w:tc>
          <w:tcPr>
            <w:tcW w:w="3987" w:type="dxa"/>
            <w:shd w:val="clear" w:color="auto" w:fill="auto"/>
            <w:vAlign w:val="center"/>
          </w:tcPr>
          <w:p w14:paraId="07D56AE9">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8.3流量准确度</w:t>
            </w:r>
            <w:r>
              <w:rPr>
                <w:rStyle w:val="41"/>
                <w:lang w:val="en-US" w:eastAsia="zh-CN" w:bidi="ar"/>
              </w:rPr>
              <w:t xml:space="preserve"> ≤±2.5%</w:t>
            </w:r>
          </w:p>
        </w:tc>
        <w:tc>
          <w:tcPr>
            <w:tcW w:w="969" w:type="dxa"/>
            <w:vAlign w:val="center"/>
          </w:tcPr>
          <w:p w14:paraId="7C7D8523">
            <w:pPr>
              <w:spacing w:line="300" w:lineRule="auto"/>
              <w:jc w:val="center"/>
              <w:rPr>
                <w:rFonts w:hint="eastAsia" w:ascii="宋体" w:hAnsi="宋体" w:eastAsia="宋体" w:cs="Times New Roman"/>
                <w:b/>
                <w:kern w:val="0"/>
                <w:szCs w:val="21"/>
              </w:rPr>
            </w:pPr>
          </w:p>
        </w:tc>
        <w:tc>
          <w:tcPr>
            <w:tcW w:w="885" w:type="dxa"/>
            <w:vAlign w:val="center"/>
          </w:tcPr>
          <w:p w14:paraId="5A367601">
            <w:pPr>
              <w:spacing w:line="300" w:lineRule="auto"/>
              <w:jc w:val="center"/>
              <w:rPr>
                <w:rFonts w:hint="eastAsia" w:ascii="宋体" w:hAnsi="宋体" w:eastAsia="宋体" w:cs="Times New Roman"/>
                <w:b/>
                <w:kern w:val="0"/>
                <w:szCs w:val="21"/>
              </w:rPr>
            </w:pPr>
          </w:p>
        </w:tc>
        <w:tc>
          <w:tcPr>
            <w:tcW w:w="998" w:type="dxa"/>
            <w:vAlign w:val="center"/>
          </w:tcPr>
          <w:p w14:paraId="06FA7EF7">
            <w:pPr>
              <w:spacing w:line="300" w:lineRule="auto"/>
              <w:jc w:val="center"/>
              <w:rPr>
                <w:rFonts w:hint="eastAsia" w:ascii="宋体" w:hAnsi="宋体" w:eastAsia="宋体" w:cs="Times New Roman"/>
                <w:b/>
                <w:color w:val="FF0000"/>
                <w:kern w:val="0"/>
                <w:szCs w:val="21"/>
              </w:rPr>
            </w:pPr>
          </w:p>
        </w:tc>
      </w:tr>
      <w:tr w14:paraId="02F70B1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544FF0ED">
            <w:pPr>
              <w:jc w:val="center"/>
              <w:rPr>
                <w:rFonts w:hint="eastAsia" w:ascii="宋体" w:hAnsi="宋体" w:eastAsia="宋体" w:cs="Times New Roman"/>
                <w:b/>
                <w:color w:val="FF0000"/>
                <w:kern w:val="0"/>
                <w:szCs w:val="21"/>
              </w:rPr>
            </w:pPr>
          </w:p>
        </w:tc>
        <w:tc>
          <w:tcPr>
            <w:tcW w:w="910" w:type="dxa"/>
            <w:vMerge w:val="continue"/>
            <w:vAlign w:val="center"/>
          </w:tcPr>
          <w:p w14:paraId="145E27C8">
            <w:pPr>
              <w:jc w:val="center"/>
            </w:pPr>
          </w:p>
        </w:tc>
        <w:tc>
          <w:tcPr>
            <w:tcW w:w="3987" w:type="dxa"/>
            <w:shd w:val="clear" w:color="auto" w:fill="auto"/>
            <w:vAlign w:val="center"/>
          </w:tcPr>
          <w:p w14:paraId="6DBFEBD2">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8.4预置间隔≤99小时，准确度：≤0.1%</w:t>
            </w:r>
          </w:p>
        </w:tc>
        <w:tc>
          <w:tcPr>
            <w:tcW w:w="969" w:type="dxa"/>
            <w:vAlign w:val="center"/>
          </w:tcPr>
          <w:p w14:paraId="43430FA5">
            <w:pPr>
              <w:spacing w:line="300" w:lineRule="auto"/>
              <w:jc w:val="center"/>
              <w:rPr>
                <w:rFonts w:hint="eastAsia" w:ascii="宋体" w:hAnsi="宋体" w:eastAsia="宋体" w:cs="Times New Roman"/>
                <w:b/>
                <w:kern w:val="0"/>
                <w:szCs w:val="21"/>
              </w:rPr>
            </w:pPr>
          </w:p>
        </w:tc>
        <w:tc>
          <w:tcPr>
            <w:tcW w:w="885" w:type="dxa"/>
            <w:vAlign w:val="center"/>
          </w:tcPr>
          <w:p w14:paraId="0B7514DB">
            <w:pPr>
              <w:spacing w:line="300" w:lineRule="auto"/>
              <w:jc w:val="center"/>
              <w:rPr>
                <w:rFonts w:hint="eastAsia" w:ascii="宋体" w:hAnsi="宋体" w:eastAsia="宋体" w:cs="Times New Roman"/>
                <w:b/>
                <w:kern w:val="0"/>
                <w:szCs w:val="21"/>
              </w:rPr>
            </w:pPr>
          </w:p>
        </w:tc>
        <w:tc>
          <w:tcPr>
            <w:tcW w:w="998" w:type="dxa"/>
            <w:vAlign w:val="center"/>
          </w:tcPr>
          <w:p w14:paraId="2BFBF43D">
            <w:pPr>
              <w:spacing w:line="300" w:lineRule="auto"/>
              <w:jc w:val="center"/>
              <w:rPr>
                <w:rFonts w:hint="eastAsia" w:ascii="宋体" w:hAnsi="宋体" w:eastAsia="宋体" w:cs="Times New Roman"/>
                <w:b/>
                <w:color w:val="FF0000"/>
                <w:kern w:val="0"/>
                <w:szCs w:val="21"/>
              </w:rPr>
            </w:pPr>
          </w:p>
        </w:tc>
      </w:tr>
      <w:tr w14:paraId="4D8C686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4B250F4D">
            <w:pPr>
              <w:jc w:val="center"/>
              <w:rPr>
                <w:rFonts w:hint="eastAsia" w:ascii="宋体" w:hAnsi="宋体" w:eastAsia="宋体" w:cs="Times New Roman"/>
                <w:b/>
                <w:color w:val="FF0000"/>
                <w:kern w:val="0"/>
                <w:szCs w:val="21"/>
              </w:rPr>
            </w:pPr>
          </w:p>
        </w:tc>
        <w:tc>
          <w:tcPr>
            <w:tcW w:w="910" w:type="dxa"/>
            <w:vMerge w:val="continue"/>
            <w:vAlign w:val="center"/>
          </w:tcPr>
          <w:p w14:paraId="7DB92E78">
            <w:pPr>
              <w:jc w:val="center"/>
            </w:pPr>
          </w:p>
        </w:tc>
        <w:tc>
          <w:tcPr>
            <w:tcW w:w="3987" w:type="dxa"/>
            <w:shd w:val="clear" w:color="auto" w:fill="auto"/>
            <w:vAlign w:val="center"/>
          </w:tcPr>
          <w:p w14:paraId="2588B815">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8.5极限负压40kPa</w:t>
            </w:r>
          </w:p>
        </w:tc>
        <w:tc>
          <w:tcPr>
            <w:tcW w:w="969" w:type="dxa"/>
            <w:vAlign w:val="center"/>
          </w:tcPr>
          <w:p w14:paraId="6DD1091A">
            <w:pPr>
              <w:spacing w:line="300" w:lineRule="auto"/>
              <w:jc w:val="center"/>
              <w:rPr>
                <w:rFonts w:hint="eastAsia" w:ascii="宋体" w:hAnsi="宋体" w:eastAsia="宋体" w:cs="Times New Roman"/>
                <w:b/>
                <w:kern w:val="0"/>
                <w:szCs w:val="21"/>
              </w:rPr>
            </w:pPr>
          </w:p>
        </w:tc>
        <w:tc>
          <w:tcPr>
            <w:tcW w:w="885" w:type="dxa"/>
            <w:vAlign w:val="center"/>
          </w:tcPr>
          <w:p w14:paraId="1DEACB33">
            <w:pPr>
              <w:spacing w:line="300" w:lineRule="auto"/>
              <w:jc w:val="center"/>
              <w:rPr>
                <w:rFonts w:hint="eastAsia" w:ascii="宋体" w:hAnsi="宋体" w:eastAsia="宋体" w:cs="Times New Roman"/>
                <w:b/>
                <w:kern w:val="0"/>
                <w:szCs w:val="21"/>
              </w:rPr>
            </w:pPr>
          </w:p>
        </w:tc>
        <w:tc>
          <w:tcPr>
            <w:tcW w:w="998" w:type="dxa"/>
            <w:vAlign w:val="center"/>
          </w:tcPr>
          <w:p w14:paraId="01771286">
            <w:pPr>
              <w:spacing w:line="300" w:lineRule="auto"/>
              <w:jc w:val="center"/>
              <w:rPr>
                <w:rFonts w:hint="eastAsia" w:ascii="宋体" w:hAnsi="宋体" w:eastAsia="宋体" w:cs="Times New Roman"/>
                <w:b/>
                <w:color w:val="FF0000"/>
                <w:kern w:val="0"/>
                <w:szCs w:val="21"/>
              </w:rPr>
            </w:pPr>
          </w:p>
        </w:tc>
      </w:tr>
      <w:tr w14:paraId="0ED113A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1367F2EA">
            <w:pPr>
              <w:jc w:val="center"/>
              <w:rPr>
                <w:rFonts w:hint="eastAsia" w:ascii="宋体" w:hAnsi="宋体" w:eastAsia="宋体" w:cs="Times New Roman"/>
                <w:b/>
                <w:color w:val="FF0000"/>
                <w:kern w:val="0"/>
                <w:szCs w:val="21"/>
              </w:rPr>
            </w:pPr>
          </w:p>
        </w:tc>
        <w:tc>
          <w:tcPr>
            <w:tcW w:w="910" w:type="dxa"/>
            <w:vMerge w:val="continue"/>
            <w:vAlign w:val="center"/>
          </w:tcPr>
          <w:p w14:paraId="439A17B9">
            <w:pPr>
              <w:jc w:val="center"/>
            </w:pPr>
          </w:p>
        </w:tc>
        <w:tc>
          <w:tcPr>
            <w:tcW w:w="3987" w:type="dxa"/>
            <w:shd w:val="clear" w:color="auto" w:fill="auto"/>
            <w:vAlign w:val="center"/>
          </w:tcPr>
          <w:p w14:paraId="16F1A0A7">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8.6计时精度≤±1‰/24h</w:t>
            </w:r>
          </w:p>
        </w:tc>
        <w:tc>
          <w:tcPr>
            <w:tcW w:w="969" w:type="dxa"/>
            <w:vAlign w:val="center"/>
          </w:tcPr>
          <w:p w14:paraId="39CC758E">
            <w:pPr>
              <w:spacing w:line="300" w:lineRule="auto"/>
              <w:jc w:val="center"/>
              <w:rPr>
                <w:rFonts w:hint="eastAsia" w:ascii="宋体" w:hAnsi="宋体" w:eastAsia="宋体" w:cs="Times New Roman"/>
                <w:b/>
                <w:kern w:val="0"/>
                <w:szCs w:val="21"/>
              </w:rPr>
            </w:pPr>
          </w:p>
        </w:tc>
        <w:tc>
          <w:tcPr>
            <w:tcW w:w="885" w:type="dxa"/>
            <w:vAlign w:val="center"/>
          </w:tcPr>
          <w:p w14:paraId="40ECDD15">
            <w:pPr>
              <w:spacing w:line="300" w:lineRule="auto"/>
              <w:jc w:val="center"/>
              <w:rPr>
                <w:rFonts w:hint="eastAsia" w:ascii="宋体" w:hAnsi="宋体" w:eastAsia="宋体" w:cs="Times New Roman"/>
                <w:b/>
                <w:kern w:val="0"/>
                <w:szCs w:val="21"/>
              </w:rPr>
            </w:pPr>
          </w:p>
        </w:tc>
        <w:tc>
          <w:tcPr>
            <w:tcW w:w="998" w:type="dxa"/>
            <w:vAlign w:val="center"/>
          </w:tcPr>
          <w:p w14:paraId="622E73A7">
            <w:pPr>
              <w:spacing w:line="300" w:lineRule="auto"/>
              <w:jc w:val="center"/>
              <w:rPr>
                <w:rFonts w:hint="eastAsia" w:ascii="宋体" w:hAnsi="宋体" w:eastAsia="宋体" w:cs="Times New Roman"/>
                <w:b/>
                <w:color w:val="FF0000"/>
                <w:kern w:val="0"/>
                <w:szCs w:val="21"/>
              </w:rPr>
            </w:pPr>
          </w:p>
        </w:tc>
      </w:tr>
      <w:tr w14:paraId="72BA16D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4DC39512">
            <w:pPr>
              <w:jc w:val="center"/>
              <w:rPr>
                <w:rFonts w:hint="eastAsia" w:ascii="宋体" w:hAnsi="宋体" w:eastAsia="宋体" w:cs="Times New Roman"/>
                <w:b/>
                <w:color w:val="FF0000"/>
                <w:kern w:val="0"/>
                <w:szCs w:val="21"/>
              </w:rPr>
            </w:pPr>
          </w:p>
        </w:tc>
        <w:tc>
          <w:tcPr>
            <w:tcW w:w="910" w:type="dxa"/>
            <w:vMerge w:val="continue"/>
            <w:vAlign w:val="center"/>
          </w:tcPr>
          <w:p w14:paraId="10B0DBC7">
            <w:pPr>
              <w:jc w:val="center"/>
            </w:pPr>
          </w:p>
        </w:tc>
        <w:tc>
          <w:tcPr>
            <w:tcW w:w="3987" w:type="dxa"/>
            <w:shd w:val="clear" w:color="auto" w:fill="auto"/>
            <w:vAlign w:val="center"/>
          </w:tcPr>
          <w:p w14:paraId="24F2D690">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8.7恒流响应速度≤3%</w:t>
            </w:r>
            <w:r>
              <w:rPr>
                <w:rStyle w:val="41"/>
                <w:lang w:val="en-US" w:eastAsia="zh-CN" w:bidi="ar"/>
              </w:rPr>
              <w:t xml:space="preserve"> </w:t>
            </w:r>
          </w:p>
        </w:tc>
        <w:tc>
          <w:tcPr>
            <w:tcW w:w="969" w:type="dxa"/>
            <w:vAlign w:val="center"/>
          </w:tcPr>
          <w:p w14:paraId="6DD84A79">
            <w:pPr>
              <w:spacing w:line="300" w:lineRule="auto"/>
              <w:jc w:val="center"/>
              <w:rPr>
                <w:rFonts w:hint="eastAsia" w:ascii="宋体" w:hAnsi="宋体" w:eastAsia="宋体" w:cs="Times New Roman"/>
                <w:b/>
                <w:kern w:val="0"/>
                <w:szCs w:val="21"/>
              </w:rPr>
            </w:pPr>
          </w:p>
        </w:tc>
        <w:tc>
          <w:tcPr>
            <w:tcW w:w="885" w:type="dxa"/>
            <w:vAlign w:val="center"/>
          </w:tcPr>
          <w:p w14:paraId="4AC1623F">
            <w:pPr>
              <w:spacing w:line="300" w:lineRule="auto"/>
              <w:jc w:val="center"/>
              <w:rPr>
                <w:rFonts w:hint="eastAsia" w:ascii="宋体" w:hAnsi="宋体" w:eastAsia="宋体" w:cs="Times New Roman"/>
                <w:b/>
                <w:kern w:val="0"/>
                <w:szCs w:val="21"/>
              </w:rPr>
            </w:pPr>
          </w:p>
        </w:tc>
        <w:tc>
          <w:tcPr>
            <w:tcW w:w="998" w:type="dxa"/>
            <w:vAlign w:val="center"/>
          </w:tcPr>
          <w:p w14:paraId="275DE6E9">
            <w:pPr>
              <w:spacing w:line="300" w:lineRule="auto"/>
              <w:jc w:val="center"/>
              <w:rPr>
                <w:rFonts w:hint="eastAsia" w:ascii="宋体" w:hAnsi="宋体" w:eastAsia="宋体" w:cs="Times New Roman"/>
                <w:b/>
                <w:color w:val="FF0000"/>
                <w:kern w:val="0"/>
                <w:szCs w:val="21"/>
              </w:rPr>
            </w:pPr>
          </w:p>
        </w:tc>
      </w:tr>
      <w:tr w14:paraId="3A511B9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31F79AD3">
            <w:pPr>
              <w:jc w:val="center"/>
              <w:rPr>
                <w:rFonts w:hint="eastAsia" w:ascii="宋体" w:hAnsi="宋体" w:eastAsia="宋体" w:cs="Times New Roman"/>
                <w:b/>
                <w:color w:val="FF0000"/>
                <w:kern w:val="0"/>
                <w:szCs w:val="21"/>
              </w:rPr>
            </w:pPr>
          </w:p>
        </w:tc>
        <w:tc>
          <w:tcPr>
            <w:tcW w:w="910" w:type="dxa"/>
            <w:vMerge w:val="continue"/>
            <w:vAlign w:val="center"/>
          </w:tcPr>
          <w:p w14:paraId="4E99B0A5">
            <w:pPr>
              <w:jc w:val="center"/>
            </w:pPr>
          </w:p>
        </w:tc>
        <w:tc>
          <w:tcPr>
            <w:tcW w:w="3987" w:type="dxa"/>
            <w:shd w:val="clear" w:color="auto" w:fill="auto"/>
            <w:vAlign w:val="center"/>
          </w:tcPr>
          <w:p w14:paraId="742DBB27">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8.8预置采时≤99小时，准确度：≤0.1%</w:t>
            </w:r>
          </w:p>
        </w:tc>
        <w:tc>
          <w:tcPr>
            <w:tcW w:w="969" w:type="dxa"/>
            <w:vAlign w:val="center"/>
          </w:tcPr>
          <w:p w14:paraId="4E0CBB9D">
            <w:pPr>
              <w:spacing w:line="300" w:lineRule="auto"/>
              <w:jc w:val="center"/>
              <w:rPr>
                <w:rFonts w:hint="eastAsia" w:ascii="宋体" w:hAnsi="宋体" w:eastAsia="宋体" w:cs="Times New Roman"/>
                <w:b/>
                <w:kern w:val="0"/>
                <w:szCs w:val="21"/>
              </w:rPr>
            </w:pPr>
          </w:p>
        </w:tc>
        <w:tc>
          <w:tcPr>
            <w:tcW w:w="885" w:type="dxa"/>
            <w:vAlign w:val="center"/>
          </w:tcPr>
          <w:p w14:paraId="20B4F139">
            <w:pPr>
              <w:spacing w:line="300" w:lineRule="auto"/>
              <w:jc w:val="center"/>
              <w:rPr>
                <w:rFonts w:hint="eastAsia" w:ascii="宋体" w:hAnsi="宋体" w:eastAsia="宋体" w:cs="Times New Roman"/>
                <w:b/>
                <w:kern w:val="0"/>
                <w:szCs w:val="21"/>
              </w:rPr>
            </w:pPr>
          </w:p>
        </w:tc>
        <w:tc>
          <w:tcPr>
            <w:tcW w:w="998" w:type="dxa"/>
            <w:vAlign w:val="center"/>
          </w:tcPr>
          <w:p w14:paraId="30FEB2BE">
            <w:pPr>
              <w:spacing w:line="300" w:lineRule="auto"/>
              <w:jc w:val="center"/>
              <w:rPr>
                <w:rFonts w:hint="eastAsia" w:ascii="宋体" w:hAnsi="宋体" w:eastAsia="宋体" w:cs="Times New Roman"/>
                <w:b/>
                <w:color w:val="FF0000"/>
                <w:kern w:val="0"/>
                <w:szCs w:val="21"/>
              </w:rPr>
            </w:pPr>
          </w:p>
        </w:tc>
      </w:tr>
      <w:tr w14:paraId="4A0F608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restart"/>
            <w:vAlign w:val="center"/>
          </w:tcPr>
          <w:p w14:paraId="5D8E7785">
            <w:pPr>
              <w:jc w:val="center"/>
              <w:rPr>
                <w:rFonts w:hint="eastAsia" w:ascii="宋体" w:hAnsi="宋体" w:eastAsia="宋体" w:cs="Times New Roman"/>
                <w:b/>
                <w:color w:val="FF0000"/>
                <w:kern w:val="0"/>
                <w:szCs w:val="21"/>
                <w:lang w:val="en-US" w:eastAsia="zh-CN"/>
              </w:rPr>
            </w:pPr>
            <w:r>
              <w:rPr>
                <w:rFonts w:hint="eastAsia" w:ascii="宋体" w:hAnsi="宋体" w:eastAsia="宋体" w:cs="Times New Roman"/>
                <w:b/>
                <w:color w:val="FF0000"/>
                <w:kern w:val="0"/>
                <w:szCs w:val="21"/>
                <w:lang w:val="en-US" w:eastAsia="zh-CN"/>
              </w:rPr>
              <w:t>2</w:t>
            </w:r>
          </w:p>
        </w:tc>
        <w:tc>
          <w:tcPr>
            <w:tcW w:w="910" w:type="dxa"/>
            <w:vMerge w:val="restart"/>
            <w:vAlign w:val="center"/>
          </w:tcPr>
          <w:p w14:paraId="25C6722A">
            <w:pPr>
              <w:jc w:val="center"/>
            </w:pPr>
            <w:r>
              <w:rPr>
                <w:rFonts w:hint="eastAsia"/>
              </w:rPr>
              <w:t>空气采样器专用金属PM10可吸入颗粒物切割器（中流量）</w:t>
            </w:r>
          </w:p>
        </w:tc>
        <w:tc>
          <w:tcPr>
            <w:tcW w:w="3987" w:type="dxa"/>
            <w:shd w:val="clear" w:color="auto" w:fill="auto"/>
            <w:vAlign w:val="center"/>
          </w:tcPr>
          <w:p w14:paraId="7FBFE81F">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1.可根据需要任意组合，实现对大气中可吸入颗粒物的采集，适用于流量为100L/min中流量采样器。</w:t>
            </w:r>
          </w:p>
        </w:tc>
        <w:tc>
          <w:tcPr>
            <w:tcW w:w="969" w:type="dxa"/>
            <w:vAlign w:val="center"/>
          </w:tcPr>
          <w:p w14:paraId="79ECD366">
            <w:pPr>
              <w:spacing w:line="300" w:lineRule="auto"/>
              <w:jc w:val="center"/>
              <w:rPr>
                <w:rFonts w:hint="eastAsia" w:ascii="宋体" w:hAnsi="宋体" w:eastAsia="宋体" w:cs="Times New Roman"/>
                <w:b/>
                <w:kern w:val="0"/>
                <w:szCs w:val="21"/>
              </w:rPr>
            </w:pPr>
          </w:p>
        </w:tc>
        <w:tc>
          <w:tcPr>
            <w:tcW w:w="885" w:type="dxa"/>
            <w:vAlign w:val="center"/>
          </w:tcPr>
          <w:p w14:paraId="24977BE3">
            <w:pPr>
              <w:spacing w:line="300" w:lineRule="auto"/>
              <w:jc w:val="center"/>
              <w:rPr>
                <w:rFonts w:hint="eastAsia" w:ascii="宋体" w:hAnsi="宋体" w:eastAsia="宋体" w:cs="Times New Roman"/>
                <w:b/>
                <w:kern w:val="0"/>
                <w:szCs w:val="21"/>
              </w:rPr>
            </w:pPr>
          </w:p>
        </w:tc>
        <w:tc>
          <w:tcPr>
            <w:tcW w:w="998" w:type="dxa"/>
            <w:vAlign w:val="center"/>
          </w:tcPr>
          <w:p w14:paraId="174727EE">
            <w:pPr>
              <w:spacing w:line="300" w:lineRule="auto"/>
              <w:jc w:val="center"/>
              <w:rPr>
                <w:rFonts w:hint="eastAsia" w:ascii="宋体" w:hAnsi="宋体" w:eastAsia="宋体" w:cs="Times New Roman"/>
                <w:b/>
                <w:color w:val="FF0000"/>
                <w:kern w:val="0"/>
                <w:szCs w:val="21"/>
              </w:rPr>
            </w:pPr>
          </w:p>
        </w:tc>
      </w:tr>
      <w:tr w14:paraId="76F0365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01195A00">
            <w:pPr>
              <w:jc w:val="center"/>
              <w:rPr>
                <w:rFonts w:hint="eastAsia" w:ascii="宋体" w:hAnsi="宋体" w:eastAsia="宋体" w:cs="Times New Roman"/>
                <w:b/>
                <w:color w:val="FF0000"/>
                <w:kern w:val="0"/>
                <w:szCs w:val="21"/>
              </w:rPr>
            </w:pPr>
          </w:p>
        </w:tc>
        <w:tc>
          <w:tcPr>
            <w:tcW w:w="910" w:type="dxa"/>
            <w:vMerge w:val="continue"/>
            <w:vAlign w:val="center"/>
          </w:tcPr>
          <w:p w14:paraId="730B7327">
            <w:pPr>
              <w:jc w:val="center"/>
            </w:pPr>
          </w:p>
        </w:tc>
        <w:tc>
          <w:tcPr>
            <w:tcW w:w="3987" w:type="dxa"/>
            <w:shd w:val="clear" w:color="auto" w:fill="auto"/>
            <w:vAlign w:val="center"/>
          </w:tcPr>
          <w:p w14:paraId="3DE0E84B">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2.根据冲击式原理设计的 ，均有一个冲击板和捕集板及托座组成</w:t>
            </w:r>
          </w:p>
        </w:tc>
        <w:tc>
          <w:tcPr>
            <w:tcW w:w="969" w:type="dxa"/>
            <w:vAlign w:val="center"/>
          </w:tcPr>
          <w:p w14:paraId="06DD1621">
            <w:pPr>
              <w:spacing w:line="300" w:lineRule="auto"/>
              <w:jc w:val="center"/>
              <w:rPr>
                <w:rFonts w:hint="eastAsia" w:ascii="宋体" w:hAnsi="宋体" w:eastAsia="宋体" w:cs="Times New Roman"/>
                <w:b/>
                <w:kern w:val="0"/>
                <w:szCs w:val="21"/>
              </w:rPr>
            </w:pPr>
          </w:p>
        </w:tc>
        <w:tc>
          <w:tcPr>
            <w:tcW w:w="885" w:type="dxa"/>
            <w:vAlign w:val="center"/>
          </w:tcPr>
          <w:p w14:paraId="0EB54B5E">
            <w:pPr>
              <w:spacing w:line="300" w:lineRule="auto"/>
              <w:jc w:val="center"/>
              <w:rPr>
                <w:rFonts w:hint="eastAsia" w:ascii="宋体" w:hAnsi="宋体" w:eastAsia="宋体" w:cs="Times New Roman"/>
                <w:b/>
                <w:kern w:val="0"/>
                <w:szCs w:val="21"/>
              </w:rPr>
            </w:pPr>
          </w:p>
        </w:tc>
        <w:tc>
          <w:tcPr>
            <w:tcW w:w="998" w:type="dxa"/>
            <w:vAlign w:val="center"/>
          </w:tcPr>
          <w:p w14:paraId="4CE444C9">
            <w:pPr>
              <w:spacing w:line="300" w:lineRule="auto"/>
              <w:jc w:val="center"/>
              <w:rPr>
                <w:rFonts w:hint="eastAsia" w:ascii="宋体" w:hAnsi="宋体" w:eastAsia="宋体" w:cs="Times New Roman"/>
                <w:b/>
                <w:color w:val="FF0000"/>
                <w:kern w:val="0"/>
                <w:szCs w:val="21"/>
              </w:rPr>
            </w:pPr>
          </w:p>
        </w:tc>
      </w:tr>
      <w:tr w14:paraId="76ED3B1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2BD7BDAE">
            <w:pPr>
              <w:jc w:val="center"/>
              <w:rPr>
                <w:rFonts w:hint="eastAsia" w:ascii="宋体" w:hAnsi="宋体" w:eastAsia="宋体" w:cs="Times New Roman"/>
                <w:b/>
                <w:color w:val="FF0000"/>
                <w:kern w:val="0"/>
                <w:szCs w:val="21"/>
              </w:rPr>
            </w:pPr>
          </w:p>
        </w:tc>
        <w:tc>
          <w:tcPr>
            <w:tcW w:w="910" w:type="dxa"/>
            <w:vMerge w:val="continue"/>
            <w:vAlign w:val="center"/>
          </w:tcPr>
          <w:p w14:paraId="7026A7F7">
            <w:pPr>
              <w:jc w:val="center"/>
            </w:pPr>
          </w:p>
        </w:tc>
        <w:tc>
          <w:tcPr>
            <w:tcW w:w="3987" w:type="dxa"/>
            <w:shd w:val="clear" w:color="auto" w:fill="auto"/>
            <w:vAlign w:val="center"/>
          </w:tcPr>
          <w:p w14:paraId="69D68935">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3.▲PM10冲击孔板的孔数为 38 个,孔径为φ5.1毫米；</w:t>
            </w:r>
          </w:p>
        </w:tc>
        <w:tc>
          <w:tcPr>
            <w:tcW w:w="969" w:type="dxa"/>
            <w:vAlign w:val="center"/>
          </w:tcPr>
          <w:p w14:paraId="4179804A">
            <w:pPr>
              <w:spacing w:line="300" w:lineRule="auto"/>
              <w:jc w:val="center"/>
              <w:rPr>
                <w:rFonts w:hint="eastAsia" w:ascii="宋体" w:hAnsi="宋体" w:eastAsia="宋体" w:cs="Times New Roman"/>
                <w:b/>
                <w:kern w:val="0"/>
                <w:szCs w:val="21"/>
              </w:rPr>
            </w:pPr>
          </w:p>
        </w:tc>
        <w:tc>
          <w:tcPr>
            <w:tcW w:w="885" w:type="dxa"/>
            <w:vAlign w:val="center"/>
          </w:tcPr>
          <w:p w14:paraId="65C33960">
            <w:pPr>
              <w:spacing w:line="300" w:lineRule="auto"/>
              <w:jc w:val="center"/>
              <w:rPr>
                <w:rFonts w:hint="eastAsia" w:ascii="宋体" w:hAnsi="宋体" w:eastAsia="宋体" w:cs="Times New Roman"/>
                <w:b/>
                <w:kern w:val="0"/>
                <w:szCs w:val="21"/>
              </w:rPr>
            </w:pPr>
          </w:p>
        </w:tc>
        <w:tc>
          <w:tcPr>
            <w:tcW w:w="998" w:type="dxa"/>
            <w:vAlign w:val="center"/>
          </w:tcPr>
          <w:p w14:paraId="2C3A5E02">
            <w:pPr>
              <w:spacing w:line="300" w:lineRule="auto"/>
              <w:jc w:val="center"/>
              <w:rPr>
                <w:rFonts w:hint="eastAsia" w:ascii="宋体" w:hAnsi="宋体" w:eastAsia="宋体" w:cs="Times New Roman"/>
                <w:b/>
                <w:color w:val="FF0000"/>
                <w:kern w:val="0"/>
                <w:szCs w:val="21"/>
              </w:rPr>
            </w:pPr>
          </w:p>
        </w:tc>
      </w:tr>
      <w:tr w14:paraId="5D3CFF4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7F8457DF">
            <w:pPr>
              <w:jc w:val="center"/>
              <w:rPr>
                <w:rFonts w:hint="eastAsia" w:ascii="宋体" w:hAnsi="宋体" w:eastAsia="宋体" w:cs="Times New Roman"/>
                <w:b/>
                <w:color w:val="FF0000"/>
                <w:kern w:val="0"/>
                <w:szCs w:val="21"/>
              </w:rPr>
            </w:pPr>
          </w:p>
        </w:tc>
        <w:tc>
          <w:tcPr>
            <w:tcW w:w="910" w:type="dxa"/>
            <w:vMerge w:val="continue"/>
            <w:vAlign w:val="center"/>
          </w:tcPr>
          <w:p w14:paraId="53BB6109">
            <w:pPr>
              <w:jc w:val="center"/>
            </w:pPr>
          </w:p>
        </w:tc>
        <w:tc>
          <w:tcPr>
            <w:tcW w:w="3987" w:type="dxa"/>
            <w:shd w:val="clear" w:color="auto" w:fill="auto"/>
            <w:vAlign w:val="center"/>
          </w:tcPr>
          <w:p w14:paraId="23BB7E00">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4.▲采样流量100L/min</w:t>
            </w:r>
          </w:p>
        </w:tc>
        <w:tc>
          <w:tcPr>
            <w:tcW w:w="969" w:type="dxa"/>
            <w:vAlign w:val="center"/>
          </w:tcPr>
          <w:p w14:paraId="5D1FA868">
            <w:pPr>
              <w:spacing w:line="300" w:lineRule="auto"/>
              <w:jc w:val="center"/>
              <w:rPr>
                <w:rFonts w:hint="eastAsia" w:ascii="宋体" w:hAnsi="宋体" w:eastAsia="宋体" w:cs="Times New Roman"/>
                <w:b/>
                <w:kern w:val="0"/>
                <w:szCs w:val="21"/>
              </w:rPr>
            </w:pPr>
          </w:p>
        </w:tc>
        <w:tc>
          <w:tcPr>
            <w:tcW w:w="885" w:type="dxa"/>
            <w:vAlign w:val="center"/>
          </w:tcPr>
          <w:p w14:paraId="7B60F029">
            <w:pPr>
              <w:spacing w:line="300" w:lineRule="auto"/>
              <w:jc w:val="center"/>
              <w:rPr>
                <w:rFonts w:hint="eastAsia" w:ascii="宋体" w:hAnsi="宋体" w:eastAsia="宋体" w:cs="Times New Roman"/>
                <w:b/>
                <w:kern w:val="0"/>
                <w:szCs w:val="21"/>
              </w:rPr>
            </w:pPr>
          </w:p>
        </w:tc>
        <w:tc>
          <w:tcPr>
            <w:tcW w:w="998" w:type="dxa"/>
            <w:vAlign w:val="center"/>
          </w:tcPr>
          <w:p w14:paraId="71F23500">
            <w:pPr>
              <w:spacing w:line="300" w:lineRule="auto"/>
              <w:jc w:val="center"/>
              <w:rPr>
                <w:rFonts w:hint="eastAsia" w:ascii="宋体" w:hAnsi="宋体" w:eastAsia="宋体" w:cs="Times New Roman"/>
                <w:b/>
                <w:color w:val="FF0000"/>
                <w:kern w:val="0"/>
                <w:szCs w:val="21"/>
              </w:rPr>
            </w:pPr>
          </w:p>
        </w:tc>
      </w:tr>
      <w:tr w14:paraId="4C79E44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3FE395A4">
            <w:pPr>
              <w:jc w:val="center"/>
              <w:rPr>
                <w:rFonts w:hint="eastAsia" w:ascii="宋体" w:hAnsi="宋体" w:eastAsia="宋体" w:cs="Times New Roman"/>
                <w:b/>
                <w:color w:val="FF0000"/>
                <w:kern w:val="0"/>
                <w:szCs w:val="21"/>
              </w:rPr>
            </w:pPr>
          </w:p>
        </w:tc>
        <w:tc>
          <w:tcPr>
            <w:tcW w:w="910" w:type="dxa"/>
            <w:vMerge w:val="continue"/>
            <w:vAlign w:val="center"/>
          </w:tcPr>
          <w:p w14:paraId="5E8A3BEE">
            <w:pPr>
              <w:jc w:val="center"/>
            </w:pPr>
          </w:p>
        </w:tc>
        <w:tc>
          <w:tcPr>
            <w:tcW w:w="3987" w:type="dxa"/>
            <w:shd w:val="clear" w:color="auto" w:fill="auto"/>
            <w:vAlign w:val="center"/>
          </w:tcPr>
          <w:p w14:paraId="7B706497">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5.切割粒径Da50=（10±0.5）µm</w:t>
            </w:r>
          </w:p>
        </w:tc>
        <w:tc>
          <w:tcPr>
            <w:tcW w:w="969" w:type="dxa"/>
            <w:vAlign w:val="center"/>
          </w:tcPr>
          <w:p w14:paraId="5D5CE288">
            <w:pPr>
              <w:spacing w:line="300" w:lineRule="auto"/>
              <w:jc w:val="center"/>
              <w:rPr>
                <w:rFonts w:hint="eastAsia" w:ascii="宋体" w:hAnsi="宋体" w:eastAsia="宋体" w:cs="Times New Roman"/>
                <w:b/>
                <w:kern w:val="0"/>
                <w:szCs w:val="21"/>
              </w:rPr>
            </w:pPr>
          </w:p>
        </w:tc>
        <w:tc>
          <w:tcPr>
            <w:tcW w:w="885" w:type="dxa"/>
            <w:vAlign w:val="center"/>
          </w:tcPr>
          <w:p w14:paraId="6C7EC64B">
            <w:pPr>
              <w:spacing w:line="300" w:lineRule="auto"/>
              <w:jc w:val="center"/>
              <w:rPr>
                <w:rFonts w:hint="eastAsia" w:ascii="宋体" w:hAnsi="宋体" w:eastAsia="宋体" w:cs="Times New Roman"/>
                <w:b/>
                <w:kern w:val="0"/>
                <w:szCs w:val="21"/>
              </w:rPr>
            </w:pPr>
          </w:p>
        </w:tc>
        <w:tc>
          <w:tcPr>
            <w:tcW w:w="998" w:type="dxa"/>
            <w:vAlign w:val="center"/>
          </w:tcPr>
          <w:p w14:paraId="7649DFC7">
            <w:pPr>
              <w:spacing w:line="300" w:lineRule="auto"/>
              <w:jc w:val="center"/>
              <w:rPr>
                <w:rFonts w:hint="eastAsia" w:ascii="宋体" w:hAnsi="宋体" w:eastAsia="宋体" w:cs="Times New Roman"/>
                <w:b/>
                <w:color w:val="FF0000"/>
                <w:kern w:val="0"/>
                <w:szCs w:val="21"/>
              </w:rPr>
            </w:pPr>
          </w:p>
        </w:tc>
      </w:tr>
      <w:tr w14:paraId="425655F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43D6F0CF">
            <w:pPr>
              <w:jc w:val="center"/>
              <w:rPr>
                <w:rFonts w:hint="eastAsia" w:ascii="宋体" w:hAnsi="宋体" w:eastAsia="宋体" w:cs="Times New Roman"/>
                <w:b/>
                <w:color w:val="FF0000"/>
                <w:kern w:val="0"/>
                <w:szCs w:val="21"/>
              </w:rPr>
            </w:pPr>
          </w:p>
        </w:tc>
        <w:tc>
          <w:tcPr>
            <w:tcW w:w="910" w:type="dxa"/>
            <w:vMerge w:val="continue"/>
            <w:vAlign w:val="center"/>
          </w:tcPr>
          <w:p w14:paraId="5028C850">
            <w:pPr>
              <w:jc w:val="center"/>
            </w:pPr>
          </w:p>
        </w:tc>
        <w:tc>
          <w:tcPr>
            <w:tcW w:w="3987" w:type="dxa"/>
            <w:shd w:val="clear" w:color="auto" w:fill="auto"/>
            <w:vAlign w:val="center"/>
          </w:tcPr>
          <w:p w14:paraId="34AF9659">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6.▲颗粒物捕集效率的几何偏差σg ≤（1.5±0.1）</w:t>
            </w:r>
          </w:p>
        </w:tc>
        <w:tc>
          <w:tcPr>
            <w:tcW w:w="969" w:type="dxa"/>
            <w:vAlign w:val="center"/>
          </w:tcPr>
          <w:p w14:paraId="16F0A275">
            <w:pPr>
              <w:spacing w:line="300" w:lineRule="auto"/>
              <w:jc w:val="center"/>
              <w:rPr>
                <w:rFonts w:hint="eastAsia" w:ascii="宋体" w:hAnsi="宋体" w:eastAsia="宋体" w:cs="Times New Roman"/>
                <w:b/>
                <w:kern w:val="0"/>
                <w:szCs w:val="21"/>
              </w:rPr>
            </w:pPr>
          </w:p>
        </w:tc>
        <w:tc>
          <w:tcPr>
            <w:tcW w:w="885" w:type="dxa"/>
            <w:vAlign w:val="center"/>
          </w:tcPr>
          <w:p w14:paraId="582D658C">
            <w:pPr>
              <w:spacing w:line="300" w:lineRule="auto"/>
              <w:jc w:val="center"/>
              <w:rPr>
                <w:rFonts w:hint="eastAsia" w:ascii="宋体" w:hAnsi="宋体" w:eastAsia="宋体" w:cs="Times New Roman"/>
                <w:b/>
                <w:kern w:val="0"/>
                <w:szCs w:val="21"/>
              </w:rPr>
            </w:pPr>
          </w:p>
        </w:tc>
        <w:tc>
          <w:tcPr>
            <w:tcW w:w="998" w:type="dxa"/>
            <w:vAlign w:val="center"/>
          </w:tcPr>
          <w:p w14:paraId="3330912B">
            <w:pPr>
              <w:spacing w:line="300" w:lineRule="auto"/>
              <w:jc w:val="center"/>
              <w:rPr>
                <w:rFonts w:hint="eastAsia" w:ascii="宋体" w:hAnsi="宋体" w:eastAsia="宋体" w:cs="Times New Roman"/>
                <w:b/>
                <w:color w:val="FF0000"/>
                <w:kern w:val="0"/>
                <w:szCs w:val="21"/>
              </w:rPr>
            </w:pPr>
          </w:p>
        </w:tc>
      </w:tr>
      <w:tr w14:paraId="2FCDB10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6148D600">
            <w:pPr>
              <w:jc w:val="center"/>
              <w:rPr>
                <w:rFonts w:hint="eastAsia" w:ascii="宋体" w:hAnsi="宋体" w:eastAsia="宋体" w:cs="Times New Roman"/>
                <w:b/>
                <w:color w:val="FF0000"/>
                <w:kern w:val="0"/>
                <w:szCs w:val="21"/>
              </w:rPr>
            </w:pPr>
          </w:p>
        </w:tc>
        <w:tc>
          <w:tcPr>
            <w:tcW w:w="910" w:type="dxa"/>
            <w:vMerge w:val="continue"/>
            <w:vAlign w:val="center"/>
          </w:tcPr>
          <w:p w14:paraId="7E53D19D">
            <w:pPr>
              <w:jc w:val="center"/>
            </w:pPr>
          </w:p>
        </w:tc>
        <w:tc>
          <w:tcPr>
            <w:tcW w:w="3987" w:type="dxa"/>
            <w:shd w:val="clear" w:color="auto" w:fill="auto"/>
            <w:vAlign w:val="center"/>
          </w:tcPr>
          <w:p w14:paraId="0492EC2B">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7.入口流速0.3m/s</w:t>
            </w:r>
          </w:p>
        </w:tc>
        <w:tc>
          <w:tcPr>
            <w:tcW w:w="969" w:type="dxa"/>
            <w:vAlign w:val="center"/>
          </w:tcPr>
          <w:p w14:paraId="50C9746C">
            <w:pPr>
              <w:spacing w:line="300" w:lineRule="auto"/>
              <w:jc w:val="center"/>
              <w:rPr>
                <w:rFonts w:hint="eastAsia" w:ascii="宋体" w:hAnsi="宋体" w:eastAsia="宋体" w:cs="Times New Roman"/>
                <w:b/>
                <w:kern w:val="0"/>
                <w:szCs w:val="21"/>
              </w:rPr>
            </w:pPr>
          </w:p>
        </w:tc>
        <w:tc>
          <w:tcPr>
            <w:tcW w:w="885" w:type="dxa"/>
            <w:vAlign w:val="center"/>
          </w:tcPr>
          <w:p w14:paraId="1364FFAB">
            <w:pPr>
              <w:spacing w:line="300" w:lineRule="auto"/>
              <w:jc w:val="center"/>
              <w:rPr>
                <w:rFonts w:hint="eastAsia" w:ascii="宋体" w:hAnsi="宋体" w:eastAsia="宋体" w:cs="Times New Roman"/>
                <w:b/>
                <w:kern w:val="0"/>
                <w:szCs w:val="21"/>
              </w:rPr>
            </w:pPr>
          </w:p>
        </w:tc>
        <w:tc>
          <w:tcPr>
            <w:tcW w:w="998" w:type="dxa"/>
            <w:vAlign w:val="center"/>
          </w:tcPr>
          <w:p w14:paraId="4D994521">
            <w:pPr>
              <w:spacing w:line="300" w:lineRule="auto"/>
              <w:jc w:val="center"/>
              <w:rPr>
                <w:rFonts w:hint="eastAsia" w:ascii="宋体" w:hAnsi="宋体" w:eastAsia="宋体" w:cs="Times New Roman"/>
                <w:b/>
                <w:color w:val="FF0000"/>
                <w:kern w:val="0"/>
                <w:szCs w:val="21"/>
              </w:rPr>
            </w:pPr>
          </w:p>
        </w:tc>
      </w:tr>
      <w:tr w14:paraId="26501EA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04F622A9">
            <w:pPr>
              <w:jc w:val="center"/>
              <w:rPr>
                <w:rFonts w:hint="eastAsia" w:ascii="宋体" w:hAnsi="宋体" w:eastAsia="宋体" w:cs="Times New Roman"/>
                <w:b/>
                <w:color w:val="FF0000"/>
                <w:kern w:val="0"/>
                <w:szCs w:val="21"/>
              </w:rPr>
            </w:pPr>
          </w:p>
        </w:tc>
        <w:tc>
          <w:tcPr>
            <w:tcW w:w="910" w:type="dxa"/>
            <w:vMerge w:val="continue"/>
            <w:vAlign w:val="center"/>
          </w:tcPr>
          <w:p w14:paraId="5236B50E">
            <w:pPr>
              <w:jc w:val="center"/>
            </w:pPr>
          </w:p>
        </w:tc>
        <w:tc>
          <w:tcPr>
            <w:tcW w:w="3987" w:type="dxa"/>
            <w:shd w:val="clear" w:color="auto" w:fill="auto"/>
            <w:vAlign w:val="center"/>
          </w:tcPr>
          <w:p w14:paraId="6E09058D">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8.滤膜尺寸：Ф90mm，有效滤膜尺寸：Ф80mm</w:t>
            </w:r>
          </w:p>
        </w:tc>
        <w:tc>
          <w:tcPr>
            <w:tcW w:w="969" w:type="dxa"/>
            <w:vAlign w:val="center"/>
          </w:tcPr>
          <w:p w14:paraId="106F5D40">
            <w:pPr>
              <w:spacing w:line="300" w:lineRule="auto"/>
              <w:jc w:val="center"/>
              <w:rPr>
                <w:rFonts w:hint="eastAsia" w:ascii="宋体" w:hAnsi="宋体" w:eastAsia="宋体" w:cs="Times New Roman"/>
                <w:b/>
                <w:kern w:val="0"/>
                <w:szCs w:val="21"/>
              </w:rPr>
            </w:pPr>
          </w:p>
        </w:tc>
        <w:tc>
          <w:tcPr>
            <w:tcW w:w="885" w:type="dxa"/>
            <w:vAlign w:val="center"/>
          </w:tcPr>
          <w:p w14:paraId="3AFC0BDD">
            <w:pPr>
              <w:spacing w:line="300" w:lineRule="auto"/>
              <w:jc w:val="center"/>
              <w:rPr>
                <w:rFonts w:hint="eastAsia" w:ascii="宋体" w:hAnsi="宋体" w:eastAsia="宋体" w:cs="Times New Roman"/>
                <w:b/>
                <w:kern w:val="0"/>
                <w:szCs w:val="21"/>
              </w:rPr>
            </w:pPr>
          </w:p>
        </w:tc>
        <w:tc>
          <w:tcPr>
            <w:tcW w:w="998" w:type="dxa"/>
            <w:vAlign w:val="center"/>
          </w:tcPr>
          <w:p w14:paraId="62E28F40">
            <w:pPr>
              <w:spacing w:line="300" w:lineRule="auto"/>
              <w:jc w:val="center"/>
              <w:rPr>
                <w:rFonts w:hint="eastAsia" w:ascii="宋体" w:hAnsi="宋体" w:eastAsia="宋体" w:cs="Times New Roman"/>
                <w:b/>
                <w:color w:val="FF0000"/>
                <w:kern w:val="0"/>
                <w:szCs w:val="21"/>
              </w:rPr>
            </w:pPr>
          </w:p>
        </w:tc>
      </w:tr>
      <w:tr w14:paraId="4520592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511999CC">
            <w:pPr>
              <w:jc w:val="center"/>
              <w:rPr>
                <w:rFonts w:hint="eastAsia" w:ascii="宋体" w:hAnsi="宋体" w:eastAsia="宋体" w:cs="Times New Roman"/>
                <w:b/>
                <w:color w:val="FF0000"/>
                <w:kern w:val="0"/>
                <w:szCs w:val="21"/>
              </w:rPr>
            </w:pPr>
          </w:p>
        </w:tc>
        <w:tc>
          <w:tcPr>
            <w:tcW w:w="910" w:type="dxa"/>
            <w:vMerge w:val="continue"/>
            <w:vAlign w:val="center"/>
          </w:tcPr>
          <w:p w14:paraId="19F00A4F">
            <w:pPr>
              <w:jc w:val="center"/>
            </w:pPr>
          </w:p>
        </w:tc>
        <w:tc>
          <w:tcPr>
            <w:tcW w:w="3987" w:type="dxa"/>
            <w:shd w:val="clear" w:color="auto" w:fill="auto"/>
            <w:vAlign w:val="center"/>
          </w:tcPr>
          <w:p w14:paraId="3BBC802C">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9.▲接头尺寸M18×2mm</w:t>
            </w:r>
          </w:p>
        </w:tc>
        <w:tc>
          <w:tcPr>
            <w:tcW w:w="969" w:type="dxa"/>
            <w:vAlign w:val="center"/>
          </w:tcPr>
          <w:p w14:paraId="0CD5103F">
            <w:pPr>
              <w:spacing w:line="300" w:lineRule="auto"/>
              <w:jc w:val="center"/>
              <w:rPr>
                <w:rFonts w:hint="eastAsia" w:ascii="宋体" w:hAnsi="宋体" w:eastAsia="宋体" w:cs="Times New Roman"/>
                <w:b/>
                <w:kern w:val="0"/>
                <w:szCs w:val="21"/>
              </w:rPr>
            </w:pPr>
          </w:p>
        </w:tc>
        <w:tc>
          <w:tcPr>
            <w:tcW w:w="885" w:type="dxa"/>
            <w:vAlign w:val="center"/>
          </w:tcPr>
          <w:p w14:paraId="483E21D4">
            <w:pPr>
              <w:spacing w:line="300" w:lineRule="auto"/>
              <w:jc w:val="center"/>
              <w:rPr>
                <w:rFonts w:hint="eastAsia" w:ascii="宋体" w:hAnsi="宋体" w:eastAsia="宋体" w:cs="Times New Roman"/>
                <w:b/>
                <w:kern w:val="0"/>
                <w:szCs w:val="21"/>
              </w:rPr>
            </w:pPr>
          </w:p>
        </w:tc>
        <w:tc>
          <w:tcPr>
            <w:tcW w:w="998" w:type="dxa"/>
            <w:vAlign w:val="center"/>
          </w:tcPr>
          <w:p w14:paraId="19E1BC47">
            <w:pPr>
              <w:spacing w:line="300" w:lineRule="auto"/>
              <w:jc w:val="center"/>
              <w:rPr>
                <w:rFonts w:hint="eastAsia" w:ascii="宋体" w:hAnsi="宋体" w:eastAsia="宋体" w:cs="Times New Roman"/>
                <w:b/>
                <w:color w:val="FF0000"/>
                <w:kern w:val="0"/>
                <w:szCs w:val="21"/>
              </w:rPr>
            </w:pPr>
          </w:p>
        </w:tc>
      </w:tr>
      <w:tr w14:paraId="2030555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584D832D">
            <w:pPr>
              <w:jc w:val="center"/>
              <w:rPr>
                <w:rFonts w:hint="eastAsia" w:ascii="宋体" w:hAnsi="宋体" w:eastAsia="宋体" w:cs="Times New Roman"/>
                <w:b/>
                <w:color w:val="FF0000"/>
                <w:kern w:val="0"/>
                <w:szCs w:val="21"/>
              </w:rPr>
            </w:pPr>
          </w:p>
        </w:tc>
        <w:tc>
          <w:tcPr>
            <w:tcW w:w="910" w:type="dxa"/>
            <w:vMerge w:val="continue"/>
            <w:vAlign w:val="center"/>
          </w:tcPr>
          <w:p w14:paraId="4AF89788">
            <w:pPr>
              <w:jc w:val="center"/>
            </w:pPr>
          </w:p>
        </w:tc>
        <w:tc>
          <w:tcPr>
            <w:tcW w:w="3987" w:type="dxa"/>
            <w:shd w:val="clear" w:color="auto" w:fill="auto"/>
            <w:vAlign w:val="center"/>
          </w:tcPr>
          <w:p w14:paraId="1BFBE002">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b/>
                <w:bCs/>
                <w:i w:val="0"/>
                <w:iCs w:val="0"/>
                <w:color w:val="000000"/>
                <w:kern w:val="0"/>
                <w:sz w:val="24"/>
                <w:szCs w:val="24"/>
                <w:u w:val="none"/>
                <w:lang w:val="en-US" w:eastAsia="zh-CN" w:bidi="ar"/>
              </w:rPr>
              <w:t>10.需配置仪器的性能。</w:t>
            </w:r>
          </w:p>
        </w:tc>
        <w:tc>
          <w:tcPr>
            <w:tcW w:w="969" w:type="dxa"/>
            <w:vAlign w:val="center"/>
          </w:tcPr>
          <w:p w14:paraId="7C1025FB">
            <w:pPr>
              <w:spacing w:line="300" w:lineRule="auto"/>
              <w:jc w:val="center"/>
              <w:rPr>
                <w:rFonts w:hint="eastAsia" w:ascii="宋体" w:hAnsi="宋体" w:eastAsia="宋体" w:cs="Times New Roman"/>
                <w:b/>
                <w:kern w:val="0"/>
                <w:szCs w:val="21"/>
              </w:rPr>
            </w:pPr>
          </w:p>
        </w:tc>
        <w:tc>
          <w:tcPr>
            <w:tcW w:w="885" w:type="dxa"/>
            <w:vAlign w:val="center"/>
          </w:tcPr>
          <w:p w14:paraId="06C20BD7">
            <w:pPr>
              <w:spacing w:line="300" w:lineRule="auto"/>
              <w:jc w:val="center"/>
              <w:rPr>
                <w:rFonts w:hint="eastAsia" w:ascii="宋体" w:hAnsi="宋体" w:eastAsia="宋体" w:cs="Times New Roman"/>
                <w:b/>
                <w:kern w:val="0"/>
                <w:szCs w:val="21"/>
              </w:rPr>
            </w:pPr>
          </w:p>
        </w:tc>
        <w:tc>
          <w:tcPr>
            <w:tcW w:w="998" w:type="dxa"/>
            <w:vAlign w:val="center"/>
          </w:tcPr>
          <w:p w14:paraId="6D438F59">
            <w:pPr>
              <w:spacing w:line="300" w:lineRule="auto"/>
              <w:jc w:val="center"/>
              <w:rPr>
                <w:rFonts w:hint="eastAsia" w:ascii="宋体" w:hAnsi="宋体" w:eastAsia="宋体" w:cs="Times New Roman"/>
                <w:b/>
                <w:color w:val="FF0000"/>
                <w:kern w:val="0"/>
                <w:szCs w:val="21"/>
              </w:rPr>
            </w:pPr>
          </w:p>
        </w:tc>
      </w:tr>
      <w:tr w14:paraId="7B48C48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1D2F5776">
            <w:pPr>
              <w:jc w:val="center"/>
              <w:rPr>
                <w:rFonts w:hint="eastAsia" w:ascii="宋体" w:hAnsi="宋体" w:eastAsia="宋体" w:cs="Times New Roman"/>
                <w:b/>
                <w:color w:val="FF0000"/>
                <w:kern w:val="0"/>
                <w:szCs w:val="21"/>
              </w:rPr>
            </w:pPr>
          </w:p>
        </w:tc>
        <w:tc>
          <w:tcPr>
            <w:tcW w:w="910" w:type="dxa"/>
            <w:vMerge w:val="continue"/>
            <w:vAlign w:val="center"/>
          </w:tcPr>
          <w:p w14:paraId="145230BE">
            <w:pPr>
              <w:jc w:val="center"/>
            </w:pPr>
          </w:p>
        </w:tc>
        <w:tc>
          <w:tcPr>
            <w:tcW w:w="3987" w:type="dxa"/>
            <w:shd w:val="clear" w:color="auto" w:fill="auto"/>
            <w:vAlign w:val="center"/>
          </w:tcPr>
          <w:p w14:paraId="1688B55E">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10.1▲</w:t>
            </w:r>
            <w:r>
              <w:rPr>
                <w:rStyle w:val="41"/>
                <w:lang w:val="en-US" w:eastAsia="zh-CN" w:bidi="ar"/>
              </w:rPr>
              <w:t>采样流量范围80～130L/min，准确度：≤±2.5%</w:t>
            </w:r>
          </w:p>
        </w:tc>
        <w:tc>
          <w:tcPr>
            <w:tcW w:w="969" w:type="dxa"/>
            <w:vAlign w:val="center"/>
          </w:tcPr>
          <w:p w14:paraId="668E6D90">
            <w:pPr>
              <w:spacing w:line="300" w:lineRule="auto"/>
              <w:jc w:val="center"/>
              <w:rPr>
                <w:rFonts w:hint="eastAsia" w:ascii="宋体" w:hAnsi="宋体" w:eastAsia="宋体" w:cs="Times New Roman"/>
                <w:b/>
                <w:kern w:val="0"/>
                <w:szCs w:val="21"/>
              </w:rPr>
            </w:pPr>
          </w:p>
        </w:tc>
        <w:tc>
          <w:tcPr>
            <w:tcW w:w="885" w:type="dxa"/>
            <w:vAlign w:val="center"/>
          </w:tcPr>
          <w:p w14:paraId="1052DC69">
            <w:pPr>
              <w:spacing w:line="300" w:lineRule="auto"/>
              <w:jc w:val="center"/>
              <w:rPr>
                <w:rFonts w:hint="eastAsia" w:ascii="宋体" w:hAnsi="宋体" w:eastAsia="宋体" w:cs="Times New Roman"/>
                <w:b/>
                <w:kern w:val="0"/>
                <w:szCs w:val="21"/>
              </w:rPr>
            </w:pPr>
          </w:p>
        </w:tc>
        <w:tc>
          <w:tcPr>
            <w:tcW w:w="998" w:type="dxa"/>
            <w:vAlign w:val="center"/>
          </w:tcPr>
          <w:p w14:paraId="47BE0A64">
            <w:pPr>
              <w:spacing w:line="300" w:lineRule="auto"/>
              <w:jc w:val="center"/>
              <w:rPr>
                <w:rFonts w:hint="eastAsia" w:ascii="宋体" w:hAnsi="宋体" w:eastAsia="宋体" w:cs="Times New Roman"/>
                <w:b/>
                <w:color w:val="FF0000"/>
                <w:kern w:val="0"/>
                <w:szCs w:val="21"/>
              </w:rPr>
            </w:pPr>
          </w:p>
        </w:tc>
      </w:tr>
      <w:tr w14:paraId="67EBE34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5C871828">
            <w:pPr>
              <w:jc w:val="center"/>
              <w:rPr>
                <w:rFonts w:hint="eastAsia" w:ascii="宋体" w:hAnsi="宋体" w:eastAsia="宋体" w:cs="Times New Roman"/>
                <w:b/>
                <w:color w:val="FF0000"/>
                <w:kern w:val="0"/>
                <w:szCs w:val="21"/>
              </w:rPr>
            </w:pPr>
          </w:p>
        </w:tc>
        <w:tc>
          <w:tcPr>
            <w:tcW w:w="910" w:type="dxa"/>
            <w:vMerge w:val="continue"/>
            <w:vAlign w:val="center"/>
          </w:tcPr>
          <w:p w14:paraId="1FE806D7">
            <w:pPr>
              <w:jc w:val="center"/>
            </w:pPr>
          </w:p>
        </w:tc>
        <w:tc>
          <w:tcPr>
            <w:tcW w:w="3987" w:type="dxa"/>
            <w:shd w:val="clear" w:color="auto" w:fill="auto"/>
            <w:vAlign w:val="center"/>
          </w:tcPr>
          <w:p w14:paraId="592DE231">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10.2滤膜有效直径≥φ90mm±1mm。</w:t>
            </w:r>
          </w:p>
        </w:tc>
        <w:tc>
          <w:tcPr>
            <w:tcW w:w="969" w:type="dxa"/>
            <w:vAlign w:val="center"/>
          </w:tcPr>
          <w:p w14:paraId="7D5F188C">
            <w:pPr>
              <w:spacing w:line="300" w:lineRule="auto"/>
              <w:jc w:val="center"/>
              <w:rPr>
                <w:rFonts w:hint="eastAsia" w:ascii="宋体" w:hAnsi="宋体" w:eastAsia="宋体" w:cs="Times New Roman"/>
                <w:b/>
                <w:kern w:val="0"/>
                <w:szCs w:val="21"/>
              </w:rPr>
            </w:pPr>
          </w:p>
        </w:tc>
        <w:tc>
          <w:tcPr>
            <w:tcW w:w="885" w:type="dxa"/>
            <w:vAlign w:val="center"/>
          </w:tcPr>
          <w:p w14:paraId="0FFA2318">
            <w:pPr>
              <w:spacing w:line="300" w:lineRule="auto"/>
              <w:jc w:val="center"/>
              <w:rPr>
                <w:rFonts w:hint="eastAsia" w:ascii="宋体" w:hAnsi="宋体" w:eastAsia="宋体" w:cs="Times New Roman"/>
                <w:b/>
                <w:kern w:val="0"/>
                <w:szCs w:val="21"/>
              </w:rPr>
            </w:pPr>
          </w:p>
        </w:tc>
        <w:tc>
          <w:tcPr>
            <w:tcW w:w="998" w:type="dxa"/>
            <w:vAlign w:val="center"/>
          </w:tcPr>
          <w:p w14:paraId="7919CDC7">
            <w:pPr>
              <w:spacing w:line="300" w:lineRule="auto"/>
              <w:jc w:val="center"/>
              <w:rPr>
                <w:rFonts w:hint="eastAsia" w:ascii="宋体" w:hAnsi="宋体" w:eastAsia="宋体" w:cs="Times New Roman"/>
                <w:b/>
                <w:color w:val="FF0000"/>
                <w:kern w:val="0"/>
                <w:szCs w:val="21"/>
              </w:rPr>
            </w:pPr>
          </w:p>
        </w:tc>
      </w:tr>
      <w:tr w14:paraId="33BB92E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463132EF">
            <w:pPr>
              <w:jc w:val="center"/>
              <w:rPr>
                <w:rFonts w:hint="eastAsia" w:ascii="宋体" w:hAnsi="宋体" w:eastAsia="宋体" w:cs="Times New Roman"/>
                <w:b/>
                <w:color w:val="FF0000"/>
                <w:kern w:val="0"/>
                <w:szCs w:val="21"/>
              </w:rPr>
            </w:pPr>
          </w:p>
        </w:tc>
        <w:tc>
          <w:tcPr>
            <w:tcW w:w="910" w:type="dxa"/>
            <w:vMerge w:val="continue"/>
            <w:vAlign w:val="center"/>
          </w:tcPr>
          <w:p w14:paraId="353ED80D">
            <w:pPr>
              <w:jc w:val="center"/>
            </w:pPr>
          </w:p>
        </w:tc>
        <w:tc>
          <w:tcPr>
            <w:tcW w:w="3987" w:type="dxa"/>
            <w:shd w:val="clear" w:color="auto" w:fill="auto"/>
            <w:vAlign w:val="center"/>
          </w:tcPr>
          <w:p w14:paraId="243EA1E6">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10.3气体流量范围0.1~1L/min，准确度：≤±2.5%。</w:t>
            </w:r>
          </w:p>
        </w:tc>
        <w:tc>
          <w:tcPr>
            <w:tcW w:w="969" w:type="dxa"/>
            <w:vAlign w:val="center"/>
          </w:tcPr>
          <w:p w14:paraId="3580E230">
            <w:pPr>
              <w:spacing w:line="300" w:lineRule="auto"/>
              <w:jc w:val="center"/>
              <w:rPr>
                <w:rFonts w:hint="eastAsia" w:ascii="宋体" w:hAnsi="宋体" w:eastAsia="宋体" w:cs="Times New Roman"/>
                <w:b/>
                <w:kern w:val="0"/>
                <w:szCs w:val="21"/>
              </w:rPr>
            </w:pPr>
          </w:p>
        </w:tc>
        <w:tc>
          <w:tcPr>
            <w:tcW w:w="885" w:type="dxa"/>
            <w:vAlign w:val="center"/>
          </w:tcPr>
          <w:p w14:paraId="5F652BD2">
            <w:pPr>
              <w:spacing w:line="300" w:lineRule="auto"/>
              <w:jc w:val="center"/>
              <w:rPr>
                <w:rFonts w:hint="eastAsia" w:ascii="宋体" w:hAnsi="宋体" w:eastAsia="宋体" w:cs="Times New Roman"/>
                <w:b/>
                <w:kern w:val="0"/>
                <w:szCs w:val="21"/>
              </w:rPr>
            </w:pPr>
          </w:p>
        </w:tc>
        <w:tc>
          <w:tcPr>
            <w:tcW w:w="998" w:type="dxa"/>
            <w:vAlign w:val="center"/>
          </w:tcPr>
          <w:p w14:paraId="54CFA3E7">
            <w:pPr>
              <w:spacing w:line="300" w:lineRule="auto"/>
              <w:jc w:val="center"/>
              <w:rPr>
                <w:rFonts w:hint="eastAsia" w:ascii="宋体" w:hAnsi="宋体" w:eastAsia="宋体" w:cs="Times New Roman"/>
                <w:b/>
                <w:color w:val="FF0000"/>
                <w:kern w:val="0"/>
                <w:szCs w:val="21"/>
              </w:rPr>
            </w:pPr>
          </w:p>
        </w:tc>
      </w:tr>
      <w:tr w14:paraId="0605909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1203610B">
            <w:pPr>
              <w:jc w:val="center"/>
              <w:rPr>
                <w:rFonts w:hint="eastAsia" w:ascii="宋体" w:hAnsi="宋体" w:eastAsia="宋体" w:cs="Times New Roman"/>
                <w:b/>
                <w:color w:val="FF0000"/>
                <w:kern w:val="0"/>
                <w:szCs w:val="21"/>
              </w:rPr>
            </w:pPr>
          </w:p>
        </w:tc>
        <w:tc>
          <w:tcPr>
            <w:tcW w:w="910" w:type="dxa"/>
            <w:vMerge w:val="continue"/>
            <w:vAlign w:val="center"/>
          </w:tcPr>
          <w:p w14:paraId="6FE87228">
            <w:pPr>
              <w:jc w:val="center"/>
            </w:pPr>
          </w:p>
        </w:tc>
        <w:tc>
          <w:tcPr>
            <w:tcW w:w="3987" w:type="dxa"/>
            <w:shd w:val="clear" w:color="auto" w:fill="auto"/>
            <w:vAlign w:val="center"/>
          </w:tcPr>
          <w:p w14:paraId="64B9134E">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10.4气体稳定性100L/min时，当电压在198V～242V波动，阻力在3～8kPa，流量小于3%。</w:t>
            </w:r>
          </w:p>
        </w:tc>
        <w:tc>
          <w:tcPr>
            <w:tcW w:w="969" w:type="dxa"/>
            <w:vAlign w:val="center"/>
          </w:tcPr>
          <w:p w14:paraId="6D0D156D">
            <w:pPr>
              <w:spacing w:line="300" w:lineRule="auto"/>
              <w:jc w:val="center"/>
              <w:rPr>
                <w:rFonts w:hint="eastAsia" w:ascii="宋体" w:hAnsi="宋体" w:eastAsia="宋体" w:cs="Times New Roman"/>
                <w:b/>
                <w:kern w:val="0"/>
                <w:szCs w:val="21"/>
              </w:rPr>
            </w:pPr>
          </w:p>
        </w:tc>
        <w:tc>
          <w:tcPr>
            <w:tcW w:w="885" w:type="dxa"/>
            <w:vAlign w:val="center"/>
          </w:tcPr>
          <w:p w14:paraId="1C8A3BDE">
            <w:pPr>
              <w:spacing w:line="300" w:lineRule="auto"/>
              <w:jc w:val="center"/>
              <w:rPr>
                <w:rFonts w:hint="eastAsia" w:ascii="宋体" w:hAnsi="宋体" w:eastAsia="宋体" w:cs="Times New Roman"/>
                <w:b/>
                <w:kern w:val="0"/>
                <w:szCs w:val="21"/>
              </w:rPr>
            </w:pPr>
          </w:p>
        </w:tc>
        <w:tc>
          <w:tcPr>
            <w:tcW w:w="998" w:type="dxa"/>
            <w:vAlign w:val="center"/>
          </w:tcPr>
          <w:p w14:paraId="5496F114">
            <w:pPr>
              <w:spacing w:line="300" w:lineRule="auto"/>
              <w:jc w:val="center"/>
              <w:rPr>
                <w:rFonts w:hint="eastAsia" w:ascii="宋体" w:hAnsi="宋体" w:eastAsia="宋体" w:cs="Times New Roman"/>
                <w:b/>
                <w:color w:val="FF0000"/>
                <w:kern w:val="0"/>
                <w:szCs w:val="21"/>
              </w:rPr>
            </w:pPr>
          </w:p>
        </w:tc>
      </w:tr>
      <w:tr w14:paraId="66B64A0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40A3D79B">
            <w:pPr>
              <w:jc w:val="center"/>
              <w:rPr>
                <w:rFonts w:hint="eastAsia" w:ascii="宋体" w:hAnsi="宋体" w:eastAsia="宋体" w:cs="Times New Roman"/>
                <w:b/>
                <w:color w:val="FF0000"/>
                <w:kern w:val="0"/>
                <w:szCs w:val="21"/>
              </w:rPr>
            </w:pPr>
          </w:p>
        </w:tc>
        <w:tc>
          <w:tcPr>
            <w:tcW w:w="910" w:type="dxa"/>
            <w:vMerge w:val="continue"/>
            <w:vAlign w:val="center"/>
          </w:tcPr>
          <w:p w14:paraId="2E7BBF86">
            <w:pPr>
              <w:jc w:val="center"/>
            </w:pPr>
          </w:p>
        </w:tc>
        <w:tc>
          <w:tcPr>
            <w:tcW w:w="3987" w:type="dxa"/>
            <w:shd w:val="clear" w:color="auto" w:fill="auto"/>
            <w:vAlign w:val="center"/>
          </w:tcPr>
          <w:p w14:paraId="10F0D776">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10.5预置采时≤99小时，准确度：≤0.1%。</w:t>
            </w:r>
          </w:p>
        </w:tc>
        <w:tc>
          <w:tcPr>
            <w:tcW w:w="969" w:type="dxa"/>
            <w:vAlign w:val="center"/>
          </w:tcPr>
          <w:p w14:paraId="168DA176">
            <w:pPr>
              <w:spacing w:line="300" w:lineRule="auto"/>
              <w:jc w:val="center"/>
              <w:rPr>
                <w:rFonts w:hint="eastAsia" w:ascii="宋体" w:hAnsi="宋体" w:eastAsia="宋体" w:cs="Times New Roman"/>
                <w:b/>
                <w:kern w:val="0"/>
                <w:szCs w:val="21"/>
              </w:rPr>
            </w:pPr>
          </w:p>
        </w:tc>
        <w:tc>
          <w:tcPr>
            <w:tcW w:w="885" w:type="dxa"/>
            <w:vAlign w:val="center"/>
          </w:tcPr>
          <w:p w14:paraId="6FF9B0B1">
            <w:pPr>
              <w:spacing w:line="300" w:lineRule="auto"/>
              <w:jc w:val="center"/>
              <w:rPr>
                <w:rFonts w:hint="eastAsia" w:ascii="宋体" w:hAnsi="宋体" w:eastAsia="宋体" w:cs="Times New Roman"/>
                <w:b/>
                <w:kern w:val="0"/>
                <w:szCs w:val="21"/>
              </w:rPr>
            </w:pPr>
          </w:p>
        </w:tc>
        <w:tc>
          <w:tcPr>
            <w:tcW w:w="998" w:type="dxa"/>
            <w:vAlign w:val="center"/>
          </w:tcPr>
          <w:p w14:paraId="63E04807">
            <w:pPr>
              <w:spacing w:line="300" w:lineRule="auto"/>
              <w:jc w:val="center"/>
              <w:rPr>
                <w:rFonts w:hint="eastAsia" w:ascii="宋体" w:hAnsi="宋体" w:eastAsia="宋体" w:cs="Times New Roman"/>
                <w:b/>
                <w:color w:val="FF0000"/>
                <w:kern w:val="0"/>
                <w:szCs w:val="21"/>
              </w:rPr>
            </w:pPr>
          </w:p>
        </w:tc>
      </w:tr>
      <w:tr w14:paraId="74B2CAB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39DB225E">
            <w:pPr>
              <w:jc w:val="center"/>
              <w:rPr>
                <w:rFonts w:hint="eastAsia" w:ascii="宋体" w:hAnsi="宋体" w:eastAsia="宋体" w:cs="Times New Roman"/>
                <w:b/>
                <w:color w:val="FF0000"/>
                <w:kern w:val="0"/>
                <w:szCs w:val="21"/>
              </w:rPr>
            </w:pPr>
          </w:p>
        </w:tc>
        <w:tc>
          <w:tcPr>
            <w:tcW w:w="910" w:type="dxa"/>
            <w:vMerge w:val="continue"/>
            <w:vAlign w:val="center"/>
          </w:tcPr>
          <w:p w14:paraId="1F3A4DDC">
            <w:pPr>
              <w:jc w:val="center"/>
            </w:pPr>
          </w:p>
        </w:tc>
        <w:tc>
          <w:tcPr>
            <w:tcW w:w="3987" w:type="dxa"/>
            <w:shd w:val="clear" w:color="auto" w:fill="auto"/>
            <w:vAlign w:val="center"/>
          </w:tcPr>
          <w:p w14:paraId="00D66F0D">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10.6▲采样定时：0-99小时可调。</w:t>
            </w:r>
          </w:p>
        </w:tc>
        <w:tc>
          <w:tcPr>
            <w:tcW w:w="969" w:type="dxa"/>
            <w:vAlign w:val="center"/>
          </w:tcPr>
          <w:p w14:paraId="27A0BF27">
            <w:pPr>
              <w:spacing w:line="300" w:lineRule="auto"/>
              <w:jc w:val="center"/>
              <w:rPr>
                <w:rFonts w:hint="eastAsia" w:ascii="宋体" w:hAnsi="宋体" w:eastAsia="宋体" w:cs="Times New Roman"/>
                <w:b/>
                <w:kern w:val="0"/>
                <w:szCs w:val="21"/>
              </w:rPr>
            </w:pPr>
          </w:p>
        </w:tc>
        <w:tc>
          <w:tcPr>
            <w:tcW w:w="885" w:type="dxa"/>
            <w:vAlign w:val="center"/>
          </w:tcPr>
          <w:p w14:paraId="762422FE">
            <w:pPr>
              <w:spacing w:line="300" w:lineRule="auto"/>
              <w:jc w:val="center"/>
              <w:rPr>
                <w:rFonts w:hint="eastAsia" w:ascii="宋体" w:hAnsi="宋体" w:eastAsia="宋体" w:cs="Times New Roman"/>
                <w:b/>
                <w:kern w:val="0"/>
                <w:szCs w:val="21"/>
              </w:rPr>
            </w:pPr>
          </w:p>
        </w:tc>
        <w:tc>
          <w:tcPr>
            <w:tcW w:w="998" w:type="dxa"/>
            <w:vAlign w:val="center"/>
          </w:tcPr>
          <w:p w14:paraId="34096706">
            <w:pPr>
              <w:spacing w:line="300" w:lineRule="auto"/>
              <w:jc w:val="center"/>
              <w:rPr>
                <w:rFonts w:hint="eastAsia" w:ascii="宋体" w:hAnsi="宋体" w:eastAsia="宋体" w:cs="Times New Roman"/>
                <w:b/>
                <w:color w:val="FF0000"/>
                <w:kern w:val="0"/>
                <w:szCs w:val="21"/>
              </w:rPr>
            </w:pPr>
          </w:p>
        </w:tc>
      </w:tr>
      <w:tr w14:paraId="29D2D2D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48E6BA2B">
            <w:pPr>
              <w:jc w:val="center"/>
              <w:rPr>
                <w:rFonts w:hint="eastAsia" w:ascii="宋体" w:hAnsi="宋体" w:eastAsia="宋体" w:cs="Times New Roman"/>
                <w:b/>
                <w:color w:val="FF0000"/>
                <w:kern w:val="0"/>
                <w:szCs w:val="21"/>
              </w:rPr>
            </w:pPr>
          </w:p>
        </w:tc>
        <w:tc>
          <w:tcPr>
            <w:tcW w:w="910" w:type="dxa"/>
            <w:vMerge w:val="continue"/>
            <w:vAlign w:val="center"/>
          </w:tcPr>
          <w:p w14:paraId="52C4FCCD">
            <w:pPr>
              <w:jc w:val="center"/>
            </w:pPr>
          </w:p>
        </w:tc>
        <w:tc>
          <w:tcPr>
            <w:tcW w:w="3987" w:type="dxa"/>
            <w:shd w:val="clear" w:color="auto" w:fill="auto"/>
            <w:vAlign w:val="center"/>
          </w:tcPr>
          <w:p w14:paraId="3A0D62AE">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10.7仪器可预置开机时间、采样时间、间隔时间、采样流量。</w:t>
            </w:r>
          </w:p>
        </w:tc>
        <w:tc>
          <w:tcPr>
            <w:tcW w:w="969" w:type="dxa"/>
            <w:vAlign w:val="center"/>
          </w:tcPr>
          <w:p w14:paraId="2836F82C">
            <w:pPr>
              <w:spacing w:line="300" w:lineRule="auto"/>
              <w:jc w:val="center"/>
              <w:rPr>
                <w:rFonts w:hint="eastAsia" w:ascii="宋体" w:hAnsi="宋体" w:eastAsia="宋体" w:cs="Times New Roman"/>
                <w:b/>
                <w:kern w:val="0"/>
                <w:szCs w:val="21"/>
              </w:rPr>
            </w:pPr>
          </w:p>
        </w:tc>
        <w:tc>
          <w:tcPr>
            <w:tcW w:w="885" w:type="dxa"/>
            <w:vAlign w:val="center"/>
          </w:tcPr>
          <w:p w14:paraId="50A4718E">
            <w:pPr>
              <w:spacing w:line="300" w:lineRule="auto"/>
              <w:jc w:val="center"/>
              <w:rPr>
                <w:rFonts w:hint="eastAsia" w:ascii="宋体" w:hAnsi="宋体" w:eastAsia="宋体" w:cs="Times New Roman"/>
                <w:b/>
                <w:kern w:val="0"/>
                <w:szCs w:val="21"/>
              </w:rPr>
            </w:pPr>
          </w:p>
        </w:tc>
        <w:tc>
          <w:tcPr>
            <w:tcW w:w="998" w:type="dxa"/>
            <w:vAlign w:val="center"/>
          </w:tcPr>
          <w:p w14:paraId="11A1BE08">
            <w:pPr>
              <w:spacing w:line="300" w:lineRule="auto"/>
              <w:jc w:val="center"/>
              <w:rPr>
                <w:rFonts w:hint="eastAsia" w:ascii="宋体" w:hAnsi="宋体" w:eastAsia="宋体" w:cs="Times New Roman"/>
                <w:b/>
                <w:color w:val="FF0000"/>
                <w:kern w:val="0"/>
                <w:szCs w:val="21"/>
              </w:rPr>
            </w:pPr>
          </w:p>
        </w:tc>
      </w:tr>
      <w:tr w14:paraId="2976AC9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00899529">
            <w:pPr>
              <w:jc w:val="center"/>
              <w:rPr>
                <w:rFonts w:hint="eastAsia" w:ascii="宋体" w:hAnsi="宋体" w:eastAsia="宋体" w:cs="Times New Roman"/>
                <w:b/>
                <w:color w:val="FF0000"/>
                <w:kern w:val="0"/>
                <w:szCs w:val="21"/>
              </w:rPr>
            </w:pPr>
          </w:p>
        </w:tc>
        <w:tc>
          <w:tcPr>
            <w:tcW w:w="910" w:type="dxa"/>
            <w:vMerge w:val="continue"/>
            <w:vAlign w:val="center"/>
          </w:tcPr>
          <w:p w14:paraId="62310F78">
            <w:pPr>
              <w:jc w:val="center"/>
            </w:pPr>
          </w:p>
        </w:tc>
        <w:tc>
          <w:tcPr>
            <w:tcW w:w="3987" w:type="dxa"/>
            <w:shd w:val="clear" w:color="auto" w:fill="auto"/>
            <w:vAlign w:val="center"/>
          </w:tcPr>
          <w:p w14:paraId="21DB31FA">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10.8▲数据安全可靠：掉电自动保护采样数据，来电恢复采样。</w:t>
            </w:r>
          </w:p>
        </w:tc>
        <w:tc>
          <w:tcPr>
            <w:tcW w:w="969" w:type="dxa"/>
            <w:vAlign w:val="center"/>
          </w:tcPr>
          <w:p w14:paraId="5C1FA215">
            <w:pPr>
              <w:spacing w:line="300" w:lineRule="auto"/>
              <w:jc w:val="center"/>
              <w:rPr>
                <w:rFonts w:hint="eastAsia" w:ascii="宋体" w:hAnsi="宋体" w:eastAsia="宋体" w:cs="Times New Roman"/>
                <w:b/>
                <w:kern w:val="0"/>
                <w:szCs w:val="21"/>
              </w:rPr>
            </w:pPr>
          </w:p>
        </w:tc>
        <w:tc>
          <w:tcPr>
            <w:tcW w:w="885" w:type="dxa"/>
            <w:vAlign w:val="center"/>
          </w:tcPr>
          <w:p w14:paraId="13899B1E">
            <w:pPr>
              <w:spacing w:line="300" w:lineRule="auto"/>
              <w:jc w:val="center"/>
              <w:rPr>
                <w:rFonts w:hint="eastAsia" w:ascii="宋体" w:hAnsi="宋体" w:eastAsia="宋体" w:cs="Times New Roman"/>
                <w:b/>
                <w:kern w:val="0"/>
                <w:szCs w:val="21"/>
              </w:rPr>
            </w:pPr>
          </w:p>
        </w:tc>
        <w:tc>
          <w:tcPr>
            <w:tcW w:w="998" w:type="dxa"/>
            <w:vAlign w:val="center"/>
          </w:tcPr>
          <w:p w14:paraId="0EFB4BD5">
            <w:pPr>
              <w:spacing w:line="300" w:lineRule="auto"/>
              <w:jc w:val="center"/>
              <w:rPr>
                <w:rFonts w:hint="eastAsia" w:ascii="宋体" w:hAnsi="宋体" w:eastAsia="宋体" w:cs="Times New Roman"/>
                <w:b/>
                <w:color w:val="FF0000"/>
                <w:kern w:val="0"/>
                <w:szCs w:val="21"/>
              </w:rPr>
            </w:pPr>
          </w:p>
        </w:tc>
      </w:tr>
      <w:tr w14:paraId="3533A69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027D2A18">
            <w:pPr>
              <w:jc w:val="center"/>
              <w:rPr>
                <w:rFonts w:hint="eastAsia" w:ascii="宋体" w:hAnsi="宋体" w:eastAsia="宋体" w:cs="Times New Roman"/>
                <w:b/>
                <w:color w:val="FF0000"/>
                <w:kern w:val="0"/>
                <w:szCs w:val="21"/>
              </w:rPr>
            </w:pPr>
          </w:p>
        </w:tc>
        <w:tc>
          <w:tcPr>
            <w:tcW w:w="910" w:type="dxa"/>
            <w:vMerge w:val="continue"/>
            <w:vAlign w:val="center"/>
          </w:tcPr>
          <w:p w14:paraId="160D6B39">
            <w:pPr>
              <w:jc w:val="center"/>
            </w:pPr>
          </w:p>
        </w:tc>
        <w:tc>
          <w:tcPr>
            <w:tcW w:w="3987" w:type="dxa"/>
            <w:shd w:val="clear" w:color="auto" w:fill="auto"/>
            <w:vAlign w:val="center"/>
          </w:tcPr>
          <w:p w14:paraId="2261C17A">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10.9▲可进行空气TSP采样，也可配上专用切割头对空气中的PM10-PM2.5微粒采样。</w:t>
            </w:r>
          </w:p>
        </w:tc>
        <w:tc>
          <w:tcPr>
            <w:tcW w:w="969" w:type="dxa"/>
            <w:vAlign w:val="center"/>
          </w:tcPr>
          <w:p w14:paraId="1EE7CF9C">
            <w:pPr>
              <w:spacing w:line="300" w:lineRule="auto"/>
              <w:jc w:val="center"/>
              <w:rPr>
                <w:rFonts w:hint="eastAsia" w:ascii="宋体" w:hAnsi="宋体" w:eastAsia="宋体" w:cs="Times New Roman"/>
                <w:b/>
                <w:kern w:val="0"/>
                <w:szCs w:val="21"/>
              </w:rPr>
            </w:pPr>
          </w:p>
        </w:tc>
        <w:tc>
          <w:tcPr>
            <w:tcW w:w="885" w:type="dxa"/>
            <w:vAlign w:val="center"/>
          </w:tcPr>
          <w:p w14:paraId="1A0C5032">
            <w:pPr>
              <w:spacing w:line="300" w:lineRule="auto"/>
              <w:jc w:val="center"/>
              <w:rPr>
                <w:rFonts w:hint="eastAsia" w:ascii="宋体" w:hAnsi="宋体" w:eastAsia="宋体" w:cs="Times New Roman"/>
                <w:b/>
                <w:kern w:val="0"/>
                <w:szCs w:val="21"/>
              </w:rPr>
            </w:pPr>
          </w:p>
        </w:tc>
        <w:tc>
          <w:tcPr>
            <w:tcW w:w="998" w:type="dxa"/>
            <w:vAlign w:val="center"/>
          </w:tcPr>
          <w:p w14:paraId="5F147623">
            <w:pPr>
              <w:spacing w:line="300" w:lineRule="auto"/>
              <w:jc w:val="center"/>
              <w:rPr>
                <w:rFonts w:hint="eastAsia" w:ascii="宋体" w:hAnsi="宋体" w:eastAsia="宋体" w:cs="Times New Roman"/>
                <w:b/>
                <w:color w:val="FF0000"/>
                <w:kern w:val="0"/>
                <w:szCs w:val="21"/>
              </w:rPr>
            </w:pPr>
          </w:p>
        </w:tc>
      </w:tr>
      <w:tr w14:paraId="476B76B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12EF325E">
            <w:pPr>
              <w:jc w:val="center"/>
              <w:rPr>
                <w:rFonts w:hint="eastAsia" w:ascii="宋体" w:hAnsi="宋体" w:eastAsia="宋体" w:cs="Times New Roman"/>
                <w:b/>
                <w:color w:val="FF0000"/>
                <w:kern w:val="0"/>
                <w:szCs w:val="21"/>
              </w:rPr>
            </w:pPr>
          </w:p>
        </w:tc>
        <w:tc>
          <w:tcPr>
            <w:tcW w:w="910" w:type="dxa"/>
            <w:vMerge w:val="continue"/>
            <w:vAlign w:val="center"/>
          </w:tcPr>
          <w:p w14:paraId="5F0E7668">
            <w:pPr>
              <w:jc w:val="center"/>
            </w:pPr>
          </w:p>
        </w:tc>
        <w:tc>
          <w:tcPr>
            <w:tcW w:w="3987" w:type="dxa"/>
            <w:shd w:val="clear" w:color="auto" w:fill="auto"/>
            <w:vAlign w:val="center"/>
          </w:tcPr>
          <w:p w14:paraId="16621648">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10.10温度测量范围：-30～50℃，准确度：≤±1℃</w:t>
            </w:r>
          </w:p>
        </w:tc>
        <w:tc>
          <w:tcPr>
            <w:tcW w:w="969" w:type="dxa"/>
            <w:vAlign w:val="center"/>
          </w:tcPr>
          <w:p w14:paraId="73FF3235">
            <w:pPr>
              <w:spacing w:line="300" w:lineRule="auto"/>
              <w:jc w:val="center"/>
              <w:rPr>
                <w:rFonts w:hint="eastAsia" w:ascii="宋体" w:hAnsi="宋体" w:eastAsia="宋体" w:cs="Times New Roman"/>
                <w:b/>
                <w:kern w:val="0"/>
                <w:szCs w:val="21"/>
              </w:rPr>
            </w:pPr>
          </w:p>
        </w:tc>
        <w:tc>
          <w:tcPr>
            <w:tcW w:w="885" w:type="dxa"/>
            <w:vAlign w:val="center"/>
          </w:tcPr>
          <w:p w14:paraId="45611C2A">
            <w:pPr>
              <w:spacing w:line="300" w:lineRule="auto"/>
              <w:jc w:val="center"/>
              <w:rPr>
                <w:rFonts w:hint="eastAsia" w:ascii="宋体" w:hAnsi="宋体" w:eastAsia="宋体" w:cs="Times New Roman"/>
                <w:b/>
                <w:kern w:val="0"/>
                <w:szCs w:val="21"/>
              </w:rPr>
            </w:pPr>
          </w:p>
        </w:tc>
        <w:tc>
          <w:tcPr>
            <w:tcW w:w="998" w:type="dxa"/>
            <w:vAlign w:val="center"/>
          </w:tcPr>
          <w:p w14:paraId="1AE5FBDF">
            <w:pPr>
              <w:spacing w:line="300" w:lineRule="auto"/>
              <w:jc w:val="center"/>
              <w:rPr>
                <w:rFonts w:hint="eastAsia" w:ascii="宋体" w:hAnsi="宋体" w:eastAsia="宋体" w:cs="Times New Roman"/>
                <w:b/>
                <w:color w:val="FF0000"/>
                <w:kern w:val="0"/>
                <w:szCs w:val="21"/>
              </w:rPr>
            </w:pPr>
          </w:p>
        </w:tc>
      </w:tr>
      <w:tr w14:paraId="245B208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restart"/>
            <w:vAlign w:val="center"/>
          </w:tcPr>
          <w:p w14:paraId="3E0D0536">
            <w:pPr>
              <w:jc w:val="center"/>
              <w:rPr>
                <w:rFonts w:hint="eastAsia" w:ascii="宋体" w:hAnsi="宋体" w:eastAsia="宋体" w:cs="Times New Roman"/>
                <w:b/>
                <w:color w:val="FF0000"/>
                <w:kern w:val="0"/>
                <w:szCs w:val="21"/>
                <w:lang w:val="en-US" w:eastAsia="zh-CN"/>
              </w:rPr>
            </w:pPr>
            <w:r>
              <w:rPr>
                <w:rFonts w:hint="eastAsia" w:ascii="宋体" w:hAnsi="宋体" w:eastAsia="宋体" w:cs="Times New Roman"/>
                <w:b/>
                <w:color w:val="FF0000"/>
                <w:kern w:val="0"/>
                <w:szCs w:val="21"/>
                <w:lang w:val="en-US" w:eastAsia="zh-CN"/>
              </w:rPr>
              <w:t>3</w:t>
            </w:r>
          </w:p>
        </w:tc>
        <w:tc>
          <w:tcPr>
            <w:tcW w:w="910" w:type="dxa"/>
            <w:vMerge w:val="restart"/>
            <w:vAlign w:val="center"/>
          </w:tcPr>
          <w:p w14:paraId="45D8A819">
            <w:pPr>
              <w:jc w:val="center"/>
            </w:pPr>
            <w:r>
              <w:rPr>
                <w:rFonts w:hint="eastAsia"/>
              </w:rPr>
              <w:t>空气采样器专用金属PM1可吸入颗粒物切割器(中流量）</w:t>
            </w:r>
          </w:p>
        </w:tc>
        <w:tc>
          <w:tcPr>
            <w:tcW w:w="3987" w:type="dxa"/>
            <w:shd w:val="clear" w:color="auto" w:fill="auto"/>
            <w:vAlign w:val="center"/>
          </w:tcPr>
          <w:p w14:paraId="071E2DFE">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1.可根据需要任意组合，实现对大气中可吸入颗粒物的采集，适用于流量为100L/min中流量采样器。</w:t>
            </w:r>
          </w:p>
        </w:tc>
        <w:tc>
          <w:tcPr>
            <w:tcW w:w="969" w:type="dxa"/>
            <w:vAlign w:val="center"/>
          </w:tcPr>
          <w:p w14:paraId="7450ACB2">
            <w:pPr>
              <w:spacing w:line="300" w:lineRule="auto"/>
              <w:jc w:val="center"/>
              <w:rPr>
                <w:rFonts w:hint="eastAsia" w:ascii="宋体" w:hAnsi="宋体" w:eastAsia="宋体" w:cs="Times New Roman"/>
                <w:b/>
                <w:kern w:val="0"/>
                <w:szCs w:val="21"/>
              </w:rPr>
            </w:pPr>
          </w:p>
        </w:tc>
        <w:tc>
          <w:tcPr>
            <w:tcW w:w="885" w:type="dxa"/>
            <w:vAlign w:val="center"/>
          </w:tcPr>
          <w:p w14:paraId="003C8145">
            <w:pPr>
              <w:spacing w:line="300" w:lineRule="auto"/>
              <w:jc w:val="center"/>
              <w:rPr>
                <w:rFonts w:hint="eastAsia" w:ascii="宋体" w:hAnsi="宋体" w:eastAsia="宋体" w:cs="Times New Roman"/>
                <w:b/>
                <w:kern w:val="0"/>
                <w:szCs w:val="21"/>
              </w:rPr>
            </w:pPr>
          </w:p>
        </w:tc>
        <w:tc>
          <w:tcPr>
            <w:tcW w:w="998" w:type="dxa"/>
            <w:vAlign w:val="center"/>
          </w:tcPr>
          <w:p w14:paraId="243E21F1">
            <w:pPr>
              <w:spacing w:line="300" w:lineRule="auto"/>
              <w:jc w:val="center"/>
              <w:rPr>
                <w:rFonts w:hint="eastAsia" w:ascii="宋体" w:hAnsi="宋体" w:eastAsia="宋体" w:cs="Times New Roman"/>
                <w:b/>
                <w:color w:val="FF0000"/>
                <w:kern w:val="0"/>
                <w:szCs w:val="21"/>
              </w:rPr>
            </w:pPr>
          </w:p>
        </w:tc>
      </w:tr>
      <w:tr w14:paraId="700AF34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2AA8664E">
            <w:pPr>
              <w:jc w:val="center"/>
              <w:rPr>
                <w:rFonts w:hint="eastAsia" w:ascii="宋体" w:hAnsi="宋体" w:eastAsia="宋体" w:cs="Times New Roman"/>
                <w:b/>
                <w:color w:val="FF0000"/>
                <w:kern w:val="0"/>
                <w:szCs w:val="21"/>
              </w:rPr>
            </w:pPr>
          </w:p>
        </w:tc>
        <w:tc>
          <w:tcPr>
            <w:tcW w:w="910" w:type="dxa"/>
            <w:vMerge w:val="continue"/>
            <w:vAlign w:val="center"/>
          </w:tcPr>
          <w:p w14:paraId="41915869">
            <w:pPr>
              <w:jc w:val="center"/>
            </w:pPr>
          </w:p>
        </w:tc>
        <w:tc>
          <w:tcPr>
            <w:tcW w:w="3987" w:type="dxa"/>
            <w:shd w:val="clear" w:color="auto" w:fill="auto"/>
            <w:vAlign w:val="center"/>
          </w:tcPr>
          <w:p w14:paraId="65AE1B5C">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2.根据冲击式原理设计的 ，均有一个冲击板和捕集板及托座组成</w:t>
            </w:r>
          </w:p>
        </w:tc>
        <w:tc>
          <w:tcPr>
            <w:tcW w:w="969" w:type="dxa"/>
            <w:vAlign w:val="center"/>
          </w:tcPr>
          <w:p w14:paraId="4ED01D01">
            <w:pPr>
              <w:spacing w:line="300" w:lineRule="auto"/>
              <w:jc w:val="center"/>
              <w:rPr>
                <w:rFonts w:hint="eastAsia" w:ascii="宋体" w:hAnsi="宋体" w:eastAsia="宋体" w:cs="Times New Roman"/>
                <w:b/>
                <w:kern w:val="0"/>
                <w:szCs w:val="21"/>
              </w:rPr>
            </w:pPr>
          </w:p>
        </w:tc>
        <w:tc>
          <w:tcPr>
            <w:tcW w:w="885" w:type="dxa"/>
            <w:vAlign w:val="center"/>
          </w:tcPr>
          <w:p w14:paraId="34B30F50">
            <w:pPr>
              <w:spacing w:line="300" w:lineRule="auto"/>
              <w:jc w:val="center"/>
              <w:rPr>
                <w:rFonts w:hint="eastAsia" w:ascii="宋体" w:hAnsi="宋体" w:eastAsia="宋体" w:cs="Times New Roman"/>
                <w:b/>
                <w:kern w:val="0"/>
                <w:szCs w:val="21"/>
              </w:rPr>
            </w:pPr>
          </w:p>
        </w:tc>
        <w:tc>
          <w:tcPr>
            <w:tcW w:w="998" w:type="dxa"/>
            <w:vAlign w:val="center"/>
          </w:tcPr>
          <w:p w14:paraId="1459232C">
            <w:pPr>
              <w:spacing w:line="300" w:lineRule="auto"/>
              <w:jc w:val="center"/>
              <w:rPr>
                <w:rFonts w:hint="eastAsia" w:ascii="宋体" w:hAnsi="宋体" w:eastAsia="宋体" w:cs="Times New Roman"/>
                <w:b/>
                <w:color w:val="FF0000"/>
                <w:kern w:val="0"/>
                <w:szCs w:val="21"/>
              </w:rPr>
            </w:pPr>
          </w:p>
        </w:tc>
      </w:tr>
      <w:tr w14:paraId="028649F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5A4D42F0">
            <w:pPr>
              <w:jc w:val="center"/>
              <w:rPr>
                <w:rFonts w:hint="eastAsia" w:ascii="宋体" w:hAnsi="宋体" w:eastAsia="宋体" w:cs="Times New Roman"/>
                <w:b/>
                <w:color w:val="FF0000"/>
                <w:kern w:val="0"/>
                <w:szCs w:val="21"/>
              </w:rPr>
            </w:pPr>
          </w:p>
        </w:tc>
        <w:tc>
          <w:tcPr>
            <w:tcW w:w="910" w:type="dxa"/>
            <w:vMerge w:val="continue"/>
            <w:vAlign w:val="center"/>
          </w:tcPr>
          <w:p w14:paraId="21CD3704">
            <w:pPr>
              <w:jc w:val="center"/>
            </w:pPr>
          </w:p>
        </w:tc>
        <w:tc>
          <w:tcPr>
            <w:tcW w:w="3987" w:type="dxa"/>
            <w:shd w:val="clear" w:color="auto" w:fill="auto"/>
            <w:vAlign w:val="center"/>
          </w:tcPr>
          <w:p w14:paraId="5063B8E2">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3.▲PM1.0冲击板的孔数为 6 个,孔径为φ2.5 毫米</w:t>
            </w:r>
          </w:p>
        </w:tc>
        <w:tc>
          <w:tcPr>
            <w:tcW w:w="969" w:type="dxa"/>
            <w:vAlign w:val="center"/>
          </w:tcPr>
          <w:p w14:paraId="050073F9">
            <w:pPr>
              <w:spacing w:line="300" w:lineRule="auto"/>
              <w:jc w:val="center"/>
              <w:rPr>
                <w:rFonts w:hint="eastAsia" w:ascii="宋体" w:hAnsi="宋体" w:eastAsia="宋体" w:cs="Times New Roman"/>
                <w:b/>
                <w:kern w:val="0"/>
                <w:szCs w:val="21"/>
              </w:rPr>
            </w:pPr>
          </w:p>
        </w:tc>
        <w:tc>
          <w:tcPr>
            <w:tcW w:w="885" w:type="dxa"/>
            <w:vAlign w:val="center"/>
          </w:tcPr>
          <w:p w14:paraId="4B5AD165">
            <w:pPr>
              <w:spacing w:line="300" w:lineRule="auto"/>
              <w:jc w:val="center"/>
              <w:rPr>
                <w:rFonts w:hint="eastAsia" w:ascii="宋体" w:hAnsi="宋体" w:eastAsia="宋体" w:cs="Times New Roman"/>
                <w:b/>
                <w:kern w:val="0"/>
                <w:szCs w:val="21"/>
              </w:rPr>
            </w:pPr>
          </w:p>
        </w:tc>
        <w:tc>
          <w:tcPr>
            <w:tcW w:w="998" w:type="dxa"/>
            <w:vAlign w:val="center"/>
          </w:tcPr>
          <w:p w14:paraId="50C9AAEB">
            <w:pPr>
              <w:spacing w:line="300" w:lineRule="auto"/>
              <w:jc w:val="center"/>
              <w:rPr>
                <w:rFonts w:hint="eastAsia" w:ascii="宋体" w:hAnsi="宋体" w:eastAsia="宋体" w:cs="Times New Roman"/>
                <w:b/>
                <w:color w:val="FF0000"/>
                <w:kern w:val="0"/>
                <w:szCs w:val="21"/>
              </w:rPr>
            </w:pPr>
          </w:p>
        </w:tc>
      </w:tr>
      <w:tr w14:paraId="404214F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66CD51FA">
            <w:pPr>
              <w:jc w:val="center"/>
              <w:rPr>
                <w:rFonts w:hint="eastAsia" w:ascii="宋体" w:hAnsi="宋体" w:eastAsia="宋体" w:cs="Times New Roman"/>
                <w:b/>
                <w:color w:val="FF0000"/>
                <w:kern w:val="0"/>
                <w:szCs w:val="21"/>
              </w:rPr>
            </w:pPr>
          </w:p>
        </w:tc>
        <w:tc>
          <w:tcPr>
            <w:tcW w:w="910" w:type="dxa"/>
            <w:vMerge w:val="continue"/>
            <w:vAlign w:val="center"/>
          </w:tcPr>
          <w:p w14:paraId="0AFF66FB">
            <w:pPr>
              <w:jc w:val="center"/>
            </w:pPr>
          </w:p>
        </w:tc>
        <w:tc>
          <w:tcPr>
            <w:tcW w:w="3987" w:type="dxa"/>
            <w:shd w:val="clear" w:color="auto" w:fill="auto"/>
            <w:vAlign w:val="center"/>
          </w:tcPr>
          <w:p w14:paraId="4EF99BC1">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4.▲采样流量100L/min</w:t>
            </w:r>
          </w:p>
        </w:tc>
        <w:tc>
          <w:tcPr>
            <w:tcW w:w="969" w:type="dxa"/>
            <w:vAlign w:val="center"/>
          </w:tcPr>
          <w:p w14:paraId="3D59FEF5">
            <w:pPr>
              <w:spacing w:line="300" w:lineRule="auto"/>
              <w:jc w:val="center"/>
              <w:rPr>
                <w:rFonts w:hint="eastAsia" w:ascii="宋体" w:hAnsi="宋体" w:eastAsia="宋体" w:cs="Times New Roman"/>
                <w:b/>
                <w:kern w:val="0"/>
                <w:szCs w:val="21"/>
              </w:rPr>
            </w:pPr>
          </w:p>
        </w:tc>
        <w:tc>
          <w:tcPr>
            <w:tcW w:w="885" w:type="dxa"/>
            <w:vAlign w:val="center"/>
          </w:tcPr>
          <w:p w14:paraId="7FD01D8C">
            <w:pPr>
              <w:spacing w:line="300" w:lineRule="auto"/>
              <w:jc w:val="center"/>
              <w:rPr>
                <w:rFonts w:hint="eastAsia" w:ascii="宋体" w:hAnsi="宋体" w:eastAsia="宋体" w:cs="Times New Roman"/>
                <w:b/>
                <w:kern w:val="0"/>
                <w:szCs w:val="21"/>
              </w:rPr>
            </w:pPr>
          </w:p>
        </w:tc>
        <w:tc>
          <w:tcPr>
            <w:tcW w:w="998" w:type="dxa"/>
            <w:vAlign w:val="center"/>
          </w:tcPr>
          <w:p w14:paraId="1525C5A6">
            <w:pPr>
              <w:spacing w:line="300" w:lineRule="auto"/>
              <w:jc w:val="center"/>
              <w:rPr>
                <w:rFonts w:hint="eastAsia" w:ascii="宋体" w:hAnsi="宋体" w:eastAsia="宋体" w:cs="Times New Roman"/>
                <w:b/>
                <w:color w:val="FF0000"/>
                <w:kern w:val="0"/>
                <w:szCs w:val="21"/>
              </w:rPr>
            </w:pPr>
          </w:p>
        </w:tc>
      </w:tr>
      <w:tr w14:paraId="410A15A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397A6592">
            <w:pPr>
              <w:jc w:val="center"/>
              <w:rPr>
                <w:rFonts w:hint="eastAsia" w:ascii="宋体" w:hAnsi="宋体" w:eastAsia="宋体" w:cs="Times New Roman"/>
                <w:b/>
                <w:color w:val="FF0000"/>
                <w:kern w:val="0"/>
                <w:szCs w:val="21"/>
              </w:rPr>
            </w:pPr>
          </w:p>
        </w:tc>
        <w:tc>
          <w:tcPr>
            <w:tcW w:w="910" w:type="dxa"/>
            <w:vMerge w:val="continue"/>
            <w:vAlign w:val="center"/>
          </w:tcPr>
          <w:p w14:paraId="3D442406">
            <w:pPr>
              <w:jc w:val="center"/>
            </w:pPr>
          </w:p>
        </w:tc>
        <w:tc>
          <w:tcPr>
            <w:tcW w:w="3987" w:type="dxa"/>
            <w:shd w:val="clear" w:color="auto" w:fill="auto"/>
            <w:vAlign w:val="center"/>
          </w:tcPr>
          <w:p w14:paraId="7956D5C2">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5.切割粒径Da50=（1±0.2）µm</w:t>
            </w:r>
          </w:p>
        </w:tc>
        <w:tc>
          <w:tcPr>
            <w:tcW w:w="969" w:type="dxa"/>
            <w:vAlign w:val="center"/>
          </w:tcPr>
          <w:p w14:paraId="57A2DA45">
            <w:pPr>
              <w:spacing w:line="300" w:lineRule="auto"/>
              <w:jc w:val="center"/>
              <w:rPr>
                <w:rFonts w:hint="eastAsia" w:ascii="宋体" w:hAnsi="宋体" w:eastAsia="宋体" w:cs="Times New Roman"/>
                <w:b/>
                <w:kern w:val="0"/>
                <w:szCs w:val="21"/>
              </w:rPr>
            </w:pPr>
          </w:p>
        </w:tc>
        <w:tc>
          <w:tcPr>
            <w:tcW w:w="885" w:type="dxa"/>
            <w:vAlign w:val="center"/>
          </w:tcPr>
          <w:p w14:paraId="015C4806">
            <w:pPr>
              <w:spacing w:line="300" w:lineRule="auto"/>
              <w:jc w:val="center"/>
              <w:rPr>
                <w:rFonts w:hint="eastAsia" w:ascii="宋体" w:hAnsi="宋体" w:eastAsia="宋体" w:cs="Times New Roman"/>
                <w:b/>
                <w:kern w:val="0"/>
                <w:szCs w:val="21"/>
              </w:rPr>
            </w:pPr>
          </w:p>
        </w:tc>
        <w:tc>
          <w:tcPr>
            <w:tcW w:w="998" w:type="dxa"/>
            <w:vAlign w:val="center"/>
          </w:tcPr>
          <w:p w14:paraId="769F2A90">
            <w:pPr>
              <w:spacing w:line="300" w:lineRule="auto"/>
              <w:jc w:val="center"/>
              <w:rPr>
                <w:rFonts w:hint="eastAsia" w:ascii="宋体" w:hAnsi="宋体" w:eastAsia="宋体" w:cs="Times New Roman"/>
                <w:b/>
                <w:color w:val="FF0000"/>
                <w:kern w:val="0"/>
                <w:szCs w:val="21"/>
              </w:rPr>
            </w:pPr>
          </w:p>
        </w:tc>
      </w:tr>
      <w:tr w14:paraId="634C53D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58C6D854">
            <w:pPr>
              <w:jc w:val="center"/>
              <w:rPr>
                <w:rFonts w:hint="eastAsia" w:ascii="宋体" w:hAnsi="宋体" w:eastAsia="宋体" w:cs="Times New Roman"/>
                <w:b/>
                <w:color w:val="FF0000"/>
                <w:kern w:val="0"/>
                <w:szCs w:val="21"/>
              </w:rPr>
            </w:pPr>
          </w:p>
        </w:tc>
        <w:tc>
          <w:tcPr>
            <w:tcW w:w="910" w:type="dxa"/>
            <w:vMerge w:val="continue"/>
            <w:vAlign w:val="center"/>
          </w:tcPr>
          <w:p w14:paraId="60E0769E">
            <w:pPr>
              <w:jc w:val="center"/>
            </w:pPr>
          </w:p>
        </w:tc>
        <w:tc>
          <w:tcPr>
            <w:tcW w:w="3987" w:type="dxa"/>
            <w:shd w:val="clear" w:color="auto" w:fill="auto"/>
            <w:vAlign w:val="center"/>
          </w:tcPr>
          <w:p w14:paraId="0B617E3F">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6.颗粒物捕集效率的几何偏差σg ≤（1.2±0.1）</w:t>
            </w:r>
          </w:p>
        </w:tc>
        <w:tc>
          <w:tcPr>
            <w:tcW w:w="969" w:type="dxa"/>
            <w:vAlign w:val="center"/>
          </w:tcPr>
          <w:p w14:paraId="21AEEF2D">
            <w:pPr>
              <w:spacing w:line="300" w:lineRule="auto"/>
              <w:jc w:val="center"/>
              <w:rPr>
                <w:rFonts w:hint="eastAsia" w:ascii="宋体" w:hAnsi="宋体" w:eastAsia="宋体" w:cs="Times New Roman"/>
                <w:b/>
                <w:kern w:val="0"/>
                <w:szCs w:val="21"/>
              </w:rPr>
            </w:pPr>
          </w:p>
        </w:tc>
        <w:tc>
          <w:tcPr>
            <w:tcW w:w="885" w:type="dxa"/>
            <w:vAlign w:val="center"/>
          </w:tcPr>
          <w:p w14:paraId="03DE6657">
            <w:pPr>
              <w:spacing w:line="300" w:lineRule="auto"/>
              <w:jc w:val="center"/>
              <w:rPr>
                <w:rFonts w:hint="eastAsia" w:ascii="宋体" w:hAnsi="宋体" w:eastAsia="宋体" w:cs="Times New Roman"/>
                <w:b/>
                <w:kern w:val="0"/>
                <w:szCs w:val="21"/>
              </w:rPr>
            </w:pPr>
          </w:p>
        </w:tc>
        <w:tc>
          <w:tcPr>
            <w:tcW w:w="998" w:type="dxa"/>
            <w:vAlign w:val="center"/>
          </w:tcPr>
          <w:p w14:paraId="13952E1D">
            <w:pPr>
              <w:spacing w:line="300" w:lineRule="auto"/>
              <w:jc w:val="center"/>
              <w:rPr>
                <w:rFonts w:hint="eastAsia" w:ascii="宋体" w:hAnsi="宋体" w:eastAsia="宋体" w:cs="Times New Roman"/>
                <w:b/>
                <w:color w:val="FF0000"/>
                <w:kern w:val="0"/>
                <w:szCs w:val="21"/>
              </w:rPr>
            </w:pPr>
          </w:p>
        </w:tc>
      </w:tr>
      <w:tr w14:paraId="0CEA506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7C491FE4">
            <w:pPr>
              <w:jc w:val="center"/>
              <w:rPr>
                <w:rFonts w:hint="eastAsia" w:ascii="宋体" w:hAnsi="宋体" w:eastAsia="宋体" w:cs="Times New Roman"/>
                <w:b/>
                <w:color w:val="FF0000"/>
                <w:kern w:val="0"/>
                <w:szCs w:val="21"/>
              </w:rPr>
            </w:pPr>
          </w:p>
        </w:tc>
        <w:tc>
          <w:tcPr>
            <w:tcW w:w="910" w:type="dxa"/>
            <w:vMerge w:val="continue"/>
            <w:vAlign w:val="center"/>
          </w:tcPr>
          <w:p w14:paraId="30A47898">
            <w:pPr>
              <w:jc w:val="center"/>
            </w:pPr>
          </w:p>
        </w:tc>
        <w:tc>
          <w:tcPr>
            <w:tcW w:w="3987" w:type="dxa"/>
            <w:shd w:val="clear" w:color="auto" w:fill="auto"/>
            <w:vAlign w:val="center"/>
          </w:tcPr>
          <w:p w14:paraId="71BEAC9B">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7.入口流速0.3m/s</w:t>
            </w:r>
          </w:p>
        </w:tc>
        <w:tc>
          <w:tcPr>
            <w:tcW w:w="969" w:type="dxa"/>
            <w:vAlign w:val="center"/>
          </w:tcPr>
          <w:p w14:paraId="410947AF">
            <w:pPr>
              <w:spacing w:line="300" w:lineRule="auto"/>
              <w:jc w:val="center"/>
              <w:rPr>
                <w:rFonts w:hint="eastAsia" w:ascii="宋体" w:hAnsi="宋体" w:eastAsia="宋体" w:cs="Times New Roman"/>
                <w:b/>
                <w:kern w:val="0"/>
                <w:szCs w:val="21"/>
              </w:rPr>
            </w:pPr>
          </w:p>
        </w:tc>
        <w:tc>
          <w:tcPr>
            <w:tcW w:w="885" w:type="dxa"/>
            <w:vAlign w:val="center"/>
          </w:tcPr>
          <w:p w14:paraId="1C2107F0">
            <w:pPr>
              <w:spacing w:line="300" w:lineRule="auto"/>
              <w:jc w:val="center"/>
              <w:rPr>
                <w:rFonts w:hint="eastAsia" w:ascii="宋体" w:hAnsi="宋体" w:eastAsia="宋体" w:cs="Times New Roman"/>
                <w:b/>
                <w:kern w:val="0"/>
                <w:szCs w:val="21"/>
              </w:rPr>
            </w:pPr>
          </w:p>
        </w:tc>
        <w:tc>
          <w:tcPr>
            <w:tcW w:w="998" w:type="dxa"/>
            <w:vAlign w:val="center"/>
          </w:tcPr>
          <w:p w14:paraId="630ED48D">
            <w:pPr>
              <w:spacing w:line="300" w:lineRule="auto"/>
              <w:jc w:val="center"/>
              <w:rPr>
                <w:rFonts w:hint="eastAsia" w:ascii="宋体" w:hAnsi="宋体" w:eastAsia="宋体" w:cs="Times New Roman"/>
                <w:b/>
                <w:color w:val="FF0000"/>
                <w:kern w:val="0"/>
                <w:szCs w:val="21"/>
              </w:rPr>
            </w:pPr>
          </w:p>
        </w:tc>
      </w:tr>
      <w:tr w14:paraId="30901E0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4D48E6BA">
            <w:pPr>
              <w:jc w:val="center"/>
              <w:rPr>
                <w:rFonts w:hint="eastAsia" w:ascii="宋体" w:hAnsi="宋体" w:eastAsia="宋体" w:cs="Times New Roman"/>
                <w:b/>
                <w:color w:val="FF0000"/>
                <w:kern w:val="0"/>
                <w:szCs w:val="21"/>
              </w:rPr>
            </w:pPr>
          </w:p>
        </w:tc>
        <w:tc>
          <w:tcPr>
            <w:tcW w:w="910" w:type="dxa"/>
            <w:vMerge w:val="continue"/>
            <w:vAlign w:val="center"/>
          </w:tcPr>
          <w:p w14:paraId="17D21710">
            <w:pPr>
              <w:jc w:val="center"/>
            </w:pPr>
          </w:p>
        </w:tc>
        <w:tc>
          <w:tcPr>
            <w:tcW w:w="3987" w:type="dxa"/>
            <w:shd w:val="clear" w:color="auto" w:fill="auto"/>
            <w:vAlign w:val="center"/>
          </w:tcPr>
          <w:p w14:paraId="3AB4BC11">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8.滤膜尺寸：Ф90mm，有效滤膜尺寸：Ф80mm。</w:t>
            </w:r>
          </w:p>
        </w:tc>
        <w:tc>
          <w:tcPr>
            <w:tcW w:w="969" w:type="dxa"/>
            <w:vAlign w:val="center"/>
          </w:tcPr>
          <w:p w14:paraId="1B91F18C">
            <w:pPr>
              <w:spacing w:line="300" w:lineRule="auto"/>
              <w:jc w:val="center"/>
              <w:rPr>
                <w:rFonts w:hint="eastAsia" w:ascii="宋体" w:hAnsi="宋体" w:eastAsia="宋体" w:cs="Times New Roman"/>
                <w:b/>
                <w:kern w:val="0"/>
                <w:szCs w:val="21"/>
              </w:rPr>
            </w:pPr>
          </w:p>
        </w:tc>
        <w:tc>
          <w:tcPr>
            <w:tcW w:w="885" w:type="dxa"/>
            <w:vAlign w:val="center"/>
          </w:tcPr>
          <w:p w14:paraId="6FF55895">
            <w:pPr>
              <w:spacing w:line="300" w:lineRule="auto"/>
              <w:jc w:val="center"/>
              <w:rPr>
                <w:rFonts w:hint="eastAsia" w:ascii="宋体" w:hAnsi="宋体" w:eastAsia="宋体" w:cs="Times New Roman"/>
                <w:b/>
                <w:kern w:val="0"/>
                <w:szCs w:val="21"/>
              </w:rPr>
            </w:pPr>
          </w:p>
        </w:tc>
        <w:tc>
          <w:tcPr>
            <w:tcW w:w="998" w:type="dxa"/>
            <w:vAlign w:val="center"/>
          </w:tcPr>
          <w:p w14:paraId="4077934C">
            <w:pPr>
              <w:spacing w:line="300" w:lineRule="auto"/>
              <w:jc w:val="center"/>
              <w:rPr>
                <w:rFonts w:hint="eastAsia" w:ascii="宋体" w:hAnsi="宋体" w:eastAsia="宋体" w:cs="Times New Roman"/>
                <w:b/>
                <w:color w:val="FF0000"/>
                <w:kern w:val="0"/>
                <w:szCs w:val="21"/>
              </w:rPr>
            </w:pPr>
          </w:p>
        </w:tc>
      </w:tr>
      <w:tr w14:paraId="09AF068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5855E438">
            <w:pPr>
              <w:jc w:val="center"/>
              <w:rPr>
                <w:rFonts w:hint="eastAsia" w:ascii="宋体" w:hAnsi="宋体" w:eastAsia="宋体" w:cs="Times New Roman"/>
                <w:b/>
                <w:color w:val="FF0000"/>
                <w:kern w:val="0"/>
                <w:szCs w:val="21"/>
              </w:rPr>
            </w:pPr>
          </w:p>
        </w:tc>
        <w:tc>
          <w:tcPr>
            <w:tcW w:w="910" w:type="dxa"/>
            <w:vMerge w:val="continue"/>
            <w:vAlign w:val="center"/>
          </w:tcPr>
          <w:p w14:paraId="78CB69BD">
            <w:pPr>
              <w:jc w:val="center"/>
            </w:pPr>
          </w:p>
        </w:tc>
        <w:tc>
          <w:tcPr>
            <w:tcW w:w="3987" w:type="dxa"/>
            <w:shd w:val="clear" w:color="auto" w:fill="auto"/>
            <w:vAlign w:val="center"/>
          </w:tcPr>
          <w:p w14:paraId="1C702B0F">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9.▲接头尺寸M18×2</w:t>
            </w:r>
            <w:r>
              <w:rPr>
                <w:rFonts w:hint="eastAsia"/>
                <w:lang w:val="en-US" w:eastAsia="zh-CN"/>
              </w:rPr>
              <w:t>mm</w:t>
            </w:r>
          </w:p>
        </w:tc>
        <w:tc>
          <w:tcPr>
            <w:tcW w:w="969" w:type="dxa"/>
            <w:vAlign w:val="center"/>
          </w:tcPr>
          <w:p w14:paraId="4FF80D3E">
            <w:pPr>
              <w:spacing w:line="300" w:lineRule="auto"/>
              <w:jc w:val="center"/>
              <w:rPr>
                <w:rFonts w:hint="eastAsia" w:ascii="宋体" w:hAnsi="宋体" w:eastAsia="宋体" w:cs="Times New Roman"/>
                <w:b/>
                <w:kern w:val="0"/>
                <w:szCs w:val="21"/>
              </w:rPr>
            </w:pPr>
          </w:p>
        </w:tc>
        <w:tc>
          <w:tcPr>
            <w:tcW w:w="885" w:type="dxa"/>
            <w:vAlign w:val="center"/>
          </w:tcPr>
          <w:p w14:paraId="1A4C093F">
            <w:pPr>
              <w:spacing w:line="300" w:lineRule="auto"/>
              <w:jc w:val="center"/>
              <w:rPr>
                <w:rFonts w:hint="eastAsia" w:ascii="宋体" w:hAnsi="宋体" w:eastAsia="宋体" w:cs="Times New Roman"/>
                <w:b/>
                <w:kern w:val="0"/>
                <w:szCs w:val="21"/>
              </w:rPr>
            </w:pPr>
          </w:p>
        </w:tc>
        <w:tc>
          <w:tcPr>
            <w:tcW w:w="998" w:type="dxa"/>
            <w:vAlign w:val="center"/>
          </w:tcPr>
          <w:p w14:paraId="735FCEBF">
            <w:pPr>
              <w:spacing w:line="300" w:lineRule="auto"/>
              <w:jc w:val="center"/>
              <w:rPr>
                <w:rFonts w:hint="eastAsia" w:ascii="宋体" w:hAnsi="宋体" w:eastAsia="宋体" w:cs="Times New Roman"/>
                <w:b/>
                <w:color w:val="FF0000"/>
                <w:kern w:val="0"/>
                <w:szCs w:val="21"/>
              </w:rPr>
            </w:pPr>
          </w:p>
        </w:tc>
      </w:tr>
      <w:tr w14:paraId="41381A0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53BF5241">
            <w:pPr>
              <w:jc w:val="center"/>
              <w:rPr>
                <w:rFonts w:hint="eastAsia" w:ascii="宋体" w:hAnsi="宋体" w:eastAsia="宋体" w:cs="Times New Roman"/>
                <w:b/>
                <w:color w:val="FF0000"/>
                <w:kern w:val="0"/>
                <w:szCs w:val="21"/>
              </w:rPr>
            </w:pPr>
          </w:p>
        </w:tc>
        <w:tc>
          <w:tcPr>
            <w:tcW w:w="910" w:type="dxa"/>
            <w:vMerge w:val="continue"/>
            <w:vAlign w:val="center"/>
          </w:tcPr>
          <w:p w14:paraId="02926A00">
            <w:pPr>
              <w:jc w:val="center"/>
            </w:pPr>
          </w:p>
        </w:tc>
        <w:tc>
          <w:tcPr>
            <w:tcW w:w="3987" w:type="dxa"/>
            <w:shd w:val="clear" w:color="auto" w:fill="auto"/>
            <w:vAlign w:val="center"/>
          </w:tcPr>
          <w:p w14:paraId="4A23A1D6">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10.需配置仪器的性能。</w:t>
            </w:r>
          </w:p>
        </w:tc>
        <w:tc>
          <w:tcPr>
            <w:tcW w:w="969" w:type="dxa"/>
            <w:vAlign w:val="center"/>
          </w:tcPr>
          <w:p w14:paraId="0A005D2F">
            <w:pPr>
              <w:spacing w:line="300" w:lineRule="auto"/>
              <w:jc w:val="center"/>
              <w:rPr>
                <w:rFonts w:hint="eastAsia" w:ascii="宋体" w:hAnsi="宋体" w:eastAsia="宋体" w:cs="Times New Roman"/>
                <w:b/>
                <w:kern w:val="0"/>
                <w:szCs w:val="21"/>
              </w:rPr>
            </w:pPr>
          </w:p>
        </w:tc>
        <w:tc>
          <w:tcPr>
            <w:tcW w:w="885" w:type="dxa"/>
            <w:vAlign w:val="center"/>
          </w:tcPr>
          <w:p w14:paraId="4EEE286B">
            <w:pPr>
              <w:spacing w:line="300" w:lineRule="auto"/>
              <w:jc w:val="center"/>
              <w:rPr>
                <w:rFonts w:hint="eastAsia" w:ascii="宋体" w:hAnsi="宋体" w:eastAsia="宋体" w:cs="Times New Roman"/>
                <w:b/>
                <w:kern w:val="0"/>
                <w:szCs w:val="21"/>
              </w:rPr>
            </w:pPr>
          </w:p>
        </w:tc>
        <w:tc>
          <w:tcPr>
            <w:tcW w:w="998" w:type="dxa"/>
            <w:vAlign w:val="center"/>
          </w:tcPr>
          <w:p w14:paraId="254C1F2E">
            <w:pPr>
              <w:spacing w:line="300" w:lineRule="auto"/>
              <w:jc w:val="center"/>
              <w:rPr>
                <w:rFonts w:hint="eastAsia" w:ascii="宋体" w:hAnsi="宋体" w:eastAsia="宋体" w:cs="Times New Roman"/>
                <w:b/>
                <w:color w:val="FF0000"/>
                <w:kern w:val="0"/>
                <w:szCs w:val="21"/>
              </w:rPr>
            </w:pPr>
          </w:p>
        </w:tc>
      </w:tr>
      <w:tr w14:paraId="09E9F73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0145AF5C">
            <w:pPr>
              <w:jc w:val="center"/>
              <w:rPr>
                <w:rFonts w:hint="eastAsia" w:ascii="宋体" w:hAnsi="宋体" w:eastAsia="宋体" w:cs="Times New Roman"/>
                <w:b/>
                <w:color w:val="FF0000"/>
                <w:kern w:val="0"/>
                <w:szCs w:val="21"/>
              </w:rPr>
            </w:pPr>
          </w:p>
        </w:tc>
        <w:tc>
          <w:tcPr>
            <w:tcW w:w="910" w:type="dxa"/>
            <w:vMerge w:val="continue"/>
            <w:vAlign w:val="center"/>
          </w:tcPr>
          <w:p w14:paraId="2F350C67">
            <w:pPr>
              <w:jc w:val="center"/>
            </w:pPr>
          </w:p>
        </w:tc>
        <w:tc>
          <w:tcPr>
            <w:tcW w:w="3987" w:type="dxa"/>
            <w:shd w:val="clear" w:color="auto" w:fill="auto"/>
            <w:vAlign w:val="center"/>
          </w:tcPr>
          <w:p w14:paraId="541FC210">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10.1▲采样流量范围80～130L/min，准确度：≤±2.5%。</w:t>
            </w:r>
          </w:p>
        </w:tc>
        <w:tc>
          <w:tcPr>
            <w:tcW w:w="969" w:type="dxa"/>
            <w:vAlign w:val="center"/>
          </w:tcPr>
          <w:p w14:paraId="47E6D48F">
            <w:pPr>
              <w:spacing w:line="300" w:lineRule="auto"/>
              <w:jc w:val="center"/>
              <w:rPr>
                <w:rFonts w:hint="eastAsia" w:ascii="宋体" w:hAnsi="宋体" w:eastAsia="宋体" w:cs="Times New Roman"/>
                <w:b/>
                <w:kern w:val="0"/>
                <w:szCs w:val="21"/>
              </w:rPr>
            </w:pPr>
          </w:p>
        </w:tc>
        <w:tc>
          <w:tcPr>
            <w:tcW w:w="885" w:type="dxa"/>
            <w:vAlign w:val="center"/>
          </w:tcPr>
          <w:p w14:paraId="1256225B">
            <w:pPr>
              <w:spacing w:line="300" w:lineRule="auto"/>
              <w:jc w:val="center"/>
              <w:rPr>
                <w:rFonts w:hint="eastAsia" w:ascii="宋体" w:hAnsi="宋体" w:eastAsia="宋体" w:cs="Times New Roman"/>
                <w:b/>
                <w:kern w:val="0"/>
                <w:szCs w:val="21"/>
              </w:rPr>
            </w:pPr>
          </w:p>
        </w:tc>
        <w:tc>
          <w:tcPr>
            <w:tcW w:w="998" w:type="dxa"/>
            <w:vAlign w:val="center"/>
          </w:tcPr>
          <w:p w14:paraId="4D92C13A">
            <w:pPr>
              <w:spacing w:line="300" w:lineRule="auto"/>
              <w:jc w:val="center"/>
              <w:rPr>
                <w:rFonts w:hint="eastAsia" w:ascii="宋体" w:hAnsi="宋体" w:eastAsia="宋体" w:cs="Times New Roman"/>
                <w:b/>
                <w:color w:val="FF0000"/>
                <w:kern w:val="0"/>
                <w:szCs w:val="21"/>
              </w:rPr>
            </w:pPr>
          </w:p>
        </w:tc>
      </w:tr>
      <w:tr w14:paraId="66796A2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5760AC0F">
            <w:pPr>
              <w:jc w:val="center"/>
              <w:rPr>
                <w:rFonts w:hint="eastAsia" w:ascii="宋体" w:hAnsi="宋体" w:eastAsia="宋体" w:cs="Times New Roman"/>
                <w:b/>
                <w:color w:val="FF0000"/>
                <w:kern w:val="0"/>
                <w:szCs w:val="21"/>
              </w:rPr>
            </w:pPr>
          </w:p>
        </w:tc>
        <w:tc>
          <w:tcPr>
            <w:tcW w:w="910" w:type="dxa"/>
            <w:vMerge w:val="continue"/>
            <w:vAlign w:val="center"/>
          </w:tcPr>
          <w:p w14:paraId="691A3F11">
            <w:pPr>
              <w:jc w:val="center"/>
            </w:pPr>
          </w:p>
        </w:tc>
        <w:tc>
          <w:tcPr>
            <w:tcW w:w="3987" w:type="dxa"/>
            <w:shd w:val="clear" w:color="auto" w:fill="auto"/>
            <w:vAlign w:val="center"/>
          </w:tcPr>
          <w:p w14:paraId="5ED50237">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10.2滤膜有效直径φ90mm±1mm。</w:t>
            </w:r>
          </w:p>
        </w:tc>
        <w:tc>
          <w:tcPr>
            <w:tcW w:w="969" w:type="dxa"/>
            <w:vAlign w:val="center"/>
          </w:tcPr>
          <w:p w14:paraId="52285ED1">
            <w:pPr>
              <w:spacing w:line="300" w:lineRule="auto"/>
              <w:jc w:val="center"/>
              <w:rPr>
                <w:rFonts w:hint="eastAsia" w:ascii="宋体" w:hAnsi="宋体" w:eastAsia="宋体" w:cs="Times New Roman"/>
                <w:b/>
                <w:kern w:val="0"/>
                <w:szCs w:val="21"/>
              </w:rPr>
            </w:pPr>
          </w:p>
        </w:tc>
        <w:tc>
          <w:tcPr>
            <w:tcW w:w="885" w:type="dxa"/>
            <w:vAlign w:val="center"/>
          </w:tcPr>
          <w:p w14:paraId="7A218601">
            <w:pPr>
              <w:spacing w:line="300" w:lineRule="auto"/>
              <w:jc w:val="center"/>
              <w:rPr>
                <w:rFonts w:hint="eastAsia" w:ascii="宋体" w:hAnsi="宋体" w:eastAsia="宋体" w:cs="Times New Roman"/>
                <w:b/>
                <w:kern w:val="0"/>
                <w:szCs w:val="21"/>
              </w:rPr>
            </w:pPr>
          </w:p>
        </w:tc>
        <w:tc>
          <w:tcPr>
            <w:tcW w:w="998" w:type="dxa"/>
            <w:vAlign w:val="center"/>
          </w:tcPr>
          <w:p w14:paraId="05E9F292">
            <w:pPr>
              <w:spacing w:line="300" w:lineRule="auto"/>
              <w:jc w:val="center"/>
              <w:rPr>
                <w:rFonts w:hint="eastAsia" w:ascii="宋体" w:hAnsi="宋体" w:eastAsia="宋体" w:cs="Times New Roman"/>
                <w:b/>
                <w:color w:val="FF0000"/>
                <w:kern w:val="0"/>
                <w:szCs w:val="21"/>
              </w:rPr>
            </w:pPr>
          </w:p>
        </w:tc>
      </w:tr>
      <w:tr w14:paraId="7FD7AFE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vAlign w:val="center"/>
          </w:tcPr>
          <w:p w14:paraId="1C6B7E9E">
            <w:pPr>
              <w:jc w:val="center"/>
              <w:rPr>
                <w:rFonts w:hint="eastAsia" w:ascii="宋体" w:hAnsi="宋体" w:eastAsia="宋体" w:cs="Times New Roman"/>
                <w:b/>
                <w:color w:val="FF0000"/>
                <w:kern w:val="0"/>
                <w:szCs w:val="21"/>
              </w:rPr>
            </w:pPr>
          </w:p>
        </w:tc>
        <w:tc>
          <w:tcPr>
            <w:tcW w:w="910" w:type="dxa"/>
            <w:vMerge w:val="continue"/>
            <w:vAlign w:val="center"/>
          </w:tcPr>
          <w:p w14:paraId="4110902D">
            <w:pPr>
              <w:jc w:val="center"/>
            </w:pPr>
          </w:p>
        </w:tc>
        <w:tc>
          <w:tcPr>
            <w:tcW w:w="3987" w:type="dxa"/>
            <w:shd w:val="clear" w:color="auto" w:fill="auto"/>
            <w:vAlign w:val="center"/>
          </w:tcPr>
          <w:p w14:paraId="7E5C95D7">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10.3气体流量范围0.1~1L/min，准确度：≤±2.5%。</w:t>
            </w:r>
          </w:p>
        </w:tc>
        <w:tc>
          <w:tcPr>
            <w:tcW w:w="969" w:type="dxa"/>
            <w:vAlign w:val="center"/>
          </w:tcPr>
          <w:p w14:paraId="60E2B1B2">
            <w:pPr>
              <w:spacing w:line="300" w:lineRule="auto"/>
              <w:jc w:val="center"/>
              <w:rPr>
                <w:rFonts w:hint="eastAsia" w:ascii="宋体" w:hAnsi="宋体" w:eastAsia="宋体" w:cs="Times New Roman"/>
                <w:b/>
                <w:kern w:val="0"/>
                <w:szCs w:val="21"/>
              </w:rPr>
            </w:pPr>
          </w:p>
        </w:tc>
        <w:tc>
          <w:tcPr>
            <w:tcW w:w="885" w:type="dxa"/>
            <w:vAlign w:val="center"/>
          </w:tcPr>
          <w:p w14:paraId="71C7FE31">
            <w:pPr>
              <w:spacing w:line="300" w:lineRule="auto"/>
              <w:jc w:val="center"/>
              <w:rPr>
                <w:rFonts w:hint="eastAsia" w:ascii="宋体" w:hAnsi="宋体" w:eastAsia="宋体" w:cs="Times New Roman"/>
                <w:b/>
                <w:kern w:val="0"/>
                <w:szCs w:val="21"/>
              </w:rPr>
            </w:pPr>
          </w:p>
        </w:tc>
        <w:tc>
          <w:tcPr>
            <w:tcW w:w="998" w:type="dxa"/>
            <w:vAlign w:val="center"/>
          </w:tcPr>
          <w:p w14:paraId="388A6302">
            <w:pPr>
              <w:spacing w:line="300" w:lineRule="auto"/>
              <w:jc w:val="center"/>
              <w:rPr>
                <w:rFonts w:hint="eastAsia" w:ascii="宋体" w:hAnsi="宋体" w:eastAsia="宋体" w:cs="Times New Roman"/>
                <w:b/>
                <w:color w:val="FF0000"/>
                <w:kern w:val="0"/>
                <w:szCs w:val="21"/>
              </w:rPr>
            </w:pPr>
          </w:p>
        </w:tc>
      </w:tr>
      <w:tr w14:paraId="56A2861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tcPr>
          <w:p w14:paraId="74850F47">
            <w:pPr>
              <w:jc w:val="center"/>
              <w:rPr>
                <w:rFonts w:hint="eastAsia" w:ascii="宋体" w:hAnsi="宋体" w:eastAsia="宋体" w:cs="Times New Roman"/>
                <w:b/>
                <w:color w:val="FF0000"/>
                <w:kern w:val="0"/>
                <w:szCs w:val="21"/>
              </w:rPr>
            </w:pPr>
          </w:p>
        </w:tc>
        <w:tc>
          <w:tcPr>
            <w:tcW w:w="910" w:type="dxa"/>
            <w:vMerge w:val="continue"/>
          </w:tcPr>
          <w:p w14:paraId="08DFFF2A">
            <w:pPr>
              <w:jc w:val="center"/>
            </w:pPr>
          </w:p>
        </w:tc>
        <w:tc>
          <w:tcPr>
            <w:tcW w:w="3987" w:type="dxa"/>
            <w:shd w:val="clear" w:color="auto" w:fill="auto"/>
            <w:vAlign w:val="center"/>
          </w:tcPr>
          <w:p w14:paraId="774F8BF5">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10.4气体稳定性100L/min时，当电压在198V～242V波动，阻力在3～8kPa，流量小于3%。</w:t>
            </w:r>
          </w:p>
        </w:tc>
        <w:tc>
          <w:tcPr>
            <w:tcW w:w="0" w:type="auto"/>
          </w:tcPr>
          <w:p w14:paraId="4B491D86">
            <w:pPr>
              <w:spacing w:line="300" w:lineRule="auto"/>
              <w:jc w:val="center"/>
              <w:rPr>
                <w:rFonts w:hint="eastAsia" w:ascii="宋体" w:hAnsi="宋体" w:eastAsia="宋体" w:cs="Times New Roman"/>
                <w:b/>
                <w:kern w:val="0"/>
                <w:szCs w:val="21"/>
              </w:rPr>
            </w:pPr>
          </w:p>
        </w:tc>
        <w:tc>
          <w:tcPr>
            <w:tcW w:w="0" w:type="auto"/>
          </w:tcPr>
          <w:p w14:paraId="4BDAC830">
            <w:pPr>
              <w:spacing w:line="300" w:lineRule="auto"/>
              <w:jc w:val="center"/>
              <w:rPr>
                <w:rFonts w:hint="eastAsia" w:ascii="宋体" w:hAnsi="宋体" w:eastAsia="宋体" w:cs="Times New Roman"/>
                <w:b/>
                <w:kern w:val="0"/>
                <w:szCs w:val="21"/>
              </w:rPr>
            </w:pPr>
          </w:p>
        </w:tc>
        <w:tc>
          <w:tcPr>
            <w:tcW w:w="0" w:type="auto"/>
          </w:tcPr>
          <w:p w14:paraId="17653958">
            <w:pPr>
              <w:spacing w:line="300" w:lineRule="auto"/>
              <w:jc w:val="center"/>
              <w:rPr>
                <w:rFonts w:hint="eastAsia" w:ascii="宋体" w:hAnsi="宋体" w:eastAsia="宋体" w:cs="Times New Roman"/>
                <w:b/>
                <w:color w:val="FF0000"/>
                <w:kern w:val="0"/>
                <w:szCs w:val="21"/>
              </w:rPr>
            </w:pPr>
          </w:p>
        </w:tc>
      </w:tr>
      <w:tr w14:paraId="5FEF725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tcPr>
          <w:p w14:paraId="00F78830">
            <w:pPr>
              <w:jc w:val="center"/>
              <w:rPr>
                <w:rFonts w:hint="eastAsia" w:ascii="宋体" w:hAnsi="宋体" w:eastAsia="宋体" w:cs="Times New Roman"/>
                <w:b/>
                <w:color w:val="FF0000"/>
                <w:kern w:val="0"/>
                <w:szCs w:val="21"/>
              </w:rPr>
            </w:pPr>
          </w:p>
        </w:tc>
        <w:tc>
          <w:tcPr>
            <w:tcW w:w="910" w:type="dxa"/>
            <w:vMerge w:val="continue"/>
          </w:tcPr>
          <w:p w14:paraId="71D1633A">
            <w:pPr>
              <w:jc w:val="center"/>
            </w:pPr>
          </w:p>
        </w:tc>
        <w:tc>
          <w:tcPr>
            <w:tcW w:w="3987" w:type="dxa"/>
            <w:shd w:val="clear" w:color="auto" w:fill="auto"/>
            <w:vAlign w:val="center"/>
          </w:tcPr>
          <w:p w14:paraId="0502C2DC">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10.5预置采时≤99小时，准确度：≤0.1%。</w:t>
            </w:r>
          </w:p>
        </w:tc>
        <w:tc>
          <w:tcPr>
            <w:tcW w:w="0" w:type="auto"/>
          </w:tcPr>
          <w:p w14:paraId="29F87ADA">
            <w:pPr>
              <w:spacing w:line="300" w:lineRule="auto"/>
              <w:jc w:val="center"/>
              <w:rPr>
                <w:rFonts w:hint="eastAsia" w:ascii="宋体" w:hAnsi="宋体" w:eastAsia="宋体" w:cs="Times New Roman"/>
                <w:b/>
                <w:kern w:val="0"/>
                <w:szCs w:val="21"/>
              </w:rPr>
            </w:pPr>
          </w:p>
        </w:tc>
        <w:tc>
          <w:tcPr>
            <w:tcW w:w="0" w:type="auto"/>
          </w:tcPr>
          <w:p w14:paraId="3FBE8B36">
            <w:pPr>
              <w:spacing w:line="300" w:lineRule="auto"/>
              <w:jc w:val="center"/>
              <w:rPr>
                <w:rFonts w:hint="eastAsia" w:ascii="宋体" w:hAnsi="宋体" w:eastAsia="宋体" w:cs="Times New Roman"/>
                <w:b/>
                <w:kern w:val="0"/>
                <w:szCs w:val="21"/>
              </w:rPr>
            </w:pPr>
          </w:p>
        </w:tc>
        <w:tc>
          <w:tcPr>
            <w:tcW w:w="0" w:type="auto"/>
          </w:tcPr>
          <w:p w14:paraId="43BB82DC">
            <w:pPr>
              <w:spacing w:line="300" w:lineRule="auto"/>
              <w:jc w:val="center"/>
              <w:rPr>
                <w:rFonts w:hint="eastAsia" w:ascii="宋体" w:hAnsi="宋体" w:eastAsia="宋体" w:cs="Times New Roman"/>
                <w:b/>
                <w:color w:val="FF0000"/>
                <w:kern w:val="0"/>
                <w:szCs w:val="21"/>
              </w:rPr>
            </w:pPr>
          </w:p>
        </w:tc>
      </w:tr>
      <w:tr w14:paraId="317CD3A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tcPr>
          <w:p w14:paraId="212F66DB">
            <w:pPr>
              <w:jc w:val="center"/>
              <w:rPr>
                <w:rFonts w:hint="eastAsia" w:ascii="宋体" w:hAnsi="宋体" w:eastAsia="宋体" w:cs="Times New Roman"/>
                <w:b/>
                <w:color w:val="FF0000"/>
                <w:kern w:val="0"/>
                <w:szCs w:val="21"/>
              </w:rPr>
            </w:pPr>
          </w:p>
        </w:tc>
        <w:tc>
          <w:tcPr>
            <w:tcW w:w="910" w:type="dxa"/>
            <w:vMerge w:val="continue"/>
          </w:tcPr>
          <w:p w14:paraId="26694100">
            <w:pPr>
              <w:jc w:val="center"/>
            </w:pPr>
          </w:p>
        </w:tc>
        <w:tc>
          <w:tcPr>
            <w:tcW w:w="3987" w:type="dxa"/>
            <w:shd w:val="clear" w:color="auto" w:fill="auto"/>
            <w:vAlign w:val="center"/>
          </w:tcPr>
          <w:p w14:paraId="50666665">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10.6计时精度≤±1‰/24h。</w:t>
            </w:r>
          </w:p>
        </w:tc>
        <w:tc>
          <w:tcPr>
            <w:tcW w:w="0" w:type="auto"/>
          </w:tcPr>
          <w:p w14:paraId="3386D359">
            <w:pPr>
              <w:spacing w:line="300" w:lineRule="auto"/>
              <w:jc w:val="center"/>
              <w:rPr>
                <w:rFonts w:hint="eastAsia" w:ascii="宋体" w:hAnsi="宋体" w:eastAsia="宋体" w:cs="Times New Roman"/>
                <w:b/>
                <w:kern w:val="0"/>
                <w:szCs w:val="21"/>
              </w:rPr>
            </w:pPr>
          </w:p>
        </w:tc>
        <w:tc>
          <w:tcPr>
            <w:tcW w:w="0" w:type="auto"/>
          </w:tcPr>
          <w:p w14:paraId="5AA520B5">
            <w:pPr>
              <w:spacing w:line="300" w:lineRule="auto"/>
              <w:jc w:val="center"/>
              <w:rPr>
                <w:rFonts w:hint="eastAsia" w:ascii="宋体" w:hAnsi="宋体" w:eastAsia="宋体" w:cs="Times New Roman"/>
                <w:b/>
                <w:kern w:val="0"/>
                <w:szCs w:val="21"/>
              </w:rPr>
            </w:pPr>
          </w:p>
        </w:tc>
        <w:tc>
          <w:tcPr>
            <w:tcW w:w="0" w:type="auto"/>
          </w:tcPr>
          <w:p w14:paraId="17F26732">
            <w:pPr>
              <w:spacing w:line="300" w:lineRule="auto"/>
              <w:jc w:val="center"/>
              <w:rPr>
                <w:rFonts w:hint="eastAsia" w:ascii="宋体" w:hAnsi="宋体" w:eastAsia="宋体" w:cs="Times New Roman"/>
                <w:b/>
                <w:color w:val="FF0000"/>
                <w:kern w:val="0"/>
                <w:szCs w:val="21"/>
              </w:rPr>
            </w:pPr>
          </w:p>
        </w:tc>
      </w:tr>
      <w:tr w14:paraId="2B19537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tcPr>
          <w:p w14:paraId="6C3ABAD8">
            <w:pPr>
              <w:jc w:val="center"/>
              <w:rPr>
                <w:rFonts w:hint="eastAsia" w:ascii="宋体" w:hAnsi="宋体" w:eastAsia="宋体" w:cs="Times New Roman"/>
                <w:b/>
                <w:color w:val="FF0000"/>
                <w:kern w:val="0"/>
                <w:szCs w:val="21"/>
              </w:rPr>
            </w:pPr>
          </w:p>
        </w:tc>
        <w:tc>
          <w:tcPr>
            <w:tcW w:w="910" w:type="dxa"/>
            <w:vMerge w:val="continue"/>
          </w:tcPr>
          <w:p w14:paraId="20A242A7">
            <w:pPr>
              <w:jc w:val="center"/>
            </w:pPr>
          </w:p>
        </w:tc>
        <w:tc>
          <w:tcPr>
            <w:tcW w:w="3987" w:type="dxa"/>
            <w:shd w:val="clear" w:color="auto" w:fill="auto"/>
            <w:vAlign w:val="center"/>
          </w:tcPr>
          <w:p w14:paraId="564A2340">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10.7恒流响应速度≤3%。</w:t>
            </w:r>
          </w:p>
        </w:tc>
        <w:tc>
          <w:tcPr>
            <w:tcW w:w="0" w:type="auto"/>
          </w:tcPr>
          <w:p w14:paraId="6FDE802A">
            <w:pPr>
              <w:spacing w:line="300" w:lineRule="auto"/>
              <w:jc w:val="center"/>
              <w:rPr>
                <w:rFonts w:hint="eastAsia" w:ascii="宋体" w:hAnsi="宋体" w:eastAsia="宋体" w:cs="Times New Roman"/>
                <w:b/>
                <w:kern w:val="0"/>
                <w:szCs w:val="21"/>
              </w:rPr>
            </w:pPr>
          </w:p>
        </w:tc>
        <w:tc>
          <w:tcPr>
            <w:tcW w:w="0" w:type="auto"/>
          </w:tcPr>
          <w:p w14:paraId="6D2172CF">
            <w:pPr>
              <w:spacing w:line="300" w:lineRule="auto"/>
              <w:jc w:val="center"/>
              <w:rPr>
                <w:rFonts w:hint="eastAsia" w:ascii="宋体" w:hAnsi="宋体" w:eastAsia="宋体" w:cs="Times New Roman"/>
                <w:b/>
                <w:kern w:val="0"/>
                <w:szCs w:val="21"/>
              </w:rPr>
            </w:pPr>
          </w:p>
        </w:tc>
        <w:tc>
          <w:tcPr>
            <w:tcW w:w="0" w:type="auto"/>
          </w:tcPr>
          <w:p w14:paraId="1E8727DD">
            <w:pPr>
              <w:spacing w:line="300" w:lineRule="auto"/>
              <w:jc w:val="center"/>
              <w:rPr>
                <w:rFonts w:hint="eastAsia" w:ascii="宋体" w:hAnsi="宋体" w:eastAsia="宋体" w:cs="Times New Roman"/>
                <w:b/>
                <w:color w:val="FF0000"/>
                <w:kern w:val="0"/>
                <w:szCs w:val="21"/>
              </w:rPr>
            </w:pPr>
          </w:p>
        </w:tc>
      </w:tr>
      <w:tr w14:paraId="123C59E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tcPr>
          <w:p w14:paraId="21185889">
            <w:pPr>
              <w:jc w:val="center"/>
              <w:rPr>
                <w:rFonts w:hint="eastAsia" w:ascii="宋体" w:hAnsi="宋体" w:eastAsia="宋体" w:cs="Times New Roman"/>
                <w:b/>
                <w:color w:val="FF0000"/>
                <w:kern w:val="0"/>
                <w:szCs w:val="21"/>
              </w:rPr>
            </w:pPr>
          </w:p>
        </w:tc>
        <w:tc>
          <w:tcPr>
            <w:tcW w:w="910" w:type="dxa"/>
            <w:vMerge w:val="continue"/>
          </w:tcPr>
          <w:p w14:paraId="1B684C6A">
            <w:pPr>
              <w:jc w:val="center"/>
            </w:pPr>
          </w:p>
        </w:tc>
        <w:tc>
          <w:tcPr>
            <w:tcW w:w="3987" w:type="dxa"/>
            <w:shd w:val="clear" w:color="auto" w:fill="auto"/>
            <w:vAlign w:val="center"/>
          </w:tcPr>
          <w:p w14:paraId="6E61E0AB">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10.8预置采时≤99小时，准确度：≤0.1%。</w:t>
            </w:r>
          </w:p>
        </w:tc>
        <w:tc>
          <w:tcPr>
            <w:tcW w:w="0" w:type="auto"/>
          </w:tcPr>
          <w:p w14:paraId="429BB098">
            <w:pPr>
              <w:spacing w:line="300" w:lineRule="auto"/>
              <w:jc w:val="center"/>
              <w:rPr>
                <w:rFonts w:hint="eastAsia" w:ascii="宋体" w:hAnsi="宋体" w:eastAsia="宋体" w:cs="Times New Roman"/>
                <w:b/>
                <w:kern w:val="0"/>
                <w:szCs w:val="21"/>
              </w:rPr>
            </w:pPr>
          </w:p>
        </w:tc>
        <w:tc>
          <w:tcPr>
            <w:tcW w:w="0" w:type="auto"/>
          </w:tcPr>
          <w:p w14:paraId="696516A5">
            <w:pPr>
              <w:spacing w:line="300" w:lineRule="auto"/>
              <w:jc w:val="center"/>
              <w:rPr>
                <w:rFonts w:hint="eastAsia" w:ascii="宋体" w:hAnsi="宋体" w:eastAsia="宋体" w:cs="Times New Roman"/>
                <w:b/>
                <w:kern w:val="0"/>
                <w:szCs w:val="21"/>
              </w:rPr>
            </w:pPr>
          </w:p>
        </w:tc>
        <w:tc>
          <w:tcPr>
            <w:tcW w:w="0" w:type="auto"/>
          </w:tcPr>
          <w:p w14:paraId="5ADEB382">
            <w:pPr>
              <w:spacing w:line="300" w:lineRule="auto"/>
              <w:jc w:val="center"/>
              <w:rPr>
                <w:rFonts w:hint="eastAsia" w:ascii="宋体" w:hAnsi="宋体" w:eastAsia="宋体" w:cs="Times New Roman"/>
                <w:b/>
                <w:color w:val="FF0000"/>
                <w:kern w:val="0"/>
                <w:szCs w:val="21"/>
              </w:rPr>
            </w:pPr>
          </w:p>
        </w:tc>
      </w:tr>
      <w:tr w14:paraId="30D602F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tcPr>
          <w:p w14:paraId="6CD93490">
            <w:pPr>
              <w:jc w:val="center"/>
              <w:rPr>
                <w:rFonts w:hint="eastAsia" w:ascii="宋体" w:hAnsi="宋体" w:eastAsia="宋体" w:cs="Times New Roman"/>
                <w:b/>
                <w:color w:val="FF0000"/>
                <w:kern w:val="0"/>
                <w:szCs w:val="21"/>
              </w:rPr>
            </w:pPr>
          </w:p>
        </w:tc>
        <w:tc>
          <w:tcPr>
            <w:tcW w:w="910" w:type="dxa"/>
            <w:vMerge w:val="continue"/>
          </w:tcPr>
          <w:p w14:paraId="0BCA1013">
            <w:pPr>
              <w:jc w:val="center"/>
            </w:pPr>
          </w:p>
        </w:tc>
        <w:tc>
          <w:tcPr>
            <w:tcW w:w="3987" w:type="dxa"/>
            <w:shd w:val="clear" w:color="auto" w:fill="auto"/>
            <w:vAlign w:val="center"/>
          </w:tcPr>
          <w:p w14:paraId="73A2CC9E">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10.9▲采样定时：0-99小时可调。</w:t>
            </w:r>
          </w:p>
        </w:tc>
        <w:tc>
          <w:tcPr>
            <w:tcW w:w="0" w:type="auto"/>
          </w:tcPr>
          <w:p w14:paraId="150D1EBC">
            <w:pPr>
              <w:spacing w:line="300" w:lineRule="auto"/>
              <w:jc w:val="center"/>
              <w:rPr>
                <w:rFonts w:hint="eastAsia" w:ascii="宋体" w:hAnsi="宋体" w:eastAsia="宋体" w:cs="Times New Roman"/>
                <w:b/>
                <w:kern w:val="0"/>
                <w:szCs w:val="21"/>
              </w:rPr>
            </w:pPr>
          </w:p>
        </w:tc>
        <w:tc>
          <w:tcPr>
            <w:tcW w:w="0" w:type="auto"/>
          </w:tcPr>
          <w:p w14:paraId="5ACAE940">
            <w:pPr>
              <w:spacing w:line="300" w:lineRule="auto"/>
              <w:jc w:val="center"/>
              <w:rPr>
                <w:rFonts w:hint="eastAsia" w:ascii="宋体" w:hAnsi="宋体" w:eastAsia="宋体" w:cs="Times New Roman"/>
                <w:b/>
                <w:kern w:val="0"/>
                <w:szCs w:val="21"/>
              </w:rPr>
            </w:pPr>
          </w:p>
        </w:tc>
        <w:tc>
          <w:tcPr>
            <w:tcW w:w="0" w:type="auto"/>
          </w:tcPr>
          <w:p w14:paraId="16A44E48">
            <w:pPr>
              <w:spacing w:line="300" w:lineRule="auto"/>
              <w:jc w:val="center"/>
              <w:rPr>
                <w:rFonts w:hint="eastAsia" w:ascii="宋体" w:hAnsi="宋体" w:eastAsia="宋体" w:cs="Times New Roman"/>
                <w:b/>
                <w:color w:val="FF0000"/>
                <w:kern w:val="0"/>
                <w:szCs w:val="21"/>
              </w:rPr>
            </w:pPr>
          </w:p>
        </w:tc>
      </w:tr>
      <w:tr w14:paraId="6B38706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tcPr>
          <w:p w14:paraId="36BCC349">
            <w:pPr>
              <w:jc w:val="center"/>
              <w:rPr>
                <w:rFonts w:hint="eastAsia" w:ascii="宋体" w:hAnsi="宋体" w:eastAsia="宋体" w:cs="Times New Roman"/>
                <w:b/>
                <w:color w:val="FF0000"/>
                <w:kern w:val="0"/>
                <w:szCs w:val="21"/>
              </w:rPr>
            </w:pPr>
          </w:p>
        </w:tc>
        <w:tc>
          <w:tcPr>
            <w:tcW w:w="910" w:type="dxa"/>
            <w:vMerge w:val="continue"/>
          </w:tcPr>
          <w:p w14:paraId="733967AF">
            <w:pPr>
              <w:jc w:val="center"/>
            </w:pPr>
          </w:p>
        </w:tc>
        <w:tc>
          <w:tcPr>
            <w:tcW w:w="3987" w:type="dxa"/>
            <w:shd w:val="clear" w:color="auto" w:fill="auto"/>
            <w:vAlign w:val="center"/>
          </w:tcPr>
          <w:p w14:paraId="7E620EC1">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10.10仪器可预置开机时间、采样时间、间隔时间、采样流量。</w:t>
            </w:r>
          </w:p>
        </w:tc>
        <w:tc>
          <w:tcPr>
            <w:tcW w:w="0" w:type="auto"/>
          </w:tcPr>
          <w:p w14:paraId="2FE3E0AD">
            <w:pPr>
              <w:spacing w:line="300" w:lineRule="auto"/>
              <w:jc w:val="center"/>
              <w:rPr>
                <w:rFonts w:hint="eastAsia" w:ascii="宋体" w:hAnsi="宋体" w:eastAsia="宋体" w:cs="Times New Roman"/>
                <w:b/>
                <w:kern w:val="0"/>
                <w:szCs w:val="21"/>
              </w:rPr>
            </w:pPr>
          </w:p>
        </w:tc>
        <w:tc>
          <w:tcPr>
            <w:tcW w:w="0" w:type="auto"/>
          </w:tcPr>
          <w:p w14:paraId="636426A6">
            <w:pPr>
              <w:spacing w:line="300" w:lineRule="auto"/>
              <w:jc w:val="center"/>
              <w:rPr>
                <w:rFonts w:hint="eastAsia" w:ascii="宋体" w:hAnsi="宋体" w:eastAsia="宋体" w:cs="Times New Roman"/>
                <w:b/>
                <w:kern w:val="0"/>
                <w:szCs w:val="21"/>
              </w:rPr>
            </w:pPr>
          </w:p>
        </w:tc>
        <w:tc>
          <w:tcPr>
            <w:tcW w:w="0" w:type="auto"/>
          </w:tcPr>
          <w:p w14:paraId="559AEFE3">
            <w:pPr>
              <w:spacing w:line="300" w:lineRule="auto"/>
              <w:jc w:val="center"/>
              <w:rPr>
                <w:rFonts w:hint="eastAsia" w:ascii="宋体" w:hAnsi="宋体" w:eastAsia="宋体" w:cs="Times New Roman"/>
                <w:b/>
                <w:color w:val="FF0000"/>
                <w:kern w:val="0"/>
                <w:szCs w:val="21"/>
              </w:rPr>
            </w:pPr>
          </w:p>
        </w:tc>
      </w:tr>
      <w:tr w14:paraId="56AA839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tcPr>
          <w:p w14:paraId="744A8FFA">
            <w:pPr>
              <w:jc w:val="center"/>
              <w:rPr>
                <w:rFonts w:hint="eastAsia" w:ascii="宋体" w:hAnsi="宋体" w:eastAsia="宋体" w:cs="Times New Roman"/>
                <w:b/>
                <w:color w:val="FF0000"/>
                <w:kern w:val="0"/>
                <w:szCs w:val="21"/>
              </w:rPr>
            </w:pPr>
          </w:p>
        </w:tc>
        <w:tc>
          <w:tcPr>
            <w:tcW w:w="910" w:type="dxa"/>
            <w:vMerge w:val="continue"/>
          </w:tcPr>
          <w:p w14:paraId="21D6033C">
            <w:pPr>
              <w:jc w:val="center"/>
            </w:pPr>
          </w:p>
        </w:tc>
        <w:tc>
          <w:tcPr>
            <w:tcW w:w="3987" w:type="dxa"/>
            <w:shd w:val="clear" w:color="auto" w:fill="auto"/>
            <w:vAlign w:val="center"/>
          </w:tcPr>
          <w:p w14:paraId="081064BB">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10.11▲数据安全可靠：掉电自动保护采样数据，来电恢复采样。</w:t>
            </w:r>
          </w:p>
        </w:tc>
        <w:tc>
          <w:tcPr>
            <w:tcW w:w="0" w:type="auto"/>
          </w:tcPr>
          <w:p w14:paraId="736A9DCD">
            <w:pPr>
              <w:spacing w:line="300" w:lineRule="auto"/>
              <w:jc w:val="center"/>
              <w:rPr>
                <w:rFonts w:hint="eastAsia" w:ascii="宋体" w:hAnsi="宋体" w:eastAsia="宋体" w:cs="Times New Roman"/>
                <w:b/>
                <w:kern w:val="0"/>
                <w:szCs w:val="21"/>
              </w:rPr>
            </w:pPr>
          </w:p>
        </w:tc>
        <w:tc>
          <w:tcPr>
            <w:tcW w:w="0" w:type="auto"/>
          </w:tcPr>
          <w:p w14:paraId="0874DA07">
            <w:pPr>
              <w:spacing w:line="300" w:lineRule="auto"/>
              <w:jc w:val="center"/>
              <w:rPr>
                <w:rFonts w:hint="eastAsia" w:ascii="宋体" w:hAnsi="宋体" w:eastAsia="宋体" w:cs="Times New Roman"/>
                <w:b/>
                <w:kern w:val="0"/>
                <w:szCs w:val="21"/>
              </w:rPr>
            </w:pPr>
          </w:p>
        </w:tc>
        <w:tc>
          <w:tcPr>
            <w:tcW w:w="0" w:type="auto"/>
          </w:tcPr>
          <w:p w14:paraId="603F4DBF">
            <w:pPr>
              <w:spacing w:line="300" w:lineRule="auto"/>
              <w:jc w:val="center"/>
              <w:rPr>
                <w:rFonts w:hint="eastAsia" w:ascii="宋体" w:hAnsi="宋体" w:eastAsia="宋体" w:cs="Times New Roman"/>
                <w:b/>
                <w:color w:val="FF0000"/>
                <w:kern w:val="0"/>
                <w:szCs w:val="21"/>
              </w:rPr>
            </w:pPr>
          </w:p>
        </w:tc>
      </w:tr>
      <w:tr w14:paraId="48E18E3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tcPr>
          <w:p w14:paraId="5EFAFD7E">
            <w:pPr>
              <w:jc w:val="center"/>
              <w:rPr>
                <w:rFonts w:hint="eastAsia" w:ascii="宋体" w:hAnsi="宋体" w:eastAsia="宋体" w:cs="Times New Roman"/>
                <w:b/>
                <w:color w:val="FF0000"/>
                <w:kern w:val="0"/>
                <w:szCs w:val="21"/>
              </w:rPr>
            </w:pPr>
          </w:p>
        </w:tc>
        <w:tc>
          <w:tcPr>
            <w:tcW w:w="910" w:type="dxa"/>
            <w:vMerge w:val="continue"/>
          </w:tcPr>
          <w:p w14:paraId="5A89C583">
            <w:pPr>
              <w:jc w:val="center"/>
            </w:pPr>
          </w:p>
        </w:tc>
        <w:tc>
          <w:tcPr>
            <w:tcW w:w="3987" w:type="dxa"/>
            <w:shd w:val="clear" w:color="auto" w:fill="auto"/>
            <w:vAlign w:val="center"/>
          </w:tcPr>
          <w:p w14:paraId="3DA7938D">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10.12▲可进行空气TSP采样，也可配上专用切割头对空气中的PM10-PM2.5微粒采样。</w:t>
            </w:r>
          </w:p>
        </w:tc>
        <w:tc>
          <w:tcPr>
            <w:tcW w:w="0" w:type="auto"/>
          </w:tcPr>
          <w:p w14:paraId="6ACD4B36">
            <w:pPr>
              <w:spacing w:line="300" w:lineRule="auto"/>
              <w:jc w:val="center"/>
              <w:rPr>
                <w:rFonts w:hint="eastAsia" w:ascii="宋体" w:hAnsi="宋体" w:eastAsia="宋体" w:cs="Times New Roman"/>
                <w:b/>
                <w:kern w:val="0"/>
                <w:szCs w:val="21"/>
              </w:rPr>
            </w:pPr>
          </w:p>
        </w:tc>
        <w:tc>
          <w:tcPr>
            <w:tcW w:w="0" w:type="auto"/>
          </w:tcPr>
          <w:p w14:paraId="131B7969">
            <w:pPr>
              <w:spacing w:line="300" w:lineRule="auto"/>
              <w:jc w:val="center"/>
              <w:rPr>
                <w:rFonts w:hint="eastAsia" w:ascii="宋体" w:hAnsi="宋体" w:eastAsia="宋体" w:cs="Times New Roman"/>
                <w:b/>
                <w:kern w:val="0"/>
                <w:szCs w:val="21"/>
              </w:rPr>
            </w:pPr>
          </w:p>
        </w:tc>
        <w:tc>
          <w:tcPr>
            <w:tcW w:w="0" w:type="auto"/>
          </w:tcPr>
          <w:p w14:paraId="13DD7AF2">
            <w:pPr>
              <w:spacing w:line="300" w:lineRule="auto"/>
              <w:jc w:val="center"/>
              <w:rPr>
                <w:rFonts w:hint="eastAsia" w:ascii="宋体" w:hAnsi="宋体" w:eastAsia="宋体" w:cs="Times New Roman"/>
                <w:b/>
                <w:color w:val="FF0000"/>
                <w:kern w:val="0"/>
                <w:szCs w:val="21"/>
              </w:rPr>
            </w:pPr>
          </w:p>
        </w:tc>
      </w:tr>
      <w:tr w14:paraId="382620D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8" w:hRule="atLeast"/>
        </w:trPr>
        <w:tc>
          <w:tcPr>
            <w:tcW w:w="587" w:type="dxa"/>
            <w:vMerge w:val="continue"/>
          </w:tcPr>
          <w:p w14:paraId="279E0EA0">
            <w:pPr>
              <w:jc w:val="center"/>
              <w:rPr>
                <w:rFonts w:hint="eastAsia" w:ascii="宋体" w:hAnsi="宋体" w:eastAsia="宋体" w:cs="Times New Roman"/>
                <w:b/>
                <w:color w:val="FF0000"/>
                <w:kern w:val="0"/>
                <w:szCs w:val="21"/>
              </w:rPr>
            </w:pPr>
          </w:p>
        </w:tc>
        <w:tc>
          <w:tcPr>
            <w:tcW w:w="910" w:type="dxa"/>
            <w:vMerge w:val="continue"/>
          </w:tcPr>
          <w:p w14:paraId="522089E4">
            <w:pPr>
              <w:jc w:val="center"/>
            </w:pPr>
          </w:p>
        </w:tc>
        <w:tc>
          <w:tcPr>
            <w:tcW w:w="3987" w:type="dxa"/>
            <w:shd w:val="clear" w:color="auto" w:fill="auto"/>
            <w:vAlign w:val="center"/>
          </w:tcPr>
          <w:p w14:paraId="29867811">
            <w:pPr>
              <w:keepNext w:val="0"/>
              <w:keepLines w:val="0"/>
              <w:widowControl/>
              <w:suppressLineNumbers w:val="0"/>
              <w:jc w:val="left"/>
              <w:textAlignment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10.13温度测量范围：-30～50℃，准确度：≤±1℃。</w:t>
            </w:r>
          </w:p>
        </w:tc>
        <w:tc>
          <w:tcPr>
            <w:tcW w:w="0" w:type="auto"/>
          </w:tcPr>
          <w:p w14:paraId="50D08CAB">
            <w:pPr>
              <w:spacing w:line="300" w:lineRule="auto"/>
              <w:jc w:val="center"/>
              <w:rPr>
                <w:rFonts w:hint="eastAsia" w:ascii="宋体" w:hAnsi="宋体" w:eastAsia="宋体" w:cs="Times New Roman"/>
                <w:b/>
                <w:kern w:val="0"/>
                <w:szCs w:val="21"/>
              </w:rPr>
            </w:pPr>
          </w:p>
        </w:tc>
        <w:tc>
          <w:tcPr>
            <w:tcW w:w="0" w:type="auto"/>
          </w:tcPr>
          <w:p w14:paraId="564E52B7">
            <w:pPr>
              <w:spacing w:line="300" w:lineRule="auto"/>
              <w:jc w:val="center"/>
              <w:rPr>
                <w:rFonts w:hint="eastAsia" w:ascii="宋体" w:hAnsi="宋体" w:eastAsia="宋体" w:cs="Times New Roman"/>
                <w:b/>
                <w:kern w:val="0"/>
                <w:szCs w:val="21"/>
              </w:rPr>
            </w:pPr>
          </w:p>
        </w:tc>
        <w:tc>
          <w:tcPr>
            <w:tcW w:w="0" w:type="auto"/>
          </w:tcPr>
          <w:p w14:paraId="760D76A1">
            <w:pPr>
              <w:spacing w:line="300" w:lineRule="auto"/>
              <w:jc w:val="center"/>
              <w:rPr>
                <w:rFonts w:hint="eastAsia" w:ascii="宋体" w:hAnsi="宋体" w:eastAsia="宋体" w:cs="Times New Roman"/>
                <w:b/>
                <w:color w:val="FF0000"/>
                <w:kern w:val="0"/>
                <w:szCs w:val="21"/>
              </w:rPr>
            </w:pPr>
          </w:p>
        </w:tc>
      </w:tr>
    </w:tbl>
    <w:p w14:paraId="4E125277">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2" w:name="_Hlk72095977"/>
      <w:r>
        <w:rPr>
          <w:rFonts w:hint="eastAsia"/>
          <w:sz w:val="21"/>
          <w:szCs w:val="21"/>
        </w:rPr>
        <w:t>证明资料【如有的话，提供的证明资料应统一编号（排序），格式自定】</w:t>
      </w:r>
      <w:bookmarkEnd w:id="62"/>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3" w:name="_Hlk72094407"/>
      <w:r>
        <w:rPr>
          <w:rFonts w:hint="eastAsia"/>
          <w:b w:val="0"/>
          <w:bCs/>
          <w:sz w:val="21"/>
          <w:szCs w:val="21"/>
        </w:rPr>
        <w:t>对应“用户需求书”中的“技术要求”章节</w:t>
      </w:r>
      <w:bookmarkEnd w:id="63"/>
      <w:r>
        <w:rPr>
          <w:rFonts w:hint="eastAsia"/>
          <w:b w:val="0"/>
          <w:bCs/>
          <w:sz w:val="21"/>
          <w:szCs w:val="21"/>
        </w:rPr>
        <w:t>相关内容。</w:t>
      </w:r>
    </w:p>
    <w:p w14:paraId="5A72316A">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4" w:name="_Hlk72158270"/>
      <w:r>
        <w:rPr>
          <w:rFonts w:hint="eastAsia"/>
          <w:b w:val="0"/>
          <w:bCs/>
          <w:sz w:val="21"/>
          <w:szCs w:val="21"/>
        </w:rPr>
        <w:t>“偏离情况”</w:t>
      </w:r>
      <w:bookmarkEnd w:id="64"/>
      <w:r>
        <w:rPr>
          <w:rFonts w:hint="eastAsia"/>
          <w:b w:val="0"/>
          <w:bCs/>
          <w:sz w:val="21"/>
          <w:szCs w:val="21"/>
        </w:rPr>
        <w:t>一栏填写如实填写“正偏离”、“负偏离”或“无偏离”，其中：</w:t>
      </w:r>
      <w:bookmarkStart w:id="65" w:name="_Hlk72093866"/>
      <w:r>
        <w:rPr>
          <w:rFonts w:hint="eastAsia"/>
          <w:b w:val="0"/>
          <w:bCs/>
          <w:sz w:val="21"/>
          <w:szCs w:val="21"/>
        </w:rPr>
        <w:t>“正偏离”表示“投标响应优于招标技术要求”，“负偏离”表示“投标响应不满足招标技术要求”，“无偏离”表示“投标响应与招标技术要求一致”</w:t>
      </w:r>
      <w:bookmarkEnd w:id="65"/>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6" w:name="_Hlk72096106"/>
      <w:r>
        <w:rPr>
          <w:rFonts w:hint="eastAsia"/>
          <w:b w:val="0"/>
          <w:bCs/>
          <w:sz w:val="21"/>
          <w:szCs w:val="21"/>
        </w:rPr>
        <w:t>证明资料条款响应要求</w:t>
      </w:r>
      <w:bookmarkEnd w:id="66"/>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7"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8" w:name="_Hlk73558164"/>
      <w:r>
        <w:rPr>
          <w:rFonts w:hint="eastAsia"/>
          <w:b w:val="0"/>
          <w:bCs/>
          <w:sz w:val="21"/>
          <w:szCs w:val="21"/>
        </w:rPr>
        <w:t>且投标人在“偏离情况”一栏响应为“正偏离”或“无偏离”的，经评审委员会认定，将判定为负偏离。</w:t>
      </w:r>
      <w:bookmarkEnd w:id="67"/>
      <w:bookmarkEnd w:id="68"/>
    </w:p>
    <w:p w14:paraId="40F3F29B">
      <w:pPr>
        <w:ind w:firstLine="420" w:firstLineChars="200"/>
        <w:rPr>
          <w:b w:val="0"/>
          <w:bCs/>
          <w:sz w:val="21"/>
          <w:szCs w:val="21"/>
        </w:rPr>
      </w:pPr>
      <w:r>
        <w:rPr>
          <w:rFonts w:hint="eastAsia"/>
          <w:b w:val="0"/>
          <w:bCs/>
          <w:sz w:val="21"/>
          <w:szCs w:val="21"/>
        </w:rPr>
        <w:t>6、</w:t>
      </w:r>
      <w:bookmarkStart w:id="69" w:name="_Hlk72096137"/>
      <w:r>
        <w:rPr>
          <w:rFonts w:hint="eastAsia"/>
          <w:b w:val="0"/>
          <w:bCs/>
          <w:sz w:val="21"/>
          <w:szCs w:val="21"/>
        </w:rPr>
        <w:t>表后“证明资料”部分内容的编制</w:t>
      </w:r>
      <w:bookmarkEnd w:id="69"/>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0" w:name="_Hlk73558180"/>
      <w:r>
        <w:rPr>
          <w:rFonts w:hint="eastAsia"/>
          <w:b w:val="0"/>
          <w:bCs/>
          <w:sz w:val="21"/>
          <w:szCs w:val="21"/>
        </w:rPr>
        <w:t>未按照招标文件要求在表后放置证明材料的供应商将承担不利后果，经评审委员会认定，相关技术要求将判定为负偏离。</w:t>
      </w:r>
      <w:bookmarkEnd w:id="70"/>
    </w:p>
    <w:p w14:paraId="68A00198">
      <w:pPr>
        <w:ind w:firstLine="420" w:firstLineChars="200"/>
        <w:rPr>
          <w:b w:val="0"/>
          <w:bCs/>
          <w:sz w:val="21"/>
          <w:szCs w:val="21"/>
        </w:rPr>
      </w:pPr>
      <w:r>
        <w:rPr>
          <w:rFonts w:hint="eastAsia"/>
          <w:b w:val="0"/>
          <w:bCs/>
          <w:sz w:val="21"/>
          <w:szCs w:val="21"/>
        </w:rPr>
        <w:t>7、</w:t>
      </w:r>
      <w:bookmarkStart w:id="71" w:name="_Hlk72096176"/>
      <w:r>
        <w:rPr>
          <w:rFonts w:hint="eastAsia"/>
          <w:b w:val="0"/>
          <w:bCs/>
          <w:sz w:val="21"/>
          <w:szCs w:val="21"/>
        </w:rPr>
        <w:t>证明资料的形式及其它具体要求</w:t>
      </w:r>
      <w:bookmarkEnd w:id="71"/>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2"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2"/>
    </w:p>
    <w:p w14:paraId="2DC790E4">
      <w:pPr>
        <w:ind w:firstLine="482" w:firstLineChars="200"/>
        <w:rPr>
          <w:b/>
          <w:sz w:val="24"/>
        </w:rPr>
      </w:pPr>
    </w:p>
    <w:p w14:paraId="762806FA">
      <w:pPr>
        <w:rPr>
          <w:sz w:val="24"/>
        </w:rPr>
      </w:pPr>
    </w:p>
    <w:p w14:paraId="26525F82">
      <w:pPr>
        <w:pStyle w:val="9"/>
        <w:snapToGrid w:val="0"/>
        <w:spacing w:before="0" w:after="0" w:line="240" w:lineRule="auto"/>
        <w:outlineLvl w:val="2"/>
        <w:rPr>
          <w:rFonts w:hint="eastAsia" w:ascii="宋体" w:hAnsi="宋体" w:eastAsia="宋体" w:cs="Times New Roman"/>
          <w:kern w:val="0"/>
          <w:sz w:val="24"/>
          <w:szCs w:val="20"/>
        </w:rPr>
      </w:pPr>
      <w:r>
        <w:rPr>
          <w:rFonts w:hint="eastAsia" w:ascii="宋体" w:hAnsi="宋体" w:eastAsia="宋体" w:cs="Times New Roman"/>
          <w:kern w:val="0"/>
          <w:sz w:val="24"/>
          <w:szCs w:val="20"/>
          <w:lang w:val="en-US" w:eastAsia="zh-CN"/>
        </w:rPr>
        <w:t>六</w:t>
      </w:r>
      <w:r>
        <w:rPr>
          <w:rFonts w:hint="eastAsia" w:ascii="宋体" w:hAnsi="宋体" w:eastAsia="宋体" w:cs="Times New Roman"/>
          <w:kern w:val="0"/>
          <w:sz w:val="24"/>
          <w:szCs w:val="20"/>
        </w:rPr>
        <w:t>.</w:t>
      </w:r>
      <w:r>
        <w:rPr>
          <w:rFonts w:hint="eastAsia" w:ascii="宋体" w:hAnsi="宋体" w:eastAsia="宋体" w:cs="Times New Roman"/>
          <w:sz w:val="24"/>
          <w:szCs w:val="24"/>
          <w:highlight w:val="none"/>
        </w:rPr>
        <w:t>项目实施方案及保障措施</w:t>
      </w:r>
      <w:r>
        <w:rPr>
          <w:rFonts w:hint="eastAsia" w:ascii="宋体" w:hAnsi="宋体" w:eastAsia="宋体" w:cs="Times New Roman"/>
          <w:kern w:val="0"/>
          <w:sz w:val="24"/>
          <w:szCs w:val="20"/>
        </w:rPr>
        <w:t>；</w:t>
      </w:r>
    </w:p>
    <w:p w14:paraId="72D8993F">
      <w:pPr>
        <w:pStyle w:val="7"/>
        <w:ind w:firstLine="0"/>
        <w:jc w:val="center"/>
        <w:rPr>
          <w:rFonts w:hint="eastAsia" w:asciiTheme="minorEastAsia" w:hAnsiTheme="minorEastAsia" w:cstheme="minorEastAsia"/>
          <w:color w:val="FF0000"/>
          <w:sz w:val="24"/>
        </w:rPr>
      </w:pPr>
      <w:r>
        <w:rPr>
          <w:rFonts w:hint="eastAsia" w:asciiTheme="minorEastAsia" w:hAnsiTheme="minorEastAsia" w:cstheme="minorEastAsia"/>
          <w:color w:val="FF0000"/>
          <w:szCs w:val="21"/>
        </w:rPr>
        <w:t>（特别提示：投标人须按本招标文件评标信息中这一评审因素要求，提供证明资料）</w:t>
      </w:r>
    </w:p>
    <w:p w14:paraId="489459DC">
      <w:pPr>
        <w:pStyle w:val="9"/>
        <w:snapToGrid w:val="0"/>
        <w:spacing w:before="0" w:after="0" w:line="240" w:lineRule="auto"/>
        <w:outlineLvl w:val="2"/>
        <w:rPr>
          <w:rFonts w:hint="eastAsia" w:ascii="宋体" w:hAnsi="宋体" w:eastAsia="宋体" w:cs="Times New Roman"/>
          <w:kern w:val="0"/>
          <w:sz w:val="24"/>
          <w:szCs w:val="20"/>
        </w:rPr>
      </w:pPr>
      <w:r>
        <w:rPr>
          <w:rFonts w:hint="eastAsia" w:ascii="宋体" w:hAnsi="宋体" w:eastAsia="宋体" w:cs="Times New Roman"/>
          <w:kern w:val="0"/>
          <w:sz w:val="24"/>
          <w:szCs w:val="20"/>
          <w:lang w:val="en-US" w:eastAsia="zh-CN"/>
        </w:rPr>
        <w:t>七</w:t>
      </w:r>
      <w:r>
        <w:rPr>
          <w:rFonts w:hint="eastAsia" w:ascii="宋体" w:hAnsi="宋体" w:eastAsia="宋体" w:cs="Times New Roman"/>
          <w:kern w:val="0"/>
          <w:sz w:val="24"/>
          <w:szCs w:val="20"/>
        </w:rPr>
        <w:t>.售后服务方案评价；</w:t>
      </w:r>
    </w:p>
    <w:p w14:paraId="30921DB5">
      <w:pPr>
        <w:pStyle w:val="7"/>
        <w:ind w:firstLine="0"/>
        <w:jc w:val="center"/>
        <w:rPr>
          <w:rFonts w:hint="eastAsia" w:asciiTheme="minorEastAsia" w:hAnsiTheme="minorEastAsia" w:cstheme="minorEastAsia"/>
          <w:color w:val="FF0000"/>
          <w:szCs w:val="21"/>
        </w:rPr>
      </w:pPr>
      <w:r>
        <w:rPr>
          <w:rFonts w:hint="eastAsia" w:asciiTheme="minorEastAsia" w:hAnsiTheme="minorEastAsia" w:cstheme="minorEastAsia"/>
          <w:color w:val="FF0000"/>
          <w:szCs w:val="21"/>
        </w:rPr>
        <w:t>（特别提示：投标人须按本招标文件评标信息中这一评审因素要求，提供证明资料）</w:t>
      </w:r>
    </w:p>
    <w:p w14:paraId="2079B21A">
      <w:pPr>
        <w:rPr>
          <w:sz w:val="24"/>
        </w:rPr>
      </w:pPr>
    </w:p>
    <w:p w14:paraId="63D5FD9F">
      <w:pPr>
        <w:rPr>
          <w:sz w:val="24"/>
        </w:rPr>
      </w:pPr>
      <w:bookmarkStart w:id="73" w:name="_Hlk72260576"/>
    </w:p>
    <w:p w14:paraId="55C52778">
      <w:pPr>
        <w:pStyle w:val="4"/>
        <w:jc w:val="center"/>
        <w:rPr>
          <w:rFonts w:ascii="黑体" w:eastAsia="黑体"/>
          <w:b w:val="0"/>
          <w:bCs w:val="0"/>
          <w:sz w:val="24"/>
          <w:szCs w:val="20"/>
        </w:rPr>
      </w:pPr>
      <w:r>
        <w:rPr>
          <w:rFonts w:hint="eastAsia" w:ascii="黑体" w:eastAsia="黑体"/>
          <w:b w:val="0"/>
          <w:bCs w:val="0"/>
          <w:sz w:val="24"/>
          <w:szCs w:val="20"/>
          <w:lang w:val="en-US" w:eastAsia="zh-CN"/>
        </w:rPr>
        <w:t>八</w:t>
      </w:r>
      <w:r>
        <w:rPr>
          <w:rFonts w:hint="eastAsia" w:ascii="黑体" w:eastAsia="黑体"/>
          <w:b w:val="0"/>
          <w:bCs w:val="0"/>
          <w:sz w:val="24"/>
          <w:szCs w:val="20"/>
        </w:rPr>
        <w:t>、</w:t>
      </w:r>
      <w:bookmarkStart w:id="74" w:name="_Hlk72062872"/>
      <w:r>
        <w:rPr>
          <w:rFonts w:hint="eastAsia" w:ascii="黑体" w:eastAsia="黑体"/>
          <w:b w:val="0"/>
          <w:bCs w:val="0"/>
          <w:sz w:val="24"/>
          <w:szCs w:val="20"/>
        </w:rPr>
        <w:t>投标人认为需要加以说明的其他内容</w:t>
      </w:r>
      <w:bookmarkEnd w:id="74"/>
    </w:p>
    <w:bookmarkEnd w:id="73"/>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6"/>
        <w:jc w:val="center"/>
      </w:pPr>
      <w:r>
        <w:rPr>
          <w:rFonts w:hint="eastAsia"/>
        </w:rPr>
        <w:t>第五章  合同条款及格式</w:t>
      </w:r>
    </w:p>
    <w:p w14:paraId="4B313D73"/>
    <w:p w14:paraId="4ABEACB1">
      <w:pPr>
        <w:jc w:val="center"/>
        <w:outlineLvl w:val="9"/>
      </w:pPr>
      <w:bookmarkStart w:id="75"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8"/>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5"/>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6"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6"/>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7"/>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6"/>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6"/>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8"/>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7" w:name="_Toc27624"/>
      <w:r>
        <w:rPr>
          <w:rFonts w:hint="eastAsia" w:ascii="黑体" w:hAnsi="黑体" w:eastAsia="黑体" w:cs="Times New Roman"/>
          <w:b w:val="0"/>
          <w:bCs w:val="0"/>
          <w:kern w:val="2"/>
          <w:sz w:val="28"/>
          <w:szCs w:val="28"/>
          <w:lang w:val="en-US" w:eastAsia="zh-CN" w:bidi="ar-SA"/>
        </w:rPr>
        <w:t>第二节 政府采购合同通用条款</w:t>
      </w:r>
      <w:bookmarkEnd w:id="77"/>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9"/>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0"/>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8"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8"/>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1"/>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2"/>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9"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9"/>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0" w:name="_Hlk72399513"/>
      <w:bookmarkStart w:id="81" w:name="_Hlk72439706"/>
      <w:r>
        <w:rPr>
          <w:rFonts w:hint="eastAsia" w:asciiTheme="majorHAnsi" w:hAnsiTheme="majorHAnsi" w:eastAsiaTheme="majorEastAsia" w:cstheme="majorBidi"/>
          <w:b/>
          <w:bCs/>
          <w:sz w:val="28"/>
          <w:szCs w:val="28"/>
        </w:rPr>
        <w:t>总则</w:t>
      </w:r>
    </w:p>
    <w:bookmarkEnd w:id="80"/>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2" w:name="_Hlk72399729"/>
      <w:r>
        <w:rPr>
          <w:rFonts w:hint="eastAsia" w:ascii="宋体" w:hAnsi="宋体"/>
          <w:szCs w:val="21"/>
        </w:rPr>
        <w:t>如有需要，政府集中采购机构可以对通用条款的内容进行补充。</w:t>
      </w:r>
      <w:bookmarkEnd w:id="82"/>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3"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4"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4"/>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3"/>
    <w:p w14:paraId="1D667FCD">
      <w:pPr>
        <w:ind w:firstLine="411" w:firstLineChars="196"/>
        <w:rPr>
          <w:rFonts w:ascii="宋体" w:hAnsi="宋体"/>
        </w:rPr>
      </w:pPr>
    </w:p>
    <w:p w14:paraId="03314A09">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5"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5"/>
    </w:p>
    <w:p w14:paraId="1A44C7FF">
      <w:pPr>
        <w:rPr>
          <w:rFonts w:ascii="宋体" w:hAnsi="宋体"/>
          <w:szCs w:val="21"/>
        </w:rPr>
      </w:pPr>
    </w:p>
    <w:p w14:paraId="3CEC1C9A">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6"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6"/>
    <w:p w14:paraId="6104A6B2">
      <w:pPr>
        <w:ind w:firstLine="420" w:firstLineChars="200"/>
        <w:rPr>
          <w:rFonts w:ascii="黑体" w:hAnsi="宋体" w:eastAsia="黑体"/>
          <w:szCs w:val="21"/>
        </w:rPr>
      </w:pPr>
      <w:r>
        <w:rPr>
          <w:rFonts w:hint="eastAsia" w:ascii="黑体" w:hAnsi="宋体" w:eastAsia="黑体"/>
          <w:szCs w:val="21"/>
        </w:rPr>
        <w:t>15．</w:t>
      </w:r>
      <w:bookmarkStart w:id="87"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7"/>
    <w:p w14:paraId="254F42F0">
      <w:pPr>
        <w:ind w:firstLine="420" w:firstLineChars="200"/>
        <w:rPr>
          <w:rFonts w:ascii="黑体" w:hAnsi="宋体" w:eastAsia="黑体"/>
          <w:szCs w:val="21"/>
        </w:rPr>
      </w:pPr>
      <w:r>
        <w:rPr>
          <w:rFonts w:hint="eastAsia" w:ascii="黑体" w:hAnsi="宋体" w:eastAsia="黑体"/>
          <w:szCs w:val="21"/>
        </w:rPr>
        <w:t>18．</w:t>
      </w:r>
      <w:bookmarkStart w:id="88"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8"/>
    <w:p w14:paraId="0F065120">
      <w:pPr>
        <w:ind w:firstLine="420" w:firstLineChars="200"/>
        <w:rPr>
          <w:rFonts w:ascii="黑体" w:hAnsi="宋体" w:eastAsia="黑体"/>
          <w:szCs w:val="21"/>
        </w:rPr>
      </w:pPr>
      <w:r>
        <w:rPr>
          <w:rFonts w:hint="eastAsia" w:ascii="黑体" w:hAnsi="宋体" w:eastAsia="黑体"/>
          <w:szCs w:val="21"/>
        </w:rPr>
        <w:t>19．</w:t>
      </w:r>
      <w:bookmarkStart w:id="89"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0" w:name="_Hlk71407299"/>
    </w:p>
    <w:bookmarkEnd w:id="90"/>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89"/>
    <w:p w14:paraId="69C777CA">
      <w:pPr>
        <w:ind w:firstLine="420" w:firstLineChars="200"/>
        <w:rPr>
          <w:rFonts w:ascii="宋体" w:hAnsi="宋体"/>
          <w:szCs w:val="21"/>
        </w:rPr>
      </w:pPr>
      <w:bookmarkStart w:id="91"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1"/>
    <w:p w14:paraId="1C5C45A8">
      <w:pPr>
        <w:ind w:firstLine="420" w:firstLineChars="200"/>
        <w:rPr>
          <w:rFonts w:ascii="黑体" w:hAnsi="宋体" w:eastAsia="黑体"/>
          <w:szCs w:val="21"/>
        </w:rPr>
      </w:pPr>
      <w:r>
        <w:rPr>
          <w:rFonts w:hint="eastAsia" w:ascii="黑体" w:hAnsi="宋体" w:eastAsia="黑体"/>
          <w:szCs w:val="21"/>
        </w:rPr>
        <w:t>21．</w:t>
      </w:r>
      <w:bookmarkStart w:id="92"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2"/>
    <w:p w14:paraId="5BE145EA">
      <w:pPr>
        <w:ind w:firstLine="420" w:firstLineChars="200"/>
        <w:rPr>
          <w:rFonts w:ascii="黑体" w:hAnsi="宋体" w:eastAsia="黑体"/>
          <w:szCs w:val="21"/>
        </w:rPr>
      </w:pPr>
      <w:r>
        <w:rPr>
          <w:rFonts w:hint="eastAsia" w:ascii="黑体" w:hAnsi="宋体" w:eastAsia="黑体"/>
          <w:szCs w:val="21"/>
        </w:rPr>
        <w:t>23．</w:t>
      </w:r>
      <w:bookmarkStart w:id="93"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3"/>
    </w:p>
    <w:p w14:paraId="731EFACC">
      <w:pPr>
        <w:ind w:firstLine="411" w:firstLineChars="196"/>
        <w:rPr>
          <w:rFonts w:ascii="宋体" w:hAnsi="宋体"/>
          <w:szCs w:val="21"/>
        </w:rPr>
      </w:pPr>
    </w:p>
    <w:p w14:paraId="75315EF3">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4"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4"/>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5"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5"/>
    <w:p w14:paraId="7BB95882">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6"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6"/>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7"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7"/>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8" w:name="_Toc73518151"/>
      <w:bookmarkStart w:id="99" w:name="_Toc73521669"/>
      <w:bookmarkStart w:id="100" w:name="_Toc73521581"/>
      <w:bookmarkStart w:id="101" w:name="_Toc73517673"/>
      <w:bookmarkStart w:id="102" w:name="_Toc100052400"/>
      <w:r>
        <w:rPr>
          <w:rFonts w:hint="eastAsia" w:ascii="黑体" w:hAnsi="宋体" w:eastAsia="黑体"/>
          <w:szCs w:val="21"/>
        </w:rPr>
        <w:t>34．错误的修正</w:t>
      </w:r>
      <w:bookmarkEnd w:id="98"/>
      <w:bookmarkEnd w:id="99"/>
      <w:bookmarkEnd w:id="100"/>
      <w:bookmarkEnd w:id="101"/>
      <w:bookmarkEnd w:id="102"/>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3"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3"/>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4"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5" w:name="_Hlk73821177"/>
      <w:r>
        <w:rPr>
          <w:rFonts w:hint="eastAsia" w:ascii="ˎ̥" w:hAnsi="ˎ̥"/>
          <w:szCs w:val="21"/>
        </w:rPr>
        <w:t>唯一候选中标供应商</w:t>
      </w:r>
      <w:bookmarkEnd w:id="105"/>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6"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7"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6"/>
      <w:bookmarkEnd w:id="107"/>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4"/>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8"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8"/>
      <w:bookmarkStart w:id="109"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9"/>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0"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0"/>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1" w:name="_Hlk71407340"/>
      <w:r>
        <w:rPr>
          <w:rFonts w:hint="eastAsia" w:ascii="宋体" w:hAnsi="宋体"/>
          <w:szCs w:val="21"/>
        </w:rPr>
        <w:t>41.3因质疑投诉或其他原因导致项目结果变更或采购终止的，政府集中采购机构有权吊销中标通知书。</w:t>
      </w:r>
    </w:p>
    <w:bookmarkEnd w:id="111"/>
    <w:p w14:paraId="7DEE8868">
      <w:pPr>
        <w:ind w:firstLine="411" w:firstLineChars="196"/>
        <w:rPr>
          <w:rFonts w:ascii="宋体" w:hAnsi="宋体"/>
          <w:szCs w:val="21"/>
        </w:rPr>
      </w:pPr>
    </w:p>
    <w:p w14:paraId="1E896C65">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2" w:name="_Hlk72439043"/>
      <w:r>
        <w:rPr>
          <w:rFonts w:hint="eastAsia" w:asciiTheme="majorHAnsi" w:hAnsiTheme="majorHAnsi" w:eastAsiaTheme="majorEastAsia" w:cstheme="majorBidi"/>
          <w:b/>
          <w:bCs/>
          <w:sz w:val="28"/>
          <w:szCs w:val="28"/>
        </w:rPr>
        <w:t>合同的授予与备案</w:t>
      </w:r>
      <w:bookmarkEnd w:id="112"/>
    </w:p>
    <w:p w14:paraId="1B9301EA">
      <w:pPr>
        <w:ind w:firstLine="420" w:firstLineChars="200"/>
        <w:rPr>
          <w:rFonts w:ascii="黑体" w:hAnsi="宋体" w:eastAsia="黑体"/>
          <w:szCs w:val="21"/>
        </w:rPr>
      </w:pPr>
      <w:bookmarkStart w:id="113" w:name="_Toc100052408"/>
      <w:bookmarkStart w:id="114" w:name="_Toc73521674"/>
      <w:bookmarkStart w:id="115" w:name="_Toc73521586"/>
      <w:bookmarkStart w:id="116" w:name="_Toc73517679"/>
      <w:bookmarkStart w:id="117" w:name="_Toc73518157"/>
      <w:bookmarkStart w:id="118" w:name="_Hlk72439088"/>
      <w:r>
        <w:rPr>
          <w:rFonts w:hint="eastAsia" w:ascii="黑体" w:hAnsi="宋体" w:eastAsia="黑体"/>
          <w:szCs w:val="21"/>
        </w:rPr>
        <w:t>43．合同授予标准</w:t>
      </w:r>
      <w:bookmarkEnd w:id="113"/>
      <w:bookmarkEnd w:id="114"/>
      <w:bookmarkEnd w:id="115"/>
      <w:bookmarkEnd w:id="116"/>
      <w:bookmarkEnd w:id="117"/>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19" w:name="_Toc100052409"/>
      <w:bookmarkStart w:id="120" w:name="_Toc73521675"/>
      <w:bookmarkStart w:id="121" w:name="_Toc73521587"/>
      <w:bookmarkStart w:id="122" w:name="_Toc73518158"/>
      <w:bookmarkStart w:id="123" w:name="_Toc73517680"/>
      <w:r>
        <w:rPr>
          <w:rFonts w:hint="eastAsia" w:ascii="黑体" w:hAnsi="宋体" w:eastAsia="黑体"/>
          <w:szCs w:val="21"/>
        </w:rPr>
        <w:t>44．</w:t>
      </w:r>
      <w:bookmarkEnd w:id="119"/>
      <w:bookmarkEnd w:id="120"/>
      <w:bookmarkEnd w:id="121"/>
      <w:bookmarkEnd w:id="122"/>
      <w:bookmarkEnd w:id="123"/>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4" w:name="_Toc73521677"/>
      <w:bookmarkStart w:id="125" w:name="_Toc100052410"/>
      <w:bookmarkStart w:id="126" w:name="_Toc73517682"/>
      <w:bookmarkStart w:id="127" w:name="_Toc73518160"/>
      <w:bookmarkStart w:id="128" w:name="_Toc73521589"/>
      <w:r>
        <w:rPr>
          <w:rFonts w:hint="eastAsia" w:ascii="黑体" w:hAnsi="宋体" w:eastAsia="黑体"/>
          <w:szCs w:val="21"/>
        </w:rPr>
        <w:t>45．合同的签订</w:t>
      </w:r>
      <w:bookmarkEnd w:id="124"/>
      <w:bookmarkEnd w:id="125"/>
      <w:bookmarkEnd w:id="126"/>
      <w:bookmarkEnd w:id="127"/>
      <w:bookmarkEnd w:id="128"/>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29" w:name="_Toc73521590"/>
      <w:bookmarkStart w:id="130" w:name="_Toc100052411"/>
      <w:bookmarkStart w:id="131" w:name="_Toc73521678"/>
      <w:bookmarkStart w:id="132" w:name="_Toc73517683"/>
      <w:bookmarkStart w:id="133" w:name="_Toc73518161"/>
      <w:r>
        <w:rPr>
          <w:rFonts w:hint="eastAsia" w:ascii="黑体" w:hAnsi="宋体" w:eastAsia="黑体"/>
          <w:szCs w:val="21"/>
        </w:rPr>
        <w:t>46．履约担保</w:t>
      </w:r>
      <w:bookmarkEnd w:id="129"/>
      <w:bookmarkEnd w:id="130"/>
      <w:bookmarkEnd w:id="131"/>
      <w:bookmarkEnd w:id="132"/>
      <w:bookmarkEnd w:id="133"/>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4" w:name="_Hlk72440769"/>
      <w:r>
        <w:rPr>
          <w:rFonts w:hint="eastAsia" w:ascii="宋体" w:hAnsi="宋体"/>
          <w:szCs w:val="21"/>
        </w:rPr>
        <w:t>政府集中采购机构或采购人不予退还其交纳的谈判保证金，情节严重的，并由主管部门</w:t>
      </w:r>
      <w:bookmarkEnd w:id="134"/>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8"/>
      </w:pPr>
    </w:p>
    <w:bookmarkEnd w:id="118"/>
    <w:p w14:paraId="65D798E8">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5" w:name="_Hlk75374941"/>
      <w:r>
        <w:rPr>
          <w:rFonts w:hint="eastAsia" w:ascii="宋体" w:hAnsi="宋体"/>
          <w:szCs w:val="21"/>
        </w:rPr>
        <w:t>以联合体形式参与的，质疑应当由组成联合体的所有成员共同提出</w:t>
      </w:r>
      <w:bookmarkEnd w:id="135"/>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1"/>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2C32855-2E57-471F-AFF5-CDDFDEABFF34}"/>
  </w:font>
  <w:font w:name="Arial">
    <w:panose1 w:val="020B0604020202020204"/>
    <w:charset w:val="01"/>
    <w:family w:val="swiss"/>
    <w:pitch w:val="default"/>
    <w:sig w:usb0="E0002EFF" w:usb1="C000785B" w:usb2="00000009" w:usb3="00000000" w:csb0="400001FF" w:csb1="FFFF0000"/>
    <w:embedRegular r:id="rId2" w:fontKey="{65BC9E17-9924-4350-B083-6A6752973C54}"/>
  </w:font>
  <w:font w:name="黑体">
    <w:panose1 w:val="02010609060101010101"/>
    <w:charset w:val="86"/>
    <w:family w:val="auto"/>
    <w:pitch w:val="default"/>
    <w:sig w:usb0="800002BF" w:usb1="38CF7CFA" w:usb2="00000016" w:usb3="00000000" w:csb0="00040001" w:csb1="00000000"/>
    <w:embedRegular r:id="rId3" w:fontKey="{6F1D2C38-8073-4165-BBAD-6CF011360FC5}"/>
  </w:font>
  <w:font w:name="Courier New">
    <w:panose1 w:val="02070309020205020404"/>
    <w:charset w:val="01"/>
    <w:family w:val="modern"/>
    <w:pitch w:val="default"/>
    <w:sig w:usb0="E0002EFF" w:usb1="C0007843" w:usb2="00000009" w:usb3="00000000" w:csb0="400001FF" w:csb1="FFFF0000"/>
    <w:embedRegular r:id="rId4" w:fontKey="{CC75DBCA-B8B6-4D95-B19B-5FA2737091C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93D643B2-43D2-466B-9786-3EB7D93859B6}"/>
  </w:font>
  <w:font w:name="Cambria">
    <w:panose1 w:val="02040503050406030204"/>
    <w:charset w:val="00"/>
    <w:family w:val="roman"/>
    <w:pitch w:val="default"/>
    <w:sig w:usb0="E00006FF" w:usb1="420024FF" w:usb2="02000000" w:usb3="00000000" w:csb0="2000019F" w:csb1="00000000"/>
    <w:embedRegular r:id="rId6" w:fontKey="{8991D38D-D661-4A8F-B7DF-A3711B0B564E}"/>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40886A57-DE56-4735-9FE7-E099AA57E00B}"/>
  </w:font>
  <w:font w:name="方正仿宋_GBK">
    <w:panose1 w:val="02000000000000000000"/>
    <w:charset w:val="86"/>
    <w:family w:val="auto"/>
    <w:pitch w:val="default"/>
    <w:sig w:usb0="A00002BF" w:usb1="38CF7CFA" w:usb2="00082016" w:usb3="00000000" w:csb0="00040001" w:csb1="00000000"/>
    <w:embedRegular r:id="rId8" w:fontKey="{3C4E4B37-F59E-4720-A644-39460C6F493E}"/>
  </w:font>
  <w:font w:name="华文中宋">
    <w:panose1 w:val="02010600040101010101"/>
    <w:charset w:val="86"/>
    <w:family w:val="auto"/>
    <w:pitch w:val="default"/>
    <w:sig w:usb0="00000287" w:usb1="080F0000" w:usb2="00000000" w:usb3="00000000" w:csb0="0004009F" w:csb1="DFD70000"/>
    <w:embedRegular r:id="rId9" w:fontKey="{24FC8F6F-8196-4200-A3F0-42832EAFC8F1}"/>
  </w:font>
  <w:font w:name="汉仪书宋二S">
    <w:altName w:val="宋体"/>
    <w:panose1 w:val="00000000000000000000"/>
    <w:charset w:val="00"/>
    <w:family w:val="auto"/>
    <w:pitch w:val="default"/>
    <w:sig w:usb0="00000000" w:usb1="00000000" w:usb2="00000000" w:usb3="00000000" w:csb0="00000000" w:csb1="00000000"/>
    <w:embedRegular r:id="rId10" w:fontKey="{8FE4A625-4B75-4BF4-AE82-8D2555BA1871}"/>
  </w:font>
  <w:font w:name="华文楷体">
    <w:panose1 w:val="02010600040101010101"/>
    <w:charset w:val="86"/>
    <w:family w:val="auto"/>
    <w:pitch w:val="default"/>
    <w:sig w:usb0="00000287" w:usb1="080F0000" w:usb2="00000000" w:usb3="00000000" w:csb0="0004009F" w:csb1="DFD70000"/>
    <w:embedRegular r:id="rId11" w:fontKey="{B2FC1298-34BB-4FFE-80B4-1A8042E9A994}"/>
  </w:font>
  <w:font w:name="ˎ̥">
    <w:altName w:val="Times New Roman"/>
    <w:panose1 w:val="00000000000000000000"/>
    <w:charset w:val="00"/>
    <w:family w:val="auto"/>
    <w:pitch w:val="default"/>
    <w:sig w:usb0="00000000" w:usb1="00000000" w:usb2="00000000" w:usb3="00000000" w:csb0="00040001" w:csb1="00000000"/>
    <w:embedRegular r:id="rId12" w:fontKey="{8313A9E2-89D3-4669-89B1-FD79C7F43B11}"/>
  </w:font>
  <w:font w:name="仿宋">
    <w:panose1 w:val="02010609060101010101"/>
    <w:charset w:val="86"/>
    <w:family w:val="modern"/>
    <w:pitch w:val="default"/>
    <w:sig w:usb0="800002BF" w:usb1="38CF7CFA" w:usb2="00000016" w:usb3="00000000" w:csb0="00040001" w:csb1="00000000"/>
    <w:embedRegular r:id="rId13" w:fontKey="{AECEC66E-FE5C-4C6E-8415-01F045E4968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14:paraId="1373BD4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0C241FC4">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7C1BC"/>
    <w:multiLevelType w:val="singleLevel"/>
    <w:tmpl w:val="8F87C1BC"/>
    <w:lvl w:ilvl="0" w:tentative="0">
      <w:start w:val="1"/>
      <w:numFmt w:val="decimal"/>
      <w:suff w:val="nothing"/>
      <w:lvlText w:val="（%1）"/>
      <w:lvlJc w:val="left"/>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94AAA60"/>
    <w:multiLevelType w:val="singleLevel"/>
    <w:tmpl w:val="E94AAA60"/>
    <w:lvl w:ilvl="0" w:tentative="0">
      <w:start w:val="2"/>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3A1AC3B"/>
    <w:multiLevelType w:val="singleLevel"/>
    <w:tmpl w:val="73A1AC3B"/>
    <w:lvl w:ilvl="0" w:tentative="0">
      <w:start w:val="2"/>
      <w:numFmt w:val="chineseCounting"/>
      <w:suff w:val="nothing"/>
      <w:lvlText w:val="%1、"/>
      <w:lvlJc w:val="left"/>
      <w:rPr>
        <w:rFonts w:hint="eastAsia"/>
      </w:rPr>
    </w:lvl>
  </w:abstractNum>
  <w:abstractNum w:abstractNumId="12">
    <w:nsid w:val="7A0F6431"/>
    <w:multiLevelType w:val="singleLevel"/>
    <w:tmpl w:val="7A0F6431"/>
    <w:lvl w:ilvl="0" w:tentative="0">
      <w:start w:val="1"/>
      <w:numFmt w:val="decimal"/>
      <w:suff w:val="space"/>
      <w:lvlText w:val="%1."/>
      <w:lvlJc w:val="left"/>
    </w:lvl>
  </w:abstractNum>
  <w:num w:numId="1">
    <w:abstractNumId w:val="11"/>
  </w:num>
  <w:num w:numId="2">
    <w:abstractNumId w:val="8"/>
  </w:num>
  <w:num w:numId="3">
    <w:abstractNumId w:val="0"/>
  </w:num>
  <w:num w:numId="4">
    <w:abstractNumId w:val="1"/>
  </w:num>
  <w:num w:numId="5">
    <w:abstractNumId w:val="2"/>
  </w:num>
  <w:num w:numId="6">
    <w:abstractNumId w:val="12"/>
  </w:num>
  <w:num w:numId="7">
    <w:abstractNumId w:val="4"/>
  </w:num>
  <w:num w:numId="8">
    <w:abstractNumId w:val="9"/>
  </w:num>
  <w:num w:numId="9">
    <w:abstractNumId w:val="6"/>
  </w:num>
  <w:num w:numId="10">
    <w:abstractNumId w:val="5"/>
  </w:num>
  <w:num w:numId="11">
    <w:abstractNumId w:val="3"/>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A55E33"/>
    <w:rsid w:val="0DBC555D"/>
    <w:rsid w:val="0DEE34CD"/>
    <w:rsid w:val="0E0B7D94"/>
    <w:rsid w:val="0E230C39"/>
    <w:rsid w:val="0E607F86"/>
    <w:rsid w:val="0E8A0CB9"/>
    <w:rsid w:val="0E9C279A"/>
    <w:rsid w:val="0EB421D9"/>
    <w:rsid w:val="0F142273"/>
    <w:rsid w:val="0F5B4403"/>
    <w:rsid w:val="0F5D008C"/>
    <w:rsid w:val="0FA71B78"/>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AB31C0"/>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DB56815"/>
    <w:rsid w:val="4E092CA1"/>
    <w:rsid w:val="4E4156DB"/>
    <w:rsid w:val="4E93713A"/>
    <w:rsid w:val="4F1456D4"/>
    <w:rsid w:val="4F9905AE"/>
    <w:rsid w:val="4FC33F25"/>
    <w:rsid w:val="4FD001C7"/>
    <w:rsid w:val="4FFF6109"/>
    <w:rsid w:val="500B71A4"/>
    <w:rsid w:val="502E60F8"/>
    <w:rsid w:val="50334005"/>
    <w:rsid w:val="505E4B9C"/>
    <w:rsid w:val="50A30487"/>
    <w:rsid w:val="50DD1804"/>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3A71DE"/>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7D212A"/>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131313"/>
    <w:rsid w:val="77167EA1"/>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Title"/>
    <w:basedOn w:val="1"/>
    <w:qFormat/>
    <w:uiPriority w:val="0"/>
    <w:pPr>
      <w:spacing w:before="240" w:after="60"/>
      <w:jc w:val="center"/>
      <w:outlineLvl w:val="0"/>
    </w:pPr>
    <w:rPr>
      <w:rFonts w:ascii="Arial" w:hAnsi="Arial" w:eastAsia="隶书" w:cs="Arial"/>
      <w:b/>
      <w:bCs/>
      <w:sz w:val="32"/>
      <w:szCs w:val="32"/>
    </w:rPr>
  </w:style>
  <w:style w:type="paragraph" w:styleId="10">
    <w:name w:val="Document Map"/>
    <w:basedOn w:val="1"/>
    <w:link w:val="32"/>
    <w:semiHidden/>
    <w:unhideWhenUsed/>
    <w:qFormat/>
    <w:uiPriority w:val="99"/>
    <w:rPr>
      <w:rFonts w:ascii="宋体" w:eastAsia="宋体"/>
      <w:sz w:val="18"/>
      <w:szCs w:val="18"/>
    </w:rPr>
  </w:style>
  <w:style w:type="paragraph" w:styleId="11">
    <w:name w:val="annotation text"/>
    <w:basedOn w:val="1"/>
    <w:link w:val="34"/>
    <w:unhideWhenUsed/>
    <w:qFormat/>
    <w:uiPriority w:val="99"/>
    <w:pPr>
      <w:jc w:val="left"/>
    </w:p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7">
    <w:name w:val="annotation subject"/>
    <w:basedOn w:val="11"/>
    <w:next w:val="11"/>
    <w:link w:val="36"/>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rPr>
  </w:style>
  <w:style w:type="character" w:styleId="24">
    <w:name w:val="Hyperlink"/>
    <w:basedOn w:val="20"/>
    <w:unhideWhenUsed/>
    <w:qFormat/>
    <w:uiPriority w:val="99"/>
    <w:rPr>
      <w:color w:val="0000FF" w:themeColor="hyperlink"/>
      <w:u w:val="single"/>
    </w:rPr>
  </w:style>
  <w:style w:type="character" w:styleId="25">
    <w:name w:val="annotation reference"/>
    <w:basedOn w:val="20"/>
    <w:semiHidden/>
    <w:unhideWhenUsed/>
    <w:qFormat/>
    <w:uiPriority w:val="99"/>
    <w:rPr>
      <w:sz w:val="21"/>
      <w:szCs w:val="21"/>
    </w:rPr>
  </w:style>
  <w:style w:type="character" w:customStyle="1" w:styleId="26">
    <w:name w:val="页眉 Char"/>
    <w:basedOn w:val="20"/>
    <w:link w:val="14"/>
    <w:semiHidden/>
    <w:qFormat/>
    <w:uiPriority w:val="99"/>
    <w:rPr>
      <w:sz w:val="18"/>
      <w:szCs w:val="18"/>
    </w:rPr>
  </w:style>
  <w:style w:type="character" w:customStyle="1" w:styleId="27">
    <w:name w:val="页脚 Char"/>
    <w:basedOn w:val="20"/>
    <w:link w:val="13"/>
    <w:qFormat/>
    <w:uiPriority w:val="99"/>
    <w:rPr>
      <w:sz w:val="18"/>
      <w:szCs w:val="18"/>
    </w:rPr>
  </w:style>
  <w:style w:type="character" w:customStyle="1" w:styleId="28">
    <w:name w:val="批注框文本 Char"/>
    <w:basedOn w:val="20"/>
    <w:link w:val="12"/>
    <w:semiHidden/>
    <w:qFormat/>
    <w:uiPriority w:val="99"/>
    <w:rPr>
      <w:sz w:val="18"/>
      <w:szCs w:val="18"/>
    </w:rPr>
  </w:style>
  <w:style w:type="character" w:customStyle="1" w:styleId="29">
    <w:name w:val="普通(网站) Char"/>
    <w:link w:val="16"/>
    <w:qFormat/>
    <w:uiPriority w:val="99"/>
    <w:rPr>
      <w:rFonts w:ascii="宋体" w:hAnsi="宋体"/>
      <w:sz w:val="24"/>
      <w:szCs w:val="24"/>
    </w:rPr>
  </w:style>
  <w:style w:type="character" w:customStyle="1" w:styleId="30">
    <w:name w:val="标题 1 Char"/>
    <w:basedOn w:val="20"/>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20"/>
    <w:link w:val="10"/>
    <w:semiHidden/>
    <w:qFormat/>
    <w:uiPriority w:val="99"/>
    <w:rPr>
      <w:rFonts w:ascii="宋体" w:eastAsia="宋体"/>
      <w:sz w:val="18"/>
      <w:szCs w:val="18"/>
    </w:rPr>
  </w:style>
  <w:style w:type="character" w:customStyle="1" w:styleId="33">
    <w:name w:val="标题 2 Char"/>
    <w:basedOn w:val="20"/>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20"/>
    <w:link w:val="11"/>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7"/>
    <w:semiHidden/>
    <w:qFormat/>
    <w:uiPriority w:val="99"/>
    <w:rPr>
      <w:b/>
      <w:bCs/>
    </w:rPr>
  </w:style>
  <w:style w:type="table" w:customStyle="1" w:styleId="37">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01"/>
    <w:qFormat/>
    <w:uiPriority w:val="0"/>
    <w:rPr>
      <w:rFonts w:hint="eastAsia" w:ascii="宋体" w:hAnsi="宋体" w:eastAsia="宋体" w:cs="宋体"/>
      <w:color w:val="000000"/>
      <w:sz w:val="18"/>
      <w:szCs w:val="18"/>
      <w:u w:val="none"/>
    </w:rPr>
  </w:style>
  <w:style w:type="character" w:customStyle="1" w:styleId="39">
    <w:name w:val="font51"/>
    <w:basedOn w:val="20"/>
    <w:qFormat/>
    <w:uiPriority w:val="0"/>
    <w:rPr>
      <w:rFonts w:hint="default" w:ascii="Times New Roman" w:hAnsi="Times New Roman" w:cs="Times New Roman"/>
      <w:b/>
      <w:bCs/>
      <w:color w:val="000000"/>
      <w:sz w:val="28"/>
      <w:szCs w:val="28"/>
      <w:u w:val="none"/>
    </w:rPr>
  </w:style>
  <w:style w:type="character" w:customStyle="1" w:styleId="40">
    <w:name w:val="font21"/>
    <w:basedOn w:val="20"/>
    <w:qFormat/>
    <w:uiPriority w:val="0"/>
    <w:rPr>
      <w:rFonts w:hint="eastAsia" w:ascii="宋体" w:hAnsi="宋体" w:eastAsia="宋体" w:cs="宋体"/>
      <w:b/>
      <w:bCs/>
      <w:color w:val="000000"/>
      <w:sz w:val="28"/>
      <w:szCs w:val="28"/>
      <w:u w:val="none"/>
    </w:rPr>
  </w:style>
  <w:style w:type="character" w:customStyle="1" w:styleId="41">
    <w:name w:val="font11"/>
    <w:basedOn w:val="2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69</Pages>
  <Words>4699</Words>
  <Characters>4864</Characters>
  <Lines>316</Lines>
  <Paragraphs>88</Paragraphs>
  <TotalTime>3</TotalTime>
  <ScaleCrop>false</ScaleCrop>
  <LinksUpToDate>false</LinksUpToDate>
  <CharactersWithSpaces>4930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2021-01-15T01:17:00Z</cp:lastPrinted>
  <dcterms:modified xsi:type="dcterms:W3CDTF">2025-04-11T10:23:54Z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1D35441E0ED44CDAA276D758760C3890_12</vt:lpwstr>
  </property>
  <property fmtid="{D5CDD505-2E9C-101B-9397-08002B2CF9AE}" pid="4" name="KSOTemplateDocerSaveRecord">
    <vt:lpwstr>eyJoZGlkIjoiZWRjOWYzNmNkMjVlMzA5NzJiZjg4YmM3Y2FmNjY1NjciLCJ1c2VySWQiOiIxMDUyMDg0MjM1In0=</vt:lpwstr>
  </property>
</Properties>
</file>