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3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rPr>
          <w:rFonts w:hint="eastAsia" w:ascii="黑体" w:hAnsi="宋体" w:eastAsia="黑体" w:cs="黑体"/>
          <w:kern w:val="0"/>
          <w:sz w:val="40"/>
          <w:szCs w:val="40"/>
        </w:rPr>
      </w:pPr>
    </w:p>
    <w:p>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19"/>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widowControl/>
              <w:jc w:val="left"/>
              <w:rPr>
                <w:sz w:val="30"/>
                <w:szCs w:val="30"/>
              </w:rPr>
            </w:pPr>
            <w:r>
              <w:rPr>
                <w:sz w:val="30"/>
                <w:szCs w:val="30"/>
              </w:rPr>
              <w:t>BAZXCG-2025-00054</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widowControl/>
              <w:jc w:val="left"/>
              <w:rPr>
                <w:sz w:val="30"/>
                <w:szCs w:val="30"/>
              </w:rPr>
            </w:pPr>
            <w:bookmarkStart w:id="0" w:name="OLE_LINK10"/>
            <w:bookmarkStart w:id="1" w:name="OLE_LINK1"/>
            <w:r>
              <w:rPr>
                <w:rFonts w:hint="eastAsia"/>
                <w:sz w:val="30"/>
                <w:szCs w:val="30"/>
              </w:rPr>
              <w:t>深圳市宝安区教育事业发展中心教育数字化转型一中心两平台、云端学校联盟项目数据库年服务购买</w:t>
            </w:r>
            <w:bookmarkEnd w:id="0"/>
            <w:bookmarkEnd w:id="1"/>
            <w:r>
              <w:rPr>
                <w:rFonts w:hint="eastAsia"/>
                <w:sz w:val="30"/>
                <w:szCs w:val="30"/>
                <w:lang w:eastAsia="zh-CN"/>
              </w:rPr>
              <w:t>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tbl>
    <w:p>
      <w:pPr>
        <w:pStyle w:val="15"/>
        <w:jc w:val="center"/>
        <w:outlineLvl w:val="9"/>
        <w:rPr>
          <w:rFonts w:hint="eastAsia" w:ascii="黑体" w:hAnsi="黑体" w:eastAsia="黑体"/>
          <w:sz w:val="40"/>
          <w:szCs w:val="40"/>
        </w:rPr>
      </w:pPr>
    </w:p>
    <w:p>
      <w:pPr>
        <w:pStyle w:val="15"/>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pPr>
        <w:pStyle w:val="15"/>
        <w:jc w:val="center"/>
        <w:outlineLvl w:val="1"/>
        <w:rPr>
          <w:rFonts w:ascii="黑体" w:hAnsi="黑体" w:eastAsia="黑体"/>
          <w:sz w:val="40"/>
          <w:szCs w:val="40"/>
        </w:rPr>
      </w:pPr>
      <w:r>
        <w:rPr>
          <w:rFonts w:hint="eastAsia" w:ascii="黑体" w:hAnsi="黑体" w:eastAsia="黑体"/>
          <w:sz w:val="40"/>
          <w:szCs w:val="40"/>
        </w:rPr>
        <w:t>资格性审查表</w:t>
      </w: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法律、法规、规章、规范性文件规定的其他情形。</w:t>
            </w:r>
          </w:p>
        </w:tc>
      </w:tr>
    </w:tbl>
    <w:p>
      <w:pPr>
        <w:pStyle w:val="15"/>
        <w:jc w:val="center"/>
        <w:outlineLvl w:val="9"/>
        <w:rPr>
          <w:rFonts w:hint="eastAsia" w:ascii="黑体" w:hAnsi="黑体" w:eastAsia="黑体"/>
          <w:sz w:val="40"/>
          <w:szCs w:val="40"/>
        </w:rPr>
      </w:pPr>
    </w:p>
    <w:p>
      <w:pPr>
        <w:pStyle w:val="15"/>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pPr>
        <w:pStyle w:val="15"/>
        <w:jc w:val="center"/>
        <w:outlineLvl w:val="1"/>
        <w:rPr>
          <w:rFonts w:ascii="黑体" w:hAnsi="黑体" w:eastAsia="黑体"/>
          <w:sz w:val="40"/>
          <w:szCs w:val="40"/>
        </w:rPr>
      </w:pPr>
      <w:r>
        <w:rPr>
          <w:rFonts w:hint="eastAsia" w:ascii="黑体" w:hAnsi="黑体" w:eastAsia="黑体"/>
          <w:sz w:val="40"/>
          <w:szCs w:val="40"/>
        </w:rPr>
        <w:t>评标信息</w:t>
      </w:r>
    </w:p>
    <w:tbl>
      <w:tblPr>
        <w:tblStyle w:val="19"/>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pPr>
              <w:widowControl/>
              <w:jc w:val="left"/>
              <w:rPr>
                <w:b/>
                <w:bCs/>
                <w:sz w:val="24"/>
              </w:rPr>
            </w:pPr>
            <w:r>
              <w:rPr>
                <w:b/>
                <w:bCs/>
              </w:rPr>
              <w:t>评标方法：</w:t>
            </w:r>
            <w:r>
              <w:rPr>
                <w:b/>
                <w:bCs/>
                <w:strike w:val="0"/>
                <w:dstrike w:val="0"/>
              </w:rPr>
              <w:t>综合评分法</w:t>
            </w:r>
          </w:p>
        </w:tc>
        <w:tc>
          <w:tcPr>
            <w:tcW w:w="240" w:type="dxa"/>
            <w:shd w:val="clear" w:color="auto" w:fill="auto"/>
            <w:vAlign w:val="center"/>
          </w:tcPr>
          <w:p>
            <w:pPr>
              <w:jc w:val="right"/>
              <w:rPr>
                <w:rFonts w:ascii="宋体"/>
                <w:b/>
                <w:bCs/>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pPr>
              <w:pStyle w:val="2"/>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ind w:firstLine="422" w:firstLineChars="200"/>
              <w:rPr>
                <w:rFonts w:ascii="Times New Roman" w:hAnsi="Times New Roman" w:eastAsia="宋体" w:cs="Times New Roman"/>
                <w:kern w:val="0"/>
                <w:sz w:val="24"/>
                <w:szCs w:val="24"/>
                <w:lang w:val="en-US" w:eastAsia="zh-CN" w:bidi="ar-SA"/>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pPr>
        <w:rPr>
          <w:vanish/>
        </w:rPr>
      </w:pP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2835"/>
        <w:gridCol w:w="681"/>
        <w:gridCol w:w="41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ordWrap w:val="0"/>
              <w:jc w:val="center"/>
              <w:rPr>
                <w:rFonts w:ascii="宋体" w:hAnsi="宋体" w:eastAsia="宋体" w:cs="宋体"/>
                <w:b/>
                <w:bCs/>
                <w:sz w:val="24"/>
                <w:szCs w:val="24"/>
              </w:rPr>
            </w:pPr>
            <w:r>
              <w:rPr>
                <w:rFonts w:ascii="Times New Roman" w:hAnsi="Times New Roman" w:eastAsia="宋体" w:cs="Times New Roman"/>
                <w:b/>
                <w:bCs/>
                <w:szCs w:val="24"/>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ordWrap w:val="0"/>
              <w:jc w:val="center"/>
              <w:rPr>
                <w:rFonts w:ascii="宋体" w:hAnsi="宋体" w:eastAsia="宋体" w:cs="宋体"/>
                <w:b/>
                <w:bCs/>
                <w:sz w:val="24"/>
                <w:szCs w:val="24"/>
              </w:rPr>
            </w:pPr>
            <w:r>
              <w:rPr>
                <w:rFonts w:ascii="Times New Roman" w:hAnsi="Times New Roman" w:eastAsia="宋体" w:cs="Times New Roman"/>
                <w:b/>
                <w:bCs/>
                <w:szCs w:val="24"/>
              </w:rPr>
              <w:t>评分项</w:t>
            </w:r>
          </w:p>
        </w:tc>
        <w:tc>
          <w:tcPr>
            <w:tcW w:w="4196"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ordWrap w:val="0"/>
              <w:jc w:val="center"/>
              <w:rPr>
                <w:rFonts w:ascii="宋体" w:hAnsi="宋体" w:eastAsia="宋体" w:cs="宋体"/>
                <w:b/>
                <w:bCs/>
                <w:sz w:val="24"/>
                <w:szCs w:val="24"/>
              </w:rPr>
            </w:pPr>
            <w:r>
              <w:rPr>
                <w:rFonts w:ascii="Times New Roman" w:hAnsi="Times New Roman" w:eastAsia="宋体" w:cs="Times New Roman"/>
                <w:b/>
                <w:bCs/>
                <w:szCs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ascii="Times New Roman" w:hAnsi="Times New Roman" w:eastAsia="宋体" w:cs="Times New Roman"/>
                <w:b/>
                <w:bCs/>
                <w:color w:val="0000FF"/>
                <w:szCs w:val="24"/>
              </w:rPr>
              <w:t>1</w:t>
            </w:r>
          </w:p>
        </w:tc>
        <w:tc>
          <w:tcPr>
            <w:tcW w:w="4196" w:type="dxa"/>
            <w:gridSpan w:val="3"/>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ascii="Times New Roman" w:hAnsi="Times New Roman" w:eastAsia="宋体" w:cs="Times New Roman"/>
                <w:b/>
                <w:bCs/>
                <w:color w:val="0000FF"/>
                <w:szCs w:val="24"/>
              </w:rPr>
              <w:t>价格</w:t>
            </w:r>
          </w:p>
        </w:tc>
        <w:tc>
          <w:tcPr>
            <w:tcW w:w="4196" w:type="dxa"/>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hint="eastAsia" w:ascii="Times New Roman" w:hAnsi="Times New Roman" w:eastAsia="宋体" w:cs="Times New Roman"/>
                <w:b/>
                <w:bCs/>
                <w:color w:val="0000FF"/>
                <w:szCs w:val="24"/>
              </w:rPr>
              <w:t>1</w:t>
            </w:r>
            <w:r>
              <w:rPr>
                <w:rFonts w:ascii="Times New Roman" w:hAnsi="Times New Roman" w:eastAsia="宋体" w:cs="Times New Roman"/>
                <w:b/>
                <w:bCs/>
                <w:color w:val="0000FF"/>
                <w:szCs w:val="24"/>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8392" w:type="dxa"/>
            <w:gridSpan w:val="4"/>
            <w:tcBorders>
              <w:top w:val="single" w:color="000000" w:sz="8" w:space="0"/>
              <w:left w:val="single" w:color="000000" w:sz="8" w:space="0"/>
              <w:bottom w:val="single" w:color="000000" w:sz="8" w:space="0"/>
              <w:right w:val="single" w:color="000000" w:sz="8" w:space="0"/>
            </w:tcBorders>
            <w:noWrap w:val="0"/>
            <w:vAlign w:val="top"/>
          </w:tcPr>
          <w:p>
            <w:pPr>
              <w:wordWrap w:val="0"/>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ascii="Times New Roman" w:hAnsi="Times New Roman" w:eastAsia="宋体" w:cs="Times New Roman"/>
                <w:b/>
                <w:bCs/>
                <w:color w:val="0000FF"/>
                <w:szCs w:val="24"/>
              </w:rPr>
              <w:t>2</w:t>
            </w:r>
          </w:p>
        </w:tc>
        <w:tc>
          <w:tcPr>
            <w:tcW w:w="4196" w:type="dxa"/>
            <w:gridSpan w:val="3"/>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ascii="Times New Roman" w:hAnsi="Times New Roman" w:eastAsia="宋体" w:cs="Times New Roman"/>
                <w:b/>
                <w:bCs/>
                <w:color w:val="0000FF"/>
                <w:szCs w:val="24"/>
              </w:rPr>
              <w:t>技术</w:t>
            </w:r>
            <w:r>
              <w:rPr>
                <w:rFonts w:hint="eastAsia" w:ascii="Times New Roman" w:hAnsi="Times New Roman" w:eastAsia="宋体" w:cs="Times New Roman"/>
                <w:b/>
                <w:bCs/>
                <w:color w:val="0000FF"/>
                <w:szCs w:val="24"/>
              </w:rPr>
              <w:t>部分</w:t>
            </w:r>
          </w:p>
        </w:tc>
        <w:tc>
          <w:tcPr>
            <w:tcW w:w="4196" w:type="dxa"/>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hint="default"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8392" w:type="dxa"/>
            <w:gridSpan w:val="4"/>
            <w:tcBorders>
              <w:top w:val="single" w:color="000000" w:sz="8" w:space="0"/>
              <w:left w:val="single" w:color="000000" w:sz="8" w:space="0"/>
              <w:bottom w:val="single" w:color="000000" w:sz="8" w:space="0"/>
              <w:right w:val="single" w:color="000000" w:sz="8" w:space="0"/>
            </w:tcBorders>
            <w:noWrap w:val="0"/>
            <w:vAlign w:val="top"/>
          </w:tcPr>
          <w:p>
            <w:pPr>
              <w:wordWrap w:val="0"/>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rPr>
                <w:rFonts w:ascii="宋体" w:hAnsi="宋体" w:eastAsia="宋体" w:cs="宋体"/>
                <w:b/>
                <w:bCs/>
                <w:color w:val="0000FF"/>
                <w:sz w:val="24"/>
                <w:szCs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rPr>
                <w:rFonts w:ascii="宋体" w:hAnsi="宋体" w:eastAsia="宋体" w:cs="宋体"/>
                <w:b/>
                <w:bCs/>
                <w:color w:val="0000FF"/>
                <w:sz w:val="24"/>
                <w:szCs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wordWrap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20" w:lineRule="exact"/>
              <w:rPr>
                <w:rFonts w:hint="eastAsia" w:ascii="宋体" w:hAnsi="宋体" w:eastAsia="宋体" w:cs="宋体"/>
                <w:color w:val="FF0000"/>
                <w:kern w:val="2"/>
                <w:sz w:val="21"/>
                <w:szCs w:val="21"/>
                <w:lang w:val="en-US" w:eastAsia="zh-CN" w:bidi="ar-SA"/>
              </w:rPr>
            </w:pPr>
            <w:r>
              <w:rPr>
                <w:rFonts w:hint="eastAsia" w:ascii="宋体" w:hAnsi="宋体" w:eastAsia="宋体" w:cs="宋体"/>
                <w:szCs w:val="21"/>
              </w:rPr>
              <w:t>实施方案评价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20" w:lineRule="exact"/>
              <w:jc w:val="center"/>
              <w:rPr>
                <w:rFonts w:hint="default" w:ascii="仿宋" w:hAnsi="仿宋" w:eastAsia="仿宋" w:cs="Times New Roman"/>
                <w:kern w:val="2"/>
                <w:sz w:val="21"/>
                <w:szCs w:val="21"/>
                <w:lang w:val="en-US" w:eastAsia="zh-CN" w:bidi="ar-SA"/>
              </w:rPr>
            </w:pPr>
            <w:r>
              <w:rPr>
                <w:rFonts w:hint="eastAsia" w:ascii="仿宋" w:hAnsi="仿宋" w:eastAsia="仿宋" w:cs="Times New Roman"/>
                <w:szCs w:val="21"/>
                <w:lang w:val="en-US" w:eastAsia="zh-CN"/>
              </w:rPr>
              <w:t>15</w:t>
            </w:r>
          </w:p>
        </w:tc>
        <w:tc>
          <w:tcPr>
            <w:tcW w:w="41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rPr>
                <w:rFonts w:hint="eastAsia" w:ascii="宋体" w:hAnsi="宋体" w:eastAsia="宋体" w:cs="宋体"/>
                <w:b/>
                <w:bCs/>
                <w:szCs w:val="21"/>
              </w:rPr>
            </w:pPr>
            <w:r>
              <w:rPr>
                <w:rFonts w:hint="eastAsia" w:ascii="宋体" w:hAnsi="宋体" w:eastAsia="宋体" w:cs="宋体"/>
                <w:b/>
                <w:bCs/>
                <w:szCs w:val="21"/>
              </w:rPr>
              <w:t>一、</w:t>
            </w:r>
            <w:r>
              <w:rPr>
                <w:rFonts w:hint="eastAsia" w:ascii="宋体" w:hAnsi="宋体" w:eastAsia="宋体" w:cs="宋体"/>
                <w:b/>
                <w:bCs/>
                <w:kern w:val="0"/>
                <w:szCs w:val="21"/>
              </w:rPr>
              <w:t>评审内容：</w:t>
            </w:r>
          </w:p>
          <w:p>
            <w:pPr>
              <w:widowControl/>
              <w:rPr>
                <w:rFonts w:hint="eastAsia" w:ascii="宋体" w:hAnsi="宋体" w:eastAsia="宋体" w:cs="宋体"/>
                <w:kern w:val="0"/>
                <w:szCs w:val="21"/>
              </w:rPr>
            </w:pPr>
            <w:r>
              <w:rPr>
                <w:rFonts w:hint="eastAsia" w:ascii="宋体" w:hAnsi="宋体" w:eastAsia="宋体" w:cs="宋体"/>
                <w:kern w:val="0"/>
                <w:szCs w:val="21"/>
              </w:rPr>
              <w:t>考察</w:t>
            </w:r>
            <w:r>
              <w:rPr>
                <w:rFonts w:hint="eastAsia" w:ascii="宋体" w:hAnsi="宋体" w:eastAsia="宋体" w:cs="宋体"/>
                <w:kern w:val="0"/>
                <w:szCs w:val="21"/>
                <w:lang w:eastAsia="zh-CN"/>
              </w:rPr>
              <w:t>投标人</w:t>
            </w:r>
            <w:r>
              <w:rPr>
                <w:rFonts w:hint="eastAsia" w:ascii="宋体" w:hAnsi="宋体" w:eastAsia="宋体" w:cs="宋体"/>
                <w:kern w:val="0"/>
                <w:szCs w:val="21"/>
              </w:rPr>
              <w:t>项目实施方案（服务要求总体响应情况，针对本项目特点编制切实可行的实施方案）的合理性及完整性，具体要求包括：</w:t>
            </w:r>
          </w:p>
          <w:p>
            <w:pPr>
              <w:widowControl/>
              <w:rPr>
                <w:rFonts w:hint="eastAsia" w:ascii="宋体" w:hAnsi="宋体" w:eastAsia="宋体" w:cs="宋体"/>
                <w:kern w:val="0"/>
                <w:szCs w:val="21"/>
              </w:rPr>
            </w:pPr>
            <w:r>
              <w:rPr>
                <w:rFonts w:hint="eastAsia" w:ascii="宋体" w:hAnsi="宋体" w:eastAsia="宋体" w:cs="宋体"/>
                <w:kern w:val="0"/>
                <w:szCs w:val="21"/>
              </w:rPr>
              <w:t>1.整体运维方案；</w:t>
            </w:r>
          </w:p>
          <w:p>
            <w:pPr>
              <w:widowControl/>
              <w:rPr>
                <w:rFonts w:hint="eastAsia" w:ascii="宋体" w:hAnsi="宋体" w:eastAsia="宋体" w:cs="宋体"/>
                <w:kern w:val="0"/>
                <w:szCs w:val="21"/>
              </w:rPr>
            </w:pPr>
            <w:r>
              <w:rPr>
                <w:rFonts w:hint="eastAsia" w:ascii="宋体" w:hAnsi="宋体" w:eastAsia="宋体" w:cs="宋体"/>
                <w:kern w:val="0"/>
                <w:szCs w:val="21"/>
              </w:rPr>
              <w:t>2.组织实施方案；</w:t>
            </w:r>
          </w:p>
          <w:p>
            <w:pPr>
              <w:widowControl w:val="0"/>
              <w:ind w:firstLine="0" w:firstLineChars="0"/>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1"/>
                <w:lang w:val="en-US" w:eastAsia="zh-CN" w:bidi="ar-SA"/>
              </w:rPr>
              <w:t>3.数据库运维管理记录</w:t>
            </w:r>
            <w:r>
              <w:rPr>
                <w:rFonts w:hint="default" w:ascii="宋体" w:hAnsi="宋体" w:eastAsia="宋体" w:cs="宋体"/>
                <w:kern w:val="2"/>
                <w:sz w:val="21"/>
                <w:szCs w:val="21"/>
                <w:lang w:val="en" w:eastAsia="zh-CN" w:bidi="ar-SA"/>
              </w:rPr>
              <w:t>方案</w:t>
            </w:r>
            <w:r>
              <w:rPr>
                <w:rFonts w:hint="eastAsia" w:ascii="宋体" w:hAnsi="宋体" w:eastAsia="宋体" w:cs="宋体"/>
                <w:kern w:val="2"/>
                <w:sz w:val="21"/>
                <w:szCs w:val="21"/>
                <w:lang w:val="en-US" w:eastAsia="zh-CN" w:bidi="ar-SA"/>
              </w:rPr>
              <w:t>。</w:t>
            </w:r>
          </w:p>
          <w:p>
            <w:pPr>
              <w:widowControl/>
              <w:rPr>
                <w:rFonts w:hint="eastAsia" w:ascii="宋体" w:hAnsi="宋体" w:eastAsia="宋体" w:cs="宋体"/>
                <w:b/>
                <w:bCs/>
                <w:kern w:val="0"/>
                <w:szCs w:val="21"/>
              </w:rPr>
            </w:pPr>
            <w:r>
              <w:rPr>
                <w:rFonts w:hint="eastAsia" w:ascii="宋体" w:hAnsi="宋体" w:eastAsia="宋体" w:cs="宋体"/>
                <w:b/>
                <w:bCs/>
                <w:kern w:val="0"/>
                <w:szCs w:val="21"/>
              </w:rPr>
              <w:t>二、评审标准：</w:t>
            </w:r>
          </w:p>
          <w:p>
            <w:pPr>
              <w:widowControl/>
              <w:rPr>
                <w:rFonts w:hint="eastAsia" w:ascii="宋体" w:hAnsi="宋体" w:eastAsia="宋体" w:cs="宋体"/>
                <w:kern w:val="0"/>
                <w:szCs w:val="21"/>
              </w:rPr>
            </w:pPr>
            <w:r>
              <w:rPr>
                <w:rFonts w:hint="eastAsia" w:ascii="宋体" w:hAnsi="宋体" w:eastAsia="宋体" w:cs="宋体"/>
                <w:kern w:val="0"/>
                <w:szCs w:val="21"/>
                <w:lang w:val="en-US" w:eastAsia="zh-CN"/>
              </w:rPr>
              <w:t>1、提供的方案同时满足以上三点</w:t>
            </w:r>
            <w:r>
              <w:rPr>
                <w:rFonts w:hint="eastAsia" w:ascii="宋体" w:hAnsi="宋体" w:eastAsia="宋体" w:cs="宋体"/>
                <w:kern w:val="0"/>
                <w:szCs w:val="21"/>
              </w:rPr>
              <w:t>得80</w:t>
            </w:r>
            <w:r>
              <w:rPr>
                <w:rFonts w:hint="eastAsia" w:ascii="宋体" w:hAnsi="宋体" w:eastAsia="宋体" w:cs="宋体"/>
                <w:kern w:val="0"/>
                <w:szCs w:val="21"/>
                <w:lang w:eastAsia="zh-CN"/>
              </w:rPr>
              <w:t>分</w:t>
            </w:r>
            <w:r>
              <w:rPr>
                <w:rFonts w:hint="eastAsia" w:ascii="宋体" w:hAnsi="宋体" w:eastAsia="宋体" w:cs="宋体"/>
                <w:kern w:val="0"/>
                <w:szCs w:val="21"/>
              </w:rPr>
              <w:t>，</w:t>
            </w:r>
            <w:r>
              <w:rPr>
                <w:rFonts w:hint="eastAsia" w:ascii="宋体" w:hAnsi="宋体" w:eastAsia="宋体" w:cs="宋体"/>
                <w:kern w:val="0"/>
                <w:szCs w:val="21"/>
                <w:lang w:val="en-US" w:eastAsia="zh-CN"/>
              </w:rPr>
              <w:t>同时</w:t>
            </w:r>
            <w:r>
              <w:rPr>
                <w:rFonts w:hint="eastAsia" w:ascii="宋体" w:hAnsi="宋体" w:eastAsia="宋体" w:cs="宋体"/>
                <w:kern w:val="0"/>
                <w:szCs w:val="21"/>
              </w:rPr>
              <w:t>满足任意二点得50</w:t>
            </w:r>
            <w:r>
              <w:rPr>
                <w:rFonts w:hint="eastAsia" w:ascii="宋体" w:hAnsi="宋体" w:eastAsia="宋体" w:cs="宋体"/>
                <w:kern w:val="0"/>
                <w:szCs w:val="21"/>
                <w:lang w:eastAsia="zh-CN"/>
              </w:rPr>
              <w:t>分</w:t>
            </w:r>
            <w:r>
              <w:rPr>
                <w:rFonts w:hint="eastAsia" w:ascii="宋体" w:hAnsi="宋体" w:eastAsia="宋体" w:cs="宋体"/>
                <w:kern w:val="0"/>
                <w:szCs w:val="21"/>
              </w:rPr>
              <w:t>，满足任意一点得10</w:t>
            </w:r>
            <w:r>
              <w:rPr>
                <w:rFonts w:hint="eastAsia" w:ascii="宋体" w:hAnsi="宋体" w:eastAsia="宋体" w:cs="宋体"/>
                <w:kern w:val="0"/>
                <w:szCs w:val="21"/>
                <w:lang w:eastAsia="zh-CN"/>
              </w:rPr>
              <w:t>分</w:t>
            </w:r>
            <w:r>
              <w:rPr>
                <w:rFonts w:hint="eastAsia" w:ascii="宋体" w:hAnsi="宋体" w:eastAsia="宋体" w:cs="宋体"/>
                <w:kern w:val="0"/>
                <w:szCs w:val="21"/>
              </w:rPr>
              <w:t>，未满足不得分。</w:t>
            </w:r>
          </w:p>
          <w:p>
            <w:pPr>
              <w:widowControl/>
              <w:rPr>
                <w:rFonts w:hint="eastAsia" w:ascii="宋体" w:hAnsi="宋体" w:eastAsia="宋体" w:cs="宋体"/>
                <w:kern w:val="2"/>
                <w:szCs w:val="24"/>
                <w:lang w:eastAsia="zh-CN"/>
              </w:rPr>
            </w:pPr>
            <w:r>
              <w:rPr>
                <w:rFonts w:hint="eastAsia" w:ascii="宋体" w:hAnsi="宋体" w:eastAsia="宋体" w:cs="宋体"/>
                <w:kern w:val="2"/>
                <w:szCs w:val="24"/>
                <w:lang w:val="en-US" w:eastAsia="zh-CN"/>
              </w:rPr>
              <w:t>2、</w:t>
            </w:r>
            <w:r>
              <w:rPr>
                <w:rFonts w:hint="eastAsia" w:ascii="宋体" w:hAnsi="宋体" w:eastAsia="宋体" w:cs="宋体"/>
                <w:kern w:val="2"/>
                <w:szCs w:val="24"/>
                <w:lang w:eastAsia="zh-CN"/>
              </w:rPr>
              <w:t>在此基础上，由评审委员会对具体响应内容进一步评审：</w:t>
            </w:r>
          </w:p>
          <w:p>
            <w:pPr>
              <w:widowControl/>
              <w:rPr>
                <w:rFonts w:hint="eastAsia" w:ascii="宋体" w:hAnsi="宋体" w:eastAsia="宋体" w:cs="宋体"/>
                <w:kern w:val="0"/>
                <w:szCs w:val="21"/>
              </w:rPr>
            </w:pPr>
            <w:r>
              <w:rPr>
                <w:rFonts w:hint="eastAsia" w:ascii="宋体" w:hAnsi="宋体" w:eastAsia="宋体" w:cs="宋体"/>
                <w:kern w:val="0"/>
                <w:szCs w:val="21"/>
                <w:lang w:val="en-US" w:eastAsia="zh-CN"/>
              </w:rPr>
              <w:t>①</w:t>
            </w:r>
            <w:r>
              <w:rPr>
                <w:rFonts w:hint="eastAsia" w:ascii="宋体" w:hAnsi="宋体" w:eastAsia="宋体" w:cs="宋体"/>
                <w:kern w:val="0"/>
                <w:szCs w:val="21"/>
              </w:rPr>
              <w:t>评审为优（实施方案内容完整、科学合理、清晰准确）的加20</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rPr>
                <w:rFonts w:hint="eastAsia" w:ascii="宋体" w:hAnsi="宋体" w:eastAsia="宋体" w:cs="宋体"/>
                <w:kern w:val="0"/>
                <w:szCs w:val="21"/>
              </w:rPr>
            </w:pPr>
            <w:r>
              <w:rPr>
                <w:rFonts w:hint="eastAsia" w:ascii="宋体" w:hAnsi="宋体" w:eastAsia="宋体" w:cs="宋体"/>
                <w:kern w:val="0"/>
                <w:szCs w:val="21"/>
                <w:lang w:val="en-US" w:eastAsia="zh-CN"/>
              </w:rPr>
              <w:t>②</w:t>
            </w:r>
            <w:r>
              <w:rPr>
                <w:rFonts w:hint="eastAsia" w:ascii="宋体" w:hAnsi="宋体" w:eastAsia="宋体" w:cs="宋体"/>
                <w:kern w:val="0"/>
                <w:szCs w:val="21"/>
              </w:rPr>
              <w:t>评审为良（实施方案内容较为完整、较为合理、较为清晰）的加15</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rPr>
                <w:rFonts w:hint="eastAsia" w:ascii="宋体" w:hAnsi="宋体" w:eastAsia="宋体" w:cs="宋体"/>
                <w:kern w:val="0"/>
                <w:szCs w:val="21"/>
              </w:rPr>
            </w:pPr>
            <w:r>
              <w:rPr>
                <w:rFonts w:hint="eastAsia" w:ascii="宋体" w:hAnsi="宋体" w:eastAsia="宋体" w:cs="宋体"/>
                <w:kern w:val="0"/>
                <w:szCs w:val="21"/>
                <w:lang w:val="en-US" w:eastAsia="zh-CN"/>
              </w:rPr>
              <w:t>③</w:t>
            </w:r>
            <w:r>
              <w:rPr>
                <w:rFonts w:hint="eastAsia" w:ascii="宋体" w:hAnsi="宋体" w:eastAsia="宋体" w:cs="宋体"/>
                <w:kern w:val="0"/>
                <w:szCs w:val="21"/>
              </w:rPr>
              <w:t>评审为中（实施方案内容有部分缺少、基本合理、基本清晰）的加10</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rPr>
                <w:rFonts w:hint="eastAsia" w:ascii="宋体" w:hAnsi="宋体" w:eastAsia="宋体" w:cs="宋体"/>
                <w:kern w:val="0"/>
                <w:szCs w:val="21"/>
              </w:rPr>
            </w:pPr>
            <w:r>
              <w:rPr>
                <w:rFonts w:hint="eastAsia" w:ascii="宋体" w:hAnsi="宋体" w:eastAsia="宋体" w:cs="宋体"/>
                <w:kern w:val="0"/>
                <w:szCs w:val="21"/>
                <w:lang w:val="en-US" w:eastAsia="zh-CN"/>
              </w:rPr>
              <w:t>④</w:t>
            </w:r>
            <w:r>
              <w:rPr>
                <w:rFonts w:hint="eastAsia" w:ascii="宋体" w:hAnsi="宋体" w:eastAsia="宋体" w:cs="宋体"/>
                <w:kern w:val="0"/>
                <w:szCs w:val="21"/>
              </w:rPr>
              <w:t>评审为差（实施方案存在内容严重缺失、不合理、不清晰）的不得分；</w:t>
            </w:r>
          </w:p>
          <w:p>
            <w:pPr>
              <w:snapToGrid w:val="0"/>
              <w:rPr>
                <w:rFonts w:hint="eastAsia" w:ascii="宋体" w:hAnsi="宋体" w:eastAsia="宋体" w:cs="宋体"/>
                <w:color w:val="000000"/>
                <w:kern w:val="2"/>
                <w:sz w:val="21"/>
                <w:szCs w:val="21"/>
                <w:highlight w:val="green"/>
                <w:lang w:val="en-US" w:eastAsia="zh-CN" w:bidi="ar-SA"/>
              </w:rPr>
            </w:pPr>
            <w:r>
              <w:rPr>
                <w:rFonts w:hint="eastAsia" w:ascii="宋体" w:hAnsi="宋体" w:eastAsia="宋体" w:cs="宋体"/>
                <w:kern w:val="0"/>
                <w:szCs w:val="21"/>
                <w:lang w:val="en-US" w:eastAsia="zh-CN"/>
              </w:rPr>
              <w:t>⑤</w:t>
            </w:r>
            <w:r>
              <w:rPr>
                <w:rFonts w:hint="eastAsia" w:ascii="宋体" w:hAnsi="宋体" w:eastAsia="宋体" w:cs="宋体"/>
                <w:kern w:val="0"/>
                <w:szCs w:val="21"/>
              </w:rPr>
              <w:t>不提供的不得分。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rPr>
                <w:rFonts w:ascii="宋体" w:hAnsi="宋体" w:eastAsia="宋体" w:cs="宋体"/>
                <w:b/>
                <w:bCs/>
                <w:color w:val="0000FF"/>
                <w:sz w:val="24"/>
                <w:szCs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wordWrap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项目重点难点分析、应对措施及相关的合理化建议</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20" w:lineRule="exact"/>
              <w:jc w:val="center"/>
              <w:rPr>
                <w:rFonts w:hint="default" w:ascii="仿宋" w:hAnsi="仿宋" w:eastAsia="仿宋" w:cs="Times New Roman"/>
                <w:kern w:val="2"/>
                <w:sz w:val="21"/>
                <w:szCs w:val="21"/>
                <w:lang w:val="en-US" w:eastAsia="zh-CN" w:bidi="ar-SA"/>
              </w:rPr>
            </w:pPr>
            <w:r>
              <w:rPr>
                <w:rFonts w:hint="eastAsia" w:ascii="仿宋" w:hAnsi="仿宋" w:eastAsia="仿宋" w:cs="Times New Roman"/>
                <w:szCs w:val="21"/>
                <w:lang w:val="en-US" w:eastAsia="zh-CN"/>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widowControl/>
              <w:jc w:val="left"/>
              <w:rPr>
                <w:rFonts w:hint="eastAsia" w:ascii="宋体" w:hAnsi="宋体" w:eastAsia="宋体" w:cs="宋体"/>
                <w:b/>
                <w:bCs/>
                <w:kern w:val="0"/>
                <w:szCs w:val="21"/>
              </w:rPr>
            </w:pPr>
            <w:r>
              <w:rPr>
                <w:rFonts w:hint="eastAsia" w:ascii="宋体" w:hAnsi="宋体" w:eastAsia="宋体" w:cs="宋体"/>
                <w:b/>
                <w:bCs/>
                <w:kern w:val="0"/>
                <w:szCs w:val="21"/>
              </w:rPr>
              <w:t>一、评审内容：</w:t>
            </w:r>
          </w:p>
          <w:p>
            <w:pPr>
              <w:widowControl/>
              <w:jc w:val="left"/>
              <w:rPr>
                <w:rFonts w:hint="eastAsia" w:ascii="宋体" w:hAnsi="宋体" w:eastAsia="宋体" w:cs="宋体"/>
                <w:kern w:val="0"/>
                <w:szCs w:val="21"/>
              </w:rPr>
            </w:pPr>
            <w:r>
              <w:rPr>
                <w:rFonts w:hint="eastAsia" w:ascii="宋体" w:hAnsi="宋体" w:eastAsia="宋体" w:cs="宋体"/>
                <w:kern w:val="0"/>
                <w:szCs w:val="21"/>
              </w:rPr>
              <w:t>对</w:t>
            </w:r>
            <w:r>
              <w:rPr>
                <w:rFonts w:hint="eastAsia" w:ascii="宋体" w:hAnsi="宋体" w:eastAsia="宋体" w:cs="宋体"/>
                <w:kern w:val="0"/>
                <w:szCs w:val="21"/>
                <w:lang w:eastAsia="zh-CN"/>
              </w:rPr>
              <w:t>投标人</w:t>
            </w:r>
            <w:r>
              <w:rPr>
                <w:rFonts w:hint="eastAsia" w:ascii="宋体" w:hAnsi="宋体" w:eastAsia="宋体" w:cs="宋体"/>
                <w:kern w:val="0"/>
                <w:szCs w:val="21"/>
                <w:lang w:val="en-US" w:eastAsia="zh-CN"/>
              </w:rPr>
              <w:t>提供的</w:t>
            </w:r>
            <w:r>
              <w:rPr>
                <w:rFonts w:hint="eastAsia" w:ascii="宋体" w:hAnsi="宋体" w:eastAsia="宋体" w:cs="宋体"/>
                <w:kern w:val="0"/>
                <w:szCs w:val="21"/>
              </w:rPr>
              <w:t>项目重点难点分析、应对措施及相关的合理化建议进行评审，具体要求包括：</w:t>
            </w:r>
          </w:p>
          <w:p>
            <w:pPr>
              <w:widowControl/>
              <w:jc w:val="left"/>
              <w:rPr>
                <w:rFonts w:hint="eastAsia" w:ascii="宋体" w:hAnsi="宋体" w:eastAsia="宋体" w:cs="宋体"/>
                <w:kern w:val="0"/>
                <w:szCs w:val="21"/>
              </w:rPr>
            </w:pPr>
            <w:r>
              <w:rPr>
                <w:rFonts w:hint="eastAsia" w:ascii="宋体" w:hAnsi="宋体" w:eastAsia="宋体" w:cs="宋体"/>
                <w:kern w:val="0"/>
                <w:szCs w:val="21"/>
              </w:rPr>
              <w:t>1.提供需求快速响应的保障措施；</w:t>
            </w:r>
          </w:p>
          <w:p>
            <w:pPr>
              <w:widowControl/>
              <w:jc w:val="left"/>
              <w:rPr>
                <w:rFonts w:hint="eastAsia" w:ascii="宋体" w:hAnsi="宋体" w:eastAsia="宋体" w:cs="宋体"/>
                <w:kern w:val="0"/>
                <w:szCs w:val="21"/>
              </w:rPr>
            </w:pPr>
            <w:r>
              <w:rPr>
                <w:rFonts w:hint="eastAsia" w:ascii="宋体" w:hAnsi="宋体" w:eastAsia="宋体" w:cs="宋体"/>
                <w:kern w:val="0"/>
                <w:szCs w:val="21"/>
              </w:rPr>
              <w:t>2.提供重大事件应急保障和处理措施；</w:t>
            </w:r>
          </w:p>
          <w:p>
            <w:pPr>
              <w:widowControl/>
              <w:jc w:val="left"/>
              <w:rPr>
                <w:rFonts w:hint="eastAsia" w:ascii="宋体" w:hAnsi="宋体" w:eastAsia="宋体" w:cs="宋体"/>
                <w:kern w:val="0"/>
                <w:szCs w:val="21"/>
              </w:rPr>
            </w:pPr>
            <w:r>
              <w:rPr>
                <w:rFonts w:hint="eastAsia" w:ascii="宋体" w:hAnsi="宋体" w:eastAsia="宋体" w:cs="宋体"/>
                <w:kern w:val="0"/>
                <w:szCs w:val="21"/>
              </w:rPr>
              <w:t>3.提供项目重难点进行分析；</w:t>
            </w:r>
          </w:p>
          <w:p>
            <w:pPr>
              <w:widowControl/>
              <w:jc w:val="left"/>
              <w:rPr>
                <w:rFonts w:hint="eastAsia" w:ascii="宋体" w:hAnsi="宋体" w:eastAsia="宋体" w:cs="宋体"/>
                <w:kern w:val="0"/>
                <w:szCs w:val="21"/>
              </w:rPr>
            </w:pPr>
            <w:r>
              <w:rPr>
                <w:rFonts w:hint="eastAsia" w:ascii="宋体" w:hAnsi="宋体" w:eastAsia="宋体" w:cs="宋体"/>
                <w:b/>
                <w:bCs/>
                <w:kern w:val="0"/>
                <w:szCs w:val="21"/>
              </w:rPr>
              <w:t>二、评审标准：</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1、提供的</w:t>
            </w:r>
            <w:r>
              <w:rPr>
                <w:rFonts w:hint="eastAsia" w:ascii="宋体" w:hAnsi="宋体" w:eastAsia="宋体" w:cs="宋体"/>
                <w:kern w:val="0"/>
                <w:szCs w:val="21"/>
              </w:rPr>
              <w:t>项目重点难点分析、应对措施及相关的合理化建议，</w:t>
            </w:r>
            <w:r>
              <w:rPr>
                <w:rFonts w:hint="eastAsia" w:ascii="宋体" w:hAnsi="宋体" w:eastAsia="宋体" w:cs="宋体"/>
                <w:kern w:val="0"/>
                <w:szCs w:val="21"/>
                <w:lang w:val="en-US" w:eastAsia="zh-CN"/>
              </w:rPr>
              <w:t>同时满足以上三点</w:t>
            </w:r>
            <w:r>
              <w:rPr>
                <w:rFonts w:hint="eastAsia" w:ascii="宋体" w:hAnsi="宋体" w:eastAsia="宋体" w:cs="宋体"/>
                <w:kern w:val="0"/>
                <w:szCs w:val="21"/>
              </w:rPr>
              <w:t>得80</w:t>
            </w:r>
            <w:r>
              <w:rPr>
                <w:rFonts w:hint="eastAsia" w:ascii="宋体" w:hAnsi="宋体" w:eastAsia="宋体" w:cs="宋体"/>
                <w:kern w:val="0"/>
                <w:szCs w:val="21"/>
                <w:lang w:eastAsia="zh-CN"/>
              </w:rPr>
              <w:t>分</w:t>
            </w:r>
            <w:r>
              <w:rPr>
                <w:rFonts w:hint="eastAsia" w:ascii="宋体" w:hAnsi="宋体" w:eastAsia="宋体" w:cs="宋体"/>
                <w:kern w:val="0"/>
                <w:szCs w:val="21"/>
              </w:rPr>
              <w:t>，</w:t>
            </w:r>
            <w:r>
              <w:rPr>
                <w:rFonts w:hint="eastAsia" w:ascii="宋体" w:hAnsi="宋体" w:eastAsia="宋体" w:cs="宋体"/>
                <w:kern w:val="0"/>
                <w:szCs w:val="21"/>
                <w:lang w:val="en-US" w:eastAsia="zh-CN"/>
              </w:rPr>
              <w:t>同时</w:t>
            </w:r>
            <w:r>
              <w:rPr>
                <w:rFonts w:hint="eastAsia" w:ascii="宋体" w:hAnsi="宋体" w:eastAsia="宋体" w:cs="宋体"/>
                <w:kern w:val="0"/>
                <w:szCs w:val="21"/>
              </w:rPr>
              <w:t>满足任意两点得50</w:t>
            </w:r>
            <w:r>
              <w:rPr>
                <w:rFonts w:hint="eastAsia" w:ascii="宋体" w:hAnsi="宋体" w:eastAsia="宋体" w:cs="宋体"/>
                <w:kern w:val="0"/>
                <w:szCs w:val="21"/>
                <w:lang w:eastAsia="zh-CN"/>
              </w:rPr>
              <w:t>分</w:t>
            </w:r>
            <w:r>
              <w:rPr>
                <w:rFonts w:hint="eastAsia" w:ascii="宋体" w:hAnsi="宋体" w:eastAsia="宋体" w:cs="宋体"/>
                <w:kern w:val="0"/>
                <w:szCs w:val="21"/>
              </w:rPr>
              <w:t>，满足任意一点得10</w:t>
            </w:r>
            <w:r>
              <w:rPr>
                <w:rFonts w:hint="eastAsia" w:ascii="宋体" w:hAnsi="宋体" w:eastAsia="宋体" w:cs="宋体"/>
                <w:kern w:val="0"/>
                <w:szCs w:val="21"/>
                <w:lang w:eastAsia="zh-CN"/>
              </w:rPr>
              <w:t>分</w:t>
            </w:r>
            <w:r>
              <w:rPr>
                <w:rFonts w:hint="eastAsia" w:ascii="宋体" w:hAnsi="宋体" w:eastAsia="宋体" w:cs="宋体"/>
                <w:kern w:val="0"/>
                <w:szCs w:val="21"/>
              </w:rPr>
              <w:t>，未满足不得分。</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2、</w:t>
            </w:r>
            <w:r>
              <w:rPr>
                <w:rFonts w:hint="eastAsia" w:ascii="宋体" w:hAnsi="宋体" w:eastAsia="宋体" w:cs="宋体"/>
                <w:kern w:val="2"/>
                <w:szCs w:val="24"/>
                <w:lang w:eastAsia="zh-CN"/>
              </w:rPr>
              <w:t>在此基础上，由评审委员会对具体响应内容进一步评审：</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①</w:t>
            </w:r>
            <w:r>
              <w:rPr>
                <w:rFonts w:hint="eastAsia" w:ascii="宋体" w:hAnsi="宋体" w:eastAsia="宋体" w:cs="宋体"/>
                <w:kern w:val="0"/>
                <w:szCs w:val="21"/>
              </w:rPr>
              <w:t>评审为优（项目合理化建议内容完整、科学合理、清晰准确）的加20</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②</w:t>
            </w:r>
            <w:r>
              <w:rPr>
                <w:rFonts w:hint="eastAsia" w:ascii="宋体" w:hAnsi="宋体" w:eastAsia="宋体" w:cs="宋体"/>
                <w:kern w:val="0"/>
                <w:szCs w:val="21"/>
              </w:rPr>
              <w:t>评审为良（项目合理化建议内容较为完整、较为合理、较为清晰）的加15</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③</w:t>
            </w:r>
            <w:r>
              <w:rPr>
                <w:rFonts w:hint="eastAsia" w:ascii="宋体" w:hAnsi="宋体" w:eastAsia="宋体" w:cs="宋体"/>
                <w:kern w:val="0"/>
                <w:szCs w:val="21"/>
              </w:rPr>
              <w:t>评审为中（项目合理化建议内容有部分缺少、基本合理、基本清晰）的加10</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④</w:t>
            </w:r>
            <w:r>
              <w:rPr>
                <w:rFonts w:hint="eastAsia" w:ascii="宋体" w:hAnsi="宋体" w:eastAsia="宋体" w:cs="宋体"/>
                <w:kern w:val="0"/>
                <w:szCs w:val="21"/>
              </w:rPr>
              <w:t>评审为差（项目合理化建议存在内容严重缺失、不合理、不清晰）的不得分；</w:t>
            </w:r>
          </w:p>
          <w:p>
            <w:pPr>
              <w:widowControl/>
              <w:rPr>
                <w:rFonts w:hint="eastAsia" w:ascii="宋体" w:hAnsi="宋体" w:eastAsia="宋体" w:cs="宋体"/>
                <w:b/>
                <w:bCs/>
                <w:kern w:val="2"/>
                <w:sz w:val="21"/>
                <w:szCs w:val="21"/>
                <w:lang w:val="en-US" w:eastAsia="zh-CN" w:bidi="ar-SA"/>
              </w:rPr>
            </w:pPr>
            <w:r>
              <w:rPr>
                <w:rFonts w:hint="eastAsia" w:ascii="宋体" w:hAnsi="宋体" w:eastAsia="宋体" w:cs="宋体"/>
                <w:kern w:val="0"/>
                <w:szCs w:val="21"/>
                <w:lang w:val="en-US" w:eastAsia="zh-CN"/>
              </w:rPr>
              <w:t>⑤</w:t>
            </w:r>
            <w:r>
              <w:rPr>
                <w:rFonts w:hint="eastAsia" w:ascii="宋体" w:hAnsi="宋体" w:eastAsia="宋体" w:cs="宋体"/>
                <w:kern w:val="0"/>
                <w:szCs w:val="21"/>
              </w:rPr>
              <w:t>不提供的不得分。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rPr>
                <w:rFonts w:ascii="宋体" w:hAnsi="宋体" w:eastAsia="宋体" w:cs="宋体"/>
                <w:b/>
                <w:bCs/>
                <w:color w:val="0000FF"/>
                <w:sz w:val="24"/>
                <w:szCs w:val="24"/>
              </w:rPr>
            </w:pPr>
          </w:p>
        </w:tc>
        <w:tc>
          <w:tcPr>
            <w:tcW w:w="6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pPr>
              <w:wordWrap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83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质量保证措施</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320" w:lineRule="exact"/>
              <w:jc w:val="center"/>
              <w:rPr>
                <w:rFonts w:hint="eastAsia" w:ascii="仿宋" w:hAnsi="仿宋" w:eastAsia="仿宋" w:cs="Times New Roman"/>
                <w:kern w:val="2"/>
                <w:sz w:val="21"/>
                <w:szCs w:val="21"/>
                <w:lang w:val="en-US" w:eastAsia="zh-CN" w:bidi="ar-SA"/>
              </w:rPr>
            </w:pPr>
            <w:r>
              <w:rPr>
                <w:rFonts w:hint="eastAsia" w:ascii="仿宋" w:hAnsi="仿宋" w:eastAsia="仿宋" w:cs="Times New Roman"/>
                <w:szCs w:val="21"/>
                <w:lang w:val="en-US" w:eastAsia="zh-CN"/>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left"/>
              <w:rPr>
                <w:rFonts w:hint="eastAsia" w:ascii="宋体" w:hAnsi="宋体" w:eastAsia="宋体" w:cs="宋体"/>
                <w:b/>
                <w:bCs/>
                <w:szCs w:val="21"/>
              </w:rPr>
            </w:pPr>
            <w:r>
              <w:rPr>
                <w:rFonts w:hint="eastAsia" w:ascii="宋体" w:hAnsi="宋体" w:eastAsia="宋体" w:cs="宋体"/>
                <w:b/>
                <w:bCs/>
                <w:szCs w:val="21"/>
              </w:rPr>
              <w:t>一、评审内容：</w:t>
            </w:r>
          </w:p>
          <w:p>
            <w:pPr>
              <w:jc w:val="left"/>
              <w:rPr>
                <w:rFonts w:hint="eastAsia" w:ascii="宋体" w:hAnsi="宋体" w:eastAsia="宋体" w:cs="宋体"/>
                <w:szCs w:val="21"/>
                <w:lang w:eastAsia="zh-CN"/>
              </w:rPr>
            </w:pPr>
            <w:r>
              <w:rPr>
                <w:rFonts w:hint="eastAsia" w:ascii="宋体" w:hAnsi="宋体" w:eastAsia="宋体" w:cs="宋体"/>
                <w:szCs w:val="21"/>
              </w:rPr>
              <w:t>根据承接单位针对项目提供的质量保障措施及方案响应情况进行评审</w:t>
            </w:r>
            <w:r>
              <w:rPr>
                <w:rFonts w:hint="eastAsia" w:ascii="宋体" w:hAnsi="宋体" w:eastAsia="宋体" w:cs="宋体"/>
                <w:szCs w:val="21"/>
                <w:lang w:eastAsia="zh-CN"/>
              </w:rPr>
              <w:t>，</w:t>
            </w:r>
            <w:r>
              <w:rPr>
                <w:rFonts w:hint="eastAsia" w:ascii="宋体" w:hAnsi="宋体" w:eastAsia="宋体" w:cs="宋体"/>
                <w:szCs w:val="21"/>
                <w:lang w:val="en-US" w:eastAsia="zh-CN"/>
              </w:rPr>
              <w:t>具体包括</w:t>
            </w:r>
            <w:r>
              <w:rPr>
                <w:rFonts w:hint="eastAsia" w:ascii="宋体" w:hAnsi="宋体" w:eastAsia="宋体" w:cs="宋体"/>
                <w:szCs w:val="21"/>
                <w:lang w:eastAsia="zh-CN"/>
              </w:rPr>
              <w:t>：</w:t>
            </w:r>
          </w:p>
          <w:p>
            <w:pPr>
              <w:jc w:val="left"/>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eastAsia="宋体" w:cs="宋体"/>
                <w:szCs w:val="21"/>
              </w:rPr>
              <w:t>质量保障措施</w:t>
            </w:r>
            <w:r>
              <w:rPr>
                <w:rFonts w:hint="eastAsia" w:ascii="宋体" w:hAnsi="宋体" w:eastAsia="宋体" w:cs="宋体"/>
                <w:szCs w:val="21"/>
                <w:lang w:eastAsia="zh-CN"/>
              </w:rPr>
              <w:t>。</w:t>
            </w:r>
          </w:p>
          <w:p>
            <w:pPr>
              <w:widowControl w:val="0"/>
              <w:spacing w:after="120"/>
              <w:jc w:val="both"/>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1"/>
                <w:lang w:val="en-US" w:eastAsia="zh-CN" w:bidi="ar-SA"/>
              </w:rPr>
              <w:t>2、技术保障措施。</w:t>
            </w:r>
          </w:p>
          <w:p>
            <w:pPr>
              <w:jc w:val="left"/>
              <w:rPr>
                <w:rFonts w:hint="eastAsia" w:ascii="宋体" w:hAnsi="宋体" w:eastAsia="宋体" w:cs="宋体"/>
                <w:b/>
                <w:bCs/>
                <w:szCs w:val="21"/>
              </w:rPr>
            </w:pPr>
            <w:r>
              <w:rPr>
                <w:rFonts w:hint="eastAsia" w:ascii="宋体" w:hAnsi="宋体" w:eastAsia="宋体" w:cs="宋体"/>
                <w:b/>
                <w:bCs/>
                <w:szCs w:val="21"/>
              </w:rPr>
              <w:t>二、评分标准</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1、</w:t>
            </w:r>
            <w:r>
              <w:rPr>
                <w:rFonts w:hint="eastAsia" w:ascii="宋体" w:hAnsi="宋体" w:eastAsia="宋体" w:cs="宋体"/>
                <w:kern w:val="2"/>
                <w:szCs w:val="24"/>
                <w:lang w:eastAsia="zh-CN"/>
              </w:rPr>
              <w:t>提供的方案同时</w:t>
            </w:r>
            <w:r>
              <w:rPr>
                <w:rFonts w:hint="eastAsia" w:ascii="宋体" w:hAnsi="宋体" w:eastAsia="宋体" w:cs="宋体"/>
                <w:kern w:val="2"/>
                <w:szCs w:val="24"/>
                <w:lang w:val="en-US" w:eastAsia="zh-CN"/>
              </w:rPr>
              <w:t>满足</w:t>
            </w:r>
            <w:r>
              <w:rPr>
                <w:rFonts w:hint="eastAsia" w:ascii="宋体" w:hAnsi="宋体" w:eastAsia="宋体" w:cs="宋体"/>
                <w:kern w:val="2"/>
                <w:szCs w:val="24"/>
                <w:lang w:eastAsia="zh-CN"/>
              </w:rPr>
              <w:t>以上</w:t>
            </w:r>
            <w:r>
              <w:rPr>
                <w:rFonts w:hint="eastAsia" w:ascii="宋体" w:hAnsi="宋体" w:eastAsia="宋体" w:cs="宋体"/>
                <w:kern w:val="2"/>
                <w:szCs w:val="24"/>
                <w:lang w:val="en-US" w:eastAsia="zh-CN"/>
              </w:rPr>
              <w:t>两</w:t>
            </w:r>
            <w:r>
              <w:rPr>
                <w:rFonts w:hint="eastAsia" w:ascii="宋体" w:hAnsi="宋体" w:eastAsia="宋体" w:cs="宋体"/>
                <w:kern w:val="2"/>
                <w:szCs w:val="24"/>
                <w:lang w:eastAsia="zh-CN"/>
              </w:rPr>
              <w:t>点得</w:t>
            </w:r>
            <w:r>
              <w:rPr>
                <w:rFonts w:hint="default" w:ascii="宋体" w:hAnsi="宋体" w:eastAsia="宋体" w:cs="宋体"/>
                <w:kern w:val="2"/>
                <w:szCs w:val="24"/>
                <w:lang w:val="en-US" w:eastAsia="zh-CN"/>
              </w:rPr>
              <w:t>80</w:t>
            </w:r>
            <w:r>
              <w:rPr>
                <w:rFonts w:hint="eastAsia" w:ascii="宋体" w:hAnsi="宋体" w:eastAsia="宋体" w:cs="宋体"/>
                <w:kern w:val="2"/>
                <w:szCs w:val="24"/>
                <w:lang w:eastAsia="zh-CN"/>
              </w:rPr>
              <w:t>分，满足任意</w:t>
            </w:r>
            <w:r>
              <w:rPr>
                <w:rFonts w:hint="eastAsia" w:ascii="宋体" w:hAnsi="宋体" w:eastAsia="宋体" w:cs="宋体"/>
                <w:kern w:val="2"/>
                <w:szCs w:val="24"/>
                <w:lang w:val="en-US" w:eastAsia="zh-CN"/>
              </w:rPr>
              <w:t>一</w:t>
            </w:r>
            <w:r>
              <w:rPr>
                <w:rFonts w:hint="eastAsia" w:ascii="宋体" w:hAnsi="宋体" w:eastAsia="宋体" w:cs="宋体"/>
                <w:kern w:val="2"/>
                <w:szCs w:val="24"/>
                <w:lang w:eastAsia="zh-CN"/>
              </w:rPr>
              <w:t>点的得</w:t>
            </w:r>
            <w:r>
              <w:rPr>
                <w:rFonts w:hint="eastAsia" w:ascii="宋体" w:hAnsi="宋体" w:eastAsia="宋体" w:cs="宋体"/>
                <w:kern w:val="2"/>
                <w:szCs w:val="24"/>
                <w:lang w:val="en-US" w:eastAsia="zh-CN"/>
              </w:rPr>
              <w:t>60</w:t>
            </w:r>
            <w:r>
              <w:rPr>
                <w:rFonts w:hint="eastAsia" w:ascii="宋体" w:hAnsi="宋体" w:eastAsia="宋体" w:cs="宋体"/>
                <w:kern w:val="2"/>
                <w:szCs w:val="24"/>
                <w:lang w:eastAsia="zh-CN"/>
              </w:rPr>
              <w:t>分，其他情况不得分。</w:t>
            </w:r>
            <w:r>
              <w:rPr>
                <w:rFonts w:hint="eastAsia" w:ascii="宋体" w:hAnsi="宋体" w:eastAsia="宋体" w:cs="宋体"/>
                <w:kern w:val="0"/>
                <w:szCs w:val="21"/>
                <w:lang w:val="en-US" w:eastAsia="zh-CN"/>
              </w:rPr>
              <w:t>2、</w:t>
            </w:r>
            <w:r>
              <w:rPr>
                <w:rFonts w:hint="eastAsia" w:ascii="宋体" w:hAnsi="宋体" w:eastAsia="宋体" w:cs="宋体"/>
                <w:kern w:val="2"/>
                <w:szCs w:val="24"/>
                <w:lang w:eastAsia="zh-CN"/>
              </w:rPr>
              <w:t>在此基础上，由评审委员会对具体响应内容进一步评审：</w:t>
            </w:r>
            <w:r>
              <w:rPr>
                <w:rFonts w:hint="eastAsia" w:ascii="宋体" w:hAnsi="宋体" w:eastAsia="宋体" w:cs="宋体"/>
                <w:kern w:val="0"/>
                <w:szCs w:val="21"/>
                <w:lang w:val="en-US" w:eastAsia="zh-CN"/>
              </w:rPr>
              <w:t>①</w:t>
            </w:r>
            <w:r>
              <w:rPr>
                <w:rFonts w:hint="eastAsia" w:ascii="宋体" w:hAnsi="宋体" w:eastAsia="宋体" w:cs="宋体"/>
                <w:kern w:val="0"/>
                <w:szCs w:val="21"/>
              </w:rPr>
              <w:t>评审为优（</w:t>
            </w:r>
            <w:r>
              <w:rPr>
                <w:rFonts w:hint="eastAsia" w:ascii="宋体" w:hAnsi="宋体" w:eastAsia="宋体" w:cs="宋体"/>
                <w:szCs w:val="21"/>
              </w:rPr>
              <w:t>质量保障措施及方案</w:t>
            </w:r>
            <w:r>
              <w:rPr>
                <w:rFonts w:hint="eastAsia" w:ascii="宋体" w:hAnsi="宋体" w:eastAsia="宋体" w:cs="宋体"/>
                <w:kern w:val="0"/>
                <w:szCs w:val="21"/>
              </w:rPr>
              <w:t>内容完整、科学合理、清晰准确）的加20</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②</w:t>
            </w:r>
            <w:r>
              <w:rPr>
                <w:rFonts w:hint="eastAsia" w:ascii="宋体" w:hAnsi="宋体" w:eastAsia="宋体" w:cs="宋体"/>
                <w:kern w:val="0"/>
                <w:szCs w:val="21"/>
              </w:rPr>
              <w:t>评审为良（</w:t>
            </w:r>
            <w:r>
              <w:rPr>
                <w:rFonts w:hint="eastAsia" w:ascii="宋体" w:hAnsi="宋体" w:eastAsia="宋体" w:cs="宋体"/>
                <w:szCs w:val="21"/>
              </w:rPr>
              <w:t>质量保障措施及方案</w:t>
            </w:r>
            <w:r>
              <w:rPr>
                <w:rFonts w:hint="eastAsia" w:ascii="宋体" w:hAnsi="宋体" w:eastAsia="宋体" w:cs="宋体"/>
                <w:kern w:val="0"/>
                <w:szCs w:val="21"/>
              </w:rPr>
              <w:t>内容较为完整、较为合理、较为清晰）的加15</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③</w:t>
            </w:r>
            <w:r>
              <w:rPr>
                <w:rFonts w:hint="eastAsia" w:ascii="宋体" w:hAnsi="宋体" w:eastAsia="宋体" w:cs="宋体"/>
                <w:kern w:val="0"/>
                <w:szCs w:val="21"/>
              </w:rPr>
              <w:t>评审为中（</w:t>
            </w:r>
            <w:r>
              <w:rPr>
                <w:rFonts w:hint="eastAsia" w:ascii="宋体" w:hAnsi="宋体" w:eastAsia="宋体" w:cs="宋体"/>
                <w:szCs w:val="21"/>
              </w:rPr>
              <w:t>质量保障措施及方案</w:t>
            </w:r>
            <w:r>
              <w:rPr>
                <w:rFonts w:hint="eastAsia" w:ascii="宋体" w:hAnsi="宋体" w:eastAsia="宋体" w:cs="宋体"/>
                <w:kern w:val="0"/>
                <w:szCs w:val="21"/>
              </w:rPr>
              <w:t>内容有部分缺少、基本合理、基本清晰）的加10</w:t>
            </w:r>
            <w:r>
              <w:rPr>
                <w:rFonts w:hint="eastAsia" w:ascii="宋体" w:hAnsi="宋体" w:eastAsia="宋体" w:cs="宋体"/>
                <w:kern w:val="0"/>
                <w:szCs w:val="21"/>
                <w:lang w:eastAsia="zh-CN"/>
              </w:rPr>
              <w:t>分</w:t>
            </w:r>
            <w:r>
              <w:rPr>
                <w:rFonts w:hint="eastAsia" w:ascii="宋体" w:hAnsi="宋体" w:eastAsia="宋体" w:cs="宋体"/>
                <w:kern w:val="0"/>
                <w:szCs w:val="21"/>
              </w:rPr>
              <w:t>；</w:t>
            </w:r>
          </w:p>
          <w:p>
            <w:pPr>
              <w:widowControl/>
              <w:jc w:val="left"/>
              <w:rPr>
                <w:rFonts w:hint="eastAsia" w:ascii="宋体" w:hAnsi="宋体" w:eastAsia="宋体" w:cs="宋体"/>
                <w:kern w:val="0"/>
                <w:szCs w:val="21"/>
              </w:rPr>
            </w:pPr>
            <w:r>
              <w:rPr>
                <w:rFonts w:hint="eastAsia" w:ascii="宋体" w:hAnsi="宋体" w:eastAsia="宋体" w:cs="宋体"/>
                <w:kern w:val="0"/>
                <w:szCs w:val="21"/>
                <w:lang w:val="en-US" w:eastAsia="zh-CN"/>
              </w:rPr>
              <w:t>④</w:t>
            </w:r>
            <w:r>
              <w:rPr>
                <w:rFonts w:hint="eastAsia" w:ascii="宋体" w:hAnsi="宋体" w:eastAsia="宋体" w:cs="宋体"/>
                <w:kern w:val="0"/>
                <w:szCs w:val="21"/>
              </w:rPr>
              <w:t>评审为差（</w:t>
            </w:r>
            <w:r>
              <w:rPr>
                <w:rFonts w:hint="eastAsia" w:ascii="宋体" w:hAnsi="宋体" w:eastAsia="宋体" w:cs="宋体"/>
                <w:szCs w:val="21"/>
              </w:rPr>
              <w:t>质量保障措施及方案</w:t>
            </w:r>
            <w:r>
              <w:rPr>
                <w:rFonts w:hint="eastAsia" w:ascii="宋体" w:hAnsi="宋体" w:eastAsia="宋体" w:cs="宋体"/>
                <w:kern w:val="0"/>
                <w:szCs w:val="21"/>
              </w:rPr>
              <w:t>存在内容严重缺失、不合理、不清晰）的不得分；</w:t>
            </w:r>
          </w:p>
          <w:p>
            <w:pPr>
              <w:widowControl/>
              <w:jc w:val="left"/>
              <w:rPr>
                <w:rFonts w:hint="eastAsia" w:ascii="仿宋" w:hAnsi="仿宋" w:eastAsia="仿宋" w:cs="宋体"/>
                <w:b/>
                <w:bCs/>
                <w:kern w:val="0"/>
                <w:sz w:val="21"/>
                <w:szCs w:val="21"/>
                <w:lang w:val="en-US" w:eastAsia="zh-CN" w:bidi="ar-SA"/>
              </w:rPr>
            </w:pPr>
            <w:r>
              <w:rPr>
                <w:rFonts w:hint="eastAsia" w:ascii="宋体" w:hAnsi="宋体" w:eastAsia="宋体" w:cs="宋体"/>
                <w:kern w:val="0"/>
                <w:szCs w:val="21"/>
                <w:lang w:val="en-US" w:eastAsia="zh-CN"/>
              </w:rPr>
              <w:t>⑤</w:t>
            </w:r>
            <w:r>
              <w:rPr>
                <w:rFonts w:hint="eastAsia" w:ascii="宋体" w:hAnsi="宋体" w:eastAsia="宋体" w:cs="宋体"/>
                <w:kern w:val="0"/>
                <w:szCs w:val="21"/>
              </w:rPr>
              <w:t>不提供的不得分。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680" w:type="dxa"/>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835"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eastAsia="宋体" w:cs="宋体"/>
                <w:kern w:val="2"/>
                <w:sz w:val="21"/>
                <w:szCs w:val="21"/>
                <w:lang w:val="en-US" w:eastAsia="zh-CN" w:bidi="ar-SA"/>
              </w:rPr>
            </w:pPr>
            <w:r>
              <w:rPr>
                <w:rFonts w:hint="eastAsia" w:ascii="宋体" w:hAnsi="宋体" w:eastAsia="宋体" w:cs="宋体"/>
                <w:szCs w:val="21"/>
              </w:rPr>
              <w:t>拟派项目负责人（仅限一人）</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jc w:val="center"/>
              <w:rPr>
                <w:rFonts w:hint="default" w:ascii="仿宋" w:hAnsi="仿宋" w:eastAsia="仿宋" w:cs="Times New Roman"/>
                <w:kern w:val="2"/>
                <w:sz w:val="21"/>
                <w:szCs w:val="21"/>
                <w:lang w:val="en-US" w:eastAsia="zh-CN" w:bidi="ar-SA"/>
              </w:rPr>
            </w:pPr>
            <w:r>
              <w:rPr>
                <w:rFonts w:hint="eastAsia" w:ascii="仿宋" w:hAnsi="仿宋" w:eastAsia="仿宋" w:cs="Times New Roman"/>
                <w:szCs w:val="21"/>
                <w:lang w:val="en-US" w:eastAsia="zh-CN"/>
              </w:rPr>
              <w:t>10</w:t>
            </w:r>
          </w:p>
        </w:tc>
        <w:tc>
          <w:tcPr>
            <w:tcW w:w="4196" w:type="dxa"/>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hint="eastAsia" w:ascii="宋体" w:hAnsi="宋体" w:eastAsia="宋体" w:cs="宋体"/>
                <w:b/>
                <w:bCs/>
                <w:kern w:val="0"/>
                <w:szCs w:val="21"/>
              </w:rPr>
            </w:pPr>
            <w:r>
              <w:rPr>
                <w:rFonts w:hint="eastAsia" w:ascii="宋体" w:hAnsi="宋体" w:eastAsia="宋体" w:cs="宋体"/>
                <w:b/>
                <w:bCs/>
                <w:kern w:val="0"/>
                <w:szCs w:val="21"/>
              </w:rPr>
              <w:t>一、评审</w:t>
            </w:r>
            <w:r>
              <w:rPr>
                <w:rFonts w:hint="eastAsia" w:ascii="宋体" w:hAnsi="宋体" w:eastAsia="宋体" w:cs="宋体"/>
                <w:b/>
                <w:szCs w:val="21"/>
              </w:rPr>
              <w:t>标准：</w:t>
            </w:r>
          </w:p>
          <w:p>
            <w:pPr>
              <w:rPr>
                <w:rFonts w:hint="eastAsia" w:ascii="宋体" w:hAnsi="宋体" w:eastAsia="宋体" w:cs="宋体"/>
                <w:szCs w:val="21"/>
              </w:rPr>
            </w:pPr>
            <w:r>
              <w:rPr>
                <w:rFonts w:hint="eastAsia" w:ascii="宋体" w:hAnsi="宋体" w:eastAsia="宋体" w:cs="宋体"/>
                <w:szCs w:val="21"/>
              </w:rPr>
              <w:t>拟派项目负责人</w:t>
            </w:r>
            <w:r>
              <w:rPr>
                <w:rFonts w:hint="eastAsia" w:ascii="宋体" w:hAnsi="宋体" w:eastAsia="宋体" w:cs="宋体"/>
                <w:szCs w:val="21"/>
                <w:lang w:val="en-US" w:eastAsia="zh-CN"/>
              </w:rPr>
              <w:t>需为投标人自有员工：</w:t>
            </w:r>
            <w:r>
              <w:rPr>
                <w:rFonts w:hint="eastAsia" w:ascii="宋体" w:hAnsi="宋体" w:eastAsia="宋体" w:cs="宋体"/>
                <w:szCs w:val="21"/>
              </w:rPr>
              <w:t xml:space="preserve"> </w:t>
            </w:r>
          </w:p>
          <w:p>
            <w:pPr>
              <w:keepNext w:val="0"/>
              <w:keepLines w:val="0"/>
              <w:widowControl/>
              <w:numPr>
                <w:ilvl w:val="0"/>
                <w:numId w:val="0"/>
              </w:numPr>
              <w:suppressLineNumbers w:val="0"/>
              <w:jc w:val="left"/>
              <w:rPr>
                <w:rFonts w:hint="eastAsia" w:ascii="宋体" w:hAnsi="宋体" w:eastAsia="宋体" w:cs="宋体"/>
                <w:i w:val="0"/>
                <w:caps w:val="0"/>
                <w:spacing w:val="0"/>
                <w:kern w:val="2"/>
                <w:sz w:val="21"/>
                <w:szCs w:val="21"/>
                <w:shd w:val="clear" w:color="auto" w:fill="auto"/>
                <w:lang w:val="en-US" w:eastAsia="zh-CN" w:bidi="ar"/>
              </w:rPr>
            </w:pPr>
            <w:r>
              <w:rPr>
                <w:rFonts w:hint="eastAsia" w:ascii="宋体" w:hAnsi="宋体" w:eastAsia="宋体" w:cs="宋体"/>
                <w:i w:val="0"/>
                <w:caps w:val="0"/>
                <w:spacing w:val="0"/>
                <w:kern w:val="2"/>
                <w:sz w:val="21"/>
                <w:szCs w:val="21"/>
                <w:shd w:val="clear" w:color="auto" w:fill="auto"/>
                <w:lang w:val="en-US" w:eastAsia="zh-CN" w:bidi="ar"/>
              </w:rPr>
              <w:t>1.具备相关机构颁发的项目管理专业人员证书（CSPM）的得20</w:t>
            </w:r>
            <w:r>
              <w:rPr>
                <w:rFonts w:hint="eastAsia" w:ascii="宋体" w:hAnsi="宋体" w:eastAsia="宋体" w:cs="宋体"/>
                <w:szCs w:val="21"/>
                <w:lang w:eastAsia="zh-CN"/>
              </w:rPr>
              <w:t>分。</w:t>
            </w:r>
          </w:p>
          <w:p>
            <w:pPr>
              <w:keepNext w:val="0"/>
              <w:keepLines w:val="0"/>
              <w:widowControl/>
              <w:numPr>
                <w:ilvl w:val="0"/>
                <w:numId w:val="0"/>
              </w:numPr>
              <w:suppressLineNumbers w:val="0"/>
              <w:jc w:val="left"/>
              <w:rPr>
                <w:rFonts w:hint="eastAsia" w:ascii="宋体" w:hAnsi="宋体" w:eastAsia="宋体" w:cs="宋体"/>
                <w:szCs w:val="21"/>
                <w:shd w:val="clear" w:color="auto" w:fill="auto"/>
                <w:lang w:bidi="ar"/>
              </w:rPr>
            </w:pPr>
            <w:r>
              <w:rPr>
                <w:rFonts w:hint="eastAsia" w:ascii="宋体" w:hAnsi="宋体" w:eastAsia="宋体" w:cs="宋体"/>
                <w:i w:val="0"/>
                <w:caps w:val="0"/>
                <w:spacing w:val="0"/>
                <w:kern w:val="2"/>
                <w:sz w:val="21"/>
                <w:szCs w:val="21"/>
                <w:shd w:val="clear" w:color="auto" w:fill="auto"/>
                <w:lang w:val="en-US" w:eastAsia="zh-CN" w:bidi="ar"/>
              </w:rPr>
              <w:t>2.具备人社部门、工信部门颁发的</w:t>
            </w:r>
            <w:r>
              <w:rPr>
                <w:rFonts w:hint="eastAsia" w:ascii="宋体" w:hAnsi="宋体" w:eastAsia="宋体" w:cs="宋体"/>
                <w:szCs w:val="21"/>
              </w:rPr>
              <w:t>信息系统项目管理师</w:t>
            </w:r>
            <w:r>
              <w:rPr>
                <w:rFonts w:hint="eastAsia" w:ascii="宋体" w:hAnsi="宋体" w:eastAsia="宋体" w:cs="宋体"/>
                <w:szCs w:val="21"/>
                <w:shd w:val="clear" w:color="auto" w:fill="auto"/>
                <w:lang w:eastAsia="zh-CN" w:bidi="ar"/>
              </w:rPr>
              <w:t>证书</w:t>
            </w:r>
            <w:r>
              <w:rPr>
                <w:rFonts w:hint="eastAsia" w:ascii="宋体" w:hAnsi="宋体" w:eastAsia="宋体" w:cs="宋体"/>
                <w:i w:val="0"/>
                <w:caps w:val="0"/>
                <w:spacing w:val="0"/>
                <w:kern w:val="2"/>
                <w:sz w:val="21"/>
                <w:szCs w:val="21"/>
                <w:shd w:val="clear" w:color="auto" w:fill="auto"/>
                <w:lang w:val="en-US" w:eastAsia="zh-CN" w:bidi="ar"/>
              </w:rPr>
              <w:t>的得30</w:t>
            </w:r>
            <w:r>
              <w:rPr>
                <w:rFonts w:hint="eastAsia" w:ascii="宋体" w:hAnsi="宋体" w:eastAsia="宋体" w:cs="宋体"/>
                <w:szCs w:val="21"/>
                <w:shd w:val="clear" w:color="auto" w:fill="auto"/>
                <w:lang w:eastAsia="zh-CN" w:bidi="ar"/>
              </w:rPr>
              <w:t>分</w:t>
            </w:r>
            <w:r>
              <w:rPr>
                <w:rFonts w:hint="eastAsia" w:ascii="宋体" w:hAnsi="宋体" w:eastAsia="宋体" w:cs="宋体"/>
                <w:i w:val="0"/>
                <w:caps w:val="0"/>
                <w:spacing w:val="0"/>
                <w:kern w:val="2"/>
                <w:sz w:val="21"/>
                <w:szCs w:val="21"/>
                <w:shd w:val="clear" w:color="auto" w:fill="auto"/>
                <w:lang w:val="en-US" w:eastAsia="zh-CN" w:bidi="ar"/>
              </w:rPr>
              <w:t>。</w:t>
            </w:r>
            <w:r>
              <w:rPr>
                <w:rFonts w:hint="eastAsia" w:ascii="宋体" w:hAnsi="宋体" w:eastAsia="宋体" w:cs="宋体"/>
                <w:i w:val="0"/>
                <w:caps w:val="0"/>
                <w:spacing w:val="0"/>
                <w:kern w:val="2"/>
                <w:sz w:val="21"/>
                <w:szCs w:val="21"/>
                <w:lang w:val="en-US" w:eastAsia="zh-CN" w:bidi="ar"/>
              </w:rPr>
              <w:br w:type="textWrapping"/>
            </w:r>
            <w:r>
              <w:rPr>
                <w:rFonts w:hint="eastAsia" w:ascii="宋体" w:hAnsi="宋体" w:eastAsia="宋体" w:cs="宋体"/>
                <w:i w:val="0"/>
                <w:caps w:val="0"/>
                <w:spacing w:val="0"/>
                <w:kern w:val="2"/>
                <w:sz w:val="21"/>
                <w:szCs w:val="21"/>
                <w:shd w:val="clear" w:color="auto" w:fill="auto"/>
                <w:lang w:val="en-US" w:eastAsia="zh-CN" w:bidi="ar"/>
              </w:rPr>
              <w:t>3.</w:t>
            </w:r>
            <w:r>
              <w:rPr>
                <w:rFonts w:hint="eastAsia" w:ascii="宋体" w:hAnsi="宋体" w:eastAsia="宋体" w:cs="宋体"/>
                <w:szCs w:val="21"/>
                <w:shd w:val="clear" w:color="auto" w:fill="auto"/>
                <w:lang w:bidi="ar"/>
              </w:rPr>
              <w:t>具备相关机构颁发的DCA证书或YCA证书或GDCA证书或KCA证书或SCA证书，得</w:t>
            </w:r>
            <w:r>
              <w:rPr>
                <w:rFonts w:hint="eastAsia" w:ascii="宋体" w:hAnsi="宋体" w:eastAsia="宋体" w:cs="宋体"/>
                <w:szCs w:val="21"/>
                <w:shd w:val="clear" w:color="auto" w:fill="auto"/>
                <w:lang w:val="en-US" w:eastAsia="zh-CN" w:bidi="ar"/>
              </w:rPr>
              <w:t>3</w:t>
            </w:r>
            <w:r>
              <w:rPr>
                <w:rFonts w:hint="eastAsia" w:ascii="宋体" w:hAnsi="宋体" w:eastAsia="宋体" w:cs="宋体"/>
                <w:szCs w:val="21"/>
                <w:shd w:val="clear" w:color="auto" w:fill="auto"/>
                <w:lang w:bidi="ar"/>
              </w:rPr>
              <w:t>0分</w:t>
            </w:r>
            <w:r>
              <w:rPr>
                <w:rFonts w:hint="eastAsia" w:ascii="宋体" w:hAnsi="宋体" w:eastAsia="宋体" w:cs="宋体"/>
                <w:szCs w:val="21"/>
                <w:shd w:val="clear" w:color="auto" w:fill="auto"/>
                <w:lang w:eastAsia="zh-CN" w:bidi="ar"/>
              </w:rPr>
              <w:t>；</w:t>
            </w:r>
            <w:r>
              <w:rPr>
                <w:rFonts w:hint="eastAsia" w:ascii="宋体" w:hAnsi="宋体" w:eastAsia="宋体" w:cs="宋体"/>
                <w:szCs w:val="21"/>
                <w:shd w:val="clear" w:color="auto" w:fill="auto"/>
                <w:lang w:bidi="ar"/>
              </w:rPr>
              <w:t>具备相关机构颁发的DCP证书或YCP证书或GDCP证书或KCP证书或SCP证书，得</w:t>
            </w:r>
            <w:r>
              <w:rPr>
                <w:rFonts w:hint="eastAsia" w:ascii="宋体" w:hAnsi="宋体" w:eastAsia="宋体" w:cs="宋体"/>
                <w:szCs w:val="21"/>
                <w:shd w:val="clear" w:color="auto" w:fill="auto"/>
                <w:lang w:val="en-US" w:eastAsia="zh-CN" w:bidi="ar"/>
              </w:rPr>
              <w:t>50</w:t>
            </w:r>
            <w:r>
              <w:rPr>
                <w:rFonts w:hint="eastAsia" w:ascii="宋体" w:hAnsi="宋体" w:eastAsia="宋体" w:cs="宋体"/>
                <w:szCs w:val="21"/>
                <w:shd w:val="clear" w:color="auto" w:fill="auto"/>
                <w:lang w:bidi="ar"/>
              </w:rPr>
              <w:t>分</w:t>
            </w:r>
            <w:r>
              <w:rPr>
                <w:rFonts w:hint="eastAsia" w:ascii="宋体" w:hAnsi="宋体" w:eastAsia="宋体" w:cs="宋体"/>
                <w:szCs w:val="21"/>
                <w:shd w:val="clear" w:color="auto" w:fill="auto"/>
                <w:lang w:eastAsia="zh-CN" w:bidi="ar"/>
              </w:rPr>
              <w:t>；</w:t>
            </w:r>
            <w:r>
              <w:rPr>
                <w:rFonts w:hint="eastAsia" w:ascii="宋体" w:hAnsi="宋体" w:eastAsia="宋体" w:cs="宋体"/>
                <w:szCs w:val="21"/>
                <w:shd w:val="clear" w:color="auto" w:fill="auto"/>
                <w:lang w:val="en-US" w:eastAsia="zh-CN" w:bidi="ar"/>
              </w:rPr>
              <w:t>本小项以最优情形计分，同一人不可累计得分，最高得50分。</w:t>
            </w:r>
          </w:p>
          <w:p>
            <w:pPr>
              <w:widowControl w:val="0"/>
              <w:spacing w:after="120"/>
              <w:jc w:val="both"/>
              <w:rPr>
                <w:rFonts w:hint="default" w:ascii="Times New Roman" w:hAnsi="Times New Roman" w:eastAsia="宋体" w:cs="Times New Roman"/>
                <w:kern w:val="2"/>
                <w:sz w:val="21"/>
                <w:szCs w:val="24"/>
                <w:lang w:val="en-US" w:eastAsia="zh-CN" w:bidi="ar-SA"/>
              </w:rPr>
            </w:pPr>
            <w:r>
              <w:rPr>
                <w:rFonts w:hint="eastAsia" w:ascii="宋体" w:hAnsi="宋体" w:eastAsia="宋体" w:cs="宋体"/>
                <w:kern w:val="2"/>
                <w:sz w:val="21"/>
                <w:szCs w:val="21"/>
                <w:shd w:val="clear" w:color="auto" w:fill="auto"/>
                <w:lang w:val="en-US" w:eastAsia="zh-CN" w:bidi="ar"/>
              </w:rPr>
              <w:t>以上1-3项合计最高得100分。</w:t>
            </w:r>
          </w:p>
          <w:p>
            <w:pPr>
              <w:wordWrap w:val="0"/>
              <w:jc w:val="left"/>
              <w:rPr>
                <w:rFonts w:hint="eastAsia" w:ascii="宋体" w:hAnsi="宋体" w:eastAsia="宋体" w:cs="宋体"/>
                <w:b/>
                <w:bCs/>
                <w:szCs w:val="21"/>
              </w:rPr>
            </w:pPr>
            <w:r>
              <w:rPr>
                <w:rFonts w:hint="eastAsia" w:ascii="宋体" w:hAnsi="宋体" w:eastAsia="宋体" w:cs="宋体"/>
                <w:b/>
                <w:bCs/>
                <w:szCs w:val="21"/>
              </w:rPr>
              <w:t>二、证明文件：</w:t>
            </w:r>
          </w:p>
          <w:p>
            <w:pPr>
              <w:keepNext w:val="0"/>
              <w:keepLines w:val="0"/>
              <w:pageBreakBefore w:val="0"/>
              <w:widowControl w:val="0"/>
              <w:kinsoku/>
              <w:wordWrap w:val="0"/>
              <w:overflowPunct/>
              <w:topLinePunct w:val="0"/>
              <w:autoSpaceDE/>
              <w:autoSpaceDN/>
              <w:bidi w:val="0"/>
              <w:adjustRightInd/>
              <w:snapToGrid/>
              <w:spacing w:beforeAutospacing="0" w:afterAutospacing="0" w:line="300" w:lineRule="exact"/>
              <w:ind w:left="0" w:leftChars="0" w:right="0" w:firstLine="0" w:firstLineChars="0"/>
              <w:jc w:val="both"/>
              <w:textAlignment w:val="auto"/>
              <w:rPr>
                <w:rFonts w:hint="eastAsia" w:ascii="宋体" w:hAnsi="宋体" w:eastAsia="宋体" w:cs="宋体"/>
                <w:kern w:val="2"/>
                <w:szCs w:val="24"/>
                <w:lang w:eastAsia="zh-CN"/>
              </w:rPr>
            </w:pPr>
            <w:r>
              <w:rPr>
                <w:rFonts w:hint="eastAsia" w:ascii="宋体" w:hAnsi="宋体" w:eastAsia="宋体" w:cs="宋体"/>
                <w:szCs w:val="21"/>
                <w:lang w:val="en-US" w:eastAsia="zh-CN"/>
              </w:rPr>
              <w:t>1.</w:t>
            </w:r>
            <w:r>
              <w:rPr>
                <w:rFonts w:hint="eastAsia" w:ascii="宋体" w:hAnsi="宋体" w:eastAsia="宋体" w:cs="宋体"/>
                <w:szCs w:val="21"/>
              </w:rPr>
              <w:t>涉及证书的，提供相关证书扫描件</w:t>
            </w:r>
            <w:r>
              <w:rPr>
                <w:rFonts w:hint="eastAsia" w:ascii="宋体" w:hAnsi="宋体" w:eastAsia="宋体" w:cs="宋体"/>
                <w:szCs w:val="21"/>
                <w:highlight w:val="none"/>
              </w:rPr>
              <w:t>。</w:t>
            </w:r>
            <w:r>
              <w:rPr>
                <w:rFonts w:hint="eastAsia" w:ascii="宋体" w:hAnsi="宋体" w:eastAsia="宋体" w:cs="宋体"/>
                <w:kern w:val="2"/>
                <w:szCs w:val="24"/>
                <w:lang w:eastAsia="zh-CN"/>
              </w:rPr>
              <w:t>1）</w:t>
            </w:r>
            <w:r>
              <w:rPr>
                <w:rFonts w:hint="eastAsia" w:ascii="宋体" w:hAnsi="宋体" w:eastAsia="宋体" w:cs="宋体"/>
                <w:i w:val="0"/>
                <w:color w:val="auto"/>
                <w:sz w:val="21"/>
                <w:szCs w:val="21"/>
              </w:rPr>
              <w:t>如证书由行业协会（或学会）颁发的，还需同时提供证书颁发单位在全国社会组织信用信息公示平台（https://xxgs.chinanpo.mca.gov.cn/gsxt/newList）的信息查询截图（截图需显示发证单位状态为“正常”且登记证书信息需在有效期内）。</w:t>
            </w:r>
          </w:p>
          <w:p>
            <w:pPr>
              <w:keepNext w:val="0"/>
              <w:keepLines w:val="0"/>
              <w:pageBreakBefore w:val="0"/>
              <w:widowControl w:val="0"/>
              <w:kinsoku/>
              <w:wordWrap w:val="0"/>
              <w:overflowPunct/>
              <w:topLinePunct w:val="0"/>
              <w:autoSpaceDE/>
              <w:autoSpaceDN/>
              <w:bidi w:val="0"/>
              <w:adjustRightInd/>
              <w:snapToGrid/>
              <w:spacing w:beforeAutospacing="0" w:afterAutospacing="0" w:line="300" w:lineRule="exact"/>
              <w:ind w:left="0" w:leftChars="0" w:right="0" w:firstLine="0" w:firstLineChars="0"/>
              <w:jc w:val="both"/>
              <w:textAlignment w:val="auto"/>
              <w:rPr>
                <w:rFonts w:hint="eastAsia" w:ascii="宋体" w:hAnsi="宋体" w:eastAsia="宋体" w:cs="宋体"/>
                <w:kern w:val="2"/>
                <w:szCs w:val="24"/>
                <w:lang w:eastAsia="zh-CN"/>
              </w:rPr>
            </w:pPr>
            <w:r>
              <w:rPr>
                <w:rFonts w:hint="eastAsia" w:ascii="宋体" w:hAnsi="宋体" w:eastAsia="宋体" w:cs="宋体"/>
                <w:kern w:val="2"/>
                <w:szCs w:val="24"/>
                <w:lang w:eastAsia="zh-CN"/>
              </w:rPr>
              <w:t>2）由相关机构颁发的人员证书需同时提供证书官网信息查询截图或其他合法公开渠道的证书信息查询截图；</w:t>
            </w:r>
          </w:p>
          <w:p>
            <w:pPr>
              <w:widowControl/>
              <w:snapToGrid w:val="0"/>
              <w:spacing w:line="320" w:lineRule="exact"/>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提供相关人员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如为退休返聘人员则提供劳动合同或返聘协议，无需提供相关社保证明材料。</w:t>
            </w:r>
          </w:p>
          <w:p>
            <w:pPr>
              <w:jc w:val="left"/>
              <w:rPr>
                <w:rFonts w:hint="eastAsia" w:ascii="宋体" w:hAnsi="宋体" w:eastAsia="宋体" w:cs="宋体"/>
                <w:b/>
                <w:bCs/>
                <w:kern w:val="2"/>
                <w:sz w:val="21"/>
                <w:szCs w:val="21"/>
                <w:lang w:val="en-US" w:eastAsia="zh-CN" w:bidi="ar-SA"/>
              </w:rPr>
            </w:pPr>
            <w:r>
              <w:rPr>
                <w:rFonts w:hint="eastAsia" w:ascii="宋体" w:hAnsi="宋体" w:eastAsia="宋体" w:cs="宋体"/>
                <w:b w:val="0"/>
                <w:bCs w:val="0"/>
                <w:kern w:val="2"/>
                <w:sz w:val="21"/>
                <w:szCs w:val="21"/>
                <w:lang w:val="en-US" w:eastAsia="zh-CN" w:bidi="ar-SA"/>
              </w:rPr>
              <w:t>3.未按要求提供相关证明材料（或相关证明材料无法判断是否符合评分要求）的不计得分，原件备查。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680" w:type="dxa"/>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835"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拟安排的项目团队成员(不含项目负责人）情况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jc w:val="center"/>
              <w:rPr>
                <w:rFonts w:hint="default" w:ascii="仿宋" w:hAnsi="仿宋" w:eastAsia="仿宋" w:cs="Times New Roman"/>
                <w:kern w:val="2"/>
                <w:sz w:val="21"/>
                <w:szCs w:val="21"/>
                <w:lang w:val="en-US" w:eastAsia="zh-CN" w:bidi="ar-SA"/>
              </w:rPr>
            </w:pPr>
            <w:r>
              <w:rPr>
                <w:rFonts w:hint="eastAsia" w:ascii="仿宋" w:hAnsi="仿宋" w:eastAsia="仿宋" w:cs="Times New Roman"/>
                <w:szCs w:val="21"/>
                <w:lang w:val="en-US" w:eastAsia="zh-CN"/>
              </w:rPr>
              <w:t>10</w:t>
            </w:r>
          </w:p>
        </w:tc>
        <w:tc>
          <w:tcPr>
            <w:tcW w:w="4196" w:type="dxa"/>
            <w:tcBorders>
              <w:top w:val="single" w:color="000000" w:sz="8" w:space="0"/>
              <w:left w:val="single" w:color="000000" w:sz="8" w:space="0"/>
              <w:bottom w:val="single" w:color="000000" w:sz="8" w:space="0"/>
              <w:right w:val="single" w:color="000000" w:sz="8" w:space="0"/>
            </w:tcBorders>
            <w:noWrap w:val="0"/>
            <w:vAlign w:val="center"/>
          </w:tcPr>
          <w:p>
            <w:pPr>
              <w:rPr>
                <w:rFonts w:hint="eastAsia" w:ascii="宋体" w:hAnsi="宋体" w:eastAsia="宋体" w:cs="宋体"/>
                <w:b/>
                <w:bCs/>
                <w:szCs w:val="24"/>
              </w:rPr>
            </w:pPr>
            <w:r>
              <w:rPr>
                <w:rFonts w:hint="eastAsia" w:ascii="宋体" w:hAnsi="宋体" w:eastAsia="宋体" w:cs="宋体"/>
                <w:b/>
                <w:bCs/>
                <w:szCs w:val="24"/>
              </w:rPr>
              <w:t>一、评审标准：</w:t>
            </w:r>
          </w:p>
          <w:p>
            <w:pPr>
              <w:numPr>
                <w:ilvl w:val="0"/>
                <w:numId w:val="0"/>
              </w:numPr>
              <w:rPr>
                <w:rFonts w:hint="eastAsia" w:ascii="宋体" w:hAnsi="宋体" w:eastAsia="宋体" w:cs="宋体"/>
                <w:szCs w:val="21"/>
              </w:rPr>
            </w:pPr>
            <w:r>
              <w:rPr>
                <w:rFonts w:hint="eastAsia" w:ascii="宋体" w:hAnsi="宋体" w:eastAsia="宋体" w:cs="宋体"/>
                <w:szCs w:val="21"/>
              </w:rPr>
              <w:t>拟派</w:t>
            </w:r>
            <w:r>
              <w:rPr>
                <w:rFonts w:hint="eastAsia" w:ascii="宋体" w:hAnsi="宋体" w:eastAsia="宋体" w:cs="宋体"/>
                <w:szCs w:val="21"/>
                <w:lang w:val="en-US" w:eastAsia="zh-CN"/>
              </w:rPr>
              <w:t>团队成员需为投标人自有员工：</w:t>
            </w:r>
          </w:p>
          <w:p>
            <w:pPr>
              <w:numPr>
                <w:ilvl w:val="0"/>
                <w:numId w:val="0"/>
              </w:numPr>
              <w:rPr>
                <w:rFonts w:hint="eastAsia" w:ascii="宋体" w:hAnsi="宋体" w:eastAsia="宋体" w:cs="宋体"/>
                <w:szCs w:val="21"/>
                <w:lang w:eastAsia="zh-CN"/>
              </w:rPr>
            </w:pPr>
            <w:r>
              <w:rPr>
                <w:rFonts w:hint="eastAsia" w:ascii="宋体" w:hAnsi="宋体" w:eastAsia="宋体" w:cs="宋体"/>
                <w:i w:val="0"/>
                <w:caps w:val="0"/>
                <w:spacing w:val="0"/>
                <w:kern w:val="2"/>
                <w:sz w:val="21"/>
                <w:szCs w:val="21"/>
                <w:shd w:val="clear" w:color="auto" w:fill="auto"/>
                <w:lang w:val="en-US" w:eastAsia="zh-CN" w:bidi="ar"/>
              </w:rPr>
              <w:t>1.具备相关机构颁发的D</w:t>
            </w:r>
            <w:r>
              <w:rPr>
                <w:rFonts w:hint="eastAsia" w:ascii="宋体" w:hAnsi="宋体" w:eastAsia="宋体" w:cs="宋体"/>
                <w:szCs w:val="21"/>
                <w:shd w:val="clear" w:color="auto" w:fill="auto"/>
                <w:lang w:val="en-US" w:eastAsia="zh-CN" w:bidi="ar"/>
              </w:rPr>
              <w:t>CA证书</w:t>
            </w:r>
            <w:r>
              <w:rPr>
                <w:rFonts w:hint="eastAsia" w:ascii="宋体" w:hAnsi="宋体" w:eastAsia="宋体" w:cs="宋体"/>
                <w:szCs w:val="21"/>
                <w:shd w:val="clear" w:color="auto" w:fill="auto"/>
                <w:lang w:eastAsia="zh-CN" w:bidi="ar"/>
              </w:rPr>
              <w:t>或</w:t>
            </w:r>
            <w:r>
              <w:rPr>
                <w:rFonts w:hint="eastAsia" w:ascii="宋体" w:hAnsi="宋体" w:eastAsia="宋体" w:cs="宋体"/>
                <w:i w:val="0"/>
                <w:caps w:val="0"/>
                <w:spacing w:val="0"/>
                <w:kern w:val="2"/>
                <w:sz w:val="21"/>
                <w:szCs w:val="21"/>
                <w:shd w:val="clear" w:color="auto" w:fill="auto"/>
                <w:lang w:val="en-US" w:eastAsia="zh-CN" w:bidi="ar"/>
              </w:rPr>
              <w:t>YCA证书或GDCA证书或KCA证书或SCA证书，每提供1人得30分；具备相关机构颁发的D</w:t>
            </w:r>
            <w:r>
              <w:rPr>
                <w:rFonts w:hint="eastAsia" w:ascii="宋体" w:hAnsi="宋体" w:eastAsia="宋体" w:cs="宋体"/>
                <w:szCs w:val="21"/>
                <w:shd w:val="clear" w:color="auto" w:fill="auto"/>
                <w:lang w:val="en-US" w:eastAsia="zh-CN" w:bidi="ar"/>
              </w:rPr>
              <w:t>CP证书</w:t>
            </w:r>
            <w:r>
              <w:rPr>
                <w:rFonts w:hint="eastAsia" w:ascii="宋体" w:hAnsi="宋体" w:eastAsia="宋体" w:cs="宋体"/>
                <w:szCs w:val="21"/>
                <w:shd w:val="clear" w:color="auto" w:fill="auto"/>
                <w:lang w:eastAsia="zh-CN" w:bidi="ar"/>
              </w:rPr>
              <w:t>或</w:t>
            </w:r>
            <w:r>
              <w:rPr>
                <w:rFonts w:hint="eastAsia" w:ascii="宋体" w:hAnsi="宋体" w:eastAsia="宋体" w:cs="宋体"/>
                <w:i w:val="0"/>
                <w:caps w:val="0"/>
                <w:spacing w:val="0"/>
                <w:kern w:val="2"/>
                <w:sz w:val="21"/>
                <w:szCs w:val="21"/>
                <w:shd w:val="clear" w:color="auto" w:fill="auto"/>
                <w:lang w:val="en-US" w:eastAsia="zh-CN" w:bidi="ar"/>
              </w:rPr>
              <w:t>YCP证书或GDCP证书或KCP证书或SCP证书，每提供1人得40分；</w:t>
            </w:r>
            <w:r>
              <w:rPr>
                <w:rFonts w:hint="eastAsia" w:ascii="宋体" w:hAnsi="宋体" w:eastAsia="宋体" w:cs="宋体"/>
                <w:szCs w:val="21"/>
                <w:shd w:val="clear" w:color="auto" w:fill="auto"/>
                <w:lang w:bidi="ar"/>
              </w:rPr>
              <w:t>具备相关机构颁发的DCM证书或YCM证书或GDCM证书或KCM证书或SCM证书，</w:t>
            </w:r>
            <w:r>
              <w:rPr>
                <w:rFonts w:hint="eastAsia" w:ascii="宋体" w:hAnsi="宋体" w:eastAsia="宋体" w:cs="宋体"/>
                <w:i w:val="0"/>
                <w:caps w:val="0"/>
                <w:spacing w:val="0"/>
                <w:kern w:val="2"/>
                <w:sz w:val="21"/>
                <w:szCs w:val="21"/>
                <w:shd w:val="clear" w:color="auto" w:fill="auto"/>
                <w:lang w:val="en-US" w:eastAsia="zh-CN" w:bidi="ar"/>
              </w:rPr>
              <w:t>每提供1人</w:t>
            </w:r>
            <w:r>
              <w:rPr>
                <w:rFonts w:hint="eastAsia" w:ascii="宋体" w:hAnsi="宋体" w:eastAsia="宋体" w:cs="宋体"/>
                <w:szCs w:val="21"/>
                <w:shd w:val="clear" w:color="auto" w:fill="auto"/>
                <w:lang w:bidi="ar"/>
              </w:rPr>
              <w:t>得</w:t>
            </w:r>
            <w:r>
              <w:rPr>
                <w:rFonts w:hint="eastAsia" w:ascii="宋体" w:hAnsi="宋体" w:eastAsia="宋体" w:cs="宋体"/>
                <w:szCs w:val="21"/>
                <w:shd w:val="clear" w:color="auto" w:fill="auto"/>
                <w:lang w:val="en-US" w:eastAsia="zh-CN" w:bidi="ar"/>
              </w:rPr>
              <w:t>50</w:t>
            </w:r>
            <w:r>
              <w:rPr>
                <w:rFonts w:hint="eastAsia" w:ascii="宋体" w:hAnsi="宋体" w:eastAsia="宋体" w:cs="宋体"/>
                <w:szCs w:val="21"/>
                <w:shd w:val="clear" w:color="auto" w:fill="auto"/>
                <w:lang w:bidi="ar"/>
              </w:rPr>
              <w:t>分</w:t>
            </w:r>
            <w:r>
              <w:rPr>
                <w:rFonts w:hint="eastAsia" w:ascii="宋体" w:hAnsi="宋体" w:eastAsia="宋体" w:cs="宋体"/>
                <w:szCs w:val="21"/>
                <w:shd w:val="clear" w:color="auto" w:fill="auto"/>
                <w:lang w:eastAsia="zh-CN" w:bidi="ar"/>
              </w:rPr>
              <w:t>；</w:t>
            </w:r>
            <w:r>
              <w:rPr>
                <w:rFonts w:hint="eastAsia" w:ascii="宋体" w:hAnsi="宋体" w:eastAsia="宋体" w:cs="宋体"/>
                <w:szCs w:val="21"/>
                <w:shd w:val="clear" w:color="auto" w:fill="auto"/>
                <w:lang w:val="en-US" w:eastAsia="zh-CN" w:bidi="ar"/>
              </w:rPr>
              <w:t>本小项以最优情形计分，同一人不可累计得分，最高得100分。</w:t>
            </w:r>
          </w:p>
          <w:p>
            <w:pPr>
              <w:rPr>
                <w:rFonts w:hint="eastAsia" w:ascii="宋体" w:hAnsi="宋体" w:eastAsia="宋体" w:cs="宋体"/>
                <w:b/>
                <w:szCs w:val="21"/>
              </w:rPr>
            </w:pPr>
            <w:r>
              <w:rPr>
                <w:rFonts w:hint="eastAsia" w:ascii="宋体" w:hAnsi="宋体" w:eastAsia="宋体" w:cs="宋体"/>
                <w:b/>
                <w:bCs/>
                <w:szCs w:val="24"/>
              </w:rPr>
              <w:t>二、</w:t>
            </w:r>
            <w:r>
              <w:rPr>
                <w:rFonts w:hint="eastAsia" w:ascii="宋体" w:hAnsi="宋体" w:eastAsia="宋体" w:cs="宋体"/>
                <w:b/>
                <w:szCs w:val="21"/>
              </w:rPr>
              <w:t>证明文件：</w:t>
            </w:r>
          </w:p>
          <w:p>
            <w:pPr>
              <w:snapToGrid w:val="0"/>
              <w:spacing w:line="260" w:lineRule="exact"/>
              <w:rPr>
                <w:rFonts w:hint="eastAsia" w:ascii="宋体" w:hAnsi="宋体" w:eastAsia="宋体" w:cs="宋体"/>
                <w:szCs w:val="21"/>
                <w:highlight w:val="none"/>
              </w:rPr>
            </w:pPr>
            <w:r>
              <w:rPr>
                <w:rFonts w:hint="eastAsia" w:ascii="宋体" w:hAnsi="宋体" w:eastAsia="宋体" w:cs="宋体"/>
                <w:szCs w:val="21"/>
                <w:lang w:val="en-US" w:eastAsia="zh-CN"/>
              </w:rPr>
              <w:t>1.</w:t>
            </w:r>
            <w:r>
              <w:rPr>
                <w:rFonts w:hint="eastAsia" w:ascii="宋体" w:hAnsi="宋体" w:eastAsia="宋体" w:cs="宋体"/>
                <w:szCs w:val="21"/>
              </w:rPr>
              <w:t>涉及证书的，提供相关证书扫描件</w:t>
            </w:r>
            <w:r>
              <w:rPr>
                <w:rFonts w:hint="eastAsia" w:ascii="宋体" w:hAnsi="宋体" w:eastAsia="宋体" w:cs="宋体"/>
                <w:szCs w:val="21"/>
                <w:highlight w:val="none"/>
              </w:rPr>
              <w:t>。如证书由行业协会（或学会）颁发的，还需同时提供证书颁发单位在全国社会组织信用信息公示平台（https://xxgs.chinanpo.mca.gov.cn/gsxt/newList）的信息查询截图（截图需显示发证单位状态为“正常”且登记证书信息需在有效期内）。</w:t>
            </w:r>
          </w:p>
          <w:p>
            <w:pPr>
              <w:widowControl/>
              <w:snapToGrid w:val="0"/>
              <w:spacing w:line="320" w:lineRule="exact"/>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提供相关人员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如为退休返聘人员则提供劳动合同或返聘协议，无需提供相关社保证明材料。</w:t>
            </w:r>
          </w:p>
          <w:p>
            <w:pPr>
              <w:spacing w:line="320" w:lineRule="exact"/>
              <w:rPr>
                <w:rFonts w:hint="eastAsia" w:ascii="宋体" w:hAnsi="宋体" w:eastAsia="宋体" w:cs="宋体"/>
                <w:bCs/>
                <w:kern w:val="2"/>
                <w:sz w:val="21"/>
                <w:szCs w:val="21"/>
                <w:lang w:val="en-US" w:eastAsia="zh-CN" w:bidi="ar-SA"/>
              </w:rPr>
            </w:pPr>
            <w:r>
              <w:rPr>
                <w:rFonts w:hint="eastAsia" w:ascii="宋体" w:hAnsi="宋体" w:eastAsia="宋体" w:cs="宋体"/>
                <w:b w:val="0"/>
                <w:bCs w:val="0"/>
                <w:kern w:val="2"/>
                <w:sz w:val="21"/>
                <w:szCs w:val="21"/>
                <w:lang w:val="en-US" w:eastAsia="zh-CN" w:bidi="ar-SA"/>
              </w:rPr>
              <w:t>3.未按要求提供相关证明材料（或相关证明材料无法判断是否符合评分要求）的不计得分，原件备查。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ascii="Times New Roman" w:hAnsi="Times New Roman" w:eastAsia="宋体" w:cs="Times New Roman"/>
                <w:b/>
                <w:bCs/>
                <w:color w:val="0000FF"/>
                <w:szCs w:val="24"/>
              </w:rPr>
              <w:t>3</w:t>
            </w:r>
          </w:p>
        </w:tc>
        <w:tc>
          <w:tcPr>
            <w:tcW w:w="4196" w:type="dxa"/>
            <w:gridSpan w:val="3"/>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hint="eastAsia" w:ascii="宋体" w:hAnsi="宋体" w:eastAsia="宋体" w:cs="Times New Roman"/>
                <w:b/>
                <w:bCs/>
                <w:szCs w:val="21"/>
                <w:lang w:val="en-US" w:eastAsia="zh-CN"/>
              </w:rPr>
              <w:t>商务</w:t>
            </w:r>
            <w:r>
              <w:rPr>
                <w:rFonts w:ascii="宋体" w:hAnsi="宋体" w:eastAsia="宋体" w:cs="Times New Roman"/>
                <w:b/>
                <w:bCs/>
                <w:szCs w:val="21"/>
              </w:rPr>
              <w:t>部分</w:t>
            </w:r>
          </w:p>
        </w:tc>
        <w:tc>
          <w:tcPr>
            <w:tcW w:w="4196" w:type="dxa"/>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hint="default" w:ascii="宋体" w:hAnsi="宋体" w:eastAsia="宋体" w:cs="宋体"/>
                <w:b/>
                <w:bCs/>
                <w:color w:val="0000FF"/>
                <w:sz w:val="24"/>
                <w:szCs w:val="24"/>
                <w:lang w:val="en-US" w:eastAsia="zh-CN"/>
              </w:rPr>
            </w:pPr>
            <w:r>
              <w:rPr>
                <w:rFonts w:hint="eastAsia" w:ascii="宋体" w:hAnsi="宋体" w:eastAsia="宋体" w:cs="宋体"/>
                <w:b/>
                <w:bCs/>
                <w:color w:val="0000FF"/>
                <w:sz w:val="24"/>
                <w:szCs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8392" w:type="dxa"/>
            <w:gridSpan w:val="4"/>
            <w:tcBorders>
              <w:top w:val="single" w:color="000000" w:sz="8" w:space="0"/>
              <w:left w:val="single" w:color="000000" w:sz="8" w:space="0"/>
              <w:bottom w:val="single" w:color="000000" w:sz="8" w:space="0"/>
              <w:right w:val="single" w:color="000000" w:sz="8" w:space="0"/>
            </w:tcBorders>
            <w:noWrap w:val="0"/>
            <w:vAlign w:val="top"/>
          </w:tcPr>
          <w:p>
            <w:pPr>
              <w:wordWrap w:val="0"/>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rPr>
                <w:rFonts w:ascii="宋体" w:hAnsi="宋体" w:eastAsia="宋体" w:cs="宋体"/>
                <w:b/>
                <w:bCs/>
                <w:color w:val="0000FF"/>
                <w:sz w:val="24"/>
                <w:szCs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680" w:type="dxa"/>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kern w:val="0"/>
                <w:szCs w:val="21"/>
                <w:lang w:val="en-US" w:eastAsia="zh-CN"/>
              </w:rPr>
              <w:t>投标人</w:t>
            </w:r>
            <w:r>
              <w:rPr>
                <w:rFonts w:hint="eastAsia" w:ascii="宋体" w:hAnsi="宋体" w:eastAsia="宋体" w:cs="宋体"/>
                <w:kern w:val="0"/>
                <w:szCs w:val="21"/>
              </w:rPr>
              <w:t>资格情况及通过相关认证情况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jc w:val="center"/>
              <w:rPr>
                <w:rFonts w:hint="default" w:ascii="仿宋" w:hAnsi="仿宋" w:eastAsia="仿宋" w:cs="Times New Roman"/>
                <w:kern w:val="2"/>
                <w:sz w:val="21"/>
                <w:szCs w:val="21"/>
                <w:lang w:val="en-US" w:eastAsia="zh-CN" w:bidi="ar-SA"/>
              </w:rPr>
            </w:pPr>
            <w:r>
              <w:rPr>
                <w:rFonts w:hint="eastAsia" w:ascii="仿宋" w:hAnsi="仿宋" w:eastAsia="仿宋" w:cs="Times New Roman"/>
                <w:szCs w:val="21"/>
                <w:lang w:val="en-US" w:eastAsia="zh-CN"/>
              </w:rPr>
              <w:t>10</w:t>
            </w:r>
          </w:p>
        </w:tc>
        <w:tc>
          <w:tcPr>
            <w:tcW w:w="4196"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320" w:lineRule="exact"/>
              <w:rPr>
                <w:rFonts w:hint="eastAsia" w:ascii="宋体" w:hAnsi="宋体" w:eastAsia="宋体" w:cs="宋体"/>
                <w:b/>
                <w:bCs/>
                <w:szCs w:val="21"/>
              </w:rPr>
            </w:pPr>
            <w:r>
              <w:rPr>
                <w:rFonts w:hint="eastAsia" w:ascii="宋体" w:hAnsi="宋体" w:eastAsia="宋体" w:cs="宋体"/>
                <w:b/>
                <w:bCs/>
                <w:szCs w:val="21"/>
              </w:rPr>
              <w:t>一、评审标准：</w:t>
            </w:r>
          </w:p>
          <w:p>
            <w:pPr>
              <w:snapToGrid w:val="0"/>
              <w:spacing w:line="320" w:lineRule="exact"/>
              <w:rPr>
                <w:rFonts w:hint="eastAsia" w:ascii="宋体" w:hAnsi="宋体" w:eastAsia="宋体" w:cs="宋体"/>
                <w:bCs/>
                <w:szCs w:val="21"/>
              </w:rPr>
            </w:pPr>
            <w:r>
              <w:rPr>
                <w:rFonts w:hint="eastAsia" w:ascii="宋体" w:hAnsi="宋体" w:eastAsia="宋体" w:cs="宋体"/>
                <w:bCs/>
                <w:szCs w:val="21"/>
                <w:lang w:val="en-US" w:eastAsia="zh-CN"/>
              </w:rPr>
              <w:t>投标人具有以下证书：</w:t>
            </w:r>
            <w:r>
              <w:rPr>
                <w:rFonts w:hint="eastAsia" w:ascii="宋体" w:hAnsi="宋体" w:eastAsia="宋体" w:cs="宋体"/>
                <w:bCs/>
                <w:szCs w:val="21"/>
              </w:rPr>
              <w:t>具有质量管理体系ISO9001认证证书，得</w:t>
            </w:r>
            <w:r>
              <w:rPr>
                <w:rFonts w:hint="eastAsia" w:ascii="宋体" w:hAnsi="宋体" w:eastAsia="宋体" w:cs="宋体"/>
                <w:bCs/>
                <w:szCs w:val="21"/>
                <w:lang w:val="en-US" w:eastAsia="zh-CN"/>
              </w:rPr>
              <w:t>100</w:t>
            </w:r>
            <w:r>
              <w:rPr>
                <w:rFonts w:hint="eastAsia" w:ascii="宋体" w:hAnsi="宋体" w:eastAsia="宋体" w:cs="宋体"/>
                <w:bCs/>
                <w:szCs w:val="21"/>
                <w:lang w:eastAsia="zh-CN"/>
              </w:rPr>
              <w:t>分</w:t>
            </w:r>
            <w:r>
              <w:rPr>
                <w:rFonts w:hint="eastAsia" w:ascii="宋体" w:hAnsi="宋体" w:eastAsia="宋体" w:cs="宋体"/>
                <w:bCs/>
                <w:szCs w:val="21"/>
              </w:rPr>
              <w:t>；</w:t>
            </w:r>
          </w:p>
          <w:p>
            <w:pPr>
              <w:snapToGrid w:val="0"/>
              <w:spacing w:line="320" w:lineRule="exact"/>
              <w:rPr>
                <w:rFonts w:hint="eastAsia" w:ascii="宋体" w:hAnsi="宋体" w:eastAsia="宋体" w:cs="宋体"/>
                <w:bCs/>
                <w:szCs w:val="21"/>
              </w:rPr>
            </w:pPr>
            <w:r>
              <w:rPr>
                <w:rFonts w:hint="eastAsia" w:ascii="宋体" w:hAnsi="宋体" w:eastAsia="宋体" w:cs="宋体"/>
                <w:b/>
                <w:bCs/>
                <w:szCs w:val="21"/>
              </w:rPr>
              <w:t>二、证明文件：</w:t>
            </w:r>
          </w:p>
          <w:p>
            <w:pPr>
              <w:widowControl w:val="0"/>
              <w:spacing w:after="0" w:line="240" w:lineRule="auto"/>
              <w:ind w:left="0" w:leftChars="0" w:right="0" w:rightChars="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1.提供相关认证机构颁发的有效期内的认证证书扫描件及认证信息查询截图（截图需显示证书状态为有效）。</w:t>
            </w:r>
          </w:p>
          <w:p>
            <w:pPr>
              <w:widowControl w:val="0"/>
              <w:spacing w:after="0" w:line="240" w:lineRule="auto"/>
              <w:ind w:left="0" w:leftChars="0" w:right="0" w:rightChars="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说明：①证书与查询信息截图必须同时提供，缺一不可。未同时提供的不得分，后果由供应商自行承担。②供应商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snapToGrid w:val="0"/>
              <w:spacing w:line="320" w:lineRule="exact"/>
              <w:rPr>
                <w:rFonts w:hint="eastAsia" w:ascii="宋体" w:hAnsi="宋体" w:eastAsia="宋体" w:cs="宋体"/>
                <w:bCs/>
                <w:kern w:val="2"/>
                <w:sz w:val="21"/>
                <w:szCs w:val="21"/>
                <w:lang w:val="en-US" w:eastAsia="zh-CN" w:bidi="ar-SA"/>
              </w:rPr>
            </w:pPr>
            <w:r>
              <w:rPr>
                <w:rFonts w:hint="eastAsia" w:ascii="宋体" w:hAnsi="宋体" w:eastAsia="宋体" w:cs="宋体"/>
                <w:color w:val="auto"/>
                <w:kern w:val="2"/>
                <w:sz w:val="21"/>
                <w:szCs w:val="21"/>
                <w:lang w:val="en-US" w:eastAsia="zh-CN" w:bidi="ar-SA"/>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680" w:type="dxa"/>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kern w:val="0"/>
                <w:szCs w:val="21"/>
                <w:lang w:val="en-US" w:eastAsia="zh-CN"/>
              </w:rPr>
              <w:t>投标人</w:t>
            </w:r>
            <w:r>
              <w:rPr>
                <w:rFonts w:hint="eastAsia" w:ascii="宋体" w:hAnsi="宋体" w:eastAsia="宋体" w:cs="宋体"/>
                <w:kern w:val="0"/>
                <w:szCs w:val="21"/>
              </w:rPr>
              <w:t>同类项目业绩情况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jc w:val="center"/>
              <w:rPr>
                <w:rFonts w:hint="default" w:ascii="仿宋" w:hAnsi="仿宋" w:eastAsia="仿宋" w:cs="Times New Roman"/>
                <w:kern w:val="2"/>
                <w:sz w:val="21"/>
                <w:szCs w:val="21"/>
                <w:lang w:val="en-US" w:eastAsia="zh-CN" w:bidi="ar-SA"/>
              </w:rPr>
            </w:pPr>
            <w:r>
              <w:rPr>
                <w:rFonts w:hint="eastAsia" w:ascii="仿宋" w:hAnsi="仿宋" w:eastAsia="仿宋" w:cs="Times New Roman"/>
                <w:szCs w:val="21"/>
                <w:lang w:val="en-US" w:eastAsia="zh-CN"/>
              </w:rPr>
              <w:t>20</w:t>
            </w:r>
          </w:p>
        </w:tc>
        <w:tc>
          <w:tcPr>
            <w:tcW w:w="4196"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320" w:lineRule="exact"/>
              <w:rPr>
                <w:rFonts w:hint="eastAsia" w:ascii="宋体" w:hAnsi="宋体" w:eastAsia="宋体" w:cs="宋体"/>
                <w:b/>
                <w:bCs/>
                <w:szCs w:val="21"/>
              </w:rPr>
            </w:pPr>
            <w:r>
              <w:rPr>
                <w:rFonts w:hint="eastAsia" w:ascii="宋体" w:hAnsi="宋体" w:eastAsia="宋体" w:cs="宋体"/>
                <w:b/>
                <w:bCs/>
                <w:szCs w:val="21"/>
              </w:rPr>
              <w:t>一、评审标准：</w:t>
            </w:r>
          </w:p>
          <w:p>
            <w:pPr>
              <w:snapToGrid w:val="0"/>
              <w:spacing w:line="320" w:lineRule="exact"/>
              <w:rPr>
                <w:rFonts w:hint="eastAsia" w:ascii="宋体" w:hAnsi="宋体" w:eastAsia="宋体" w:cs="宋体"/>
                <w:bCs w:val="0"/>
                <w:szCs w:val="21"/>
                <w:highlight w:val="none"/>
              </w:rPr>
            </w:pPr>
            <w:r>
              <w:rPr>
                <w:rFonts w:hint="eastAsia" w:ascii="宋体" w:hAnsi="宋体" w:eastAsia="宋体" w:cs="宋体"/>
                <w:bCs/>
                <w:szCs w:val="21"/>
              </w:rPr>
              <w:t>1.</w:t>
            </w:r>
            <w:r>
              <w:rPr>
                <w:rFonts w:hint="eastAsia" w:ascii="宋体" w:hAnsi="宋体" w:eastAsia="宋体" w:cs="宋体"/>
                <w:b w:val="0"/>
                <w:bCs w:val="0"/>
                <w:szCs w:val="21"/>
                <w:highlight w:val="none"/>
                <w:lang w:val="en-US" w:eastAsia="zh-CN"/>
              </w:rPr>
              <w:t>投标人自2021年1月1日至本项目投标截止之日（以合同签订日期为准）</w:t>
            </w:r>
            <w:r>
              <w:rPr>
                <w:rFonts w:hint="eastAsia" w:ascii="宋体" w:hAnsi="宋体" w:eastAsia="宋体" w:cs="宋体"/>
                <w:bCs/>
                <w:szCs w:val="21"/>
              </w:rPr>
              <w:t>，</w:t>
            </w:r>
            <w:r>
              <w:rPr>
                <w:rFonts w:hint="eastAsia" w:ascii="宋体" w:hAnsi="宋体" w:eastAsia="宋体" w:cs="宋体"/>
                <w:bCs w:val="0"/>
                <w:szCs w:val="21"/>
                <w:highlight w:val="none"/>
                <w:lang w:val="en-US" w:eastAsia="zh-CN"/>
              </w:rPr>
              <w:t>具有国家机关（或事业单位）</w:t>
            </w:r>
            <w:r>
              <w:rPr>
                <w:rFonts w:hint="eastAsia" w:ascii="宋体" w:hAnsi="宋体" w:eastAsia="宋体" w:cs="宋体"/>
                <w:bCs w:val="0"/>
                <w:szCs w:val="21"/>
                <w:highlight w:val="none"/>
              </w:rPr>
              <w:t>信息化项目建设数据库项目</w:t>
            </w:r>
            <w:r>
              <w:rPr>
                <w:rFonts w:hint="eastAsia" w:ascii="宋体" w:hAnsi="宋体" w:eastAsia="宋体" w:cs="宋体"/>
                <w:bCs w:val="0"/>
                <w:szCs w:val="21"/>
                <w:highlight w:val="none"/>
                <w:lang w:val="en-US" w:eastAsia="zh-CN"/>
              </w:rPr>
              <w:t>同类</w:t>
            </w:r>
            <w:r>
              <w:rPr>
                <w:rFonts w:hint="eastAsia" w:ascii="宋体" w:hAnsi="宋体" w:eastAsia="宋体" w:cs="宋体"/>
                <w:bCs w:val="0"/>
                <w:szCs w:val="21"/>
                <w:highlight w:val="none"/>
              </w:rPr>
              <w:t>业绩情况。</w:t>
            </w:r>
          </w:p>
          <w:p>
            <w:pPr>
              <w:snapToGrid w:val="0"/>
              <w:spacing w:line="320" w:lineRule="exact"/>
              <w:rPr>
                <w:rFonts w:hint="eastAsia" w:ascii="宋体" w:hAnsi="宋体" w:eastAsia="宋体" w:cs="宋体"/>
                <w:bCs w:val="0"/>
                <w:szCs w:val="21"/>
                <w:highlight w:val="none"/>
              </w:rPr>
            </w:pPr>
            <w:r>
              <w:rPr>
                <w:rFonts w:hint="eastAsia" w:ascii="宋体" w:hAnsi="宋体" w:eastAsia="宋体" w:cs="宋体"/>
                <w:bCs w:val="0"/>
                <w:szCs w:val="21"/>
                <w:highlight w:val="none"/>
              </w:rPr>
              <w:t>（1）</w:t>
            </w:r>
            <w:r>
              <w:rPr>
                <w:rFonts w:hint="eastAsia" w:ascii="宋体" w:hAnsi="宋体" w:eastAsia="宋体" w:cs="宋体"/>
                <w:bCs w:val="0"/>
                <w:szCs w:val="21"/>
                <w:highlight w:val="none"/>
                <w:lang w:val="en-US" w:eastAsia="zh-CN"/>
              </w:rPr>
              <w:t>具有3个或以上有效同类业绩</w:t>
            </w:r>
            <w:r>
              <w:rPr>
                <w:rFonts w:hint="eastAsia" w:ascii="宋体" w:hAnsi="宋体" w:eastAsia="宋体" w:cs="宋体"/>
                <w:bCs w:val="0"/>
                <w:szCs w:val="21"/>
                <w:highlight w:val="none"/>
              </w:rPr>
              <w:t>，得100</w:t>
            </w:r>
            <w:r>
              <w:rPr>
                <w:rFonts w:hint="eastAsia" w:ascii="宋体" w:hAnsi="宋体" w:eastAsia="宋体" w:cs="宋体"/>
                <w:bCs w:val="0"/>
                <w:szCs w:val="21"/>
                <w:highlight w:val="none"/>
                <w:lang w:eastAsia="zh-CN"/>
              </w:rPr>
              <w:t>分</w:t>
            </w:r>
            <w:r>
              <w:rPr>
                <w:rFonts w:hint="eastAsia" w:ascii="宋体" w:hAnsi="宋体" w:eastAsia="宋体" w:cs="宋体"/>
                <w:bCs w:val="0"/>
                <w:szCs w:val="21"/>
                <w:highlight w:val="none"/>
              </w:rPr>
              <w:t>；</w:t>
            </w:r>
          </w:p>
          <w:p>
            <w:pPr>
              <w:snapToGrid w:val="0"/>
              <w:spacing w:line="320" w:lineRule="exact"/>
              <w:rPr>
                <w:rFonts w:hint="eastAsia" w:ascii="宋体" w:hAnsi="宋体" w:eastAsia="宋体" w:cs="宋体"/>
                <w:bCs w:val="0"/>
                <w:szCs w:val="21"/>
                <w:highlight w:val="none"/>
              </w:rPr>
            </w:pPr>
            <w:r>
              <w:rPr>
                <w:rFonts w:hint="eastAsia" w:ascii="宋体" w:hAnsi="宋体" w:eastAsia="宋体" w:cs="宋体"/>
                <w:bCs w:val="0"/>
                <w:szCs w:val="21"/>
                <w:highlight w:val="none"/>
              </w:rPr>
              <w:t>（2）</w:t>
            </w:r>
            <w:r>
              <w:rPr>
                <w:rFonts w:hint="eastAsia" w:ascii="宋体" w:hAnsi="宋体" w:eastAsia="宋体" w:cs="宋体"/>
                <w:bCs w:val="0"/>
                <w:szCs w:val="21"/>
                <w:highlight w:val="none"/>
                <w:lang w:val="en-US" w:eastAsia="zh-CN"/>
              </w:rPr>
              <w:t>具有2个有效同类业绩</w:t>
            </w:r>
            <w:r>
              <w:rPr>
                <w:rFonts w:hint="eastAsia" w:ascii="宋体" w:hAnsi="宋体" w:eastAsia="宋体" w:cs="宋体"/>
                <w:bCs w:val="0"/>
                <w:szCs w:val="21"/>
                <w:highlight w:val="none"/>
              </w:rPr>
              <w:t>，得60</w:t>
            </w:r>
            <w:r>
              <w:rPr>
                <w:rFonts w:hint="eastAsia" w:ascii="宋体" w:hAnsi="宋体" w:eastAsia="宋体" w:cs="宋体"/>
                <w:bCs w:val="0"/>
                <w:szCs w:val="21"/>
                <w:highlight w:val="none"/>
                <w:lang w:eastAsia="zh-CN"/>
              </w:rPr>
              <w:t>分</w:t>
            </w:r>
            <w:r>
              <w:rPr>
                <w:rFonts w:hint="eastAsia" w:ascii="宋体" w:hAnsi="宋体" w:eastAsia="宋体" w:cs="宋体"/>
                <w:bCs w:val="0"/>
                <w:szCs w:val="21"/>
                <w:highlight w:val="none"/>
              </w:rPr>
              <w:t>；</w:t>
            </w:r>
          </w:p>
          <w:p>
            <w:pPr>
              <w:snapToGrid w:val="0"/>
              <w:spacing w:line="320" w:lineRule="exact"/>
              <w:rPr>
                <w:rFonts w:hint="eastAsia" w:ascii="宋体" w:hAnsi="宋体" w:eastAsia="宋体" w:cs="宋体"/>
                <w:bCs w:val="0"/>
                <w:szCs w:val="21"/>
                <w:highlight w:val="none"/>
              </w:rPr>
            </w:pPr>
            <w:r>
              <w:rPr>
                <w:rFonts w:hint="eastAsia" w:ascii="宋体" w:hAnsi="宋体" w:eastAsia="宋体" w:cs="宋体"/>
                <w:bCs w:val="0"/>
                <w:szCs w:val="21"/>
                <w:highlight w:val="none"/>
              </w:rPr>
              <w:t>（3）</w:t>
            </w:r>
            <w:r>
              <w:rPr>
                <w:rFonts w:hint="eastAsia" w:ascii="宋体" w:hAnsi="宋体" w:eastAsia="宋体" w:cs="宋体"/>
                <w:bCs w:val="0"/>
                <w:szCs w:val="21"/>
                <w:highlight w:val="none"/>
                <w:lang w:val="en-US" w:eastAsia="zh-CN"/>
              </w:rPr>
              <w:t>具有</w:t>
            </w:r>
            <w:r>
              <w:rPr>
                <w:rFonts w:hint="eastAsia" w:ascii="宋体" w:hAnsi="宋体" w:eastAsia="宋体" w:cs="宋体"/>
                <w:bCs w:val="0"/>
                <w:szCs w:val="21"/>
                <w:highlight w:val="none"/>
              </w:rPr>
              <w:t>1</w:t>
            </w:r>
            <w:r>
              <w:rPr>
                <w:rFonts w:hint="eastAsia" w:ascii="宋体" w:hAnsi="宋体" w:eastAsia="宋体" w:cs="宋体"/>
                <w:bCs w:val="0"/>
                <w:szCs w:val="21"/>
                <w:highlight w:val="none"/>
                <w:lang w:val="en-US" w:eastAsia="zh-CN"/>
              </w:rPr>
              <w:t>个有效同类业绩</w:t>
            </w:r>
            <w:r>
              <w:rPr>
                <w:rFonts w:hint="eastAsia" w:ascii="宋体" w:hAnsi="宋体" w:eastAsia="宋体" w:cs="宋体"/>
                <w:bCs w:val="0"/>
                <w:szCs w:val="21"/>
                <w:highlight w:val="none"/>
              </w:rPr>
              <w:t>，得30</w:t>
            </w:r>
            <w:r>
              <w:rPr>
                <w:rFonts w:hint="eastAsia" w:ascii="宋体" w:hAnsi="宋体" w:eastAsia="宋体" w:cs="宋体"/>
                <w:bCs w:val="0"/>
                <w:szCs w:val="21"/>
                <w:highlight w:val="none"/>
                <w:lang w:eastAsia="zh-CN"/>
              </w:rPr>
              <w:t>分</w:t>
            </w:r>
            <w:r>
              <w:rPr>
                <w:rFonts w:hint="eastAsia" w:ascii="宋体" w:hAnsi="宋体" w:eastAsia="宋体" w:cs="宋体"/>
                <w:bCs w:val="0"/>
                <w:szCs w:val="21"/>
                <w:highlight w:val="none"/>
              </w:rPr>
              <w:t>；</w:t>
            </w:r>
          </w:p>
          <w:p>
            <w:pPr>
              <w:snapToGrid w:val="0"/>
              <w:spacing w:line="320" w:lineRule="exact"/>
              <w:rPr>
                <w:rFonts w:hint="eastAsia" w:ascii="宋体" w:hAnsi="宋体" w:eastAsia="宋体" w:cs="宋体"/>
                <w:bCs w:val="0"/>
                <w:szCs w:val="21"/>
                <w:highlight w:val="none"/>
              </w:rPr>
            </w:pPr>
            <w:r>
              <w:rPr>
                <w:rFonts w:hint="eastAsia" w:ascii="宋体" w:hAnsi="宋体" w:eastAsia="宋体" w:cs="宋体"/>
                <w:bCs w:val="0"/>
                <w:szCs w:val="21"/>
                <w:highlight w:val="none"/>
              </w:rPr>
              <w:t>本项最多得100</w:t>
            </w:r>
            <w:r>
              <w:rPr>
                <w:rFonts w:hint="eastAsia" w:ascii="宋体" w:hAnsi="宋体" w:eastAsia="宋体" w:cs="宋体"/>
                <w:bCs w:val="0"/>
                <w:szCs w:val="21"/>
                <w:highlight w:val="none"/>
                <w:lang w:eastAsia="zh-CN"/>
              </w:rPr>
              <w:t>分</w:t>
            </w:r>
            <w:r>
              <w:rPr>
                <w:rFonts w:hint="eastAsia" w:ascii="宋体" w:hAnsi="宋体" w:eastAsia="宋体" w:cs="宋体"/>
                <w:bCs w:val="0"/>
                <w:szCs w:val="21"/>
                <w:highlight w:val="none"/>
              </w:rPr>
              <w:t>，不提供的不得分。</w:t>
            </w:r>
          </w:p>
          <w:p>
            <w:pPr>
              <w:keepNext w:val="0"/>
              <w:keepLines w:val="0"/>
              <w:suppressLineNumbers w:val="0"/>
              <w:snapToGrid w:val="0"/>
              <w:spacing w:before="0" w:beforeAutospacing="0" w:after="0" w:afterAutospacing="0" w:line="320" w:lineRule="exact"/>
              <w:ind w:left="0" w:right="0"/>
              <w:rPr>
                <w:rFonts w:hint="eastAsia" w:ascii="宋体" w:hAnsi="宋体" w:eastAsia="宋体" w:cs="宋体"/>
                <w:color w:val="0000FF"/>
                <w:sz w:val="21"/>
                <w:szCs w:val="21"/>
                <w:lang w:eastAsia="zh-CN"/>
              </w:rPr>
            </w:pPr>
            <w:r>
              <w:rPr>
                <w:rFonts w:hint="eastAsia" w:ascii="宋体" w:hAnsi="宋体" w:eastAsia="宋体" w:cs="宋体"/>
                <w:bCs w:val="0"/>
                <w:szCs w:val="21"/>
                <w:highlight w:val="none"/>
              </w:rPr>
              <w:t>备注：总公司授权分公司投标的，以分公司案例数量为准。</w:t>
            </w:r>
            <w:r>
              <w:rPr>
                <w:rFonts w:hint="eastAsia" w:ascii="宋体" w:hAnsi="宋体" w:eastAsia="宋体" w:cs="宋体"/>
                <w:bCs w:val="0"/>
                <w:szCs w:val="21"/>
                <w:highlight w:val="none"/>
              </w:rPr>
              <w:br w:type="textWrapping"/>
            </w:r>
            <w:r>
              <w:rPr>
                <w:rFonts w:hint="eastAsia" w:ascii="宋体" w:hAnsi="宋体" w:eastAsia="宋体" w:cs="宋体"/>
                <w:b/>
                <w:bCs/>
                <w:szCs w:val="21"/>
              </w:rPr>
              <w:t>二、证明文件：</w:t>
            </w:r>
            <w:r>
              <w:rPr>
                <w:rFonts w:hint="eastAsia" w:ascii="宋体" w:hAnsi="宋体" w:eastAsia="宋体" w:cs="宋体"/>
                <w:bCs/>
                <w:szCs w:val="21"/>
              </w:rPr>
              <w:br w:type="textWrapping"/>
            </w:r>
            <w:r>
              <w:rPr>
                <w:rFonts w:hint="eastAsia" w:ascii="宋体" w:hAnsi="宋体" w:eastAsia="宋体" w:cs="宋体"/>
                <w:color w:val="0000FF"/>
                <w:sz w:val="21"/>
                <w:szCs w:val="21"/>
              </w:rPr>
              <w:t>1</w:t>
            </w:r>
            <w:r>
              <w:rPr>
                <w:rFonts w:hint="eastAsia" w:ascii="宋体" w:hAnsi="宋体" w:eastAsia="宋体" w:cs="宋体"/>
                <w:color w:val="0000FF"/>
                <w:sz w:val="21"/>
                <w:szCs w:val="21"/>
                <w:lang w:val="en-US" w:eastAsia="zh-CN"/>
              </w:rPr>
              <w:t>.</w:t>
            </w:r>
            <w:r>
              <w:rPr>
                <w:rFonts w:hint="eastAsia" w:ascii="宋体" w:hAnsi="宋体" w:eastAsia="宋体" w:cs="宋体"/>
                <w:color w:val="0000FF"/>
                <w:sz w:val="21"/>
                <w:szCs w:val="21"/>
              </w:rPr>
              <w:t>需同时提供：经验项目合同关键页扫描件（含签订合同双方的单位名称、合同项目名称、项目金额与含签订合同</w:t>
            </w:r>
            <w:r>
              <w:rPr>
                <w:rFonts w:hint="eastAsia" w:ascii="宋体" w:hAnsi="宋体" w:eastAsia="宋体" w:cs="宋体"/>
                <w:color w:val="0000FF"/>
                <w:sz w:val="21"/>
                <w:szCs w:val="21"/>
                <w:lang w:val="en-US" w:eastAsia="zh-CN"/>
              </w:rPr>
              <w:t>相对方</w:t>
            </w:r>
            <w:r>
              <w:rPr>
                <w:rFonts w:hint="eastAsia" w:ascii="宋体" w:hAnsi="宋体" w:eastAsia="宋体" w:cs="宋体"/>
                <w:color w:val="0000FF"/>
                <w:sz w:val="21"/>
                <w:szCs w:val="21"/>
              </w:rPr>
              <w:t>的落款盖章、签订日期等）。</w:t>
            </w:r>
          </w:p>
          <w:p>
            <w:pPr>
              <w:snapToGrid w:val="0"/>
              <w:spacing w:line="320" w:lineRule="exact"/>
              <w:rPr>
                <w:rFonts w:hint="eastAsia" w:ascii="宋体" w:hAnsi="宋体" w:eastAsia="宋体" w:cs="宋体"/>
                <w:bCs/>
                <w:szCs w:val="21"/>
              </w:rPr>
            </w:pPr>
            <w:r>
              <w:rPr>
                <w:rFonts w:hint="eastAsia" w:ascii="宋体" w:hAnsi="宋体" w:eastAsia="宋体" w:cs="宋体"/>
                <w:color w:val="0000FF"/>
                <w:sz w:val="21"/>
                <w:szCs w:val="21"/>
              </w:rPr>
              <w:t>2</w:t>
            </w:r>
            <w:r>
              <w:rPr>
                <w:rFonts w:hint="eastAsia" w:ascii="宋体" w:hAnsi="宋体" w:eastAsia="宋体" w:cs="宋体"/>
                <w:color w:val="0000FF"/>
                <w:sz w:val="21"/>
                <w:szCs w:val="21"/>
                <w:lang w:val="en-US" w:eastAsia="zh-CN"/>
              </w:rPr>
              <w:t>.</w:t>
            </w:r>
            <w:r>
              <w:rPr>
                <w:rFonts w:hint="eastAsia" w:ascii="宋体" w:hAnsi="宋体" w:eastAsia="宋体" w:cs="宋体"/>
                <w:color w:val="0000FF"/>
                <w:sz w:val="21"/>
                <w:szCs w:val="21"/>
              </w:rPr>
              <w:t>同一项目续签合同的不重复计分；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p>
          <w:p>
            <w:pPr>
              <w:snapToGrid w:val="0"/>
              <w:spacing w:line="320" w:lineRule="exact"/>
              <w:rPr>
                <w:rFonts w:hint="eastAsia" w:ascii="宋体" w:hAnsi="宋体" w:eastAsia="宋体" w:cs="宋体"/>
                <w:bCs/>
                <w:kern w:val="2"/>
                <w:sz w:val="21"/>
                <w:szCs w:val="21"/>
                <w:lang w:val="en-US" w:eastAsia="zh-CN" w:bidi="ar-SA"/>
              </w:rPr>
            </w:pPr>
            <w:r>
              <w:rPr>
                <w:rFonts w:hint="eastAsia" w:ascii="宋体" w:hAnsi="宋体" w:eastAsia="宋体" w:cs="宋体"/>
                <w:bCs/>
                <w:szCs w:val="21"/>
                <w:lang w:val="en-US" w:eastAsia="zh-CN"/>
              </w:rPr>
              <w:t>3</w:t>
            </w:r>
            <w:r>
              <w:rPr>
                <w:rFonts w:hint="eastAsia" w:ascii="宋体" w:hAnsi="宋体" w:eastAsia="宋体" w:cs="宋体"/>
                <w:bCs/>
                <w:szCs w:val="21"/>
              </w:rPr>
              <w:t>.</w:t>
            </w:r>
            <w:r>
              <w:rPr>
                <w:rFonts w:hint="eastAsia" w:ascii="宋体" w:hAnsi="宋体" w:eastAsia="宋体" w:cs="宋体"/>
                <w:color w:val="auto"/>
                <w:kern w:val="2"/>
                <w:sz w:val="21"/>
                <w:szCs w:val="21"/>
                <w:lang w:val="en-US" w:eastAsia="zh-CN" w:bidi="ar-SA"/>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ascii="Times New Roman" w:hAnsi="Times New Roman" w:eastAsia="宋体" w:cs="Times New Roman"/>
                <w:b/>
                <w:bCs/>
                <w:color w:val="0000FF"/>
                <w:szCs w:val="24"/>
              </w:rPr>
              <w:t>4</w:t>
            </w:r>
          </w:p>
        </w:tc>
        <w:tc>
          <w:tcPr>
            <w:tcW w:w="4196" w:type="dxa"/>
            <w:gridSpan w:val="3"/>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ascii="宋体" w:hAnsi="宋体" w:eastAsia="宋体" w:cs="Times New Roman"/>
                <w:b/>
                <w:bCs/>
                <w:szCs w:val="21"/>
              </w:rPr>
              <w:t>其他部分</w:t>
            </w:r>
          </w:p>
        </w:tc>
        <w:tc>
          <w:tcPr>
            <w:tcW w:w="4196" w:type="dxa"/>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eastAsia="宋体" w:cs="宋体"/>
                <w:b/>
                <w:bCs/>
                <w:color w:val="0000FF"/>
                <w:sz w:val="24"/>
                <w:szCs w:val="24"/>
              </w:rPr>
            </w:pPr>
            <w:r>
              <w:rPr>
                <w:rFonts w:ascii="Times New Roman" w:hAnsi="Times New Roman" w:eastAsia="宋体" w:cs="Times New Roman"/>
                <w:b/>
                <w:bCs/>
                <w:color w:val="0000FF"/>
                <w:szCs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8392" w:type="dxa"/>
            <w:gridSpan w:val="4"/>
            <w:tcBorders>
              <w:top w:val="single" w:color="000000" w:sz="8" w:space="0"/>
              <w:left w:val="single" w:color="000000" w:sz="8" w:space="0"/>
              <w:bottom w:val="single" w:color="000000" w:sz="8" w:space="0"/>
              <w:right w:val="single" w:color="000000" w:sz="8" w:space="0"/>
            </w:tcBorders>
            <w:noWrap w:val="0"/>
            <w:vAlign w:val="top"/>
          </w:tcPr>
          <w:p>
            <w:pPr>
              <w:wordWrap w:val="0"/>
              <w:rPr>
                <w:rFonts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rPr>
                <w:rFonts w:ascii="宋体" w:hAnsi="宋体" w:eastAsia="宋体" w:cs="宋体"/>
                <w:b/>
                <w:bCs/>
                <w:color w:val="0000FF"/>
                <w:sz w:val="24"/>
                <w:szCs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noWrap w:val="0"/>
            <w:vAlign w:val="center"/>
          </w:tcPr>
          <w:p>
            <w:pPr>
              <w:rPr>
                <w:rFonts w:ascii="宋体" w:hAnsi="宋体" w:eastAsia="宋体" w:cs="宋体"/>
                <w:b/>
                <w:bCs/>
                <w:color w:val="0000FF"/>
                <w:sz w:val="24"/>
                <w:szCs w:val="24"/>
              </w:rPr>
            </w:pPr>
          </w:p>
        </w:tc>
        <w:tc>
          <w:tcPr>
            <w:tcW w:w="680" w:type="dxa"/>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1</w:t>
            </w:r>
          </w:p>
        </w:tc>
        <w:tc>
          <w:tcPr>
            <w:tcW w:w="2835" w:type="dxa"/>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ascii="宋体" w:hAnsi="宋体" w:eastAsia="宋体" w:cs="宋体"/>
                <w:szCs w:val="21"/>
              </w:rPr>
            </w:pPr>
            <w:r>
              <w:rPr>
                <w:rFonts w:ascii="Times New Roman" w:hAnsi="Times New Roman" w:eastAsia="宋体" w:cs="Times New Roman"/>
                <w:szCs w:val="21"/>
              </w:rPr>
              <w:t>诚信情况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ascii="宋体" w:hAnsi="宋体" w:eastAsia="宋体" w:cs="宋体"/>
                <w:szCs w:val="21"/>
              </w:rPr>
            </w:pPr>
            <w:r>
              <w:rPr>
                <w:rFonts w:hint="eastAsia" w:ascii="Times New Roman" w:hAnsi="Times New Roman" w:eastAsia="宋体" w:cs="Times New Roman"/>
                <w:szCs w:val="24"/>
              </w:rPr>
              <w:t>5</w:t>
            </w:r>
          </w:p>
        </w:tc>
        <w:tc>
          <w:tcPr>
            <w:tcW w:w="4196" w:type="dxa"/>
            <w:tcBorders>
              <w:top w:val="single" w:color="000000" w:sz="8" w:space="0"/>
              <w:left w:val="single" w:color="000000" w:sz="8" w:space="0"/>
              <w:bottom w:val="single" w:color="000000" w:sz="8" w:space="0"/>
              <w:right w:val="single" w:color="000000" w:sz="8" w:space="0"/>
            </w:tcBorders>
            <w:noWrap w:val="0"/>
            <w:vAlign w:val="top"/>
          </w:tcPr>
          <w:p>
            <w:pPr>
              <w:widowControl w:val="0"/>
              <w:wordWrap w:val="0"/>
              <w:spacing w:after="120" w:line="240" w:lineRule="auto"/>
              <w:ind w:firstLine="420" w:firstLineChars="2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widowControl w:val="0"/>
              <w:wordWrap w:val="0"/>
              <w:spacing w:after="120" w:line="240" w:lineRule="auto"/>
              <w:ind w:firstLine="420" w:firstLineChars="200"/>
              <w:jc w:val="both"/>
              <w:rPr>
                <w:rFonts w:ascii="宋体" w:hAnsi="宋体" w:eastAsia="宋体" w:cs="宋体"/>
                <w:kern w:val="2"/>
                <w:sz w:val="21"/>
                <w:szCs w:val="21"/>
                <w:lang w:val="en-US" w:eastAsia="zh-CN" w:bidi="ar-SA"/>
              </w:rPr>
            </w:pPr>
            <w:r>
              <w:rPr>
                <w:rFonts w:hint="eastAsia" w:ascii="宋体" w:hAnsi="宋体" w:eastAsia="宋体" w:cs="宋体"/>
                <w:b w:val="0"/>
                <w:bCs w:val="0"/>
                <w:kern w:val="2"/>
                <w:sz w:val="21"/>
                <w:szCs w:val="21"/>
                <w:lang w:val="en-US" w:eastAsia="zh-CN" w:bidi="ar-SA"/>
              </w:rPr>
              <w:t>查询渠道：通过“信用中国”（www.creditchina.gov.cn，下载信用信息报告）、“中国政府采购网”（www.ccgp.gov.cn）、以及“深圳市政府采购监管网”（http://zfcg.sz.gov.cn）查询供应商信用信息，信用信息以开标当日的查询结果为准。</w:t>
            </w:r>
          </w:p>
        </w:tc>
      </w:tr>
    </w:tbl>
    <w:p>
      <w:pPr>
        <w:rPr>
          <w:rFonts w:ascii="宋体" w:hAnsi="宋体"/>
          <w:sz w:val="24"/>
        </w:rPr>
      </w:pPr>
    </w:p>
    <w:p>
      <w:pPr>
        <w:jc w:val="center"/>
        <w:rPr>
          <w:rFonts w:hint="eastAsia"/>
          <w:b/>
          <w:sz w:val="120"/>
          <w:szCs w:val="120"/>
        </w:rPr>
      </w:pPr>
    </w:p>
    <w:p>
      <w:pPr>
        <w:jc w:val="center"/>
        <w:rPr>
          <w:rFonts w:hint="eastAsia"/>
          <w:b/>
          <w:sz w:val="120"/>
          <w:szCs w:val="120"/>
        </w:rPr>
      </w:pPr>
    </w:p>
    <w:p>
      <w:pPr>
        <w:jc w:val="center"/>
        <w:rPr>
          <w:rFonts w:hint="eastAsia"/>
          <w:b/>
          <w:sz w:val="120"/>
          <w:szCs w:val="120"/>
        </w:rPr>
      </w:pPr>
    </w:p>
    <w:p>
      <w:pPr>
        <w:jc w:val="center"/>
        <w:rPr>
          <w:b/>
          <w:sz w:val="120"/>
          <w:szCs w:val="120"/>
        </w:rPr>
      </w:pPr>
      <w:r>
        <w:rPr>
          <w:rFonts w:hint="eastAsia"/>
          <w:b/>
          <w:sz w:val="120"/>
          <w:szCs w:val="120"/>
          <w:lang w:val="en-US" w:eastAsia="zh-CN"/>
        </w:rPr>
        <w:t>自行</w:t>
      </w:r>
      <w:r>
        <w:rPr>
          <w:rFonts w:hint="eastAsia"/>
          <w:b/>
          <w:sz w:val="120"/>
          <w:szCs w:val="120"/>
        </w:rPr>
        <w:t>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（服务类）</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bookmarkStart w:id="2" w:name="_Hlk71465316"/>
      <w:r>
        <w:rPr>
          <w:rFonts w:hint="eastAsia"/>
          <w:b/>
          <w:sz w:val="44"/>
          <w:szCs w:val="44"/>
        </w:rPr>
        <w:t>深圳公共资源交易中心</w:t>
      </w:r>
    </w:p>
    <w:p>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2"/>
    </w:p>
    <w:p>
      <w:pPr>
        <w:ind w:firstLine="420" w:firstLineChars="200"/>
        <w:rPr>
          <w:rFonts w:hint="eastAsia"/>
        </w:rPr>
      </w:pPr>
      <w:r>
        <w:rPr>
          <w:rFonts w:hint="eastAsia"/>
        </w:rPr>
        <w:br w:type="page"/>
      </w:r>
    </w:p>
    <w:p>
      <w:pPr>
        <w:pStyle w:val="4"/>
        <w:jc w:val="center"/>
      </w:pPr>
      <w:r>
        <w:rPr>
          <w:rFonts w:hint="eastAsia"/>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3" w:name="_Hlk71994379"/>
      <w:r>
        <w:rPr>
          <w:rFonts w:hint="eastAsia" w:ascii="宋体" w:hAnsi="宋体"/>
          <w:szCs w:val="21"/>
        </w:rPr>
        <w:t>对通用条款的补充内容及其他关键信息</w:t>
      </w:r>
      <w:bookmarkEnd w:id="3"/>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outlineLvl w:val="0"/>
        <w:rPr>
          <w:b/>
          <w:sz w:val="24"/>
        </w:rPr>
      </w:pPr>
      <w:r>
        <w:rPr>
          <w:rFonts w:hint="eastAsia" w:ascii="宋体" w:hAnsi="宋体"/>
          <w:szCs w:val="21"/>
        </w:rPr>
        <w:t>第十一章  质疑处理</w:t>
      </w:r>
    </w:p>
    <w:p>
      <w:pPr>
        <w:spacing w:line="360" w:lineRule="auto"/>
        <w:ind w:firstLine="420" w:firstLineChars="200"/>
        <w:jc w:val="left"/>
        <w:rPr>
          <w:rFonts w:ascii="宋体" w:hAnsi="宋体"/>
          <w:szCs w:val="21"/>
        </w:rPr>
      </w:pPr>
    </w:p>
    <w:p>
      <w:pPr>
        <w:pStyle w:val="4"/>
        <w:jc w:val="center"/>
        <w:rPr>
          <w:sz w:val="24"/>
        </w:rPr>
      </w:pPr>
      <w:r>
        <w:br w:type="page"/>
      </w:r>
      <w:bookmarkStart w:id="4" w:name="bt投标报价汇总表"/>
      <w:bookmarkEnd w:id="4"/>
      <w:bookmarkStart w:id="5" w:name="bt投标人情况介绍"/>
      <w:bookmarkEnd w:id="5"/>
      <w:bookmarkStart w:id="6" w:name="合同格式"/>
      <w:bookmarkEnd w:id="6"/>
      <w:bookmarkStart w:id="7" w:name="bt合同条款及格式"/>
      <w:bookmarkEnd w:id="7"/>
      <w:bookmarkStart w:id="8" w:name="bt其他资料2"/>
      <w:bookmarkEnd w:id="8"/>
      <w:bookmarkStart w:id="9" w:name="bt其他资料由投标人自定"/>
      <w:bookmarkEnd w:id="9"/>
      <w:bookmarkStart w:id="10" w:name="bt投标文件签署授权委托书"/>
      <w:bookmarkEnd w:id="10"/>
      <w:bookmarkStart w:id="11" w:name="bt投标函"/>
      <w:bookmarkEnd w:id="11"/>
      <w:bookmarkStart w:id="12" w:name="bt商务标投标文件格式"/>
      <w:bookmarkEnd w:id="12"/>
      <w:bookmarkStart w:id="13" w:name="bt合同格式"/>
      <w:bookmarkEnd w:id="13"/>
      <w:bookmarkStart w:id="14" w:name="bt项目管理班子配备情况"/>
      <w:bookmarkEnd w:id="14"/>
      <w:bookmarkStart w:id="15" w:name="bt投标人须知"/>
      <w:bookmarkEnd w:id="15"/>
      <w:bookmarkStart w:id="16" w:name="bt说明"/>
      <w:bookmarkEnd w:id="16"/>
      <w:bookmarkStart w:id="17" w:name="bt合同条款"/>
      <w:bookmarkEnd w:id="17"/>
      <w:bookmarkStart w:id="18" w:name="bt技术标投标文件格式"/>
      <w:bookmarkEnd w:id="18"/>
      <w:bookmarkStart w:id="19" w:name="bt本工程承诺书"/>
      <w:bookmarkEnd w:id="19"/>
      <w:bookmarkStart w:id="20" w:name="bt开标一览表"/>
      <w:bookmarkEnd w:id="20"/>
      <w:r>
        <w:rPr>
          <w:rFonts w:hint="eastAsia"/>
        </w:rPr>
        <w:t>第一册</w:t>
      </w:r>
      <w:r>
        <w:rPr>
          <w:rFonts w:hint="eastAsia"/>
          <w:lang w:val="en-US" w:eastAsia="zh-CN"/>
        </w:rPr>
        <w:t xml:space="preserve">  </w:t>
      </w:r>
      <w:r>
        <w:rPr>
          <w:rFonts w:hint="eastAsia"/>
        </w:rPr>
        <w:t>专用条款</w:t>
      </w:r>
    </w:p>
    <w:p>
      <w:pPr>
        <w:pStyle w:val="7"/>
        <w:jc w:val="center"/>
        <w:rPr>
          <w:rFonts w:hint="eastAsia"/>
          <w:sz w:val="28"/>
          <w:szCs w:val="28"/>
        </w:rPr>
      </w:pPr>
      <w:r>
        <w:rPr>
          <w:rFonts w:hint="eastAsia"/>
          <w:sz w:val="28"/>
          <w:szCs w:val="28"/>
        </w:rPr>
        <w:t>第一章  招标公告</w:t>
      </w:r>
    </w:p>
    <w:tbl>
      <w:tblPr>
        <w:tblStyle w:val="19"/>
        <w:tblW w:w="8147" w:type="dxa"/>
        <w:jc w:val="center"/>
        <w:tblCellSpacing w:w="0" w:type="dxa"/>
        <w:tblLayout w:type="fixed"/>
        <w:tblCellMar>
          <w:top w:w="0" w:type="dxa"/>
          <w:left w:w="0" w:type="dxa"/>
          <w:bottom w:w="0" w:type="dxa"/>
          <w:right w:w="0" w:type="dxa"/>
        </w:tblCellMar>
      </w:tblPr>
      <w:tblGrid>
        <w:gridCol w:w="8147"/>
      </w:tblGrid>
      <w:tr>
        <w:tblPrEx>
          <w:tblCellMar>
            <w:top w:w="0" w:type="dxa"/>
            <w:left w:w="0" w:type="dxa"/>
            <w:bottom w:w="0" w:type="dxa"/>
            <w:right w:w="0" w:type="dxa"/>
          </w:tblCellMar>
        </w:tblPrEx>
        <w:trPr>
          <w:tblCellSpacing w:w="0" w:type="dxa"/>
          <w:jc w:val="center"/>
        </w:trPr>
        <w:tc>
          <w:tcPr>
            <w:tcW w:w="8147" w:type="dxa"/>
            <w:vAlign w:val="center"/>
          </w:tcPr>
          <w:tbl>
            <w:tblPr>
              <w:tblStyle w:val="19"/>
              <w:tblW w:w="8147" w:type="dxa"/>
              <w:jc w:val="center"/>
              <w:tblCellSpacing w:w="0" w:type="dxa"/>
              <w:tblLayout w:type="fixed"/>
              <w:tblCellMar>
                <w:top w:w="30" w:type="dxa"/>
                <w:left w:w="30" w:type="dxa"/>
                <w:bottom w:w="30" w:type="dxa"/>
                <w:right w:w="30" w:type="dxa"/>
              </w:tblCellMar>
            </w:tblPr>
            <w:tblGrid>
              <w:gridCol w:w="8147"/>
            </w:tblGrid>
            <w:tr>
              <w:tblPrEx>
                <w:tblCellMar>
                  <w:top w:w="30" w:type="dxa"/>
                  <w:left w:w="30" w:type="dxa"/>
                  <w:bottom w:w="30" w:type="dxa"/>
                  <w:right w:w="30" w:type="dxa"/>
                </w:tblCellMar>
              </w:tblPrEx>
              <w:trPr>
                <w:tblCellSpacing w:w="0" w:type="dxa"/>
                <w:jc w:val="center"/>
              </w:trPr>
              <w:tc>
                <w:tcPr>
                  <w:tcW w:w="8147" w:type="dxa"/>
                </w:tcPr>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38"/>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pPr>
              <w:rPr>
                <w:rFonts w:ascii="宋体" w:hAnsi="宋体" w:cs="宋体"/>
                <w:sz w:val="24"/>
              </w:rPr>
            </w:pPr>
          </w:p>
        </w:tc>
      </w:tr>
    </w:tbl>
    <w:p>
      <w:r>
        <w:rPr>
          <w:rFonts w:hint="eastAsia"/>
        </w:rPr>
        <w:br w:type="page"/>
      </w:r>
    </w:p>
    <w:p>
      <w:pPr>
        <w:pStyle w:val="7"/>
        <w:jc w:val="center"/>
        <w:rPr>
          <w:sz w:val="28"/>
          <w:szCs w:val="28"/>
        </w:rPr>
      </w:pPr>
      <w:r>
        <w:rPr>
          <w:rFonts w:hint="eastAsia"/>
          <w:sz w:val="28"/>
          <w:szCs w:val="28"/>
        </w:rPr>
        <w:t>第二章 对通用条款的补充内容及其他关键信息</w:t>
      </w:r>
    </w:p>
    <w:p>
      <w:pPr>
        <w:pStyle w:val="7"/>
        <w:spacing w:before="120" w:beforeLines="50" w:after="120" w:afterLines="50"/>
        <w:jc w:val="center"/>
        <w:rPr>
          <w:sz w:val="28"/>
          <w:szCs w:val="28"/>
        </w:rPr>
      </w:pPr>
      <w:bookmarkStart w:id="21" w:name="_Toc73521547"/>
      <w:bookmarkStart w:id="22" w:name="_Toc60560625"/>
      <w:bookmarkStart w:id="23" w:name="_Toc60631620"/>
      <w:bookmarkStart w:id="24" w:name="_Toc100052364"/>
      <w:bookmarkStart w:id="25" w:name="_Toc101074876"/>
      <w:bookmarkStart w:id="26" w:name="_Toc73521635"/>
      <w:bookmarkStart w:id="27" w:name="_Toc73518117"/>
      <w:bookmarkStart w:id="28" w:name="_Toc73517639"/>
      <w:r>
        <w:rPr>
          <w:rFonts w:hint="eastAsia"/>
          <w:szCs w:val="24"/>
        </w:rPr>
        <w:t>一、对通用条款的补充内容</w:t>
      </w:r>
    </w:p>
    <w:bookmarkEnd w:id="21"/>
    <w:bookmarkEnd w:id="22"/>
    <w:bookmarkEnd w:id="23"/>
    <w:bookmarkEnd w:id="24"/>
    <w:bookmarkEnd w:id="25"/>
    <w:bookmarkEnd w:id="26"/>
    <w:bookmarkEnd w:id="27"/>
    <w:bookmarkEnd w:id="28"/>
    <w:tbl>
      <w:tblPr>
        <w:tblStyle w:val="19"/>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rPr>
              <w:t>深圳市宝安区教育事业发展中心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29" w:name="_Hlk71664860"/>
            <w:r>
              <w:rPr>
                <w:rFonts w:hint="eastAsia" w:ascii="宋体" w:hAnsi="宋体"/>
              </w:rPr>
              <w:t>样品、现场演示、方案讲解</w:t>
            </w:r>
            <w:bookmarkEnd w:id="29"/>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bl>
    <w:p>
      <w:pPr>
        <w:rPr>
          <w:b/>
        </w:rPr>
      </w:pPr>
      <w:r>
        <w:rPr>
          <w:rFonts w:hint="eastAsia"/>
          <w:szCs w:val="21"/>
        </w:rPr>
        <w:t>备注：本表是通用条款相关条款的补充和明确，如与通用条款内容相冲突的，以本表为准。</w:t>
      </w:r>
    </w:p>
    <w:p>
      <w:pPr>
        <w:rPr>
          <w:b/>
        </w:rPr>
      </w:pPr>
    </w:p>
    <w:p>
      <w:pPr>
        <w:pStyle w:val="7"/>
        <w:spacing w:before="120" w:beforeLines="50" w:after="120" w:afterLines="50"/>
        <w:jc w:val="center"/>
        <w:rPr>
          <w:szCs w:val="24"/>
        </w:rPr>
      </w:pPr>
      <w:r>
        <w:rPr>
          <w:rFonts w:hint="eastAsia"/>
          <w:szCs w:val="24"/>
        </w:rPr>
        <w:t>二、其他关键信息</w:t>
      </w:r>
    </w:p>
    <w:p>
      <w:pPr>
        <w:ind w:firstLine="422" w:firstLineChars="200"/>
        <w:rPr>
          <w:b/>
          <w:bCs/>
        </w:rPr>
      </w:pPr>
      <w:r>
        <w:rPr>
          <w:rFonts w:hint="eastAsia"/>
          <w:b/>
          <w:bCs/>
        </w:rPr>
        <w:t>（一）与“对通用条款的补充内容”章节相关的事项</w:t>
      </w:r>
    </w:p>
    <w:p>
      <w:pPr>
        <w:spacing w:line="276" w:lineRule="auto"/>
        <w:ind w:firstLine="422" w:firstLineChars="200"/>
        <w:jc w:val="left"/>
        <w:rPr>
          <w:rFonts w:asciiTheme="minorEastAsia" w:hAnsiTheme="minorEastAsia" w:eastAsiaTheme="minorEastAsia"/>
          <w:b/>
          <w:kern w:val="0"/>
          <w:szCs w:val="20"/>
        </w:rPr>
      </w:pPr>
      <w:bookmarkStart w:id="30" w:name="_Hlk72579465"/>
      <w:r>
        <w:rPr>
          <w:rFonts w:hint="eastAsia" w:asciiTheme="minorEastAsia" w:hAnsiTheme="minorEastAsia" w:eastAsiaTheme="minorEastAsia"/>
          <w:b/>
          <w:kern w:val="0"/>
          <w:szCs w:val="20"/>
        </w:rPr>
        <w:t>1、评标定标信息</w:t>
      </w:r>
    </w:p>
    <w:p>
      <w:pPr>
        <w:jc w:val="center"/>
      </w:pPr>
      <w:r>
        <w:rPr>
          <w:rFonts w:hint="eastAsia"/>
          <w:b/>
        </w:rPr>
        <w:t>非评定分离项目</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hint="default" w:eastAsia="宋体"/>
                <w:lang w:val="en-US" w:eastAsia="zh-CN"/>
              </w:rPr>
            </w:pPr>
            <w:r>
              <w:rPr>
                <w:rFonts w:hint="eastAsia"/>
              </w:rPr>
              <w:sym w:font="Wingdings" w:char="00FE"/>
            </w:r>
            <w:r>
              <w:rPr>
                <w:rFonts w:hint="eastAsia"/>
              </w:rPr>
              <w:t>综合评分法</w:t>
            </w:r>
          </w:p>
        </w:tc>
        <w:tc>
          <w:tcPr>
            <w:tcW w:w="2450" w:type="dxa"/>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hint="default" w:eastAsia="宋体"/>
                <w:lang w:val="en-US" w:eastAsia="zh-CN"/>
              </w:rPr>
            </w:pPr>
            <w:r>
              <w:rPr>
                <w:rFonts w:hint="eastAsia"/>
              </w:rPr>
              <w:t>1</w:t>
            </w:r>
          </w:p>
        </w:tc>
        <w:tc>
          <w:tcPr>
            <w:tcW w:w="2450" w:type="dxa"/>
          </w:tcPr>
          <w:p>
            <w:pPr>
              <w:jc w:val="center"/>
              <w:rPr>
                <w:rFonts w:hint="eastAsia" w:eastAsia="宋体"/>
                <w:lang w:eastAsia="zh-CN"/>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rPr>
                <w:rFonts w:hint="eastAsia"/>
              </w:rPr>
            </w:pPr>
            <w:r>
              <w:rPr>
                <w:rFonts w:hint="eastAsia"/>
              </w:rPr>
              <w:t>1</w:t>
            </w:r>
          </w:p>
        </w:tc>
      </w:tr>
    </w:tbl>
    <w:p>
      <w:pPr>
        <w:pStyle w:val="3"/>
      </w:pPr>
    </w:p>
    <w:bookmarkEnd w:id="30"/>
    <w:p>
      <w:pPr>
        <w:ind w:firstLine="422" w:firstLineChars="200"/>
        <w:rPr>
          <w:rFonts w:hint="eastAsia"/>
          <w:b/>
        </w:rPr>
      </w:pPr>
      <w:r>
        <w:rPr>
          <w:rFonts w:hint="eastAsia"/>
          <w:b/>
        </w:rPr>
        <w:t>（二）其他事项</w:t>
      </w:r>
    </w:p>
    <w:p>
      <w:pPr>
        <w:ind w:firstLine="422" w:firstLineChars="200"/>
      </w:pPr>
      <w:r>
        <w:rPr>
          <w:b/>
          <w:bCs/>
        </w:rPr>
        <w:t>1</w:t>
      </w:r>
      <w:r>
        <w:rPr>
          <w:rFonts w:hint="eastAsia"/>
          <w:b/>
          <w:bCs/>
        </w:rPr>
        <w:t>、关于享受优惠政策的主体及价格扣除比例</w:t>
      </w:r>
    </w:p>
    <w:p>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eastAsia="宋体"/>
          <w:color w:val="000000" w:themeColor="text1"/>
          <w:u w:val="none"/>
          <w:lang w:eastAsia="zh-CN"/>
          <w14:textFill>
            <w14:solidFill>
              <w14:schemeClr w14:val="tx1"/>
            </w14:solidFill>
          </w14:textFill>
        </w:rPr>
        <w:t>（</w:t>
      </w:r>
      <w:r>
        <w:rPr>
          <w:rFonts w:hint="eastAsia" w:ascii="Times New Roman" w:eastAsia="宋体"/>
          <w:color w:val="000000" w:themeColor="text1"/>
          <w:u w:val="none"/>
          <w:lang w:val="en-US" w:eastAsia="zh-CN"/>
          <w14:textFill>
            <w14:solidFill>
              <w14:schemeClr w14:val="tx1"/>
            </w14:solidFill>
          </w14:textFill>
        </w:rPr>
        <w:t>10%~20%</w:t>
      </w:r>
      <w:r>
        <w:rPr>
          <w:rFonts w:hint="eastAsia" w:eastAsia="宋体"/>
          <w:color w:val="000000" w:themeColor="text1"/>
          <w:u w:val="none"/>
          <w:lang w:eastAsia="zh-CN"/>
          <w14:textFill>
            <w14:solidFill>
              <w14:schemeClr w14:val="tx1"/>
            </w14:solidFill>
          </w14:textFill>
        </w:rPr>
        <w:t>）</w:t>
      </w:r>
      <w:r>
        <w:rPr>
          <w:rFonts w:hint="eastAsia"/>
        </w:rPr>
        <w:t>的扣除，用扣除后的价格参与评审。满足多项优惠政策的企业，不重复享受多项价格扣除政策。</w:t>
      </w:r>
    </w:p>
    <w:p>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pPr>
        <w:numPr>
          <w:ilvl w:val="0"/>
          <w:numId w:val="1"/>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pPr>
        <w:numPr>
          <w:ilvl w:val="0"/>
          <w:numId w:val="1"/>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pPr>
        <w:numPr>
          <w:ilvl w:val="0"/>
          <w:numId w:val="1"/>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rPr>
          <w:b/>
        </w:rPr>
        <w:sectPr>
          <w:pgSz w:w="11907" w:h="16840"/>
          <w:pgMar w:top="1440" w:right="1797" w:bottom="1440" w:left="1797" w:header="851" w:footer="992" w:gutter="0"/>
          <w:cols w:space="425" w:num="1"/>
          <w:titlePg/>
          <w:docGrid w:linePitch="462" w:charSpace="0"/>
        </w:sectPr>
      </w:pPr>
    </w:p>
    <w:p>
      <w:pPr>
        <w:pStyle w:val="7"/>
        <w:jc w:val="center"/>
        <w:rPr>
          <w:sz w:val="28"/>
          <w:szCs w:val="28"/>
        </w:rPr>
      </w:pPr>
      <w:bookmarkStart w:id="31" w:name="_Toc128884461"/>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9"/>
        <w:tblpPr w:leftFromText="180" w:rightFromText="180" w:vertAnchor="text" w:horzAnchor="margin" w:tblpY="1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2727"/>
        <w:gridCol w:w="3044"/>
        <w:gridCol w:w="2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66" w:type="pct"/>
            <w:vAlign w:val="center"/>
          </w:tcPr>
          <w:p>
            <w:pPr>
              <w:jc w:val="center"/>
              <w:rPr>
                <w:bCs/>
                <w:szCs w:val="21"/>
              </w:rPr>
            </w:pPr>
            <w:r>
              <w:rPr>
                <w:rFonts w:hint="eastAsia"/>
                <w:bCs/>
                <w:szCs w:val="21"/>
              </w:rPr>
              <w:t>序号</w:t>
            </w:r>
          </w:p>
        </w:tc>
        <w:tc>
          <w:tcPr>
            <w:tcW w:w="1599" w:type="pct"/>
            <w:vAlign w:val="center"/>
          </w:tcPr>
          <w:p>
            <w:pPr>
              <w:jc w:val="center"/>
              <w:rPr>
                <w:bCs/>
                <w:szCs w:val="21"/>
              </w:rPr>
            </w:pPr>
            <w:r>
              <w:rPr>
                <w:rFonts w:hint="eastAsia"/>
                <w:szCs w:val="21"/>
              </w:rPr>
              <w:t>采购计划编号</w:t>
            </w:r>
          </w:p>
        </w:tc>
        <w:tc>
          <w:tcPr>
            <w:tcW w:w="1784" w:type="pct"/>
            <w:vAlign w:val="center"/>
          </w:tcPr>
          <w:p>
            <w:pPr>
              <w:jc w:val="center"/>
              <w:rPr>
                <w:bCs/>
                <w:szCs w:val="21"/>
              </w:rPr>
            </w:pPr>
            <w:r>
              <w:rPr>
                <w:rFonts w:hint="eastAsia"/>
                <w:bCs/>
                <w:szCs w:val="21"/>
              </w:rPr>
              <w:t>采购项目名称</w:t>
            </w:r>
          </w:p>
        </w:tc>
        <w:tc>
          <w:tcPr>
            <w:tcW w:w="1349" w:type="pct"/>
            <w:vAlign w:val="center"/>
          </w:tcPr>
          <w:p>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pPr>
              <w:jc w:val="center"/>
              <w:rPr>
                <w:b/>
                <w:bCs/>
                <w:color w:val="FF0000"/>
                <w:szCs w:val="21"/>
              </w:rPr>
            </w:pPr>
            <w:r>
              <w:rPr>
                <w:rFonts w:hint="eastAsia"/>
                <w:b/>
                <w:bCs/>
                <w:color w:val="FF000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66" w:type="pct"/>
            <w:vAlign w:val="center"/>
          </w:tcPr>
          <w:p>
            <w:pPr>
              <w:jc w:val="center"/>
              <w:rPr>
                <w:bCs/>
                <w:color w:val="FF0000"/>
                <w:szCs w:val="21"/>
              </w:rPr>
            </w:pPr>
            <w:r>
              <w:rPr>
                <w:rFonts w:hint="eastAsia"/>
                <w:bCs/>
                <w:color w:val="FF0000"/>
                <w:szCs w:val="21"/>
              </w:rPr>
              <w:t>1</w:t>
            </w:r>
          </w:p>
        </w:tc>
        <w:tc>
          <w:tcPr>
            <w:tcW w:w="1599" w:type="pct"/>
            <w:vAlign w:val="center"/>
          </w:tcPr>
          <w:p>
            <w:pPr>
              <w:jc w:val="center"/>
              <w:rPr>
                <w:bCs/>
                <w:color w:val="FF0000"/>
                <w:szCs w:val="21"/>
              </w:rPr>
            </w:pPr>
            <w:r>
              <w:rPr>
                <w:rFonts w:hint="eastAsia"/>
                <w:bCs/>
                <w:color w:val="FF0000"/>
                <w:szCs w:val="21"/>
              </w:rPr>
              <w:t>BAJYJ2025042301547C</w:t>
            </w:r>
          </w:p>
        </w:tc>
        <w:tc>
          <w:tcPr>
            <w:tcW w:w="1784" w:type="pct"/>
            <w:vAlign w:val="center"/>
          </w:tcPr>
          <w:p>
            <w:pPr>
              <w:jc w:val="center"/>
              <w:rPr>
                <w:b/>
                <w:bCs/>
                <w:color w:val="FF0000"/>
                <w:szCs w:val="21"/>
              </w:rPr>
            </w:pPr>
            <w:r>
              <w:rPr>
                <w:rFonts w:hint="eastAsia"/>
                <w:b/>
                <w:bCs/>
                <w:color w:val="FF0000"/>
                <w:szCs w:val="21"/>
              </w:rPr>
              <w:t>深圳市宝安区教育事业发展中心教育数字化转型一中心两平台、云端学校联盟项目数据库年服务购买</w:t>
            </w:r>
            <w:r>
              <w:rPr>
                <w:rFonts w:hint="eastAsia"/>
                <w:b/>
                <w:bCs/>
                <w:color w:val="FF0000"/>
                <w:szCs w:val="21"/>
                <w:lang w:eastAsia="zh-CN"/>
              </w:rPr>
              <w:t>项目</w:t>
            </w:r>
          </w:p>
        </w:tc>
        <w:tc>
          <w:tcPr>
            <w:tcW w:w="1349" w:type="pct"/>
            <w:vAlign w:val="center"/>
          </w:tcPr>
          <w:p>
            <w:pPr>
              <w:jc w:val="center"/>
              <w:rPr>
                <w:bCs/>
                <w:color w:val="FF0000"/>
                <w:szCs w:val="21"/>
              </w:rPr>
            </w:pPr>
            <w:r>
              <w:rPr>
                <w:rFonts w:hint="eastAsia"/>
                <w:bCs/>
                <w:color w:val="FF0000"/>
                <w:szCs w:val="21"/>
              </w:rPr>
              <w:tab/>
            </w:r>
            <w:r>
              <w:rPr>
                <w:rFonts w:hint="eastAsia"/>
                <w:bCs/>
                <w:color w:val="FF0000"/>
                <w:szCs w:val="21"/>
              </w:rPr>
              <w:t>225,000.00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650" w:type="pct"/>
            <w:gridSpan w:val="3"/>
            <w:shd w:val="clear" w:color="auto" w:fill="auto"/>
            <w:vAlign w:val="center"/>
          </w:tcPr>
          <w:p>
            <w:pPr>
              <w:jc w:val="center"/>
              <w:rPr>
                <w:rFonts w:ascii="Times New Roman" w:hAnsi="Times New Roman" w:eastAsia="宋体" w:cs="Times New Roman"/>
                <w:b/>
                <w:bCs/>
                <w:color w:val="FF0000"/>
                <w:kern w:val="2"/>
                <w:sz w:val="21"/>
                <w:szCs w:val="21"/>
                <w:lang w:val="en-US" w:eastAsia="zh-CN" w:bidi="ar-SA"/>
              </w:rPr>
            </w:pPr>
            <w:r>
              <w:rPr>
                <w:b/>
                <w:bCs/>
                <w:color w:val="FF0000"/>
                <w:szCs w:val="21"/>
              </w:rPr>
              <w:t>合计</w:t>
            </w:r>
          </w:p>
        </w:tc>
        <w:tc>
          <w:tcPr>
            <w:tcW w:w="1349" w:type="pct"/>
            <w:shd w:val="clear" w:color="auto" w:fill="auto"/>
            <w:vAlign w:val="center"/>
          </w:tcPr>
          <w:p>
            <w:pPr>
              <w:jc w:val="center"/>
              <w:rPr>
                <w:rFonts w:ascii="Times New Roman" w:hAnsi="Times New Roman" w:eastAsia="宋体" w:cs="Times New Roman"/>
                <w:bCs/>
                <w:color w:val="FF0000"/>
                <w:kern w:val="2"/>
                <w:sz w:val="21"/>
                <w:szCs w:val="21"/>
                <w:lang w:val="en-US" w:eastAsia="zh-CN" w:bidi="ar-SA"/>
              </w:rPr>
            </w:pPr>
            <w:r>
              <w:rPr>
                <w:rFonts w:hint="eastAsia" w:ascii="Times New Roman" w:hAnsi="Times New Roman" w:eastAsia="宋体" w:cs="Times New Roman"/>
                <w:bCs/>
                <w:color w:val="FF0000"/>
                <w:kern w:val="2"/>
                <w:sz w:val="21"/>
                <w:szCs w:val="21"/>
                <w:lang w:val="en-US" w:eastAsia="zh-CN" w:bidi="ar-SA"/>
              </w:rPr>
              <w:tab/>
            </w:r>
            <w:r>
              <w:rPr>
                <w:rFonts w:hint="eastAsia" w:ascii="Times New Roman" w:hAnsi="Times New Roman" w:eastAsia="宋体" w:cs="Times New Roman"/>
                <w:bCs/>
                <w:color w:val="FF0000"/>
                <w:kern w:val="2"/>
                <w:sz w:val="21"/>
                <w:szCs w:val="21"/>
                <w:lang w:val="en-US" w:eastAsia="zh-CN" w:bidi="ar-SA"/>
              </w:rPr>
              <w:t>225,000.00</w:t>
            </w:r>
          </w:p>
        </w:tc>
      </w:tr>
    </w:tbl>
    <w:p>
      <w:pPr>
        <w:pStyle w:val="7"/>
        <w:spacing w:before="120" w:beforeLines="50" w:after="120" w:afterLines="50"/>
        <w:jc w:val="center"/>
        <w:rPr>
          <w:szCs w:val="24"/>
        </w:rPr>
      </w:pPr>
      <w:r>
        <w:rPr>
          <w:rFonts w:hint="eastAsia"/>
          <w:szCs w:val="24"/>
        </w:rPr>
        <w:t>二、项目概况</w:t>
      </w:r>
    </w:p>
    <w:p>
      <w:pPr>
        <w:numPr>
          <w:ilvl w:val="0"/>
          <w:numId w:val="2"/>
        </w:numPr>
        <w:spacing w:line="520" w:lineRule="exact"/>
        <w:ind w:firstLine="560" w:firstLineChars="200"/>
        <w:jc w:val="left"/>
        <w:rPr>
          <w:rFonts w:ascii="仿宋_GB2312" w:hAnsi="华文仿宋" w:eastAsia="仿宋_GB2312" w:cs="Times New Roman"/>
          <w:sz w:val="28"/>
          <w:szCs w:val="28"/>
        </w:rPr>
      </w:pPr>
      <w:r>
        <w:rPr>
          <w:rFonts w:hint="eastAsia" w:ascii="仿宋_GB2312" w:hAnsi="华文仿宋" w:eastAsia="仿宋_GB2312" w:cs="Times New Roman"/>
          <w:sz w:val="28"/>
          <w:szCs w:val="28"/>
        </w:rPr>
        <w:t>宝安区教育数字化转型一中心两平台、云端学校联盟项目按区里统一的数据库地域授权，已经采用达梦数据库部署15个节点</w:t>
      </w:r>
      <w:r>
        <w:rPr>
          <w:rFonts w:hint="eastAsia" w:ascii="仿宋_GB2312" w:hAnsi="华文仿宋" w:eastAsia="仿宋_GB2312" w:cs="Times New Roman"/>
          <w:sz w:val="28"/>
          <w:szCs w:val="28"/>
          <w:lang w:eastAsia="zh-CN"/>
        </w:rPr>
        <w:t>（</w:t>
      </w:r>
      <w:r>
        <w:rPr>
          <w:rFonts w:hint="eastAsia" w:ascii="仿宋_GB2312" w:hAnsi="华文仿宋" w:eastAsia="仿宋_GB2312" w:cs="Times New Roman"/>
          <w:sz w:val="28"/>
          <w:szCs w:val="28"/>
          <w:lang w:val="en-US" w:eastAsia="zh-CN"/>
        </w:rPr>
        <w:t>基于性能调优需要，可动态增加节点</w:t>
      </w:r>
      <w:r>
        <w:rPr>
          <w:rFonts w:hint="eastAsia" w:ascii="仿宋_GB2312" w:hAnsi="华文仿宋" w:eastAsia="仿宋_GB2312" w:cs="Times New Roman"/>
          <w:sz w:val="28"/>
          <w:szCs w:val="28"/>
          <w:lang w:eastAsia="zh-CN"/>
        </w:rPr>
        <w:t>）</w:t>
      </w:r>
      <w:r>
        <w:rPr>
          <w:rFonts w:hint="eastAsia" w:ascii="仿宋_GB2312" w:hAnsi="华文仿宋" w:eastAsia="仿宋_GB2312" w:cs="Times New Roman"/>
          <w:sz w:val="28"/>
          <w:szCs w:val="28"/>
        </w:rPr>
        <w:t>，但授权相关文件仅保障到2024年5月30日前，后续的数据库</w:t>
      </w:r>
      <w:r>
        <w:rPr>
          <w:rFonts w:hint="eastAsia" w:ascii="仿宋_GB2312" w:hAnsi="华文仿宋" w:eastAsia="仿宋_GB2312" w:cs="Times New Roman"/>
          <w:sz w:val="28"/>
          <w:szCs w:val="28"/>
          <w:lang w:eastAsia="zh-CN"/>
        </w:rPr>
        <w:t>高级</w:t>
      </w:r>
      <w:r>
        <w:rPr>
          <w:rFonts w:hint="eastAsia" w:ascii="仿宋_GB2312" w:hAnsi="华文仿宋" w:eastAsia="仿宋_GB2312" w:cs="Times New Roman"/>
          <w:sz w:val="28"/>
          <w:szCs w:val="28"/>
        </w:rPr>
        <w:t>服务需自行保障，现需要采购具备达梦数据库专业技能的服务商提供数据库运行与维护专业</w:t>
      </w:r>
      <w:r>
        <w:rPr>
          <w:rFonts w:hint="eastAsia" w:ascii="仿宋_GB2312" w:hAnsi="华文仿宋" w:eastAsia="仿宋_GB2312" w:cs="Times New Roman"/>
          <w:sz w:val="28"/>
          <w:szCs w:val="28"/>
          <w:lang w:eastAsia="zh-CN"/>
        </w:rPr>
        <w:t>高级</w:t>
      </w:r>
      <w:r>
        <w:rPr>
          <w:rFonts w:hint="eastAsia" w:ascii="仿宋_GB2312" w:hAnsi="华文仿宋" w:eastAsia="仿宋_GB2312" w:cs="Times New Roman"/>
          <w:sz w:val="28"/>
          <w:szCs w:val="28"/>
        </w:rPr>
        <w:t>服务，针对我局需求提供相应的高级服务，满足对宝安区教育数字化转型一中心两平台、云端学校联盟基础平台及基础应用的可用性和安全性等要求，促进我局的信息化、数字化不断完善和科学、健康、可持续发展。</w:t>
      </w:r>
    </w:p>
    <w:p>
      <w:pPr>
        <w:spacing w:line="560" w:lineRule="exact"/>
        <w:ind w:firstLine="560" w:firstLineChars="200"/>
        <w:rPr>
          <w:rFonts w:ascii="仿宋_GB2312" w:hAnsi="华文仿宋" w:eastAsia="仿宋_GB2312" w:cs="Times New Roman"/>
          <w:sz w:val="28"/>
          <w:szCs w:val="28"/>
        </w:rPr>
      </w:pPr>
      <w:r>
        <w:rPr>
          <w:rFonts w:hint="eastAsia" w:ascii="仿宋_GB2312" w:hAnsi="华文仿宋" w:eastAsia="仿宋_GB2312" w:cs="Times New Roman"/>
          <w:sz w:val="28"/>
          <w:szCs w:val="28"/>
        </w:rPr>
        <w:t>服务范围：本项目是为</w:t>
      </w:r>
      <w:r>
        <w:rPr>
          <w:rFonts w:hint="eastAsia" w:ascii="仿宋_GB2312" w:hAnsi="华文仿宋" w:eastAsia="仿宋_GB2312" w:cs="Times New Roman"/>
          <w:sz w:val="28"/>
          <w:szCs w:val="28"/>
          <w:lang w:val="en-US" w:eastAsia="zh-CN"/>
        </w:rPr>
        <w:t>宝安区教育局（教育城域网机房内，目前使用达梦数据库的其他业务系统节点有10个）使用的</w:t>
      </w:r>
      <w:r>
        <w:rPr>
          <w:rFonts w:hint="eastAsia" w:ascii="仿宋_GB2312" w:hAnsi="华文仿宋" w:eastAsia="仿宋_GB2312" w:cs="Times New Roman"/>
          <w:sz w:val="28"/>
          <w:szCs w:val="28"/>
        </w:rPr>
        <w:t>所有达梦数据库提供科学管理和运维，在保证数据库可用性，安全性的前提下，提供全面的数据库高级运维服务。包括但不限于：</w:t>
      </w:r>
    </w:p>
    <w:tbl>
      <w:tblPr>
        <w:tblStyle w:val="19"/>
        <w:tblW w:w="8328" w:type="dxa"/>
        <w:tblInd w:w="421" w:type="dxa"/>
        <w:tblLayout w:type="autofit"/>
        <w:tblCellMar>
          <w:top w:w="0" w:type="dxa"/>
          <w:left w:w="108" w:type="dxa"/>
          <w:bottom w:w="0" w:type="dxa"/>
          <w:right w:w="108" w:type="dxa"/>
        </w:tblCellMar>
      </w:tblPr>
      <w:tblGrid>
        <w:gridCol w:w="899"/>
        <w:gridCol w:w="1395"/>
        <w:gridCol w:w="6034"/>
      </w:tblGrid>
      <w:tr>
        <w:tblPrEx>
          <w:tblCellMar>
            <w:top w:w="0" w:type="dxa"/>
            <w:left w:w="108" w:type="dxa"/>
            <w:bottom w:w="0" w:type="dxa"/>
            <w:right w:w="108" w:type="dxa"/>
          </w:tblCellMar>
        </w:tblPrEx>
        <w:trPr>
          <w:trHeight w:val="720" w:hRule="atLeast"/>
        </w:trPr>
        <w:tc>
          <w:tcPr>
            <w:tcW w:w="899" w:type="dxa"/>
            <w:tcBorders>
              <w:top w:val="single" w:color="auto" w:sz="4" w:space="0"/>
              <w:left w:val="single" w:color="auto" w:sz="4" w:space="0"/>
              <w:bottom w:val="single" w:color="auto" w:sz="4" w:space="0"/>
              <w:right w:val="single" w:color="auto" w:sz="4" w:space="0"/>
            </w:tcBorders>
            <w:noWrap/>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名称</w:t>
            </w:r>
          </w:p>
        </w:tc>
        <w:tc>
          <w:tcPr>
            <w:tcW w:w="7429" w:type="dxa"/>
            <w:gridSpan w:val="2"/>
            <w:tcBorders>
              <w:top w:val="single" w:color="auto" w:sz="4" w:space="0"/>
              <w:left w:val="nil"/>
              <w:bottom w:val="single" w:color="auto" w:sz="4" w:space="0"/>
              <w:right w:val="single" w:color="auto" w:sz="4" w:space="0"/>
            </w:tcBorders>
            <w:noWrap/>
            <w:vAlign w:val="center"/>
          </w:tcPr>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高级服务内容</w:t>
            </w:r>
          </w:p>
        </w:tc>
      </w:tr>
      <w:tr>
        <w:tblPrEx>
          <w:tblCellMar>
            <w:top w:w="0" w:type="dxa"/>
            <w:left w:w="108" w:type="dxa"/>
            <w:bottom w:w="0" w:type="dxa"/>
            <w:right w:w="108" w:type="dxa"/>
          </w:tblCellMar>
        </w:tblPrEx>
        <w:trPr>
          <w:trHeight w:val="2007" w:hRule="atLeast"/>
        </w:trPr>
        <w:tc>
          <w:tcPr>
            <w:tcW w:w="899" w:type="dxa"/>
            <w:tcBorders>
              <w:left w:val="single" w:color="auto" w:sz="4" w:space="0"/>
              <w:right w:val="single" w:color="auto" w:sz="4" w:space="0"/>
            </w:tcBorders>
            <w:noWrap/>
            <w:vAlign w:val="center"/>
          </w:tcPr>
          <w:p>
            <w:pPr>
              <w:spacing w:line="560" w:lineRule="exact"/>
              <w:rPr>
                <w:rFonts w:hint="eastAsia" w:ascii="仿宋_GB2312" w:hAnsi="仿宋_GB2312" w:eastAsia="仿宋_GB2312" w:cs="仿宋_GB2312"/>
                <w:sz w:val="28"/>
                <w:szCs w:val="28"/>
              </w:rPr>
            </w:pPr>
          </w:p>
        </w:tc>
        <w:tc>
          <w:tcPr>
            <w:tcW w:w="1395" w:type="dxa"/>
            <w:tcBorders>
              <w:top w:val="nil"/>
              <w:left w:val="nil"/>
              <w:bottom w:val="single" w:color="auto" w:sz="4" w:space="0"/>
              <w:right w:val="single" w:color="auto" w:sz="4" w:space="0"/>
            </w:tcBorders>
            <w:noWrap w:val="0"/>
            <w:vAlign w:val="center"/>
          </w:tcPr>
          <w:p>
            <w:pPr>
              <w:spacing w:line="56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数据库监控</w:t>
            </w:r>
          </w:p>
        </w:tc>
        <w:tc>
          <w:tcPr>
            <w:tcW w:w="6034" w:type="dxa"/>
            <w:tcBorders>
              <w:top w:val="nil"/>
              <w:left w:val="nil"/>
              <w:bottom w:val="single" w:color="auto" w:sz="4" w:space="0"/>
              <w:right w:val="single" w:color="auto" w:sz="4" w:space="0"/>
            </w:tcBorders>
            <w:noWrap w:val="0"/>
            <w:vAlign w:val="center"/>
          </w:tcPr>
          <w:p>
            <w:pPr>
              <w:spacing w:line="560" w:lineRule="exact"/>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提供部署数据库监控系统，实现宝安区教育城域网机房所有达梦数据库的运行监测</w:t>
            </w:r>
          </w:p>
        </w:tc>
      </w:tr>
      <w:tr>
        <w:tblPrEx>
          <w:tblCellMar>
            <w:top w:w="0" w:type="dxa"/>
            <w:left w:w="108" w:type="dxa"/>
            <w:bottom w:w="0" w:type="dxa"/>
            <w:right w:w="108" w:type="dxa"/>
          </w:tblCellMar>
        </w:tblPrEx>
        <w:trPr>
          <w:trHeight w:val="2007" w:hRule="atLeast"/>
        </w:trPr>
        <w:tc>
          <w:tcPr>
            <w:tcW w:w="899" w:type="dxa"/>
            <w:vMerge w:val="restart"/>
            <w:tcBorders>
              <w:left w:val="single" w:color="auto" w:sz="4" w:space="0"/>
              <w:right w:val="single" w:color="auto" w:sz="4" w:space="0"/>
            </w:tcBorders>
            <w:noWrap/>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达梦数据库</w:t>
            </w:r>
          </w:p>
        </w:tc>
        <w:tc>
          <w:tcPr>
            <w:tcW w:w="1395" w:type="dxa"/>
            <w:tcBorders>
              <w:top w:val="nil"/>
              <w:left w:val="nil"/>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性能优化</w:t>
            </w:r>
          </w:p>
        </w:tc>
        <w:tc>
          <w:tcPr>
            <w:tcW w:w="6034" w:type="dxa"/>
            <w:tcBorders>
              <w:top w:val="nil"/>
              <w:left w:val="nil"/>
              <w:bottom w:val="single" w:color="auto" w:sz="4" w:space="0"/>
              <w:right w:val="single" w:color="auto" w:sz="4" w:space="0"/>
            </w:tcBorders>
            <w:noWrap w:val="0"/>
            <w:vAlign w:val="center"/>
          </w:tcPr>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监控数据库性能指标，分析数据库性能瓶颈，提供对业务系统数据库SQL语法改造和优化服务，制定数据库优化方案并部署实施。</w:t>
            </w:r>
          </w:p>
        </w:tc>
      </w:tr>
      <w:tr>
        <w:tblPrEx>
          <w:tblCellMar>
            <w:top w:w="0" w:type="dxa"/>
            <w:left w:w="108" w:type="dxa"/>
            <w:bottom w:w="0" w:type="dxa"/>
            <w:right w:w="108" w:type="dxa"/>
          </w:tblCellMar>
        </w:tblPrEx>
        <w:trPr>
          <w:trHeight w:val="2007" w:hRule="atLeast"/>
        </w:trPr>
        <w:tc>
          <w:tcPr>
            <w:tcW w:w="899" w:type="dxa"/>
            <w:vMerge w:val="continue"/>
            <w:tcBorders>
              <w:left w:val="single" w:color="auto" w:sz="4" w:space="0"/>
              <w:right w:val="single" w:color="auto" w:sz="4" w:space="0"/>
            </w:tcBorders>
            <w:noWrap/>
            <w:vAlign w:val="center"/>
          </w:tcPr>
          <w:p>
            <w:pPr>
              <w:spacing w:line="560" w:lineRule="exact"/>
              <w:ind w:firstLine="560" w:firstLineChars="200"/>
              <w:rPr>
                <w:rFonts w:hint="eastAsia" w:ascii="仿宋_GB2312" w:hAnsi="仿宋_GB2312" w:eastAsia="仿宋_GB2312" w:cs="仿宋_GB2312"/>
                <w:sz w:val="28"/>
                <w:szCs w:val="28"/>
              </w:rPr>
            </w:pPr>
          </w:p>
        </w:tc>
        <w:tc>
          <w:tcPr>
            <w:tcW w:w="1395" w:type="dxa"/>
            <w:tcBorders>
              <w:top w:val="nil"/>
              <w:left w:val="nil"/>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数据恢复</w:t>
            </w:r>
          </w:p>
        </w:tc>
        <w:tc>
          <w:tcPr>
            <w:tcW w:w="6034" w:type="dxa"/>
            <w:tcBorders>
              <w:top w:val="nil"/>
              <w:left w:val="nil"/>
              <w:bottom w:val="single" w:color="auto" w:sz="4" w:space="0"/>
              <w:right w:val="single" w:color="auto" w:sz="4" w:space="0"/>
            </w:tcBorders>
            <w:noWrap w:val="0"/>
            <w:vAlign w:val="center"/>
          </w:tcPr>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针对由于硬件故障、应用误操作、病毒等非数据库产品原因导致的数据库停机和数据丢失，在利用常规备份文件无法完全恢复数据的情况下，提供数据库高级专家对故障现场进行分析诊断，充分利用现场留存的主/备库的数据文件、redo日志、undo日志、内存buffer等数据信息，尽可能帮用户恢复更多的数据，减少损失。</w:t>
            </w:r>
          </w:p>
        </w:tc>
      </w:tr>
      <w:tr>
        <w:tblPrEx>
          <w:tblCellMar>
            <w:top w:w="0" w:type="dxa"/>
            <w:left w:w="108" w:type="dxa"/>
            <w:bottom w:w="0" w:type="dxa"/>
            <w:right w:w="108" w:type="dxa"/>
          </w:tblCellMar>
        </w:tblPrEx>
        <w:trPr>
          <w:trHeight w:val="2007" w:hRule="atLeast"/>
        </w:trPr>
        <w:tc>
          <w:tcPr>
            <w:tcW w:w="899" w:type="dxa"/>
            <w:vMerge w:val="continue"/>
            <w:tcBorders>
              <w:left w:val="single" w:color="auto" w:sz="4" w:space="0"/>
              <w:right w:val="single" w:color="auto" w:sz="4" w:space="0"/>
            </w:tcBorders>
            <w:noWrap/>
            <w:vAlign w:val="center"/>
          </w:tcPr>
          <w:p>
            <w:pPr>
              <w:spacing w:line="560" w:lineRule="exact"/>
              <w:ind w:firstLine="560" w:firstLineChars="200"/>
              <w:rPr>
                <w:rFonts w:hint="eastAsia" w:ascii="仿宋_GB2312" w:hAnsi="仿宋_GB2312" w:eastAsia="仿宋_GB2312" w:cs="仿宋_GB2312"/>
                <w:sz w:val="28"/>
                <w:szCs w:val="28"/>
              </w:rPr>
            </w:pPr>
          </w:p>
        </w:tc>
        <w:tc>
          <w:tcPr>
            <w:tcW w:w="1395" w:type="dxa"/>
            <w:tcBorders>
              <w:top w:val="nil"/>
              <w:left w:val="nil"/>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配置检查</w:t>
            </w:r>
          </w:p>
        </w:tc>
        <w:tc>
          <w:tcPr>
            <w:tcW w:w="6034" w:type="dxa"/>
            <w:tcBorders>
              <w:top w:val="nil"/>
              <w:left w:val="nil"/>
              <w:bottom w:val="single" w:color="auto" w:sz="4" w:space="0"/>
              <w:right w:val="single" w:color="auto" w:sz="4" w:space="0"/>
            </w:tcBorders>
            <w:noWrap w:val="0"/>
            <w:vAlign w:val="center"/>
          </w:tcPr>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针对用户提供数据库服务器运行环境，专项进行上线检测和配置优化，确定硬件配置合理性，测试和优化操作系统磁盘调度算法参数，确定磁盘阵列挂载、分区划分、文件系统格式、磁盘缓存开关等参数，充分发挥硬件性能，减少因运行环境配置不合理导致的数据库运行风险。</w:t>
            </w:r>
          </w:p>
        </w:tc>
      </w:tr>
      <w:tr>
        <w:tblPrEx>
          <w:tblCellMar>
            <w:top w:w="0" w:type="dxa"/>
            <w:left w:w="108" w:type="dxa"/>
            <w:bottom w:w="0" w:type="dxa"/>
            <w:right w:w="108" w:type="dxa"/>
          </w:tblCellMar>
        </w:tblPrEx>
        <w:trPr>
          <w:trHeight w:val="972" w:hRule="atLeast"/>
        </w:trPr>
        <w:tc>
          <w:tcPr>
            <w:tcW w:w="899" w:type="dxa"/>
            <w:vMerge w:val="continue"/>
            <w:tcBorders>
              <w:left w:val="single" w:color="auto" w:sz="4" w:space="0"/>
              <w:right w:val="single" w:color="auto" w:sz="4" w:space="0"/>
            </w:tcBorders>
            <w:noWrap/>
            <w:vAlign w:val="center"/>
          </w:tcPr>
          <w:p>
            <w:pPr>
              <w:spacing w:line="560" w:lineRule="exact"/>
              <w:ind w:firstLine="560" w:firstLineChars="200"/>
              <w:rPr>
                <w:rFonts w:hint="eastAsia" w:ascii="仿宋_GB2312" w:hAnsi="仿宋_GB2312" w:eastAsia="仿宋_GB2312" w:cs="仿宋_GB2312"/>
                <w:sz w:val="28"/>
                <w:szCs w:val="28"/>
              </w:rPr>
            </w:pPr>
          </w:p>
        </w:tc>
        <w:tc>
          <w:tcPr>
            <w:tcW w:w="1395" w:type="dxa"/>
            <w:tcBorders>
              <w:top w:val="nil"/>
              <w:left w:val="nil"/>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备份归档</w:t>
            </w:r>
          </w:p>
        </w:tc>
        <w:tc>
          <w:tcPr>
            <w:tcW w:w="6034" w:type="dxa"/>
            <w:tcBorders>
              <w:top w:val="nil"/>
              <w:left w:val="nil"/>
              <w:bottom w:val="single" w:color="auto" w:sz="4" w:space="0"/>
              <w:right w:val="single" w:color="auto" w:sz="4" w:space="0"/>
            </w:tcBorders>
            <w:noWrap w:val="0"/>
            <w:vAlign w:val="center"/>
          </w:tcPr>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专项检查备份和归档任务的有效性和合理性，规划和调整任务计划，执行还原操作验证文件的可恢复性。</w:t>
            </w:r>
          </w:p>
        </w:tc>
      </w:tr>
      <w:tr>
        <w:tblPrEx>
          <w:tblCellMar>
            <w:top w:w="0" w:type="dxa"/>
            <w:left w:w="108" w:type="dxa"/>
            <w:bottom w:w="0" w:type="dxa"/>
            <w:right w:w="108" w:type="dxa"/>
          </w:tblCellMar>
        </w:tblPrEx>
        <w:trPr>
          <w:trHeight w:val="960" w:hRule="atLeast"/>
        </w:trPr>
        <w:tc>
          <w:tcPr>
            <w:tcW w:w="899" w:type="dxa"/>
            <w:vMerge w:val="continue"/>
            <w:tcBorders>
              <w:left w:val="single" w:color="auto" w:sz="4" w:space="0"/>
              <w:right w:val="single" w:color="auto" w:sz="4" w:space="0"/>
            </w:tcBorders>
            <w:noWrap/>
            <w:vAlign w:val="center"/>
          </w:tcPr>
          <w:p>
            <w:pPr>
              <w:spacing w:line="560" w:lineRule="exact"/>
              <w:ind w:firstLine="560" w:firstLineChars="200"/>
              <w:rPr>
                <w:rFonts w:hint="eastAsia" w:ascii="仿宋_GB2312" w:hAnsi="仿宋_GB2312" w:eastAsia="仿宋_GB2312" w:cs="仿宋_GB2312"/>
                <w:sz w:val="28"/>
                <w:szCs w:val="28"/>
              </w:rPr>
            </w:pPr>
          </w:p>
        </w:tc>
        <w:tc>
          <w:tcPr>
            <w:tcW w:w="1395" w:type="dxa"/>
            <w:tcBorders>
              <w:top w:val="nil"/>
              <w:left w:val="nil"/>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监控对接</w:t>
            </w:r>
          </w:p>
        </w:tc>
        <w:tc>
          <w:tcPr>
            <w:tcW w:w="6034" w:type="dxa"/>
            <w:tcBorders>
              <w:top w:val="nil"/>
              <w:left w:val="nil"/>
              <w:bottom w:val="single" w:color="auto" w:sz="4" w:space="0"/>
              <w:right w:val="single" w:color="auto" w:sz="4" w:space="0"/>
            </w:tcBorders>
            <w:noWrap w:val="0"/>
            <w:vAlign w:val="center"/>
          </w:tcPr>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提供外部监控平台，适配对接能力，数据采集指导，监控信息调试等。</w:t>
            </w:r>
          </w:p>
        </w:tc>
      </w:tr>
      <w:tr>
        <w:tblPrEx>
          <w:tblCellMar>
            <w:top w:w="0" w:type="dxa"/>
            <w:left w:w="108" w:type="dxa"/>
            <w:bottom w:w="0" w:type="dxa"/>
            <w:right w:w="108" w:type="dxa"/>
          </w:tblCellMar>
        </w:tblPrEx>
        <w:trPr>
          <w:trHeight w:val="1129" w:hRule="atLeast"/>
        </w:trPr>
        <w:tc>
          <w:tcPr>
            <w:tcW w:w="899" w:type="dxa"/>
            <w:vMerge w:val="continue"/>
            <w:tcBorders>
              <w:left w:val="single" w:color="auto" w:sz="4" w:space="0"/>
              <w:right w:val="single" w:color="auto" w:sz="4" w:space="0"/>
            </w:tcBorders>
            <w:noWrap/>
            <w:vAlign w:val="center"/>
          </w:tcPr>
          <w:p>
            <w:pPr>
              <w:spacing w:line="560" w:lineRule="exact"/>
              <w:ind w:firstLine="560" w:firstLineChars="200"/>
              <w:rPr>
                <w:rFonts w:hint="eastAsia" w:ascii="仿宋_GB2312" w:hAnsi="仿宋_GB2312" w:eastAsia="仿宋_GB2312" w:cs="仿宋_GB2312"/>
                <w:sz w:val="28"/>
                <w:szCs w:val="28"/>
              </w:rPr>
            </w:pPr>
          </w:p>
        </w:tc>
        <w:tc>
          <w:tcPr>
            <w:tcW w:w="1395" w:type="dxa"/>
            <w:tcBorders>
              <w:top w:val="nil"/>
              <w:left w:val="nil"/>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接口适配</w:t>
            </w:r>
          </w:p>
        </w:tc>
        <w:tc>
          <w:tcPr>
            <w:tcW w:w="6034" w:type="dxa"/>
            <w:tcBorders>
              <w:top w:val="nil"/>
              <w:left w:val="nil"/>
              <w:bottom w:val="single" w:color="auto" w:sz="4" w:space="0"/>
              <w:right w:val="single" w:color="auto" w:sz="4" w:space="0"/>
            </w:tcBorders>
            <w:noWrap w:val="0"/>
            <w:vAlign w:val="center"/>
          </w:tcPr>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提供特有需求接口改造能力，对接审计分析等平台化等，并提供专家伙伴服务，并配合提供一定的数据库接口代码改造配合能力。</w:t>
            </w:r>
          </w:p>
        </w:tc>
      </w:tr>
      <w:tr>
        <w:tblPrEx>
          <w:tblCellMar>
            <w:top w:w="0" w:type="dxa"/>
            <w:left w:w="108" w:type="dxa"/>
            <w:bottom w:w="0" w:type="dxa"/>
            <w:right w:w="108" w:type="dxa"/>
          </w:tblCellMar>
        </w:tblPrEx>
        <w:trPr>
          <w:trHeight w:val="1397" w:hRule="atLeast"/>
        </w:trPr>
        <w:tc>
          <w:tcPr>
            <w:tcW w:w="899" w:type="dxa"/>
            <w:vMerge w:val="continue"/>
            <w:tcBorders>
              <w:left w:val="single" w:color="auto" w:sz="4" w:space="0"/>
              <w:bottom w:val="single" w:color="auto" w:sz="4" w:space="0"/>
              <w:right w:val="single" w:color="auto" w:sz="4" w:space="0"/>
            </w:tcBorders>
            <w:noWrap/>
            <w:vAlign w:val="center"/>
          </w:tcPr>
          <w:p>
            <w:pPr>
              <w:spacing w:line="560" w:lineRule="exact"/>
              <w:ind w:firstLine="560" w:firstLineChars="200"/>
              <w:rPr>
                <w:rFonts w:hint="eastAsia" w:ascii="仿宋_GB2312" w:hAnsi="仿宋_GB2312" w:eastAsia="仿宋_GB2312" w:cs="仿宋_GB2312"/>
                <w:sz w:val="28"/>
                <w:szCs w:val="28"/>
              </w:rPr>
            </w:pPr>
          </w:p>
        </w:tc>
        <w:tc>
          <w:tcPr>
            <w:tcW w:w="1395" w:type="dxa"/>
            <w:tcBorders>
              <w:top w:val="single" w:color="auto" w:sz="4" w:space="0"/>
              <w:left w:val="nil"/>
              <w:bottom w:val="single" w:color="auto" w:sz="4" w:space="0"/>
              <w:right w:val="single" w:color="auto" w:sz="4" w:space="0"/>
            </w:tcBorders>
            <w:noWrap w:val="0"/>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安全检查</w:t>
            </w:r>
          </w:p>
        </w:tc>
        <w:tc>
          <w:tcPr>
            <w:tcW w:w="6034" w:type="dxa"/>
            <w:tcBorders>
              <w:top w:val="single" w:color="auto" w:sz="4" w:space="0"/>
              <w:left w:val="nil"/>
              <w:bottom w:val="single" w:color="auto" w:sz="4" w:space="0"/>
              <w:right w:val="single" w:color="auto" w:sz="4" w:space="0"/>
            </w:tcBorders>
            <w:noWrap w:val="0"/>
            <w:vAlign w:val="center"/>
          </w:tcPr>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专项检查数据库运行过程和运行环境的安全性，满足等级保护要求。</w:t>
            </w:r>
          </w:p>
        </w:tc>
      </w:tr>
    </w:tbl>
    <w:p>
      <w:pPr>
        <w:ind w:firstLine="480" w:firstLineChars="200"/>
        <w:rPr>
          <w:sz w:val="24"/>
        </w:rPr>
      </w:pPr>
    </w:p>
    <w:p>
      <w:pPr>
        <w:ind w:firstLine="480" w:firstLineChars="200"/>
        <w:rPr>
          <w:sz w:val="24"/>
        </w:rPr>
      </w:pPr>
    </w:p>
    <w:p>
      <w:pPr>
        <w:rPr>
          <w:rFonts w:ascii="宋体" w:hAnsi="宋体"/>
          <w:b/>
          <w:color w:val="FF0000"/>
          <w:szCs w:val="21"/>
        </w:rPr>
      </w:pPr>
    </w:p>
    <w:p>
      <w:pPr>
        <w:pStyle w:val="7"/>
        <w:spacing w:before="120" w:beforeLines="50" w:after="120" w:afterLines="50"/>
        <w:jc w:val="center"/>
        <w:rPr>
          <w:szCs w:val="24"/>
        </w:rPr>
      </w:pPr>
      <w:r>
        <w:rPr>
          <w:rFonts w:hint="eastAsia"/>
          <w:szCs w:val="24"/>
        </w:rPr>
        <w:t>三、</w:t>
      </w:r>
      <w:bookmarkStart w:id="32" w:name="_Hlk72073432"/>
      <w:r>
        <w:rPr>
          <w:rFonts w:hint="eastAsia"/>
          <w:szCs w:val="24"/>
        </w:rPr>
        <w:t>服务需求明细</w:t>
      </w:r>
      <w:bookmarkEnd w:id="32"/>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74"/>
        <w:gridCol w:w="2244"/>
        <w:gridCol w:w="727"/>
        <w:gridCol w:w="650"/>
        <w:gridCol w:w="1232"/>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pPr>
              <w:jc w:val="center"/>
              <w:rPr>
                <w:bCs/>
                <w:szCs w:val="21"/>
              </w:rPr>
            </w:pPr>
            <w:r>
              <w:rPr>
                <w:rFonts w:hint="eastAsia"/>
                <w:bCs/>
                <w:szCs w:val="21"/>
              </w:rPr>
              <w:t>序号</w:t>
            </w:r>
          </w:p>
        </w:tc>
        <w:tc>
          <w:tcPr>
            <w:tcW w:w="1274" w:type="pct"/>
            <w:vAlign w:val="center"/>
          </w:tcPr>
          <w:p>
            <w:pPr>
              <w:jc w:val="center"/>
              <w:rPr>
                <w:bCs/>
                <w:szCs w:val="21"/>
              </w:rPr>
            </w:pPr>
            <w:r>
              <w:rPr>
                <w:rFonts w:hint="eastAsia"/>
                <w:szCs w:val="21"/>
              </w:rPr>
              <w:t>采购计划编号</w:t>
            </w:r>
          </w:p>
        </w:tc>
        <w:tc>
          <w:tcPr>
            <w:tcW w:w="1315" w:type="pct"/>
            <w:vAlign w:val="center"/>
          </w:tcPr>
          <w:p>
            <w:pPr>
              <w:jc w:val="center"/>
              <w:rPr>
                <w:bCs/>
                <w:szCs w:val="21"/>
              </w:rPr>
            </w:pPr>
            <w:r>
              <w:rPr>
                <w:rFonts w:hint="eastAsia"/>
                <w:bCs/>
                <w:szCs w:val="21"/>
              </w:rPr>
              <w:t>服务需求名称（标的名称）</w:t>
            </w:r>
          </w:p>
        </w:tc>
        <w:tc>
          <w:tcPr>
            <w:tcW w:w="426" w:type="pct"/>
            <w:vAlign w:val="center"/>
          </w:tcPr>
          <w:p>
            <w:pPr>
              <w:jc w:val="center"/>
              <w:rPr>
                <w:bCs/>
                <w:szCs w:val="21"/>
              </w:rPr>
            </w:pPr>
            <w:r>
              <w:rPr>
                <w:rFonts w:hint="eastAsia"/>
                <w:bCs/>
                <w:szCs w:val="21"/>
              </w:rPr>
              <w:t>数量</w:t>
            </w:r>
          </w:p>
        </w:tc>
        <w:tc>
          <w:tcPr>
            <w:tcW w:w="381" w:type="pct"/>
            <w:vAlign w:val="center"/>
          </w:tcPr>
          <w:p>
            <w:pPr>
              <w:jc w:val="center"/>
              <w:rPr>
                <w:bCs/>
                <w:szCs w:val="21"/>
              </w:rPr>
            </w:pPr>
            <w:r>
              <w:rPr>
                <w:rFonts w:hint="eastAsia"/>
                <w:bCs/>
                <w:szCs w:val="21"/>
              </w:rPr>
              <w:t>单位</w:t>
            </w:r>
          </w:p>
        </w:tc>
        <w:tc>
          <w:tcPr>
            <w:tcW w:w="722" w:type="pct"/>
            <w:vAlign w:val="center"/>
          </w:tcPr>
          <w:p>
            <w:pPr>
              <w:jc w:val="center"/>
              <w:rPr>
                <w:rFonts w:hint="eastAsia"/>
                <w:bCs/>
                <w:szCs w:val="21"/>
              </w:rPr>
            </w:pPr>
            <w:r>
              <w:rPr>
                <w:rFonts w:hint="eastAsia" w:ascii="Times New Roman" w:eastAsia="宋体"/>
                <w:b/>
                <w:bCs/>
                <w:color w:val="FF0000"/>
                <w:szCs w:val="21"/>
                <w:lang w:val="en-US" w:eastAsia="zh-CN"/>
              </w:rPr>
              <w:t>是否专门面向中小企业</w:t>
            </w:r>
          </w:p>
        </w:tc>
        <w:tc>
          <w:tcPr>
            <w:tcW w:w="629" w:type="pct"/>
            <w:vAlign w:val="center"/>
          </w:tcPr>
          <w:p>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pPr>
              <w:jc w:val="center"/>
              <w:rPr>
                <w:bCs/>
                <w:szCs w:val="21"/>
              </w:rPr>
            </w:pPr>
            <w:r>
              <w:rPr>
                <w:rFonts w:hint="eastAsia"/>
                <w:bCs/>
                <w:szCs w:val="21"/>
              </w:rPr>
              <w:t>1</w:t>
            </w:r>
          </w:p>
        </w:tc>
        <w:tc>
          <w:tcPr>
            <w:tcW w:w="1274" w:type="pct"/>
            <w:vAlign w:val="center"/>
          </w:tcPr>
          <w:p>
            <w:pPr>
              <w:jc w:val="center"/>
              <w:rPr>
                <w:bCs/>
                <w:szCs w:val="21"/>
              </w:rPr>
            </w:pPr>
            <w:r>
              <w:rPr>
                <w:rFonts w:hint="eastAsia"/>
                <w:bCs/>
                <w:color w:val="FF0000"/>
                <w:szCs w:val="21"/>
              </w:rPr>
              <w:t>BAJYJ2025042301547C</w:t>
            </w:r>
          </w:p>
        </w:tc>
        <w:tc>
          <w:tcPr>
            <w:tcW w:w="1315" w:type="pct"/>
            <w:vAlign w:val="center"/>
          </w:tcPr>
          <w:p>
            <w:pPr>
              <w:jc w:val="center"/>
              <w:rPr>
                <w:bCs/>
                <w:szCs w:val="21"/>
              </w:rPr>
            </w:pPr>
            <w:r>
              <w:rPr>
                <w:rFonts w:hint="eastAsia"/>
                <w:bCs/>
                <w:color w:val="FF0000"/>
                <w:szCs w:val="21"/>
              </w:rPr>
              <w:t>深圳市宝安区教育事业发展中心教育数字化转型一中心两平台、云端学校联盟项目数据库年服务购买</w:t>
            </w:r>
            <w:r>
              <w:rPr>
                <w:rFonts w:hint="eastAsia"/>
                <w:bCs/>
                <w:color w:val="FF0000"/>
                <w:szCs w:val="21"/>
                <w:lang w:eastAsia="zh-CN"/>
              </w:rPr>
              <w:t>项目</w:t>
            </w:r>
          </w:p>
        </w:tc>
        <w:tc>
          <w:tcPr>
            <w:tcW w:w="426" w:type="pct"/>
            <w:vAlign w:val="center"/>
          </w:tcPr>
          <w:p>
            <w:pPr>
              <w:jc w:val="center"/>
              <w:rPr>
                <w:rFonts w:hint="eastAsia" w:eastAsiaTheme="minorEastAsia"/>
                <w:bCs/>
                <w:szCs w:val="21"/>
                <w:lang w:eastAsia="zh-CN"/>
              </w:rPr>
            </w:pPr>
            <w:r>
              <w:rPr>
                <w:rFonts w:hint="eastAsia"/>
                <w:lang w:val="en-US" w:eastAsia="zh-CN"/>
              </w:rPr>
              <w:t>1</w:t>
            </w:r>
          </w:p>
        </w:tc>
        <w:tc>
          <w:tcPr>
            <w:tcW w:w="381" w:type="pct"/>
            <w:vAlign w:val="center"/>
          </w:tcPr>
          <w:p>
            <w:pPr>
              <w:jc w:val="center"/>
              <w:rPr>
                <w:rFonts w:hint="eastAsia" w:eastAsiaTheme="minorEastAsia"/>
                <w:bCs/>
                <w:szCs w:val="21"/>
                <w:lang w:val="en-US" w:eastAsia="zh-CN"/>
              </w:rPr>
            </w:pPr>
            <w:r>
              <w:rPr>
                <w:rFonts w:hint="eastAsia"/>
                <w:bCs/>
                <w:szCs w:val="21"/>
                <w:lang w:val="en-US" w:eastAsia="zh-CN"/>
              </w:rPr>
              <w:t>项</w:t>
            </w:r>
          </w:p>
        </w:tc>
        <w:tc>
          <w:tcPr>
            <w:tcW w:w="722" w:type="pct"/>
            <w:vAlign w:val="center"/>
          </w:tcPr>
          <w:p>
            <w:pPr>
              <w:jc w:val="center"/>
              <w:rPr>
                <w:rFonts w:hint="eastAsia" w:eastAsiaTheme="minorEastAsia"/>
                <w:bCs/>
                <w:szCs w:val="21"/>
                <w:lang w:val="en-US" w:eastAsia="zh-CN"/>
              </w:rPr>
            </w:pPr>
            <w:r>
              <w:rPr>
                <w:rFonts w:hint="eastAsia"/>
                <w:bCs/>
                <w:szCs w:val="21"/>
                <w:lang w:val="en-US" w:eastAsia="zh-CN"/>
              </w:rPr>
              <w:t>否</w:t>
            </w:r>
          </w:p>
        </w:tc>
        <w:tc>
          <w:tcPr>
            <w:tcW w:w="629" w:type="pct"/>
            <w:vAlign w:val="center"/>
          </w:tcPr>
          <w:p>
            <w:pPr>
              <w:jc w:val="center"/>
              <w:rPr>
                <w:bCs/>
                <w:szCs w:val="21"/>
              </w:rPr>
            </w:pPr>
            <w:r>
              <w:rPr>
                <w:rFonts w:hint="eastAsia"/>
                <w:bCs/>
                <w:szCs w:val="21"/>
              </w:rPr>
              <w:t>软件和信息技术服务业</w:t>
            </w:r>
          </w:p>
        </w:tc>
      </w:tr>
    </w:tbl>
    <w:p>
      <w:pPr>
        <w:rPr>
          <w:rFonts w:ascii="宋体" w:hAnsi="宋体"/>
          <w:b/>
          <w:color w:val="FF0000"/>
          <w:szCs w:val="21"/>
        </w:rPr>
      </w:pPr>
    </w:p>
    <w:p>
      <w:pPr>
        <w:pStyle w:val="7"/>
        <w:spacing w:before="120" w:beforeLines="50" w:after="120" w:afterLines="50"/>
        <w:jc w:val="center"/>
        <w:rPr>
          <w:szCs w:val="24"/>
        </w:rPr>
      </w:pPr>
      <w:r>
        <w:rPr>
          <w:rFonts w:hint="eastAsia"/>
          <w:szCs w:val="24"/>
        </w:rPr>
        <w:t>四、实质性条款</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31"/>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pPr>
        <w:jc w:val="center"/>
        <w:rPr>
          <w:b/>
          <w:bCs/>
          <w:sz w:val="24"/>
        </w:rPr>
      </w:pPr>
    </w:p>
    <w:p>
      <w:pPr>
        <w:pStyle w:val="7"/>
        <w:spacing w:before="120" w:beforeLines="50" w:after="120" w:afterLines="50"/>
        <w:jc w:val="center"/>
        <w:rPr>
          <w:szCs w:val="24"/>
        </w:rPr>
      </w:pPr>
      <w:r>
        <w:rPr>
          <w:rFonts w:hint="eastAsia"/>
          <w:b/>
          <w:color w:val="FF0000"/>
          <w:szCs w:val="21"/>
        </w:rPr>
        <w:t>★</w:t>
      </w:r>
      <w:r>
        <w:rPr>
          <w:rFonts w:hint="eastAsia"/>
          <w:szCs w:val="24"/>
          <w:lang w:val="en-US" w:eastAsia="zh-CN"/>
        </w:rPr>
        <w:t>五</w:t>
      </w:r>
      <w:r>
        <w:rPr>
          <w:rFonts w:hint="eastAsia"/>
          <w:szCs w:val="24"/>
        </w:rPr>
        <w:t>、商务要求</w:t>
      </w:r>
    </w:p>
    <w:p>
      <w:pPr>
        <w:ind w:firstLine="422" w:firstLineChars="200"/>
        <w:rPr>
          <w:rFonts w:asciiTheme="minorEastAsia" w:hAnsiTheme="minorEastAsia" w:eastAsiaTheme="minorEastAsia"/>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numPr>
          <w:ilvl w:val="0"/>
          <w:numId w:val="3"/>
        </w:numPr>
        <w:spacing w:line="520" w:lineRule="exact"/>
        <w:ind w:firstLine="560" w:firstLineChars="200"/>
        <w:jc w:val="left"/>
        <w:rPr>
          <w:rFonts w:hint="eastAsia" w:ascii="仿宋_GB2312" w:hAnsi="华文仿宋" w:eastAsia="仿宋_GB2312" w:cs="Times New Roman"/>
          <w:sz w:val="28"/>
          <w:szCs w:val="28"/>
        </w:rPr>
      </w:pPr>
      <w:r>
        <w:rPr>
          <w:rFonts w:hint="eastAsia" w:ascii="仿宋_GB2312" w:hAnsi="华文仿宋" w:eastAsia="仿宋_GB2312" w:cs="Times New Roman"/>
          <w:sz w:val="28"/>
          <w:szCs w:val="28"/>
        </w:rPr>
        <w:t>服务期限：自合同签订之日起12个月。</w:t>
      </w:r>
      <w:r>
        <w:rPr>
          <w:rFonts w:hint="eastAsia" w:ascii="仿宋" w:hAnsi="仿宋" w:eastAsia="仿宋" w:cs="仿宋"/>
          <w:sz w:val="28"/>
          <w:szCs w:val="28"/>
        </w:rPr>
        <w:t>服务期满可以按政府采购相关规定向有关部门申请延续服务，同意申请后第二、三年费用参照第一年标准。本项目为长期服务项目，长期服务政府采购合同履行期限最长不得超过三十六个月。甲方可依据乙方履约情况及项目运行情况综合考量是否续约</w:t>
      </w:r>
      <w:r>
        <w:rPr>
          <w:rFonts w:hint="eastAsia" w:ascii="仿宋" w:hAnsi="仿宋" w:eastAsia="仿宋" w:cs="仿宋"/>
          <w:sz w:val="28"/>
          <w:szCs w:val="28"/>
          <w:lang w:eastAsia="zh-CN"/>
        </w:rPr>
        <w:t>。</w:t>
      </w:r>
    </w:p>
    <w:p>
      <w:pPr>
        <w:numPr>
          <w:ilvl w:val="0"/>
          <w:numId w:val="3"/>
        </w:numPr>
        <w:spacing w:line="520" w:lineRule="exact"/>
        <w:ind w:firstLine="560" w:firstLineChars="200"/>
        <w:jc w:val="left"/>
        <w:rPr>
          <w:rFonts w:ascii="仿宋_GB2312" w:hAnsi="华文仿宋" w:eastAsia="仿宋_GB2312" w:cs="Times New Roman"/>
          <w:sz w:val="28"/>
          <w:szCs w:val="28"/>
        </w:rPr>
      </w:pPr>
      <w:r>
        <w:rPr>
          <w:rFonts w:hint="eastAsia" w:ascii="仿宋_GB2312" w:hAnsi="华文仿宋" w:eastAsia="仿宋_GB2312" w:cs="Times New Roman"/>
          <w:sz w:val="28"/>
          <w:szCs w:val="28"/>
        </w:rPr>
        <w:t>服务内容、技术标准、工作质量要求：</w:t>
      </w:r>
    </w:p>
    <w:p>
      <w:pPr>
        <w:spacing w:line="560" w:lineRule="exact"/>
        <w:ind w:firstLine="560" w:firstLineChars="200"/>
        <w:rPr>
          <w:rFonts w:hint="eastAsia" w:ascii="仿宋_GB2312" w:hAnsi="华文仿宋" w:eastAsia="仿宋_GB2312" w:cs="Times New Roman"/>
          <w:sz w:val="28"/>
          <w:szCs w:val="28"/>
        </w:rPr>
      </w:pPr>
      <w:r>
        <w:rPr>
          <w:rFonts w:hint="eastAsia" w:ascii="仿宋_GB2312" w:hAnsi="华文仿宋" w:eastAsia="仿宋_GB2312" w:cs="Times New Roman"/>
          <w:sz w:val="28"/>
          <w:szCs w:val="28"/>
        </w:rPr>
        <w:t>需提供遇重大事故数据库应急处置方案；提供7×24小时的服务响应，技术人员需在15分钟内响应；电话或远程不能解决的问题，需及时派技术人员至现场服务，技术人员需在4小时内到达现场。</w:t>
      </w:r>
    </w:p>
    <w:p>
      <w:pPr>
        <w:numPr>
          <w:ilvl w:val="0"/>
          <w:numId w:val="3"/>
        </w:numPr>
        <w:spacing w:line="520" w:lineRule="exact"/>
        <w:ind w:firstLine="560" w:firstLineChars="200"/>
        <w:jc w:val="left"/>
        <w:rPr>
          <w:rFonts w:hint="eastAsia" w:ascii="仿宋_GB2312" w:hAnsi="华文仿宋" w:eastAsia="仿宋_GB2312" w:cs="Times New Roman"/>
          <w:sz w:val="28"/>
          <w:szCs w:val="28"/>
        </w:rPr>
      </w:pPr>
      <w:r>
        <w:rPr>
          <w:rFonts w:hint="eastAsia" w:ascii="仿宋_GB2312" w:hAnsi="华文仿宋" w:eastAsia="仿宋_GB2312" w:cs="Times New Roman"/>
          <w:sz w:val="28"/>
          <w:szCs w:val="28"/>
        </w:rPr>
        <w:t>人员要求（岗位要求、数量）：1个项目负责人，</w:t>
      </w:r>
      <w:r>
        <w:rPr>
          <w:rFonts w:hint="eastAsia" w:ascii="仿宋_GB2312" w:hAnsi="华文仿宋" w:eastAsia="仿宋_GB2312" w:cs="Times New Roman"/>
          <w:sz w:val="28"/>
          <w:szCs w:val="28"/>
          <w:lang w:val="en-US" w:eastAsia="zh-CN"/>
        </w:rPr>
        <w:t>4</w:t>
      </w:r>
      <w:r>
        <w:rPr>
          <w:rFonts w:hint="eastAsia" w:ascii="仿宋_GB2312" w:hAnsi="华文仿宋" w:eastAsia="仿宋_GB2312" w:cs="Times New Roman"/>
          <w:sz w:val="28"/>
          <w:szCs w:val="28"/>
        </w:rPr>
        <w:t>个团队成员</w:t>
      </w:r>
    </w:p>
    <w:p>
      <w:pPr>
        <w:numPr>
          <w:ilvl w:val="0"/>
          <w:numId w:val="3"/>
        </w:numPr>
        <w:spacing w:line="520" w:lineRule="exact"/>
        <w:ind w:firstLine="560" w:firstLineChars="200"/>
        <w:jc w:val="left"/>
        <w:rPr>
          <w:rFonts w:ascii="仿宋_GB2312" w:hAnsi="华文仿宋" w:eastAsia="仿宋_GB2312" w:cs="Times New Roman"/>
          <w:sz w:val="28"/>
          <w:szCs w:val="28"/>
        </w:rPr>
      </w:pPr>
      <w:r>
        <w:rPr>
          <w:rFonts w:hint="eastAsia" w:ascii="仿宋_GB2312" w:hAnsi="华文仿宋" w:eastAsia="仿宋_GB2312" w:cs="Times New Roman"/>
          <w:sz w:val="28"/>
          <w:szCs w:val="28"/>
        </w:rPr>
        <w:t>后续服务要求：</w:t>
      </w:r>
    </w:p>
    <w:p>
      <w:pPr>
        <w:spacing w:line="560" w:lineRule="exact"/>
        <w:ind w:firstLine="560" w:firstLineChars="200"/>
        <w:rPr>
          <w:rFonts w:ascii="仿宋_GB2312" w:hAnsi="华文仿宋" w:eastAsia="仿宋_GB2312" w:cs="Times New Roman"/>
          <w:sz w:val="28"/>
          <w:szCs w:val="28"/>
        </w:rPr>
      </w:pPr>
      <w:r>
        <w:rPr>
          <w:rFonts w:hint="eastAsia" w:ascii="仿宋_GB2312" w:hAnsi="华文仿宋" w:eastAsia="仿宋_GB2312" w:cs="Times New Roman"/>
          <w:sz w:val="28"/>
          <w:szCs w:val="28"/>
        </w:rPr>
        <w:t>1）服务期满后主动离岗；</w:t>
      </w:r>
    </w:p>
    <w:p>
      <w:pPr>
        <w:spacing w:line="560" w:lineRule="exact"/>
        <w:ind w:firstLine="560" w:firstLineChars="200"/>
        <w:rPr>
          <w:rFonts w:hint="eastAsia" w:ascii="仿宋_GB2312" w:hAnsi="华文仿宋" w:eastAsia="仿宋_GB2312" w:cs="Times New Roman"/>
          <w:sz w:val="28"/>
          <w:szCs w:val="28"/>
        </w:rPr>
      </w:pPr>
      <w:r>
        <w:rPr>
          <w:rFonts w:hint="eastAsia" w:ascii="仿宋_GB2312" w:hAnsi="华文仿宋" w:eastAsia="仿宋_GB2312" w:cs="Times New Roman"/>
          <w:sz w:val="28"/>
          <w:szCs w:val="28"/>
        </w:rPr>
        <w:t>2）与后续服务公司进行交接；</w:t>
      </w:r>
    </w:p>
    <w:p>
      <w:pPr>
        <w:numPr>
          <w:ilvl w:val="0"/>
          <w:numId w:val="3"/>
        </w:numPr>
        <w:spacing w:line="520" w:lineRule="exact"/>
        <w:ind w:firstLine="560" w:firstLineChars="200"/>
        <w:jc w:val="left"/>
        <w:rPr>
          <w:rFonts w:hint="eastAsia" w:ascii="仿宋_GB2312" w:hAnsi="华文仿宋" w:eastAsia="仿宋_GB2312" w:cs="Times New Roman"/>
          <w:sz w:val="28"/>
          <w:szCs w:val="28"/>
        </w:rPr>
      </w:pPr>
      <w:r>
        <w:rPr>
          <w:rFonts w:hint="eastAsia" w:ascii="仿宋_GB2312" w:hAnsi="华文仿宋" w:eastAsia="仿宋_GB2312" w:cs="Times New Roman"/>
          <w:sz w:val="28"/>
          <w:szCs w:val="28"/>
        </w:rPr>
        <w:t>考核办法/验收方式：按照合同约定的服务期限分阶段进行验收。</w:t>
      </w:r>
    </w:p>
    <w:p>
      <w:pPr>
        <w:numPr>
          <w:ilvl w:val="0"/>
          <w:numId w:val="3"/>
        </w:numPr>
        <w:spacing w:line="560" w:lineRule="exact"/>
        <w:ind w:firstLine="560" w:firstLineChars="200"/>
        <w:jc w:val="left"/>
        <w:rPr>
          <w:rFonts w:hint="eastAsia" w:ascii="仿宋_GB2312" w:hAnsi="华文仿宋" w:eastAsia="仿宋_GB2312" w:cs="Times New Roman"/>
          <w:sz w:val="28"/>
          <w:szCs w:val="28"/>
        </w:rPr>
      </w:pPr>
      <w:r>
        <w:rPr>
          <w:rFonts w:hint="eastAsia" w:ascii="仿宋_GB2312" w:hAnsi="华文仿宋" w:eastAsia="仿宋_GB2312" w:cs="Times New Roman"/>
          <w:sz w:val="28"/>
          <w:szCs w:val="28"/>
        </w:rPr>
        <w:t>报价要求：</w:t>
      </w:r>
    </w:p>
    <w:p>
      <w:pPr>
        <w:spacing w:line="560" w:lineRule="exact"/>
        <w:jc w:val="left"/>
        <w:rPr>
          <w:rFonts w:ascii="仿宋_GB2312" w:hAnsi="华文仿宋" w:eastAsia="仿宋_GB2312" w:cs="Times New Roman"/>
          <w:sz w:val="28"/>
          <w:szCs w:val="28"/>
        </w:rPr>
      </w:pPr>
      <w:r>
        <w:rPr>
          <w:rFonts w:hint="eastAsia" w:ascii="仿宋_GB2312" w:hAnsi="华文仿宋" w:eastAsia="仿宋_GB2312" w:cs="Times New Roman"/>
          <w:sz w:val="28"/>
          <w:szCs w:val="28"/>
        </w:rPr>
        <w:t xml:space="preserve">    </w:t>
      </w:r>
      <w:r>
        <w:rPr>
          <w:rFonts w:hint="eastAsia" w:ascii="仿宋_GB2312" w:hAnsi="华文仿宋" w:eastAsia="仿宋_GB2312" w:cs="Times New Roman"/>
          <w:b/>
          <w:bCs/>
          <w:color w:val="0000FF"/>
          <w:sz w:val="28"/>
          <w:szCs w:val="28"/>
          <w:lang w:val="en-US" w:eastAsia="zh-CN"/>
        </w:rPr>
        <w:t>本项目报投标总价</w:t>
      </w:r>
      <w:r>
        <w:rPr>
          <w:rFonts w:hint="eastAsia" w:ascii="仿宋_GB2312" w:hAnsi="华文仿宋" w:eastAsia="仿宋_GB2312" w:cs="Times New Roman"/>
          <w:sz w:val="28"/>
          <w:szCs w:val="28"/>
          <w:lang w:val="en-US" w:eastAsia="zh-CN"/>
        </w:rPr>
        <w:t>，</w:t>
      </w:r>
      <w:r>
        <w:rPr>
          <w:rFonts w:hint="eastAsia" w:ascii="仿宋_GB2312" w:hAnsi="华文仿宋" w:eastAsia="仿宋_GB2312" w:cs="Times New Roman"/>
          <w:sz w:val="28"/>
          <w:szCs w:val="28"/>
        </w:rPr>
        <w:t>投标总价必须是完成该项目的一切费用总和，包括投标费、设备费、运输费、装卸费、保险费、技术培训费、设备安装费、调试费、国家规定的各项税费等。</w:t>
      </w:r>
    </w:p>
    <w:p>
      <w:pPr>
        <w:spacing w:line="560" w:lineRule="exact"/>
        <w:jc w:val="left"/>
        <w:rPr>
          <w:rFonts w:ascii="仿宋_GB2312" w:hAnsi="华文仿宋" w:eastAsia="仿宋_GB2312" w:cs="Times New Roman"/>
          <w:sz w:val="28"/>
          <w:szCs w:val="28"/>
        </w:rPr>
      </w:pPr>
      <w:r>
        <w:rPr>
          <w:rFonts w:hint="eastAsia" w:ascii="仿宋_GB2312" w:hAnsi="华文仿宋" w:eastAsia="仿宋_GB2312" w:cs="Times New Roman"/>
          <w:sz w:val="28"/>
          <w:szCs w:val="28"/>
        </w:rPr>
        <w:t xml:space="preserve">    本项目最高限价：人民币</w:t>
      </w:r>
      <w:r>
        <w:rPr>
          <w:rFonts w:hint="eastAsia" w:ascii="仿宋_GB2312" w:hAnsi="华文仿宋" w:eastAsia="仿宋_GB2312" w:cs="Times New Roman"/>
          <w:sz w:val="28"/>
          <w:szCs w:val="28"/>
          <w:lang w:val="en-US" w:eastAsia="zh-CN"/>
        </w:rPr>
        <w:t>22.5</w:t>
      </w:r>
      <w:r>
        <w:rPr>
          <w:rFonts w:hint="eastAsia" w:ascii="仿宋_GB2312" w:hAnsi="华文仿宋" w:eastAsia="仿宋_GB2312" w:cs="Times New Roman"/>
          <w:sz w:val="28"/>
          <w:szCs w:val="28"/>
        </w:rPr>
        <w:t>万元，供应商超过此报价将导致废标。</w:t>
      </w:r>
    </w:p>
    <w:p>
      <w:pPr>
        <w:numPr>
          <w:ilvl w:val="0"/>
          <w:numId w:val="3"/>
        </w:numPr>
        <w:spacing w:line="560" w:lineRule="exact"/>
        <w:ind w:firstLine="560" w:firstLineChars="200"/>
        <w:jc w:val="left"/>
        <w:rPr>
          <w:rFonts w:hint="eastAsia" w:ascii="仿宋_GB2312" w:hAnsi="华文仿宋" w:eastAsia="仿宋_GB2312" w:cs="Times New Roman"/>
          <w:sz w:val="28"/>
          <w:szCs w:val="28"/>
        </w:rPr>
      </w:pPr>
      <w:r>
        <w:rPr>
          <w:rFonts w:hint="eastAsia" w:ascii="仿宋_GB2312" w:hAnsi="华文仿宋" w:eastAsia="仿宋_GB2312" w:cs="Times New Roman"/>
          <w:sz w:val="28"/>
          <w:szCs w:val="28"/>
        </w:rPr>
        <w:t>付款方式：</w:t>
      </w:r>
    </w:p>
    <w:p>
      <w:pPr>
        <w:numPr>
          <w:ilvl w:val="0"/>
          <w:numId w:val="0"/>
        </w:numPr>
        <w:spacing w:line="560" w:lineRule="exact"/>
        <w:ind w:firstLine="560" w:firstLineChars="200"/>
        <w:jc w:val="left"/>
        <w:rPr>
          <w:rFonts w:hint="eastAsia" w:ascii="仿宋_GB2312" w:hAnsi="华文仿宋" w:eastAsia="仿宋_GB2312" w:cs="Times New Roman"/>
          <w:sz w:val="28"/>
          <w:szCs w:val="28"/>
        </w:rPr>
      </w:pPr>
      <w:r>
        <w:rPr>
          <w:rFonts w:hint="eastAsia" w:ascii="仿宋_GB2312" w:hAnsi="华文仿宋" w:eastAsia="仿宋_GB2312" w:cs="Times New Roman"/>
          <w:sz w:val="28"/>
          <w:szCs w:val="28"/>
        </w:rPr>
        <w:t>分期付款：采购人在合同签订后，且收到中标人提供符合规定发票后10个工作日内支付合同总额的</w:t>
      </w:r>
      <w:r>
        <w:rPr>
          <w:rFonts w:hint="eastAsia" w:ascii="仿宋_GB2312" w:hAnsi="华文仿宋" w:eastAsia="仿宋_GB2312" w:cs="Times New Roman"/>
          <w:sz w:val="28"/>
          <w:szCs w:val="28"/>
          <w:lang w:val="en-US" w:eastAsia="zh-CN"/>
        </w:rPr>
        <w:t>70%</w:t>
      </w:r>
      <w:r>
        <w:rPr>
          <w:rFonts w:hint="eastAsia" w:ascii="仿宋_GB2312" w:hAnsi="华文仿宋" w:eastAsia="仿宋_GB2312" w:cs="Times New Roman"/>
          <w:sz w:val="28"/>
          <w:szCs w:val="28"/>
        </w:rPr>
        <w:t>作为首期款</w:t>
      </w:r>
      <w:r>
        <w:rPr>
          <w:rFonts w:hint="eastAsia" w:ascii="仿宋_GB2312" w:hAnsi="华文仿宋" w:eastAsia="仿宋_GB2312" w:cs="Times New Roman"/>
          <w:sz w:val="28"/>
          <w:szCs w:val="28"/>
          <w:lang w:eastAsia="zh-CN"/>
        </w:rPr>
        <w:t>。</w:t>
      </w:r>
      <w:r>
        <w:rPr>
          <w:rFonts w:hint="eastAsia" w:ascii="仿宋_GB2312" w:hAnsi="华文仿宋" w:eastAsia="仿宋_GB2312" w:cs="Times New Roman"/>
          <w:sz w:val="28"/>
          <w:szCs w:val="28"/>
          <w:lang w:val="en-US" w:eastAsia="zh-CN"/>
        </w:rPr>
        <w:t>项目最终验收通过后</w:t>
      </w:r>
      <w:r>
        <w:rPr>
          <w:rFonts w:hint="eastAsia" w:ascii="仿宋_GB2312" w:hAnsi="华文仿宋" w:eastAsia="仿宋_GB2312" w:cs="Times New Roman"/>
          <w:sz w:val="28"/>
          <w:szCs w:val="28"/>
          <w:lang w:eastAsia="zh-CN"/>
        </w:rPr>
        <w:t>，</w:t>
      </w:r>
      <w:r>
        <w:rPr>
          <w:rFonts w:hint="eastAsia" w:ascii="仿宋_GB2312" w:hAnsi="华文仿宋" w:eastAsia="仿宋_GB2312" w:cs="Times New Roman"/>
          <w:sz w:val="28"/>
          <w:szCs w:val="28"/>
        </w:rPr>
        <w:t>收到中标人提供符合规定发票后10个工作日内支付合同总额的</w:t>
      </w:r>
      <w:r>
        <w:rPr>
          <w:rFonts w:hint="eastAsia" w:ascii="仿宋_GB2312" w:hAnsi="华文仿宋" w:eastAsia="仿宋_GB2312" w:cs="Times New Roman"/>
          <w:sz w:val="28"/>
          <w:szCs w:val="28"/>
          <w:lang w:val="en-US" w:eastAsia="zh-CN"/>
        </w:rPr>
        <w:t>30</w:t>
      </w:r>
      <w:r>
        <w:rPr>
          <w:rFonts w:hint="eastAsia" w:ascii="仿宋_GB2312" w:hAnsi="华文仿宋" w:eastAsia="仿宋_GB2312" w:cs="Times New Roman"/>
          <w:sz w:val="28"/>
          <w:szCs w:val="28"/>
        </w:rPr>
        <w:t>%作为</w:t>
      </w:r>
      <w:r>
        <w:rPr>
          <w:rFonts w:hint="eastAsia" w:ascii="仿宋_GB2312" w:hAnsi="华文仿宋" w:eastAsia="仿宋_GB2312" w:cs="Times New Roman"/>
          <w:sz w:val="28"/>
          <w:szCs w:val="28"/>
          <w:lang w:eastAsia="zh-CN"/>
        </w:rPr>
        <w:t>尾款。</w:t>
      </w:r>
    </w:p>
    <w:p/>
    <w:p>
      <w:pPr>
        <w:pStyle w:val="7"/>
        <w:spacing w:before="120" w:beforeLines="50" w:after="120" w:afterLines="50"/>
        <w:jc w:val="center"/>
        <w:rPr>
          <w:szCs w:val="24"/>
        </w:rPr>
      </w:pPr>
      <w:r>
        <w:rPr>
          <w:rFonts w:hint="eastAsia"/>
          <w:szCs w:val="24"/>
          <w:lang w:val="en-US" w:eastAsia="zh-CN"/>
        </w:rPr>
        <w:t>六</w:t>
      </w:r>
      <w:r>
        <w:rPr>
          <w:rFonts w:hint="eastAsia"/>
          <w:szCs w:val="24"/>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pPr>
        <w:pStyle w:val="8"/>
        <w:spacing w:before="60" w:beforeLines="25" w:after="60" w:afterLines="25"/>
        <w:ind w:firstLine="392" w:firstLineChars="187"/>
        <w:rPr>
          <w:rFonts w:ascii="宋体" w:hAnsi="宋体"/>
          <w:szCs w:val="21"/>
        </w:rPr>
      </w:pPr>
    </w:p>
    <w:p>
      <w:pPr>
        <w:pStyle w:val="8"/>
        <w:spacing w:before="60" w:beforeLines="25" w:after="60" w:afterLines="25"/>
        <w:ind w:firstLine="392" w:firstLineChars="187"/>
        <w:rPr>
          <w:rFonts w:ascii="宋体" w:hAnsi="宋体"/>
          <w:szCs w:val="21"/>
        </w:rPr>
      </w:pPr>
    </w:p>
    <w:p>
      <w:pPr>
        <w:pStyle w:val="8"/>
        <w:spacing w:before="60" w:beforeLines="25" w:after="60" w:afterLines="25"/>
        <w:ind w:firstLine="392" w:firstLineChars="187"/>
        <w:rPr>
          <w:rFonts w:ascii="宋体" w:hAnsi="宋体"/>
          <w:szCs w:val="21"/>
        </w:rPr>
      </w:pPr>
    </w:p>
    <w:p>
      <w:r>
        <w:rPr>
          <w:rFonts w:hint="eastAsia"/>
        </w:rPr>
        <w:br w:type="page"/>
      </w:r>
    </w:p>
    <w:p>
      <w:pPr>
        <w:pStyle w:val="7"/>
        <w:jc w:val="center"/>
        <w:rPr>
          <w:kern w:val="2"/>
        </w:rPr>
      </w:pPr>
      <w:r>
        <w:rPr>
          <w:rFonts w:hint="eastAsia"/>
          <w:kern w:val="2"/>
        </w:rPr>
        <w:t>第四章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pPr>
        <w:ind w:firstLine="480" w:firstLineChars="200"/>
        <w:rPr>
          <w:rFonts w:ascii="仿宋_GB2312" w:eastAsia="仿宋_GB2312"/>
          <w:sz w:val="24"/>
        </w:rPr>
      </w:pPr>
    </w:p>
    <w:p>
      <w:pPr>
        <w:ind w:firstLine="482" w:firstLineChars="200"/>
        <w:rPr>
          <w:rFonts w:ascii="宋体" w:hAnsi="宋体"/>
          <w:b/>
          <w:sz w:val="24"/>
        </w:rPr>
      </w:pPr>
    </w:p>
    <w:p>
      <w:pPr>
        <w:rPr>
          <w:rFonts w:ascii="宋体" w:hAnsi="宋体"/>
          <w:sz w:val="24"/>
        </w:rPr>
      </w:pPr>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33" w:name="_Hlk72070784"/>
      <w:r>
        <w:rPr>
          <w:rFonts w:hint="eastAsia"/>
          <w:szCs w:val="21"/>
        </w:rPr>
        <w:t>投标函</w:t>
      </w:r>
      <w:bookmarkEnd w:id="33"/>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highlight w:val="yellow"/>
        </w:rPr>
      </w:pPr>
      <w:r>
        <w:rPr>
          <w:rFonts w:hint="eastAsia"/>
          <w:szCs w:val="21"/>
        </w:rPr>
        <w:t>（</w:t>
      </w:r>
      <w:r>
        <w:rPr>
          <w:rFonts w:hint="eastAsia"/>
          <w:szCs w:val="21"/>
          <w:lang w:val="en-US" w:eastAsia="zh-CN"/>
        </w:rPr>
        <w:t>5</w:t>
      </w:r>
      <w:r>
        <w:rPr>
          <w:rFonts w:hint="eastAsia"/>
          <w:szCs w:val="21"/>
        </w:rPr>
        <w:t>）</w:t>
      </w:r>
      <w:r>
        <w:rPr>
          <w:rFonts w:hint="eastAsia"/>
          <w:szCs w:val="21"/>
          <w:highlight w:val="yellow"/>
        </w:rPr>
        <w:t>投标人资格情况及通过相关认证情况</w:t>
      </w:r>
    </w:p>
    <w:p>
      <w:pPr>
        <w:ind w:left="718" w:leftChars="342" w:firstLine="1417" w:firstLineChars="675"/>
        <w:rPr>
          <w:rFonts w:hint="eastAsia"/>
          <w:szCs w:val="21"/>
          <w:lang w:eastAsia="zh-CN"/>
        </w:rPr>
      </w:pPr>
      <w:r>
        <w:rPr>
          <w:rFonts w:hint="eastAsia"/>
          <w:szCs w:val="21"/>
          <w:highlight w:val="yellow"/>
          <w:lang w:eastAsia="zh-CN"/>
        </w:rPr>
        <w:t>（</w:t>
      </w:r>
      <w:r>
        <w:rPr>
          <w:rFonts w:hint="eastAsia"/>
          <w:szCs w:val="21"/>
          <w:highlight w:val="yellow"/>
          <w:lang w:val="en-US" w:eastAsia="zh-CN"/>
        </w:rPr>
        <w:t>6</w:t>
      </w:r>
      <w:r>
        <w:rPr>
          <w:rFonts w:hint="eastAsia"/>
          <w:szCs w:val="21"/>
          <w:highlight w:val="yellow"/>
          <w:lang w:eastAsia="zh-CN"/>
        </w:rPr>
        <w:t>）</w:t>
      </w:r>
      <w:r>
        <w:rPr>
          <w:rFonts w:hint="eastAsia"/>
          <w:szCs w:val="21"/>
          <w:highlight w:val="yellow"/>
        </w:rPr>
        <w:t>投标人同类项目业绩情况</w:t>
      </w:r>
      <w:r>
        <w:rPr>
          <w:rFonts w:hint="eastAsia"/>
          <w:szCs w:val="21"/>
          <w:lang w:eastAsia="zh-CN"/>
        </w:rPr>
        <w:t>；</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7</w:t>
      </w:r>
      <w:r>
        <w:rPr>
          <w:rFonts w:hint="eastAsia"/>
          <w:szCs w:val="21"/>
          <w:highlight w:val="yellow"/>
          <w:lang w:eastAsia="zh-CN"/>
        </w:rPr>
        <w:t>）</w:t>
      </w:r>
      <w:r>
        <w:rPr>
          <w:rFonts w:hint="eastAsia"/>
          <w:szCs w:val="21"/>
          <w:highlight w:val="yellow"/>
        </w:rPr>
        <w:t>投标人认为需要加以说明的其他内容</w:t>
      </w:r>
      <w:r>
        <w:rPr>
          <w:rFonts w:hint="eastAsia"/>
          <w:szCs w:val="21"/>
          <w:highlight w:val="yellow"/>
          <w:lang w:eastAsia="zh-CN"/>
        </w:rPr>
        <w:t>（</w:t>
      </w:r>
      <w:r>
        <w:rPr>
          <w:rFonts w:hint="eastAsia"/>
          <w:szCs w:val="21"/>
          <w:highlight w:val="yellow"/>
          <w:lang w:val="en-US" w:eastAsia="zh-CN"/>
        </w:rPr>
        <w:t>公开</w:t>
      </w:r>
      <w:r>
        <w:rPr>
          <w:rFonts w:hint="eastAsia"/>
          <w:szCs w:val="21"/>
          <w:highlight w:val="yellow"/>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szCs w:val="21"/>
          <w:highlight w:val="yellow"/>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highlight w:val="yellow"/>
          <w:lang w:eastAsia="zh-CN"/>
        </w:rPr>
        <w:t>实施方案评价</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6</w:t>
      </w:r>
      <w:r>
        <w:rPr>
          <w:rFonts w:hint="eastAsia"/>
          <w:szCs w:val="21"/>
          <w:highlight w:val="yellow"/>
          <w:lang w:eastAsia="zh-CN"/>
        </w:rPr>
        <w:t>）项目重点难点分析、应对措施及相关的合理化建议</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7</w:t>
      </w:r>
      <w:r>
        <w:rPr>
          <w:rFonts w:hint="eastAsia"/>
          <w:szCs w:val="21"/>
          <w:highlight w:val="yellow"/>
          <w:lang w:eastAsia="zh-CN"/>
        </w:rPr>
        <w:t>）质量保证措施</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8</w:t>
      </w:r>
      <w:r>
        <w:rPr>
          <w:rFonts w:hint="eastAsia"/>
          <w:szCs w:val="21"/>
          <w:highlight w:val="yellow"/>
          <w:lang w:eastAsia="zh-CN"/>
        </w:rPr>
        <w:t>）拟派项目负责人（仅限一人）</w:t>
      </w:r>
    </w:p>
    <w:p>
      <w:pPr>
        <w:ind w:left="718" w:leftChars="342" w:firstLine="1417" w:firstLineChars="675"/>
        <w:rPr>
          <w:rFonts w:hint="eastAsia" w:eastAsia="宋体"/>
          <w:szCs w:val="21"/>
          <w:highlight w:val="yellow"/>
          <w:lang w:eastAsia="zh-CN"/>
        </w:rPr>
      </w:pPr>
      <w:r>
        <w:rPr>
          <w:rFonts w:hint="eastAsia"/>
          <w:szCs w:val="21"/>
          <w:highlight w:val="yellow"/>
          <w:lang w:eastAsia="zh-CN"/>
        </w:rPr>
        <w:t>（</w:t>
      </w:r>
      <w:r>
        <w:rPr>
          <w:rFonts w:hint="eastAsia"/>
          <w:szCs w:val="21"/>
          <w:highlight w:val="yellow"/>
          <w:lang w:val="en-US" w:eastAsia="zh-CN"/>
        </w:rPr>
        <w:t>9</w:t>
      </w:r>
      <w:r>
        <w:rPr>
          <w:rFonts w:hint="eastAsia"/>
          <w:szCs w:val="21"/>
          <w:highlight w:val="yellow"/>
          <w:lang w:eastAsia="zh-CN"/>
        </w:rPr>
        <w:t>）拟安排的项目团队成员(不含项目负责人）情况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pPr>
        <w:rPr>
          <w:rFonts w:ascii="仿宋_GB2312" w:eastAsia="仿宋_GB2312"/>
          <w:sz w:val="24"/>
        </w:rPr>
      </w:pPr>
    </w:p>
    <w:p>
      <w:pPr>
        <w:rPr>
          <w:rFonts w:ascii="宋体" w:hAnsi="宋体"/>
          <w:b/>
          <w:szCs w:val="21"/>
        </w:rPr>
      </w:pPr>
      <w:bookmarkStart w:id="103" w:name="_GoBack"/>
      <w:bookmarkEnd w:id="103"/>
    </w:p>
    <w:p>
      <w:pPr>
        <w:rPr>
          <w:rFonts w:ascii="宋体" w:hAnsi="宋体"/>
          <w:b/>
          <w:szCs w:val="21"/>
        </w:rPr>
      </w:pPr>
    </w:p>
    <w:p>
      <w:pPr>
        <w:jc w:val="left"/>
        <w:rPr>
          <w:rFonts w:ascii="宋体" w:hAnsi="宋体"/>
          <w:b/>
          <w:color w:val="FF0000"/>
          <w:sz w:val="36"/>
          <w:szCs w:val="36"/>
        </w:rPr>
      </w:pPr>
      <w:r>
        <w:rPr>
          <w:rFonts w:hint="eastAsia" w:ascii="宋体" w:hAnsi="宋体"/>
          <w:b/>
          <w:color w:val="FF0000"/>
          <w:sz w:val="36"/>
          <w:szCs w:val="36"/>
        </w:rPr>
        <w:br w:type="page"/>
      </w: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kern w:val="0"/>
          <w:sz w:val="24"/>
        </w:rPr>
      </w:pPr>
      <w:r>
        <w:rPr>
          <w:rFonts w:hint="eastAsia" w:ascii="黑体" w:eastAsia="黑体"/>
          <w:b w:val="0"/>
          <w:kern w:val="0"/>
          <w:sz w:val="24"/>
        </w:rPr>
        <w:t>一、投标函</w:t>
      </w:r>
    </w:p>
    <w:p>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34"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5" w:name="_Hlk72263588"/>
      <w:r>
        <w:rPr>
          <w:rFonts w:hint="eastAsia"/>
          <w:szCs w:val="21"/>
        </w:rPr>
        <w:t>愿意按照招标文件要求承包上述项目并修补其任何缺陷。</w:t>
      </w:r>
      <w:bookmarkEnd w:id="35"/>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36" w:name="_Hlk73819847"/>
      <w:r>
        <w:rPr>
          <w:rFonts w:hint="eastAsia" w:ascii="宋体" w:hAnsi="宋体"/>
          <w:szCs w:val="21"/>
        </w:rPr>
        <w:t>投标价格见</w:t>
      </w:r>
      <w:r>
        <w:rPr>
          <w:rFonts w:hint="eastAsia"/>
          <w:szCs w:val="21"/>
        </w:rPr>
        <w:t>投标书编制软件中《开标一览表》中填写的投标总价。</w:t>
      </w:r>
      <w:bookmarkEnd w:id="36"/>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4"/>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rPr>
          <w:rFonts w:ascii="宋体" w:hAnsi="宋体"/>
          <w:b/>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宋体" w:hAnsi="宋体"/>
          <w:szCs w:val="21"/>
        </w:rPr>
      </w:pPr>
    </w:p>
    <w:p>
      <w:pPr>
        <w:pStyle w:val="5"/>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pPr>
        <w:rPr>
          <w:rFonts w:ascii="宋体" w:hAnsi="宋体"/>
          <w:sz w:val="24"/>
        </w:rPr>
      </w:pPr>
    </w:p>
    <w:p>
      <w:pPr>
        <w:rPr>
          <w:rFonts w:ascii="宋体" w:hAnsi="宋体"/>
          <w:color w:val="FF0000"/>
          <w:szCs w:val="21"/>
        </w:rPr>
      </w:pPr>
      <w:bookmarkStart w:id="37"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8" w:name="_Hlk72587269"/>
      <w:bookmarkStart w:id="39"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8"/>
      <w:r>
        <w:rPr>
          <w:rFonts w:hint="eastAsia" w:ascii="宋体" w:hAnsi="宋体"/>
          <w:szCs w:val="21"/>
        </w:rPr>
        <w:t>。</w:t>
      </w:r>
    </w:p>
    <w:bookmarkEnd w:id="39"/>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7"/>
    <w:p>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pPr>
        <w:rPr>
          <w:rFonts w:ascii="宋体" w:hAnsi="宋体"/>
          <w:szCs w:val="21"/>
        </w:rPr>
      </w:pPr>
    </w:p>
    <w:p>
      <w:pPr>
        <w:rPr>
          <w:rFonts w:ascii="宋体" w:hAnsi="宋体"/>
          <w:szCs w:val="21"/>
        </w:rPr>
      </w:pPr>
    </w:p>
    <w:p/>
    <w:p/>
    <w:p>
      <w:pPr>
        <w:pStyle w:val="5"/>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ind w:firstLine="482" w:firstLineChars="200"/>
        <w:rPr>
          <w:b/>
          <w:sz w:val="24"/>
        </w:rPr>
      </w:pPr>
    </w:p>
    <w:p>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40"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40"/>
      <w:r>
        <w:rPr>
          <w:rFonts w:hint="eastAsia" w:ascii="黑体" w:hAnsi="黑体" w:eastAsia="黑体"/>
          <w:color w:val="FF0000"/>
          <w:szCs w:val="21"/>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5、本项目属于服务类项目，如包含硬件设备、产品等货物采购的，不再对其中涉及的货物制造商作出要求。</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4"/>
        </w:numPr>
        <w:jc w:val="center"/>
        <w:outlineLvl w:val="9"/>
        <w:rPr>
          <w:b/>
          <w:sz w:val="24"/>
        </w:rPr>
      </w:pPr>
      <w:r>
        <w:rPr>
          <w:b/>
          <w:sz w:val="24"/>
        </w:rPr>
        <w:t>中小企业声明函（</w:t>
      </w:r>
      <w:r>
        <w:rPr>
          <w:rFonts w:hint="eastAsia"/>
          <w:b/>
          <w:sz w:val="24"/>
        </w:rPr>
        <w:t>服务</w:t>
      </w:r>
      <w:r>
        <w:rPr>
          <w:b/>
          <w:sz w:val="24"/>
        </w:rPr>
        <w:t>）</w:t>
      </w:r>
    </w:p>
    <w:p>
      <w:pPr>
        <w:pStyle w:val="2"/>
        <w:numPr>
          <w:ilvl w:val="0"/>
          <w:numId w:val="0"/>
        </w:num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41"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41"/>
    </w:p>
    <w:p>
      <w:pPr>
        <w:ind w:firstLine="420" w:firstLineChars="200"/>
      </w:pPr>
    </w:p>
    <w:p>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pPr>
        <w:ind w:firstLine="420" w:firstLineChars="200"/>
        <w:outlineLvl w:val="9"/>
        <w:rPr>
          <w:rFonts w:ascii="宋体" w:hAnsi="宋体"/>
          <w:szCs w:val="21"/>
        </w:rPr>
      </w:pPr>
      <w:r>
        <w:rPr>
          <w:rFonts w:ascii="宋体" w:hAnsi="宋体"/>
          <w:szCs w:val="21"/>
        </w:rPr>
        <w:t xml:space="preserve">…… </w:t>
      </w:r>
    </w:p>
    <w:p>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pPr>
        <w:ind w:left="723" w:hanging="723" w:hangingChars="300"/>
        <w:rPr>
          <w:b/>
          <w:sz w:val="24"/>
        </w:rPr>
      </w:pPr>
    </w:p>
    <w:p>
      <w:pPr>
        <w:ind w:left="723" w:hanging="723" w:hangingChars="300"/>
        <w:rPr>
          <w:b/>
          <w:sz w:val="24"/>
        </w:rPr>
      </w:pPr>
    </w:p>
    <w:p>
      <w:pPr>
        <w:pStyle w:val="5"/>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9"/>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说明</w:t>
            </w:r>
          </w:p>
        </w:tc>
      </w:tr>
      <w:tr>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合计(元)</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以上各项之和</w:t>
            </w:r>
          </w:p>
        </w:tc>
      </w:tr>
    </w:tbl>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注：</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1、此表可延长，各投标人根据本项目实际涉及的所有支出项情况修改后填写。本表如有缺漏项，由投标人自行承担。</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2、中标人签订合同前将详细的《分项报价表》递交采购单位，经采购单位审核同意后方可实施。</w:t>
      </w:r>
    </w:p>
    <w:p>
      <w:pPr>
        <w:pStyle w:val="2"/>
        <w:rPr>
          <w:rFonts w:hint="default" w:asciiTheme="minorEastAsia" w:hAnsiTheme="minorEastAsia" w:eastAsiaTheme="minorEastAsia" w:cstheme="minorEastAsia"/>
          <w:b w:val="0"/>
          <w:bCs w:val="0"/>
          <w:color w:val="auto"/>
          <w:kern w:val="2"/>
          <w:sz w:val="20"/>
          <w:szCs w:val="20"/>
          <w:lang w:val="en-US" w:eastAsia="zh-CN" w:bidi="ar-SA"/>
        </w:rPr>
      </w:pPr>
      <w:r>
        <w:rPr>
          <w:rFonts w:hint="eastAsia" w:asciiTheme="minorEastAsia" w:hAnsiTheme="minorEastAsia" w:eastAsiaTheme="minorEastAsia" w:cstheme="minorEastAsia"/>
          <w:b w:val="0"/>
          <w:bCs w:val="0"/>
          <w:color w:val="auto"/>
          <w:kern w:val="2"/>
          <w:sz w:val="20"/>
          <w:szCs w:val="20"/>
          <w:lang w:val="en-US" w:eastAsia="zh-CN" w:bidi="ar-SA"/>
        </w:rPr>
        <w:t>3、投标人的投标报价不得超过预算金额，否则将导致投标无效。</w:t>
      </w:r>
    </w:p>
    <w:p>
      <w:pPr>
        <w:tabs>
          <w:tab w:val="left" w:pos="720"/>
        </w:tabs>
        <w:jc w:val="center"/>
        <w:rPr>
          <w:b/>
          <w:sz w:val="24"/>
        </w:rPr>
      </w:pPr>
      <w:r>
        <w:rPr>
          <w:rFonts w:hint="eastAsia"/>
          <w:b/>
          <w:sz w:val="24"/>
        </w:rPr>
        <w:t>（二）</w:t>
      </w:r>
      <w:bookmarkStart w:id="42" w:name="_Hlk72073235"/>
      <w:r>
        <w:rPr>
          <w:rFonts w:hint="eastAsia"/>
          <w:b/>
          <w:sz w:val="24"/>
        </w:rPr>
        <w:t>投标人认为需要涉及的其他内容报价清单</w:t>
      </w:r>
      <w:bookmarkEnd w:id="42"/>
    </w:p>
    <w:p>
      <w:pPr>
        <w:rPr>
          <w:b/>
          <w:bCs/>
        </w:rPr>
      </w:pPr>
    </w:p>
    <w:p/>
    <w:p>
      <w:pPr>
        <w:pStyle w:val="2"/>
        <w:ind w:firstLine="0" w:firstLineChars="0"/>
      </w:pPr>
    </w:p>
    <w:p>
      <w:pPr>
        <w:pStyle w:val="3"/>
        <w:rPr>
          <w:rFonts w:hint="eastAsia"/>
        </w:rPr>
      </w:pPr>
      <w:r>
        <w:rPr>
          <w:rFonts w:hint="eastAsia"/>
          <w:lang w:val="en-US" w:eastAsia="zh-CN"/>
        </w:rPr>
        <w:t>五、</w:t>
      </w:r>
      <w:r>
        <w:rPr>
          <w:rFonts w:hint="eastAsia"/>
        </w:rPr>
        <w:t>投标人资格情况及通过相关认证情况</w:t>
      </w:r>
    </w:p>
    <w:p>
      <w:pPr>
        <w:pStyle w:val="3"/>
      </w:pPr>
      <w:r>
        <w:rPr>
          <w:rFonts w:hint="eastAsia"/>
          <w:lang w:val="en-US" w:eastAsia="zh-CN"/>
        </w:rPr>
        <w:t>六、</w:t>
      </w:r>
      <w:r>
        <w:rPr>
          <w:rFonts w:hint="eastAsia"/>
        </w:rPr>
        <w:t>投标人同类项目业绩情况</w:t>
      </w:r>
    </w:p>
    <w:p>
      <w:pPr>
        <w:pStyle w:val="3"/>
      </w:pPr>
    </w:p>
    <w:p>
      <w:pPr>
        <w:ind w:firstLine="630" w:firstLineChars="300"/>
        <w:rPr>
          <w:sz w:val="24"/>
        </w:rPr>
      </w:pPr>
      <w:r>
        <w:t xml:space="preserve"> </w:t>
      </w:r>
    </w:p>
    <w:p/>
    <w:p/>
    <w:p>
      <w:pPr>
        <w:ind w:firstLine="1446" w:firstLineChars="600"/>
        <w:rPr>
          <w:b/>
          <w:color w:val="FF0000"/>
          <w:sz w:val="24"/>
        </w:rPr>
      </w:pPr>
      <w:r>
        <w:rPr>
          <w:rFonts w:hint="eastAsia"/>
          <w:b/>
          <w:color w:val="FF0000"/>
          <w:sz w:val="24"/>
        </w:rPr>
        <w:t>（信息公开部分的内容到此为止！以下为信息不公开部分。）</w:t>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rPr>
          <w:rFonts w:ascii="仿宋_GB2312" w:eastAsia="仿宋_GB2312"/>
          <w:b/>
          <w:sz w:val="30"/>
          <w:szCs w:val="30"/>
        </w:rPr>
      </w:pPr>
      <w:r>
        <w:rPr>
          <w:rFonts w:hint="eastAsia" w:ascii="仿宋_GB2312" w:eastAsia="仿宋_GB2312"/>
          <w:b/>
          <w:sz w:val="30"/>
          <w:szCs w:val="30"/>
        </w:rPr>
        <w:br w:type="page"/>
      </w:r>
    </w:p>
    <w:p>
      <w:pPr>
        <w:outlineLvl w:val="1"/>
        <w:rPr>
          <w:rFonts w:ascii="宋体" w:hAnsi="宋体"/>
          <w:b/>
          <w:color w:val="FF0000"/>
          <w:sz w:val="28"/>
          <w:szCs w:val="28"/>
        </w:rPr>
      </w:pPr>
      <w:r>
        <w:rPr>
          <w:rFonts w:hint="eastAsia" w:ascii="宋体" w:hAnsi="宋体"/>
          <w:b/>
          <w:color w:val="FF0000"/>
          <w:sz w:val="28"/>
          <w:szCs w:val="28"/>
        </w:rPr>
        <w:t>投标文件附件（信息不公开部分）</w:t>
      </w:r>
    </w:p>
    <w:p>
      <w:pPr>
        <w:pStyle w:val="5"/>
        <w:jc w:val="center"/>
        <w:rPr>
          <w:sz w:val="24"/>
        </w:rPr>
      </w:pPr>
      <w:r>
        <w:rPr>
          <w:rFonts w:hint="eastAsia" w:ascii="黑体" w:eastAsia="黑体"/>
          <w:b w:val="0"/>
          <w:sz w:val="24"/>
        </w:rPr>
        <w:t>一、</w:t>
      </w:r>
      <w:bookmarkStart w:id="43" w:name="_Hlk72092499"/>
      <w:r>
        <w:rPr>
          <w:rFonts w:hint="eastAsia" w:ascii="黑体" w:eastAsia="黑体"/>
          <w:b w:val="0"/>
          <w:sz w:val="24"/>
        </w:rPr>
        <w:t>供应商基本情况表</w:t>
      </w:r>
      <w:bookmarkEnd w:id="43"/>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pStyle w:val="5"/>
        <w:spacing w:before="120" w:after="120"/>
        <w:jc w:val="center"/>
        <w:rPr>
          <w:rFonts w:ascii="黑体" w:eastAsia="黑体"/>
          <w:b w:val="0"/>
          <w:sz w:val="24"/>
        </w:rPr>
      </w:pPr>
      <w:r>
        <w:rPr>
          <w:rFonts w:hint="eastAsia" w:ascii="黑体" w:eastAsia="黑体"/>
          <w:b w:val="0"/>
          <w:sz w:val="24"/>
        </w:rPr>
        <w:t>二、法定代表人（负责人）证明书</w:t>
      </w:r>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5"/>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5"/>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both"/>
              <w:rPr>
                <w:rFonts w:hint="eastAsia"/>
                <w:lang w:val="en-US" w:eastAsia="zh-CN"/>
              </w:rPr>
            </w:pPr>
          </w:p>
          <w:p>
            <w:pPr>
              <w:pStyle w:val="3"/>
              <w:rPr>
                <w:rFonts w:hint="eastAsia"/>
                <w:lang w:val="en-US" w:eastAsia="zh-CN"/>
              </w:rPr>
            </w:pPr>
          </w:p>
          <w:p>
            <w:pPr>
              <w:pStyle w:val="3"/>
              <w:rPr>
                <w:rFonts w:hint="default"/>
                <w:lang w:val="en-US" w:eastAsia="zh-CN"/>
              </w:rPr>
            </w:pPr>
          </w:p>
          <w:p>
            <w:pPr>
              <w:pStyle w:val="3"/>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3"/>
              <w:jc w:val="center"/>
              <w:rPr>
                <w:rFonts w:hint="eastAsia"/>
                <w:sz w:val="24"/>
                <w:vertAlign w:val="baseline"/>
                <w:lang w:val="en-US" w:eastAsia="zh-CN"/>
              </w:rPr>
            </w:pPr>
          </w:p>
        </w:tc>
      </w:tr>
    </w:tbl>
    <w:p>
      <w:pPr>
        <w:pStyle w:val="38"/>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both"/>
              <w:rPr>
                <w:rFonts w:hint="eastAsia"/>
                <w:lang w:val="en-US" w:eastAsia="zh-CN"/>
              </w:rPr>
            </w:pPr>
          </w:p>
          <w:p>
            <w:pPr>
              <w:pStyle w:val="3"/>
              <w:rPr>
                <w:rFonts w:hint="eastAsia"/>
                <w:lang w:val="en-US" w:eastAsia="zh-CN"/>
              </w:rPr>
            </w:pPr>
          </w:p>
          <w:p>
            <w:pPr>
              <w:pStyle w:val="3"/>
              <w:rPr>
                <w:rFonts w:hint="default"/>
                <w:lang w:val="en-US" w:eastAsia="zh-CN"/>
              </w:rPr>
            </w:pPr>
          </w:p>
          <w:p>
            <w:pPr>
              <w:pStyle w:val="3"/>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3"/>
              <w:jc w:val="center"/>
              <w:rPr>
                <w:rFonts w:hint="eastAsia"/>
                <w:sz w:val="24"/>
                <w:vertAlign w:val="baseline"/>
                <w:lang w:val="en-US" w:eastAsia="zh-CN"/>
              </w:rPr>
            </w:pPr>
          </w:p>
        </w:tc>
      </w:tr>
    </w:tbl>
    <w:p>
      <w:pPr>
        <w:pStyle w:val="38"/>
        <w:rPr>
          <w:rFonts w:hint="eastAsia" w:ascii="黑体" w:hAnsi="黑体" w:eastAsia="黑体" w:cs="黑体"/>
          <w:b/>
          <w:bCs/>
          <w:color w:val="auto"/>
          <w:sz w:val="24"/>
          <w:szCs w:val="24"/>
          <w:u w:val="none"/>
          <w:lang w:val="en-US" w:eastAsia="zh-CN"/>
        </w:rPr>
      </w:pPr>
    </w:p>
    <w:p>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16"/>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pPr>
        <w:pStyle w:val="16"/>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4" w:name="_Hlk72092634"/>
      <w:r>
        <w:rPr>
          <w:rFonts w:hint="eastAsia" w:ascii="黑体" w:eastAsia="黑体"/>
          <w:b w:val="0"/>
          <w:kern w:val="0"/>
          <w:sz w:val="24"/>
          <w:szCs w:val="24"/>
        </w:rPr>
        <w:t>实质性条款响应情况表</w:t>
      </w:r>
      <w:bookmarkEnd w:id="44"/>
    </w:p>
    <w:p>
      <w:pPr>
        <w:pStyle w:val="38"/>
      </w:pP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45" w:name="_Hlk72092651"/>
            <w:r>
              <w:rPr>
                <w:rFonts w:hint="eastAsia" w:ascii="宋体" w:hAnsi="宋体"/>
                <w:kern w:val="0"/>
                <w:szCs w:val="21"/>
              </w:rPr>
              <w:t>序号</w:t>
            </w:r>
          </w:p>
        </w:tc>
        <w:tc>
          <w:tcPr>
            <w:tcW w:w="2788"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pPr>
        <w:pStyle w:val="38"/>
        <w:sectPr>
          <w:pgSz w:w="11907" w:h="16840"/>
          <w:pgMar w:top="1440" w:right="1797" w:bottom="1440" w:left="1797" w:header="851" w:footer="992" w:gutter="0"/>
          <w:cols w:space="425" w:num="1"/>
          <w:titlePg/>
          <w:docGrid w:linePitch="462" w:charSpace="0"/>
        </w:sectPr>
      </w:pPr>
    </w:p>
    <w:p>
      <w:pPr>
        <w:jc w:val="cente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五、实施方案评价</w:t>
      </w:r>
    </w:p>
    <w:p>
      <w:pPr>
        <w:jc w:val="cente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六、项目重点难点分析、应对措施及相关的合理化建议</w:t>
      </w:r>
    </w:p>
    <w:p>
      <w:pPr>
        <w:jc w:val="cente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七、质量保证措施</w:t>
      </w:r>
    </w:p>
    <w:p>
      <w:pPr>
        <w:jc w:val="cente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八、拟派项目负责人（仅限一人）</w:t>
      </w:r>
    </w:p>
    <w:p>
      <w:pPr>
        <w:jc w:val="cente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九、拟安排的项目团队成员(不含项目负责人）情况</w:t>
      </w:r>
    </w:p>
    <w:p>
      <w:pPr>
        <w:pStyle w:val="5"/>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46" w:name="_Hlk72062872"/>
      <w:r>
        <w:rPr>
          <w:rFonts w:hint="eastAsia" w:ascii="黑体" w:eastAsia="黑体"/>
          <w:b w:val="0"/>
          <w:bCs w:val="0"/>
          <w:sz w:val="24"/>
          <w:szCs w:val="20"/>
        </w:rPr>
        <w:t>投标人认为需要加以说明的其他内容</w:t>
      </w:r>
      <w:bookmarkEnd w:id="46"/>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pPr>
        <w:widowControl/>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autoSpaceDE w:val="0"/>
        <w:autoSpaceDN w:val="0"/>
        <w:spacing w:line="400" w:lineRule="exact"/>
        <w:ind w:right="1414" w:firstLine="480" w:firstLineChars="200"/>
        <w:jc w:val="right"/>
        <w:rPr>
          <w:rFonts w:eastAsiaTheme="minorEastAsia"/>
          <w:kern w:val="0"/>
          <w:sz w:val="24"/>
        </w:rPr>
      </w:pPr>
    </w:p>
    <w:p>
      <w:pPr>
        <w:widowControl/>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
      <w:pPr>
        <w:pStyle w:val="2"/>
        <w:sectPr>
          <w:pgSz w:w="11907" w:h="16840"/>
          <w:pgMar w:top="1440" w:right="1797" w:bottom="1440" w:left="1797" w:header="851" w:footer="992" w:gutter="0"/>
          <w:cols w:space="425" w:num="1"/>
          <w:titlePg/>
          <w:docGrid w:linePitch="462" w:charSpace="0"/>
        </w:sectPr>
      </w:pPr>
    </w:p>
    <w:p>
      <w:pPr>
        <w:pStyle w:val="2"/>
      </w:pPr>
    </w:p>
    <w:p>
      <w:pPr>
        <w:pStyle w:val="7"/>
        <w:jc w:val="center"/>
        <w:outlineLvl w:val="2"/>
      </w:pPr>
      <w:r>
        <w:rPr>
          <w:rFonts w:hint="eastAsia"/>
        </w:rPr>
        <w:t>第五章  合同条款及格式</w:t>
      </w:r>
    </w:p>
    <w:p>
      <w:pPr>
        <w:ind w:firstLine="411" w:firstLineChars="196"/>
      </w:pPr>
    </w:p>
    <w:p>
      <w:pPr>
        <w:jc w:val="center"/>
        <w:outlineLvl w:val="9"/>
      </w:pPr>
      <w:r>
        <w:rPr>
          <w:rFonts w:hint="eastAsia"/>
          <w:b/>
          <w:sz w:val="24"/>
        </w:rPr>
        <w:t>（仅供参考，具体以项目需求及采购结果为准）</w:t>
      </w:r>
    </w:p>
    <w:p>
      <w:pPr>
        <w:rPr>
          <w:rFonts w:ascii="宋体" w:hAnsi="宋体"/>
          <w:b/>
          <w:bCs/>
          <w:szCs w:val="21"/>
        </w:rPr>
      </w:pPr>
      <w:r>
        <w:rPr>
          <w:rFonts w:hint="eastAsia" w:ascii="宋体" w:hAnsi="宋体"/>
          <w:b/>
          <w:bCs/>
          <w:szCs w:val="21"/>
        </w:rPr>
        <w:t>甲方：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pPr>
        <w:rPr>
          <w:rFonts w:ascii="宋体" w:hAnsi="宋体"/>
          <w:b/>
          <w:bCs/>
          <w:szCs w:val="21"/>
        </w:rPr>
      </w:pPr>
      <w:r>
        <w:rPr>
          <w:rFonts w:hint="eastAsia" w:ascii="宋体" w:hAnsi="宋体"/>
          <w:b/>
          <w:bCs/>
          <w:szCs w:val="21"/>
        </w:rPr>
        <w:t>乙方：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szCs w:val="21"/>
        </w:rPr>
      </w:pPr>
      <w:r>
        <w:rPr>
          <w:rFonts w:ascii="宋体" w:hAnsi="宋体"/>
          <w:b/>
          <w:bCs/>
          <w:szCs w:val="21"/>
        </w:rPr>
        <w:t xml:space="preserve">            </w:t>
      </w:r>
      <w:r>
        <w:rPr>
          <w:rFonts w:hint="eastAsia" w:ascii="宋体" w:hAnsi="宋体"/>
          <w:b/>
          <w:bCs/>
          <w:szCs w:val="21"/>
        </w:rPr>
        <w:t xml:space="preserve">          </w:t>
      </w:r>
    </w:p>
    <w:p>
      <w:pPr>
        <w:rPr>
          <w:rFonts w:ascii="宋体" w:hAnsi="宋体"/>
          <w:szCs w:val="21"/>
        </w:rPr>
      </w:pPr>
    </w:p>
    <w:p>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pPr>
        <w:ind w:firstLine="422" w:firstLineChars="200"/>
        <w:rPr>
          <w:rFonts w:ascii="宋体" w:hAnsi="宋体"/>
          <w:b/>
          <w:bCs/>
          <w:szCs w:val="21"/>
        </w:rPr>
      </w:pPr>
      <w:r>
        <w:rPr>
          <w:rFonts w:hint="eastAsia" w:ascii="宋体" w:hAnsi="宋体"/>
          <w:b/>
          <w:bCs/>
          <w:szCs w:val="21"/>
        </w:rPr>
        <w:t>第一条　项目概况</w:t>
      </w:r>
    </w:p>
    <w:p>
      <w:pPr>
        <w:ind w:firstLine="420" w:firstLineChars="200"/>
        <w:rPr>
          <w:rFonts w:ascii="宋体" w:hAnsi="宋体"/>
          <w:szCs w:val="21"/>
        </w:rPr>
      </w:pPr>
      <w:r>
        <w:rPr>
          <w:rFonts w:hint="eastAsia" w:ascii="宋体" w:hAnsi="宋体"/>
          <w:szCs w:val="21"/>
        </w:rPr>
        <w:t xml:space="preserve">项目名称： </w:t>
      </w:r>
    </w:p>
    <w:p>
      <w:pPr>
        <w:ind w:firstLine="420" w:firstLineChars="200"/>
        <w:rPr>
          <w:rFonts w:ascii="宋体" w:hAnsi="宋体"/>
          <w:szCs w:val="21"/>
        </w:rPr>
      </w:pPr>
      <w:r>
        <w:rPr>
          <w:rFonts w:hint="eastAsia" w:ascii="宋体" w:hAnsi="宋体"/>
          <w:szCs w:val="21"/>
        </w:rPr>
        <w:t xml:space="preserve">项目内容： </w:t>
      </w:r>
    </w:p>
    <w:p>
      <w:pPr>
        <w:ind w:firstLine="420" w:firstLineChars="200"/>
        <w:rPr>
          <w:rFonts w:ascii="宋体" w:hAnsi="宋体"/>
          <w:szCs w:val="21"/>
        </w:rPr>
      </w:pPr>
      <w:r>
        <w:rPr>
          <w:rFonts w:hint="eastAsia" w:ascii="宋体" w:hAnsi="宋体"/>
          <w:szCs w:val="21"/>
        </w:rPr>
        <w:t xml:space="preserve">服务时间： </w:t>
      </w:r>
    </w:p>
    <w:p>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pPr>
        <w:pStyle w:val="8"/>
        <w:rPr>
          <w:rFonts w:ascii="宋体" w:hAnsi="宋体"/>
          <w:szCs w:val="21"/>
        </w:rPr>
      </w:pPr>
      <w:r>
        <w:rPr>
          <w:rFonts w:hint="eastAsia" w:ascii="宋体" w:hAnsi="宋体"/>
          <w:szCs w:val="21"/>
        </w:rPr>
        <w:t>支付方式：分期支付。</w:t>
      </w:r>
    </w:p>
    <w:p>
      <w:pPr>
        <w:ind w:firstLine="422" w:firstLineChars="200"/>
        <w:rPr>
          <w:rFonts w:ascii="宋体" w:hAnsi="宋体"/>
          <w:b/>
          <w:bCs/>
          <w:szCs w:val="21"/>
        </w:rPr>
      </w:pPr>
      <w:r>
        <w:rPr>
          <w:rFonts w:hint="eastAsia" w:ascii="宋体" w:hAnsi="宋体"/>
          <w:b/>
          <w:bCs/>
          <w:szCs w:val="21"/>
        </w:rPr>
        <w:t>第二条  服务范围</w:t>
      </w:r>
    </w:p>
    <w:p>
      <w:pPr>
        <w:ind w:firstLine="420" w:firstLineChars="200"/>
        <w:rPr>
          <w:rFonts w:ascii="宋体" w:hAnsi="宋体"/>
          <w:szCs w:val="21"/>
        </w:rPr>
      </w:pPr>
      <w:r>
        <w:rPr>
          <w:rFonts w:hint="eastAsia" w:ascii="宋体" w:hAnsi="宋体"/>
          <w:szCs w:val="21"/>
        </w:rPr>
        <w:t xml:space="preserve">1、  </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 xml:space="preserve">3、  </w:t>
      </w:r>
    </w:p>
    <w:p>
      <w:pPr>
        <w:ind w:firstLine="420" w:firstLineChars="200"/>
        <w:rPr>
          <w:rFonts w:ascii="宋体" w:hAnsi="宋体"/>
          <w:szCs w:val="21"/>
        </w:rPr>
      </w:pPr>
      <w:r>
        <w:rPr>
          <w:rFonts w:hint="eastAsia" w:ascii="宋体" w:hAnsi="宋体"/>
          <w:szCs w:val="21"/>
        </w:rPr>
        <w:t>4、 其他合同未明示的相关工作。</w:t>
      </w:r>
    </w:p>
    <w:p>
      <w:pPr>
        <w:ind w:firstLine="422" w:firstLineChars="200"/>
        <w:rPr>
          <w:rFonts w:ascii="宋体" w:hAnsi="宋体"/>
          <w:b/>
          <w:bCs/>
          <w:szCs w:val="21"/>
        </w:rPr>
      </w:pPr>
      <w:r>
        <w:rPr>
          <w:rFonts w:hint="eastAsia" w:ascii="宋体" w:hAnsi="宋体"/>
          <w:b/>
          <w:bCs/>
          <w:szCs w:val="21"/>
        </w:rPr>
        <w:t>第三条  时间要求及阶段成果</w:t>
      </w:r>
    </w:p>
    <w:p>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3、</w:t>
      </w:r>
    </w:p>
    <w:p>
      <w:pPr>
        <w:ind w:firstLine="420" w:firstLineChars="200"/>
        <w:rPr>
          <w:rFonts w:ascii="宋体" w:hAnsi="宋体"/>
          <w:szCs w:val="21"/>
        </w:rPr>
      </w:pPr>
      <w:r>
        <w:rPr>
          <w:rFonts w:hint="eastAsia" w:ascii="宋体" w:hAnsi="宋体"/>
          <w:szCs w:val="21"/>
        </w:rPr>
        <w:t>4、</w:t>
      </w:r>
    </w:p>
    <w:p>
      <w:pPr>
        <w:ind w:firstLine="422" w:firstLineChars="200"/>
        <w:rPr>
          <w:rFonts w:ascii="宋体" w:hAnsi="宋体"/>
          <w:b/>
          <w:bCs/>
          <w:szCs w:val="21"/>
        </w:rPr>
      </w:pPr>
      <w:r>
        <w:rPr>
          <w:rFonts w:hint="eastAsia" w:ascii="宋体" w:hAnsi="宋体"/>
          <w:b/>
          <w:bCs/>
          <w:szCs w:val="21"/>
        </w:rPr>
        <w:t>第四条  服务资料归属</w:t>
      </w:r>
    </w:p>
    <w:p>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pPr>
        <w:ind w:firstLine="422" w:firstLineChars="200"/>
        <w:rPr>
          <w:rFonts w:ascii="宋体" w:hAnsi="宋体"/>
          <w:b/>
          <w:bCs/>
          <w:szCs w:val="21"/>
        </w:rPr>
      </w:pPr>
      <w:r>
        <w:rPr>
          <w:rFonts w:hint="eastAsia" w:ascii="宋体" w:hAnsi="宋体"/>
          <w:b/>
          <w:bCs/>
          <w:szCs w:val="21"/>
        </w:rPr>
        <w:t>第五条  甲方的义务</w:t>
      </w:r>
    </w:p>
    <w:p>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pPr>
        <w:ind w:firstLine="420" w:firstLineChars="200"/>
        <w:rPr>
          <w:rFonts w:ascii="宋体" w:hAnsi="宋体"/>
          <w:szCs w:val="21"/>
        </w:rPr>
      </w:pPr>
      <w:r>
        <w:rPr>
          <w:rFonts w:hint="eastAsia" w:ascii="宋体" w:hAnsi="宋体"/>
          <w:szCs w:val="21"/>
        </w:rPr>
        <w:t>2、向乙方提供与本项目服务工作有关的资料。</w:t>
      </w:r>
    </w:p>
    <w:p>
      <w:pPr>
        <w:ind w:firstLine="420" w:firstLineChars="200"/>
        <w:rPr>
          <w:rFonts w:ascii="宋体" w:hAnsi="宋体"/>
          <w:szCs w:val="21"/>
        </w:rPr>
      </w:pPr>
      <w:r>
        <w:rPr>
          <w:rFonts w:hint="eastAsia" w:ascii="宋体" w:hAnsi="宋体"/>
          <w:szCs w:val="21"/>
        </w:rPr>
        <w:t>3、负责组织有关专家对项目试验成果评估报告的评审。</w:t>
      </w:r>
    </w:p>
    <w:p>
      <w:pPr>
        <w:ind w:firstLine="422" w:firstLineChars="200"/>
        <w:rPr>
          <w:rFonts w:ascii="宋体" w:hAnsi="宋体"/>
          <w:b/>
          <w:bCs/>
          <w:szCs w:val="21"/>
        </w:rPr>
      </w:pPr>
      <w:r>
        <w:rPr>
          <w:rFonts w:hint="eastAsia" w:ascii="宋体" w:hAnsi="宋体"/>
          <w:b/>
          <w:bCs/>
          <w:szCs w:val="21"/>
        </w:rPr>
        <w:t>第六条　乙方的义务</w:t>
      </w:r>
    </w:p>
    <w:p>
      <w:pPr>
        <w:ind w:firstLine="420" w:firstLineChars="200"/>
        <w:rPr>
          <w:rFonts w:ascii="宋体" w:hAnsi="宋体"/>
          <w:szCs w:val="21"/>
        </w:rPr>
      </w:pPr>
      <w:r>
        <w:rPr>
          <w:rFonts w:hint="eastAsia" w:ascii="宋体" w:hAnsi="宋体"/>
          <w:szCs w:val="21"/>
        </w:rPr>
        <w:t>１、应按照招标文件、投标文件要求按期完成本项目服务工作。</w:t>
      </w:r>
    </w:p>
    <w:p>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pPr>
        <w:ind w:firstLine="422" w:firstLineChars="200"/>
        <w:rPr>
          <w:rFonts w:ascii="宋体" w:hAnsi="宋体"/>
          <w:b/>
          <w:bCs/>
          <w:szCs w:val="21"/>
        </w:rPr>
      </w:pPr>
      <w:r>
        <w:rPr>
          <w:rFonts w:hint="eastAsia" w:ascii="宋体" w:hAnsi="宋体"/>
          <w:b/>
          <w:bCs/>
          <w:szCs w:val="21"/>
        </w:rPr>
        <w:t>第七条  甲方的权利</w:t>
      </w:r>
    </w:p>
    <w:p>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pPr>
        <w:ind w:firstLine="422" w:firstLineChars="200"/>
        <w:rPr>
          <w:rFonts w:ascii="宋体" w:hAnsi="宋体"/>
          <w:b/>
          <w:bCs/>
          <w:szCs w:val="21"/>
        </w:rPr>
      </w:pPr>
      <w:r>
        <w:rPr>
          <w:rFonts w:hint="eastAsia" w:ascii="宋体" w:hAnsi="宋体"/>
          <w:b/>
          <w:bCs/>
          <w:szCs w:val="21"/>
        </w:rPr>
        <w:t>第八条  乙方的权利</w:t>
      </w:r>
    </w:p>
    <w:p>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pPr>
        <w:ind w:firstLine="422" w:firstLineChars="200"/>
        <w:rPr>
          <w:rFonts w:ascii="宋体" w:hAnsi="宋体"/>
          <w:b/>
          <w:bCs/>
          <w:szCs w:val="21"/>
        </w:rPr>
      </w:pPr>
      <w:r>
        <w:rPr>
          <w:rFonts w:hint="eastAsia" w:ascii="宋体" w:hAnsi="宋体"/>
          <w:b/>
          <w:bCs/>
          <w:szCs w:val="21"/>
        </w:rPr>
        <w:t>第九条  甲方的责任</w:t>
      </w:r>
    </w:p>
    <w:p>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pPr>
        <w:ind w:firstLine="422" w:firstLineChars="200"/>
        <w:rPr>
          <w:rFonts w:ascii="宋体" w:hAnsi="宋体"/>
          <w:b/>
          <w:bCs/>
          <w:szCs w:val="21"/>
        </w:rPr>
      </w:pPr>
      <w:r>
        <w:rPr>
          <w:rFonts w:hint="eastAsia" w:ascii="宋体" w:hAnsi="宋体"/>
          <w:b/>
          <w:bCs/>
          <w:szCs w:val="21"/>
        </w:rPr>
        <w:t>第十条  乙方的责任</w:t>
      </w:r>
    </w:p>
    <w:p>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pPr>
        <w:ind w:firstLine="422" w:firstLineChars="200"/>
        <w:rPr>
          <w:rFonts w:ascii="宋体" w:hAnsi="宋体"/>
          <w:b/>
          <w:bCs/>
          <w:szCs w:val="21"/>
        </w:rPr>
      </w:pPr>
      <w:r>
        <w:rPr>
          <w:rFonts w:hint="eastAsia" w:ascii="宋体" w:hAnsi="宋体"/>
          <w:b/>
          <w:bCs/>
          <w:szCs w:val="21"/>
        </w:rPr>
        <w:t>第十一条  人员要求</w:t>
      </w:r>
    </w:p>
    <w:p>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pPr>
        <w:ind w:firstLine="420" w:firstLineChars="200"/>
        <w:rPr>
          <w:rFonts w:ascii="宋体" w:hAnsi="宋体"/>
          <w:szCs w:val="21"/>
        </w:rPr>
      </w:pPr>
      <w:r>
        <w:rPr>
          <w:rFonts w:hint="eastAsia" w:ascii="宋体" w:hAnsi="宋体"/>
          <w:szCs w:val="21"/>
        </w:rPr>
        <w:t>3、必须以直属试验人员参与本项目服务，不得使用挂靠队伍。</w:t>
      </w:r>
    </w:p>
    <w:p>
      <w:pPr>
        <w:ind w:firstLine="422" w:firstLineChars="200"/>
        <w:rPr>
          <w:rFonts w:ascii="宋体" w:hAnsi="宋体"/>
          <w:b/>
          <w:bCs/>
          <w:szCs w:val="21"/>
        </w:rPr>
      </w:pPr>
      <w:r>
        <w:rPr>
          <w:rFonts w:hint="eastAsia" w:ascii="宋体" w:hAnsi="宋体"/>
          <w:b/>
          <w:bCs/>
          <w:szCs w:val="21"/>
        </w:rPr>
        <w:t>第十二条  乙方服务工具要求</w:t>
      </w:r>
    </w:p>
    <w:p>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pPr>
        <w:ind w:firstLine="420" w:firstLineChars="200"/>
        <w:rPr>
          <w:rFonts w:ascii="宋体" w:hAnsi="宋体"/>
          <w:szCs w:val="21"/>
        </w:rPr>
      </w:pPr>
      <w:r>
        <w:rPr>
          <w:rFonts w:hint="eastAsia" w:ascii="宋体" w:hAnsi="宋体"/>
          <w:szCs w:val="21"/>
        </w:rPr>
        <w:t>2、乙方在提供服务过程中应自备车辆。</w:t>
      </w:r>
    </w:p>
    <w:p>
      <w:pPr>
        <w:ind w:firstLine="422" w:firstLineChars="200"/>
        <w:rPr>
          <w:rFonts w:ascii="宋体" w:hAnsi="宋体"/>
          <w:b/>
          <w:bCs/>
          <w:szCs w:val="21"/>
        </w:rPr>
      </w:pPr>
      <w:r>
        <w:rPr>
          <w:rFonts w:hint="eastAsia" w:ascii="宋体" w:hAnsi="宋体"/>
          <w:b/>
          <w:bCs/>
          <w:szCs w:val="21"/>
        </w:rPr>
        <w:t>第十三条  保密要求</w:t>
      </w:r>
    </w:p>
    <w:p>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pPr>
        <w:ind w:firstLine="422" w:firstLineChars="200"/>
        <w:rPr>
          <w:rFonts w:ascii="宋体" w:hAnsi="宋体"/>
          <w:b/>
          <w:bCs/>
          <w:szCs w:val="21"/>
        </w:rPr>
      </w:pPr>
      <w:r>
        <w:rPr>
          <w:rFonts w:hint="eastAsia" w:ascii="宋体" w:hAnsi="宋体"/>
          <w:b/>
          <w:bCs/>
          <w:szCs w:val="21"/>
        </w:rPr>
        <w:t xml:space="preserve">第十四条  验收     </w:t>
      </w:r>
    </w:p>
    <w:p>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pPr>
        <w:ind w:firstLine="420" w:firstLineChars="200"/>
        <w:rPr>
          <w:rFonts w:ascii="宋体" w:hAnsi="宋体"/>
          <w:szCs w:val="21"/>
        </w:rPr>
      </w:pPr>
      <w:r>
        <w:rPr>
          <w:rFonts w:hint="eastAsia" w:ascii="宋体" w:hAnsi="宋体"/>
          <w:szCs w:val="21"/>
        </w:rPr>
        <w:t>3、验收依据为招标文件、投标文件，国家和行业有关规范、规程和标准。</w:t>
      </w:r>
    </w:p>
    <w:p>
      <w:pPr>
        <w:ind w:firstLine="422" w:firstLineChars="200"/>
        <w:rPr>
          <w:rFonts w:ascii="宋体" w:hAnsi="宋体"/>
          <w:b/>
          <w:bCs/>
          <w:szCs w:val="21"/>
        </w:rPr>
      </w:pPr>
      <w:r>
        <w:rPr>
          <w:rFonts w:hint="eastAsia" w:ascii="宋体" w:hAnsi="宋体"/>
          <w:b/>
          <w:bCs/>
          <w:szCs w:val="21"/>
        </w:rPr>
        <w:t>第十五条  付款方式</w:t>
      </w:r>
    </w:p>
    <w:p>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pPr>
        <w:ind w:firstLine="420" w:firstLineChars="200"/>
        <w:rPr>
          <w:rFonts w:ascii="宋体" w:hAnsi="宋体"/>
          <w:szCs w:val="21"/>
        </w:rPr>
      </w:pPr>
      <w:r>
        <w:rPr>
          <w:rFonts w:hint="eastAsia" w:ascii="宋体" w:hAnsi="宋体"/>
          <w:szCs w:val="21"/>
        </w:rPr>
        <w:t>3、报告通过专家评审后，甲方向乙方支付合同总价%的款项。</w:t>
      </w:r>
    </w:p>
    <w:p>
      <w:pPr>
        <w:ind w:firstLine="422" w:firstLineChars="200"/>
        <w:rPr>
          <w:rFonts w:ascii="宋体" w:hAnsi="宋体"/>
          <w:b/>
          <w:bCs/>
          <w:szCs w:val="21"/>
        </w:rPr>
      </w:pPr>
      <w:r>
        <w:rPr>
          <w:rFonts w:hint="eastAsia" w:ascii="宋体" w:hAnsi="宋体"/>
          <w:b/>
          <w:bCs/>
          <w:szCs w:val="21"/>
        </w:rPr>
        <w:t>第十六条  争议解决办法</w:t>
      </w:r>
    </w:p>
    <w:p>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pPr>
        <w:ind w:firstLine="422" w:firstLineChars="200"/>
        <w:rPr>
          <w:rFonts w:ascii="宋体" w:hAnsi="宋体"/>
          <w:b/>
          <w:bCs/>
          <w:szCs w:val="21"/>
        </w:rPr>
      </w:pPr>
      <w:r>
        <w:rPr>
          <w:rFonts w:hint="eastAsia" w:ascii="宋体" w:hAnsi="宋体"/>
          <w:b/>
          <w:bCs/>
          <w:szCs w:val="21"/>
        </w:rPr>
        <w:t>第十七条  风险责任</w:t>
      </w:r>
    </w:p>
    <w:p>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pPr>
        <w:ind w:firstLine="422" w:firstLineChars="200"/>
        <w:rPr>
          <w:rFonts w:ascii="宋体" w:hAnsi="宋体"/>
          <w:b/>
          <w:bCs/>
          <w:szCs w:val="21"/>
        </w:rPr>
      </w:pPr>
      <w:r>
        <w:rPr>
          <w:rFonts w:hint="eastAsia" w:ascii="宋体" w:hAnsi="宋体"/>
          <w:b/>
          <w:bCs/>
          <w:szCs w:val="21"/>
        </w:rPr>
        <w:t>第十八条  违约责任</w:t>
      </w:r>
    </w:p>
    <w:p>
      <w:pPr>
        <w:pStyle w:val="11"/>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pPr>
        <w:ind w:firstLine="422" w:firstLineChars="200"/>
        <w:rPr>
          <w:rFonts w:ascii="宋体" w:hAnsi="宋体"/>
          <w:b/>
          <w:bCs/>
          <w:szCs w:val="21"/>
        </w:rPr>
      </w:pPr>
      <w:r>
        <w:rPr>
          <w:rFonts w:hint="eastAsia" w:ascii="宋体" w:hAnsi="宋体"/>
          <w:b/>
          <w:bCs/>
          <w:szCs w:val="21"/>
        </w:rPr>
        <w:t>第十九条  其他</w:t>
      </w:r>
    </w:p>
    <w:p>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pPr>
        <w:ind w:firstLine="420" w:firstLineChars="200"/>
        <w:rPr>
          <w:rFonts w:hint="eastAsia" w:ascii="宋体" w:hAnsi="宋体"/>
          <w:szCs w:val="21"/>
        </w:rPr>
      </w:pPr>
      <w:r>
        <w:rPr>
          <w:rFonts w:hint="eastAsia" w:ascii="宋体" w:hAnsi="宋体"/>
          <w:szCs w:val="21"/>
        </w:rPr>
        <w:t>（1）政府采购合同协议书及其变更、补充协议</w:t>
      </w:r>
    </w:p>
    <w:p>
      <w:pPr>
        <w:ind w:firstLine="420" w:firstLineChars="200"/>
        <w:rPr>
          <w:rFonts w:hint="eastAsia" w:ascii="宋体" w:hAnsi="宋体"/>
          <w:szCs w:val="21"/>
        </w:rPr>
      </w:pPr>
      <w:r>
        <w:rPr>
          <w:rFonts w:hint="eastAsia" w:ascii="宋体" w:hAnsi="宋体"/>
          <w:szCs w:val="21"/>
        </w:rPr>
        <w:t>（2）政府采购合同专用条款</w:t>
      </w:r>
    </w:p>
    <w:p>
      <w:pPr>
        <w:ind w:firstLine="420" w:firstLineChars="200"/>
        <w:rPr>
          <w:rFonts w:hint="eastAsia" w:ascii="宋体" w:hAnsi="宋体"/>
          <w:szCs w:val="21"/>
        </w:rPr>
      </w:pPr>
      <w:r>
        <w:rPr>
          <w:rFonts w:hint="eastAsia" w:ascii="宋体" w:hAnsi="宋体"/>
          <w:szCs w:val="21"/>
        </w:rPr>
        <w:t>（3）政府采购合同通用条款</w:t>
      </w:r>
    </w:p>
    <w:p>
      <w:pPr>
        <w:ind w:firstLine="420" w:firstLineChars="200"/>
        <w:rPr>
          <w:rFonts w:hint="eastAsia" w:ascii="宋体" w:hAnsi="宋体"/>
          <w:szCs w:val="21"/>
        </w:rPr>
      </w:pPr>
      <w:r>
        <w:rPr>
          <w:rFonts w:hint="eastAsia" w:ascii="宋体" w:hAnsi="宋体"/>
          <w:szCs w:val="21"/>
        </w:rPr>
        <w:t>（4）中标（成交）通知书</w:t>
      </w:r>
    </w:p>
    <w:p>
      <w:pPr>
        <w:ind w:firstLine="420" w:firstLineChars="200"/>
        <w:rPr>
          <w:rFonts w:hint="eastAsia" w:ascii="宋体" w:hAnsi="宋体"/>
          <w:szCs w:val="21"/>
        </w:rPr>
      </w:pPr>
      <w:r>
        <w:rPr>
          <w:rFonts w:hint="eastAsia" w:ascii="宋体" w:hAnsi="宋体"/>
          <w:szCs w:val="21"/>
        </w:rPr>
        <w:t>（5）投标（响应）文件</w:t>
      </w:r>
    </w:p>
    <w:p>
      <w:pPr>
        <w:ind w:firstLine="420" w:firstLineChars="200"/>
        <w:rPr>
          <w:rFonts w:hint="eastAsia" w:ascii="宋体" w:hAnsi="宋体"/>
          <w:szCs w:val="21"/>
        </w:rPr>
      </w:pPr>
      <w:r>
        <w:rPr>
          <w:rFonts w:hint="eastAsia" w:ascii="宋体" w:hAnsi="宋体"/>
          <w:szCs w:val="21"/>
        </w:rPr>
        <w:t>（6）采购文件</w:t>
      </w:r>
    </w:p>
    <w:p>
      <w:pPr>
        <w:ind w:firstLine="420" w:firstLineChars="200"/>
        <w:rPr>
          <w:rFonts w:hint="eastAsia" w:ascii="宋体" w:hAnsi="宋体"/>
          <w:szCs w:val="21"/>
        </w:rPr>
      </w:pPr>
      <w:r>
        <w:rPr>
          <w:rFonts w:hint="eastAsia" w:ascii="宋体" w:hAnsi="宋体"/>
          <w:szCs w:val="21"/>
        </w:rPr>
        <w:t>（7）有关技术文件，图纸</w:t>
      </w:r>
    </w:p>
    <w:p>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pPr>
        <w:ind w:firstLine="420" w:firstLineChars="200"/>
        <w:rPr>
          <w:rFonts w:ascii="宋体" w:hAnsi="宋体"/>
          <w:szCs w:val="21"/>
        </w:rPr>
      </w:pPr>
      <w:r>
        <w:rPr>
          <w:rFonts w:hint="eastAsia" w:ascii="宋体" w:hAnsi="宋体"/>
          <w:szCs w:val="21"/>
        </w:rPr>
        <w:t>2、下列文件均为本合同的组成部分：</w:t>
      </w:r>
    </w:p>
    <w:p>
      <w:pPr>
        <w:ind w:firstLine="420" w:firstLineChars="200"/>
        <w:rPr>
          <w:rFonts w:ascii="宋体" w:hAnsi="宋体"/>
          <w:szCs w:val="21"/>
        </w:rPr>
      </w:pPr>
      <w:r>
        <w:rPr>
          <w:rFonts w:hint="eastAsia" w:ascii="宋体" w:hAnsi="宋体"/>
          <w:szCs w:val="21"/>
        </w:rPr>
        <w:t>（1）号招标文件、答疑及补充通知；</w:t>
      </w:r>
    </w:p>
    <w:p>
      <w:pPr>
        <w:ind w:firstLine="420" w:firstLineChars="200"/>
        <w:rPr>
          <w:rFonts w:ascii="宋体" w:hAnsi="宋体"/>
          <w:szCs w:val="21"/>
        </w:rPr>
      </w:pPr>
      <w:r>
        <w:rPr>
          <w:rFonts w:hint="eastAsia" w:ascii="宋体" w:hAnsi="宋体"/>
          <w:szCs w:val="21"/>
        </w:rPr>
        <w:t>（2）投标文件；</w:t>
      </w:r>
    </w:p>
    <w:p>
      <w:pPr>
        <w:ind w:firstLine="420" w:firstLineChars="200"/>
        <w:rPr>
          <w:rFonts w:ascii="宋体" w:hAnsi="宋体"/>
          <w:szCs w:val="21"/>
        </w:rPr>
      </w:pPr>
      <w:r>
        <w:rPr>
          <w:rFonts w:hint="eastAsia" w:ascii="宋体" w:hAnsi="宋体"/>
          <w:szCs w:val="21"/>
        </w:rPr>
        <w:t>（3）本合同执行中共同签署的补充与修正文件。</w:t>
      </w:r>
    </w:p>
    <w:p>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pPr>
        <w:ind w:firstLine="420" w:firstLineChars="200"/>
        <w:rPr>
          <w:rFonts w:ascii="宋体" w:hAnsi="宋体"/>
          <w:szCs w:val="21"/>
        </w:rPr>
      </w:pPr>
    </w:p>
    <w:p>
      <w:pPr>
        <w:ind w:firstLine="420" w:firstLineChars="200"/>
        <w:rPr>
          <w:rFonts w:ascii="宋体" w:hAnsi="宋体"/>
          <w:szCs w:val="21"/>
        </w:rPr>
      </w:pPr>
    </w:p>
    <w:p>
      <w:pPr>
        <w:spacing w:line="360" w:lineRule="auto"/>
        <w:ind w:firstLine="560"/>
        <w:jc w:val="left"/>
        <w:rPr>
          <w:rFonts w:ascii="宋体" w:hAnsi="宋体"/>
          <w:szCs w:val="21"/>
        </w:rPr>
      </w:pPr>
      <w:r>
        <w:rPr>
          <w:rFonts w:hint="eastAsia" w:ascii="宋体" w:hAnsi="宋体"/>
          <w:szCs w:val="21"/>
        </w:rPr>
        <w:t>甲方（采购人）：   （盖章）       乙方（供应商）：    （盖章）</w:t>
      </w:r>
    </w:p>
    <w:p>
      <w:pPr>
        <w:spacing w:line="360" w:lineRule="auto"/>
        <w:ind w:firstLine="560"/>
        <w:jc w:val="left"/>
        <w:rPr>
          <w:rFonts w:ascii="宋体" w:hAnsi="宋体"/>
          <w:szCs w:val="21"/>
        </w:rPr>
      </w:pPr>
      <w:r>
        <w:rPr>
          <w:rFonts w:hint="eastAsia" w:ascii="宋体" w:hAnsi="宋体"/>
          <w:szCs w:val="21"/>
        </w:rPr>
        <w:t xml:space="preserve">法定代表人：                     法定代表人： </w:t>
      </w:r>
    </w:p>
    <w:p>
      <w:pPr>
        <w:spacing w:line="360" w:lineRule="auto"/>
        <w:ind w:firstLine="560"/>
        <w:jc w:val="left"/>
        <w:rPr>
          <w:rFonts w:ascii="宋体" w:hAnsi="宋体"/>
          <w:szCs w:val="21"/>
        </w:rPr>
      </w:pPr>
      <w:r>
        <w:rPr>
          <w:rFonts w:hint="eastAsia" w:ascii="宋体" w:hAnsi="宋体"/>
          <w:szCs w:val="21"/>
        </w:rPr>
        <w:t>委托代理人：                     委托代理人：</w:t>
      </w:r>
    </w:p>
    <w:p>
      <w:pPr>
        <w:ind w:firstLine="420" w:firstLineChars="200"/>
        <w:rPr>
          <w:rFonts w:ascii="宋体" w:hAnsi="宋体"/>
          <w:szCs w:val="21"/>
        </w:rPr>
      </w:pPr>
      <w:r>
        <w:rPr>
          <w:rFonts w:hint="eastAsia" w:ascii="宋体" w:hAnsi="宋体"/>
          <w:szCs w:val="21"/>
        </w:rPr>
        <w:t>日期：   年     月    日         日期：   年     月    日</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widowControl/>
        <w:jc w:val="left"/>
        <w:rPr>
          <w:rFonts w:ascii="宋体" w:hAnsi="宋体"/>
          <w:szCs w:val="21"/>
        </w:rPr>
      </w:pPr>
      <w:r>
        <w:rPr>
          <w:rFonts w:ascii="宋体" w:hAnsi="宋体"/>
          <w:szCs w:val="21"/>
        </w:rPr>
        <w:br w:type="page"/>
      </w:r>
    </w:p>
    <w:p>
      <w:pPr>
        <w:pStyle w:val="7"/>
        <w:spacing w:before="120" w:beforeLines="50" w:after="120" w:afterLines="50"/>
        <w:ind w:left="562"/>
        <w:jc w:val="center"/>
        <w:rPr>
          <w:sz w:val="28"/>
          <w:szCs w:val="28"/>
        </w:rPr>
      </w:pPr>
      <w:r>
        <w:rPr>
          <w:rFonts w:hint="eastAsia"/>
          <w:sz w:val="28"/>
          <w:szCs w:val="28"/>
        </w:rPr>
        <w:t>第二册  通用条款（公开招标）</w:t>
      </w: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7" w:name="_Hlk72399513"/>
      <w:bookmarkStart w:id="48" w:name="_Hlk72439706"/>
      <w:r>
        <w:rPr>
          <w:rFonts w:hint="eastAsia" w:asciiTheme="majorHAnsi" w:hAnsiTheme="majorHAnsi" w:eastAsiaTheme="majorEastAsia" w:cstheme="majorBidi"/>
          <w:b/>
          <w:bCs/>
          <w:sz w:val="28"/>
          <w:szCs w:val="28"/>
        </w:rPr>
        <w:t>总则</w:t>
      </w:r>
    </w:p>
    <w:bookmarkEnd w:id="47"/>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9" w:name="_Hlk72399729"/>
      <w:r>
        <w:rPr>
          <w:rFonts w:hint="eastAsia" w:ascii="宋体" w:hAnsi="宋体"/>
          <w:szCs w:val="21"/>
        </w:rPr>
        <w:t>如有需要，政府集中采购机构可以对通用条款的内容进行补充。</w:t>
      </w:r>
      <w:bookmarkEnd w:id="49"/>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50"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51"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1"/>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50"/>
    <w:p>
      <w:pPr>
        <w:ind w:firstLine="411" w:firstLineChars="196"/>
        <w:rPr>
          <w:rFonts w:ascii="宋体" w:hAnsi="宋体"/>
        </w:rPr>
      </w:pP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52"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2"/>
    </w:p>
    <w:p>
      <w:pPr>
        <w:rPr>
          <w:rFonts w:ascii="宋体" w:hAnsi="宋体"/>
          <w:szCs w:val="21"/>
        </w:rPr>
      </w:pP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53"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3"/>
    <w:p>
      <w:pPr>
        <w:ind w:firstLine="420" w:firstLineChars="200"/>
        <w:rPr>
          <w:rFonts w:ascii="黑体" w:hAnsi="宋体" w:eastAsia="黑体"/>
          <w:szCs w:val="21"/>
        </w:rPr>
      </w:pPr>
      <w:r>
        <w:rPr>
          <w:rFonts w:hint="eastAsia" w:ascii="黑体" w:hAnsi="宋体" w:eastAsia="黑体"/>
          <w:szCs w:val="21"/>
        </w:rPr>
        <w:t>15．</w:t>
      </w:r>
      <w:bookmarkStart w:id="54"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54"/>
    <w:p>
      <w:pPr>
        <w:ind w:firstLine="420" w:firstLineChars="200"/>
        <w:rPr>
          <w:rFonts w:ascii="黑体" w:hAnsi="宋体" w:eastAsia="黑体"/>
          <w:szCs w:val="21"/>
        </w:rPr>
      </w:pPr>
      <w:r>
        <w:rPr>
          <w:rFonts w:hint="eastAsia" w:ascii="黑体" w:hAnsi="宋体" w:eastAsia="黑体"/>
          <w:szCs w:val="21"/>
        </w:rPr>
        <w:t>18．</w:t>
      </w:r>
      <w:bookmarkStart w:id="55"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5"/>
    <w:p>
      <w:pPr>
        <w:ind w:firstLine="420" w:firstLineChars="200"/>
        <w:rPr>
          <w:rFonts w:ascii="黑体" w:hAnsi="宋体" w:eastAsia="黑体"/>
          <w:szCs w:val="21"/>
        </w:rPr>
      </w:pPr>
      <w:r>
        <w:rPr>
          <w:rFonts w:hint="eastAsia" w:ascii="黑体" w:hAnsi="宋体" w:eastAsia="黑体"/>
          <w:szCs w:val="21"/>
        </w:rPr>
        <w:t>19．</w:t>
      </w:r>
      <w:bookmarkStart w:id="56"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7" w:name="_Hlk71407299"/>
    </w:p>
    <w:bookmarkEnd w:id="57"/>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56"/>
    <w:p>
      <w:pPr>
        <w:ind w:firstLine="420" w:firstLineChars="200"/>
        <w:rPr>
          <w:rFonts w:ascii="宋体" w:hAnsi="宋体"/>
          <w:szCs w:val="21"/>
        </w:rPr>
      </w:pPr>
      <w:bookmarkStart w:id="58"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8"/>
    <w:p>
      <w:pPr>
        <w:ind w:firstLine="420" w:firstLineChars="200"/>
        <w:rPr>
          <w:rFonts w:ascii="黑体" w:hAnsi="宋体" w:eastAsia="黑体"/>
          <w:szCs w:val="21"/>
        </w:rPr>
      </w:pPr>
      <w:r>
        <w:rPr>
          <w:rFonts w:hint="eastAsia" w:ascii="黑体" w:hAnsi="宋体" w:eastAsia="黑体"/>
          <w:szCs w:val="21"/>
        </w:rPr>
        <w:t>21．</w:t>
      </w:r>
      <w:bookmarkStart w:id="59"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9"/>
    <w:p>
      <w:pPr>
        <w:ind w:firstLine="420" w:firstLineChars="200"/>
        <w:rPr>
          <w:rFonts w:ascii="黑体" w:hAnsi="宋体" w:eastAsia="黑体"/>
          <w:szCs w:val="21"/>
        </w:rPr>
      </w:pPr>
      <w:r>
        <w:rPr>
          <w:rFonts w:hint="eastAsia" w:ascii="黑体" w:hAnsi="宋体" w:eastAsia="黑体"/>
          <w:szCs w:val="21"/>
        </w:rPr>
        <w:t>23．</w:t>
      </w:r>
      <w:bookmarkStart w:id="60"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60"/>
    </w:p>
    <w:p>
      <w:pPr>
        <w:ind w:firstLine="411" w:firstLineChars="196"/>
        <w:rPr>
          <w:rFonts w:ascii="宋体" w:hAnsi="宋体"/>
          <w:szCs w:val="21"/>
        </w:rPr>
      </w:pP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61"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61"/>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62"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62"/>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63"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3"/>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64"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4"/>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65" w:name="_Toc73521581"/>
      <w:bookmarkStart w:id="66" w:name="_Toc73517673"/>
      <w:bookmarkStart w:id="67" w:name="_Toc73518151"/>
      <w:bookmarkStart w:id="68" w:name="_Toc100052400"/>
      <w:bookmarkStart w:id="69" w:name="_Toc73521669"/>
      <w:r>
        <w:rPr>
          <w:rFonts w:hint="eastAsia" w:ascii="黑体" w:hAnsi="宋体" w:eastAsia="黑体"/>
          <w:szCs w:val="21"/>
        </w:rPr>
        <w:t>34．错误的修正</w:t>
      </w:r>
      <w:bookmarkEnd w:id="65"/>
      <w:bookmarkEnd w:id="66"/>
      <w:bookmarkEnd w:id="67"/>
      <w:bookmarkEnd w:id="68"/>
      <w:bookmarkEnd w:id="69"/>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70"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70"/>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71"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72" w:name="_Hlk73821177"/>
      <w:r>
        <w:rPr>
          <w:rFonts w:hint="eastAsia" w:ascii="ˎ̥" w:hAnsi="ˎ̥"/>
          <w:szCs w:val="21"/>
        </w:rPr>
        <w:t>唯一候选中标供应商</w:t>
      </w:r>
      <w:bookmarkEnd w:id="72"/>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73"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74"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3"/>
      <w:bookmarkEnd w:id="74"/>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71"/>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75"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5"/>
      <w:bookmarkStart w:id="76"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6"/>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7"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7"/>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78" w:name="_Hlk71407340"/>
      <w:r>
        <w:rPr>
          <w:rFonts w:hint="eastAsia" w:ascii="宋体" w:hAnsi="宋体"/>
          <w:szCs w:val="21"/>
        </w:rPr>
        <w:t>41.3因质疑投诉或其他原因导致项目结果变更或采购终止的，政府集中采购机构有权吊销中标通知书。</w:t>
      </w:r>
    </w:p>
    <w:bookmarkEnd w:id="78"/>
    <w:p>
      <w:pPr>
        <w:ind w:firstLine="411" w:firstLineChars="196"/>
        <w:rPr>
          <w:rFonts w:ascii="宋体" w:hAnsi="宋体"/>
          <w:szCs w:val="21"/>
        </w:rPr>
      </w:pP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9" w:name="_Hlk72439043"/>
      <w:r>
        <w:rPr>
          <w:rFonts w:hint="eastAsia" w:asciiTheme="majorHAnsi" w:hAnsiTheme="majorHAnsi" w:eastAsiaTheme="majorEastAsia" w:cstheme="majorBidi"/>
          <w:b/>
          <w:bCs/>
          <w:sz w:val="28"/>
          <w:szCs w:val="28"/>
        </w:rPr>
        <w:t>合同的授予与备案</w:t>
      </w:r>
      <w:bookmarkEnd w:id="79"/>
    </w:p>
    <w:p>
      <w:pPr>
        <w:ind w:firstLine="420" w:firstLineChars="200"/>
        <w:rPr>
          <w:rFonts w:ascii="黑体" w:hAnsi="宋体" w:eastAsia="黑体"/>
          <w:szCs w:val="21"/>
        </w:rPr>
      </w:pPr>
      <w:bookmarkStart w:id="80" w:name="_Toc73517679"/>
      <w:bookmarkStart w:id="81" w:name="_Toc73521586"/>
      <w:bookmarkStart w:id="82" w:name="_Toc73521674"/>
      <w:bookmarkStart w:id="83" w:name="_Toc73518157"/>
      <w:bookmarkStart w:id="84" w:name="_Toc100052408"/>
      <w:bookmarkStart w:id="85" w:name="_Hlk72439088"/>
      <w:r>
        <w:rPr>
          <w:rFonts w:hint="eastAsia" w:ascii="黑体" w:hAnsi="宋体" w:eastAsia="黑体"/>
          <w:szCs w:val="21"/>
        </w:rPr>
        <w:t>43．合同授予标准</w:t>
      </w:r>
      <w:bookmarkEnd w:id="80"/>
      <w:bookmarkEnd w:id="81"/>
      <w:bookmarkEnd w:id="82"/>
      <w:bookmarkEnd w:id="83"/>
      <w:bookmarkEnd w:id="84"/>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86" w:name="_Toc73517680"/>
      <w:bookmarkStart w:id="87" w:name="_Toc73518158"/>
      <w:bookmarkStart w:id="88" w:name="_Toc100052409"/>
      <w:bookmarkStart w:id="89" w:name="_Toc73521675"/>
      <w:bookmarkStart w:id="90" w:name="_Toc73521587"/>
      <w:r>
        <w:rPr>
          <w:rFonts w:hint="eastAsia" w:ascii="黑体" w:hAnsi="宋体" w:eastAsia="黑体"/>
          <w:szCs w:val="21"/>
        </w:rPr>
        <w:t>44．</w:t>
      </w:r>
      <w:bookmarkEnd w:id="86"/>
      <w:bookmarkEnd w:id="87"/>
      <w:bookmarkEnd w:id="88"/>
      <w:bookmarkEnd w:id="89"/>
      <w:bookmarkEnd w:id="90"/>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91" w:name="_Toc73518160"/>
      <w:bookmarkStart w:id="92" w:name="_Toc73517682"/>
      <w:bookmarkStart w:id="93" w:name="_Toc73521677"/>
      <w:bookmarkStart w:id="94" w:name="_Toc100052410"/>
      <w:bookmarkStart w:id="95" w:name="_Toc73521589"/>
      <w:r>
        <w:rPr>
          <w:rFonts w:hint="eastAsia" w:ascii="黑体" w:hAnsi="宋体" w:eastAsia="黑体"/>
          <w:szCs w:val="21"/>
        </w:rPr>
        <w:t>45．合同的签订</w:t>
      </w:r>
      <w:bookmarkEnd w:id="91"/>
      <w:bookmarkEnd w:id="92"/>
      <w:bookmarkEnd w:id="93"/>
      <w:bookmarkEnd w:id="94"/>
      <w:bookmarkEnd w:id="95"/>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96" w:name="_Toc73518161"/>
      <w:bookmarkStart w:id="97" w:name="_Toc73521590"/>
      <w:bookmarkStart w:id="98" w:name="_Toc100052411"/>
      <w:bookmarkStart w:id="99" w:name="_Toc73517683"/>
      <w:bookmarkStart w:id="100" w:name="_Toc73521678"/>
      <w:r>
        <w:rPr>
          <w:rFonts w:hint="eastAsia" w:ascii="黑体" w:hAnsi="宋体" w:eastAsia="黑体"/>
          <w:szCs w:val="21"/>
        </w:rPr>
        <w:t>46．履约担保</w:t>
      </w:r>
      <w:bookmarkEnd w:id="96"/>
      <w:bookmarkEnd w:id="97"/>
      <w:bookmarkEnd w:id="98"/>
      <w:bookmarkEnd w:id="99"/>
      <w:bookmarkEnd w:id="100"/>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01" w:name="_Hlk72440769"/>
      <w:r>
        <w:rPr>
          <w:rFonts w:hint="eastAsia" w:ascii="宋体" w:hAnsi="宋体"/>
          <w:szCs w:val="21"/>
        </w:rPr>
        <w:t>政府集中采购机构或采购人不予退还其交纳的谈判保证金，情节严重的，并由主管部门</w:t>
      </w:r>
      <w:bookmarkEnd w:id="101"/>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85"/>
    <w:p>
      <w:pPr>
        <w:pStyle w:val="31"/>
        <w:keepNext/>
        <w:keepLines/>
        <w:numPr>
          <w:ilvl w:val="0"/>
          <w:numId w:val="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02" w:name="_Hlk75374941"/>
      <w:r>
        <w:rPr>
          <w:rFonts w:hint="eastAsia" w:ascii="宋体" w:hAnsi="宋体"/>
          <w:szCs w:val="21"/>
        </w:rPr>
        <w:t>以联合体形式参与的，质疑应当由组成联合体的所有成员共同提出</w:t>
      </w:r>
      <w:bookmarkEnd w:id="102"/>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48"/>
    </w:p>
    <w:p>
      <w:pPr>
        <w:ind w:firstLine="420" w:firstLineChars="200"/>
        <w:rPr>
          <w:rFonts w:ascii="宋体" w:hAnsi="宋体"/>
          <w:szCs w:val="21"/>
        </w:rPr>
      </w:pPr>
    </w:p>
    <w:p/>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EE22C3-DEFB-4490-951B-E4A2E982ACA7}"/>
  </w:font>
  <w:font w:name="Arial">
    <w:panose1 w:val="020B0604020202020204"/>
    <w:charset w:val="01"/>
    <w:family w:val="swiss"/>
    <w:pitch w:val="default"/>
    <w:sig w:usb0="E0002EFF" w:usb1="C000785B" w:usb2="00000009" w:usb3="00000000" w:csb0="400001FF" w:csb1="FFFF0000"/>
    <w:embedRegular r:id="rId2" w:fontKey="{C7E944AA-B16D-473E-AC21-27D17F00CEF0}"/>
  </w:font>
  <w:font w:name="黑体">
    <w:panose1 w:val="02010609060101010101"/>
    <w:charset w:val="86"/>
    <w:family w:val="auto"/>
    <w:pitch w:val="default"/>
    <w:sig w:usb0="800002BF" w:usb1="38CF7CFA" w:usb2="00000016" w:usb3="00000000" w:csb0="00040001" w:csb1="00000000"/>
    <w:embedRegular r:id="rId3" w:fontKey="{C6766563-FACE-4C04-B2D0-FCD2B8D9EF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4BAB3BEC-BD16-4351-B6E9-D0A7DAC80A67}"/>
  </w:font>
  <w:font w:name="Cambria">
    <w:panose1 w:val="02040503050406030204"/>
    <w:charset w:val="00"/>
    <w:family w:val="roman"/>
    <w:pitch w:val="default"/>
    <w:sig w:usb0="E00006FF" w:usb1="420024FF" w:usb2="02000000" w:usb3="00000000" w:csb0="2000019F" w:csb1="00000000"/>
    <w:embedRegular r:id="rId5" w:fontKey="{7DF58D45-FD5B-4154-A980-9F7FF5F2C28D}"/>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9BE09552-0FC3-4C39-AAA3-039C26BD4D59}"/>
  </w:font>
  <w:font w:name="仿宋_GB2312">
    <w:panose1 w:val="02010609030101010101"/>
    <w:charset w:val="86"/>
    <w:family w:val="auto"/>
    <w:pitch w:val="default"/>
    <w:sig w:usb0="00000001" w:usb1="080E0000" w:usb2="00000000" w:usb3="00000000" w:csb0="00040000" w:csb1="00000000"/>
    <w:embedRegular r:id="rId7" w:fontKey="{C28F862F-4710-4AEB-95A5-57E8F917D67E}"/>
  </w:font>
  <w:font w:name="华文仿宋">
    <w:panose1 w:val="02010600040101010101"/>
    <w:charset w:val="86"/>
    <w:family w:val="auto"/>
    <w:pitch w:val="default"/>
    <w:sig w:usb0="00000287" w:usb1="080F0000" w:usb2="00000000" w:usb3="00000000" w:csb0="0004009F" w:csb1="DFD70000"/>
    <w:embedRegular r:id="rId8" w:fontKey="{16A9A108-F16D-40DD-AC49-4BA4EEADEC53}"/>
  </w:font>
  <w:font w:name="方正仿宋_GBK">
    <w:panose1 w:val="02000000000000000000"/>
    <w:charset w:val="86"/>
    <w:family w:val="auto"/>
    <w:pitch w:val="default"/>
    <w:sig w:usb0="00000000" w:usb1="00000000" w:usb2="00000000" w:usb3="00000000" w:csb0="00000000" w:csb1="00000000"/>
    <w:embedRegular r:id="rId9" w:fontKey="{D6BD0D28-5CF6-41A7-84F3-30A9B92E772E}"/>
  </w:font>
  <w:font w:name="方正小标宋简体">
    <w:panose1 w:val="02000000000000000000"/>
    <w:charset w:val="86"/>
    <w:family w:val="script"/>
    <w:pitch w:val="default"/>
    <w:sig w:usb0="A00002BF" w:usb1="184F6CFA" w:usb2="00000012" w:usb3="00000000" w:csb0="00040001" w:csb1="00000000"/>
    <w:embedRegular r:id="rId10" w:fontKey="{1557507C-3757-47D2-98D7-43AA7E5498F5}"/>
  </w:font>
  <w:font w:name="ˎ̥">
    <w:altName w:val="华文仿宋"/>
    <w:panose1 w:val="00000000000000000000"/>
    <w:charset w:val="00"/>
    <w:family w:val="auto"/>
    <w:pitch w:val="default"/>
    <w:sig w:usb0="00000000"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29</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pPr>
          <w:pStyle w:val="13"/>
          <w:jc w:val="center"/>
        </w:pPr>
        <w:r>
          <w:fldChar w:fldCharType="begin"/>
        </w:r>
        <w:r>
          <w:instrText xml:space="preserve"> PAGE   \* MERGEFORMAT </w:instrText>
        </w:r>
        <w:r>
          <w:fldChar w:fldCharType="separate"/>
        </w:r>
        <w:r>
          <w:rPr>
            <w:lang w:val="zh-CN"/>
          </w:rPr>
          <w:t>40</w:t>
        </w:r>
        <w:r>
          <w:rPr>
            <w:lang w:val="zh-CN"/>
          </w:rPr>
          <w:fldChar w:fldCharType="end"/>
        </w:r>
      </w:p>
    </w:sdtContent>
  </w:sdt>
  <w:p>
    <w:pPr>
      <w:pStyle w:val="13"/>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DFA2C91"/>
    <w:multiLevelType w:val="singleLevel"/>
    <w:tmpl w:val="3DFA2C91"/>
    <w:lvl w:ilvl="0" w:tentative="0">
      <w:start w:val="1"/>
      <w:numFmt w:val="decimal"/>
      <w:lvlText w:val="%1."/>
      <w:lvlJc w:val="left"/>
      <w:pPr>
        <w:tabs>
          <w:tab w:val="left" w:pos="312"/>
        </w:tabs>
      </w:pPr>
    </w:lvl>
  </w:abstractNum>
  <w:abstractNum w:abstractNumId="5">
    <w:nsid w:val="541285ED"/>
    <w:multiLevelType w:val="singleLevel"/>
    <w:tmpl w:val="541285ED"/>
    <w:lvl w:ilvl="0" w:tentative="0">
      <w:start w:val="1"/>
      <w:numFmt w:val="decimal"/>
      <w:lvlText w:val="%1."/>
      <w:lvlJc w:val="left"/>
      <w:pPr>
        <w:tabs>
          <w:tab w:val="left" w:pos="312"/>
        </w:tabs>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3606750"/>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B319F0"/>
    <w:rsid w:val="07EE41F1"/>
    <w:rsid w:val="080324F7"/>
    <w:rsid w:val="082F13F4"/>
    <w:rsid w:val="08381BDD"/>
    <w:rsid w:val="083D1CD8"/>
    <w:rsid w:val="084279FB"/>
    <w:rsid w:val="087516B5"/>
    <w:rsid w:val="09A10A0F"/>
    <w:rsid w:val="0A1C72DC"/>
    <w:rsid w:val="0AC37758"/>
    <w:rsid w:val="0AF25588"/>
    <w:rsid w:val="0B154457"/>
    <w:rsid w:val="0B212DFC"/>
    <w:rsid w:val="0B3E2722"/>
    <w:rsid w:val="0B91507D"/>
    <w:rsid w:val="0BBA6DAD"/>
    <w:rsid w:val="0C2543D3"/>
    <w:rsid w:val="0C27455C"/>
    <w:rsid w:val="0C610D37"/>
    <w:rsid w:val="0D0F2768"/>
    <w:rsid w:val="0D8458C4"/>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60E27"/>
    <w:rsid w:val="32236BAB"/>
    <w:rsid w:val="3244289A"/>
    <w:rsid w:val="32B97377"/>
    <w:rsid w:val="33941B0E"/>
    <w:rsid w:val="33C91D38"/>
    <w:rsid w:val="34291934"/>
    <w:rsid w:val="348D06FD"/>
    <w:rsid w:val="34CC177B"/>
    <w:rsid w:val="34DF325D"/>
    <w:rsid w:val="362E697F"/>
    <w:rsid w:val="362F1FC2"/>
    <w:rsid w:val="37144761"/>
    <w:rsid w:val="375A6BCB"/>
    <w:rsid w:val="37AB5678"/>
    <w:rsid w:val="37C24F6B"/>
    <w:rsid w:val="37D7173E"/>
    <w:rsid w:val="37F17D73"/>
    <w:rsid w:val="382F48C6"/>
    <w:rsid w:val="38312021"/>
    <w:rsid w:val="38B817B4"/>
    <w:rsid w:val="38C05153"/>
    <w:rsid w:val="393B4A71"/>
    <w:rsid w:val="398E34A3"/>
    <w:rsid w:val="39AD1E0E"/>
    <w:rsid w:val="3A7E52C6"/>
    <w:rsid w:val="3A8F1281"/>
    <w:rsid w:val="3A9B5E78"/>
    <w:rsid w:val="3AAC1E33"/>
    <w:rsid w:val="3AB17F7A"/>
    <w:rsid w:val="3ACA22B9"/>
    <w:rsid w:val="3B0E58C7"/>
    <w:rsid w:val="3B304812"/>
    <w:rsid w:val="3BCE7B87"/>
    <w:rsid w:val="3C033730"/>
    <w:rsid w:val="3C746980"/>
    <w:rsid w:val="3D406863"/>
    <w:rsid w:val="3DDF607B"/>
    <w:rsid w:val="3E260CC7"/>
    <w:rsid w:val="3EB92A82"/>
    <w:rsid w:val="3EB968CD"/>
    <w:rsid w:val="3EF8229A"/>
    <w:rsid w:val="3F446ADE"/>
    <w:rsid w:val="3F4563B2"/>
    <w:rsid w:val="40356427"/>
    <w:rsid w:val="40A35A86"/>
    <w:rsid w:val="40D93256"/>
    <w:rsid w:val="41540906"/>
    <w:rsid w:val="418961FE"/>
    <w:rsid w:val="41C2018E"/>
    <w:rsid w:val="42103A4A"/>
    <w:rsid w:val="42764E69"/>
    <w:rsid w:val="427D5E63"/>
    <w:rsid w:val="42D55C9F"/>
    <w:rsid w:val="434370AD"/>
    <w:rsid w:val="434E7F08"/>
    <w:rsid w:val="4416031D"/>
    <w:rsid w:val="44315157"/>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B7B3A94"/>
    <w:rsid w:val="4BA12BC2"/>
    <w:rsid w:val="4C15710C"/>
    <w:rsid w:val="4C6C1422"/>
    <w:rsid w:val="4C7812B7"/>
    <w:rsid w:val="4CE2651F"/>
    <w:rsid w:val="4D0553D3"/>
    <w:rsid w:val="4D346757"/>
    <w:rsid w:val="4D3B1D7F"/>
    <w:rsid w:val="4E896D6E"/>
    <w:rsid w:val="4EDD03B5"/>
    <w:rsid w:val="4F6C6B6D"/>
    <w:rsid w:val="50487D45"/>
    <w:rsid w:val="50833653"/>
    <w:rsid w:val="50F639B0"/>
    <w:rsid w:val="51121E6C"/>
    <w:rsid w:val="514C35D0"/>
    <w:rsid w:val="5176064D"/>
    <w:rsid w:val="52533F75"/>
    <w:rsid w:val="52C84ED8"/>
    <w:rsid w:val="52CA126A"/>
    <w:rsid w:val="52DB2E5E"/>
    <w:rsid w:val="530103EA"/>
    <w:rsid w:val="531445C2"/>
    <w:rsid w:val="53650979"/>
    <w:rsid w:val="53A07C03"/>
    <w:rsid w:val="54006EBD"/>
    <w:rsid w:val="540208BE"/>
    <w:rsid w:val="542425E2"/>
    <w:rsid w:val="550E3F9A"/>
    <w:rsid w:val="55766E6E"/>
    <w:rsid w:val="559B2D78"/>
    <w:rsid w:val="559B53B0"/>
    <w:rsid w:val="55B81234"/>
    <w:rsid w:val="55FE01DE"/>
    <w:rsid w:val="56094B46"/>
    <w:rsid w:val="565F3711"/>
    <w:rsid w:val="567F7FA4"/>
    <w:rsid w:val="56951575"/>
    <w:rsid w:val="56B17AF5"/>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2B2A77"/>
    <w:rsid w:val="5FD35B6B"/>
    <w:rsid w:val="5FDE3F8D"/>
    <w:rsid w:val="609A4358"/>
    <w:rsid w:val="61665FE8"/>
    <w:rsid w:val="61BC56D7"/>
    <w:rsid w:val="62A3501A"/>
    <w:rsid w:val="62C25F1E"/>
    <w:rsid w:val="6445282D"/>
    <w:rsid w:val="64DA7491"/>
    <w:rsid w:val="652D4363"/>
    <w:rsid w:val="65BE5407"/>
    <w:rsid w:val="65CB6AD7"/>
    <w:rsid w:val="66581462"/>
    <w:rsid w:val="67065B78"/>
    <w:rsid w:val="67310E46"/>
    <w:rsid w:val="674F751F"/>
    <w:rsid w:val="675D6C23"/>
    <w:rsid w:val="67D77C40"/>
    <w:rsid w:val="67DA328C"/>
    <w:rsid w:val="6881130A"/>
    <w:rsid w:val="68C06BF6"/>
    <w:rsid w:val="696B1E57"/>
    <w:rsid w:val="69E0280F"/>
    <w:rsid w:val="6A99742E"/>
    <w:rsid w:val="6AF405C0"/>
    <w:rsid w:val="6B555802"/>
    <w:rsid w:val="6CE013DA"/>
    <w:rsid w:val="6CF5724A"/>
    <w:rsid w:val="6E14501E"/>
    <w:rsid w:val="6E971ED7"/>
    <w:rsid w:val="6EB15DD3"/>
    <w:rsid w:val="6EC91D52"/>
    <w:rsid w:val="6ED07E1A"/>
    <w:rsid w:val="6EE85353"/>
    <w:rsid w:val="6EF32E85"/>
    <w:rsid w:val="6F7A7850"/>
    <w:rsid w:val="703D7D6C"/>
    <w:rsid w:val="70CE05A3"/>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BC566B5"/>
    <w:rsid w:val="7D787E59"/>
    <w:rsid w:val="7D7A6436"/>
    <w:rsid w:val="7DCB394B"/>
    <w:rsid w:val="7DCC1471"/>
    <w:rsid w:val="7E70572F"/>
    <w:rsid w:val="7E7A031E"/>
    <w:rsid w:val="7F041331"/>
    <w:rsid w:val="7F3BB274"/>
    <w:rsid w:val="7F482D79"/>
    <w:rsid w:val="7F820039"/>
    <w:rsid w:val="7FFF168A"/>
    <w:rsid w:val="AEB8A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semiHidden/>
    <w:unhideWhenUsed/>
    <w:qFormat/>
    <w:uiPriority w:val="99"/>
    <w:pPr>
      <w:jc w:val="left"/>
    </w:pPr>
  </w:style>
  <w:style w:type="paragraph" w:styleId="11">
    <w:name w:val="Body Text Indent"/>
    <w:basedOn w:val="1"/>
    <w:qFormat/>
    <w:uiPriority w:val="0"/>
    <w:pPr>
      <w:spacing w:line="360" w:lineRule="auto"/>
      <w:ind w:firstLine="420" w:firstLineChars="200"/>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10"/>
    <w:next w:val="10"/>
    <w:link w:val="36"/>
    <w:semiHidden/>
    <w:unhideWhenUsed/>
    <w:qFormat/>
    <w:uiPriority w:val="99"/>
    <w:rPr>
      <w:b/>
      <w:bCs/>
    </w:rPr>
  </w:style>
  <w:style w:type="paragraph" w:styleId="18">
    <w:name w:val="Body Text First Indent 2"/>
    <w:basedOn w:val="11"/>
    <w:qFormat/>
    <w:uiPriority w:val="0"/>
    <w:pPr>
      <w:spacing w:after="120" w:line="360" w:lineRule="auto"/>
      <w:ind w:left="420" w:leftChars="200" w:firstLine="420" w:firstLineChars="200"/>
    </w:pPr>
    <w:rPr>
      <w:rFonts w:ascii="Calibri" w:hAnsi="Calibri" w:eastAsia="宋体" w:cs="Times New Roman"/>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FollowedHyperlink"/>
    <w:basedOn w:val="21"/>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1"/>
    <w:unhideWhenUsed/>
    <w:qFormat/>
    <w:uiPriority w:val="99"/>
    <w:rPr>
      <w:color w:val="0000FF" w:themeColor="hyperlink"/>
      <w:u w:val="single"/>
      <w14:textFill>
        <w14:solidFill>
          <w14:schemeClr w14:val="hlink"/>
        </w14:solidFill>
      </w14:textFill>
    </w:rPr>
  </w:style>
  <w:style w:type="character" w:styleId="25">
    <w:name w:val="annotation reference"/>
    <w:basedOn w:val="21"/>
    <w:semiHidden/>
    <w:unhideWhenUsed/>
    <w:qFormat/>
    <w:uiPriority w:val="99"/>
    <w:rPr>
      <w:sz w:val="21"/>
      <w:szCs w:val="21"/>
    </w:rPr>
  </w:style>
  <w:style w:type="character" w:customStyle="1" w:styleId="26">
    <w:name w:val="页眉 Char"/>
    <w:basedOn w:val="21"/>
    <w:link w:val="14"/>
    <w:semiHidden/>
    <w:qFormat/>
    <w:uiPriority w:val="99"/>
    <w:rPr>
      <w:sz w:val="18"/>
      <w:szCs w:val="18"/>
    </w:rPr>
  </w:style>
  <w:style w:type="character" w:customStyle="1" w:styleId="27">
    <w:name w:val="页脚 Char"/>
    <w:basedOn w:val="21"/>
    <w:link w:val="13"/>
    <w:qFormat/>
    <w:uiPriority w:val="99"/>
    <w:rPr>
      <w:sz w:val="18"/>
      <w:szCs w:val="18"/>
    </w:rPr>
  </w:style>
  <w:style w:type="character" w:customStyle="1" w:styleId="28">
    <w:name w:val="批注框文本 Char"/>
    <w:basedOn w:val="21"/>
    <w:link w:val="12"/>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21"/>
    <w:link w:val="4"/>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1"/>
    <w:link w:val="9"/>
    <w:semiHidden/>
    <w:qFormat/>
    <w:uiPriority w:val="99"/>
    <w:rPr>
      <w:rFonts w:ascii="宋体" w:eastAsia="宋体"/>
      <w:sz w:val="18"/>
      <w:szCs w:val="18"/>
    </w:rPr>
  </w:style>
  <w:style w:type="character" w:customStyle="1" w:styleId="33">
    <w:name w:val="标题 2 Char"/>
    <w:basedOn w:val="21"/>
    <w:link w:val="7"/>
    <w:semiHidden/>
    <w:qFormat/>
    <w:uiPriority w:val="9"/>
    <w:rPr>
      <w:rFonts w:asciiTheme="majorHAnsi" w:hAnsiTheme="majorHAnsi" w:eastAsiaTheme="majorEastAsia" w:cstheme="majorBidi"/>
      <w:b/>
      <w:bCs/>
      <w:sz w:val="32"/>
      <w:szCs w:val="32"/>
    </w:rPr>
  </w:style>
  <w:style w:type="character" w:customStyle="1" w:styleId="34">
    <w:name w:val="批注文字 Char"/>
    <w:basedOn w:val="21"/>
    <w:link w:val="10"/>
    <w:semiHidden/>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kern w:val="2"/>
      <w:sz w:val="21"/>
      <w:szCs w:val="22"/>
    </w:rPr>
  </w:style>
  <w:style w:type="table" w:customStyle="1" w:styleId="37">
    <w:name w:val="网格型1"/>
    <w:basedOn w:val="19"/>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17608</Words>
  <Characters>18430</Characters>
  <Lines>316</Lines>
  <Paragraphs>89</Paragraphs>
  <TotalTime>4</TotalTime>
  <ScaleCrop>false</ScaleCrop>
  <LinksUpToDate>false</LinksUpToDate>
  <CharactersWithSpaces>18998</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2021-03-03T16:56:00Z</dcterms:created>
  <dc:creator>win7-1</dc:creator>
  <cp:lastModifiedBy>覃普</cp:lastModifiedBy>
  <cp:lastPrinted>2021-01-15T17:17:00Z</cp:lastPrinted>
  <dcterms:modified xsi:type="dcterms:W3CDTF">2025-06-05T02:08:35Z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CFE91CA4ECE649769A50C56CCE24D2C7</vt:lpwstr>
  </property>
  <property fmtid="{D5CDD505-2E9C-101B-9397-08002B2CF9AE}" pid="4" name="KSOTemplateDocerSaveRecord">
    <vt:lpwstr>eyJoZGlkIjoiNGE3ZjU2M2NjZmFlYmQwYTc0ZDZkMjFmM2ExNmI5ZTQiLCJ1c2VySWQiOiIyMjQxNTg5MDcifQ==</vt:lpwstr>
  </property>
</Properties>
</file>